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E70FD" w14:textId="77777777" w:rsidR="00754C9A" w:rsidRPr="00C91565" w:rsidRDefault="00754C9A" w:rsidP="00441B6F">
      <w:pPr>
        <w:pStyle w:val="Title"/>
        <w:spacing w:after="0"/>
        <w:jc w:val="both"/>
        <w:rPr>
          <w:rFonts w:ascii="Arial" w:hAnsi="Arial" w:cs="Arial"/>
        </w:rPr>
      </w:pPr>
    </w:p>
    <w:p w14:paraId="744642D9" w14:textId="77777777" w:rsidR="00616528" w:rsidRPr="00C91565" w:rsidRDefault="00616528" w:rsidP="00616528">
      <w:pPr>
        <w:pStyle w:val="09KeywordsContent"/>
        <w:spacing w:line="276" w:lineRule="auto"/>
        <w:jc w:val="both"/>
        <w:rPr>
          <w:rFonts w:ascii="Arial" w:hAnsi="Arial" w:cs="Arial"/>
          <w:b/>
          <w:bCs/>
          <w:sz w:val="36"/>
          <w:szCs w:val="36"/>
        </w:rPr>
      </w:pPr>
      <w:r w:rsidRPr="00C91565">
        <w:rPr>
          <w:rFonts w:ascii="Arial" w:hAnsi="Arial" w:cs="Arial"/>
          <w:b/>
          <w:bCs/>
          <w:sz w:val="36"/>
          <w:szCs w:val="36"/>
        </w:rPr>
        <w:t xml:space="preserve">Impact of Tortuosity on Species Transport in PEMFC Fuel Cells Gas Diffusion Layers </w:t>
      </w:r>
    </w:p>
    <w:p w14:paraId="3EE54D45" w14:textId="77777777" w:rsidR="00212F69" w:rsidRPr="00C91565" w:rsidRDefault="00212F69" w:rsidP="00616528">
      <w:pPr>
        <w:rPr>
          <w:rFonts w:ascii="Arial" w:hAnsi="Arial" w:cs="Arial"/>
        </w:rPr>
      </w:pPr>
      <w:bookmarkStart w:id="0" w:name="_GoBack"/>
      <w:bookmarkEnd w:id="0"/>
    </w:p>
    <w:p w14:paraId="21791680" w14:textId="77777777" w:rsidR="002C57D2" w:rsidRPr="00C91565" w:rsidRDefault="002C57D2" w:rsidP="00441B6F">
      <w:pPr>
        <w:pStyle w:val="Affiliation"/>
        <w:spacing w:after="0" w:line="240" w:lineRule="auto"/>
        <w:jc w:val="both"/>
        <w:rPr>
          <w:rFonts w:ascii="Arial" w:hAnsi="Arial" w:cs="Arial"/>
        </w:rPr>
      </w:pPr>
    </w:p>
    <w:p w14:paraId="3D60EAD7" w14:textId="22927D19" w:rsidR="00B01FCD" w:rsidRPr="00C91565" w:rsidRDefault="00FC76A2" w:rsidP="00441B6F">
      <w:pPr>
        <w:pStyle w:val="Copyright"/>
        <w:spacing w:after="0" w:line="240" w:lineRule="auto"/>
        <w:jc w:val="both"/>
        <w:rPr>
          <w:rFonts w:ascii="Arial" w:hAnsi="Arial" w:cs="Arial"/>
        </w:rPr>
        <w:sectPr w:rsidR="00B01FCD" w:rsidRPr="00C91565" w:rsidSect="004E30A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91565">
        <w:rPr>
          <w:rFonts w:ascii="Arial" w:hAnsi="Arial" w:cs="Arial"/>
          <w:noProof/>
        </w:rPr>
        <mc:AlternateContent>
          <mc:Choice Requires="wps">
            <w:drawing>
              <wp:inline distT="0" distB="0" distL="0" distR="0" wp14:anchorId="2D15F9DC" wp14:editId="2943A15F">
                <wp:extent cx="5303520" cy="635"/>
                <wp:effectExtent l="17145" t="10160" r="13335" b="18415"/>
                <wp:docPr id="10608423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3ED8E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C91565">
        <w:rPr>
          <w:rFonts w:ascii="Arial" w:hAnsi="Arial" w:cs="Arial"/>
        </w:rPr>
        <w:t>.</w:t>
      </w:r>
    </w:p>
    <w:p w14:paraId="4A1E18BD" w14:textId="54B4AD87" w:rsidR="00B01FCD" w:rsidRPr="00C91565" w:rsidRDefault="00B01FCD" w:rsidP="00441B6F">
      <w:pPr>
        <w:pStyle w:val="AbstHead"/>
        <w:spacing w:after="0"/>
        <w:jc w:val="both"/>
        <w:rPr>
          <w:rFonts w:ascii="Arial" w:hAnsi="Arial" w:cs="Arial"/>
        </w:rPr>
      </w:pPr>
      <w:r w:rsidRPr="00C91565">
        <w:rPr>
          <w:rFonts w:ascii="Arial" w:hAnsi="Arial" w:cs="Arial"/>
        </w:rPr>
        <w:t>ABSTRACT</w:t>
      </w:r>
      <w:r w:rsidR="0066510A" w:rsidRPr="00C91565">
        <w:rPr>
          <w:rFonts w:ascii="Arial" w:hAnsi="Arial" w:cs="Arial"/>
        </w:rPr>
        <w:t xml:space="preserve"> </w:t>
      </w:r>
    </w:p>
    <w:p w14:paraId="7FA7F44E" w14:textId="77777777" w:rsidR="00790ADA" w:rsidRPr="00C9156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91565" w14:paraId="2A8C4EED" w14:textId="77777777" w:rsidTr="001E44FE">
        <w:tc>
          <w:tcPr>
            <w:tcW w:w="9576" w:type="dxa"/>
            <w:shd w:val="clear" w:color="auto" w:fill="F2F2F2"/>
          </w:tcPr>
          <w:p w14:paraId="2B02EEB5" w14:textId="3C11E5E5" w:rsidR="00505F06" w:rsidRPr="00C91565" w:rsidRDefault="00616528" w:rsidP="00B2739C">
            <w:pPr>
              <w:spacing w:before="100" w:beforeAutospacing="1" w:after="100" w:afterAutospacing="1"/>
              <w:jc w:val="both"/>
              <w:rPr>
                <w:rFonts w:ascii="Arial" w:eastAsia="Calibri" w:hAnsi="Arial" w:cs="Arial"/>
              </w:rPr>
            </w:pPr>
            <w:r w:rsidRPr="00C91565">
              <w:rPr>
                <w:rFonts w:ascii="Arial" w:hAnsi="Arial" w:cs="Arial"/>
              </w:rPr>
              <w:t>Proton exchange membrane fuel cells (PEMFCs) are electrochemical systems that directly convert the chemical energy of hydrogen into electricity, offering high energy efficiency and low environmental impact. Within these systems, the gas diffusion layer (GDL) plays a critical role in ensuring efficient reactant transport and uniform current distribution. This study investigates the influence of GDL tortuosity, a key structural parameter describing the complexity of diffusion pathways, on PEMFC performance. A numerical model was developed using COMSOL Multiphysics to simulate the effects of isotropic and anisotropic tortuosity on species transport and current density distribution.</w:t>
            </w:r>
            <w:r w:rsidR="00D95CBF">
              <w:rPr>
                <w:rFonts w:ascii="Arial" w:hAnsi="Arial" w:cs="Arial"/>
              </w:rPr>
              <w:t xml:space="preserve"> </w:t>
            </w:r>
            <w:r w:rsidRPr="00C91565">
              <w:rPr>
                <w:rFonts w:ascii="Arial" w:hAnsi="Arial" w:cs="Arial"/>
              </w:rPr>
              <w:t xml:space="preserve">The results show that increasing tortuosity significantly limits reactant diffusion, leading to a reduction in cell performance of up to </w:t>
            </w:r>
            <w:r w:rsidR="00B2739C">
              <w:rPr>
                <w:rFonts w:ascii="Arial" w:hAnsi="Arial" w:cs="Arial"/>
              </w:rPr>
              <w:t>20-</w:t>
            </w:r>
            <w:r w:rsidR="000B6E73">
              <w:rPr>
                <w:rFonts w:ascii="Arial" w:hAnsi="Arial" w:cs="Arial"/>
              </w:rPr>
              <w:t>8</w:t>
            </w:r>
            <w:r w:rsidR="00F002D4" w:rsidRPr="00C91565">
              <w:rPr>
                <w:rFonts w:ascii="Arial" w:hAnsi="Arial" w:cs="Arial"/>
              </w:rPr>
              <w:t>0 %</w:t>
            </w:r>
            <w:r w:rsidRPr="00C91565">
              <w:rPr>
                <w:rFonts w:ascii="Arial" w:hAnsi="Arial" w:cs="Arial"/>
              </w:rPr>
              <w:t xml:space="preserve"> at low current densities. Polarization curve analysis indicates a decrease in cell efficiency as tortuosity increases. In addition, anisotropic tortuosity induces spatial heterogeneities in diffusion pathways, resulting in non-uniform current density distribution and further performance losses.</w:t>
            </w:r>
            <w:r w:rsidR="00D95CBF">
              <w:rPr>
                <w:rFonts w:ascii="Arial" w:hAnsi="Arial" w:cs="Arial"/>
              </w:rPr>
              <w:t xml:space="preserve"> </w:t>
            </w:r>
            <w:r w:rsidRPr="00C91565">
              <w:rPr>
                <w:rFonts w:ascii="Arial" w:hAnsi="Arial" w:cs="Arial"/>
              </w:rPr>
              <w:t>These findings highlight the critical role of GDL microstructure in PEMFC operation and provide practical insights for the design and optimization of GDL materials. Specifically, controlling tortuosity and its anisotropy can improve reactant transport, enhance efficiency, and increase the durability of fuel cells under realistic operating conditions.</w:t>
            </w:r>
          </w:p>
        </w:tc>
      </w:tr>
    </w:tbl>
    <w:p w14:paraId="63BCA446" w14:textId="77777777" w:rsidR="00636EB2" w:rsidRPr="00C91565" w:rsidRDefault="00636EB2" w:rsidP="00441B6F">
      <w:pPr>
        <w:pStyle w:val="Body"/>
        <w:spacing w:after="0"/>
        <w:rPr>
          <w:rFonts w:ascii="Arial" w:hAnsi="Arial" w:cs="Arial"/>
          <w:i/>
        </w:rPr>
      </w:pPr>
    </w:p>
    <w:p w14:paraId="38AC49DF" w14:textId="77777777" w:rsidR="002A50F7" w:rsidRPr="00C91565" w:rsidRDefault="002A50F7" w:rsidP="002A50F7">
      <w:pPr>
        <w:pStyle w:val="09KeywordsContent"/>
        <w:spacing w:line="240" w:lineRule="auto"/>
        <w:jc w:val="both"/>
        <w:rPr>
          <w:rFonts w:ascii="Arial" w:hAnsi="Arial" w:cs="Arial"/>
        </w:rPr>
      </w:pPr>
      <w:r w:rsidRPr="00C91565">
        <w:rPr>
          <w:rFonts w:ascii="Arial" w:hAnsi="Arial" w:cs="Arial"/>
          <w:b/>
          <w:bCs/>
        </w:rPr>
        <w:t>Keywords:</w:t>
      </w:r>
      <w:r w:rsidRPr="00C91565">
        <w:rPr>
          <w:rFonts w:ascii="Arial" w:hAnsi="Arial" w:cs="Arial"/>
        </w:rPr>
        <w:t xml:space="preserve"> PEMFC fuel cells, GDL, COMSOL Multiphysics, Tortuosity, Cell performance</w:t>
      </w:r>
    </w:p>
    <w:p w14:paraId="17355822" w14:textId="77777777" w:rsidR="00B63640" w:rsidRPr="00C91565" w:rsidRDefault="00B63640" w:rsidP="002A50F7">
      <w:pPr>
        <w:pStyle w:val="09KeywordsContent"/>
        <w:spacing w:line="240" w:lineRule="auto"/>
        <w:jc w:val="both"/>
        <w:rPr>
          <w:rFonts w:ascii="Arial" w:hAnsi="Arial" w:cs="Arial"/>
        </w:rPr>
      </w:pPr>
    </w:p>
    <w:p w14:paraId="1D24834C" w14:textId="77777777" w:rsidR="002A50F7" w:rsidRPr="00C91565" w:rsidRDefault="002A50F7" w:rsidP="002A50F7">
      <w:pPr>
        <w:pStyle w:val="Body"/>
        <w:spacing w:after="0"/>
        <w:rPr>
          <w:rFonts w:ascii="Arial" w:hAnsi="Arial" w:cs="Arial"/>
          <w:b/>
          <w:bCs/>
          <w:iCs/>
        </w:rPr>
      </w:pPr>
      <w:r w:rsidRPr="00C91565">
        <w:rPr>
          <w:rFonts w:ascii="Arial" w:hAnsi="Arial" w:cs="Arial"/>
          <w:b/>
          <w:bCs/>
          <w:iCs/>
        </w:rPr>
        <w:t>NOMENCLATURES</w:t>
      </w:r>
    </w:p>
    <w:p w14:paraId="54F74D36" w14:textId="77777777" w:rsidR="002A50F7" w:rsidRPr="00C91565" w:rsidRDefault="002A50F7" w:rsidP="002A50F7">
      <w:pPr>
        <w:pStyle w:val="Body"/>
        <w:spacing w:after="0"/>
        <w:rPr>
          <w:rFonts w:ascii="Arial" w:hAnsi="Arial" w:cs="Arial"/>
          <w:b/>
          <w:bCs/>
          <w:iCs/>
        </w:rPr>
      </w:pPr>
    </w:p>
    <w:p w14:paraId="700E3415" w14:textId="77777777" w:rsidR="002A50F7" w:rsidRPr="00C91565" w:rsidRDefault="002A50F7" w:rsidP="00441B6F">
      <w:pPr>
        <w:pStyle w:val="Body"/>
        <w:spacing w:after="0"/>
        <w:rPr>
          <w:rFonts w:ascii="Arial" w:hAnsi="Arial" w:cs="Arial"/>
          <w:i/>
          <w:sz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112"/>
      </w:tblGrid>
      <w:tr w:rsidR="002A50F7" w:rsidRPr="00C91565" w14:paraId="1CFF24F6" w14:textId="77777777" w:rsidTr="00CC3AFE">
        <w:tc>
          <w:tcPr>
            <w:tcW w:w="4212" w:type="dxa"/>
          </w:tcPr>
          <w:p w14:paraId="4BE8A846"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a »</w:t>
            </w:r>
            <w:r w:rsidRPr="00C91565">
              <w:rPr>
                <w:rFonts w:ascii="Arial" w:hAnsi="Arial" w:cs="Arial"/>
                <w:i/>
                <w:iCs/>
                <w:sz w:val="20"/>
                <w:szCs w:val="20"/>
                <w:lang w:val="en-GB"/>
              </w:rPr>
              <w:t>:</w:t>
            </w:r>
          </w:p>
        </w:tc>
        <w:tc>
          <w:tcPr>
            <w:tcW w:w="4212" w:type="dxa"/>
          </w:tcPr>
          <w:p w14:paraId="378C50A9"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Anode</w:t>
            </w:r>
          </w:p>
        </w:tc>
      </w:tr>
      <w:tr w:rsidR="002A50F7" w:rsidRPr="00C91565" w14:paraId="6ADECC13" w14:textId="77777777" w:rsidTr="00CC3AFE">
        <w:tc>
          <w:tcPr>
            <w:tcW w:w="4212" w:type="dxa"/>
          </w:tcPr>
          <w:p w14:paraId="0339A26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c »</w:t>
            </w:r>
            <w:r w:rsidRPr="00C91565">
              <w:rPr>
                <w:rFonts w:ascii="Arial" w:hAnsi="Arial" w:cs="Arial"/>
                <w:i/>
                <w:iCs/>
                <w:sz w:val="20"/>
                <w:szCs w:val="20"/>
                <w:lang w:val="en-GB"/>
              </w:rPr>
              <w:t>:</w:t>
            </w:r>
          </w:p>
        </w:tc>
        <w:tc>
          <w:tcPr>
            <w:tcW w:w="4212" w:type="dxa"/>
          </w:tcPr>
          <w:p w14:paraId="5516E868"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Cathode</w:t>
            </w:r>
          </w:p>
        </w:tc>
      </w:tr>
      <w:tr w:rsidR="002A50F7" w:rsidRPr="00C91565" w14:paraId="7AE04D3C" w14:textId="77777777" w:rsidTr="00CC3AFE">
        <w:tc>
          <w:tcPr>
            <w:tcW w:w="4212" w:type="dxa"/>
          </w:tcPr>
          <w:p w14:paraId="0047F423" w14:textId="69F24D17"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R</m:t>
                  </m:r>
                </m:e>
                <m:sub>
                  <m:r>
                    <w:rPr>
                      <w:rFonts w:ascii="Cambria Math" w:hAnsi="Cambria Math" w:cs="Arial"/>
                      <w:sz w:val="20"/>
                      <w:szCs w:val="20"/>
                      <w:lang w:val="en-GB"/>
                    </w:rPr>
                    <m:t>agg</m:t>
                  </m:r>
                </m:sub>
              </m:sSub>
              <m:r>
                <w:rPr>
                  <w:rFonts w:ascii="Cambria Math" w:hAnsi="Cambria Math" w:cs="Arial"/>
                  <w:sz w:val="20"/>
                  <w:szCs w:val="20"/>
                  <w:lang w:val="en-GB"/>
                </w:rPr>
                <m:t xml:space="preserve"> </m:t>
              </m:r>
            </m:oMath>
            <w:r w:rsidR="002A50F7" w:rsidRPr="00C91565">
              <w:rPr>
                <w:rFonts w:ascii="Arial" w:eastAsiaTheme="minorEastAsia" w:hAnsi="Arial" w:cs="Arial"/>
                <w:i/>
                <w:iCs/>
                <w:sz w:val="20"/>
                <w:szCs w:val="20"/>
                <w:lang w:val="en-GB"/>
              </w:rPr>
              <w:t xml:space="preserve"> :</w:t>
            </w:r>
          </w:p>
        </w:tc>
        <w:tc>
          <w:tcPr>
            <w:tcW w:w="4212" w:type="dxa"/>
          </w:tcPr>
          <w:p w14:paraId="636D804F"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Radius of the Agglomerate</w:t>
            </w:r>
          </w:p>
        </w:tc>
      </w:tr>
      <w:tr w:rsidR="002A50F7" w:rsidRPr="00C91565" w14:paraId="003646D6" w14:textId="77777777" w:rsidTr="00CC3AFE">
        <w:tc>
          <w:tcPr>
            <w:tcW w:w="4212" w:type="dxa"/>
          </w:tcPr>
          <w:p w14:paraId="09FFECAA" w14:textId="595E94D3"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j</m:t>
                  </m:r>
                </m:e>
                <m:sub>
                  <m:r>
                    <w:rPr>
                      <w:rFonts w:ascii="Cambria Math" w:hAnsi="Cambria Math" w:cs="Arial"/>
                      <w:sz w:val="20"/>
                      <w:szCs w:val="20"/>
                      <w:lang w:val="en-GB"/>
                    </w:rPr>
                    <m:t>agg</m:t>
                  </m:r>
                  <m:r>
                    <w:rPr>
                      <w:rFonts w:ascii="Cambria Math" w:hAnsi="Cambria Math" w:cs="Arial"/>
                      <w:sz w:val="20"/>
                      <w:szCs w:val="20"/>
                      <w:lang w:val="en-GB"/>
                    </w:rPr>
                    <m:t>,</m:t>
                  </m:r>
                  <m:r>
                    <w:rPr>
                      <w:rFonts w:ascii="Cambria Math" w:hAnsi="Cambria Math" w:cs="Arial"/>
                      <w:sz w:val="20"/>
                      <w:szCs w:val="20"/>
                      <w:lang w:val="en-GB"/>
                    </w:rPr>
                    <m:t>a</m:t>
                  </m:r>
                </m:sub>
              </m:sSub>
            </m:oMath>
            <w:r w:rsidR="002A50F7" w:rsidRPr="00C91565">
              <w:rPr>
                <w:rFonts w:ascii="Arial" w:hAnsi="Arial" w:cs="Arial"/>
                <w:i/>
                <w:iCs/>
                <w:sz w:val="20"/>
                <w:szCs w:val="20"/>
                <w:highlight w:val="white"/>
                <w:lang w:val="en-GB"/>
              </w:rPr>
              <w:t xml:space="preserve"> and </w:t>
            </w:r>
            <m:oMath>
              <m:sSub>
                <m:sSubPr>
                  <m:ctrlPr>
                    <w:rPr>
                      <w:rFonts w:ascii="Cambria Math" w:hAnsi="Cambria Math" w:cs="Arial"/>
                      <w:i/>
                      <w:iCs/>
                      <w:sz w:val="20"/>
                      <w:szCs w:val="20"/>
                      <w:lang w:val="en-GB"/>
                    </w:rPr>
                  </m:ctrlPr>
                </m:sSubPr>
                <m:e>
                  <m:r>
                    <w:rPr>
                      <w:rFonts w:ascii="Cambria Math" w:hAnsi="Cambria Math" w:cs="Arial"/>
                      <w:sz w:val="20"/>
                      <w:szCs w:val="20"/>
                      <w:lang w:val="en-GB"/>
                    </w:rPr>
                    <m:t>j</m:t>
                  </m:r>
                </m:e>
                <m:sub>
                  <m:r>
                    <w:rPr>
                      <w:rFonts w:ascii="Cambria Math" w:hAnsi="Cambria Math" w:cs="Arial"/>
                      <w:sz w:val="20"/>
                      <w:szCs w:val="20"/>
                      <w:lang w:val="en-GB"/>
                    </w:rPr>
                    <m:t>agg</m:t>
                  </m:r>
                  <m:r>
                    <w:rPr>
                      <w:rFonts w:ascii="Cambria Math" w:hAnsi="Cambria Math" w:cs="Arial"/>
                      <w:sz w:val="20"/>
                      <w:szCs w:val="20"/>
                      <w:lang w:val="en-GB"/>
                    </w:rPr>
                    <m:t>,</m:t>
                  </m:r>
                  <m:r>
                    <w:rPr>
                      <w:rFonts w:ascii="Cambria Math" w:hAnsi="Cambria Math" w:cs="Arial"/>
                      <w:sz w:val="20"/>
                      <w:szCs w:val="20"/>
                      <w:lang w:val="en-GB"/>
                    </w:rPr>
                    <m:t>c</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3A26DE98"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Current Densities Given</w:t>
            </w:r>
          </w:p>
        </w:tc>
      </w:tr>
      <w:tr w:rsidR="002A50F7" w:rsidRPr="00C91565" w14:paraId="7A3874AB" w14:textId="77777777" w:rsidTr="00CC3AFE">
        <w:tc>
          <w:tcPr>
            <w:tcW w:w="4212" w:type="dxa"/>
          </w:tcPr>
          <w:p w14:paraId="3D483C82" w14:textId="47C2484B"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mac</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17462CFC"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Porosity</w:t>
            </w:r>
          </w:p>
        </w:tc>
      </w:tr>
      <w:tr w:rsidR="002A50F7" w:rsidRPr="00C91565" w14:paraId="31A50F2E" w14:textId="77777777" w:rsidTr="00CC3AFE">
        <w:tc>
          <w:tcPr>
            <w:tcW w:w="4212" w:type="dxa"/>
          </w:tcPr>
          <w:p w14:paraId="62E0BC01" w14:textId="7B7B5447"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D</m:t>
                  </m:r>
                </m:e>
                <m:sub>
                  <m:r>
                    <w:rPr>
                      <w:rFonts w:ascii="Cambria Math" w:hAnsi="Cambria Math" w:cs="Arial"/>
                      <w:sz w:val="20"/>
                      <w:szCs w:val="20"/>
                      <w:lang w:val="en-GB"/>
                    </w:rPr>
                    <m:t>agg</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6299642D"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Gas diffusivity</w:t>
            </w:r>
          </w:p>
        </w:tc>
      </w:tr>
      <w:tr w:rsidR="002A50F7" w:rsidRPr="00C91565" w14:paraId="16B1A73B" w14:textId="77777777" w:rsidTr="00CC3AFE">
        <w:tc>
          <w:tcPr>
            <w:tcW w:w="4212" w:type="dxa"/>
          </w:tcPr>
          <w:p w14:paraId="244422B7" w14:textId="05617191"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e</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64F4998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Number of «Charge Transfers »</w:t>
            </w:r>
          </w:p>
        </w:tc>
      </w:tr>
      <w:tr w:rsidR="002A50F7" w:rsidRPr="00C91565" w14:paraId="009FA112" w14:textId="77777777" w:rsidTr="00CC3AFE">
        <w:tc>
          <w:tcPr>
            <w:tcW w:w="4212" w:type="dxa"/>
          </w:tcPr>
          <w:p w14:paraId="38695335"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S</w:t>
            </w:r>
            <w:r w:rsidRPr="00C91565">
              <w:rPr>
                <w:rFonts w:ascii="Arial" w:hAnsi="Arial" w:cs="Arial"/>
                <w:i/>
                <w:iCs/>
                <w:sz w:val="20"/>
                <w:szCs w:val="20"/>
                <w:lang w:val="en-GB"/>
              </w:rPr>
              <w:t>:</w:t>
            </w:r>
          </w:p>
        </w:tc>
        <w:tc>
          <w:tcPr>
            <w:tcW w:w="4212" w:type="dxa"/>
          </w:tcPr>
          <w:p w14:paraId="3BA9EAC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Specific Surface Area</w:t>
            </w:r>
          </w:p>
        </w:tc>
      </w:tr>
      <w:tr w:rsidR="002A50F7" w:rsidRPr="00C91565" w14:paraId="3BE835A2" w14:textId="77777777" w:rsidTr="00CC3AFE">
        <w:tc>
          <w:tcPr>
            <w:tcW w:w="4212" w:type="dxa"/>
          </w:tcPr>
          <w:p w14:paraId="06F2D07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F</w:t>
            </w:r>
            <w:r w:rsidRPr="00C91565">
              <w:rPr>
                <w:rFonts w:ascii="Arial" w:hAnsi="Arial" w:cs="Arial"/>
                <w:i/>
                <w:iCs/>
                <w:sz w:val="20"/>
                <w:szCs w:val="20"/>
                <w:lang w:val="en-GB"/>
              </w:rPr>
              <w:t>:</w:t>
            </w:r>
          </w:p>
        </w:tc>
        <w:tc>
          <w:tcPr>
            <w:tcW w:w="4212" w:type="dxa"/>
          </w:tcPr>
          <w:p w14:paraId="2C330233"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Faraday Constant</w:t>
            </w:r>
          </w:p>
        </w:tc>
      </w:tr>
      <w:tr w:rsidR="002A50F7" w:rsidRPr="00C91565" w14:paraId="12D6E61A" w14:textId="77777777" w:rsidTr="00CC3AFE">
        <w:tc>
          <w:tcPr>
            <w:tcW w:w="4212" w:type="dxa"/>
          </w:tcPr>
          <w:p w14:paraId="565E548A" w14:textId="0BD3FA2B"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c</m:t>
                  </m:r>
                </m:e>
                <m:sub>
                  <m:r>
                    <w:rPr>
                      <w:rFonts w:ascii="Cambria Math" w:hAnsi="Cambria Math" w:cs="Arial"/>
                      <w:sz w:val="20"/>
                      <w:szCs w:val="20"/>
                      <w:lang w:val="en-GB"/>
                    </w:rPr>
                    <m:t>i</m:t>
                  </m:r>
                  <m:r>
                    <w:rPr>
                      <w:rFonts w:ascii="Cambria Math" w:hAnsi="Cambria Math" w:cs="Arial"/>
                      <w:sz w:val="20"/>
                      <w:szCs w:val="20"/>
                      <w:lang w:val="en-GB"/>
                    </w:rPr>
                    <m:t>,</m:t>
                  </m:r>
                  <m:r>
                    <w:rPr>
                      <w:rFonts w:ascii="Cambria Math" w:hAnsi="Cambria Math" w:cs="Arial"/>
                      <w:sz w:val="20"/>
                      <w:szCs w:val="20"/>
                      <w:lang w:val="en-GB"/>
                    </w:rPr>
                    <m:t>ref</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7BDE1BA1"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lang w:val="en-GB"/>
              </w:rPr>
              <w:t>Reference Concentrations of the Species</w:t>
            </w:r>
          </w:p>
        </w:tc>
      </w:tr>
      <w:tr w:rsidR="002A50F7" w:rsidRPr="00C91565" w14:paraId="42A381FE" w14:textId="77777777" w:rsidTr="00CC3AFE">
        <w:tc>
          <w:tcPr>
            <w:tcW w:w="4212" w:type="dxa"/>
          </w:tcPr>
          <w:p w14:paraId="59463B9A" w14:textId="50599FFE"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 xml:space="preserve"> </w:t>
            </w:r>
            <m:oMath>
              <m:sSub>
                <m:sSubPr>
                  <m:ctrlPr>
                    <w:rPr>
                      <w:rFonts w:ascii="Cambria Math" w:hAnsi="Cambria Math" w:cs="Arial"/>
                      <w:i/>
                      <w:iCs/>
                      <w:sz w:val="20"/>
                      <w:szCs w:val="20"/>
                      <w:lang w:val="en-GB"/>
                    </w:rPr>
                  </m:ctrlPr>
                </m:sSubPr>
                <m:e>
                  <m:r>
                    <w:rPr>
                      <w:rFonts w:ascii="Cambria Math" w:hAnsi="Cambria Math" w:cs="Arial"/>
                      <w:sz w:val="20"/>
                      <w:szCs w:val="20"/>
                      <w:lang w:val="en-GB"/>
                    </w:rPr>
                    <m:t>c</m:t>
                  </m:r>
                </m:e>
                <m:sub>
                  <m:r>
                    <w:rPr>
                      <w:rFonts w:ascii="Cambria Math" w:hAnsi="Cambria Math" w:cs="Arial"/>
                      <w:sz w:val="20"/>
                      <w:szCs w:val="20"/>
                      <w:lang w:val="en-GB"/>
                    </w:rPr>
                    <m:t>i,agg</m:t>
                  </m:r>
                </m:sub>
              </m:sSub>
            </m:oMath>
            <w:r w:rsidRPr="00C91565">
              <w:rPr>
                <w:rFonts w:ascii="Arial" w:hAnsi="Arial" w:cs="Arial"/>
                <w:i/>
                <w:iCs/>
                <w:sz w:val="20"/>
                <w:szCs w:val="20"/>
                <w:lang w:val="en-GB"/>
              </w:rPr>
              <w:t>:</w:t>
            </w:r>
          </w:p>
        </w:tc>
        <w:tc>
          <w:tcPr>
            <w:tcW w:w="4212" w:type="dxa"/>
          </w:tcPr>
          <w:p w14:paraId="766959B6"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lang w:val="en-GB"/>
              </w:rPr>
              <w:t>Corresponding Concentrations in the Surface of the Cluster</w:t>
            </w:r>
          </w:p>
        </w:tc>
      </w:tr>
      <w:tr w:rsidR="002A50F7" w:rsidRPr="00C91565" w14:paraId="64D1D98E" w14:textId="77777777" w:rsidTr="00CC3AFE">
        <w:tc>
          <w:tcPr>
            <w:tcW w:w="4212" w:type="dxa"/>
          </w:tcPr>
          <w:p w14:paraId="15BED640" w14:textId="27728341"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i</m:t>
                  </m:r>
                </m:e>
                <m:sub>
                  <m:r>
                    <w:rPr>
                      <w:rFonts w:ascii="Cambria Math" w:hAnsi="Cambria Math" w:cs="Arial"/>
                      <w:sz w:val="20"/>
                      <w:szCs w:val="20"/>
                      <w:lang w:val="en-GB"/>
                    </w:rPr>
                    <m:t>0</m:t>
                  </m:r>
                  <m:r>
                    <w:rPr>
                      <w:rFonts w:ascii="Cambria Math" w:hAnsi="Cambria Math" w:cs="Arial"/>
                      <w:sz w:val="20"/>
                      <w:szCs w:val="20"/>
                      <w:lang w:val="en-GB"/>
                    </w:rPr>
                    <m:t>a</m:t>
                  </m:r>
                </m:sub>
              </m:sSub>
              <m:r>
                <w:rPr>
                  <w:rFonts w:ascii="Cambria Math" w:hAnsi="Cambria Math" w:cs="Arial"/>
                  <w:sz w:val="20"/>
                  <w:szCs w:val="20"/>
                  <w:lang w:val="en-GB"/>
                </w:rPr>
                <m:t xml:space="preserve"> </m:t>
              </m:r>
              <m:r>
                <w:rPr>
                  <w:rFonts w:ascii="Cambria Math" w:hAnsi="Cambria Math" w:cs="Arial"/>
                  <w:sz w:val="20"/>
                  <w:szCs w:val="20"/>
                  <w:lang w:val="en-GB"/>
                </w:rPr>
                <m:t>and</m:t>
              </m:r>
              <m:r>
                <w:rPr>
                  <w:rFonts w:ascii="Cambria Math" w:hAnsi="Cambria Math" w:cs="Arial"/>
                  <w:sz w:val="20"/>
                  <w:szCs w:val="20"/>
                  <w:lang w:val="en-GB"/>
                </w:rPr>
                <m:t xml:space="preserve"> </m:t>
              </m:r>
              <m:sSub>
                <m:sSubPr>
                  <m:ctrlPr>
                    <w:rPr>
                      <w:rFonts w:ascii="Cambria Math" w:hAnsi="Cambria Math" w:cs="Arial"/>
                      <w:i/>
                      <w:iCs/>
                      <w:sz w:val="20"/>
                      <w:szCs w:val="20"/>
                      <w:lang w:val="en-GB"/>
                    </w:rPr>
                  </m:ctrlPr>
                </m:sSubPr>
                <m:e>
                  <m:r>
                    <w:rPr>
                      <w:rFonts w:ascii="Cambria Math" w:hAnsi="Cambria Math" w:cs="Arial"/>
                      <w:sz w:val="20"/>
                      <w:szCs w:val="20"/>
                      <w:lang w:val="en-GB"/>
                    </w:rPr>
                    <m:t>i</m:t>
                  </m:r>
                </m:e>
                <m:sub>
                  <m:r>
                    <w:rPr>
                      <w:rFonts w:ascii="Cambria Math" w:hAnsi="Cambria Math" w:cs="Arial"/>
                      <w:sz w:val="20"/>
                      <w:szCs w:val="20"/>
                      <w:lang w:val="en-GB"/>
                    </w:rPr>
                    <m:t>0</m:t>
                  </m:r>
                  <m:r>
                    <w:rPr>
                      <w:rFonts w:ascii="Cambria Math" w:hAnsi="Cambria Math" w:cs="Arial"/>
                      <w:sz w:val="20"/>
                      <w:szCs w:val="20"/>
                      <w:lang w:val="en-GB"/>
                    </w:rPr>
                    <m:t>c</m:t>
                  </m:r>
                </m:sub>
              </m:sSub>
              <m:r>
                <w:rPr>
                  <w:rFonts w:ascii="Cambria Math" w:hAnsi="Cambria Math" w:cs="Arial"/>
                  <w:sz w:val="20"/>
                  <w:szCs w:val="20"/>
                  <w:lang w:val="en-GB"/>
                </w:rPr>
                <m:t xml:space="preserve"> </m:t>
              </m:r>
            </m:oMath>
            <w:r w:rsidR="002A50F7" w:rsidRPr="00C91565">
              <w:rPr>
                <w:rFonts w:ascii="Arial" w:eastAsiaTheme="minorEastAsia" w:hAnsi="Arial" w:cs="Arial"/>
                <w:i/>
                <w:iCs/>
                <w:sz w:val="20"/>
                <w:szCs w:val="20"/>
                <w:lang w:val="en-GB"/>
              </w:rPr>
              <w:t xml:space="preserve"> :</w:t>
            </w:r>
          </w:p>
        </w:tc>
        <w:tc>
          <w:tcPr>
            <w:tcW w:w="4212" w:type="dxa"/>
          </w:tcPr>
          <w:p w14:paraId="552E1B15"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Exchange Current Densities</w:t>
            </w:r>
          </w:p>
        </w:tc>
      </w:tr>
      <w:tr w:rsidR="002A50F7" w:rsidRPr="00C91565" w14:paraId="6C9A61F3" w14:textId="77777777" w:rsidTr="00CC3AFE">
        <w:tc>
          <w:tcPr>
            <w:tcW w:w="4212" w:type="dxa"/>
          </w:tcPr>
          <w:p w14:paraId="6194102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lastRenderedPageBreak/>
              <w:t>R</w:t>
            </w:r>
            <w:r w:rsidRPr="00C91565">
              <w:rPr>
                <w:rFonts w:ascii="Arial" w:hAnsi="Arial" w:cs="Arial"/>
                <w:i/>
                <w:iCs/>
                <w:sz w:val="20"/>
                <w:szCs w:val="20"/>
                <w:lang w:val="en-GB"/>
              </w:rPr>
              <w:t>:</w:t>
            </w:r>
          </w:p>
        </w:tc>
        <w:tc>
          <w:tcPr>
            <w:tcW w:w="4212" w:type="dxa"/>
          </w:tcPr>
          <w:p w14:paraId="083B78EA"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Gas Constant</w:t>
            </w:r>
          </w:p>
        </w:tc>
      </w:tr>
      <w:tr w:rsidR="002A50F7" w:rsidRPr="00C91565" w14:paraId="086BA8C6" w14:textId="77777777" w:rsidTr="00CC3AFE">
        <w:tc>
          <w:tcPr>
            <w:tcW w:w="4212" w:type="dxa"/>
          </w:tcPr>
          <w:p w14:paraId="79ACA946"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T</w:t>
            </w:r>
            <w:r w:rsidRPr="00C91565">
              <w:rPr>
                <w:rFonts w:ascii="Arial" w:hAnsi="Arial" w:cs="Arial"/>
                <w:i/>
                <w:iCs/>
                <w:sz w:val="20"/>
                <w:szCs w:val="20"/>
                <w:lang w:val="en-GB"/>
              </w:rPr>
              <w:t>:</w:t>
            </w:r>
          </w:p>
        </w:tc>
        <w:tc>
          <w:tcPr>
            <w:tcW w:w="4212" w:type="dxa"/>
          </w:tcPr>
          <w:p w14:paraId="6FE6E853"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Temperature</w:t>
            </w:r>
          </w:p>
        </w:tc>
      </w:tr>
      <w:tr w:rsidR="002A50F7" w:rsidRPr="00C91565" w14:paraId="1F952D18" w14:textId="77777777" w:rsidTr="00CC3AFE">
        <w:tc>
          <w:tcPr>
            <w:tcW w:w="4212" w:type="dxa"/>
          </w:tcPr>
          <w:p w14:paraId="253667B5" w14:textId="1F56CF30"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p</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333551F0"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Electrode Permeability</w:t>
            </w:r>
          </w:p>
        </w:tc>
      </w:tr>
      <w:tr w:rsidR="002A50F7" w:rsidRPr="00C91565" w14:paraId="16F31BEA" w14:textId="77777777" w:rsidTr="00CC3AFE">
        <w:tc>
          <w:tcPr>
            <w:tcW w:w="4212" w:type="dxa"/>
          </w:tcPr>
          <w:p w14:paraId="38EFC171" w14:textId="77777777" w:rsidR="002A50F7" w:rsidRPr="00C91565" w:rsidRDefault="002A50F7" w:rsidP="00CC3AFE">
            <w:pPr>
              <w:pStyle w:val="Body"/>
              <w:spacing w:after="0"/>
              <w:rPr>
                <w:rFonts w:ascii="Arial" w:hAnsi="Arial" w:cs="Arial"/>
                <w:b/>
                <w:bCs/>
                <w:i/>
                <w:iCs/>
                <w:sz w:val="20"/>
                <w:szCs w:val="20"/>
                <w:lang w:val="en-GB"/>
              </w:rPr>
            </w:pPr>
            <w:proofErr w:type="gramStart"/>
            <w:r w:rsidRPr="00C91565">
              <w:rPr>
                <w:rFonts w:ascii="Arial" w:hAnsi="Arial" w:cs="Arial"/>
                <w:i/>
                <w:iCs/>
                <w:sz w:val="20"/>
                <w:szCs w:val="20"/>
                <w:highlight w:val="white"/>
                <w:lang w:val="en-GB"/>
              </w:rPr>
              <w:t xml:space="preserve">ղ </w:t>
            </w:r>
            <w:r w:rsidRPr="00C91565">
              <w:rPr>
                <w:rFonts w:ascii="Arial" w:hAnsi="Arial" w:cs="Arial"/>
                <w:i/>
                <w:iCs/>
                <w:sz w:val="20"/>
                <w:szCs w:val="20"/>
                <w:lang w:val="en-GB"/>
              </w:rPr>
              <w:t>:</w:t>
            </w:r>
            <w:proofErr w:type="gramEnd"/>
          </w:p>
        </w:tc>
        <w:tc>
          <w:tcPr>
            <w:tcW w:w="4212" w:type="dxa"/>
          </w:tcPr>
          <w:p w14:paraId="60DCF014"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Gas Viscosity</w:t>
            </w:r>
          </w:p>
        </w:tc>
      </w:tr>
      <w:tr w:rsidR="002A50F7" w:rsidRPr="00C91565" w14:paraId="291D2406" w14:textId="77777777" w:rsidTr="00CC3AFE">
        <w:tc>
          <w:tcPr>
            <w:tcW w:w="4212" w:type="dxa"/>
          </w:tcPr>
          <w:p w14:paraId="0782A206" w14:textId="69D4E2C3" w:rsidR="002A50F7" w:rsidRPr="00C91565" w:rsidRDefault="002832C6" w:rsidP="00CC3AFE">
            <w:pPr>
              <w:pStyle w:val="Body"/>
              <w:spacing w:after="0"/>
              <w:rPr>
                <w:rFonts w:ascii="Arial" w:hAnsi="Arial" w:cs="Arial"/>
                <w:b/>
                <w:bCs/>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D</m:t>
                  </m:r>
                </m:e>
                <m:sub>
                  <m:r>
                    <w:rPr>
                      <w:rFonts w:ascii="Cambria Math" w:hAnsi="Cambria Math" w:cs="Arial"/>
                      <w:sz w:val="20"/>
                      <w:szCs w:val="20"/>
                      <w:lang w:val="en-GB"/>
                    </w:rPr>
                    <m:t>ij</m:t>
                  </m:r>
                </m:sub>
              </m:sSub>
            </m:oMath>
            <w:r w:rsidR="002A50F7" w:rsidRPr="00C91565">
              <w:rPr>
                <w:rFonts w:ascii="Arial" w:hAnsi="Arial" w:cs="Arial"/>
                <w:i/>
                <w:iCs/>
                <w:sz w:val="20"/>
                <w:szCs w:val="20"/>
                <w:highlight w:val="white"/>
                <w:lang w:val="en-GB"/>
              </w:rPr>
              <w:t xml:space="preserve"> </w:t>
            </w:r>
            <w:r w:rsidR="002A50F7" w:rsidRPr="00C91565">
              <w:rPr>
                <w:rFonts w:ascii="Arial" w:hAnsi="Arial" w:cs="Arial"/>
                <w:i/>
                <w:iCs/>
                <w:sz w:val="20"/>
                <w:szCs w:val="20"/>
                <w:lang w:val="en-GB"/>
              </w:rPr>
              <w:t>:</w:t>
            </w:r>
          </w:p>
        </w:tc>
        <w:tc>
          <w:tcPr>
            <w:tcW w:w="4212" w:type="dxa"/>
          </w:tcPr>
          <w:p w14:paraId="398E74A1" w14:textId="77777777" w:rsidR="002A50F7" w:rsidRPr="00C91565" w:rsidRDefault="002A50F7" w:rsidP="00CC3AFE">
            <w:pPr>
              <w:pStyle w:val="Body"/>
              <w:spacing w:after="0"/>
              <w:rPr>
                <w:rFonts w:ascii="Arial" w:hAnsi="Arial" w:cs="Arial"/>
                <w:b/>
                <w:bCs/>
                <w:i/>
                <w:iCs/>
                <w:sz w:val="20"/>
                <w:szCs w:val="20"/>
                <w:lang w:val="en-GB"/>
              </w:rPr>
            </w:pPr>
            <w:r w:rsidRPr="00C91565">
              <w:rPr>
                <w:rFonts w:ascii="Arial" w:hAnsi="Arial" w:cs="Arial"/>
                <w:i/>
                <w:iCs/>
                <w:sz w:val="20"/>
                <w:szCs w:val="20"/>
                <w:highlight w:val="white"/>
                <w:lang w:val="en-GB"/>
              </w:rPr>
              <w:t>Binary Maxwell-Stefan Diffusion</w:t>
            </w:r>
          </w:p>
        </w:tc>
      </w:tr>
      <w:tr w:rsidR="002A50F7" w:rsidRPr="00C91565" w14:paraId="4D5442A7" w14:textId="77777777" w:rsidTr="00CC3AFE">
        <w:tc>
          <w:tcPr>
            <w:tcW w:w="4212" w:type="dxa"/>
          </w:tcPr>
          <w:p w14:paraId="6B8894F1" w14:textId="7A56FFC0" w:rsidR="002A50F7" w:rsidRPr="00C91565" w:rsidRDefault="002832C6" w:rsidP="00CC3AFE">
            <w:pPr>
              <w:pStyle w:val="Body"/>
              <w:spacing w:after="0"/>
              <w:rPr>
                <w:rFonts w:ascii="Arial" w:eastAsiaTheme="minorEastAsia" w:hAnsi="Arial" w:cs="Arial"/>
                <w:i/>
                <w:iCs/>
                <w:sz w:val="20"/>
                <w:szCs w:val="20"/>
                <w:lang w:val="en-GB"/>
              </w:rPr>
            </w:pPr>
            <m:oMath>
              <m:sSub>
                <m:sSubPr>
                  <m:ctrlPr>
                    <w:rPr>
                      <w:rFonts w:ascii="Cambria Math" w:hAnsi="Cambria Math" w:cs="Arial"/>
                      <w:i/>
                      <w:iCs/>
                      <w:sz w:val="20"/>
                      <w:szCs w:val="20"/>
                      <w:lang w:val="en-GB"/>
                    </w:rPr>
                  </m:ctrlPr>
                </m:sSubPr>
                <m:e>
                  <m:r>
                    <w:rPr>
                      <w:rFonts w:ascii="Cambria Math" w:hAnsi="Cambria Math" w:cs="Arial"/>
                      <w:sz w:val="20"/>
                      <w:szCs w:val="20"/>
                      <w:lang w:val="en-GB"/>
                    </w:rPr>
                    <m:t>τ</m:t>
                  </m:r>
                </m:e>
                <m:sub>
                  <m:r>
                    <w:rPr>
                      <w:rFonts w:ascii="Cambria Math" w:hAnsi="Cambria Math" w:cs="Arial"/>
                      <w:sz w:val="20"/>
                      <w:szCs w:val="20"/>
                      <w:lang w:val="en-GB"/>
                    </w:rPr>
                    <m:t>g</m:t>
                  </m:r>
                </m:sub>
              </m:sSub>
            </m:oMath>
            <w:r w:rsidR="002A50F7" w:rsidRPr="00C91565">
              <w:rPr>
                <w:rFonts w:ascii="Arial" w:eastAsiaTheme="minorEastAsia" w:hAnsi="Arial" w:cs="Arial"/>
                <w:i/>
                <w:iCs/>
                <w:sz w:val="20"/>
                <w:szCs w:val="20"/>
                <w:lang w:val="en-GB"/>
              </w:rPr>
              <w:t xml:space="preserve"> :</w:t>
            </w:r>
          </w:p>
          <w:p w14:paraId="5DFBC45B" w14:textId="3C627BEF" w:rsidR="002F3976" w:rsidRPr="00C91565" w:rsidRDefault="002832C6" w:rsidP="002F3976">
            <w:pPr>
              <w:rPr>
                <w:rFonts w:ascii="Arial" w:hAnsi="Arial" w:cs="Arial"/>
                <w:i/>
                <w:iCs/>
                <w:lang w:val="en-GB"/>
              </w:rPr>
            </w:pPr>
            <m:oMathPara>
              <m:oMathParaPr>
                <m:jc m:val="left"/>
              </m:oMathParaPr>
              <m:oMath>
                <m:sSub>
                  <m:sSubPr>
                    <m:ctrlPr>
                      <w:rPr>
                        <w:rFonts w:ascii="Cambria Math" w:hAnsi="Cambria Math" w:cs="Arial"/>
                        <w:i/>
                        <w:iCs/>
                        <w:kern w:val="2"/>
                        <w:lang w:val="en-GB" w:eastAsia="zh-CN"/>
                      </w:rPr>
                    </m:ctrlPr>
                  </m:sSubPr>
                  <m:e>
                    <m:r>
                      <w:rPr>
                        <w:rFonts w:ascii="Cambria Math" w:hAnsi="Cambria Math" w:cs="Arial"/>
                        <w:kern w:val="2"/>
                        <w:lang w:val="en-GB" w:eastAsia="zh-CN"/>
                      </w:rPr>
                      <m:t>λ</m:t>
                    </m:r>
                  </m:e>
                  <m:sub>
                    <m:r>
                      <w:rPr>
                        <w:rFonts w:ascii="Cambria Math" w:hAnsi="Cambria Math" w:cs="Arial"/>
                        <w:kern w:val="2"/>
                        <w:lang w:val="en-GB" w:eastAsia="zh-CN"/>
                      </w:rPr>
                      <m:t>e</m:t>
                    </m:r>
                  </m:sub>
                </m:sSub>
                <m:r>
                  <w:rPr>
                    <w:rFonts w:ascii="Cambria Math" w:hAnsi="Cambria Math" w:cs="Arial"/>
                    <w:kern w:val="2"/>
                    <w:lang w:val="en-GB" w:eastAsia="zh-CN"/>
                  </w:rPr>
                  <m:t>:</m:t>
                </m:r>
              </m:oMath>
            </m:oMathPara>
          </w:p>
        </w:tc>
        <w:tc>
          <w:tcPr>
            <w:tcW w:w="4212" w:type="dxa"/>
          </w:tcPr>
          <w:p w14:paraId="67F6A569" w14:textId="77777777" w:rsidR="002F3976" w:rsidRPr="00C91565" w:rsidRDefault="002A50F7" w:rsidP="00CC3AFE">
            <w:pPr>
              <w:pStyle w:val="Body"/>
              <w:spacing w:after="0"/>
              <w:rPr>
                <w:rFonts w:ascii="Arial" w:hAnsi="Arial" w:cs="Arial"/>
                <w:i/>
                <w:iCs/>
                <w:sz w:val="20"/>
                <w:szCs w:val="20"/>
                <w:lang w:val="en-GB"/>
              </w:rPr>
            </w:pPr>
            <w:r w:rsidRPr="00C91565">
              <w:rPr>
                <w:rFonts w:ascii="Arial" w:hAnsi="Arial" w:cs="Arial"/>
                <w:i/>
                <w:iCs/>
                <w:sz w:val="20"/>
                <w:szCs w:val="20"/>
                <w:highlight w:val="white"/>
                <w:lang w:val="en-GB"/>
              </w:rPr>
              <w:t>Tortuosity</w:t>
            </w:r>
          </w:p>
          <w:p w14:paraId="2A2030AB" w14:textId="5DDA21B2" w:rsidR="002F3976" w:rsidRPr="00C91565" w:rsidRDefault="002F3976" w:rsidP="002F3976">
            <w:pPr>
              <w:rPr>
                <w:rFonts w:ascii="Arial" w:hAnsi="Arial" w:cs="Arial"/>
                <w:i/>
                <w:iCs/>
                <w:kern w:val="2"/>
                <w:sz w:val="20"/>
                <w:szCs w:val="20"/>
                <w:lang w:val="en-GB" w:eastAsia="zh-CN"/>
              </w:rPr>
            </w:pPr>
            <w:r w:rsidRPr="00C91565">
              <w:rPr>
                <w:rFonts w:ascii="Arial" w:hAnsi="Arial" w:cs="Arial"/>
                <w:i/>
                <w:iCs/>
                <w:kern w:val="2"/>
                <w:sz w:val="20"/>
                <w:szCs w:val="20"/>
                <w:lang w:val="en-GB" w:eastAsia="zh-CN"/>
              </w:rPr>
              <w:t>describes the equilibrium between electrochemical kinetics and mass transport.</w:t>
            </w:r>
          </w:p>
          <w:p w14:paraId="1EA8D085" w14:textId="23551FDD" w:rsidR="002F3976" w:rsidRPr="00C91565" w:rsidRDefault="002F3976" w:rsidP="00CC3AFE">
            <w:pPr>
              <w:pStyle w:val="Body"/>
              <w:spacing w:after="0"/>
              <w:rPr>
                <w:rFonts w:ascii="Arial" w:hAnsi="Arial" w:cs="Arial"/>
                <w:i/>
                <w:iCs/>
                <w:sz w:val="20"/>
                <w:szCs w:val="20"/>
                <w:lang w:val="en-GB"/>
              </w:rPr>
            </w:pPr>
          </w:p>
        </w:tc>
      </w:tr>
    </w:tbl>
    <w:p w14:paraId="135800E0" w14:textId="77777777" w:rsidR="002A50F7" w:rsidRPr="00C91565" w:rsidRDefault="002A50F7" w:rsidP="00441B6F">
      <w:pPr>
        <w:pStyle w:val="Body"/>
        <w:spacing w:after="0"/>
        <w:rPr>
          <w:rFonts w:ascii="Arial" w:hAnsi="Arial" w:cs="Arial"/>
          <w:i/>
          <w:sz w:val="18"/>
        </w:rPr>
      </w:pPr>
    </w:p>
    <w:p w14:paraId="7B32BA66" w14:textId="77777777" w:rsidR="0024282C" w:rsidRPr="00C91565" w:rsidRDefault="0024282C" w:rsidP="00441B6F">
      <w:pPr>
        <w:pStyle w:val="Body"/>
        <w:spacing w:after="0"/>
        <w:rPr>
          <w:rFonts w:ascii="Arial" w:hAnsi="Arial" w:cs="Arial"/>
          <w:i/>
          <w:sz w:val="18"/>
        </w:rPr>
      </w:pPr>
    </w:p>
    <w:p w14:paraId="6425D32A" w14:textId="77777777" w:rsidR="00505F06" w:rsidRPr="00C91565" w:rsidRDefault="00505F06" w:rsidP="00441B6F">
      <w:pPr>
        <w:pStyle w:val="Body"/>
        <w:spacing w:after="0"/>
        <w:rPr>
          <w:rFonts w:ascii="Arial" w:hAnsi="Arial" w:cs="Arial"/>
          <w:i/>
        </w:rPr>
      </w:pPr>
    </w:p>
    <w:p w14:paraId="1A22D2B1" w14:textId="0AA9D7EA" w:rsidR="007F7B32" w:rsidRPr="00C91565" w:rsidRDefault="00902823" w:rsidP="00441B6F">
      <w:pPr>
        <w:pStyle w:val="AbstHead"/>
        <w:spacing w:after="0"/>
        <w:jc w:val="both"/>
        <w:rPr>
          <w:rFonts w:ascii="Arial" w:hAnsi="Arial" w:cs="Arial"/>
        </w:rPr>
      </w:pPr>
      <w:r w:rsidRPr="00C91565">
        <w:rPr>
          <w:rFonts w:ascii="Arial" w:hAnsi="Arial" w:cs="Arial"/>
        </w:rPr>
        <w:t xml:space="preserve">1. </w:t>
      </w:r>
      <w:r w:rsidR="00B01FCD" w:rsidRPr="00C91565">
        <w:rPr>
          <w:rFonts w:ascii="Arial" w:hAnsi="Arial" w:cs="Arial"/>
        </w:rPr>
        <w:t>INTRODUCTION</w:t>
      </w:r>
      <w:r w:rsidR="007F7B32" w:rsidRPr="00C91565">
        <w:rPr>
          <w:rFonts w:ascii="Arial" w:hAnsi="Arial" w:cs="Arial"/>
        </w:rPr>
        <w:t xml:space="preserve"> </w:t>
      </w:r>
    </w:p>
    <w:p w14:paraId="44F9A160" w14:textId="77777777" w:rsidR="00790ADA" w:rsidRPr="00C91565" w:rsidRDefault="00790ADA" w:rsidP="00441B6F">
      <w:pPr>
        <w:pStyle w:val="AbstHead"/>
        <w:spacing w:after="0"/>
        <w:jc w:val="both"/>
        <w:rPr>
          <w:rFonts w:ascii="Arial" w:hAnsi="Arial" w:cs="Arial"/>
        </w:rPr>
      </w:pPr>
    </w:p>
    <w:p w14:paraId="129A43EB" w14:textId="6011A493" w:rsidR="00790ADA" w:rsidRPr="00C91565" w:rsidRDefault="002A50F7" w:rsidP="00441B6F">
      <w:pPr>
        <w:pStyle w:val="Body"/>
        <w:spacing w:after="0"/>
        <w:rPr>
          <w:rFonts w:ascii="Arial" w:hAnsi="Arial" w:cs="Arial"/>
          <w:lang w:val="en-GB"/>
        </w:rPr>
      </w:pPr>
      <w:r w:rsidRPr="00C91565">
        <w:rPr>
          <w:rFonts w:ascii="Arial" w:hAnsi="Arial" w:cs="Arial"/>
          <w:lang w:val="en-GB"/>
        </w:rPr>
        <w:t xml:space="preserve">Proton exchange membrane (PEM) fuel cells are electrochemical devices that convert hydrogen into electricity with high efficiency and low environmental impact. Due to their relatively low operating temperature (60–80°C), high efficiency (40–60%), and </w:t>
      </w:r>
      <w:proofErr w:type="spellStart"/>
      <w:r w:rsidRPr="00C91565">
        <w:rPr>
          <w:rFonts w:ascii="Arial" w:hAnsi="Arial" w:cs="Arial"/>
          <w:lang w:val="en-GB"/>
        </w:rPr>
        <w:t>highpower</w:t>
      </w:r>
      <w:proofErr w:type="spellEnd"/>
      <w:r w:rsidRPr="00C91565">
        <w:rPr>
          <w:rFonts w:ascii="Arial" w:hAnsi="Arial" w:cs="Arial"/>
          <w:lang w:val="en-GB"/>
        </w:rPr>
        <w:t xml:space="preserve"> density, PEMFCs are considered promising candidates for automotive, portable, and stationary applications (</w:t>
      </w:r>
      <w:proofErr w:type="spellStart"/>
      <w:r w:rsidRPr="00C91565">
        <w:rPr>
          <w:rFonts w:ascii="Arial" w:hAnsi="Arial" w:cs="Arial"/>
          <w:lang w:val="en-GB"/>
        </w:rPr>
        <w:t>Alaswad</w:t>
      </w:r>
      <w:proofErr w:type="spellEnd"/>
      <w:r w:rsidRPr="00C91565">
        <w:rPr>
          <w:rFonts w:ascii="Arial" w:hAnsi="Arial" w:cs="Arial"/>
          <w:lang w:val="en-GB"/>
        </w:rPr>
        <w:t xml:space="preserve"> et al., 2021; Yang et al., 2022). Within these systems, the gas diffusion layer (GDL) plays a critical role in ensuring reactant transport, water management, and uniform current distribution</w:t>
      </w:r>
      <w:r w:rsidR="00C204A2" w:rsidRPr="00C91565">
        <w:rPr>
          <w:rFonts w:ascii="Arial" w:hAnsi="Arial" w:cs="Arial"/>
          <w:lang w:val="en-GB"/>
        </w:rPr>
        <w:t>.</w:t>
      </w:r>
    </w:p>
    <w:p w14:paraId="6CE0D97C" w14:textId="7E948E98" w:rsidR="00C204A2" w:rsidRPr="00C91565" w:rsidRDefault="00C204A2" w:rsidP="00C204A2">
      <w:pPr>
        <w:pStyle w:val="Body"/>
        <w:spacing w:after="0"/>
        <w:rPr>
          <w:rFonts w:ascii="Arial" w:hAnsi="Arial" w:cs="Arial"/>
          <w:lang w:val="en-GB"/>
        </w:rPr>
      </w:pPr>
      <w:bookmarkStart w:id="1" w:name="_Hlk226285150"/>
      <w:r w:rsidRPr="00C91565">
        <w:rPr>
          <w:rFonts w:ascii="Arial" w:hAnsi="Arial" w:cs="Arial"/>
          <w:lang w:val="en-GB"/>
        </w:rPr>
        <w:t xml:space="preserve">Indeed, the GDL, consisting of a porous </w:t>
      </w:r>
      <w:proofErr w:type="spellStart"/>
      <w:r w:rsidRPr="00C91565">
        <w:rPr>
          <w:rFonts w:ascii="Arial" w:hAnsi="Arial" w:cs="Arial"/>
          <w:lang w:val="en-GB"/>
        </w:rPr>
        <w:t>microfibrous</w:t>
      </w:r>
      <w:proofErr w:type="spellEnd"/>
      <w:r w:rsidRPr="00C91565">
        <w:rPr>
          <w:rFonts w:ascii="Arial" w:hAnsi="Arial" w:cs="Arial"/>
          <w:lang w:val="en-GB"/>
        </w:rPr>
        <w:t xml:space="preserve"> substrate combined with a micro-</w:t>
      </w:r>
      <w:proofErr w:type="spellStart"/>
      <w:r w:rsidRPr="00C91565">
        <w:rPr>
          <w:rFonts w:ascii="Arial" w:hAnsi="Arial" w:cs="Arial"/>
          <w:lang w:val="en-GB"/>
        </w:rPr>
        <w:t>nanoporous</w:t>
      </w:r>
      <w:proofErr w:type="spellEnd"/>
      <w:r w:rsidRPr="00C91565">
        <w:rPr>
          <w:rFonts w:ascii="Arial" w:hAnsi="Arial" w:cs="Arial"/>
          <w:lang w:val="en-GB"/>
        </w:rPr>
        <w:t xml:space="preserve"> layer, improves gas distribution (</w:t>
      </w:r>
      <w:r w:rsidR="0027353B" w:rsidRPr="00C91565">
        <w:rPr>
          <w:rFonts w:ascii="Arial" w:hAnsi="Arial" w:cs="Arial"/>
          <w:lang w:val="en-GB"/>
        </w:rPr>
        <w:t>Shu</w:t>
      </w:r>
      <w:r w:rsidR="00BC76CA" w:rsidRPr="00C91565">
        <w:rPr>
          <w:rFonts w:ascii="Arial" w:hAnsi="Arial" w:cs="Arial"/>
          <w:lang w:val="en-GB"/>
        </w:rPr>
        <w:t xml:space="preserve"> </w:t>
      </w:r>
      <w:r w:rsidRPr="00C91565">
        <w:rPr>
          <w:rFonts w:ascii="Arial" w:hAnsi="Arial" w:cs="Arial"/>
          <w:lang w:val="en-GB"/>
        </w:rPr>
        <w:t>et al., 202</w:t>
      </w:r>
      <w:r w:rsidR="0027353B" w:rsidRPr="00C91565">
        <w:rPr>
          <w:rFonts w:ascii="Arial" w:hAnsi="Arial" w:cs="Arial"/>
          <w:lang w:val="en-GB"/>
        </w:rPr>
        <w:t>1</w:t>
      </w:r>
      <w:r w:rsidRPr="00C91565">
        <w:rPr>
          <w:rFonts w:ascii="Arial" w:hAnsi="Arial" w:cs="Arial"/>
          <w:lang w:val="en-GB"/>
        </w:rPr>
        <w:t xml:space="preserve">). GDLs are manufactured from porous materials with good electrical conductivity and an anisotropic porous microstructure (Xiao et al., 2022). Its primary function is to effectively remove water from fuel cells during operation (Santamaria et al., 2014). It also facilitates the diffusion of reactants and the removal of reaction products while ensuring uniform current distribution (Zhang et al., 2021; </w:t>
      </w:r>
      <w:proofErr w:type="spellStart"/>
      <w:r w:rsidRPr="00C91565">
        <w:rPr>
          <w:rFonts w:ascii="Arial" w:hAnsi="Arial" w:cs="Arial"/>
          <w:lang w:val="en-GB"/>
        </w:rPr>
        <w:t>Ozden</w:t>
      </w:r>
      <w:proofErr w:type="spellEnd"/>
      <w:r w:rsidRPr="00C91565">
        <w:rPr>
          <w:rFonts w:ascii="Arial" w:hAnsi="Arial" w:cs="Arial"/>
          <w:lang w:val="en-GB"/>
        </w:rPr>
        <w:t xml:space="preserve"> et al., 2019). Experimental studies by </w:t>
      </w:r>
      <w:proofErr w:type="spellStart"/>
      <w:r w:rsidRPr="00C91565">
        <w:rPr>
          <w:rFonts w:ascii="Arial" w:hAnsi="Arial" w:cs="Arial"/>
          <w:lang w:val="en-GB"/>
        </w:rPr>
        <w:t>Molaeimanesh</w:t>
      </w:r>
      <w:proofErr w:type="spellEnd"/>
      <w:r w:rsidRPr="00C91565">
        <w:rPr>
          <w:rFonts w:ascii="Arial" w:hAnsi="Arial" w:cs="Arial"/>
          <w:lang w:val="en-GB"/>
        </w:rPr>
        <w:t xml:space="preserve"> et al., 2017 demonstrated the significant effect of GDL structural parameters and material characteristics on species transport. </w:t>
      </w:r>
    </w:p>
    <w:p w14:paraId="0E15ED2D" w14:textId="09C0A415" w:rsidR="00C204A2" w:rsidRPr="00C91565" w:rsidRDefault="00C204A2" w:rsidP="00C204A2">
      <w:pPr>
        <w:pStyle w:val="Body"/>
        <w:spacing w:after="0"/>
        <w:rPr>
          <w:rFonts w:ascii="Arial" w:hAnsi="Arial" w:cs="Arial"/>
          <w:lang w:val="en-GB"/>
        </w:rPr>
      </w:pPr>
      <w:r w:rsidRPr="00C91565">
        <w:rPr>
          <w:rFonts w:ascii="Arial" w:hAnsi="Arial" w:cs="Arial"/>
          <w:lang w:val="en-GB"/>
        </w:rPr>
        <w:t>Numerous studies have investigated the influence of GDL microstructure on transport phenomena in PEMFCs. In particular, tortuosity has been identified as a key parameter affecting gas diffusion and water transport (</w:t>
      </w:r>
      <w:proofErr w:type="spellStart"/>
      <w:r w:rsidRPr="00C91565">
        <w:rPr>
          <w:rFonts w:ascii="Arial" w:hAnsi="Arial" w:cs="Arial"/>
          <w:lang w:val="en-GB"/>
        </w:rPr>
        <w:t>Tayarani-Yoosefabadi</w:t>
      </w:r>
      <w:proofErr w:type="spellEnd"/>
      <w:r w:rsidRPr="00C91565">
        <w:rPr>
          <w:rFonts w:ascii="Arial" w:hAnsi="Arial" w:cs="Arial"/>
          <w:lang w:val="en-GB"/>
        </w:rPr>
        <w:t xml:space="preserve"> et al., 2016; </w:t>
      </w:r>
      <w:proofErr w:type="spellStart"/>
      <w:r w:rsidRPr="00C91565">
        <w:rPr>
          <w:rFonts w:ascii="Arial" w:hAnsi="Arial" w:cs="Arial"/>
          <w:lang w:val="en-GB"/>
        </w:rPr>
        <w:t>Arvay</w:t>
      </w:r>
      <w:proofErr w:type="spellEnd"/>
      <w:r w:rsidRPr="00C91565">
        <w:rPr>
          <w:rFonts w:ascii="Arial" w:hAnsi="Arial" w:cs="Arial"/>
          <w:lang w:val="en-GB"/>
        </w:rPr>
        <w:t xml:space="preserve"> et al., 2012). High tortuosity increases transport resistance and limits reactant access to catalytic sites (Yu et al., 2012), while anisotropic tortuosity can lead to heterogeneous species distribution (Ramaswamy et al., 2020).</w:t>
      </w:r>
      <w:r w:rsidR="001834C1" w:rsidRPr="00C91565">
        <w:rPr>
          <w:rFonts w:ascii="Arial" w:hAnsi="Arial" w:cs="Arial"/>
          <w:lang w:val="en-GB"/>
        </w:rPr>
        <w:t xml:space="preserve"> This means that the performance of PEM fuel cells can be better or worse depending on the orientation of the GDL relative to the gas flow.</w:t>
      </w:r>
    </w:p>
    <w:p w14:paraId="62969C99" w14:textId="77777777" w:rsidR="00C204A2" w:rsidRPr="00C91565" w:rsidRDefault="00C204A2" w:rsidP="00C204A2">
      <w:pPr>
        <w:pStyle w:val="Body"/>
        <w:spacing w:after="0"/>
        <w:rPr>
          <w:rFonts w:ascii="Arial" w:hAnsi="Arial" w:cs="Arial"/>
          <w:lang w:val="en-GB"/>
        </w:rPr>
      </w:pPr>
      <w:r w:rsidRPr="00C91565">
        <w:rPr>
          <w:rFonts w:ascii="Arial" w:hAnsi="Arial" w:cs="Arial"/>
          <w:lang w:val="en-GB"/>
        </w:rPr>
        <w:t>Due to its fibrous structure, GDL exhibits high anisotropy, which results in distinct transport mechanisms for gaseous species, electrons, heat, and water (</w:t>
      </w:r>
      <w:proofErr w:type="spellStart"/>
      <w:r w:rsidRPr="00C91565">
        <w:rPr>
          <w:rFonts w:ascii="Arial" w:hAnsi="Arial" w:cs="Arial"/>
          <w:lang w:val="en-GB"/>
        </w:rPr>
        <w:t>Majlan</w:t>
      </w:r>
      <w:proofErr w:type="spellEnd"/>
      <w:r w:rsidRPr="00C91565">
        <w:rPr>
          <w:rFonts w:ascii="Arial" w:hAnsi="Arial" w:cs="Arial"/>
          <w:lang w:val="en-GB"/>
        </w:rPr>
        <w:t xml:space="preserve"> et al., 2018). For example, </w:t>
      </w:r>
      <w:proofErr w:type="spellStart"/>
      <w:r w:rsidRPr="00C91565">
        <w:rPr>
          <w:rFonts w:ascii="Arial" w:hAnsi="Arial" w:cs="Arial"/>
          <w:lang w:val="en-GB"/>
        </w:rPr>
        <w:t>Nabovat</w:t>
      </w:r>
      <w:proofErr w:type="spellEnd"/>
      <w:r w:rsidRPr="00C91565">
        <w:rPr>
          <w:rFonts w:ascii="Arial" w:hAnsi="Arial" w:cs="Arial"/>
          <w:lang w:val="en-GB"/>
        </w:rPr>
        <w:t xml:space="preserve"> et al. (2014) demonstrated that tortuosity affects the path of protons in the catalytic layer and that of electrons in the carbon </w:t>
      </w:r>
      <w:proofErr w:type="spellStart"/>
      <w:r w:rsidRPr="00C91565">
        <w:rPr>
          <w:rFonts w:ascii="Arial" w:hAnsi="Arial" w:cs="Arial"/>
          <w:lang w:val="en-GB"/>
        </w:rPr>
        <w:t>fibers</w:t>
      </w:r>
      <w:proofErr w:type="spellEnd"/>
      <w:r w:rsidRPr="00C91565">
        <w:rPr>
          <w:rFonts w:ascii="Arial" w:hAnsi="Arial" w:cs="Arial"/>
          <w:lang w:val="en-GB"/>
        </w:rPr>
        <w:t xml:space="preserve"> of the GDL. </w:t>
      </w:r>
    </w:p>
    <w:p w14:paraId="3C534374" w14:textId="3DCA386B" w:rsidR="00177E5A" w:rsidRPr="00C91565" w:rsidRDefault="001834C1" w:rsidP="0071526A">
      <w:pPr>
        <w:jc w:val="both"/>
        <w:rPr>
          <w:rFonts w:ascii="Arial" w:hAnsi="Arial" w:cs="Arial"/>
        </w:rPr>
      </w:pPr>
      <w:r w:rsidRPr="00C91565">
        <w:rPr>
          <w:rFonts w:ascii="Arial" w:hAnsi="Arial" w:cs="Arial"/>
        </w:rPr>
        <w:t xml:space="preserve"> (</w:t>
      </w:r>
      <w:r w:rsidRPr="00C91565">
        <w:rPr>
          <w:rFonts w:ascii="Arial" w:hAnsi="Arial" w:cs="Arial"/>
          <w:shd w:val="clear" w:color="auto" w:fill="FFFFFF"/>
        </w:rPr>
        <w:t xml:space="preserve">Wang et al., 2017, Zhao et al., 2018, Jing et al., 2024) </w:t>
      </w:r>
      <w:r w:rsidRPr="00C91565">
        <w:rPr>
          <w:rFonts w:ascii="Arial" w:hAnsi="Arial" w:cs="Arial"/>
        </w:rPr>
        <w:t>have shown that tortuosity affects the diffusion of reactants such as oxygen and hydrogen, which has an impact on cell efficiency. In the case of anisotropic tortuosity, i.e. Anisotropy induced by tortuosity can lead to differences in gas diffusion, affecting the distribution of reactants on the catalytic surface</w:t>
      </w:r>
      <w:r w:rsidRPr="00C91565">
        <w:rPr>
          <w:rFonts w:ascii="Arial" w:hAnsi="Arial" w:cs="Arial"/>
          <w:vertAlign w:val="superscript"/>
        </w:rPr>
        <w:t xml:space="preserve"> </w:t>
      </w:r>
      <w:r w:rsidRPr="00C91565">
        <w:rPr>
          <w:rFonts w:ascii="Arial" w:hAnsi="Arial" w:cs="Arial"/>
        </w:rPr>
        <w:t>(Pant et al., 2011, Niblett et al., 2019). This leads to areas that are underfed with oxygen, creating ‘hot spots’ where the electrochemical reaction is less efficient</w:t>
      </w:r>
      <w:bookmarkEnd w:id="1"/>
      <w:r w:rsidRPr="00C91565">
        <w:rPr>
          <w:rFonts w:ascii="Arial" w:hAnsi="Arial" w:cs="Arial"/>
        </w:rPr>
        <w:t>.</w:t>
      </w:r>
    </w:p>
    <w:p w14:paraId="1F7614D2" w14:textId="42A34141" w:rsidR="00177E5A" w:rsidRPr="00C91565" w:rsidRDefault="00177E5A" w:rsidP="0071526A">
      <w:pPr>
        <w:jc w:val="both"/>
        <w:rPr>
          <w:rFonts w:ascii="Arial" w:hAnsi="Arial" w:cs="Arial"/>
        </w:rPr>
      </w:pPr>
      <w:bookmarkStart w:id="2" w:name="_Hlk226279863"/>
      <w:r w:rsidRPr="00C91565">
        <w:rPr>
          <w:rFonts w:ascii="Arial" w:hAnsi="Arial" w:cs="Arial"/>
        </w:rPr>
        <w:t>Despite these advances, the role of tortuosity, particularly its anisotropic nature, remains insufficiently characterized in many existing models, which often rely on simplified or isotropic assumptions. This limits the accurate prediction of species transport and performance under realistic operating conditions.</w:t>
      </w:r>
      <w:bookmarkEnd w:id="2"/>
    </w:p>
    <w:p w14:paraId="411ABD08" w14:textId="16D0A5BE" w:rsidR="00177E5A" w:rsidRPr="00C91565" w:rsidRDefault="00177E5A" w:rsidP="0071526A">
      <w:pPr>
        <w:jc w:val="both"/>
        <w:rPr>
          <w:rFonts w:ascii="Arial" w:hAnsi="Arial" w:cs="Arial"/>
          <w:bCs/>
          <w:sz w:val="24"/>
          <w:szCs w:val="24"/>
        </w:rPr>
      </w:pPr>
      <w:bookmarkStart w:id="3" w:name="_Hlk226279880"/>
      <w:r w:rsidRPr="00C91565">
        <w:rPr>
          <w:rFonts w:ascii="Arial" w:hAnsi="Arial" w:cs="Arial"/>
        </w:rPr>
        <w:t xml:space="preserve">This study aims to investigate the impact of isotropic and anisotropic tortuosity on species transport in GDLs using a numerical model developed in COMSOL Multiphysics. The model </w:t>
      </w:r>
      <w:r w:rsidRPr="00C91565">
        <w:rPr>
          <w:rFonts w:ascii="Arial" w:hAnsi="Arial" w:cs="Arial"/>
        </w:rPr>
        <w:lastRenderedPageBreak/>
        <w:t>incorporates mass transport, pressure losses, and structural parameters to provide a comprehensive analysis of PEMFC performance. The remainder of this paper is organized as follows: Section 2 presents the model formulation, Section 3 discusses the results, and Section 4 concludes the study.</w:t>
      </w:r>
    </w:p>
    <w:bookmarkEnd w:id="3"/>
    <w:p w14:paraId="1C91B158" w14:textId="77777777" w:rsidR="00177E5A" w:rsidRPr="00C91565" w:rsidRDefault="00177E5A" w:rsidP="00C204A2">
      <w:pPr>
        <w:rPr>
          <w:rFonts w:ascii="Arial" w:hAnsi="Arial" w:cs="Arial"/>
        </w:rPr>
      </w:pPr>
    </w:p>
    <w:p w14:paraId="432C5448" w14:textId="07FCF134" w:rsidR="007F7B32" w:rsidRPr="00C91565" w:rsidRDefault="00902823" w:rsidP="00441B6F">
      <w:pPr>
        <w:pStyle w:val="AbstHead"/>
        <w:spacing w:after="0"/>
        <w:jc w:val="both"/>
        <w:rPr>
          <w:rFonts w:ascii="Arial" w:hAnsi="Arial" w:cs="Arial"/>
        </w:rPr>
      </w:pPr>
      <w:r w:rsidRPr="00C91565">
        <w:rPr>
          <w:rFonts w:ascii="Arial" w:hAnsi="Arial" w:cs="Arial"/>
        </w:rPr>
        <w:t xml:space="preserve">2. </w:t>
      </w:r>
      <w:r w:rsidR="006B57D0" w:rsidRPr="00C91565">
        <w:rPr>
          <w:rFonts w:ascii="Arial" w:hAnsi="Arial" w:cs="Arial"/>
        </w:rPr>
        <w:t>methodology</w:t>
      </w:r>
      <w:r w:rsidR="007F7B32" w:rsidRPr="00C91565">
        <w:rPr>
          <w:rFonts w:ascii="Arial" w:hAnsi="Arial" w:cs="Arial"/>
        </w:rPr>
        <w:t xml:space="preserve"> </w:t>
      </w:r>
    </w:p>
    <w:p w14:paraId="184EDAA2" w14:textId="77777777" w:rsidR="0071526A" w:rsidRPr="00C91565" w:rsidRDefault="0071526A" w:rsidP="00441B6F">
      <w:pPr>
        <w:pStyle w:val="AbstHead"/>
        <w:spacing w:after="0"/>
        <w:jc w:val="both"/>
        <w:rPr>
          <w:rFonts w:ascii="Arial" w:hAnsi="Arial" w:cs="Arial"/>
        </w:rPr>
      </w:pPr>
    </w:p>
    <w:p w14:paraId="2EE3BB52" w14:textId="6447AEE8" w:rsidR="0071526A" w:rsidRPr="00C91565" w:rsidRDefault="0071526A" w:rsidP="0071526A">
      <w:pPr>
        <w:tabs>
          <w:tab w:val="left" w:pos="1488"/>
        </w:tabs>
        <w:rPr>
          <w:rFonts w:ascii="Arial" w:hAnsi="Arial" w:cs="Arial"/>
        </w:rPr>
      </w:pPr>
      <w:r w:rsidRPr="00C91565">
        <w:rPr>
          <w:rFonts w:ascii="Arial" w:hAnsi="Arial" w:cs="Arial"/>
          <w:b/>
          <w:bCs/>
        </w:rPr>
        <w:t>2.1. PEMFC prototype serving as voltage and current measurements</w:t>
      </w:r>
    </w:p>
    <w:p w14:paraId="1ABAEC68" w14:textId="77777777" w:rsidR="0071526A" w:rsidRPr="00C91565" w:rsidRDefault="0071526A" w:rsidP="0071526A">
      <w:pPr>
        <w:spacing w:before="100" w:beforeAutospacing="1" w:after="100" w:afterAutospacing="1"/>
        <w:rPr>
          <w:rFonts w:ascii="Arial" w:hAnsi="Arial" w:cs="Arial"/>
        </w:rPr>
      </w:pPr>
      <w:r w:rsidRPr="00C91565">
        <w:rPr>
          <w:rFonts w:ascii="Arial" w:hAnsi="Arial" w:cs="Arial"/>
        </w:rPr>
        <w:t>Figure 1 presents the experimental setup consisting of a 50 W proton exchange membrane fuel cell (PEMFC) system used for voltage and current measurements. The system is composed of three main units: (</w:t>
      </w:r>
      <w:proofErr w:type="spellStart"/>
      <w:r w:rsidRPr="00C91565">
        <w:rPr>
          <w:rFonts w:ascii="Arial" w:hAnsi="Arial" w:cs="Arial"/>
        </w:rPr>
        <w:t>i</w:t>
      </w:r>
      <w:proofErr w:type="spellEnd"/>
      <w:r w:rsidRPr="00C91565">
        <w:rPr>
          <w:rFonts w:ascii="Arial" w:hAnsi="Arial" w:cs="Arial"/>
        </w:rPr>
        <w:t>) an electrolysis unit, (ii) an electronic control unit, and (iii) a fuel cell stack.</w:t>
      </w:r>
    </w:p>
    <w:p w14:paraId="1D5DCAA0" w14:textId="77777777" w:rsidR="0071526A" w:rsidRPr="00C91565" w:rsidRDefault="0071526A" w:rsidP="0071526A">
      <w:pPr>
        <w:pStyle w:val="13Text"/>
        <w:spacing w:line="240" w:lineRule="auto"/>
        <w:ind w:firstLine="200"/>
        <w:rPr>
          <w:rFonts w:ascii="Arial" w:hAnsi="Arial" w:cs="Arial"/>
          <w:b/>
          <w:bCs/>
          <w:snapToGrid w:val="0"/>
        </w:rPr>
      </w:pPr>
      <w:r w:rsidRPr="00C91565">
        <w:rPr>
          <w:rFonts w:ascii="Arial" w:hAnsi="Arial" w:cs="Arial"/>
          <w:noProof/>
          <w:highlight w:val="white"/>
          <w:lang w:val="en-US" w:eastAsia="en-US"/>
        </w:rPr>
        <w:drawing>
          <wp:inline distT="0" distB="0" distL="0" distR="0" wp14:anchorId="6D7CC682" wp14:editId="66D8677B">
            <wp:extent cx="5212080" cy="2743200"/>
            <wp:effectExtent l="0" t="0" r="0" b="0"/>
            <wp:docPr id="7744325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2547" name="Image 774432547"/>
                    <pic:cNvPicPr/>
                  </pic:nvPicPr>
                  <pic:blipFill>
                    <a:blip r:embed="rId14">
                      <a:extLst>
                        <a:ext uri="{28A0092B-C50C-407E-A947-70E740481C1C}">
                          <a14:useLocalDpi xmlns:a14="http://schemas.microsoft.com/office/drawing/2010/main" val="0"/>
                        </a:ext>
                      </a:extLst>
                    </a:blip>
                    <a:stretch>
                      <a:fillRect/>
                    </a:stretch>
                  </pic:blipFill>
                  <pic:spPr>
                    <a:xfrm>
                      <a:off x="0" y="0"/>
                      <a:ext cx="5212080" cy="2743200"/>
                    </a:xfrm>
                    <a:prstGeom prst="rect">
                      <a:avLst/>
                    </a:prstGeom>
                  </pic:spPr>
                </pic:pic>
              </a:graphicData>
            </a:graphic>
          </wp:inline>
        </w:drawing>
      </w:r>
    </w:p>
    <w:p w14:paraId="63800E3C" w14:textId="62BE2E20" w:rsidR="0071526A" w:rsidRPr="00C91565" w:rsidRDefault="00B2739C" w:rsidP="0071526A">
      <w:pPr>
        <w:pStyle w:val="13Text"/>
        <w:spacing w:line="240" w:lineRule="auto"/>
        <w:ind w:firstLine="201"/>
        <w:rPr>
          <w:rFonts w:ascii="Arial" w:hAnsi="Arial" w:cs="Arial"/>
          <w:iCs/>
          <w:snapToGrid w:val="0"/>
        </w:rPr>
      </w:pPr>
      <w:r>
        <w:rPr>
          <w:rFonts w:ascii="Arial" w:hAnsi="Arial" w:cs="Arial"/>
          <w:b/>
          <w:bCs/>
          <w:iCs/>
          <w:snapToGrid w:val="0"/>
          <w:highlight w:val="white"/>
        </w:rPr>
        <w:t xml:space="preserve">Fig </w:t>
      </w:r>
      <w:r w:rsidR="0071526A" w:rsidRPr="00B2739C">
        <w:rPr>
          <w:rFonts w:ascii="Arial" w:hAnsi="Arial" w:cs="Arial"/>
          <w:b/>
          <w:bCs/>
          <w:iCs/>
          <w:snapToGrid w:val="0"/>
          <w:highlight w:val="white"/>
        </w:rPr>
        <w:t>1.</w:t>
      </w:r>
      <w:r w:rsidR="0071526A" w:rsidRPr="00C91565">
        <w:rPr>
          <w:rFonts w:ascii="Arial" w:hAnsi="Arial" w:cs="Arial"/>
          <w:bCs/>
          <w:iCs/>
          <w:snapToGrid w:val="0"/>
          <w:highlight w:val="white"/>
        </w:rPr>
        <w:t xml:space="preserve"> Voltage</w:t>
      </w:r>
      <w:r w:rsidR="0071526A" w:rsidRPr="00C91565">
        <w:rPr>
          <w:rFonts w:ascii="Arial" w:hAnsi="Arial" w:cs="Arial"/>
          <w:iCs/>
          <w:snapToGrid w:val="0"/>
          <w:highlight w:val="white"/>
        </w:rPr>
        <w:t xml:space="preserve"> and current measuring equipment</w:t>
      </w:r>
      <w:r w:rsidR="0071526A" w:rsidRPr="00C91565">
        <w:rPr>
          <w:rFonts w:ascii="Arial" w:hAnsi="Arial" w:cs="Arial"/>
          <w:iCs/>
          <w:snapToGrid w:val="0"/>
        </w:rPr>
        <w:t xml:space="preserve"> (</w:t>
      </w:r>
      <w:proofErr w:type="spellStart"/>
      <w:r w:rsidR="0071526A" w:rsidRPr="00C91565">
        <w:rPr>
          <w:rFonts w:ascii="Arial" w:hAnsi="Arial" w:cs="Arial"/>
          <w:iCs/>
          <w:snapToGrid w:val="0"/>
        </w:rPr>
        <w:t>Leode</w:t>
      </w:r>
      <w:proofErr w:type="spellEnd"/>
      <w:r w:rsidR="0071526A" w:rsidRPr="00C91565">
        <w:rPr>
          <w:rFonts w:ascii="Arial" w:hAnsi="Arial" w:cs="Arial"/>
          <w:iCs/>
          <w:snapToGrid w:val="0"/>
        </w:rPr>
        <w:t xml:space="preserve"> et al., 2024)</w:t>
      </w:r>
    </w:p>
    <w:p w14:paraId="2B483792" w14:textId="77777777" w:rsidR="0071526A" w:rsidRPr="00C91565" w:rsidRDefault="0071526A" w:rsidP="0071526A">
      <w:pPr>
        <w:pStyle w:val="13Text"/>
        <w:spacing w:line="240" w:lineRule="auto"/>
        <w:ind w:firstLineChars="0" w:firstLine="0"/>
        <w:rPr>
          <w:rFonts w:ascii="Arial" w:hAnsi="Arial" w:cs="Arial"/>
          <w:iCs/>
          <w:snapToGrid w:val="0"/>
        </w:rPr>
      </w:pPr>
    </w:p>
    <w:p w14:paraId="100C216F" w14:textId="57BDE6B3" w:rsidR="0071526A" w:rsidRPr="00C91565" w:rsidRDefault="0071526A" w:rsidP="0071526A">
      <w:pPr>
        <w:pStyle w:val="13Text"/>
        <w:spacing w:line="240" w:lineRule="auto"/>
        <w:ind w:firstLineChars="0" w:firstLine="0"/>
        <w:rPr>
          <w:rFonts w:ascii="Arial" w:hAnsi="Arial" w:cs="Arial"/>
        </w:rPr>
      </w:pPr>
      <w:r w:rsidRPr="00C91565">
        <w:rPr>
          <w:rFonts w:ascii="Arial" w:hAnsi="Arial" w:cs="Arial"/>
        </w:rPr>
        <w:t xml:space="preserve">Demineralized water is supplied to the proton exchange membrane </w:t>
      </w:r>
      <w:proofErr w:type="spellStart"/>
      <w:r w:rsidRPr="00C91565">
        <w:rPr>
          <w:rFonts w:ascii="Arial" w:hAnsi="Arial" w:cs="Arial"/>
        </w:rPr>
        <w:t>electrolyzer</w:t>
      </w:r>
      <w:proofErr w:type="spellEnd"/>
      <w:r w:rsidRPr="00C91565">
        <w:rPr>
          <w:rFonts w:ascii="Arial" w:hAnsi="Arial" w:cs="Arial"/>
        </w:rPr>
        <w:t xml:space="preserve">, where it is decomposed into hydrogen and oxygen. The generated hydrogen is directed toward the fuel cell stack, while oxygen and excess water are recirculated. Within the fuel cell, hydrogen is oxidized at the anode, producing protons and electrons. The protons migrate through the </w:t>
      </w:r>
      <w:proofErr w:type="spellStart"/>
      <w:r w:rsidRPr="00C91565">
        <w:rPr>
          <w:rFonts w:ascii="Arial" w:hAnsi="Arial" w:cs="Arial"/>
        </w:rPr>
        <w:t>Nafion</w:t>
      </w:r>
      <w:proofErr w:type="spellEnd"/>
      <w:r w:rsidRPr="00C91565">
        <w:rPr>
          <w:rFonts w:ascii="Arial" w:hAnsi="Arial" w:cs="Arial"/>
        </w:rPr>
        <w:t xml:space="preserve"> 115 membrane, whereas electrons flow through the external circuit, generating electrical current.</w:t>
      </w:r>
    </w:p>
    <w:p w14:paraId="3C6B5606" w14:textId="1FE35E30" w:rsidR="0071526A" w:rsidRPr="00C91565" w:rsidRDefault="0071526A" w:rsidP="0071526A">
      <w:pPr>
        <w:spacing w:before="100" w:beforeAutospacing="1" w:after="100" w:afterAutospacing="1"/>
        <w:rPr>
          <w:rFonts w:ascii="Arial" w:hAnsi="Arial" w:cs="Arial"/>
        </w:rPr>
      </w:pPr>
      <w:r w:rsidRPr="00C91565">
        <w:rPr>
          <w:rFonts w:ascii="Arial" w:hAnsi="Arial" w:cs="Arial"/>
        </w:rPr>
        <w:t>At the cathode, oxygen reacts with protons and electrons to form water according to the following electrochemical reactions</w:t>
      </w:r>
      <w:r w:rsidR="00133785" w:rsidRPr="00C91565">
        <w:rPr>
          <w:rFonts w:ascii="Arial" w:hAnsi="Arial" w:cs="Arial"/>
        </w:rPr>
        <w:t xml:space="preserve"> (yang et al., 2021; Pradeep et al., 2025)</w:t>
      </w:r>
      <w:r w:rsidRPr="00C91565">
        <w:rPr>
          <w:rFonts w:ascii="Arial" w:hAnsi="Arial" w:cs="Arial"/>
        </w:rPr>
        <w:t>:</w:t>
      </w:r>
    </w:p>
    <w:p w14:paraId="7CCFEE95" w14:textId="09794237" w:rsidR="0071526A" w:rsidRPr="00C91565" w:rsidRDefault="0071526A" w:rsidP="0071526A">
      <w:pPr>
        <w:spacing w:before="100" w:beforeAutospacing="1" w:after="100" w:afterAutospacing="1"/>
        <w:rPr>
          <w:rFonts w:ascii="Arial" w:hAnsi="Arial" w:cs="Arial"/>
        </w:rPr>
      </w:pPr>
      <w:r w:rsidRPr="00C91565">
        <w:rPr>
          <w:rFonts w:ascii="Arial" w:hAnsi="Arial" w:cs="Arial"/>
        </w:rPr>
        <w:t>Anode:</w:t>
      </w:r>
      <w:r w:rsidRPr="00C91565">
        <w:rPr>
          <w:rFonts w:ascii="Arial" w:hAnsi="Arial" w:cs="Arial"/>
        </w:rPr>
        <w:br/>
        <w:t>H</w:t>
      </w:r>
      <w:r w:rsidRPr="00C91565">
        <w:rPr>
          <w:rFonts w:ascii="Cambria Math" w:hAnsi="Cambria Math" w:cs="Cambria Math"/>
        </w:rPr>
        <w:t>₂</w:t>
      </w:r>
      <w:r w:rsidRPr="00C91565">
        <w:rPr>
          <w:rFonts w:ascii="Arial" w:hAnsi="Arial" w:cs="Arial"/>
        </w:rPr>
        <w:t xml:space="preserve"> → 2H</w:t>
      </w:r>
      <w:r w:rsidRPr="00C91565">
        <w:rPr>
          <w:rFonts w:ascii="Cambria Math" w:hAnsi="Cambria Math" w:cs="Cambria Math"/>
        </w:rPr>
        <w:t>⁺</w:t>
      </w:r>
      <w:r w:rsidRPr="00C91565">
        <w:rPr>
          <w:rFonts w:ascii="Arial" w:hAnsi="Arial" w:cs="Arial"/>
        </w:rPr>
        <w:t xml:space="preserve"> + 2e</w:t>
      </w:r>
      <w:r w:rsidRPr="00C91565">
        <w:rPr>
          <w:rFonts w:ascii="Cambria Math" w:hAnsi="Cambria Math" w:cs="Cambria Math"/>
        </w:rPr>
        <w:t>⁻</w:t>
      </w:r>
      <w:r w:rsidR="00440F9B" w:rsidRPr="00C91565">
        <w:rPr>
          <w:rFonts w:ascii="Arial" w:hAnsi="Arial" w:cs="Arial"/>
        </w:rPr>
        <w:t xml:space="preserve">                    </w:t>
      </w:r>
      <w:r w:rsidR="00237338">
        <w:rPr>
          <w:rFonts w:ascii="Arial" w:hAnsi="Arial" w:cs="Arial"/>
        </w:rPr>
        <w:t xml:space="preserve">                                                                                           </w:t>
      </w:r>
      <w:r w:rsidR="00B2739C">
        <w:rPr>
          <w:rFonts w:ascii="Arial" w:hAnsi="Arial" w:cs="Arial"/>
        </w:rPr>
        <w:t xml:space="preserve">  </w:t>
      </w:r>
      <w:r w:rsidR="00237338">
        <w:rPr>
          <w:rFonts w:ascii="Arial" w:hAnsi="Arial" w:cs="Arial"/>
        </w:rPr>
        <w:t xml:space="preserve"> </w:t>
      </w:r>
      <w:proofErr w:type="gramStart"/>
      <w:r w:rsidR="00237338">
        <w:rPr>
          <w:rFonts w:ascii="Arial" w:hAnsi="Arial" w:cs="Arial"/>
        </w:rPr>
        <w:t xml:space="preserve">   </w:t>
      </w:r>
      <w:r w:rsidR="00237338" w:rsidRPr="00C91565">
        <w:rPr>
          <w:rFonts w:ascii="Arial" w:hAnsi="Arial" w:cs="Arial"/>
        </w:rPr>
        <w:t>(</w:t>
      </w:r>
      <w:proofErr w:type="gramEnd"/>
      <w:r w:rsidR="00237338" w:rsidRPr="00C91565">
        <w:rPr>
          <w:rFonts w:ascii="Arial" w:hAnsi="Arial" w:cs="Arial"/>
        </w:rPr>
        <w:t>1)</w:t>
      </w:r>
      <w:r w:rsidR="00440F9B" w:rsidRPr="00C91565">
        <w:rPr>
          <w:rFonts w:ascii="Arial" w:hAnsi="Arial" w:cs="Arial"/>
        </w:rPr>
        <w:t xml:space="preserve">                                                                                                                       </w:t>
      </w:r>
    </w:p>
    <w:p w14:paraId="5000B221" w14:textId="41CD3970" w:rsidR="0071526A" w:rsidRPr="00C91565" w:rsidRDefault="0071526A" w:rsidP="0071526A">
      <w:pPr>
        <w:spacing w:before="100" w:beforeAutospacing="1" w:after="100" w:afterAutospacing="1"/>
        <w:rPr>
          <w:rFonts w:ascii="Arial" w:hAnsi="Arial" w:cs="Arial"/>
        </w:rPr>
      </w:pPr>
      <w:r w:rsidRPr="00C91565">
        <w:rPr>
          <w:rFonts w:ascii="Arial" w:hAnsi="Arial" w:cs="Arial"/>
        </w:rPr>
        <w:t>Cathode:</w:t>
      </w:r>
      <w:r w:rsidRPr="00C91565">
        <w:rPr>
          <w:rFonts w:ascii="Arial" w:hAnsi="Arial" w:cs="Arial"/>
        </w:rPr>
        <w:br/>
        <w:t>O</w:t>
      </w:r>
      <w:r w:rsidRPr="00C91565">
        <w:rPr>
          <w:rFonts w:ascii="Cambria Math" w:hAnsi="Cambria Math" w:cs="Cambria Math"/>
        </w:rPr>
        <w:t>₂</w:t>
      </w:r>
      <w:r w:rsidRPr="00C91565">
        <w:rPr>
          <w:rFonts w:ascii="Arial" w:hAnsi="Arial" w:cs="Arial"/>
        </w:rPr>
        <w:t xml:space="preserve"> + 4H</w:t>
      </w:r>
      <w:r w:rsidRPr="00C91565">
        <w:rPr>
          <w:rFonts w:ascii="Cambria Math" w:hAnsi="Cambria Math" w:cs="Cambria Math"/>
        </w:rPr>
        <w:t>⁺</w:t>
      </w:r>
      <w:r w:rsidRPr="00C91565">
        <w:rPr>
          <w:rFonts w:ascii="Arial" w:hAnsi="Arial" w:cs="Arial"/>
        </w:rPr>
        <w:t xml:space="preserve"> + 4e</w:t>
      </w:r>
      <w:r w:rsidRPr="00C91565">
        <w:rPr>
          <w:rFonts w:ascii="Cambria Math" w:hAnsi="Cambria Math" w:cs="Cambria Math"/>
        </w:rPr>
        <w:t>⁻</w:t>
      </w:r>
      <w:r w:rsidRPr="00C91565">
        <w:rPr>
          <w:rFonts w:ascii="Arial" w:hAnsi="Arial" w:cs="Arial"/>
        </w:rPr>
        <w:t xml:space="preserve"> → 2H</w:t>
      </w:r>
      <w:r w:rsidRPr="00C91565">
        <w:rPr>
          <w:rFonts w:ascii="Cambria Math" w:hAnsi="Cambria Math" w:cs="Cambria Math"/>
        </w:rPr>
        <w:t>₂</w:t>
      </w:r>
      <w:r w:rsidRPr="00C91565">
        <w:rPr>
          <w:rFonts w:ascii="Arial" w:hAnsi="Arial" w:cs="Arial"/>
        </w:rPr>
        <w:t>O + heat</w:t>
      </w:r>
      <w:r w:rsidR="00440F9B" w:rsidRPr="00C91565">
        <w:rPr>
          <w:rFonts w:ascii="Arial" w:hAnsi="Arial" w:cs="Arial"/>
        </w:rPr>
        <w:t xml:space="preserve">                                                                                         </w:t>
      </w:r>
      <w:proofErr w:type="gramStart"/>
      <w:r w:rsidR="00440F9B" w:rsidRPr="00C91565">
        <w:rPr>
          <w:rFonts w:ascii="Arial" w:hAnsi="Arial" w:cs="Arial"/>
        </w:rPr>
        <w:t xml:space="preserve">   (</w:t>
      </w:r>
      <w:proofErr w:type="gramEnd"/>
      <w:r w:rsidR="00440F9B" w:rsidRPr="00C91565">
        <w:rPr>
          <w:rFonts w:ascii="Arial" w:hAnsi="Arial" w:cs="Arial"/>
        </w:rPr>
        <w:t>2)</w:t>
      </w:r>
    </w:p>
    <w:p w14:paraId="45BE7A53" w14:textId="77777777" w:rsidR="0071526A" w:rsidRPr="00C91565" w:rsidRDefault="0071526A" w:rsidP="0071526A">
      <w:pPr>
        <w:spacing w:before="100" w:beforeAutospacing="1" w:after="100" w:afterAutospacing="1"/>
        <w:rPr>
          <w:rFonts w:ascii="Arial" w:hAnsi="Arial" w:cs="Arial"/>
        </w:rPr>
      </w:pPr>
      <w:r w:rsidRPr="00C91565">
        <w:rPr>
          <w:rFonts w:ascii="Arial" w:hAnsi="Arial" w:cs="Arial"/>
        </w:rPr>
        <w:lastRenderedPageBreak/>
        <w:t>The bipolar plates ensure uniform gas distribution, electrical conduction, and separation of reactants. The system enables controlled measurement of current density and voltage under various operating conditions.</w:t>
      </w:r>
    </w:p>
    <w:p w14:paraId="41761478" w14:textId="6C7868F0" w:rsidR="0071526A" w:rsidRPr="00C91565" w:rsidRDefault="0071526A" w:rsidP="0071526A">
      <w:pPr>
        <w:rPr>
          <w:rFonts w:ascii="Arial" w:hAnsi="Arial" w:cs="Arial"/>
          <w:b/>
          <w:bCs/>
        </w:rPr>
      </w:pPr>
      <w:r w:rsidRPr="00C91565">
        <w:rPr>
          <w:rFonts w:ascii="Arial" w:hAnsi="Arial" w:cs="Arial"/>
          <w:b/>
          <w:bCs/>
        </w:rPr>
        <w:t>2.2. Description of the Model</w:t>
      </w:r>
    </w:p>
    <w:p w14:paraId="445B0C91" w14:textId="77777777" w:rsidR="0071526A" w:rsidRPr="00C91565" w:rsidRDefault="0071526A" w:rsidP="0071526A">
      <w:pPr>
        <w:spacing w:before="100" w:beforeAutospacing="1" w:after="100" w:afterAutospacing="1"/>
        <w:jc w:val="both"/>
        <w:rPr>
          <w:rFonts w:ascii="Arial" w:hAnsi="Arial" w:cs="Arial"/>
        </w:rPr>
      </w:pPr>
      <w:r w:rsidRPr="00C91565">
        <w:rPr>
          <w:rFonts w:ascii="Arial" w:hAnsi="Arial" w:cs="Arial"/>
        </w:rPr>
        <w:t>The modeled domain of the proton exchange membrane fuel cell (PEMFC) consists of three main regions: the anode (Ωₐ), the proton exchange membrane (Ω</w:t>
      </w:r>
      <w:r w:rsidRPr="00C91565">
        <w:rPr>
          <w:rFonts w:ascii="Cambria Math" w:hAnsi="Cambria Math" w:cs="Cambria Math"/>
        </w:rPr>
        <w:t>ₘ</w:t>
      </w:r>
      <w:r w:rsidRPr="00C91565">
        <w:rPr>
          <w:rFonts w:ascii="Arial" w:hAnsi="Arial" w:cs="Arial"/>
        </w:rPr>
        <w:t>), and the cathode (Ω</w:t>
      </w:r>
      <w:r w:rsidRPr="00C91565">
        <w:rPr>
          <w:rFonts w:ascii="Cambria Math" w:hAnsi="Cambria Math" w:cs="Cambria Math"/>
        </w:rPr>
        <w:t>𝑐</w:t>
      </w:r>
      <w:r w:rsidRPr="00C91565">
        <w:rPr>
          <w:rFonts w:ascii="Arial" w:hAnsi="Arial" w:cs="Arial"/>
        </w:rPr>
        <w:t>), as illustrated in Figure 2. Each electrode is connected to a gas distribution system including an inlet channel, a current collector, and an outlet channel.</w:t>
      </w:r>
    </w:p>
    <w:p w14:paraId="3E2B25D6" w14:textId="77777777" w:rsidR="0071526A" w:rsidRPr="00C91565" w:rsidRDefault="0071526A" w:rsidP="0071526A">
      <w:pPr>
        <w:widowControl w:val="0"/>
        <w:adjustRightInd w:val="0"/>
        <w:snapToGrid w:val="0"/>
        <w:spacing w:before="500" w:after="100"/>
        <w:jc w:val="center"/>
        <w:rPr>
          <w:rFonts w:ascii="Arial" w:hAnsi="Arial" w:cs="Arial"/>
          <w:kern w:val="2"/>
          <w:lang w:val="en-GB" w:eastAsia="zh-CN"/>
        </w:rPr>
      </w:pPr>
      <w:r w:rsidRPr="00C91565">
        <w:rPr>
          <w:rFonts w:ascii="Arial" w:eastAsia="Calibri" w:hAnsi="Arial" w:cs="Arial"/>
          <w:noProof/>
          <w:kern w:val="2"/>
          <w:highlight w:val="white"/>
        </w:rPr>
        <w:drawing>
          <wp:inline distT="0" distB="0" distL="0" distR="0" wp14:anchorId="67B61242" wp14:editId="396F41C7">
            <wp:extent cx="3505200" cy="3139107"/>
            <wp:effectExtent l="0" t="0" r="0" b="0"/>
            <wp:docPr id="1040056776" name="Image 10400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08B03.tmp"/>
                    <pic:cNvPicPr/>
                  </pic:nvPicPr>
                  <pic:blipFill>
                    <a:blip r:embed="rId15">
                      <a:extLst>
                        <a:ext uri="{28A0092B-C50C-407E-A947-70E740481C1C}">
                          <a14:useLocalDpi xmlns:a14="http://schemas.microsoft.com/office/drawing/2010/main" val="0"/>
                        </a:ext>
                      </a:extLst>
                    </a:blip>
                    <a:stretch>
                      <a:fillRect/>
                    </a:stretch>
                  </pic:blipFill>
                  <pic:spPr>
                    <a:xfrm>
                      <a:off x="0" y="0"/>
                      <a:ext cx="3519471" cy="3151887"/>
                    </a:xfrm>
                    <a:prstGeom prst="rect">
                      <a:avLst/>
                    </a:prstGeom>
                  </pic:spPr>
                </pic:pic>
              </a:graphicData>
            </a:graphic>
          </wp:inline>
        </w:drawing>
      </w:r>
    </w:p>
    <w:p w14:paraId="10BF548F" w14:textId="6D355665" w:rsidR="0071526A" w:rsidRPr="00C91565" w:rsidRDefault="0071526A" w:rsidP="0071526A">
      <w:pPr>
        <w:widowControl w:val="0"/>
        <w:adjustRightInd w:val="0"/>
        <w:snapToGrid w:val="0"/>
        <w:spacing w:before="100"/>
        <w:jc w:val="center"/>
        <w:rPr>
          <w:rFonts w:ascii="Arial" w:hAnsi="Arial" w:cs="Arial"/>
          <w:iCs/>
          <w:snapToGrid w:val="0"/>
          <w:color w:val="4472C4"/>
          <w:kern w:val="2"/>
          <w:lang w:val="en-GB" w:eastAsia="zh-CN"/>
        </w:rPr>
      </w:pPr>
      <w:r w:rsidRPr="00C91565">
        <w:rPr>
          <w:rFonts w:ascii="Arial" w:hAnsi="Arial" w:cs="Arial"/>
          <w:b/>
          <w:iCs/>
          <w:snapToGrid w:val="0"/>
          <w:kern w:val="2"/>
          <w:highlight w:val="white"/>
          <w:lang w:val="en-GB" w:eastAsia="zh-CN"/>
        </w:rPr>
        <w:t>Fig 2.</w:t>
      </w:r>
      <w:r w:rsidRPr="00C91565">
        <w:rPr>
          <w:rFonts w:ascii="Arial" w:eastAsia="SimSun" w:hAnsi="Arial" w:cs="Arial"/>
          <w:b/>
          <w:iCs/>
          <w:snapToGrid w:val="0"/>
          <w:kern w:val="2"/>
          <w:highlight w:val="white"/>
          <w:lang w:val="en-GB" w:eastAsia="zh-CN"/>
        </w:rPr>
        <w:t xml:space="preserve"> </w:t>
      </w:r>
      <w:r w:rsidRPr="00C91565">
        <w:rPr>
          <w:rFonts w:ascii="Arial" w:hAnsi="Arial" w:cs="Arial"/>
          <w:iCs/>
          <w:kern w:val="2"/>
          <w:highlight w:val="white"/>
          <w:lang w:val="en-GB" w:eastAsia="zh-CN"/>
        </w:rPr>
        <w:t>Model geometry with domain and boundary labels</w:t>
      </w:r>
      <w:r w:rsidRPr="00C91565">
        <w:rPr>
          <w:rFonts w:ascii="Arial" w:hAnsi="Arial" w:cs="Arial"/>
          <w:iCs/>
          <w:kern w:val="2"/>
          <w:highlight w:val="white"/>
          <w:vertAlign w:val="superscript"/>
          <w:lang w:val="en-GB" w:eastAsia="zh-CN"/>
        </w:rPr>
        <w:t xml:space="preserve"> </w:t>
      </w:r>
      <w:r w:rsidRPr="00C91565">
        <w:rPr>
          <w:rFonts w:ascii="Arial" w:hAnsi="Arial" w:cs="Arial"/>
          <w:iCs/>
          <w:snapToGrid w:val="0"/>
          <w:kern w:val="2"/>
          <w:highlight w:val="white"/>
          <w:lang w:val="en-GB" w:eastAsia="zh-CN"/>
        </w:rPr>
        <w:t>(</w:t>
      </w:r>
      <w:proofErr w:type="spellStart"/>
      <w:r w:rsidR="005D0C09" w:rsidRPr="00C91565">
        <w:rPr>
          <w:rFonts w:ascii="Arial" w:hAnsi="Arial" w:cs="Arial"/>
        </w:rPr>
        <w:t>Nazemian</w:t>
      </w:r>
      <w:proofErr w:type="spellEnd"/>
      <w:r w:rsidR="005D0C09" w:rsidRPr="00C91565">
        <w:rPr>
          <w:rFonts w:ascii="Arial" w:hAnsi="Arial" w:cs="Arial"/>
        </w:rPr>
        <w:t xml:space="preserve"> et al., 2020)</w:t>
      </w:r>
      <w:r w:rsidRPr="00C91565">
        <w:rPr>
          <w:rFonts w:ascii="Arial" w:hAnsi="Arial" w:cs="Arial"/>
          <w:iCs/>
          <w:snapToGrid w:val="0"/>
          <w:kern w:val="2"/>
          <w:highlight w:val="white"/>
          <w:lang w:val="en-GB" w:eastAsia="zh-CN"/>
        </w:rPr>
        <w:t>.</w:t>
      </w:r>
    </w:p>
    <w:p w14:paraId="14FFC634" w14:textId="77777777" w:rsidR="00440F9B" w:rsidRPr="00C91565" w:rsidRDefault="00440F9B" w:rsidP="0071526A">
      <w:pPr>
        <w:widowControl w:val="0"/>
        <w:adjustRightInd w:val="0"/>
        <w:snapToGrid w:val="0"/>
        <w:jc w:val="both"/>
        <w:rPr>
          <w:rFonts w:ascii="Arial" w:hAnsi="Arial" w:cs="Arial"/>
          <w:iCs/>
        </w:rPr>
      </w:pPr>
    </w:p>
    <w:p w14:paraId="73FDFA2D" w14:textId="3D1CCD61" w:rsidR="0071526A" w:rsidRPr="00C91565" w:rsidRDefault="0071526A" w:rsidP="0071526A">
      <w:pPr>
        <w:widowControl w:val="0"/>
        <w:adjustRightInd w:val="0"/>
        <w:snapToGrid w:val="0"/>
        <w:jc w:val="both"/>
        <w:rPr>
          <w:rFonts w:ascii="Arial" w:hAnsi="Arial" w:cs="Arial"/>
          <w:i/>
          <w:snapToGrid w:val="0"/>
          <w:color w:val="4472C4"/>
          <w:kern w:val="2"/>
          <w:lang w:val="en-GB" w:eastAsia="zh-CN"/>
        </w:rPr>
      </w:pPr>
      <w:r w:rsidRPr="00C91565">
        <w:rPr>
          <w:rFonts w:ascii="Arial" w:hAnsi="Arial" w:cs="Arial"/>
          <w:iCs/>
        </w:rPr>
        <w:t>The reactant gases (humidified hydrogen at the anode and humidified air at the cathode) are treated as ideal gases</w:t>
      </w:r>
      <w:r w:rsidRPr="00C91565">
        <w:rPr>
          <w:rFonts w:ascii="Arial" w:hAnsi="Arial" w:cs="Arial"/>
        </w:rPr>
        <w:t>. Their transport within the porous electrodes is governed by coupled diffusion and convection mechanisms. The electrodes are modeled as homogeneous porous media with uniform structural properties such as porosity and permeability.</w:t>
      </w:r>
    </w:p>
    <w:p w14:paraId="1E96B4D1" w14:textId="3FA1D3F3" w:rsidR="0071526A" w:rsidRPr="00C91565" w:rsidRDefault="0071526A" w:rsidP="0071526A">
      <w:pPr>
        <w:spacing w:after="100" w:afterAutospacing="1"/>
        <w:jc w:val="both"/>
        <w:rPr>
          <w:rFonts w:ascii="Arial" w:hAnsi="Arial" w:cs="Arial"/>
        </w:rPr>
      </w:pPr>
      <w:r w:rsidRPr="00C91565">
        <w:rPr>
          <w:rFonts w:ascii="Arial" w:hAnsi="Arial" w:cs="Arial"/>
        </w:rPr>
        <w:t xml:space="preserve">Gas flow within the porous structure is described using Darcy’s law, assuming a continuous fluid phase. Electrochemical reactions occurring in the catalyst layers are represented using an agglomerate model, where catalyst particles and carbon are embedded in a polymer electrolyte matrix. This approach is based on the analytical solution of a diffusion–reaction problem in a spherical porous </w:t>
      </w:r>
      <w:proofErr w:type="spellStart"/>
      <w:proofErr w:type="gramStart"/>
      <w:r w:rsidRPr="00C91565">
        <w:rPr>
          <w:rFonts w:ascii="Arial" w:hAnsi="Arial" w:cs="Arial"/>
        </w:rPr>
        <w:t>particle.The</w:t>
      </w:r>
      <w:proofErr w:type="spellEnd"/>
      <w:proofErr w:type="gramEnd"/>
      <w:r w:rsidRPr="00C91565">
        <w:rPr>
          <w:rFonts w:ascii="Arial" w:hAnsi="Arial" w:cs="Arial"/>
        </w:rPr>
        <w:t xml:space="preserve"> model integrates mass transport, momentum conservation, and electrochemical kinetics to describe the </w:t>
      </w:r>
      <w:proofErr w:type="spellStart"/>
      <w:r w:rsidRPr="00C91565">
        <w:rPr>
          <w:rFonts w:ascii="Arial" w:hAnsi="Arial" w:cs="Arial"/>
        </w:rPr>
        <w:t>multiphysics</w:t>
      </w:r>
      <w:proofErr w:type="spellEnd"/>
      <w:r w:rsidRPr="00C91565">
        <w:rPr>
          <w:rFonts w:ascii="Arial" w:hAnsi="Arial" w:cs="Arial"/>
        </w:rPr>
        <w:t xml:space="preserve"> behavior of the PEMFC. The governing equations and associated sub-models used in the simulations are detailed in the following sections</w:t>
      </w:r>
    </w:p>
    <w:p w14:paraId="40C75E7F" w14:textId="77777777" w:rsidR="00026D0F" w:rsidRPr="00C91565" w:rsidRDefault="00026D0F" w:rsidP="00026D0F">
      <w:pPr>
        <w:spacing w:after="100" w:afterAutospacing="1"/>
        <w:jc w:val="both"/>
        <w:rPr>
          <w:rFonts w:ascii="Arial" w:hAnsi="Arial" w:cs="Arial"/>
          <w:b/>
          <w:bCs/>
        </w:rPr>
      </w:pPr>
      <w:r w:rsidRPr="00C91565">
        <w:rPr>
          <w:rFonts w:ascii="Arial" w:hAnsi="Arial" w:cs="Arial"/>
          <w:b/>
          <w:bCs/>
        </w:rPr>
        <w:t>2.3. Governing Equations and Transport Model</w:t>
      </w:r>
    </w:p>
    <w:p w14:paraId="6CFC43B3" w14:textId="64D454D5" w:rsidR="00026D0F" w:rsidRPr="00C91565" w:rsidRDefault="00026D0F" w:rsidP="00026D0F">
      <w:pPr>
        <w:spacing w:after="100" w:afterAutospacing="1"/>
        <w:jc w:val="both"/>
        <w:rPr>
          <w:rFonts w:ascii="Arial" w:hAnsi="Arial" w:cs="Arial"/>
          <w:kern w:val="2"/>
          <w:lang w:val="en-GB" w:eastAsia="zh-CN"/>
        </w:rPr>
      </w:pPr>
      <w:r w:rsidRPr="00C91565">
        <w:rPr>
          <w:rFonts w:ascii="Arial" w:hAnsi="Arial" w:cs="Arial"/>
          <w:kern w:val="2"/>
          <w:highlight w:val="white"/>
          <w:lang w:val="en-GB" w:eastAsia="zh-CN"/>
        </w:rPr>
        <w:lastRenderedPageBreak/>
        <w:t>This section presents the governing equations used to describe mass, momentum, and charge transport within the gas diffusion layers (GDL), catalyst layers, and membrane of the PEM fuel cell.</w:t>
      </w:r>
    </w:p>
    <w:p w14:paraId="2579AF5A" w14:textId="6F111C2A" w:rsidR="00026D0F" w:rsidRPr="00C91565" w:rsidRDefault="00026D0F" w:rsidP="00026D0F">
      <w:pPr>
        <w:rPr>
          <w:rFonts w:ascii="Arial" w:hAnsi="Arial" w:cs="Arial"/>
          <w:b/>
          <w:bCs/>
          <w:lang w:val="en-GB"/>
        </w:rPr>
      </w:pPr>
      <w:r w:rsidRPr="00C91565">
        <w:rPr>
          <w:rFonts w:ascii="Arial" w:hAnsi="Arial" w:cs="Arial"/>
          <w:b/>
          <w:bCs/>
          <w:lang w:val="en-GB"/>
        </w:rPr>
        <w:t>2.3.2. Mass and Momentum Conservation (Darcy’s Law)</w:t>
      </w:r>
    </w:p>
    <w:p w14:paraId="52626D54" w14:textId="77777777" w:rsidR="00026D0F" w:rsidRPr="00C91565" w:rsidRDefault="00026D0F" w:rsidP="00026D0F">
      <w:pPr>
        <w:rPr>
          <w:rFonts w:ascii="Arial" w:hAnsi="Arial" w:cs="Arial"/>
          <w:lang w:val="en-GB"/>
        </w:rPr>
      </w:pPr>
    </w:p>
    <w:p w14:paraId="2DEFF60D" w14:textId="38AAC1C0" w:rsidR="00026D0F" w:rsidRPr="00C91565" w:rsidRDefault="00026D0F" w:rsidP="00026D0F">
      <w:pPr>
        <w:pStyle w:val="NormalWeb"/>
        <w:jc w:val="both"/>
        <w:rPr>
          <w:rFonts w:ascii="Arial" w:hAnsi="Arial" w:cs="Arial"/>
          <w:sz w:val="20"/>
          <w:szCs w:val="20"/>
        </w:rPr>
      </w:pPr>
      <w:r w:rsidRPr="00C91565">
        <w:rPr>
          <w:rFonts w:ascii="Arial" w:hAnsi="Arial" w:cs="Arial"/>
          <w:sz w:val="20"/>
          <w:szCs w:val="20"/>
        </w:rPr>
        <w:t xml:space="preserve"> Gas transport in the porous electrodes is described using Darcy’s law, assuming steady-state flow and a continuous gas phase</w:t>
      </w:r>
      <w:r w:rsidR="006112B2" w:rsidRPr="00C91565">
        <w:rPr>
          <w:rFonts w:ascii="Arial" w:hAnsi="Arial" w:cs="Arial"/>
          <w:sz w:val="20"/>
          <w:szCs w:val="20"/>
        </w:rPr>
        <w:t xml:space="preserve"> (</w:t>
      </w:r>
      <w:proofErr w:type="spellStart"/>
      <w:r w:rsidR="006112B2" w:rsidRPr="00C91565">
        <w:rPr>
          <w:rFonts w:ascii="Arial" w:hAnsi="Arial" w:cs="Arial"/>
          <w:sz w:val="20"/>
          <w:szCs w:val="20"/>
        </w:rPr>
        <w:t>Ruan</w:t>
      </w:r>
      <w:proofErr w:type="spellEnd"/>
      <w:r w:rsidR="006112B2" w:rsidRPr="00C91565">
        <w:rPr>
          <w:rFonts w:ascii="Arial" w:hAnsi="Arial" w:cs="Arial"/>
          <w:sz w:val="20"/>
          <w:szCs w:val="20"/>
        </w:rPr>
        <w:t xml:space="preserve"> et al., 2025)</w:t>
      </w:r>
      <w:r w:rsidRPr="00C91565">
        <w:rPr>
          <w:rFonts w:ascii="Arial" w:hAnsi="Arial" w:cs="Arial"/>
          <w:sz w:val="20"/>
          <w:szCs w:val="20"/>
        </w:rPr>
        <w:t>:</w:t>
      </w:r>
    </w:p>
    <w:p w14:paraId="69BF2D68" w14:textId="4DFA4D87" w:rsidR="00026D0F" w:rsidRPr="00C91565" w:rsidRDefault="00026D0F" w:rsidP="00026D0F">
      <w:pPr>
        <w:spacing w:before="100" w:beforeAutospacing="1" w:after="100" w:afterAutospacing="1"/>
        <w:jc w:val="both"/>
        <w:rPr>
          <w:rFonts w:ascii="Arial" w:hAnsi="Arial" w:cs="Arial"/>
        </w:rPr>
      </w:pPr>
      <w:r w:rsidRPr="00C91565">
        <w:rPr>
          <w:rFonts w:ascii="Cambria Math" w:hAnsi="Cambria Math" w:cs="Cambria Math"/>
        </w:rPr>
        <w:t>∇</w:t>
      </w:r>
      <w:r w:rsidRPr="00C91565">
        <w:rPr>
          <w:rFonts w:ascii="Arial" w:hAnsi="Arial" w:cs="Arial"/>
        </w:rPr>
        <w:t>·(</w:t>
      </w:r>
      <w:proofErr w:type="spellStart"/>
      <w:r w:rsidRPr="00C91565">
        <w:rPr>
          <w:rFonts w:ascii="Arial" w:hAnsi="Arial" w:cs="Arial"/>
        </w:rPr>
        <w:t>ρu</w:t>
      </w:r>
      <w:proofErr w:type="spellEnd"/>
      <w:r w:rsidRPr="00C91565">
        <w:rPr>
          <w:rFonts w:ascii="Arial" w:hAnsi="Arial" w:cs="Arial"/>
        </w:rPr>
        <w:t>) = 0; u = −(k</w:t>
      </w:r>
      <w:r w:rsidRPr="00C91565">
        <w:rPr>
          <w:rFonts w:ascii="Cambria Math" w:hAnsi="Cambria Math" w:cs="Cambria Math"/>
        </w:rPr>
        <w:t>ₚ</w:t>
      </w:r>
      <w:r w:rsidRPr="00C91565">
        <w:rPr>
          <w:rFonts w:ascii="Arial" w:hAnsi="Arial" w:cs="Arial"/>
        </w:rPr>
        <w:t xml:space="preserve"> / μ) </w:t>
      </w:r>
      <w:r w:rsidRPr="00C91565">
        <w:rPr>
          <w:rFonts w:ascii="Cambria Math" w:hAnsi="Cambria Math" w:cs="Cambria Math"/>
        </w:rPr>
        <w:t>∇</w:t>
      </w:r>
      <w:r w:rsidRPr="00C91565">
        <w:rPr>
          <w:rFonts w:ascii="Arial" w:hAnsi="Arial" w:cs="Arial"/>
        </w:rPr>
        <w:t>p</w:t>
      </w:r>
      <w:r w:rsidR="005869F5" w:rsidRPr="00C91565">
        <w:rPr>
          <w:rFonts w:ascii="Arial" w:hAnsi="Arial" w:cs="Arial"/>
        </w:rPr>
        <w:t xml:space="preserve"> </w:t>
      </w:r>
      <w:r w:rsidR="00440F9B" w:rsidRPr="00C91565">
        <w:rPr>
          <w:rFonts w:ascii="Arial" w:hAnsi="Arial" w:cs="Arial"/>
        </w:rPr>
        <w:t xml:space="preserve">                                                                                            </w:t>
      </w:r>
      <w:r w:rsidR="00B2739C">
        <w:rPr>
          <w:rFonts w:ascii="Arial" w:hAnsi="Arial" w:cs="Arial"/>
        </w:rPr>
        <w:t xml:space="preserve">   </w:t>
      </w:r>
      <w:r w:rsidR="00440F9B" w:rsidRPr="00C91565">
        <w:rPr>
          <w:rFonts w:ascii="Arial" w:hAnsi="Arial" w:cs="Arial"/>
        </w:rPr>
        <w:t xml:space="preserve">  </w:t>
      </w:r>
      <w:proofErr w:type="gramStart"/>
      <w:r w:rsidR="00440F9B" w:rsidRPr="00C91565">
        <w:rPr>
          <w:rFonts w:ascii="Arial" w:hAnsi="Arial" w:cs="Arial"/>
        </w:rPr>
        <w:t xml:space="preserve">   (</w:t>
      </w:r>
      <w:proofErr w:type="gramEnd"/>
      <w:r w:rsidR="00440F9B" w:rsidRPr="00C91565">
        <w:rPr>
          <w:rFonts w:ascii="Arial" w:hAnsi="Arial" w:cs="Arial"/>
        </w:rPr>
        <w:t>3)</w:t>
      </w:r>
    </w:p>
    <w:p w14:paraId="663DE311" w14:textId="77777777" w:rsidR="00026D0F" w:rsidRPr="00C91565" w:rsidRDefault="00026D0F" w:rsidP="00026D0F">
      <w:pPr>
        <w:spacing w:before="100" w:beforeAutospacing="1" w:after="100" w:afterAutospacing="1"/>
        <w:jc w:val="both"/>
        <w:rPr>
          <w:rFonts w:ascii="Arial" w:hAnsi="Arial" w:cs="Arial"/>
        </w:rPr>
      </w:pPr>
      <w:r w:rsidRPr="00C91565">
        <w:rPr>
          <w:rFonts w:ascii="Arial" w:hAnsi="Arial" w:cs="Arial"/>
        </w:rPr>
        <w:t xml:space="preserve">where </w:t>
      </w:r>
      <w:r w:rsidRPr="00C91565">
        <w:rPr>
          <w:rFonts w:ascii="Arial" w:hAnsi="Arial" w:cs="Arial"/>
          <w:i/>
          <w:iCs/>
        </w:rPr>
        <w:t>u</w:t>
      </w:r>
      <w:r w:rsidRPr="00C91565">
        <w:rPr>
          <w:rFonts w:ascii="Arial" w:hAnsi="Arial" w:cs="Arial"/>
        </w:rPr>
        <w:t xml:space="preserve"> is the velocity vector (m/s), </w:t>
      </w:r>
      <w:r w:rsidRPr="00C91565">
        <w:rPr>
          <w:rFonts w:ascii="Arial" w:hAnsi="Arial" w:cs="Arial"/>
          <w:i/>
          <w:iCs/>
        </w:rPr>
        <w:t>k</w:t>
      </w:r>
      <w:r w:rsidRPr="00C91565">
        <w:rPr>
          <w:rFonts w:ascii="Cambria Math" w:hAnsi="Cambria Math" w:cs="Cambria Math"/>
          <w:i/>
          <w:iCs/>
        </w:rPr>
        <w:t>ₚ</w:t>
      </w:r>
      <w:r w:rsidRPr="00C91565">
        <w:rPr>
          <w:rFonts w:ascii="Arial" w:hAnsi="Arial" w:cs="Arial"/>
        </w:rPr>
        <w:t xml:space="preserve"> is the permeability (m²), μ is the dynamic viscosity (</w:t>
      </w:r>
      <w:proofErr w:type="spellStart"/>
      <w:r w:rsidRPr="00C91565">
        <w:rPr>
          <w:rFonts w:ascii="Arial" w:hAnsi="Arial" w:cs="Arial"/>
        </w:rPr>
        <w:t>Pa·s</w:t>
      </w:r>
      <w:proofErr w:type="spellEnd"/>
      <w:r w:rsidRPr="00C91565">
        <w:rPr>
          <w:rFonts w:ascii="Arial" w:hAnsi="Arial" w:cs="Arial"/>
        </w:rPr>
        <w:t xml:space="preserve">), and </w:t>
      </w:r>
      <w:r w:rsidRPr="00C91565">
        <w:rPr>
          <w:rFonts w:ascii="Arial" w:hAnsi="Arial" w:cs="Arial"/>
          <w:i/>
          <w:iCs/>
        </w:rPr>
        <w:t>p</w:t>
      </w:r>
      <w:r w:rsidRPr="00C91565">
        <w:rPr>
          <w:rFonts w:ascii="Arial" w:hAnsi="Arial" w:cs="Arial"/>
        </w:rPr>
        <w:t xml:space="preserve"> is the pressure (Pa).</w:t>
      </w:r>
    </w:p>
    <w:p w14:paraId="6F3CFFC7" w14:textId="77777777" w:rsidR="00026D0F" w:rsidRPr="00C91565" w:rsidRDefault="00026D0F" w:rsidP="00026D0F">
      <w:pPr>
        <w:spacing w:before="100" w:beforeAutospacing="1" w:after="100" w:afterAutospacing="1"/>
        <w:jc w:val="both"/>
        <w:rPr>
          <w:rFonts w:ascii="Arial" w:hAnsi="Arial" w:cs="Arial"/>
        </w:rPr>
      </w:pPr>
      <w:r w:rsidRPr="00C91565">
        <w:rPr>
          <w:rFonts w:ascii="Arial" w:hAnsi="Arial" w:cs="Arial"/>
        </w:rPr>
        <w:t>The gas density is expressed as:</w:t>
      </w:r>
    </w:p>
    <w:p w14:paraId="122D781F" w14:textId="321D19F0" w:rsidR="00026D0F" w:rsidRPr="00C91565" w:rsidRDefault="00026D0F" w:rsidP="00026D0F">
      <w:pPr>
        <w:spacing w:before="100" w:beforeAutospacing="1" w:after="100" w:afterAutospacing="1"/>
        <w:jc w:val="both"/>
        <w:rPr>
          <w:rFonts w:ascii="Arial" w:hAnsi="Arial" w:cs="Arial"/>
        </w:rPr>
      </w:pPr>
      <w:r w:rsidRPr="00C91565">
        <w:rPr>
          <w:rFonts w:ascii="Arial" w:hAnsi="Arial" w:cs="Arial"/>
        </w:rPr>
        <w:t>ρ = (p / RT) ∑ Mᵢ xᵢ</w:t>
      </w:r>
      <w:r w:rsidR="00440F9B" w:rsidRPr="00C91565">
        <w:rPr>
          <w:rFonts w:ascii="Arial" w:hAnsi="Arial" w:cs="Arial"/>
        </w:rPr>
        <w:t xml:space="preserve">                                                                                                     </w:t>
      </w:r>
      <w:r w:rsidR="00B2739C">
        <w:rPr>
          <w:rFonts w:ascii="Arial" w:hAnsi="Arial" w:cs="Arial"/>
        </w:rPr>
        <w:t xml:space="preserve">   </w:t>
      </w:r>
      <w:r w:rsidR="00440F9B" w:rsidRPr="00C91565">
        <w:rPr>
          <w:rFonts w:ascii="Arial" w:hAnsi="Arial" w:cs="Arial"/>
        </w:rPr>
        <w:t xml:space="preserve">    </w:t>
      </w:r>
      <w:proofErr w:type="gramStart"/>
      <w:r w:rsidR="00440F9B" w:rsidRPr="00C91565">
        <w:rPr>
          <w:rFonts w:ascii="Arial" w:hAnsi="Arial" w:cs="Arial"/>
        </w:rPr>
        <w:t xml:space="preserve">   (</w:t>
      </w:r>
      <w:proofErr w:type="gramEnd"/>
      <w:r w:rsidR="00440F9B" w:rsidRPr="00C91565">
        <w:rPr>
          <w:rFonts w:ascii="Arial" w:hAnsi="Arial" w:cs="Arial"/>
        </w:rPr>
        <w:t>4)</w:t>
      </w:r>
    </w:p>
    <w:p w14:paraId="47C92E0D" w14:textId="7565F66E" w:rsidR="00026D0F" w:rsidRPr="00C91565" w:rsidRDefault="00026D0F" w:rsidP="00026D0F">
      <w:pPr>
        <w:spacing w:after="100" w:afterAutospacing="1"/>
        <w:jc w:val="both"/>
        <w:rPr>
          <w:rFonts w:ascii="Arial" w:hAnsi="Arial" w:cs="Arial"/>
        </w:rPr>
      </w:pPr>
      <w:r w:rsidRPr="00C91565">
        <w:rPr>
          <w:rFonts w:ascii="Arial" w:hAnsi="Arial" w:cs="Arial"/>
        </w:rPr>
        <w:t xml:space="preserve">where </w:t>
      </w:r>
      <w:r w:rsidRPr="00C91565">
        <w:rPr>
          <w:rFonts w:ascii="Arial" w:hAnsi="Arial" w:cs="Arial"/>
          <w:i/>
          <w:iCs/>
        </w:rPr>
        <w:t>R</w:t>
      </w:r>
      <w:r w:rsidRPr="00C91565">
        <w:rPr>
          <w:rFonts w:ascii="Arial" w:hAnsi="Arial" w:cs="Arial"/>
        </w:rPr>
        <w:t xml:space="preserve"> is the universal gas constant, </w:t>
      </w:r>
      <w:r w:rsidRPr="00C91565">
        <w:rPr>
          <w:rFonts w:ascii="Arial" w:hAnsi="Arial" w:cs="Arial"/>
          <w:i/>
          <w:iCs/>
        </w:rPr>
        <w:t>T</w:t>
      </w:r>
      <w:r w:rsidRPr="00C91565">
        <w:rPr>
          <w:rFonts w:ascii="Arial" w:hAnsi="Arial" w:cs="Arial"/>
        </w:rPr>
        <w:t xml:space="preserve"> is the temperature, </w:t>
      </w:r>
      <w:r w:rsidRPr="00C91565">
        <w:rPr>
          <w:rFonts w:ascii="Arial" w:hAnsi="Arial" w:cs="Arial"/>
          <w:i/>
          <w:iCs/>
        </w:rPr>
        <w:t>Mᵢ</w:t>
      </w:r>
      <w:r w:rsidRPr="00C91565">
        <w:rPr>
          <w:rFonts w:ascii="Arial" w:hAnsi="Arial" w:cs="Arial"/>
        </w:rPr>
        <w:t xml:space="preserve"> is the molar mass, and </w:t>
      </w:r>
      <w:r w:rsidRPr="00C91565">
        <w:rPr>
          <w:rFonts w:ascii="Arial" w:hAnsi="Arial" w:cs="Arial"/>
          <w:i/>
          <w:iCs/>
        </w:rPr>
        <w:t>xᵢ</w:t>
      </w:r>
      <w:r w:rsidRPr="00C91565">
        <w:rPr>
          <w:rFonts w:ascii="Arial" w:hAnsi="Arial" w:cs="Arial"/>
        </w:rPr>
        <w:t xml:space="preserve"> is the molar fraction of species </w:t>
      </w:r>
      <w:proofErr w:type="spellStart"/>
      <w:r w:rsidRPr="00C91565">
        <w:rPr>
          <w:rFonts w:ascii="Arial" w:hAnsi="Arial" w:cs="Arial"/>
          <w:i/>
          <w:iCs/>
        </w:rPr>
        <w:t>i</w:t>
      </w:r>
      <w:proofErr w:type="spellEnd"/>
      <w:r w:rsidRPr="00C91565">
        <w:rPr>
          <w:rFonts w:ascii="Arial" w:hAnsi="Arial" w:cs="Arial"/>
        </w:rPr>
        <w:t>.</w:t>
      </w:r>
    </w:p>
    <w:p w14:paraId="09726531" w14:textId="42CC82AB" w:rsidR="00026D0F" w:rsidRPr="00C91565" w:rsidRDefault="00026D0F" w:rsidP="00026D0F">
      <w:pPr>
        <w:widowControl w:val="0"/>
        <w:adjustRightInd w:val="0"/>
        <w:snapToGrid w:val="0"/>
        <w:ind w:firstLineChars="100" w:firstLine="201"/>
        <w:jc w:val="both"/>
        <w:rPr>
          <w:rFonts w:ascii="Arial" w:hAnsi="Arial" w:cs="Arial"/>
          <w:b/>
          <w:bCs/>
          <w:kern w:val="2"/>
          <w:highlight w:val="white"/>
          <w:lang w:val="en-GB" w:eastAsia="zh-CN"/>
        </w:rPr>
      </w:pPr>
      <w:r w:rsidRPr="00C91565">
        <w:rPr>
          <w:rFonts w:ascii="Arial" w:hAnsi="Arial" w:cs="Arial"/>
          <w:b/>
          <w:bCs/>
        </w:rPr>
        <w:t xml:space="preserve">2.3.2. </w:t>
      </w:r>
      <w:r w:rsidRPr="00C91565">
        <w:rPr>
          <w:rFonts w:ascii="Arial" w:hAnsi="Arial" w:cs="Arial"/>
          <w:b/>
          <w:bCs/>
          <w:kern w:val="2"/>
          <w:highlight w:val="white"/>
          <w:lang w:val="en-GB" w:eastAsia="zh-CN"/>
        </w:rPr>
        <w:t>Charge Equilibrium</w:t>
      </w:r>
      <w:r w:rsidR="00020039" w:rsidRPr="00C91565">
        <w:rPr>
          <w:rFonts w:ascii="Arial" w:hAnsi="Arial" w:cs="Arial"/>
          <w:b/>
          <w:bCs/>
          <w:kern w:val="2"/>
          <w:highlight w:val="white"/>
          <w:lang w:val="en-GB" w:eastAsia="zh-CN"/>
        </w:rPr>
        <w:t xml:space="preserve"> </w:t>
      </w:r>
      <w:r w:rsidR="00020039" w:rsidRPr="00C91565">
        <w:rPr>
          <w:rFonts w:ascii="Arial" w:hAnsi="Arial" w:cs="Arial"/>
          <w:b/>
        </w:rPr>
        <w:t>Charge Conservation and Transport</w:t>
      </w:r>
    </w:p>
    <w:p w14:paraId="76ADD1B0" w14:textId="77777777" w:rsidR="00026D0F" w:rsidRPr="00C91565" w:rsidRDefault="00026D0F" w:rsidP="00026D0F">
      <w:pPr>
        <w:widowControl w:val="0"/>
        <w:adjustRightInd w:val="0"/>
        <w:snapToGrid w:val="0"/>
        <w:ind w:firstLineChars="100" w:firstLine="200"/>
        <w:jc w:val="both"/>
        <w:rPr>
          <w:rFonts w:ascii="Arial" w:hAnsi="Arial" w:cs="Arial"/>
          <w:kern w:val="2"/>
          <w:highlight w:val="white"/>
          <w:lang w:val="en-GB" w:eastAsia="zh-CN"/>
        </w:rPr>
      </w:pPr>
    </w:p>
    <w:p w14:paraId="2E235370" w14:textId="4ACDB33D" w:rsidR="00026D0F" w:rsidRPr="00C91565" w:rsidRDefault="00026D0F" w:rsidP="00026D0F">
      <w:pPr>
        <w:widowControl w:val="0"/>
        <w:adjustRightInd w:val="0"/>
        <w:snapToGrid w:val="0"/>
        <w:ind w:firstLineChars="100" w:firstLine="200"/>
        <w:jc w:val="both"/>
        <w:rPr>
          <w:rFonts w:ascii="Arial" w:hAnsi="Arial" w:cs="Arial"/>
          <w:kern w:val="2"/>
          <w:lang w:val="en-GB" w:eastAsia="zh-CN"/>
        </w:rPr>
      </w:pPr>
      <w:r w:rsidRPr="00C91565">
        <w:rPr>
          <w:rFonts w:ascii="Arial" w:hAnsi="Arial" w:cs="Arial"/>
          <w:kern w:val="2"/>
          <w:highlight w:val="white"/>
          <w:lang w:val="en-GB" w:eastAsia="zh-CN"/>
        </w:rPr>
        <w:t>The hydrogen fuel cell interface is used to model the potential distributions in the three domains, which local current density expressions, for the anode and cathode are given by the following equation</w:t>
      </w:r>
      <w:r w:rsidRPr="00C91565">
        <w:rPr>
          <w:rFonts w:ascii="Arial" w:hAnsi="Arial" w:cs="Arial"/>
          <w:kern w:val="2"/>
          <w:highlight w:val="white"/>
          <w:vertAlign w:val="superscript"/>
          <w:lang w:val="en-GB" w:eastAsia="zh-CN"/>
        </w:rPr>
        <w:t xml:space="preserve"> </w:t>
      </w:r>
      <w:r w:rsidR="00933E25" w:rsidRPr="00C91565">
        <w:rPr>
          <w:rFonts w:ascii="Arial" w:hAnsi="Arial" w:cs="Arial"/>
          <w:kern w:val="2"/>
          <w:highlight w:val="white"/>
          <w:lang w:val="en-GB" w:eastAsia="zh-CN"/>
        </w:rPr>
        <w:t>(</w:t>
      </w:r>
      <w:r w:rsidR="00933E25" w:rsidRPr="00C91565">
        <w:rPr>
          <w:rFonts w:ascii="Arial" w:hAnsi="Arial" w:cs="Arial"/>
        </w:rPr>
        <w:t>Zhang et al., 2025)</w:t>
      </w:r>
      <w:r w:rsidRPr="00C91565">
        <w:rPr>
          <w:rFonts w:ascii="Arial" w:hAnsi="Arial" w:cs="Arial"/>
          <w:kern w:val="2"/>
          <w:highlight w:val="white"/>
          <w:lang w:val="en-GB" w:eastAsia="zh-CN"/>
        </w:rPr>
        <w:t>:</w:t>
      </w:r>
    </w:p>
    <w:p w14:paraId="1C44B380" w14:textId="77777777" w:rsidR="00026D0F" w:rsidRPr="00C91565" w:rsidRDefault="002832C6" w:rsidP="00026D0F">
      <w:pPr>
        <w:widowControl w:val="0"/>
        <w:adjustRightInd w:val="0"/>
        <w:snapToGrid w:val="0"/>
        <w:spacing w:before="240" w:after="240"/>
        <w:jc w:val="right"/>
        <w:textAlignment w:val="center"/>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i</m:t>
            </m:r>
          </m:e>
          <m:sub>
            <m:r>
              <m:rPr>
                <m:sty m:val="p"/>
              </m:rPr>
              <w:rPr>
                <w:rFonts w:ascii="Cambria Math" w:hAnsi="Cambria Math" w:cs="Arial"/>
                <w:kern w:val="2"/>
                <w:lang w:val="en-GB" w:eastAsia="zh-CN"/>
              </w:rPr>
              <m:t>e</m:t>
            </m:r>
          </m:sub>
        </m:sSub>
        <m:r>
          <m:rPr>
            <m:sty m:val="p"/>
          </m:rPr>
          <w:rPr>
            <w:rFonts w:ascii="Cambria Math" w:hAnsi="Cambria Math" w:cs="Arial"/>
            <w:kern w:val="2"/>
            <w:lang w:val="en-GB" w:eastAsia="zh-CN"/>
          </w:rPr>
          <m:t>=</m:t>
        </m:r>
        <m:f>
          <m:fPr>
            <m:ctrlPr>
              <w:rPr>
                <w:rFonts w:ascii="Cambria Math" w:hAnsi="Cambria Math" w:cs="Arial"/>
                <w:kern w:val="2"/>
                <w:lang w:val="en-GB" w:eastAsia="zh-CN"/>
              </w:rPr>
            </m:ctrlPr>
          </m:fPr>
          <m:num>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num>
          <m:den>
            <m:r>
              <m:rPr>
                <m:sty m:val="p"/>
              </m:rPr>
              <w:rPr>
                <w:rFonts w:ascii="Cambria Math" w:hAnsi="Cambria Math" w:cs="Arial"/>
                <w:kern w:val="2"/>
                <w:lang w:val="en-GB" w:eastAsia="zh-CN"/>
              </w:rPr>
              <m:t>3</m:t>
            </m:r>
          </m:den>
        </m:f>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agg,e</m:t>
            </m:r>
          </m:sub>
        </m:sSub>
      </m:oMath>
      <w:r w:rsidR="00026D0F" w:rsidRPr="00C91565">
        <w:rPr>
          <w:rFonts w:ascii="Arial" w:hAnsi="Arial" w:cs="Arial"/>
          <w:kern w:val="2"/>
          <w:lang w:val="en-GB" w:eastAsia="zh-CN"/>
        </w:rPr>
        <w:t xml:space="preserve">              (5)</w:t>
      </w:r>
    </w:p>
    <w:p w14:paraId="12A6F7BD" w14:textId="77777777" w:rsidR="00026D0F" w:rsidRPr="00C91565" w:rsidRDefault="00026D0F" w:rsidP="00026D0F">
      <w:pPr>
        <w:widowControl w:val="0"/>
        <w:adjustRightInd w:val="0"/>
        <w:snapToGrid w:val="0"/>
        <w:ind w:firstLineChars="100" w:firstLine="200"/>
        <w:jc w:val="both"/>
        <w:rPr>
          <w:rFonts w:ascii="Arial" w:hAnsi="Arial" w:cs="Arial"/>
          <w:kern w:val="2"/>
          <w:lang w:val="en-GB" w:eastAsia="zh-CN"/>
        </w:rPr>
      </w:pPr>
      <w:r w:rsidRPr="00C91565">
        <w:rPr>
          <w:rFonts w:ascii="Arial" w:hAnsi="Arial" w:cs="Arial"/>
          <w:kern w:val="2"/>
          <w:highlight w:val="white"/>
          <w:lang w:val="en-GB" w:eastAsia="zh-CN"/>
        </w:rPr>
        <w:t xml:space="preserve">Where the subscript </w:t>
      </w:r>
      <w:r w:rsidRPr="00C91565">
        <w:rPr>
          <w:rFonts w:ascii="Arial" w:hAnsi="Arial" w:cs="Arial"/>
          <w:i/>
          <w:kern w:val="2"/>
          <w:highlight w:val="white"/>
          <w:lang w:val="en-GB" w:eastAsia="zh-CN"/>
        </w:rPr>
        <w:t>e</w:t>
      </w:r>
      <w:r w:rsidRPr="00C91565">
        <w:rPr>
          <w:rFonts w:ascii="Arial" w:hAnsi="Arial" w:cs="Arial"/>
          <w:kern w:val="2"/>
          <w:highlight w:val="white"/>
          <w:lang w:val="en-GB" w:eastAsia="zh-CN"/>
        </w:rPr>
        <w:t xml:space="preserve"> represents </w:t>
      </w:r>
      <w:bookmarkStart w:id="4" w:name="_Hlk220380787"/>
      <w:r w:rsidRPr="00C91565">
        <w:rPr>
          <w:rFonts w:ascii="Arial" w:hAnsi="Arial" w:cs="Arial"/>
          <w:kern w:val="2"/>
          <w:highlight w:val="white"/>
          <w:lang w:val="en-GB" w:eastAsia="zh-CN"/>
        </w:rPr>
        <w:t xml:space="preserve">« a » (anode) or « c » (cathode),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r>
          <w:rPr>
            <w:rFonts w:ascii="Cambria Math" w:hAnsi="Cambria Math" w:cs="Arial"/>
            <w:kern w:val="2"/>
            <w:lang w:val="en-GB" w:eastAsia="zh-CN"/>
          </w:rPr>
          <m:t xml:space="preserve"> </m:t>
        </m:r>
      </m:oMath>
      <w:r w:rsidRPr="00C91565">
        <w:rPr>
          <w:rFonts w:ascii="Arial" w:hAnsi="Arial" w:cs="Arial"/>
          <w:kern w:val="2"/>
          <w:highlight w:val="white"/>
          <w:lang w:val="en-GB" w:eastAsia="zh-CN"/>
        </w:rPr>
        <w:t xml:space="preserve">is the radius of the agglomerate in </w:t>
      </w:r>
      <w:r w:rsidRPr="00C91565">
        <w:rPr>
          <w:rFonts w:ascii="Arial" w:hAnsi="Arial" w:cs="Arial"/>
          <w:i/>
          <w:kern w:val="2"/>
          <w:highlight w:val="white"/>
          <w:lang w:val="en-GB" w:eastAsia="zh-CN"/>
        </w:rPr>
        <w:t>m</w:t>
      </w:r>
      <w:r w:rsidRPr="00C91565">
        <w:rPr>
          <w:rFonts w:ascii="Arial" w:hAnsi="Arial" w:cs="Arial"/>
          <w:kern w:val="2"/>
          <w:highlight w:val="white"/>
          <w:lang w:val="en-GB" w:eastAsia="zh-CN"/>
        </w:rPr>
        <w:t xml:space="preserve">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agg,a</m:t>
            </m:r>
          </m:sub>
        </m:sSub>
      </m:oMath>
      <w:r w:rsidRPr="00C91565">
        <w:rPr>
          <w:rFonts w:ascii="Arial" w:hAnsi="Arial" w:cs="Arial"/>
          <w:kern w:val="2"/>
          <w:highlight w:val="white"/>
          <w:lang w:val="en-GB" w:eastAsia="zh-CN"/>
        </w:rPr>
        <w:t xml:space="preserve">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agg,c</m:t>
            </m:r>
          </m:sub>
        </m:sSub>
      </m:oMath>
      <w:r w:rsidRPr="00C91565">
        <w:rPr>
          <w:rFonts w:ascii="Arial" w:hAnsi="Arial" w:cs="Arial"/>
          <w:kern w:val="2"/>
          <w:highlight w:val="white"/>
          <w:lang w:val="en-GB" w:eastAsia="zh-CN"/>
        </w:rPr>
        <w:t xml:space="preserve"> (</w:t>
      </w:r>
      <w:r w:rsidRPr="00C91565">
        <w:rPr>
          <w:rFonts w:ascii="Arial" w:hAnsi="Arial" w:cs="Arial"/>
          <w:i/>
          <w:kern w:val="2"/>
          <w:highlight w:val="white"/>
          <w:lang w:val="en-GB" w:eastAsia="zh-CN"/>
        </w:rPr>
        <w:t>in A/m</w:t>
      </w:r>
      <w:r w:rsidRPr="00C91565">
        <w:rPr>
          <w:rFonts w:ascii="Arial" w:hAnsi="Arial" w:cs="Arial"/>
          <w:i/>
          <w:kern w:val="2"/>
          <w:highlight w:val="white"/>
          <w:vertAlign w:val="superscript"/>
          <w:lang w:val="en-GB" w:eastAsia="zh-CN"/>
        </w:rPr>
        <w:t>3</w:t>
      </w:r>
      <w:r w:rsidRPr="00C91565">
        <w:rPr>
          <w:rFonts w:ascii="Arial" w:hAnsi="Arial" w:cs="Arial"/>
          <w:kern w:val="2"/>
          <w:highlight w:val="white"/>
          <w:lang w:val="en-GB" w:eastAsia="zh-CN"/>
        </w:rPr>
        <w:t xml:space="preserve">) are the current densities given by the agglomerate model,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ε</m:t>
            </m:r>
          </m:e>
          <m:sub>
            <m:r>
              <m:rPr>
                <m:sty m:val="p"/>
              </m:rPr>
              <w:rPr>
                <w:rFonts w:ascii="Cambria Math" w:hAnsi="Cambria Math" w:cs="Arial"/>
                <w:kern w:val="2"/>
                <w:lang w:val="en-GB" w:eastAsia="zh-CN"/>
              </w:rPr>
              <m:t>mac</m:t>
            </m:r>
          </m:sub>
        </m:sSub>
      </m:oMath>
      <w:r w:rsidRPr="00C91565">
        <w:rPr>
          <w:rFonts w:ascii="Arial" w:hAnsi="Arial" w:cs="Arial"/>
          <w:kern w:val="2"/>
          <w:highlight w:val="white"/>
          <w:lang w:val="en-GB" w:eastAsia="zh-CN"/>
        </w:rPr>
        <w:t xml:space="preserve"> is porosity (the macroscopic porosity) </w:t>
      </w:r>
      <w:bookmarkEnd w:id="4"/>
      <w:r w:rsidRPr="00C91565">
        <w:rPr>
          <w:rFonts w:ascii="Arial" w:hAnsi="Arial" w:cs="Arial"/>
          <w:kern w:val="2"/>
          <w:highlight w:val="white"/>
          <w:lang w:val="en-GB" w:eastAsia="zh-CN"/>
        </w:rPr>
        <w:t>The specific surface area of the fine gas diffusion electrode (in 1/</w:t>
      </w:r>
      <w:r w:rsidRPr="00C91565">
        <w:rPr>
          <w:rFonts w:ascii="Arial" w:hAnsi="Arial" w:cs="Arial"/>
          <w:i/>
          <w:kern w:val="2"/>
          <w:highlight w:val="white"/>
          <w:lang w:val="en-GB" w:eastAsia="zh-CN"/>
        </w:rPr>
        <w:t>m</w:t>
      </w:r>
      <w:r w:rsidRPr="00C91565">
        <w:rPr>
          <w:rFonts w:ascii="Arial" w:hAnsi="Arial" w:cs="Arial"/>
          <w:kern w:val="2"/>
          <w:highlight w:val="white"/>
          <w:lang w:val="en-GB" w:eastAsia="zh-CN"/>
        </w:rPr>
        <w:t>) can be calculated by the following formula:</w:t>
      </w:r>
    </w:p>
    <w:p w14:paraId="2A7AD704" w14:textId="77777777" w:rsidR="00026D0F" w:rsidRPr="00C91565" w:rsidRDefault="002832C6" w:rsidP="00026D0F">
      <w:pPr>
        <w:widowControl w:val="0"/>
        <w:adjustRightInd w:val="0"/>
        <w:snapToGrid w:val="0"/>
        <w:spacing w:before="240" w:after="240"/>
        <w:jc w:val="right"/>
        <w:textAlignment w:val="center"/>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 xml:space="preserve"> a</m:t>
            </m:r>
          </m:e>
          <m:sub>
            <m:r>
              <m:rPr>
                <m:sty m:val="p"/>
              </m:rPr>
              <w:rPr>
                <w:rFonts w:ascii="Cambria Math" w:hAnsi="Cambria Math" w:cs="Arial"/>
                <w:kern w:val="2"/>
                <w:lang w:val="en-GB" w:eastAsia="zh-CN"/>
              </w:rPr>
              <m:t>υ</m:t>
            </m:r>
          </m:sub>
        </m:sSub>
        <m:r>
          <m:rPr>
            <m:sty m:val="p"/>
          </m:rPr>
          <w:rPr>
            <w:rFonts w:ascii="Cambria Math" w:hAnsi="Cambria Math" w:cs="Arial"/>
            <w:kern w:val="2"/>
            <w:lang w:val="en-GB" w:eastAsia="zh-CN"/>
          </w:rPr>
          <m:t>=</m:t>
        </m:r>
        <m:f>
          <m:fPr>
            <m:ctrlPr>
              <w:rPr>
                <w:rFonts w:ascii="Cambria Math" w:hAnsi="Cambria Math" w:cs="Arial"/>
                <w:kern w:val="2"/>
                <w:lang w:val="en-GB" w:eastAsia="zh-CN"/>
              </w:rPr>
            </m:ctrlPr>
          </m:fPr>
          <m:num>
            <m:r>
              <m:rPr>
                <m:sty m:val="p"/>
              </m:rPr>
              <w:rPr>
                <w:rFonts w:ascii="Cambria Math" w:hAnsi="Cambria Math" w:cs="Arial"/>
                <w:kern w:val="2"/>
                <w:lang w:val="en-GB" w:eastAsia="zh-CN"/>
              </w:rPr>
              <m:t>3</m:t>
            </m:r>
          </m:num>
          <m:den>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Sub>
          </m:den>
        </m:f>
        <m:d>
          <m:dPr>
            <m:ctrlPr>
              <w:rPr>
                <w:rFonts w:ascii="Cambria Math" w:hAnsi="Cambria Math" w:cs="Arial"/>
                <w:kern w:val="2"/>
                <w:lang w:val="en-GB" w:eastAsia="zh-CN"/>
              </w:rPr>
            </m:ctrlPr>
          </m:dPr>
          <m:e>
            <m:r>
              <m:rPr>
                <m:sty m:val="p"/>
              </m:rPr>
              <w:rPr>
                <w:rFonts w:ascii="Cambria Math" w:hAnsi="Cambria Math" w:cs="Arial"/>
                <w:kern w:val="2"/>
                <w:lang w:val="en-GB" w:eastAsia="zh-CN"/>
              </w:rPr>
              <m:t>1-</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ε</m:t>
                </m:r>
              </m:e>
              <m:sub>
                <m:r>
                  <m:rPr>
                    <m:sty m:val="p"/>
                  </m:rPr>
                  <w:rPr>
                    <w:rFonts w:ascii="Cambria Math" w:hAnsi="Cambria Math" w:cs="Arial"/>
                    <w:kern w:val="2"/>
                    <w:lang w:val="en-GB" w:eastAsia="zh-CN"/>
                  </w:rPr>
                  <m:t>mac</m:t>
                </m:r>
              </m:sub>
            </m:sSub>
          </m:e>
        </m:d>
      </m:oMath>
      <w:r w:rsidR="00026D0F" w:rsidRPr="00C91565">
        <w:rPr>
          <w:rFonts w:ascii="Arial" w:hAnsi="Arial" w:cs="Arial"/>
          <w:kern w:val="2"/>
          <w:lang w:val="en-GB" w:eastAsia="zh-CN"/>
        </w:rPr>
        <w:t xml:space="preserve">           (6)</w:t>
      </w:r>
    </w:p>
    <w:p w14:paraId="11D663B9" w14:textId="69321F25" w:rsidR="00020039" w:rsidRPr="00C91565" w:rsidRDefault="00020039" w:rsidP="00020039">
      <w:pPr>
        <w:widowControl w:val="0"/>
        <w:adjustRightInd w:val="0"/>
        <w:snapToGrid w:val="0"/>
        <w:ind w:firstLineChars="100" w:firstLine="201"/>
        <w:jc w:val="both"/>
        <w:rPr>
          <w:rFonts w:ascii="Arial" w:hAnsi="Arial" w:cs="Arial"/>
          <w:b/>
          <w:bCs/>
          <w:kern w:val="2"/>
          <w:highlight w:val="white"/>
          <w:lang w:val="en-GB" w:eastAsia="zh-CN"/>
        </w:rPr>
      </w:pPr>
      <w:r w:rsidRPr="00C91565">
        <w:rPr>
          <w:rFonts w:ascii="Arial" w:hAnsi="Arial" w:cs="Arial"/>
          <w:b/>
        </w:rPr>
        <w:t>2.3.3. Charge Conservation and Transport</w:t>
      </w:r>
    </w:p>
    <w:p w14:paraId="1EDB669A" w14:textId="2B65548B" w:rsidR="00020039" w:rsidRPr="00C91565" w:rsidRDefault="00020039" w:rsidP="00020039">
      <w:pPr>
        <w:spacing w:before="100" w:beforeAutospacing="1" w:after="100" w:afterAutospacing="1"/>
        <w:rPr>
          <w:rFonts w:ascii="Arial" w:hAnsi="Arial" w:cs="Arial"/>
        </w:rPr>
      </w:pPr>
      <w:r w:rsidRPr="00C91565">
        <w:rPr>
          <w:rFonts w:ascii="Arial" w:hAnsi="Arial" w:cs="Arial"/>
        </w:rPr>
        <w:t>Charge transport in the solid phase is governed by Ohm’s law:</w:t>
      </w:r>
      <w:r w:rsidR="00933E25" w:rsidRPr="00C91565">
        <w:rPr>
          <w:rFonts w:ascii="Arial" w:hAnsi="Arial" w:cs="Arial"/>
        </w:rPr>
        <w:t xml:space="preserve"> (</w:t>
      </w:r>
      <w:proofErr w:type="spellStart"/>
      <w:r w:rsidR="00933E25" w:rsidRPr="00C91565">
        <w:rPr>
          <w:rFonts w:ascii="Arial" w:hAnsi="Arial" w:cs="Arial"/>
        </w:rPr>
        <w:t>Igari</w:t>
      </w:r>
      <w:proofErr w:type="spellEnd"/>
      <w:r w:rsidR="00933E25" w:rsidRPr="00C91565">
        <w:rPr>
          <w:rFonts w:ascii="Arial" w:hAnsi="Arial" w:cs="Arial"/>
        </w:rPr>
        <w:t xml:space="preserve"> et al., 2026)</w:t>
      </w:r>
    </w:p>
    <w:p w14:paraId="61FBEF32" w14:textId="186294AE" w:rsidR="00020039" w:rsidRPr="00C91565" w:rsidRDefault="00020039" w:rsidP="00020039">
      <w:pPr>
        <w:spacing w:before="100" w:beforeAutospacing="1" w:after="100" w:afterAutospacing="1"/>
        <w:rPr>
          <w:rFonts w:ascii="Arial" w:hAnsi="Arial" w:cs="Arial"/>
        </w:rPr>
      </w:pPr>
      <w:proofErr w:type="spellStart"/>
      <w:r w:rsidRPr="00C91565">
        <w:rPr>
          <w:rFonts w:ascii="Arial" w:hAnsi="Arial" w:cs="Arial"/>
        </w:rPr>
        <w:t>i</w:t>
      </w:r>
      <w:proofErr w:type="spellEnd"/>
      <w:r w:rsidRPr="00C91565">
        <w:rPr>
          <w:rFonts w:ascii="Cambria Math" w:hAnsi="Cambria Math" w:cs="Cambria Math"/>
        </w:rPr>
        <w:t>ₛ</w:t>
      </w:r>
      <w:r w:rsidRPr="00C91565">
        <w:rPr>
          <w:rFonts w:ascii="Arial" w:hAnsi="Arial" w:cs="Arial"/>
        </w:rPr>
        <w:t xml:space="preserve"> = −σ</w:t>
      </w:r>
      <w:r w:rsidRPr="00C91565">
        <w:rPr>
          <w:rFonts w:ascii="Cambria Math" w:hAnsi="Cambria Math" w:cs="Cambria Math"/>
        </w:rPr>
        <w:t>ₛ</w:t>
      </w:r>
      <w:r w:rsidRPr="00C91565">
        <w:rPr>
          <w:rFonts w:ascii="Arial" w:hAnsi="Arial" w:cs="Arial"/>
        </w:rPr>
        <w:t xml:space="preserve"> </w:t>
      </w:r>
      <w:r w:rsidRPr="00C91565">
        <w:rPr>
          <w:rFonts w:ascii="Cambria Math" w:hAnsi="Cambria Math" w:cs="Cambria Math"/>
        </w:rPr>
        <w:t>∇</w:t>
      </w:r>
      <w:r w:rsidRPr="00C91565">
        <w:rPr>
          <w:rFonts w:ascii="Arial" w:hAnsi="Arial" w:cs="Arial"/>
        </w:rPr>
        <w:t>ϕ</w:t>
      </w:r>
      <w:r w:rsidRPr="00C91565">
        <w:rPr>
          <w:rFonts w:ascii="Cambria Math" w:hAnsi="Cambria Math" w:cs="Cambria Math"/>
        </w:rPr>
        <w:t>ₛ</w:t>
      </w:r>
      <w:r w:rsidR="00440F9B" w:rsidRPr="00C91565">
        <w:rPr>
          <w:rFonts w:ascii="Arial" w:hAnsi="Arial" w:cs="Arial"/>
        </w:rPr>
        <w:t xml:space="preserve">      </w:t>
      </w:r>
      <w:r w:rsidR="00B2739C">
        <w:rPr>
          <w:rFonts w:ascii="Arial" w:hAnsi="Arial" w:cs="Arial"/>
        </w:rPr>
        <w:t xml:space="preserve">                                                                                                                    </w:t>
      </w:r>
      <w:proofErr w:type="gramStart"/>
      <w:r w:rsidR="00B2739C">
        <w:rPr>
          <w:rFonts w:ascii="Arial" w:hAnsi="Arial" w:cs="Arial"/>
        </w:rPr>
        <w:t xml:space="preserve">   </w:t>
      </w:r>
      <w:r w:rsidR="00B2739C" w:rsidRPr="00C91565">
        <w:rPr>
          <w:rFonts w:ascii="Arial" w:hAnsi="Arial" w:cs="Arial"/>
        </w:rPr>
        <w:t>(</w:t>
      </w:r>
      <w:proofErr w:type="gramEnd"/>
      <w:r w:rsidR="00B2739C" w:rsidRPr="00C91565">
        <w:rPr>
          <w:rFonts w:ascii="Arial" w:hAnsi="Arial" w:cs="Arial"/>
        </w:rPr>
        <w:t>7)</w:t>
      </w:r>
      <w:r w:rsidR="00440F9B" w:rsidRPr="00C91565">
        <w:rPr>
          <w:rFonts w:ascii="Arial" w:hAnsi="Arial" w:cs="Arial"/>
        </w:rPr>
        <w:t xml:space="preserve">                                                                                                                                                       </w:t>
      </w:r>
    </w:p>
    <w:p w14:paraId="5B378BDC" w14:textId="1914356C" w:rsidR="00026D0F" w:rsidRPr="00C91565" w:rsidRDefault="00020039" w:rsidP="00020039">
      <w:pPr>
        <w:spacing w:after="100" w:afterAutospacing="1"/>
        <w:jc w:val="both"/>
        <w:rPr>
          <w:rFonts w:ascii="Arial" w:hAnsi="Arial" w:cs="Arial"/>
          <w:lang w:val="en-GB"/>
        </w:rPr>
      </w:pPr>
      <w:r w:rsidRPr="00C91565">
        <w:rPr>
          <w:rFonts w:ascii="Arial" w:hAnsi="Arial" w:cs="Arial"/>
        </w:rPr>
        <w:t xml:space="preserve">where </w:t>
      </w:r>
      <w:proofErr w:type="spellStart"/>
      <w:r w:rsidRPr="00C91565">
        <w:rPr>
          <w:rFonts w:ascii="Arial" w:hAnsi="Arial" w:cs="Arial"/>
          <w:i/>
          <w:iCs/>
        </w:rPr>
        <w:t>i</w:t>
      </w:r>
      <w:proofErr w:type="spellEnd"/>
      <w:r w:rsidRPr="00C91565">
        <w:rPr>
          <w:rFonts w:ascii="Cambria Math" w:hAnsi="Cambria Math" w:cs="Cambria Math"/>
          <w:i/>
          <w:iCs/>
        </w:rPr>
        <w:t>ₛ</w:t>
      </w:r>
      <w:r w:rsidRPr="00C91565">
        <w:rPr>
          <w:rFonts w:ascii="Arial" w:hAnsi="Arial" w:cs="Arial"/>
        </w:rPr>
        <w:t xml:space="preserve"> is the current density (A/m²), σ</w:t>
      </w:r>
      <w:r w:rsidRPr="00C91565">
        <w:rPr>
          <w:rFonts w:ascii="Cambria Math" w:hAnsi="Cambria Math" w:cs="Cambria Math"/>
        </w:rPr>
        <w:t>ₛ</w:t>
      </w:r>
      <w:r w:rsidRPr="00C91565">
        <w:rPr>
          <w:rFonts w:ascii="Arial" w:hAnsi="Arial" w:cs="Arial"/>
        </w:rPr>
        <w:t xml:space="preserve"> is the electrical conductivity (S/m), and ϕ</w:t>
      </w:r>
      <w:r w:rsidRPr="00C91565">
        <w:rPr>
          <w:rFonts w:ascii="Cambria Math" w:hAnsi="Cambria Math" w:cs="Cambria Math"/>
        </w:rPr>
        <w:t>ₛ</w:t>
      </w:r>
      <w:r w:rsidRPr="00C91565">
        <w:rPr>
          <w:rFonts w:ascii="Arial" w:hAnsi="Arial" w:cs="Arial"/>
        </w:rPr>
        <w:t xml:space="preserve"> is the electric potential (V).</w:t>
      </w:r>
    </w:p>
    <w:p w14:paraId="230556CE" w14:textId="5A09B1FC" w:rsidR="0071526A" w:rsidRPr="00C91565" w:rsidRDefault="00020039" w:rsidP="00441B6F">
      <w:pPr>
        <w:pStyle w:val="Body"/>
        <w:spacing w:after="0"/>
        <w:rPr>
          <w:rFonts w:ascii="Arial" w:hAnsi="Arial" w:cs="Arial"/>
          <w:b/>
        </w:rPr>
      </w:pPr>
      <w:r w:rsidRPr="00C91565">
        <w:rPr>
          <w:rFonts w:ascii="Arial" w:hAnsi="Arial" w:cs="Arial"/>
          <w:b/>
          <w:bCs/>
          <w:lang w:val="en-GB"/>
        </w:rPr>
        <w:t>2.3.4.</w:t>
      </w:r>
      <w:r w:rsidRPr="00C91565">
        <w:rPr>
          <w:rFonts w:ascii="Arial" w:hAnsi="Arial" w:cs="Arial"/>
          <w:lang w:val="en-GB"/>
        </w:rPr>
        <w:t xml:space="preserve"> </w:t>
      </w:r>
      <w:r w:rsidRPr="00C91565">
        <w:rPr>
          <w:rFonts w:ascii="Arial" w:hAnsi="Arial" w:cs="Arial"/>
          <w:b/>
        </w:rPr>
        <w:t>Agglomerate Reaction Model</w:t>
      </w:r>
    </w:p>
    <w:p w14:paraId="4BD840ED" w14:textId="00EBFA57" w:rsidR="00020039" w:rsidRPr="00C91565" w:rsidRDefault="00020039" w:rsidP="00020039">
      <w:pPr>
        <w:spacing w:before="100" w:beforeAutospacing="1" w:after="100" w:afterAutospacing="1"/>
        <w:rPr>
          <w:rFonts w:ascii="Arial" w:hAnsi="Arial" w:cs="Arial"/>
        </w:rPr>
      </w:pPr>
      <w:r w:rsidRPr="00C91565">
        <w:rPr>
          <w:rFonts w:ascii="Arial" w:hAnsi="Arial" w:cs="Arial"/>
        </w:rPr>
        <w:lastRenderedPageBreak/>
        <w:t>Electrochemical reactions in the catalyst layers are described using an agglomerate model, which accounts for diffusion–reaction processes within spherical porous particles. The local current density is expressed as</w:t>
      </w:r>
      <w:r w:rsidR="002D58B0" w:rsidRPr="00C91565">
        <w:rPr>
          <w:rFonts w:ascii="Arial" w:hAnsi="Arial" w:cs="Arial"/>
        </w:rPr>
        <w:t xml:space="preserve"> (Pant et al., 2017)</w:t>
      </w:r>
      <w:r w:rsidRPr="00C91565">
        <w:rPr>
          <w:rFonts w:ascii="Arial" w:hAnsi="Arial" w:cs="Arial"/>
        </w:rPr>
        <w:t>:</w:t>
      </w:r>
    </w:p>
    <w:p w14:paraId="49F0E5C6" w14:textId="7E598BF2" w:rsidR="00020039" w:rsidRPr="00C91565" w:rsidRDefault="00020039" w:rsidP="00020039">
      <w:pPr>
        <w:spacing w:before="100" w:beforeAutospacing="1" w:after="100" w:afterAutospacing="1"/>
        <w:rPr>
          <w:rFonts w:ascii="Arial" w:hAnsi="Arial" w:cs="Arial"/>
          <w:kern w:val="2"/>
          <w:lang w:val="en-GB" w:eastAsia="zh-CN"/>
        </w:rPr>
      </w:pPr>
      <w:r w:rsidRPr="00C91565">
        <w:rPr>
          <w:rFonts w:ascii="Arial" w:hAnsi="Arial" w:cs="Arial"/>
          <w:kern w:val="2"/>
          <w:lang w:val="en-GB" w:eastAsia="zh-CN"/>
        </w:rPr>
        <w:t xml:space="preserve">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j</m:t>
            </m:r>
          </m:e>
          <m:sub>
            <m:r>
              <m:rPr>
                <m:sty m:val="p"/>
              </m:rPr>
              <w:rPr>
                <w:rFonts w:ascii="Cambria Math" w:hAnsi="Cambria Math" w:cs="Arial"/>
                <w:kern w:val="2"/>
                <w:lang w:val="en-GB" w:eastAsia="zh-CN"/>
              </w:rPr>
              <m:t>agg,e</m:t>
            </m:r>
          </m:sub>
        </m:sSub>
        <m:r>
          <m:rPr>
            <m:sty m:val="p"/>
          </m:rPr>
          <w:rPr>
            <w:rFonts w:ascii="Cambria Math" w:hAnsi="Cambria Math" w:cs="Arial"/>
            <w:kern w:val="2"/>
            <w:lang w:val="en-GB" w:eastAsia="zh-CN"/>
          </w:rPr>
          <m:t>=6</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n</m:t>
            </m:r>
          </m:e>
          <m:sub>
            <m:r>
              <m:rPr>
                <m:sty m:val="p"/>
              </m:rPr>
              <w:rPr>
                <w:rFonts w:ascii="Cambria Math" w:hAnsi="Cambria Math" w:cs="Arial"/>
                <w:kern w:val="2"/>
                <w:lang w:val="en-GB" w:eastAsia="zh-CN"/>
              </w:rPr>
              <m:t>e</m:t>
            </m:r>
          </m:sub>
        </m:sSub>
        <m:r>
          <m:rPr>
            <m:sty m:val="p"/>
          </m:rPr>
          <w:rPr>
            <w:rFonts w:ascii="Cambria Math" w:hAnsi="Cambria Math" w:cs="Arial"/>
            <w:kern w:val="2"/>
            <w:lang w:val="en-GB" w:eastAsia="zh-CN"/>
          </w:rPr>
          <m:t>F</m:t>
        </m:r>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agg</m:t>
                    </m:r>
                  </m:sub>
                </m:sSub>
              </m:num>
              <m:den>
                <m:sSubSup>
                  <m:sSubSupPr>
                    <m:ctrlPr>
                      <w:rPr>
                        <w:rFonts w:ascii="Cambria Math" w:hAnsi="Cambria Math" w:cs="Arial"/>
                        <w:kern w:val="2"/>
                        <w:lang w:val="en-GB" w:eastAsia="zh-CN"/>
                      </w:rPr>
                    </m:ctrlPr>
                  </m:sSubSupPr>
                  <m:e>
                    <m:r>
                      <m:rPr>
                        <m:sty m:val="p"/>
                      </m:rPr>
                      <w:rPr>
                        <w:rFonts w:ascii="Cambria Math" w:hAnsi="Cambria Math" w:cs="Arial"/>
                        <w:kern w:val="2"/>
                        <w:lang w:val="en-GB" w:eastAsia="zh-CN"/>
                      </w:rPr>
                      <m:t>R</m:t>
                    </m:r>
                  </m:e>
                  <m:sub>
                    <m:r>
                      <m:rPr>
                        <m:sty m:val="p"/>
                      </m:rPr>
                      <w:rPr>
                        <w:rFonts w:ascii="Cambria Math" w:hAnsi="Cambria Math" w:cs="Arial"/>
                        <w:kern w:val="2"/>
                        <w:lang w:val="en-GB" w:eastAsia="zh-CN"/>
                      </w:rPr>
                      <m:t>agg</m:t>
                    </m:r>
                  </m:sub>
                  <m:sup>
                    <m:r>
                      <m:rPr>
                        <m:sty m:val="p"/>
                      </m:rPr>
                      <w:rPr>
                        <w:rFonts w:ascii="Cambria Math" w:hAnsi="Cambria Math" w:cs="Arial"/>
                        <w:kern w:val="2"/>
                        <w:lang w:val="en-GB" w:eastAsia="zh-CN"/>
                      </w:rPr>
                      <m:t>2</m:t>
                    </m:r>
                  </m:sup>
                </m:sSubSup>
              </m:den>
            </m:f>
          </m:e>
        </m:d>
        <m:d>
          <m:dPr>
            <m:ctrlPr>
              <w:rPr>
                <w:rFonts w:ascii="Cambria Math" w:hAnsi="Cambria Math" w:cs="Arial"/>
                <w:kern w:val="2"/>
                <w:lang w:val="en-GB" w:eastAsia="zh-CN"/>
              </w:rPr>
            </m:ctrlPr>
          </m:dPr>
          <m:e>
            <m:r>
              <m:rPr>
                <m:sty m:val="p"/>
              </m:rPr>
              <w:rPr>
                <w:rFonts w:ascii="Cambria Math" w:hAnsi="Cambria Math" w:cs="Arial"/>
                <w:kern w:val="2"/>
                <w:lang w:val="en-GB" w:eastAsia="zh-CN"/>
              </w:rPr>
              <m:t>1-</m:t>
            </m:r>
            <w:bookmarkStart w:id="5" w:name="_Hlk226433192"/>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λ</m:t>
                </m:r>
              </m:e>
              <m:sub>
                <m:r>
                  <m:rPr>
                    <m:sty m:val="p"/>
                  </m:rPr>
                  <w:rPr>
                    <w:rFonts w:ascii="Cambria Math" w:hAnsi="Cambria Math" w:cs="Arial"/>
                    <w:kern w:val="2"/>
                    <w:lang w:val="en-GB" w:eastAsia="zh-CN"/>
                  </w:rPr>
                  <m:t>e</m:t>
                </m:r>
              </m:sub>
            </m:sSub>
            <w:bookmarkEnd w:id="5"/>
            <m:r>
              <m:rPr>
                <m:sty m:val="p"/>
              </m:rPr>
              <w:rPr>
                <w:rFonts w:ascii="Cambria Math" w:hAnsi="Cambria Math" w:cs="Arial"/>
                <w:kern w:val="2"/>
                <w:lang w:val="en-GB" w:eastAsia="zh-CN"/>
              </w:rPr>
              <m:t>coth</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λ</m:t>
                </m:r>
              </m:e>
              <m:sub>
                <m:r>
                  <m:rPr>
                    <m:sty m:val="p"/>
                  </m:rPr>
                  <w:rPr>
                    <w:rFonts w:ascii="Cambria Math" w:hAnsi="Cambria Math" w:cs="Arial"/>
                    <w:kern w:val="2"/>
                    <w:lang w:val="en-GB" w:eastAsia="zh-CN"/>
                  </w:rPr>
                  <m:t>e</m:t>
                </m:r>
              </m:sub>
            </m:sSub>
          </m:e>
        </m:d>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β</m:t>
            </m:r>
          </m:e>
          <m:sub>
            <m:r>
              <m:rPr>
                <m:sty m:val="p"/>
              </m:rPr>
              <w:rPr>
                <w:rFonts w:ascii="Cambria Math" w:hAnsi="Cambria Math" w:cs="Arial"/>
                <w:kern w:val="2"/>
                <w:lang w:val="en-GB" w:eastAsia="zh-CN"/>
              </w:rPr>
              <m:t>e</m:t>
            </m:r>
          </m:sub>
        </m:sSub>
      </m:oMath>
      <w:r w:rsidRPr="00C91565">
        <w:rPr>
          <w:rFonts w:ascii="Arial" w:hAnsi="Arial" w:cs="Arial"/>
          <w:kern w:val="2"/>
          <w:highlight w:val="white"/>
          <w:lang w:val="en-GB" w:eastAsia="zh-CN"/>
        </w:rPr>
        <w:t xml:space="preserve">     </w:t>
      </w:r>
      <w:r w:rsidR="00440F9B" w:rsidRPr="00C91565">
        <w:rPr>
          <w:rFonts w:ascii="Arial" w:hAnsi="Arial" w:cs="Arial"/>
          <w:kern w:val="2"/>
          <w:lang w:val="en-GB" w:eastAsia="zh-CN"/>
        </w:rPr>
        <w:t xml:space="preserve">                                                                       </w:t>
      </w:r>
      <w:r w:rsidR="00B2739C">
        <w:rPr>
          <w:rFonts w:ascii="Arial" w:hAnsi="Arial" w:cs="Arial"/>
          <w:kern w:val="2"/>
          <w:lang w:val="en-GB" w:eastAsia="zh-CN"/>
        </w:rPr>
        <w:t xml:space="preserve">      </w:t>
      </w:r>
      <w:r w:rsidR="00440F9B" w:rsidRPr="00C91565">
        <w:rPr>
          <w:rFonts w:ascii="Arial" w:hAnsi="Arial" w:cs="Arial"/>
          <w:kern w:val="2"/>
          <w:lang w:val="en-GB" w:eastAsia="zh-CN"/>
        </w:rPr>
        <w:t xml:space="preserve"> </w:t>
      </w:r>
      <w:r w:rsidR="00B2739C">
        <w:rPr>
          <w:rFonts w:ascii="Arial" w:hAnsi="Arial" w:cs="Arial"/>
          <w:kern w:val="2"/>
          <w:lang w:val="en-GB" w:eastAsia="zh-CN"/>
        </w:rPr>
        <w:t xml:space="preserve">  </w:t>
      </w:r>
      <w:r w:rsidR="00440F9B" w:rsidRPr="00C91565">
        <w:rPr>
          <w:rFonts w:ascii="Arial" w:hAnsi="Arial" w:cs="Arial"/>
          <w:kern w:val="2"/>
          <w:lang w:val="en-GB" w:eastAsia="zh-CN"/>
        </w:rPr>
        <w:t xml:space="preserve"> (8)</w:t>
      </w:r>
    </w:p>
    <w:p w14:paraId="003F41C7" w14:textId="150A0CCA" w:rsidR="002F3976" w:rsidRPr="00C91565" w:rsidRDefault="00020039" w:rsidP="002F3976">
      <w:pPr>
        <w:rPr>
          <w:rFonts w:ascii="Arial" w:hAnsi="Arial" w:cs="Arial"/>
          <w:kern w:val="2"/>
          <w:lang w:eastAsia="zh-CN"/>
        </w:rPr>
      </w:pPr>
      <w:r w:rsidRPr="00C91565">
        <w:rPr>
          <w:rFonts w:ascii="Arial" w:hAnsi="Arial" w:cs="Arial"/>
        </w:rPr>
        <w:t xml:space="preserve">where </w:t>
      </w:r>
      <w:proofErr w:type="spellStart"/>
      <w:r w:rsidRPr="00C91565">
        <w:rPr>
          <w:rFonts w:ascii="Arial" w:hAnsi="Arial" w:cs="Arial"/>
        </w:rPr>
        <w:t>Dₐgg</w:t>
      </w:r>
      <w:proofErr w:type="spellEnd"/>
      <w:r w:rsidRPr="00C91565">
        <w:rPr>
          <w:rFonts w:ascii="Arial" w:hAnsi="Arial" w:cs="Arial"/>
        </w:rPr>
        <w:t xml:space="preserve"> is the effective diffusivity (m²/s), </w:t>
      </w:r>
      <w:proofErr w:type="spellStart"/>
      <w:r w:rsidRPr="00C91565">
        <w:rPr>
          <w:rFonts w:ascii="Arial" w:hAnsi="Arial" w:cs="Arial"/>
        </w:rPr>
        <w:t>Rₐgg</w:t>
      </w:r>
      <w:proofErr w:type="spellEnd"/>
      <w:r w:rsidRPr="00C91565">
        <w:rPr>
          <w:rFonts w:ascii="Arial" w:hAnsi="Arial" w:cs="Arial"/>
        </w:rPr>
        <w:t xml:space="preserve"> is the agglomerate radius (m), nₑ is the number of electrons transferred, F is Faraday’s constant</w:t>
      </w:r>
      <w:r w:rsidR="002F3976" w:rsidRPr="00C91565">
        <w:rPr>
          <w:rFonts w:ascii="Arial" w:hAnsi="Arial" w:cs="Arial"/>
        </w:rPr>
        <w:t xml:space="preserve"> and </w:t>
      </w: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λ</m:t>
            </m:r>
          </m:e>
          <m:sub>
            <m:r>
              <m:rPr>
                <m:sty m:val="p"/>
              </m:rPr>
              <w:rPr>
                <w:rFonts w:ascii="Cambria Math" w:hAnsi="Cambria Math" w:cs="Arial"/>
                <w:kern w:val="2"/>
                <w:lang w:eastAsia="zh-CN"/>
              </w:rPr>
              <m:t>e</m:t>
            </m:r>
          </m:sub>
        </m:sSub>
      </m:oMath>
      <w:r w:rsidR="002F3976" w:rsidRPr="00C91565">
        <w:rPr>
          <w:rFonts w:ascii="Arial" w:hAnsi="Arial" w:cs="Arial"/>
          <w:kern w:val="2"/>
          <w:lang w:eastAsia="zh-CN"/>
        </w:rPr>
        <w:t>describes the equilibrium between electrochemical kinetics and mass transport.</w:t>
      </w:r>
    </w:p>
    <w:p w14:paraId="42B23B2E" w14:textId="15CB173C" w:rsidR="00020039" w:rsidRPr="00C91565" w:rsidRDefault="00020039" w:rsidP="006E3887">
      <w:pPr>
        <w:spacing w:before="100" w:beforeAutospacing="1" w:after="100" w:afterAutospacing="1"/>
        <w:jc w:val="both"/>
        <w:rPr>
          <w:rFonts w:ascii="Arial" w:hAnsi="Arial" w:cs="Arial"/>
        </w:rPr>
      </w:pPr>
      <w:r w:rsidRPr="00C91565">
        <w:rPr>
          <w:rFonts w:ascii="Arial" w:hAnsi="Arial" w:cs="Arial"/>
        </w:rPr>
        <w:t>.</w:t>
      </w:r>
    </w:p>
    <w:p w14:paraId="28C76EB4" w14:textId="0998A2F3" w:rsidR="006E3887" w:rsidRPr="00C91565" w:rsidRDefault="006E3887" w:rsidP="006E3887">
      <w:pPr>
        <w:spacing w:before="100" w:beforeAutospacing="1" w:after="100" w:afterAutospacing="1"/>
        <w:jc w:val="both"/>
        <w:rPr>
          <w:rFonts w:ascii="Arial" w:hAnsi="Arial" w:cs="Arial"/>
          <w:lang w:val="en-GB"/>
        </w:rPr>
      </w:pPr>
      <w:r w:rsidRPr="00C91565">
        <w:rPr>
          <w:rFonts w:ascii="Arial" w:hAnsi="Arial" w:cs="Arial"/>
          <w:b/>
          <w:bCs/>
          <w:lang w:val="en-GB"/>
        </w:rPr>
        <w:t>2.3.5.</w:t>
      </w:r>
      <w:r w:rsidRPr="00C91565">
        <w:rPr>
          <w:rFonts w:ascii="Arial" w:hAnsi="Arial" w:cs="Arial"/>
          <w:lang w:val="en-GB"/>
        </w:rPr>
        <w:t xml:space="preserve"> </w:t>
      </w:r>
      <w:r w:rsidRPr="00C91565">
        <w:rPr>
          <w:rFonts w:ascii="Arial" w:hAnsi="Arial" w:cs="Arial"/>
          <w:b/>
        </w:rPr>
        <w:t>Multicomponent Mass Transport (Maxwell–Stefan)</w:t>
      </w:r>
    </w:p>
    <w:p w14:paraId="3DE95C5C" w14:textId="763DF0F9" w:rsidR="006E3887" w:rsidRPr="00C91565" w:rsidRDefault="006E3887" w:rsidP="006E3887">
      <w:pPr>
        <w:spacing w:before="100" w:beforeAutospacing="1" w:after="100" w:afterAutospacing="1"/>
        <w:jc w:val="both"/>
        <w:rPr>
          <w:rFonts w:ascii="Arial" w:hAnsi="Arial" w:cs="Arial"/>
        </w:rPr>
      </w:pPr>
      <w:r w:rsidRPr="00C91565">
        <w:rPr>
          <w:rFonts w:ascii="Arial" w:hAnsi="Arial" w:cs="Arial"/>
        </w:rPr>
        <w:t>Species transport is modeled using the Maxwell–Stefan equations for multicomponent diffusion</w:t>
      </w:r>
      <w:r w:rsidR="002A2C34" w:rsidRPr="00C91565">
        <w:rPr>
          <w:rFonts w:ascii="Arial" w:hAnsi="Arial" w:cs="Arial"/>
        </w:rPr>
        <w:t xml:space="preserve"> (Farsi et al., 2025; Berger et al., 2025)</w:t>
      </w:r>
      <w:r w:rsidRPr="00C91565">
        <w:rPr>
          <w:rFonts w:ascii="Arial" w:hAnsi="Arial" w:cs="Arial"/>
        </w:rPr>
        <w:t>:</w:t>
      </w:r>
    </w:p>
    <w:p w14:paraId="3C891DA6" w14:textId="492E9628" w:rsidR="006E3887" w:rsidRPr="00C91565" w:rsidRDefault="006E3887" w:rsidP="006E3887">
      <w:pPr>
        <w:spacing w:before="100" w:beforeAutospacing="1" w:after="100" w:afterAutospacing="1"/>
        <w:jc w:val="both"/>
        <w:rPr>
          <w:rFonts w:ascii="Arial" w:hAnsi="Arial" w:cs="Arial"/>
        </w:rPr>
      </w:pPr>
      <w:r w:rsidRPr="00C91565">
        <w:rPr>
          <w:rFonts w:ascii="Cambria Math" w:hAnsi="Cambria Math" w:cs="Cambria Math"/>
        </w:rPr>
        <w:t>∇</w:t>
      </w:r>
      <w:r w:rsidRPr="00C91565">
        <w:rPr>
          <w:rFonts w:ascii="Arial" w:hAnsi="Arial" w:cs="Arial"/>
        </w:rPr>
        <w:t>·Jᵢ = 0</w:t>
      </w:r>
      <w:r w:rsidR="00440F9B" w:rsidRPr="00C91565">
        <w:rPr>
          <w:rFonts w:ascii="Arial" w:hAnsi="Arial" w:cs="Arial"/>
        </w:rPr>
        <w:t xml:space="preserve">                                                                                                                      </w:t>
      </w:r>
      <w:r w:rsidR="00B2739C">
        <w:rPr>
          <w:rFonts w:ascii="Arial" w:hAnsi="Arial" w:cs="Arial"/>
        </w:rPr>
        <w:t xml:space="preserve">       </w:t>
      </w:r>
      <w:r w:rsidR="00440F9B" w:rsidRPr="00C91565">
        <w:rPr>
          <w:rFonts w:ascii="Arial" w:hAnsi="Arial" w:cs="Arial"/>
        </w:rPr>
        <w:t xml:space="preserve"> </w:t>
      </w:r>
      <w:proofErr w:type="gramStart"/>
      <w:r w:rsidR="00440F9B" w:rsidRPr="00C91565">
        <w:rPr>
          <w:rFonts w:ascii="Arial" w:hAnsi="Arial" w:cs="Arial"/>
        </w:rPr>
        <w:t xml:space="preserve">   (</w:t>
      </w:r>
      <w:proofErr w:type="gramEnd"/>
      <w:r w:rsidR="00440F9B" w:rsidRPr="00C91565">
        <w:rPr>
          <w:rFonts w:ascii="Arial" w:hAnsi="Arial" w:cs="Arial"/>
        </w:rPr>
        <w:t>9)</w:t>
      </w:r>
    </w:p>
    <w:p w14:paraId="7343362E" w14:textId="77777777" w:rsidR="006E3887" w:rsidRPr="00C91565" w:rsidRDefault="006E3887" w:rsidP="006E3887">
      <w:pPr>
        <w:spacing w:before="100" w:beforeAutospacing="1" w:after="100" w:afterAutospacing="1"/>
        <w:jc w:val="both"/>
        <w:rPr>
          <w:rFonts w:ascii="Arial" w:hAnsi="Arial" w:cs="Arial"/>
        </w:rPr>
      </w:pPr>
      <w:r w:rsidRPr="00C91565">
        <w:rPr>
          <w:rFonts w:ascii="Arial" w:hAnsi="Arial" w:cs="Arial"/>
        </w:rPr>
        <w:t xml:space="preserve">where the flux </w:t>
      </w:r>
      <w:r w:rsidRPr="00C91565">
        <w:rPr>
          <w:rFonts w:ascii="Arial" w:hAnsi="Arial" w:cs="Arial"/>
          <w:i/>
          <w:iCs/>
        </w:rPr>
        <w:t>Jᵢ</w:t>
      </w:r>
      <w:r w:rsidRPr="00C91565">
        <w:rPr>
          <w:rFonts w:ascii="Arial" w:hAnsi="Arial" w:cs="Arial"/>
        </w:rPr>
        <w:t xml:space="preserve"> includes diffusion and convection contributions.</w:t>
      </w:r>
    </w:p>
    <w:p w14:paraId="74826A7C" w14:textId="77777777" w:rsidR="006E3887" w:rsidRPr="00C91565" w:rsidRDefault="006E3887" w:rsidP="006E3887">
      <w:pPr>
        <w:spacing w:before="100" w:beforeAutospacing="1" w:after="100" w:afterAutospacing="1"/>
        <w:jc w:val="both"/>
        <w:rPr>
          <w:rFonts w:ascii="Arial" w:hAnsi="Arial" w:cs="Arial"/>
        </w:rPr>
      </w:pPr>
      <w:r w:rsidRPr="00C91565">
        <w:rPr>
          <w:rFonts w:ascii="Arial" w:hAnsi="Arial" w:cs="Arial"/>
        </w:rPr>
        <w:t>In porous media, the effective diffusion coefficient is corrected as:</w:t>
      </w:r>
    </w:p>
    <w:p w14:paraId="3FC202B9" w14:textId="5302F400" w:rsidR="006E3887" w:rsidRPr="00C91565" w:rsidRDefault="002832C6" w:rsidP="006E3887">
      <w:pPr>
        <w:pStyle w:val="Body"/>
        <w:spacing w:after="0"/>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ij,eff</m:t>
            </m:r>
          </m:sub>
        </m:sSub>
        <m:r>
          <w:rPr>
            <w:rFonts w:ascii="Cambria Math" w:hAnsi="Cambria Math" w:cs="Arial"/>
            <w:kern w:val="2"/>
            <w:lang w:val="en-GB" w:eastAsia="zh-CN"/>
          </w:rPr>
          <m:t>=</m:t>
        </m:r>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ε</m:t>
            </m:r>
          </m:e>
          <m:sub>
            <m:r>
              <m:rPr>
                <m:sty m:val="p"/>
              </m:rPr>
              <w:rPr>
                <w:rFonts w:ascii="Cambria Math" w:hAnsi="Cambria Math" w:cs="Arial"/>
                <w:kern w:val="2"/>
                <w:lang w:val="en-GB" w:eastAsia="zh-CN"/>
              </w:rPr>
              <m:t>g</m:t>
            </m:r>
          </m:sub>
        </m:sSub>
        <m:sSubSup>
          <m:sSubSupPr>
            <m:ctrlPr>
              <w:rPr>
                <w:rFonts w:ascii="Cambria Math" w:hAnsi="Cambria Math" w:cs="Arial"/>
                <w:i/>
                <w:kern w:val="2"/>
                <w:lang w:val="en-GB" w:eastAsia="zh-CN"/>
              </w:rPr>
            </m:ctrlPr>
          </m:sSubSupPr>
          <m:e>
            <m:r>
              <w:rPr>
                <w:rFonts w:ascii="Cambria Math" w:hAnsi="Cambria Math" w:cs="Arial"/>
                <w:kern w:val="2"/>
                <w:lang w:val="en-GB" w:eastAsia="zh-CN"/>
              </w:rPr>
              <m:t>τ</m:t>
            </m:r>
          </m:e>
          <m:sub>
            <m:r>
              <w:rPr>
                <w:rFonts w:ascii="Cambria Math" w:hAnsi="Cambria Math" w:cs="Arial"/>
                <w:kern w:val="2"/>
                <w:lang w:val="en-GB" w:eastAsia="zh-CN"/>
              </w:rPr>
              <m:t>g</m:t>
            </m:r>
          </m:sub>
          <m:sup>
            <m:r>
              <w:rPr>
                <w:rFonts w:ascii="Cambria Math" w:hAnsi="Cambria Math" w:cs="Arial"/>
                <w:kern w:val="2"/>
                <w:lang w:val="en-GB" w:eastAsia="zh-CN"/>
              </w:rPr>
              <m:t>-1</m:t>
            </m:r>
          </m:sup>
        </m:sSubSup>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D</m:t>
            </m:r>
          </m:e>
          <m:sub>
            <m:r>
              <m:rPr>
                <m:sty m:val="p"/>
              </m:rPr>
              <w:rPr>
                <w:rFonts w:ascii="Cambria Math" w:hAnsi="Cambria Math" w:cs="Arial"/>
                <w:kern w:val="2"/>
                <w:lang w:val="en-GB" w:eastAsia="zh-CN"/>
              </w:rPr>
              <m:t xml:space="preserve">ij </m:t>
            </m:r>
          </m:sub>
        </m:sSub>
      </m:oMath>
      <w:r w:rsidR="006E3887" w:rsidRPr="00C91565">
        <w:rPr>
          <w:rFonts w:ascii="Arial" w:hAnsi="Arial" w:cs="Arial"/>
          <w:kern w:val="2"/>
          <w:highlight w:val="white"/>
          <w:lang w:val="en-GB" w:eastAsia="zh-CN"/>
        </w:rPr>
        <w:t xml:space="preserve">        </w:t>
      </w:r>
      <w:r w:rsidR="00440F9B" w:rsidRPr="00C91565">
        <w:rPr>
          <w:rFonts w:ascii="Arial" w:hAnsi="Arial" w:cs="Arial"/>
          <w:kern w:val="2"/>
          <w:highlight w:val="white"/>
          <w:lang w:val="en-GB" w:eastAsia="zh-CN"/>
        </w:rPr>
        <w:t xml:space="preserve">                                                                                                  </w:t>
      </w:r>
      <w:r w:rsidR="00B2739C">
        <w:rPr>
          <w:rFonts w:ascii="Arial" w:hAnsi="Arial" w:cs="Arial"/>
          <w:kern w:val="2"/>
          <w:highlight w:val="white"/>
          <w:lang w:val="en-GB" w:eastAsia="zh-CN"/>
        </w:rPr>
        <w:t xml:space="preserve">    </w:t>
      </w:r>
      <w:r w:rsidR="00440F9B" w:rsidRPr="00C91565">
        <w:rPr>
          <w:rFonts w:ascii="Arial" w:hAnsi="Arial" w:cs="Arial"/>
          <w:kern w:val="2"/>
          <w:highlight w:val="white"/>
          <w:lang w:val="en-GB" w:eastAsia="zh-CN"/>
        </w:rPr>
        <w:t xml:space="preserve">   (10)</w:t>
      </w:r>
      <w:r w:rsidR="006E3887" w:rsidRPr="00C91565">
        <w:rPr>
          <w:rFonts w:ascii="Arial" w:hAnsi="Arial" w:cs="Arial"/>
          <w:kern w:val="2"/>
          <w:highlight w:val="white"/>
          <w:lang w:val="en-GB" w:eastAsia="zh-CN"/>
        </w:rPr>
        <w:t xml:space="preserve">   </w:t>
      </w:r>
    </w:p>
    <w:p w14:paraId="0BF3D6FA" w14:textId="2C1BC0D9" w:rsidR="0071526A" w:rsidRPr="00C91565" w:rsidRDefault="006E3887" w:rsidP="006E3887">
      <w:pPr>
        <w:pStyle w:val="Body"/>
        <w:spacing w:after="0"/>
        <w:rPr>
          <w:rFonts w:ascii="Arial" w:hAnsi="Arial" w:cs="Arial"/>
        </w:rPr>
      </w:pPr>
      <w:r w:rsidRPr="00C91565">
        <w:rPr>
          <w:rFonts w:ascii="Arial" w:hAnsi="Arial" w:cs="Arial"/>
        </w:rPr>
        <w:t>where ε is the porosity and τ is the tortuosity.</w:t>
      </w:r>
    </w:p>
    <w:p w14:paraId="6CDFB581" w14:textId="77777777" w:rsidR="006E3887" w:rsidRPr="00C91565" w:rsidRDefault="006E3887" w:rsidP="006E3887">
      <w:pPr>
        <w:spacing w:before="100" w:beforeAutospacing="1" w:after="100" w:afterAutospacing="1"/>
        <w:jc w:val="both"/>
        <w:rPr>
          <w:rFonts w:ascii="Arial" w:hAnsi="Arial" w:cs="Arial"/>
        </w:rPr>
      </w:pPr>
      <w:proofErr w:type="spellStart"/>
      <w:r w:rsidRPr="00C91565">
        <w:rPr>
          <w:rFonts w:ascii="Arial" w:hAnsi="Arial" w:cs="Arial"/>
        </w:rPr>
        <w:t>ortuosity</w:t>
      </w:r>
      <w:proofErr w:type="spellEnd"/>
      <w:r w:rsidRPr="00C91565">
        <w:rPr>
          <w:rFonts w:ascii="Arial" w:hAnsi="Arial" w:cs="Arial"/>
        </w:rPr>
        <w:t xml:space="preserve"> is modeled as a second-order tensor to account for anisotropic transport:</w:t>
      </w:r>
    </w:p>
    <w:p w14:paraId="7979E0BA" w14:textId="330AFE7E" w:rsidR="006E3887" w:rsidRPr="00C91565" w:rsidRDefault="002832C6" w:rsidP="006E3887">
      <w:pPr>
        <w:pStyle w:val="Body"/>
        <w:spacing w:after="0"/>
        <w:rPr>
          <w:rFonts w:ascii="Arial" w:hAnsi="Arial" w:cs="Arial"/>
          <w:kern w:val="2"/>
          <w:lang w:val="en-GB" w:eastAsia="zh-CN"/>
        </w:rPr>
      </w:pPr>
      <m:oMath>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r>
          <m:rPr>
            <m:sty m:val="p"/>
          </m:rPr>
          <w:rPr>
            <w:rFonts w:ascii="Cambria Math" w:hAnsi="Cambria Math" w:cs="Arial"/>
            <w:kern w:val="2"/>
            <w:lang w:val="en-GB" w:eastAsia="zh-CN"/>
          </w:rPr>
          <m:t>=</m:t>
        </m:r>
        <m:d>
          <m:dPr>
            <m:begChr m:val="["/>
            <m:endChr m:val="]"/>
            <m:ctrlPr>
              <w:rPr>
                <w:rFonts w:ascii="Cambria Math" w:hAnsi="Cambria Math" w:cs="Arial"/>
                <w:kern w:val="2"/>
                <w:lang w:val="en-GB" w:eastAsia="zh-CN"/>
              </w:rPr>
            </m:ctrlPr>
          </m:dPr>
          <m:e>
            <m:m>
              <m:mPr>
                <m:mcs>
                  <m:mc>
                    <m:mcPr>
                      <m:count m:val="2"/>
                      <m:mcJc m:val="center"/>
                    </m:mcPr>
                  </m:mc>
                </m:mcs>
                <m:ctrlPr>
                  <w:rPr>
                    <w:rFonts w:ascii="Cambria Math" w:hAnsi="Cambria Math" w:cs="Arial"/>
                    <w:kern w:val="2"/>
                    <w:lang w:val="en-GB" w:eastAsia="zh-CN"/>
                  </w:rPr>
                </m:ctrlPr>
              </m:mPr>
              <m:mr>
                <m:e>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r>
                    <m:rPr>
                      <m:sty m:val="p"/>
                    </m:rPr>
                    <w:rPr>
                      <w:rFonts w:ascii="Cambria Math" w:hAnsi="Cambria Math" w:cs="Arial"/>
                      <w:kern w:val="2"/>
                      <w:lang w:val="en-GB" w:eastAsia="zh-CN"/>
                    </w:rPr>
                    <m:t>,</m:t>
                  </m:r>
                  <m:r>
                    <w:rPr>
                      <w:rFonts w:ascii="Cambria Math" w:hAnsi="Cambria Math" w:cs="Arial"/>
                      <w:kern w:val="2"/>
                      <w:lang w:val="en-GB" w:eastAsia="zh-CN"/>
                    </w:rPr>
                    <m:t>xx</m:t>
                  </m:r>
                </m:e>
                <m:e>
                  <m:r>
                    <m:rPr>
                      <m:sty m:val="p"/>
                    </m:rPr>
                    <w:rPr>
                      <w:rFonts w:ascii="Cambria Math" w:hAnsi="Cambria Math" w:cs="Arial"/>
                      <w:kern w:val="2"/>
                      <w:lang w:val="en-GB" w:eastAsia="zh-CN"/>
                    </w:rPr>
                    <m:t>0</m:t>
                  </m:r>
                </m:e>
              </m:mr>
              <m:mr>
                <m:e>
                  <m:r>
                    <m:rPr>
                      <m:sty m:val="p"/>
                    </m:rPr>
                    <w:rPr>
                      <w:rFonts w:ascii="Cambria Math" w:hAnsi="Cambria Math" w:cs="Arial"/>
                      <w:kern w:val="2"/>
                      <w:lang w:val="en-GB" w:eastAsia="zh-CN"/>
                    </w:rPr>
                    <m:t>0</m:t>
                  </m:r>
                </m:e>
                <m:e>
                  <m:sSub>
                    <m:sSubPr>
                      <m:ctrlPr>
                        <w:rPr>
                          <w:rFonts w:ascii="Cambria Math" w:hAnsi="Cambria Math" w:cs="Arial"/>
                          <w:kern w:val="2"/>
                          <w:lang w:val="en-GB" w:eastAsia="zh-CN"/>
                        </w:rPr>
                      </m:ctrlPr>
                    </m:sSubPr>
                    <m:e>
                      <m:r>
                        <m:rPr>
                          <m:sty m:val="p"/>
                        </m:rPr>
                        <w:rPr>
                          <w:rFonts w:ascii="Cambria Math" w:hAnsi="Cambria Math" w:cs="Arial"/>
                          <w:kern w:val="2"/>
                          <w:lang w:val="en-GB" w:eastAsia="zh-CN"/>
                        </w:rPr>
                        <m:t>τ</m:t>
                      </m:r>
                    </m:e>
                    <m:sub>
                      <m:r>
                        <m:rPr>
                          <m:sty m:val="p"/>
                        </m:rPr>
                        <w:rPr>
                          <w:rFonts w:ascii="Cambria Math" w:hAnsi="Cambria Math" w:cs="Arial"/>
                          <w:kern w:val="2"/>
                          <w:lang w:val="en-GB" w:eastAsia="zh-CN"/>
                        </w:rPr>
                        <m:t>g</m:t>
                      </m:r>
                    </m:sub>
                  </m:sSub>
                  <m:r>
                    <m:rPr>
                      <m:sty m:val="p"/>
                    </m:rPr>
                    <w:rPr>
                      <w:rFonts w:ascii="Cambria Math" w:hAnsi="Cambria Math" w:cs="Arial"/>
                      <w:kern w:val="2"/>
                      <w:lang w:val="en-GB" w:eastAsia="zh-CN"/>
                    </w:rPr>
                    <m:t>,</m:t>
                  </m:r>
                  <m:r>
                    <w:rPr>
                      <w:rFonts w:ascii="Cambria Math" w:hAnsi="Cambria Math" w:cs="Arial"/>
                      <w:kern w:val="2"/>
                      <w:lang w:val="en-GB" w:eastAsia="zh-CN"/>
                    </w:rPr>
                    <m:t>yy</m:t>
                  </m:r>
                </m:e>
              </m:mr>
            </m:m>
          </m:e>
        </m:d>
      </m:oMath>
      <w:r w:rsidR="006E3887" w:rsidRPr="00C91565">
        <w:rPr>
          <w:rFonts w:ascii="Arial" w:hAnsi="Arial" w:cs="Arial"/>
          <w:kern w:val="2"/>
          <w:lang w:val="en-GB" w:eastAsia="zh-CN"/>
        </w:rPr>
        <w:t xml:space="preserve">        </w:t>
      </w:r>
      <w:r w:rsidR="00440F9B" w:rsidRPr="00C91565">
        <w:rPr>
          <w:rFonts w:ascii="Arial" w:hAnsi="Arial" w:cs="Arial"/>
          <w:kern w:val="2"/>
          <w:lang w:val="en-GB" w:eastAsia="zh-CN"/>
        </w:rPr>
        <w:t xml:space="preserve">                                                                                             </w:t>
      </w:r>
      <w:r w:rsidR="00B2739C">
        <w:rPr>
          <w:rFonts w:ascii="Arial" w:hAnsi="Arial" w:cs="Arial"/>
          <w:kern w:val="2"/>
          <w:lang w:val="en-GB" w:eastAsia="zh-CN"/>
        </w:rPr>
        <w:t xml:space="preserve">    </w:t>
      </w:r>
      <w:r w:rsidR="00440F9B" w:rsidRPr="00C91565">
        <w:rPr>
          <w:rFonts w:ascii="Arial" w:hAnsi="Arial" w:cs="Arial"/>
          <w:kern w:val="2"/>
          <w:lang w:val="en-GB" w:eastAsia="zh-CN"/>
        </w:rPr>
        <w:t xml:space="preserve">   (11)</w:t>
      </w:r>
      <w:r w:rsidR="006E3887" w:rsidRPr="00C91565">
        <w:rPr>
          <w:rFonts w:ascii="Arial" w:hAnsi="Arial" w:cs="Arial"/>
          <w:kern w:val="2"/>
          <w:lang w:val="en-GB" w:eastAsia="zh-CN"/>
        </w:rPr>
        <w:t xml:space="preserve">   </w:t>
      </w:r>
    </w:p>
    <w:p w14:paraId="4FCC9138" w14:textId="1F2F6D1E" w:rsidR="006E3887" w:rsidRPr="00C91565" w:rsidRDefault="006E3887" w:rsidP="006E3887">
      <w:pPr>
        <w:pStyle w:val="Body"/>
        <w:spacing w:after="0"/>
        <w:rPr>
          <w:rFonts w:ascii="Arial" w:hAnsi="Arial" w:cs="Arial"/>
        </w:rPr>
      </w:pPr>
      <w:r w:rsidRPr="00C91565">
        <w:rPr>
          <w:rFonts w:ascii="Arial" w:hAnsi="Arial" w:cs="Arial"/>
        </w:rPr>
        <w:t>This formulation allows capturing directional differences in species transport within the GDL.</w:t>
      </w:r>
    </w:p>
    <w:p w14:paraId="14DCE554" w14:textId="2BD4B887" w:rsidR="006E3887" w:rsidRPr="00C91565" w:rsidRDefault="006E3887" w:rsidP="006E3887">
      <w:pPr>
        <w:spacing w:before="100" w:beforeAutospacing="1" w:after="100" w:afterAutospacing="1"/>
        <w:rPr>
          <w:rFonts w:ascii="Arial" w:hAnsi="Arial" w:cs="Arial"/>
          <w:b/>
        </w:rPr>
      </w:pPr>
      <w:r w:rsidRPr="00C91565">
        <w:rPr>
          <w:rFonts w:ascii="Arial" w:hAnsi="Arial" w:cs="Arial"/>
          <w:b/>
        </w:rPr>
        <w:t>2.3.6. Membrane Transport</w:t>
      </w:r>
    </w:p>
    <w:p w14:paraId="79567871" w14:textId="63EB0AE8" w:rsidR="006E3887" w:rsidRPr="00C91565" w:rsidRDefault="006E3887" w:rsidP="006E3887">
      <w:pPr>
        <w:spacing w:before="100" w:beforeAutospacing="1" w:after="100" w:afterAutospacing="1"/>
        <w:rPr>
          <w:rFonts w:ascii="Arial" w:hAnsi="Arial" w:cs="Arial"/>
        </w:rPr>
      </w:pPr>
      <w:r w:rsidRPr="00C91565">
        <w:rPr>
          <w:rFonts w:ascii="Arial" w:hAnsi="Arial" w:cs="Arial"/>
        </w:rPr>
        <w:t>Water transport in the membrane includes both diffusion and electro-osmotic drag</w:t>
      </w:r>
      <w:r w:rsidR="002A2C34" w:rsidRPr="00C91565">
        <w:rPr>
          <w:rFonts w:ascii="Arial" w:hAnsi="Arial" w:cs="Arial"/>
        </w:rPr>
        <w:t xml:space="preserve"> (</w:t>
      </w:r>
      <w:proofErr w:type="spellStart"/>
      <w:r w:rsidR="002A2C34" w:rsidRPr="00C91565">
        <w:rPr>
          <w:rFonts w:ascii="Arial" w:hAnsi="Arial" w:cs="Arial"/>
        </w:rPr>
        <w:t>Nie</w:t>
      </w:r>
      <w:proofErr w:type="spellEnd"/>
      <w:r w:rsidR="002A2C34" w:rsidRPr="00C91565">
        <w:rPr>
          <w:rFonts w:ascii="Arial" w:hAnsi="Arial" w:cs="Arial"/>
        </w:rPr>
        <w:t xml:space="preserve"> et al., 2024)</w:t>
      </w:r>
      <w:r w:rsidRPr="00C91565">
        <w:rPr>
          <w:rFonts w:ascii="Arial" w:hAnsi="Arial" w:cs="Arial"/>
        </w:rPr>
        <w:t>:</w:t>
      </w:r>
    </w:p>
    <w:p w14:paraId="5EBE70D9" w14:textId="79055B69" w:rsidR="006E3887" w:rsidRPr="00C91565" w:rsidRDefault="002832C6" w:rsidP="006E3887">
      <w:pPr>
        <w:spacing w:before="100" w:beforeAutospacing="1" w:after="100" w:afterAutospacing="1"/>
        <w:rPr>
          <w:rFonts w:ascii="Arial" w:hAnsi="Arial" w:cs="Arial"/>
          <w:snapToGrid w:val="0"/>
          <w:kern w:val="2"/>
          <w:lang w:val="en-GB" w:eastAsia="zh-CN"/>
        </w:rPr>
      </w:pPr>
      <m:oMath>
        <m:sSubSup>
          <m:sSubSupPr>
            <m:ctrlPr>
              <w:rPr>
                <w:rFonts w:ascii="Cambria Math" w:hAnsi="Cambria Math" w:cs="Arial"/>
                <w:bCs/>
                <w:snapToGrid w:val="0"/>
                <w:kern w:val="2"/>
                <w:lang w:val="en-GB" w:eastAsia="zh-CN"/>
              </w:rPr>
            </m:ctrlPr>
          </m:sSubSupPr>
          <m:e>
            <m:r>
              <w:rPr>
                <w:rFonts w:ascii="Cambria Math" w:hAnsi="Cambria Math" w:cs="Arial"/>
                <w:snapToGrid w:val="0"/>
                <w:kern w:val="2"/>
                <w:lang w:val="en-GB" w:eastAsia="zh-CN"/>
              </w:rPr>
              <m:t>N</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up>
            <m:r>
              <w:rPr>
                <w:rFonts w:ascii="Cambria Math" w:hAnsi="Cambria Math" w:cs="Arial"/>
                <w:snapToGrid w:val="0"/>
                <w:kern w:val="2"/>
                <w:lang w:val="en-GB" w:eastAsia="zh-CN"/>
              </w:rPr>
              <m:t>m</m:t>
            </m:r>
          </m:sup>
        </m:sSubSup>
        <m:r>
          <m:rPr>
            <m:sty m:val="p"/>
          </m:rP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n</m:t>
            </m:r>
          </m:e>
          <m:sub>
            <m:r>
              <w:rPr>
                <w:rFonts w:ascii="Cambria Math" w:hAnsi="Cambria Math" w:cs="Arial"/>
                <w:snapToGrid w:val="0"/>
                <w:kern w:val="2"/>
                <w:lang w:val="en-GB" w:eastAsia="zh-CN"/>
              </w:rPr>
              <m:t>d</m:t>
            </m:r>
          </m:sub>
        </m:sSub>
        <m:f>
          <m:fPr>
            <m:ctrlPr>
              <w:rPr>
                <w:rFonts w:ascii="Cambria Math" w:hAnsi="Cambria Math" w:cs="Arial"/>
                <w:bCs/>
                <w:snapToGrid w:val="0"/>
                <w:kern w:val="2"/>
                <w:lang w:val="en-GB" w:eastAsia="zh-CN"/>
              </w:rPr>
            </m:ctrlPr>
          </m:fPr>
          <m:num>
            <m:r>
              <m:rPr>
                <m:sty m:val="p"/>
              </m:rP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σ</m:t>
                </m:r>
              </m:e>
              <m:sub>
                <m:r>
                  <w:rPr>
                    <w:rFonts w:ascii="Cambria Math" w:hAnsi="Cambria Math" w:cs="Arial"/>
                    <w:snapToGrid w:val="0"/>
                    <w:kern w:val="2"/>
                    <w:lang w:val="en-GB" w:eastAsia="zh-CN"/>
                  </w:rPr>
                  <m:t>m</m:t>
                </m:r>
              </m:sub>
            </m:sSub>
            <m: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m:rPr>
                    <m:sty m:val="p"/>
                  </m:rPr>
                  <w:rPr>
                    <w:rFonts w:ascii="Cambria Math" w:hAnsi="Cambria Math" w:cs="Arial"/>
                    <w:snapToGrid w:val="0"/>
                    <w:kern w:val="2"/>
                    <w:lang w:val="en-GB" w:eastAsia="zh-CN"/>
                  </w:rPr>
                  <m:t>∅</m:t>
                </m:r>
              </m:e>
              <m:sub>
                <m:r>
                  <w:rPr>
                    <w:rFonts w:ascii="Cambria Math" w:hAnsi="Cambria Math" w:cs="Arial"/>
                    <w:snapToGrid w:val="0"/>
                    <w:kern w:val="2"/>
                    <w:lang w:val="en-GB" w:eastAsia="zh-CN"/>
                  </w:rPr>
                  <m:t>m</m:t>
                </m:r>
              </m:sub>
            </m:sSub>
          </m:num>
          <m:den>
            <m:r>
              <w:rPr>
                <w:rFonts w:ascii="Cambria Math" w:hAnsi="Cambria Math" w:cs="Arial"/>
                <w:snapToGrid w:val="0"/>
                <w:kern w:val="2"/>
                <w:lang w:val="en-GB" w:eastAsia="zh-CN"/>
              </w:rPr>
              <m:t>F</m:t>
            </m:r>
          </m:den>
        </m:f>
        <m:r>
          <m:rPr>
            <m:sty m:val="p"/>
          </m:rPr>
          <w:rPr>
            <w:rFonts w:ascii="Cambria Math" w:hAnsi="Cambria Math" w:cs="Arial"/>
            <w:snapToGrid w:val="0"/>
            <w:kern w:val="2"/>
            <w:lang w:val="en-GB" w:eastAsia="zh-CN"/>
          </w:rPr>
          <m:t xml:space="preserve">- </m:t>
        </m:r>
        <m:sSubSup>
          <m:sSubSupPr>
            <m:ctrlPr>
              <w:rPr>
                <w:rFonts w:ascii="Cambria Math" w:hAnsi="Cambria Math" w:cs="Arial"/>
                <w:bCs/>
                <w:snapToGrid w:val="0"/>
                <w:kern w:val="2"/>
                <w:lang w:val="en-GB" w:eastAsia="zh-CN"/>
              </w:rPr>
            </m:ctrlPr>
          </m:sSubSupPr>
          <m:e>
            <m:r>
              <w:rPr>
                <w:rFonts w:ascii="Cambria Math" w:hAnsi="Cambria Math" w:cs="Arial"/>
                <w:snapToGrid w:val="0"/>
                <w:kern w:val="2"/>
                <w:lang w:val="en-GB" w:eastAsia="zh-CN"/>
              </w:rPr>
              <m:t>D</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up>
            <m:r>
              <w:rPr>
                <w:rFonts w:ascii="Cambria Math" w:hAnsi="Cambria Math" w:cs="Arial"/>
                <w:snapToGrid w:val="0"/>
                <w:kern w:val="2"/>
                <w:lang w:val="en-GB" w:eastAsia="zh-CN"/>
              </w:rPr>
              <m:t>m</m:t>
            </m:r>
          </m:sup>
        </m:sSubSup>
        <m:r>
          <m:rPr>
            <m:sty m:val="p"/>
          </m:rPr>
          <w:rPr>
            <w:rFonts w:ascii="Cambria Math" w:hAnsi="Cambria Math" w:cs="Arial"/>
            <w:snapToGrid w:val="0"/>
            <w:kern w:val="2"/>
            <w:lang w:val="en-GB" w:eastAsia="zh-CN"/>
          </w:rPr>
          <m:t xml:space="preserve"> </m:t>
        </m:r>
        <m:r>
          <w:rPr>
            <w:rFonts w:ascii="Cambria Math" w:hAnsi="Cambria Math" w:cs="Arial"/>
            <w:snapToGrid w:val="0"/>
            <w:kern w:val="2"/>
            <w:lang w:val="en-GB" w:eastAsia="zh-CN"/>
          </w:rPr>
          <m:t>∇</m:t>
        </m:r>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C</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Sub>
      </m:oMath>
      <w:r w:rsidR="006E3887" w:rsidRPr="00C91565">
        <w:rPr>
          <w:rFonts w:ascii="Arial" w:hAnsi="Arial" w:cs="Arial"/>
          <w:snapToGrid w:val="0"/>
          <w:kern w:val="2"/>
          <w:lang w:val="en-GB" w:eastAsia="zh-CN"/>
        </w:rPr>
        <w:t xml:space="preserve">     </w:t>
      </w:r>
      <w:r w:rsidR="00440F9B" w:rsidRPr="00C91565">
        <w:rPr>
          <w:rFonts w:ascii="Arial" w:hAnsi="Arial" w:cs="Arial"/>
          <w:snapToGrid w:val="0"/>
          <w:kern w:val="2"/>
          <w:lang w:val="en-GB" w:eastAsia="zh-CN"/>
        </w:rPr>
        <w:t xml:space="preserve">                                                                                    (12)</w:t>
      </w:r>
    </w:p>
    <w:p w14:paraId="07B09406" w14:textId="314A264D" w:rsidR="006E3887" w:rsidRPr="00C91565" w:rsidRDefault="006E3887" w:rsidP="006E3887">
      <w:pPr>
        <w:spacing w:before="100" w:beforeAutospacing="1" w:after="100" w:afterAutospacing="1"/>
        <w:rPr>
          <w:rFonts w:ascii="Arial" w:hAnsi="Arial" w:cs="Arial"/>
        </w:rPr>
      </w:pPr>
      <w:r w:rsidRPr="00C91565">
        <w:rPr>
          <w:rFonts w:ascii="Arial" w:hAnsi="Arial" w:cs="Arial"/>
        </w:rPr>
        <w:t xml:space="preserve">where </w:t>
      </w:r>
      <w:proofErr w:type="spellStart"/>
      <w:r w:rsidRPr="00C91565">
        <w:rPr>
          <w:rFonts w:ascii="Arial" w:hAnsi="Arial" w:cs="Arial"/>
          <w:i/>
          <w:iCs/>
        </w:rPr>
        <w:t>n_d</w:t>
      </w:r>
      <w:proofErr w:type="spellEnd"/>
      <w:r w:rsidRPr="00C91565">
        <w:rPr>
          <w:rFonts w:ascii="Arial" w:hAnsi="Arial" w:cs="Arial"/>
        </w:rPr>
        <w:t xml:space="preserve"> is the electro-osmotic drag coefficient, σ</w:t>
      </w:r>
      <w:r w:rsidRPr="00C91565">
        <w:rPr>
          <w:rFonts w:ascii="Cambria Math" w:hAnsi="Cambria Math" w:cs="Cambria Math"/>
        </w:rPr>
        <w:t>ₘ</w:t>
      </w:r>
      <w:r w:rsidRPr="00C91565">
        <w:rPr>
          <w:rFonts w:ascii="Arial" w:hAnsi="Arial" w:cs="Arial"/>
        </w:rPr>
        <w:t xml:space="preserve"> is the membrane conductivity, and </w:t>
      </w:r>
      <m:oMath>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C</m:t>
            </m:r>
          </m:e>
          <m:sub>
            <m:sSub>
              <m:sSubPr>
                <m:ctrlPr>
                  <w:rPr>
                    <w:rFonts w:ascii="Cambria Math" w:hAnsi="Cambria Math" w:cs="Arial"/>
                    <w:bCs/>
                    <w:snapToGrid w:val="0"/>
                    <w:kern w:val="2"/>
                    <w:lang w:val="en-GB" w:eastAsia="zh-CN"/>
                  </w:rPr>
                </m:ctrlPr>
              </m:sSubPr>
              <m:e>
                <m:r>
                  <w:rPr>
                    <w:rFonts w:ascii="Cambria Math" w:hAnsi="Cambria Math" w:cs="Arial"/>
                    <w:snapToGrid w:val="0"/>
                    <w:kern w:val="2"/>
                    <w:lang w:val="en-GB" w:eastAsia="zh-CN"/>
                  </w:rPr>
                  <m:t>H</m:t>
                </m:r>
              </m:e>
              <m:sub>
                <m:r>
                  <m:rPr>
                    <m:sty m:val="p"/>
                  </m:rPr>
                  <w:rPr>
                    <w:rFonts w:ascii="Cambria Math" w:hAnsi="Cambria Math" w:cs="Arial"/>
                    <w:snapToGrid w:val="0"/>
                    <w:kern w:val="2"/>
                    <w:lang w:val="en-GB" w:eastAsia="zh-CN"/>
                  </w:rPr>
                  <m:t>2</m:t>
                </m:r>
              </m:sub>
            </m:sSub>
            <m:r>
              <w:rPr>
                <w:rFonts w:ascii="Cambria Math" w:hAnsi="Cambria Math" w:cs="Arial"/>
                <w:snapToGrid w:val="0"/>
                <w:kern w:val="2"/>
                <w:lang w:val="en-GB" w:eastAsia="zh-CN"/>
              </w:rPr>
              <m:t>O</m:t>
            </m:r>
          </m:sub>
        </m:sSub>
      </m:oMath>
      <w:r w:rsidRPr="00C91565">
        <w:rPr>
          <w:rFonts w:ascii="Arial" w:hAnsi="Arial" w:cs="Arial"/>
          <w:snapToGrid w:val="0"/>
          <w:kern w:val="2"/>
          <w:lang w:val="en-GB" w:eastAsia="zh-CN"/>
        </w:rPr>
        <w:t xml:space="preserve">    </w:t>
      </w:r>
      <w:r w:rsidRPr="00C91565">
        <w:rPr>
          <w:rFonts w:ascii="Arial" w:hAnsi="Arial" w:cs="Arial"/>
        </w:rPr>
        <w:t xml:space="preserve"> is the water concentration.</w:t>
      </w:r>
    </w:p>
    <w:p w14:paraId="2DCD7756" w14:textId="7CBD05F4" w:rsidR="006E3887" w:rsidRPr="00C91565" w:rsidRDefault="00B25571" w:rsidP="006E3887">
      <w:pPr>
        <w:spacing w:before="100" w:beforeAutospacing="1" w:after="100" w:afterAutospacing="1"/>
        <w:rPr>
          <w:rFonts w:ascii="Arial" w:hAnsi="Arial" w:cs="Arial"/>
          <w:b/>
        </w:rPr>
      </w:pPr>
      <w:r w:rsidRPr="00C91565">
        <w:rPr>
          <w:rFonts w:ascii="Arial" w:hAnsi="Arial" w:cs="Arial"/>
          <w:b/>
        </w:rPr>
        <w:t xml:space="preserve">2.3.7. </w:t>
      </w:r>
      <w:r w:rsidR="006E3887" w:rsidRPr="00C91565">
        <w:rPr>
          <w:rFonts w:ascii="Arial" w:hAnsi="Arial" w:cs="Arial"/>
          <w:b/>
        </w:rPr>
        <w:t>Electrochemical Kinetics</w:t>
      </w:r>
    </w:p>
    <w:p w14:paraId="3E67E5CD" w14:textId="0AB2681D" w:rsidR="006E3887" w:rsidRPr="00C91565" w:rsidRDefault="006E3887" w:rsidP="006E3887">
      <w:pPr>
        <w:spacing w:before="100" w:beforeAutospacing="1" w:after="100" w:afterAutospacing="1"/>
        <w:rPr>
          <w:rFonts w:ascii="Arial" w:hAnsi="Arial" w:cs="Arial"/>
        </w:rPr>
      </w:pPr>
      <w:r w:rsidRPr="00C91565">
        <w:rPr>
          <w:rFonts w:ascii="Arial" w:hAnsi="Arial" w:cs="Arial"/>
        </w:rPr>
        <w:t>The electrochemical reactions are described using the Butler–Volmer equation</w:t>
      </w:r>
      <w:r w:rsidR="0067497D" w:rsidRPr="00C91565">
        <w:rPr>
          <w:rFonts w:ascii="Arial" w:hAnsi="Arial" w:cs="Arial"/>
        </w:rPr>
        <w:t xml:space="preserve"> (Wang et al., 2024)</w:t>
      </w:r>
      <w:r w:rsidRPr="00C91565">
        <w:rPr>
          <w:rFonts w:ascii="Arial" w:hAnsi="Arial" w:cs="Arial"/>
        </w:rPr>
        <w:t>:</w:t>
      </w:r>
    </w:p>
    <w:p w14:paraId="557F6682" w14:textId="11A1CC27" w:rsidR="00F80F6B" w:rsidRPr="00C91565" w:rsidRDefault="00F80F6B" w:rsidP="006E3887">
      <w:pPr>
        <w:pStyle w:val="Body"/>
        <w:spacing w:after="0"/>
        <w:rPr>
          <w:rFonts w:ascii="Arial" w:hAnsi="Arial" w:cs="Arial"/>
          <w:kern w:val="2"/>
          <w:lang w:val="en-GB" w:eastAsia="zh-CN"/>
        </w:rPr>
      </w:pPr>
      <m:oMath>
        <m:r>
          <m:rPr>
            <m:sty m:val="p"/>
          </m:rPr>
          <w:rPr>
            <w:rFonts w:ascii="Cambria Math" w:hAnsi="Cambria Math" w:cs="Arial"/>
            <w:kern w:val="2"/>
            <w:lang w:val="en-GB" w:eastAsia="zh-CN"/>
          </w:rPr>
          <w:lastRenderedPageBreak/>
          <m:t>j=</m:t>
        </m:r>
        <m:sSub>
          <m:sSubPr>
            <m:ctrlPr>
              <w:rPr>
                <w:rFonts w:ascii="Cambria Math" w:hAnsi="Cambria Math" w:cs="Arial"/>
                <w:kern w:val="2"/>
                <w:lang w:val="en-GB" w:eastAsia="zh-CN"/>
              </w:rPr>
            </m:ctrlPr>
          </m:sSubPr>
          <m:e>
            <m:r>
              <w:rPr>
                <w:rFonts w:ascii="Cambria Math" w:hAnsi="Cambria Math" w:cs="Arial"/>
                <w:kern w:val="2"/>
                <w:lang w:val="en-GB" w:eastAsia="zh-CN"/>
              </w:rPr>
              <m:t>j</m:t>
            </m:r>
          </m:e>
          <m:sub>
            <m:r>
              <w:rPr>
                <w:rFonts w:ascii="Cambria Math" w:hAnsi="Cambria Math" w:cs="Arial"/>
                <w:kern w:val="2"/>
                <w:lang w:val="en-GB" w:eastAsia="zh-CN"/>
              </w:rPr>
              <m:t>ref</m:t>
            </m:r>
          </m:sub>
        </m:sSub>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r>
                  <m:rPr>
                    <m:sty m:val="p"/>
                  </m:rPr>
                  <w:rPr>
                    <w:rFonts w:ascii="Cambria Math" w:hAnsi="Cambria Math" w:cs="Arial"/>
                    <w:kern w:val="2"/>
                    <w:lang w:val="en-GB" w:eastAsia="zh-CN"/>
                  </w:rPr>
                  <m:t>C</m:t>
                </m:r>
              </m:num>
              <m:den>
                <m:sSub>
                  <m:sSubPr>
                    <m:ctrlPr>
                      <w:rPr>
                        <w:rFonts w:ascii="Cambria Math" w:hAnsi="Cambria Math" w:cs="Arial"/>
                        <w:kern w:val="2"/>
                        <w:lang w:val="en-GB" w:eastAsia="zh-CN"/>
                      </w:rPr>
                    </m:ctrlPr>
                  </m:sSubPr>
                  <m:e>
                    <m:r>
                      <w:rPr>
                        <w:rFonts w:ascii="Cambria Math" w:hAnsi="Cambria Math" w:cs="Arial"/>
                        <w:kern w:val="2"/>
                        <w:lang w:val="en-GB" w:eastAsia="zh-CN"/>
                      </w:rPr>
                      <m:t>C</m:t>
                    </m:r>
                  </m:e>
                  <m:sub>
                    <m:r>
                      <w:rPr>
                        <w:rFonts w:ascii="Cambria Math" w:hAnsi="Cambria Math" w:cs="Arial"/>
                        <w:kern w:val="2"/>
                        <w:lang w:val="en-GB" w:eastAsia="zh-CN"/>
                      </w:rPr>
                      <m:t>ref</m:t>
                    </m:r>
                  </m:sub>
                </m:sSub>
              </m:den>
            </m:f>
          </m:e>
        </m:d>
        <m:d>
          <m:dPr>
            <m:begChr m:val="["/>
            <m:endChr m:val="]"/>
            <m:ctrlPr>
              <w:rPr>
                <w:rFonts w:ascii="Cambria Math" w:hAnsi="Cambria Math" w:cs="Arial"/>
                <w:kern w:val="2"/>
                <w:lang w:val="en-GB" w:eastAsia="zh-CN"/>
              </w:rPr>
            </m:ctrlPr>
          </m:dPr>
          <m:e>
            <m:r>
              <w:rPr>
                <w:rFonts w:ascii="Cambria Math" w:hAnsi="Cambria Math" w:cs="Arial"/>
                <w:kern w:val="2"/>
                <w:lang w:val="en-GB" w:eastAsia="zh-CN"/>
              </w:rPr>
              <m:t>exp</m:t>
            </m:r>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sSub>
                      <m:sSubPr>
                        <m:ctrlPr>
                          <w:rPr>
                            <w:rFonts w:ascii="Cambria Math" w:hAnsi="Cambria Math" w:cs="Arial"/>
                            <w:kern w:val="2"/>
                            <w:lang w:val="en-GB" w:eastAsia="zh-CN"/>
                          </w:rPr>
                        </m:ctrlPr>
                      </m:sSubPr>
                      <m:e>
                        <m:r>
                          <w:rPr>
                            <w:rFonts w:ascii="Cambria Math" w:hAnsi="Cambria Math" w:cs="Arial"/>
                            <w:kern w:val="2"/>
                            <w:lang w:val="en-GB" w:eastAsia="zh-CN"/>
                          </w:rPr>
                          <m:t>α</m:t>
                        </m:r>
                      </m:e>
                      <m:sub>
                        <m:r>
                          <w:rPr>
                            <w:rFonts w:ascii="Cambria Math" w:hAnsi="Cambria Math" w:cs="Arial"/>
                            <w:kern w:val="2"/>
                            <w:lang w:val="en-GB" w:eastAsia="zh-CN"/>
                          </w:rPr>
                          <m:t>a</m:t>
                        </m:r>
                      </m:sub>
                    </m:sSub>
                    <m:r>
                      <w:rPr>
                        <w:rFonts w:ascii="Cambria Math" w:hAnsi="Cambria Math" w:cs="Arial"/>
                        <w:kern w:val="2"/>
                        <w:lang w:val="en-GB" w:eastAsia="zh-CN"/>
                      </w:rPr>
                      <m:t>F</m:t>
                    </m:r>
                    <m:sSub>
                      <m:sSubPr>
                        <m:ctrlPr>
                          <w:rPr>
                            <w:rFonts w:ascii="Cambria Math" w:hAnsi="Cambria Math" w:cs="Arial"/>
                            <w:kern w:val="2"/>
                            <w:lang w:val="en-GB" w:eastAsia="zh-CN"/>
                          </w:rPr>
                        </m:ctrlPr>
                      </m:sSubPr>
                      <m:e>
                        <m:r>
                          <w:rPr>
                            <w:rFonts w:ascii="Cambria Math" w:hAnsi="Cambria Math" w:cs="Arial"/>
                            <w:kern w:val="2"/>
                            <w:lang w:val="en-GB" w:eastAsia="zh-CN"/>
                          </w:rPr>
                          <m:t>n</m:t>
                        </m:r>
                      </m:e>
                      <m:sub>
                        <m:r>
                          <w:rPr>
                            <w:rFonts w:ascii="Cambria Math" w:hAnsi="Cambria Math" w:cs="Arial"/>
                            <w:kern w:val="2"/>
                            <w:lang w:val="en-GB" w:eastAsia="zh-CN"/>
                          </w:rPr>
                          <m:t>act</m:t>
                        </m:r>
                      </m:sub>
                    </m:sSub>
                  </m:num>
                  <m:den>
                    <m:r>
                      <w:rPr>
                        <w:rFonts w:ascii="Cambria Math" w:hAnsi="Cambria Math" w:cs="Arial"/>
                        <w:kern w:val="2"/>
                        <w:lang w:val="en-GB" w:eastAsia="zh-CN"/>
                      </w:rPr>
                      <m:t>RT</m:t>
                    </m:r>
                  </m:den>
                </m:f>
              </m:e>
            </m:d>
            <m:r>
              <m:rPr>
                <m:sty m:val="p"/>
              </m:rPr>
              <w:rPr>
                <w:rFonts w:ascii="Cambria Math" w:hAnsi="Cambria Math" w:cs="Arial"/>
                <w:kern w:val="2"/>
                <w:lang w:val="en-GB" w:eastAsia="zh-CN"/>
              </w:rPr>
              <m:t>-</m:t>
            </m:r>
            <m:r>
              <w:rPr>
                <w:rFonts w:ascii="Cambria Math" w:hAnsi="Cambria Math" w:cs="Arial"/>
                <w:kern w:val="2"/>
                <w:lang w:val="en-GB" w:eastAsia="zh-CN"/>
              </w:rPr>
              <m:t>exp</m:t>
            </m:r>
            <m:d>
              <m:dPr>
                <m:ctrlPr>
                  <w:rPr>
                    <w:rFonts w:ascii="Cambria Math" w:hAnsi="Cambria Math" w:cs="Arial"/>
                    <w:kern w:val="2"/>
                    <w:lang w:val="en-GB" w:eastAsia="zh-CN"/>
                  </w:rPr>
                </m:ctrlPr>
              </m:dPr>
              <m:e>
                <m:f>
                  <m:fPr>
                    <m:ctrlPr>
                      <w:rPr>
                        <w:rFonts w:ascii="Cambria Math" w:hAnsi="Cambria Math" w:cs="Arial"/>
                        <w:kern w:val="2"/>
                        <w:lang w:val="en-GB" w:eastAsia="zh-CN"/>
                      </w:rPr>
                    </m:ctrlPr>
                  </m:fPr>
                  <m:num>
                    <m:r>
                      <m:rPr>
                        <m:sty m:val="p"/>
                      </m:rPr>
                      <w:rPr>
                        <w:rFonts w:ascii="Cambria Math" w:hAnsi="Cambria Math" w:cs="Arial"/>
                        <w:kern w:val="2"/>
                        <w:lang w:val="en-GB" w:eastAsia="zh-CN"/>
                      </w:rPr>
                      <m:t>-</m:t>
                    </m:r>
                    <m:sSub>
                      <m:sSubPr>
                        <m:ctrlPr>
                          <w:rPr>
                            <w:rFonts w:ascii="Cambria Math" w:hAnsi="Cambria Math" w:cs="Arial"/>
                            <w:kern w:val="2"/>
                            <w:lang w:val="en-GB" w:eastAsia="zh-CN"/>
                          </w:rPr>
                        </m:ctrlPr>
                      </m:sSubPr>
                      <m:e>
                        <m:r>
                          <w:rPr>
                            <w:rFonts w:ascii="Cambria Math" w:hAnsi="Cambria Math" w:cs="Arial"/>
                            <w:kern w:val="2"/>
                            <w:lang w:val="en-GB" w:eastAsia="zh-CN"/>
                          </w:rPr>
                          <m:t>α</m:t>
                        </m:r>
                      </m:e>
                      <m:sub>
                        <m:r>
                          <w:rPr>
                            <w:rFonts w:ascii="Cambria Math" w:hAnsi="Cambria Math" w:cs="Arial"/>
                            <w:kern w:val="2"/>
                            <w:lang w:val="en-GB" w:eastAsia="zh-CN"/>
                          </w:rPr>
                          <m:t>c</m:t>
                        </m:r>
                      </m:sub>
                    </m:sSub>
                    <m:r>
                      <w:rPr>
                        <w:rFonts w:ascii="Cambria Math" w:hAnsi="Cambria Math" w:cs="Arial"/>
                        <w:kern w:val="2"/>
                        <w:lang w:val="en-GB" w:eastAsia="zh-CN"/>
                      </w:rPr>
                      <m:t>F</m:t>
                    </m:r>
                    <m:sSub>
                      <m:sSubPr>
                        <m:ctrlPr>
                          <w:rPr>
                            <w:rFonts w:ascii="Cambria Math" w:hAnsi="Cambria Math" w:cs="Arial"/>
                            <w:kern w:val="2"/>
                            <w:lang w:val="en-GB" w:eastAsia="zh-CN"/>
                          </w:rPr>
                        </m:ctrlPr>
                      </m:sSubPr>
                      <m:e>
                        <m:r>
                          <w:rPr>
                            <w:rFonts w:ascii="Cambria Math" w:hAnsi="Cambria Math" w:cs="Arial"/>
                            <w:kern w:val="2"/>
                            <w:lang w:val="en-GB" w:eastAsia="zh-CN"/>
                          </w:rPr>
                          <m:t>n</m:t>
                        </m:r>
                      </m:e>
                      <m:sub>
                        <m:r>
                          <w:rPr>
                            <w:rFonts w:ascii="Cambria Math" w:hAnsi="Cambria Math" w:cs="Arial"/>
                            <w:kern w:val="2"/>
                            <w:lang w:val="en-GB" w:eastAsia="zh-CN"/>
                          </w:rPr>
                          <m:t>act</m:t>
                        </m:r>
                      </m:sub>
                    </m:sSub>
                  </m:num>
                  <m:den>
                    <m:r>
                      <w:rPr>
                        <w:rFonts w:ascii="Cambria Math" w:hAnsi="Cambria Math" w:cs="Arial"/>
                        <w:kern w:val="2"/>
                        <w:lang w:val="en-GB" w:eastAsia="zh-CN"/>
                      </w:rPr>
                      <m:t>RT</m:t>
                    </m:r>
                  </m:den>
                </m:f>
              </m:e>
            </m:d>
          </m:e>
        </m:d>
      </m:oMath>
      <w:r w:rsidRPr="00C91565">
        <w:rPr>
          <w:rFonts w:ascii="Arial" w:hAnsi="Arial" w:cs="Arial"/>
          <w:kern w:val="2"/>
          <w:lang w:val="en-GB" w:eastAsia="zh-CN"/>
        </w:rPr>
        <w:t xml:space="preserve"> </w:t>
      </w:r>
      <w:r w:rsidR="00440F9B" w:rsidRPr="00C91565">
        <w:rPr>
          <w:rFonts w:ascii="Arial" w:hAnsi="Arial" w:cs="Arial"/>
          <w:kern w:val="2"/>
          <w:lang w:val="en-GB" w:eastAsia="zh-CN"/>
        </w:rPr>
        <w:t xml:space="preserve">                                                                    (13)</w:t>
      </w:r>
    </w:p>
    <w:p w14:paraId="539E7505" w14:textId="22A5322F" w:rsidR="006E3887" w:rsidRPr="00C91565" w:rsidRDefault="006E3887" w:rsidP="006E3887">
      <w:pPr>
        <w:pStyle w:val="Body"/>
        <w:spacing w:after="0"/>
        <w:rPr>
          <w:rFonts w:ascii="Arial" w:hAnsi="Arial" w:cs="Arial"/>
        </w:rPr>
      </w:pPr>
      <w:r w:rsidRPr="00C91565">
        <w:rPr>
          <w:rFonts w:ascii="Arial" w:hAnsi="Arial" w:cs="Arial"/>
        </w:rPr>
        <w:t xml:space="preserve">where </w:t>
      </w:r>
      <m:oMath>
        <m:sSub>
          <m:sSubPr>
            <m:ctrlPr>
              <w:rPr>
                <w:rFonts w:ascii="Cambria Math" w:hAnsi="Cambria Math" w:cs="Arial"/>
                <w:kern w:val="2"/>
                <w:lang w:val="en-GB" w:eastAsia="zh-CN"/>
              </w:rPr>
            </m:ctrlPr>
          </m:sSubPr>
          <m:e>
            <m:r>
              <w:rPr>
                <w:rFonts w:ascii="Cambria Math" w:hAnsi="Cambria Math" w:cs="Arial"/>
                <w:kern w:val="2"/>
                <w:lang w:val="en-GB" w:eastAsia="zh-CN"/>
              </w:rPr>
              <m:t>j</m:t>
            </m:r>
          </m:e>
          <m:sub>
            <m:r>
              <w:rPr>
                <w:rFonts w:ascii="Cambria Math" w:hAnsi="Cambria Math" w:cs="Arial"/>
                <w:kern w:val="2"/>
                <w:lang w:val="en-GB" w:eastAsia="zh-CN"/>
              </w:rPr>
              <m:t>ref</m:t>
            </m:r>
          </m:sub>
        </m:sSub>
      </m:oMath>
      <w:r w:rsidRPr="00C91565">
        <w:rPr>
          <w:rFonts w:ascii="Arial" w:hAnsi="Arial" w:cs="Arial"/>
        </w:rPr>
        <w:t xml:space="preserve"> is the exchange current density, α is the charge transfer coefficient, and η is the activation </w:t>
      </w:r>
      <w:proofErr w:type="gramStart"/>
      <w:r w:rsidRPr="00C91565">
        <w:rPr>
          <w:rFonts w:ascii="Arial" w:hAnsi="Arial" w:cs="Arial"/>
        </w:rPr>
        <w:t>overpotential.</w:t>
      </w:r>
      <w:proofErr w:type="gramEnd"/>
    </w:p>
    <w:p w14:paraId="2C87D982" w14:textId="77777777" w:rsidR="003A2D5C" w:rsidRPr="00C91565" w:rsidRDefault="003A2D5C" w:rsidP="003A2D5C">
      <w:pPr>
        <w:widowControl w:val="0"/>
        <w:suppressAutoHyphens/>
        <w:adjustRightInd w:val="0"/>
        <w:snapToGrid w:val="0"/>
        <w:spacing w:before="240" w:after="80"/>
        <w:ind w:left="502" w:hangingChars="250" w:hanging="502"/>
        <w:jc w:val="both"/>
        <w:outlineLvl w:val="3"/>
        <w:rPr>
          <w:rFonts w:ascii="Arial" w:hAnsi="Arial" w:cs="Arial"/>
          <w:b/>
          <w:bCs/>
          <w:snapToGrid w:val="0"/>
          <w:kern w:val="2"/>
          <w:lang w:val="en-GB" w:eastAsia="zh-CN"/>
        </w:rPr>
      </w:pPr>
      <w:r w:rsidRPr="00C91565">
        <w:rPr>
          <w:rFonts w:ascii="Arial" w:hAnsi="Arial" w:cs="Arial"/>
          <w:b/>
          <w:bCs/>
          <w:snapToGrid w:val="0"/>
          <w:kern w:val="2"/>
          <w:lang w:val="en-GB" w:eastAsia="zh-CN"/>
        </w:rPr>
        <w:t>2.3.8. Boundary Conditions</w:t>
      </w:r>
    </w:p>
    <w:p w14:paraId="72B00DD1" w14:textId="77777777" w:rsidR="003A2D5C" w:rsidRPr="00C91565" w:rsidRDefault="003A2D5C" w:rsidP="003A2D5C">
      <w:pPr>
        <w:widowControl w:val="0"/>
        <w:adjustRightInd w:val="0"/>
        <w:snapToGrid w:val="0"/>
        <w:ind w:firstLineChars="100" w:firstLine="200"/>
        <w:jc w:val="both"/>
        <w:rPr>
          <w:rFonts w:ascii="Arial" w:hAnsi="Arial" w:cs="Arial"/>
          <w:kern w:val="2"/>
          <w:highlight w:val="yellow"/>
          <w:lang w:val="en-GB" w:eastAsia="zh-CN"/>
        </w:rPr>
      </w:pPr>
      <w:r w:rsidRPr="00C91565">
        <w:rPr>
          <w:rFonts w:ascii="Arial" w:hAnsi="Arial" w:cs="Arial"/>
          <w:kern w:val="2"/>
          <w:highlight w:val="white"/>
          <w:lang w:val="en-GB" w:eastAsia="zh-CN"/>
        </w:rPr>
        <w:t>Boundary conditions are defined on all external boundaries of the calculation domain in order to describe the behaviour of the fluid and chemical species.</w:t>
      </w:r>
    </w:p>
    <w:p w14:paraId="670EF09A" w14:textId="77777777" w:rsidR="003A2D5C" w:rsidRPr="00C91565" w:rsidRDefault="003A2D5C" w:rsidP="003A2D5C">
      <w:pPr>
        <w:widowControl w:val="0"/>
        <w:adjustRightInd w:val="0"/>
        <w:snapToGrid w:val="0"/>
        <w:ind w:firstLineChars="100" w:firstLine="200"/>
        <w:jc w:val="both"/>
        <w:rPr>
          <w:rFonts w:ascii="Arial" w:hAnsi="Arial" w:cs="Arial"/>
          <w:kern w:val="2"/>
          <w:highlight w:val="white"/>
          <w:lang w:val="en-GB" w:eastAsia="zh-CN"/>
        </w:rPr>
      </w:pPr>
      <w:r w:rsidRPr="00C91565">
        <w:rPr>
          <w:rFonts w:ascii="Arial" w:hAnsi="Arial" w:cs="Arial"/>
          <w:kern w:val="2"/>
          <w:highlight w:val="white"/>
          <w:lang w:val="en-GB" w:eastAsia="zh-CN"/>
        </w:rPr>
        <w:t>At the channel inlet, a Dirichlet condition is applied: it directly sets the values of the main variables, such as velocity, pressure and species concentrations. This means that the characteristics of the gas mixture are known at the inlet.</w:t>
      </w:r>
    </w:p>
    <w:p w14:paraId="43313084" w14:textId="77777777" w:rsidR="003A2D5C" w:rsidRPr="00C91565" w:rsidRDefault="003A2D5C" w:rsidP="003A2D5C">
      <w:pPr>
        <w:widowControl w:val="0"/>
        <w:adjustRightInd w:val="0"/>
        <w:snapToGrid w:val="0"/>
        <w:ind w:firstLineChars="100" w:firstLine="200"/>
        <w:jc w:val="both"/>
        <w:rPr>
          <w:rFonts w:ascii="Arial" w:hAnsi="Arial" w:cs="Arial"/>
          <w:kern w:val="2"/>
          <w:highlight w:val="yellow"/>
          <w:lang w:val="en-GB" w:eastAsia="zh-CN"/>
        </w:rPr>
      </w:pPr>
      <w:r w:rsidRPr="00C91565">
        <w:rPr>
          <w:rFonts w:ascii="Arial" w:hAnsi="Arial" w:cs="Arial"/>
          <w:kern w:val="2"/>
          <w:highlight w:val="white"/>
          <w:lang w:val="en-GB" w:eastAsia="zh-CN"/>
        </w:rPr>
        <w:t>At the outlet of the channels, a Neumann condition is used. This assumes that the velocity, pressure and concentration gradients in the direction of flow are zero. In other words, the variables no longer vary when they leave the domain, which corresponds to a free outlet of the fluid. Finally, on the channel walls and at the ends of the MEA, the conditions applied to pressure, velocities and concentrations are also Neumann-type. This reflects the absence of material flow and pressure variation across these surfaces, which are considered impermeable.</w:t>
      </w:r>
    </w:p>
    <w:p w14:paraId="511F195C" w14:textId="77777777" w:rsidR="003A2D5C" w:rsidRPr="00C91565" w:rsidRDefault="003A2D5C" w:rsidP="003A2D5C">
      <w:pPr>
        <w:widowControl w:val="0"/>
        <w:adjustRightInd w:val="0"/>
        <w:snapToGrid w:val="0"/>
        <w:ind w:firstLineChars="100" w:firstLine="200"/>
        <w:jc w:val="both"/>
        <w:rPr>
          <w:rFonts w:ascii="Arial" w:hAnsi="Arial" w:cs="Arial"/>
          <w:kern w:val="2"/>
          <w:lang w:val="en-GB" w:eastAsia="zh-CN"/>
        </w:rPr>
      </w:pPr>
      <w:r w:rsidRPr="00C91565">
        <w:rPr>
          <w:rFonts w:ascii="Arial" w:hAnsi="Arial" w:cs="Arial"/>
          <w:kern w:val="2"/>
          <w:highlight w:val="white"/>
          <w:lang w:val="en-GB" w:eastAsia="zh-CN"/>
        </w:rPr>
        <w:t>The table below provides information on the boundary conditions used in this study.</w:t>
      </w:r>
    </w:p>
    <w:p w14:paraId="311CBD5B" w14:textId="77777777" w:rsidR="003A2D5C" w:rsidRPr="00C91565" w:rsidRDefault="003A2D5C" w:rsidP="003A2D5C">
      <w:pPr>
        <w:pStyle w:val="17TableCaptionSingleLine"/>
        <w:jc w:val="left"/>
        <w:rPr>
          <w:rFonts w:ascii="Arial" w:hAnsi="Arial" w:cs="Arial"/>
          <w:b/>
          <w:i w:val="0"/>
          <w:iCs/>
          <w:sz w:val="20"/>
          <w:szCs w:val="20"/>
        </w:rPr>
      </w:pPr>
      <w:r w:rsidRPr="00C91565">
        <w:rPr>
          <w:rFonts w:ascii="Arial" w:hAnsi="Arial" w:cs="Arial"/>
          <w:b/>
          <w:i w:val="0"/>
          <w:iCs/>
          <w:sz w:val="20"/>
          <w:szCs w:val="20"/>
          <w:highlight w:val="white"/>
        </w:rPr>
        <w:t>Table 1. Conditions at the Anode Boundaries</w:t>
      </w:r>
      <w:r w:rsidRPr="00C91565">
        <w:rPr>
          <w:rFonts w:ascii="Arial" w:hAnsi="Arial" w:cs="Arial"/>
          <w:b/>
          <w:i w:val="0"/>
          <w:iCs/>
          <w:sz w:val="20"/>
          <w:szCs w:val="20"/>
        </w:rPr>
        <w:t>.</w:t>
      </w:r>
    </w:p>
    <w:tbl>
      <w:tblPr>
        <w:tblStyle w:val="PlainTable2"/>
        <w:tblW w:w="0" w:type="auto"/>
        <w:tblLook w:val="04A0" w:firstRow="1" w:lastRow="0" w:firstColumn="1" w:lastColumn="0" w:noHBand="0" w:noVBand="1"/>
      </w:tblPr>
      <w:tblGrid>
        <w:gridCol w:w="3846"/>
        <w:gridCol w:w="4362"/>
      </w:tblGrid>
      <w:tr w:rsidR="003A2D5C" w:rsidRPr="00C91565" w14:paraId="2D1BD10C" w14:textId="77777777" w:rsidTr="00CC3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bottom w:val="none" w:sz="0" w:space="0" w:color="auto"/>
            </w:tcBorders>
          </w:tcPr>
          <w:p w14:paraId="36992B38" w14:textId="77777777" w:rsidR="003A2D5C" w:rsidRPr="00C91565" w:rsidRDefault="003A2D5C" w:rsidP="00CC3AFE">
            <w:pPr>
              <w:jc w:val="center"/>
              <w:rPr>
                <w:rFonts w:ascii="Arial" w:hAnsi="Arial" w:cs="Arial"/>
                <w:sz w:val="20"/>
                <w:szCs w:val="20"/>
                <w:lang w:val="en-GB"/>
              </w:rPr>
            </w:pPr>
          </w:p>
        </w:tc>
      </w:tr>
      <w:tr w:rsidR="003A2D5C" w:rsidRPr="00C91565" w14:paraId="0E180C99"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tcPr>
          <w:p w14:paraId="1F2F7AB3" w14:textId="77777777" w:rsidR="003A2D5C" w:rsidRPr="00C91565" w:rsidRDefault="003A2D5C" w:rsidP="00CC3AFE">
            <w:pPr>
              <w:rPr>
                <w:rFonts w:ascii="Arial" w:hAnsi="Arial" w:cs="Arial"/>
                <w:sz w:val="20"/>
                <w:szCs w:val="20"/>
              </w:rPr>
            </w:pPr>
            <w:r w:rsidRPr="00C91565">
              <w:rPr>
                <w:rFonts w:ascii="Arial" w:hAnsi="Arial" w:cs="Arial"/>
                <w:sz w:val="20"/>
                <w:szCs w:val="20"/>
              </w:rPr>
              <w:t>Velocity Field (Described by Darcy's Law)</w:t>
            </w:r>
          </w:p>
        </w:tc>
        <w:tc>
          <w:tcPr>
            <w:tcW w:w="4698" w:type="dxa"/>
            <w:tcBorders>
              <w:top w:val="none" w:sz="0" w:space="0" w:color="auto"/>
              <w:bottom w:val="none" w:sz="0" w:space="0" w:color="auto"/>
            </w:tcBorders>
          </w:tcPr>
          <w:p w14:paraId="7B82E77C" w14:textId="77777777" w:rsidR="003A2D5C" w:rsidRPr="00C91565" w:rsidRDefault="003A2D5C" w:rsidP="00CC3AFE">
            <w:pPr>
              <w:pStyle w:val="20TableBodyFront"/>
              <w:ind w:left="84" w:hanging="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ParaPr>
                <m:jc m:val="left"/>
              </m:oMathPara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out</m:t>
                    </m:r>
                  </m:sup>
                </m:sSubSup>
                <m:r>
                  <w:rPr>
                    <w:rFonts w:ascii="Cambria Math" w:hAnsi="Cambria Math" w:cs="Arial"/>
                    <w:sz w:val="20"/>
                    <w:szCs w:val="20"/>
                  </w:rPr>
                  <m:t xml:space="preserve">, </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sys</m:t>
                    </m:r>
                  </m:sup>
                </m:sSubSup>
                <m:r>
                  <w:rPr>
                    <w:rFonts w:ascii="Cambria Math" w:hAnsi="Cambria Math" w:cs="Arial"/>
                    <w:sz w:val="20"/>
                    <w:szCs w:val="20"/>
                  </w:rPr>
                  <m:t>:n</m:t>
                </m:r>
                <m:r>
                  <m:rPr>
                    <m:sty m:val="p"/>
                  </m:rPr>
                  <w:rPr>
                    <w:rFonts w:ascii="Cambria Math" w:hAnsi="Cambria Math" w:cs="Arial"/>
                    <w:sz w:val="20"/>
                    <w:szCs w:val="20"/>
                  </w:rPr>
                  <m:t>u=0;</m:t>
                </m:r>
              </m:oMath>
            </m:oMathPara>
          </w:p>
          <w:p w14:paraId="67F784AB" w14:textId="77777777" w:rsidR="003A2D5C" w:rsidRPr="00C91565" w:rsidRDefault="003A2D5C" w:rsidP="00CC3AFE">
            <w:pPr>
              <w:pStyle w:val="20TableBodyFront"/>
              <w:ind w:left="84" w:hanging="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in</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m:rPr>
                      <m:sty m:val="p"/>
                    </m:rPr>
                    <w:rPr>
                      <w:rFonts w:ascii="Cambria Math" w:hAnsi="Cambria Math" w:cs="Arial"/>
                      <w:sz w:val="20"/>
                      <w:szCs w:val="20"/>
                    </w:rPr>
                    <m:t>a,in</m:t>
                  </m:r>
                </m:sub>
              </m:sSub>
              <m:r>
                <w:rPr>
                  <w:rFonts w:ascii="Cambria Math" w:hAnsi="Cambria Math" w:cs="Arial"/>
                  <w:sz w:val="20"/>
                  <w:szCs w:val="20"/>
                </w:rPr>
                <m:t>;</m:t>
              </m:r>
            </m:oMath>
            <w:r w:rsidRPr="00C91565">
              <w:rPr>
                <w:rFonts w:ascii="Arial" w:hAnsi="Arial" w:cs="Arial"/>
                <w:sz w:val="20"/>
                <w:szCs w:val="20"/>
              </w:rPr>
              <w:t xml:space="preserve"> </w:t>
            </w:r>
          </w:p>
          <w:p w14:paraId="1DA98172" w14:textId="77777777" w:rsidR="003A2D5C" w:rsidRPr="00C91565" w:rsidRDefault="003A2D5C" w:rsidP="00CC3AFE">
            <w:pPr>
              <w:pStyle w:val="20TableBodyFront"/>
              <w:ind w:left="84" w:hanging="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out</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w:rPr>
                      <w:rFonts w:ascii="Cambria Math" w:hAnsi="Cambria Math" w:cs="Arial"/>
                      <w:sz w:val="20"/>
                      <w:szCs w:val="20"/>
                    </w:rPr>
                    <m:t>ref</m:t>
                  </m:r>
                </m:sub>
              </m:sSub>
              <m:r>
                <w:rPr>
                  <w:rFonts w:ascii="Cambria Math" w:hAnsi="Cambria Math" w:cs="Arial"/>
                  <w:sz w:val="20"/>
                  <w:szCs w:val="20"/>
                </w:rPr>
                <m:t>;</m:t>
              </m:r>
            </m:oMath>
            <w:r w:rsidRPr="00C91565">
              <w:rPr>
                <w:rFonts w:ascii="Arial" w:hAnsi="Arial" w:cs="Arial"/>
                <w:sz w:val="20"/>
                <w:szCs w:val="20"/>
              </w:rPr>
              <w:t xml:space="preserve"> </w:t>
            </w:r>
          </w:p>
          <w:p w14:paraId="0AD7A66B"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mem-GDL</m:t>
                  </m:r>
                </m:sub>
                <m:sup>
                  <m:r>
                    <w:rPr>
                      <w:rFonts w:ascii="Cambria Math" w:hAnsi="Cambria Math" w:cs="Arial"/>
                      <w:sz w:val="20"/>
                      <w:szCs w:val="20"/>
                    </w:rPr>
                    <m:t>a</m:t>
                  </m:r>
                </m:sup>
              </m:sSubSup>
              <m:r>
                <w:rPr>
                  <w:rFonts w:ascii="Cambria Math" w:hAnsi="Cambria Math" w:cs="Arial"/>
                  <w:sz w:val="20"/>
                  <w:szCs w:val="20"/>
                </w:rPr>
                <m:t>: -n</m:t>
              </m:r>
              <m:r>
                <m:rPr>
                  <m:sty m:val="p"/>
                </m:rPr>
                <w:rPr>
                  <w:rFonts w:ascii="Cambria Math" w:hAnsi="Cambria Math" w:cs="Arial"/>
                  <w:sz w:val="20"/>
                  <w:szCs w:val="20"/>
                </w:rPr>
                <m:t>u=</m:t>
              </m:r>
              <m:f>
                <m:fPr>
                  <m:ctrlPr>
                    <w:rPr>
                      <w:rFonts w:ascii="Cambria Math" w:eastAsia="Calibri" w:hAnsi="Cambria Math" w:cs="Arial"/>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a</m:t>
                      </m:r>
                    </m:sub>
                  </m:sSub>
                </m:num>
                <m:den>
                  <m:r>
                    <w:rPr>
                      <w:rFonts w:ascii="Cambria Math" w:hAnsi="Cambria Math" w:cs="Arial"/>
                      <w:sz w:val="20"/>
                      <w:szCs w:val="20"/>
                    </w:rPr>
                    <m:t>ρF</m:t>
                  </m:r>
                </m:den>
              </m:f>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m:t>
                          </m:r>
                        </m:sub>
                      </m:sSub>
                    </m:num>
                    <m:den>
                      <m:r>
                        <w:rPr>
                          <w:rFonts w:ascii="Cambria Math" w:hAnsi="Cambria Math" w:cs="Arial"/>
                          <w:sz w:val="20"/>
                          <w:szCs w:val="20"/>
                        </w:rPr>
                        <m:t>2</m:t>
                      </m:r>
                    </m:den>
                  </m:f>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H2O</m:t>
                      </m:r>
                    </m:sub>
                  </m:sSub>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H2O</m:t>
                      </m:r>
                    </m:sub>
                  </m:sSub>
                </m:e>
              </m:d>
            </m:oMath>
            <w:r w:rsidRPr="00C91565">
              <w:rPr>
                <w:rFonts w:ascii="Arial" w:hAnsi="Arial" w:cs="Arial"/>
                <w:sz w:val="20"/>
                <w:szCs w:val="20"/>
              </w:rPr>
              <w:t xml:space="preserve"> </w:t>
            </w:r>
          </w:p>
        </w:tc>
      </w:tr>
      <w:tr w:rsidR="003A2D5C" w:rsidRPr="00C91565" w14:paraId="2EB0BCAB" w14:textId="77777777" w:rsidTr="00CC3AFE">
        <w:tc>
          <w:tcPr>
            <w:cnfStyle w:val="001000000000" w:firstRow="0" w:lastRow="0" w:firstColumn="1" w:lastColumn="0" w:oddVBand="0" w:evenVBand="0" w:oddHBand="0" w:evenHBand="0" w:firstRowFirstColumn="0" w:firstRowLastColumn="0" w:lastRowFirstColumn="0" w:lastRowLastColumn="0"/>
            <w:tcW w:w="4698" w:type="dxa"/>
          </w:tcPr>
          <w:p w14:paraId="4BA80620" w14:textId="77777777" w:rsidR="003A2D5C" w:rsidRPr="00C91565" w:rsidRDefault="003A2D5C" w:rsidP="00CC3AFE">
            <w:pPr>
              <w:rPr>
                <w:rFonts w:ascii="Arial" w:hAnsi="Arial" w:cs="Arial"/>
                <w:sz w:val="20"/>
                <w:szCs w:val="20"/>
              </w:rPr>
            </w:pPr>
            <w:r w:rsidRPr="00C91565">
              <w:rPr>
                <w:rFonts w:ascii="Arial" w:hAnsi="Arial" w:cs="Arial"/>
                <w:sz w:val="20"/>
                <w:szCs w:val="20"/>
              </w:rPr>
              <w:t>Mass transit</w:t>
            </w:r>
          </w:p>
        </w:tc>
        <w:tc>
          <w:tcPr>
            <w:tcW w:w="4698" w:type="dxa"/>
          </w:tcPr>
          <w:p w14:paraId="07FFCA7A" w14:textId="77777777" w:rsidR="003A2D5C" w:rsidRPr="00C91565" w:rsidRDefault="003A2D5C" w:rsidP="00CC3AFE">
            <w:pPr>
              <w:pStyle w:val="21TableBodyMiddle"/>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a</m:t>
                  </m:r>
                </m:sup>
              </m:sSubSup>
              <m:r>
                <w:rPr>
                  <w:rFonts w:ascii="Cambria Math" w:hAnsi="Cambria Math" w:cs="Arial"/>
                  <w:sz w:val="20"/>
                  <w:szCs w:val="20"/>
                </w:rPr>
                <m:t>, 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sys</m:t>
                  </m:r>
                </m:sup>
              </m:sSubSup>
              <m:r>
                <w:rPr>
                  <w:rFonts w:ascii="Cambria Math" w:hAnsi="Cambria Math" w:cs="Arial"/>
                  <w:sz w:val="20"/>
                  <w:szCs w:val="20"/>
                </w:rPr>
                <m:t>: --</m:t>
              </m:r>
              <m:sSub>
                <m:sSubPr>
                  <m:ctrlPr>
                    <w:rPr>
                      <w:rFonts w:ascii="Cambria Math" w:eastAsia="Calibri"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a</m:t>
                  </m:r>
                </m:sub>
              </m:sSub>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m:t>
                      </m:r>
                    </m:sub>
                  </m:sSub>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H2-H2O</m:t>
                      </m:r>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H20</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m:t>
                      </m:r>
                    </m:sub>
                  </m:sSub>
                  <m:r>
                    <w:rPr>
                      <w:rFonts w:ascii="Cambria Math" w:hAnsi="Cambria Math" w:cs="Arial"/>
                      <w:sz w:val="20"/>
                      <w:szCs w:val="20"/>
                    </w:rPr>
                    <m:t>u</m:t>
                  </m:r>
                </m:e>
              </m:d>
              <m:r>
                <w:rPr>
                  <w:rFonts w:ascii="Cambria Math" w:hAnsi="Cambria Math" w:cs="Arial"/>
                  <w:sz w:val="20"/>
                  <w:szCs w:val="20"/>
                </w:rPr>
                <m:t>=0;</m:t>
              </m:r>
              <m:r>
                <m:rPr>
                  <m:sty m:val="p"/>
                </m:rPr>
                <w:rPr>
                  <w:rFonts w:ascii="Cambria Math" w:hAnsi="Cambria Math" w:cs="Arial"/>
                  <w:sz w:val="20"/>
                  <w:szCs w:val="20"/>
                </w:rPr>
                <m:t xml:space="preserve"> </m:t>
              </m:r>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in</m:t>
                  </m:r>
                </m:sup>
              </m:sSubSup>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m:t>
                  </m:r>
                </m:sub>
              </m:sSub>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 in</m:t>
                  </m:r>
                </m:sub>
              </m:sSub>
              <m:r>
                <w:rPr>
                  <w:rFonts w:ascii="Cambria Math" w:hAnsi="Cambria Math" w:cs="Arial"/>
                  <w:sz w:val="20"/>
                  <w:szCs w:val="20"/>
                </w:rPr>
                <m:t>;</m:t>
              </m:r>
            </m:oMath>
            <w:r w:rsidRPr="00C91565">
              <w:rPr>
                <w:rFonts w:ascii="Arial" w:eastAsiaTheme="minorEastAsia" w:hAnsi="Arial" w:cs="Arial"/>
                <w:sz w:val="20"/>
                <w:szCs w:val="20"/>
              </w:rPr>
              <w:t xml:space="preserve"> </w:t>
            </w:r>
          </w:p>
          <w:p w14:paraId="7B075D6B" w14:textId="77777777" w:rsidR="003A2D5C" w:rsidRPr="00C91565" w:rsidRDefault="003A2D5C" w:rsidP="00CC3AFE">
            <w:pPr>
              <w:pStyle w:val="21TableBodyMiddl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out</m:t>
                  </m:r>
                </m:sup>
              </m:sSubSup>
              <m:r>
                <w:rPr>
                  <w:rFonts w:ascii="Cambria Math" w:hAnsi="Cambria Math" w:cs="Arial"/>
                  <w:sz w:val="20"/>
                  <w:szCs w:val="20"/>
                </w:rPr>
                <m:t xml:space="preserve">: </m:t>
              </m:r>
              <m:r>
                <m:rPr>
                  <m:sty m:val="p"/>
                </m:rPr>
                <w:rPr>
                  <w:rFonts w:ascii="Cambria Math" w:hAnsi="Cambria Math" w:cs="Arial"/>
                  <w:sz w:val="20"/>
                  <w:szCs w:val="20"/>
                </w:rPr>
                <m:t>∇</m:t>
              </m:r>
              <m:r>
                <w:rPr>
                  <w:rFonts w:ascii="Cambria Math" w:hAnsi="Cambria Math" w:cs="Arial"/>
                  <w:sz w:val="20"/>
                  <w:szCs w:val="20"/>
                </w:rPr>
                <m:t>.</m:t>
              </m:r>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m:t>
                      </m:r>
                    </m:sub>
                  </m:sSub>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H2-H2O</m:t>
                      </m:r>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H20</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H20</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e>
              </m:d>
              <m:r>
                <w:rPr>
                  <w:rFonts w:ascii="Cambria Math" w:hAnsi="Cambria Math" w:cs="Arial"/>
                  <w:sz w:val="20"/>
                  <w:szCs w:val="20"/>
                </w:rPr>
                <m:t>=0</m:t>
              </m:r>
            </m:oMath>
            <w:r w:rsidRPr="00C91565">
              <w:rPr>
                <w:rFonts w:ascii="Arial" w:hAnsi="Arial" w:cs="Arial"/>
                <w:sz w:val="20"/>
                <w:szCs w:val="20"/>
              </w:rPr>
              <w:t>;</w:t>
            </w:r>
          </w:p>
          <w:p w14:paraId="6497CD6D" w14:textId="77777777" w:rsidR="003A2D5C" w:rsidRPr="00C91565" w:rsidRDefault="003A2D5C" w:rsidP="00CC3AF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mem-GDL</m:t>
                  </m:r>
                </m:sub>
                <m:sup>
                  <m:r>
                    <w:rPr>
                      <w:rFonts w:ascii="Cambria Math" w:hAnsi="Cambria Math" w:cs="Arial"/>
                      <w:sz w:val="20"/>
                      <w:szCs w:val="20"/>
                    </w:rPr>
                    <m:t xml:space="preserve">a, </m:t>
                  </m:r>
                </m:sup>
              </m:sSubSup>
              <m:r>
                <w:rPr>
                  <w:rFonts w:ascii="Cambria Math" w:hAnsi="Cambria Math" w:cs="Arial"/>
                  <w:sz w:val="20"/>
                  <w:szCs w:val="20"/>
                </w:rPr>
                <m:t>:-n.</m:t>
              </m:r>
              <m:sSub>
                <m:sSubPr>
                  <m:ctrlPr>
                    <w:rPr>
                      <w:rFonts w:ascii="Cambria Math" w:eastAsia="Calibri"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H2</m:t>
                  </m:r>
                </m:sub>
              </m:sSub>
              <m:r>
                <w:rPr>
                  <w:rFonts w:ascii="Cambria Math" w:hAnsi="Cambria Math" w:cs="Arial"/>
                  <w:sz w:val="20"/>
                  <w:szCs w:val="20"/>
                </w:rPr>
                <m:t>=</m:t>
              </m:r>
              <m:f>
                <m:fPr>
                  <m:ctrlPr>
                    <w:rPr>
                      <w:rFonts w:ascii="Cambria Math" w:eastAsia="Calibri" w:hAnsi="Cambria Math" w:cs="Arial"/>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0</m:t>
                      </m:r>
                    </m:sub>
                  </m:sSub>
                </m:num>
                <m:den>
                  <m:r>
                    <w:rPr>
                      <w:rFonts w:ascii="Cambria Math" w:hAnsi="Cambria Math" w:cs="Arial"/>
                      <w:sz w:val="20"/>
                      <w:szCs w:val="20"/>
                    </w:rPr>
                    <m:t>2F</m:t>
                  </m:r>
                </m:den>
              </m:f>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m:t>
                  </m:r>
                </m:sub>
              </m:sSub>
            </m:oMath>
            <w:r w:rsidRPr="00C91565">
              <w:rPr>
                <w:rFonts w:ascii="Arial" w:eastAsiaTheme="minorEastAsia" w:hAnsi="Arial" w:cs="Arial"/>
                <w:sz w:val="20"/>
                <w:szCs w:val="20"/>
              </w:rPr>
              <w:t xml:space="preserve"> </w:t>
            </w:r>
          </w:p>
        </w:tc>
      </w:tr>
      <w:tr w:rsidR="003A2D5C" w:rsidRPr="00C91565" w14:paraId="15F607C4"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tcPr>
          <w:p w14:paraId="4D42BF71" w14:textId="77777777" w:rsidR="003A2D5C" w:rsidRPr="00C91565" w:rsidRDefault="003A2D5C" w:rsidP="00CC3AFE">
            <w:pPr>
              <w:rPr>
                <w:rFonts w:ascii="Arial" w:hAnsi="Arial" w:cs="Arial"/>
                <w:sz w:val="20"/>
                <w:szCs w:val="20"/>
              </w:rPr>
            </w:pPr>
            <w:r w:rsidRPr="00C91565">
              <w:rPr>
                <w:rFonts w:ascii="Arial" w:hAnsi="Arial" w:cs="Arial"/>
                <w:sz w:val="20"/>
                <w:szCs w:val="20"/>
              </w:rPr>
              <w:t>Freight transport</w:t>
            </w:r>
          </w:p>
        </w:tc>
        <w:tc>
          <w:tcPr>
            <w:tcW w:w="4698" w:type="dxa"/>
            <w:tcBorders>
              <w:top w:val="none" w:sz="0" w:space="0" w:color="auto"/>
              <w:bottom w:val="none" w:sz="0" w:space="0" w:color="auto"/>
            </w:tcBorders>
          </w:tcPr>
          <w:p w14:paraId="14B72B4B" w14:textId="77777777" w:rsidR="003A2D5C" w:rsidRPr="00C91565" w:rsidRDefault="002832C6" w:rsidP="00CC3AFE">
            <w:pPr>
              <w:pStyle w:val="22TableBodyBack"/>
              <w:ind w:firstLine="20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m:oMathPara>
              <m:oMathParaPr>
                <m:jc m:val="left"/>
              </m:oMathParaPr>
              <m:oMath>
                <m:sSubSup>
                  <m:sSubSupPr>
                    <m:ctrlPr>
                      <w:rPr>
                        <w:rFonts w:ascii="Cambria Math" w:eastAsia="Calibri" w:hAnsi="Cambria Math" w:cs="Arial"/>
                        <w:i/>
                        <w:sz w:val="20"/>
                        <w:szCs w:val="20"/>
                      </w:rPr>
                    </m:ctrlPr>
                  </m:sSubSupPr>
                  <m:e>
                    <m:r>
                      <m:rPr>
                        <m:sty m:val="p"/>
                      </m:rPr>
                      <w:rPr>
                        <w:rFonts w:ascii="Cambria Math" w:hAnsi="Cambria Math" w:cs="Arial"/>
                        <w:sz w:val="20"/>
                        <w:szCs w:val="20"/>
                      </w:rPr>
                      <m:t>∂</m:t>
                    </m:r>
                    <m: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out</m:t>
                    </m:r>
                  </m:sup>
                </m:sSubSup>
                <m:r>
                  <w:rPr>
                    <w:rFonts w:ascii="Cambria Math" w:hAnsi="Cambria Math" w:cs="Arial"/>
                    <w:sz w:val="20"/>
                    <w:szCs w:val="20"/>
                  </w:rPr>
                  <m:t>,</m:t>
                </m:r>
                <m:r>
                  <m:rPr>
                    <m:sty m:val="p"/>
                  </m:rPr>
                  <w:rPr>
                    <w:rFonts w:ascii="Cambria Math" w:hAnsi="Cambria Math" w:cs="Arial"/>
                    <w:sz w:val="20"/>
                    <w:szCs w:val="20"/>
                  </w:rPr>
                  <m:t xml:space="preserve"> ∂</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in</m:t>
                    </m:r>
                  </m:sup>
                </m:sSubSup>
                <m:r>
                  <w:rPr>
                    <w:rFonts w:ascii="Cambria Math" w:hAnsi="Cambria Math" w:cs="Arial"/>
                    <w:sz w:val="20"/>
                    <w:szCs w:val="20"/>
                  </w:rPr>
                  <m:t>: -</m:t>
                </m:r>
                <m:r>
                  <w:rPr>
                    <w:rFonts w:ascii="Cambria Math" w:hAnsi="Cambria Math" w:cs="Arial"/>
                    <w:sz w:val="20"/>
                    <w:szCs w:val="20"/>
                  </w:rPr>
                  <m:t>ni</m:t>
                </m:r>
                <m:r>
                  <w:rPr>
                    <w:rFonts w:ascii="Cambria Math" w:hAnsi="Cambria Math" w:cs="Arial"/>
                    <w:sz w:val="20"/>
                    <w:szCs w:val="20"/>
                  </w:rPr>
                  <m:t>=0;</m:t>
                </m:r>
              </m:oMath>
            </m:oMathPara>
          </w:p>
          <w:p w14:paraId="52049C89"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out</m:t>
                    </m:r>
                  </m:sup>
                </m:sSubSup>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s</m:t>
                    </m:r>
                  </m:sub>
                </m:sSub>
                <m:r>
                  <w:rPr>
                    <w:rFonts w:ascii="Cambria Math" w:hAnsi="Cambria Math" w:cs="Arial"/>
                    <w:sz w:val="20"/>
                    <w:szCs w:val="20"/>
                  </w:rPr>
                  <m:t>=0</m:t>
                </m:r>
              </m:oMath>
            </m:oMathPara>
          </w:p>
        </w:tc>
      </w:tr>
    </w:tbl>
    <w:p w14:paraId="608F9E4D" w14:textId="77777777" w:rsidR="003A2D5C" w:rsidRPr="00C91565" w:rsidRDefault="003A2D5C" w:rsidP="003A2D5C">
      <w:pPr>
        <w:pStyle w:val="17TableCaptionSingleLine"/>
        <w:jc w:val="left"/>
        <w:rPr>
          <w:rFonts w:ascii="Arial" w:hAnsi="Arial" w:cs="Arial"/>
          <w:b/>
          <w:i w:val="0"/>
          <w:iCs/>
          <w:sz w:val="20"/>
          <w:szCs w:val="20"/>
          <w:highlight w:val="white"/>
        </w:rPr>
      </w:pPr>
    </w:p>
    <w:p w14:paraId="3F712D7E" w14:textId="77777777" w:rsidR="003A2D5C" w:rsidRPr="00C91565" w:rsidRDefault="003A2D5C" w:rsidP="003A2D5C">
      <w:pPr>
        <w:pStyle w:val="17TableCaptionSingleLine"/>
        <w:jc w:val="left"/>
        <w:rPr>
          <w:rFonts w:ascii="Arial" w:hAnsi="Arial" w:cs="Arial"/>
          <w:b/>
          <w:i w:val="0"/>
          <w:iCs/>
          <w:sz w:val="20"/>
          <w:szCs w:val="20"/>
          <w:highlight w:val="white"/>
        </w:rPr>
      </w:pPr>
    </w:p>
    <w:p w14:paraId="1A94B56F" w14:textId="60D8CBC1" w:rsidR="003A2D5C" w:rsidRPr="00C91565" w:rsidRDefault="003A2D5C" w:rsidP="003A2D5C">
      <w:pPr>
        <w:pStyle w:val="17TableCaptionSingleLine"/>
        <w:jc w:val="left"/>
        <w:rPr>
          <w:rFonts w:ascii="Arial" w:hAnsi="Arial" w:cs="Arial"/>
          <w:b/>
          <w:i w:val="0"/>
          <w:iCs/>
          <w:sz w:val="20"/>
          <w:szCs w:val="20"/>
        </w:rPr>
      </w:pPr>
      <w:r w:rsidRPr="00C91565">
        <w:rPr>
          <w:rFonts w:ascii="Arial" w:hAnsi="Arial" w:cs="Arial"/>
          <w:b/>
          <w:i w:val="0"/>
          <w:iCs/>
          <w:sz w:val="20"/>
          <w:szCs w:val="20"/>
          <w:highlight w:val="white"/>
        </w:rPr>
        <w:lastRenderedPageBreak/>
        <w:t>Table 2. Boundary conditions at the membrane.</w:t>
      </w:r>
    </w:p>
    <w:tbl>
      <w:tblPr>
        <w:tblStyle w:val="PlainTable2"/>
        <w:tblW w:w="0" w:type="auto"/>
        <w:tblLook w:val="04A0" w:firstRow="1" w:lastRow="0" w:firstColumn="1" w:lastColumn="0" w:noHBand="0" w:noVBand="1"/>
      </w:tblPr>
      <w:tblGrid>
        <w:gridCol w:w="4061"/>
        <w:gridCol w:w="4147"/>
      </w:tblGrid>
      <w:tr w:rsidR="003A2D5C" w:rsidRPr="00C91565" w14:paraId="04F0EFD6" w14:textId="77777777" w:rsidTr="00CC3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bottom w:val="none" w:sz="0" w:space="0" w:color="auto"/>
            </w:tcBorders>
          </w:tcPr>
          <w:p w14:paraId="560124E3" w14:textId="77777777" w:rsidR="003A2D5C" w:rsidRPr="00C91565" w:rsidRDefault="003A2D5C" w:rsidP="00CC3AFE">
            <w:pPr>
              <w:jc w:val="center"/>
              <w:rPr>
                <w:rFonts w:ascii="Arial" w:hAnsi="Arial" w:cs="Arial"/>
                <w:sz w:val="20"/>
                <w:szCs w:val="20"/>
                <w:lang w:val="en-GB"/>
              </w:rPr>
            </w:pPr>
          </w:p>
        </w:tc>
      </w:tr>
      <w:tr w:rsidR="003A2D5C" w:rsidRPr="00C91565" w14:paraId="1DA2906F"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2A2D9047" w14:textId="77777777" w:rsidR="003A2D5C" w:rsidRPr="00C91565" w:rsidRDefault="003A2D5C" w:rsidP="00CC3AFE">
            <w:pPr>
              <w:rPr>
                <w:rFonts w:ascii="Arial" w:hAnsi="Arial" w:cs="Arial"/>
                <w:sz w:val="20"/>
                <w:szCs w:val="20"/>
              </w:rPr>
            </w:pPr>
            <w:r w:rsidRPr="00C91565">
              <w:rPr>
                <w:rFonts w:ascii="Arial" w:hAnsi="Arial" w:cs="Arial"/>
                <w:sz w:val="20"/>
                <w:szCs w:val="20"/>
              </w:rPr>
              <w:t>Velocity Field (Described by Darcy's Law)</w:t>
            </w:r>
          </w:p>
        </w:tc>
        <w:tc>
          <w:tcPr>
            <w:tcW w:w="4698" w:type="dxa"/>
            <w:tcBorders>
              <w:top w:val="none" w:sz="0" w:space="0" w:color="auto"/>
              <w:bottom w:val="none" w:sz="0" w:space="0" w:color="auto"/>
            </w:tcBorders>
            <w:vAlign w:val="center"/>
          </w:tcPr>
          <w:p w14:paraId="3104BBBA"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w:rPr>
                    <w:rFonts w:ascii="Cambria Math" w:hAnsi="Cambria Math" w:cs="Arial"/>
                    <w:sz w:val="20"/>
                    <w:szCs w:val="20"/>
                  </w:rPr>
                  <m:t>-</m:t>
                </m:r>
              </m:oMath>
            </m:oMathPara>
          </w:p>
        </w:tc>
      </w:tr>
      <w:tr w:rsidR="003A2D5C" w:rsidRPr="00C91565" w14:paraId="19134CC5" w14:textId="77777777" w:rsidTr="00CC3AFE">
        <w:tc>
          <w:tcPr>
            <w:cnfStyle w:val="001000000000" w:firstRow="0" w:lastRow="0" w:firstColumn="1" w:lastColumn="0" w:oddVBand="0" w:evenVBand="0" w:oddHBand="0" w:evenHBand="0" w:firstRowFirstColumn="0" w:firstRowLastColumn="0" w:lastRowFirstColumn="0" w:lastRowLastColumn="0"/>
            <w:tcW w:w="4698" w:type="dxa"/>
            <w:vAlign w:val="center"/>
          </w:tcPr>
          <w:p w14:paraId="008BBF34" w14:textId="77777777" w:rsidR="003A2D5C" w:rsidRPr="00C91565" w:rsidRDefault="003A2D5C" w:rsidP="00CC3AFE">
            <w:pPr>
              <w:rPr>
                <w:rFonts w:ascii="Arial" w:hAnsi="Arial" w:cs="Arial"/>
                <w:sz w:val="20"/>
                <w:szCs w:val="20"/>
              </w:rPr>
            </w:pPr>
            <w:r w:rsidRPr="00C91565">
              <w:rPr>
                <w:rFonts w:ascii="Arial" w:hAnsi="Arial" w:cs="Arial"/>
                <w:sz w:val="20"/>
                <w:szCs w:val="20"/>
              </w:rPr>
              <w:t>Mass transit</w:t>
            </w:r>
          </w:p>
        </w:tc>
        <w:tc>
          <w:tcPr>
            <w:tcW w:w="4698" w:type="dxa"/>
            <w:vAlign w:val="center"/>
          </w:tcPr>
          <w:p w14:paraId="0C32EF4E" w14:textId="77777777" w:rsidR="003A2D5C" w:rsidRPr="00C91565" w:rsidRDefault="003A2D5C" w:rsidP="00CC3AF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Para>
              <m:oMath>
                <m:r>
                  <m:rPr>
                    <m:sty m:val="p"/>
                  </m:rPr>
                  <w:rPr>
                    <w:rFonts w:ascii="Cambria Math" w:hAnsi="Cambria Math" w:cs="Arial"/>
                    <w:sz w:val="20"/>
                    <w:szCs w:val="20"/>
                  </w:rPr>
                  <m:t>-</m:t>
                </m:r>
              </m:oMath>
            </m:oMathPara>
          </w:p>
        </w:tc>
      </w:tr>
      <w:tr w:rsidR="003A2D5C" w:rsidRPr="00C91565" w14:paraId="18439A3C"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1474E0D9" w14:textId="77777777" w:rsidR="003A2D5C" w:rsidRPr="00C91565" w:rsidRDefault="003A2D5C" w:rsidP="00CC3AFE">
            <w:pPr>
              <w:rPr>
                <w:rFonts w:ascii="Arial" w:hAnsi="Arial" w:cs="Arial"/>
                <w:sz w:val="20"/>
                <w:szCs w:val="20"/>
              </w:rPr>
            </w:pPr>
            <w:r w:rsidRPr="00C91565">
              <w:rPr>
                <w:rFonts w:ascii="Arial" w:hAnsi="Arial" w:cs="Arial"/>
                <w:sz w:val="20"/>
                <w:szCs w:val="20"/>
              </w:rPr>
              <w:t>Freight transport</w:t>
            </w:r>
          </w:p>
        </w:tc>
        <w:tc>
          <w:tcPr>
            <w:tcW w:w="4698" w:type="dxa"/>
            <w:tcBorders>
              <w:top w:val="none" w:sz="0" w:space="0" w:color="auto"/>
              <w:bottom w:val="none" w:sz="0" w:space="0" w:color="auto"/>
            </w:tcBorders>
            <w:vAlign w:val="center"/>
          </w:tcPr>
          <w:p w14:paraId="62E2944C" w14:textId="77777777" w:rsidR="003A2D5C" w:rsidRPr="00C91565" w:rsidRDefault="003A2D5C" w:rsidP="00CC3AFE">
            <w:pPr>
              <w:pStyle w:val="22TableBodyBack"/>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iCs/>
                <w:sz w:val="20"/>
                <w:szCs w:val="20"/>
              </w:rPr>
            </w:pPr>
            <m:oMath>
              <m:r>
                <m:rPr>
                  <m:sty m:val="p"/>
                </m:rPr>
                <w:rPr>
                  <w:rFonts w:ascii="Cambria Math" w:hAnsi="Cambria Math" w:cs="Arial"/>
                  <w:sz w:val="20"/>
                  <w:szCs w:val="20"/>
                </w:rPr>
                <m:t>∂d</m:t>
              </m:r>
              <m:sSubSup>
                <m:sSubSupPr>
                  <m:ctrlPr>
                    <w:rPr>
                      <w:rFonts w:ascii="Cambria Math" w:eastAsia="Calibri" w:hAnsi="Cambria Math" w:cs="Arial"/>
                      <w:iCs/>
                      <w:sz w:val="20"/>
                      <w:szCs w:val="20"/>
                    </w:rPr>
                  </m:ctrlPr>
                </m:sSubSupPr>
                <m:e>
                  <m:r>
                    <m:rPr>
                      <m:sty m:val="p"/>
                    </m:rPr>
                    <w:rPr>
                      <w:rFonts w:ascii="Cambria Math" w:hAnsi="Cambria Math" w:cs="Arial"/>
                      <w:sz w:val="20"/>
                      <w:szCs w:val="20"/>
                    </w:rPr>
                    <m:t>Ω</m:t>
                  </m:r>
                </m:e>
                <m:sub>
                  <m:r>
                    <m:rPr>
                      <m:sty m:val="p"/>
                    </m:rPr>
                    <w:rPr>
                      <w:rFonts w:ascii="Cambria Math" w:hAnsi="Cambria Math" w:cs="Arial"/>
                      <w:sz w:val="20"/>
                      <w:szCs w:val="20"/>
                    </w:rPr>
                    <m:t>mem</m:t>
                  </m:r>
                </m:sub>
                <m:sup>
                  <m:r>
                    <m:rPr>
                      <m:sty m:val="p"/>
                    </m:rPr>
                    <w:rPr>
                      <w:rFonts w:ascii="Cambria Math" w:hAnsi="Cambria Math" w:cs="Arial"/>
                      <w:sz w:val="20"/>
                      <w:szCs w:val="20"/>
                    </w:rPr>
                    <m:t>, sys</m:t>
                  </m:r>
                </m:sup>
              </m:sSubSup>
              <m:r>
                <m:rPr>
                  <m:sty m:val="p"/>
                </m:rPr>
                <w:rPr>
                  <w:rFonts w:ascii="Cambria Math" w:hAnsi="Cambria Math" w:cs="Arial"/>
                  <w:sz w:val="20"/>
                  <w:szCs w:val="20"/>
                </w:rPr>
                <m:t>: n∇</m:t>
              </m:r>
              <m:sSub>
                <m:sSubPr>
                  <m:ctrlPr>
                    <w:rPr>
                      <w:rFonts w:ascii="Cambria Math" w:eastAsia="Calibri" w:hAnsi="Cambria Math" w:cs="Arial"/>
                      <w:iCs/>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m</m:t>
                  </m:r>
                </m:sub>
              </m:sSub>
              <m:r>
                <m:rPr>
                  <m:sty m:val="p"/>
                </m:rPr>
                <w:rPr>
                  <w:rFonts w:ascii="Cambria Math" w:hAnsi="Cambria Math" w:cs="Arial"/>
                  <w:sz w:val="20"/>
                  <w:szCs w:val="20"/>
                </w:rPr>
                <m:t>=0;</m:t>
              </m:r>
            </m:oMath>
            <w:r w:rsidRPr="00C91565">
              <w:rPr>
                <w:rFonts w:ascii="Arial" w:eastAsiaTheme="minorEastAsia" w:hAnsi="Arial" w:cs="Arial"/>
                <w:sz w:val="20"/>
                <w:szCs w:val="20"/>
              </w:rPr>
              <w:t xml:space="preserve"> </w:t>
            </w:r>
          </w:p>
          <w:p w14:paraId="2960174B" w14:textId="77777777" w:rsidR="003A2D5C" w:rsidRPr="00C91565" w:rsidRDefault="003A2D5C" w:rsidP="00CC3AFE">
            <w:pPr>
              <w:pStyle w:val="22TableBodyBack"/>
              <w:cnfStyle w:val="000000100000" w:firstRow="0" w:lastRow="0" w:firstColumn="0" w:lastColumn="0" w:oddVBand="0" w:evenVBand="0" w:oddHBand="1" w:evenHBand="0" w:firstRowFirstColumn="0" w:firstRowLastColumn="0" w:lastRowFirstColumn="0" w:lastRowLastColumn="0"/>
              <w:rPr>
                <w:rFonts w:ascii="Arial" w:eastAsia="Calibri" w:hAnsi="Arial" w:cs="Arial"/>
                <w:iCs/>
                <w:sz w:val="20"/>
                <w:szCs w:val="20"/>
              </w:rPr>
            </w:pPr>
            <m:oMathPara>
              <m:oMathParaPr>
                <m:jc m:val="left"/>
              </m:oMathParaPr>
              <m:oMath>
                <m:r>
                  <m:rPr>
                    <m:sty m:val="p"/>
                  </m:rPr>
                  <w:rPr>
                    <w:rFonts w:ascii="Cambria Math" w:hAnsi="Cambria Math" w:cs="Arial"/>
                    <w:sz w:val="20"/>
                    <w:szCs w:val="20"/>
                  </w:rPr>
                  <m:t>d</m:t>
                </m:r>
                <m:sSubSup>
                  <m:sSubSupPr>
                    <m:ctrlPr>
                      <w:rPr>
                        <w:rFonts w:ascii="Cambria Math" w:eastAsia="Calibri" w:hAnsi="Cambria Math" w:cs="Arial"/>
                        <w:iCs/>
                        <w:sz w:val="20"/>
                        <w:szCs w:val="20"/>
                      </w:rPr>
                    </m:ctrlPr>
                  </m:sSubSupPr>
                  <m:e>
                    <m:r>
                      <m:rPr>
                        <m:sty m:val="p"/>
                      </m:rPr>
                      <w:rPr>
                        <w:rFonts w:ascii="Cambria Math" w:hAnsi="Cambria Math" w:cs="Arial"/>
                        <w:sz w:val="20"/>
                        <w:szCs w:val="20"/>
                      </w:rPr>
                      <m:t>Ω</m:t>
                    </m:r>
                  </m:e>
                  <m:sub>
                    <m:r>
                      <m:rPr>
                        <m:sty m:val="p"/>
                      </m:rPr>
                      <w:rPr>
                        <w:rFonts w:ascii="Cambria Math" w:hAnsi="Cambria Math" w:cs="Arial"/>
                        <w:sz w:val="20"/>
                        <w:szCs w:val="20"/>
                      </w:rPr>
                      <m:t>GDL-mem</m:t>
                    </m:r>
                  </m:sub>
                  <m:sup>
                    <m:r>
                      <m:rPr>
                        <m:sty m:val="p"/>
                      </m:rPr>
                      <w:rPr>
                        <w:rFonts w:ascii="Cambria Math" w:hAnsi="Cambria Math" w:cs="Arial"/>
                        <w:sz w:val="20"/>
                        <w:szCs w:val="20"/>
                      </w:rPr>
                      <m:t>a</m:t>
                    </m:r>
                  </m:sup>
                </m:sSubSup>
                <m:r>
                  <m:rPr>
                    <m:sty m:val="p"/>
                  </m:rPr>
                  <w:rPr>
                    <w:rFonts w:ascii="Cambria Math" w:hAnsi="Cambria Math" w:cs="Arial"/>
                    <w:sz w:val="20"/>
                    <w:szCs w:val="20"/>
                  </w:rPr>
                  <m:t>: = -n</m:t>
                </m:r>
                <m:d>
                  <m:dPr>
                    <m:ctrlPr>
                      <w:rPr>
                        <w:rFonts w:ascii="Cambria Math" w:eastAsia="Calibri" w:hAnsi="Cambria Math" w:cs="Arial"/>
                        <w:iCs/>
                        <w:sz w:val="20"/>
                        <w:szCs w:val="20"/>
                      </w:rPr>
                    </m:ctrlPr>
                  </m:dPr>
                  <m:e>
                    <m:sSub>
                      <m:sSubPr>
                        <m:ctrlPr>
                          <w:rPr>
                            <w:rFonts w:ascii="Cambria Math" w:eastAsia="Calibri" w:hAnsi="Cambria Math" w:cs="Arial"/>
                            <w:iCs/>
                            <w:sz w:val="20"/>
                            <w:szCs w:val="20"/>
                          </w:rPr>
                        </m:ctrlPr>
                      </m:sSubPr>
                      <m:e>
                        <m:r>
                          <m:rPr>
                            <m:sty m:val="p"/>
                          </m:rPr>
                          <w:rPr>
                            <w:rFonts w:ascii="Cambria Math" w:hAnsi="Cambria Math" w:cs="Arial"/>
                            <w:sz w:val="20"/>
                            <w:szCs w:val="20"/>
                          </w:rPr>
                          <m:t>σ</m:t>
                        </m:r>
                      </m:e>
                      <m:sub>
                        <m:r>
                          <m:rPr>
                            <m:sty m:val="p"/>
                          </m:rPr>
                          <w:rPr>
                            <w:rFonts w:ascii="Cambria Math" w:hAnsi="Cambria Math" w:cs="Arial"/>
                            <w:sz w:val="20"/>
                            <w:szCs w:val="20"/>
                          </w:rPr>
                          <m:t>m</m:t>
                        </m:r>
                      </m:sub>
                    </m:sSub>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m</m:t>
                        </m:r>
                      </m:sub>
                    </m:sSub>
                  </m:e>
                </m:d>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i</m:t>
                    </m:r>
                  </m:e>
                  <m:sub>
                    <m:r>
                      <m:rPr>
                        <m:sty m:val="p"/>
                      </m:rPr>
                      <w:rPr>
                        <w:rFonts w:ascii="Cambria Math" w:hAnsi="Cambria Math" w:cs="Arial"/>
                        <w:sz w:val="20"/>
                        <w:szCs w:val="20"/>
                      </w:rPr>
                      <m:t>a</m:t>
                    </m:r>
                  </m:sub>
                </m:sSub>
                <m:r>
                  <m:rPr>
                    <m:sty m:val="p"/>
                  </m:rPr>
                  <w:rPr>
                    <w:rFonts w:ascii="Cambria Math" w:hAnsi="Cambria Math" w:cs="Arial"/>
                    <w:sz w:val="20"/>
                    <w:szCs w:val="20"/>
                  </w:rPr>
                  <m:t>;</m:t>
                </m:r>
              </m:oMath>
            </m:oMathPara>
          </w:p>
          <w:p w14:paraId="666A54C9" w14:textId="77777777" w:rsidR="003A2D5C" w:rsidRPr="00C91565" w:rsidRDefault="003A2D5C" w:rsidP="00CC3AF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d</m:t>
              </m:r>
              <m:sSubSup>
                <m:sSubSupPr>
                  <m:ctrlPr>
                    <w:rPr>
                      <w:rFonts w:ascii="Cambria Math" w:eastAsia="Calibri" w:hAnsi="Cambria Math" w:cs="Arial"/>
                      <w:iCs/>
                      <w:sz w:val="20"/>
                      <w:szCs w:val="20"/>
                    </w:rPr>
                  </m:ctrlPr>
                </m:sSubSupPr>
                <m:e>
                  <m:r>
                    <m:rPr>
                      <m:sty m:val="p"/>
                    </m:rPr>
                    <w:rPr>
                      <w:rFonts w:ascii="Cambria Math" w:hAnsi="Cambria Math" w:cs="Arial"/>
                      <w:sz w:val="20"/>
                      <w:szCs w:val="20"/>
                    </w:rPr>
                    <m:t>Ω</m:t>
                  </m:r>
                </m:e>
                <m:sub>
                  <m:r>
                    <m:rPr>
                      <m:sty m:val="p"/>
                    </m:rPr>
                    <w:rPr>
                      <w:rFonts w:ascii="Cambria Math" w:hAnsi="Cambria Math" w:cs="Arial"/>
                      <w:sz w:val="20"/>
                      <w:szCs w:val="20"/>
                    </w:rPr>
                    <m:t>GDL-mem</m:t>
                  </m:r>
                </m:sub>
                <m:sup>
                  <m:r>
                    <m:rPr>
                      <m:sty m:val="p"/>
                    </m:rPr>
                    <w:rPr>
                      <w:rFonts w:ascii="Cambria Math" w:hAnsi="Cambria Math" w:cs="Arial"/>
                      <w:sz w:val="20"/>
                      <w:szCs w:val="20"/>
                    </w:rPr>
                    <m:t>c</m:t>
                  </m:r>
                </m:sup>
              </m:sSubSup>
              <m:r>
                <m:rPr>
                  <m:sty m:val="p"/>
                </m:rPr>
                <w:rPr>
                  <w:rFonts w:ascii="Cambria Math" w:hAnsi="Cambria Math" w:cs="Arial"/>
                  <w:sz w:val="20"/>
                  <w:szCs w:val="20"/>
                </w:rPr>
                <m:t>: -n</m:t>
              </m:r>
              <m:d>
                <m:dPr>
                  <m:ctrlPr>
                    <w:rPr>
                      <w:rFonts w:ascii="Cambria Math" w:eastAsia="Calibri" w:hAnsi="Cambria Math" w:cs="Arial"/>
                      <w:iCs/>
                      <w:sz w:val="20"/>
                      <w:szCs w:val="20"/>
                    </w:rPr>
                  </m:ctrlPr>
                </m:dPr>
                <m:e>
                  <m:sSub>
                    <m:sSubPr>
                      <m:ctrlPr>
                        <w:rPr>
                          <w:rFonts w:ascii="Cambria Math" w:eastAsia="Calibri" w:hAnsi="Cambria Math" w:cs="Arial"/>
                          <w:iCs/>
                          <w:sz w:val="20"/>
                          <w:szCs w:val="20"/>
                        </w:rPr>
                      </m:ctrlPr>
                    </m:sSubPr>
                    <m:e>
                      <m:r>
                        <m:rPr>
                          <m:sty m:val="p"/>
                        </m:rPr>
                        <w:rPr>
                          <w:rFonts w:ascii="Cambria Math" w:hAnsi="Cambria Math" w:cs="Arial"/>
                          <w:sz w:val="20"/>
                          <w:szCs w:val="20"/>
                        </w:rPr>
                        <m:t>σ</m:t>
                      </m:r>
                    </m:e>
                    <m:sub>
                      <m:r>
                        <m:rPr>
                          <m:sty m:val="p"/>
                        </m:rPr>
                        <w:rPr>
                          <w:rFonts w:ascii="Cambria Math" w:hAnsi="Cambria Math" w:cs="Arial"/>
                          <w:sz w:val="20"/>
                          <w:szCs w:val="20"/>
                        </w:rPr>
                        <m:t>m</m:t>
                      </m:r>
                    </m:sub>
                  </m:sSub>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m</m:t>
                      </m:r>
                    </m:sub>
                  </m:sSub>
                </m:e>
              </m:d>
              <m:r>
                <m:rPr>
                  <m:sty m:val="p"/>
                </m:rPr>
                <w:rPr>
                  <w:rFonts w:ascii="Cambria Math" w:hAnsi="Cambria Math" w:cs="Arial"/>
                  <w:sz w:val="20"/>
                  <w:szCs w:val="20"/>
                </w:rPr>
                <m:t>=</m:t>
              </m:r>
              <m:sSub>
                <m:sSubPr>
                  <m:ctrlPr>
                    <w:rPr>
                      <w:rFonts w:ascii="Cambria Math" w:eastAsia="Calibri" w:hAnsi="Cambria Math" w:cs="Arial"/>
                      <w:iCs/>
                      <w:sz w:val="20"/>
                      <w:szCs w:val="20"/>
                    </w:rPr>
                  </m:ctrlPr>
                </m:sSubPr>
                <m:e>
                  <m:r>
                    <m:rPr>
                      <m:sty m:val="p"/>
                    </m:rPr>
                    <w:rPr>
                      <w:rFonts w:ascii="Cambria Math" w:hAnsi="Cambria Math" w:cs="Arial"/>
                      <w:sz w:val="20"/>
                      <w:szCs w:val="20"/>
                    </w:rPr>
                    <m:t>i</m:t>
                  </m:r>
                </m:e>
                <m:sub>
                  <m:r>
                    <m:rPr>
                      <m:sty m:val="p"/>
                    </m:rPr>
                    <w:rPr>
                      <w:rFonts w:ascii="Cambria Math" w:hAnsi="Cambria Math" w:cs="Arial"/>
                      <w:sz w:val="20"/>
                      <w:szCs w:val="20"/>
                    </w:rPr>
                    <m:t>c</m:t>
                  </m:r>
                </m:sub>
              </m:sSub>
            </m:oMath>
            <w:r w:rsidRPr="00C91565">
              <w:rPr>
                <w:rFonts w:ascii="Arial" w:eastAsiaTheme="minorEastAsia" w:hAnsi="Arial" w:cs="Arial"/>
                <w:iCs/>
                <w:sz w:val="20"/>
                <w:szCs w:val="20"/>
              </w:rPr>
              <w:t xml:space="preserve"> </w:t>
            </w:r>
          </w:p>
        </w:tc>
      </w:tr>
    </w:tbl>
    <w:p w14:paraId="7480A2E5" w14:textId="77777777" w:rsidR="003A2D5C" w:rsidRPr="00C91565" w:rsidRDefault="003A2D5C" w:rsidP="003A2D5C">
      <w:pPr>
        <w:pStyle w:val="17TableCaptionSingleLine"/>
        <w:jc w:val="left"/>
        <w:rPr>
          <w:rFonts w:ascii="Arial" w:hAnsi="Arial" w:cs="Arial"/>
          <w:b/>
          <w:i w:val="0"/>
          <w:iCs/>
          <w:sz w:val="20"/>
          <w:szCs w:val="20"/>
        </w:rPr>
      </w:pPr>
      <w:r w:rsidRPr="00C91565">
        <w:rPr>
          <w:rFonts w:ascii="Arial" w:hAnsi="Arial" w:cs="Arial"/>
          <w:b/>
          <w:i w:val="0"/>
          <w:iCs/>
          <w:sz w:val="20"/>
          <w:szCs w:val="20"/>
          <w:highlight w:val="white"/>
        </w:rPr>
        <w:t xml:space="preserve">Table 3. </w:t>
      </w:r>
      <w:r w:rsidRPr="00C91565">
        <w:rPr>
          <w:rFonts w:ascii="Arial" w:hAnsi="Arial" w:cs="Arial"/>
          <w:b/>
          <w:bCs/>
          <w:i w:val="0"/>
          <w:iCs/>
          <w:sz w:val="20"/>
          <w:szCs w:val="20"/>
          <w:highlight w:val="white"/>
        </w:rPr>
        <w:t>Conditions at the Cathode Boundaries</w:t>
      </w:r>
    </w:p>
    <w:tbl>
      <w:tblPr>
        <w:tblStyle w:val="PlainTable2"/>
        <w:tblW w:w="0" w:type="auto"/>
        <w:tblLook w:val="04A0" w:firstRow="1" w:lastRow="0" w:firstColumn="1" w:lastColumn="0" w:noHBand="0" w:noVBand="1"/>
      </w:tblPr>
      <w:tblGrid>
        <w:gridCol w:w="3978"/>
        <w:gridCol w:w="4230"/>
      </w:tblGrid>
      <w:tr w:rsidR="003A2D5C" w:rsidRPr="00C91565" w14:paraId="4F395B75" w14:textId="77777777" w:rsidTr="00CC3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bottom w:val="none" w:sz="0" w:space="0" w:color="auto"/>
            </w:tcBorders>
          </w:tcPr>
          <w:p w14:paraId="05F626C1" w14:textId="77777777" w:rsidR="003A2D5C" w:rsidRPr="00C91565" w:rsidRDefault="003A2D5C" w:rsidP="00CC3AFE">
            <w:pPr>
              <w:ind w:firstLine="210"/>
              <w:jc w:val="center"/>
              <w:rPr>
                <w:rFonts w:ascii="Arial" w:hAnsi="Arial" w:cs="Arial"/>
                <w:sz w:val="20"/>
                <w:szCs w:val="20"/>
                <w:lang w:val="en-GB"/>
              </w:rPr>
            </w:pPr>
          </w:p>
        </w:tc>
      </w:tr>
      <w:tr w:rsidR="003A2D5C" w:rsidRPr="00C91565" w14:paraId="104DDD78"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66766AD2" w14:textId="77777777" w:rsidR="003A2D5C" w:rsidRPr="00C91565" w:rsidRDefault="003A2D5C" w:rsidP="00CC3AFE">
            <w:pPr>
              <w:ind w:firstLine="210"/>
              <w:rPr>
                <w:rFonts w:ascii="Arial" w:hAnsi="Arial" w:cs="Arial"/>
                <w:sz w:val="20"/>
                <w:szCs w:val="20"/>
              </w:rPr>
            </w:pPr>
            <w:r w:rsidRPr="00C91565">
              <w:rPr>
                <w:rFonts w:ascii="Arial" w:hAnsi="Arial" w:cs="Arial"/>
                <w:sz w:val="20"/>
                <w:szCs w:val="20"/>
              </w:rPr>
              <w:t>Velocity Field (Described by Darcy's Law)</w:t>
            </w:r>
          </w:p>
        </w:tc>
        <w:tc>
          <w:tcPr>
            <w:tcW w:w="4698" w:type="dxa"/>
            <w:tcBorders>
              <w:top w:val="none" w:sz="0" w:space="0" w:color="auto"/>
              <w:bottom w:val="none" w:sz="0" w:space="0" w:color="auto"/>
            </w:tcBorders>
            <w:vAlign w:val="center"/>
          </w:tcPr>
          <w:p w14:paraId="67ECF9E4"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ParaPr>
                <m:jc m:val="left"/>
              </m:oMathPara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collecteur</m:t>
                    </m:r>
                  </m:sub>
                  <m:sup>
                    <m:r>
                      <w:rPr>
                        <w:rFonts w:ascii="Cambria Math" w:hAnsi="Cambria Math" w:cs="Arial"/>
                        <w:sz w:val="20"/>
                        <w:szCs w:val="20"/>
                      </w:rPr>
                      <m:t>out</m:t>
                    </m:r>
                  </m:sup>
                </m:sSubSup>
                <m:r>
                  <w:rPr>
                    <w:rFonts w:ascii="Cambria Math" w:hAnsi="Cambria Math" w:cs="Arial"/>
                    <w:sz w:val="20"/>
                    <w:szCs w:val="20"/>
                  </w:rPr>
                  <m:t xml:space="preserve">, </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sys</m:t>
                    </m:r>
                  </m:sup>
                </m:sSubSup>
                <m:r>
                  <w:rPr>
                    <w:rFonts w:ascii="Cambria Math" w:hAnsi="Cambria Math" w:cs="Arial"/>
                    <w:sz w:val="20"/>
                    <w:szCs w:val="20"/>
                  </w:rPr>
                  <m:t>:n</m:t>
                </m:r>
                <m:r>
                  <m:rPr>
                    <m:sty m:val="p"/>
                  </m:rPr>
                  <w:rPr>
                    <w:rFonts w:ascii="Cambria Math" w:hAnsi="Cambria Math" w:cs="Arial"/>
                    <w:sz w:val="20"/>
                    <w:szCs w:val="20"/>
                  </w:rPr>
                  <m:t>u=0;</m:t>
                </m:r>
              </m:oMath>
            </m:oMathPara>
          </w:p>
          <w:p w14:paraId="093B867C"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in</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w:rPr>
                      <w:rFonts w:ascii="Cambria Math" w:hAnsi="Cambria Math" w:cs="Arial"/>
                      <w:sz w:val="20"/>
                      <w:szCs w:val="20"/>
                    </w:rPr>
                    <m:t>c</m:t>
                  </m:r>
                  <m:r>
                    <m:rPr>
                      <m:sty m:val="p"/>
                    </m:rPr>
                    <w:rPr>
                      <w:rFonts w:ascii="Cambria Math" w:hAnsi="Cambria Math" w:cs="Arial"/>
                      <w:sz w:val="20"/>
                      <w:szCs w:val="20"/>
                    </w:rPr>
                    <m:t>,in</m:t>
                  </m:r>
                </m:sub>
              </m:sSub>
              <m:r>
                <w:rPr>
                  <w:rFonts w:ascii="Cambria Math" w:hAnsi="Cambria Math" w:cs="Arial"/>
                  <w:sz w:val="20"/>
                  <w:szCs w:val="20"/>
                </w:rPr>
                <m:t>;</m:t>
              </m:r>
            </m:oMath>
            <w:r w:rsidRPr="00C91565">
              <w:rPr>
                <w:rFonts w:ascii="Arial" w:hAnsi="Arial" w:cs="Arial"/>
                <w:sz w:val="20"/>
                <w:szCs w:val="20"/>
              </w:rPr>
              <w:t xml:space="preserve"> </w:t>
            </w:r>
          </w:p>
          <w:p w14:paraId="4BA2F0AE"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out</m:t>
                  </m:r>
                </m:sup>
              </m:sSubSup>
              <m:r>
                <w:rPr>
                  <w:rFonts w:ascii="Cambria Math" w:hAnsi="Cambria Math" w:cs="Arial"/>
                  <w:sz w:val="20"/>
                  <w:szCs w:val="20"/>
                </w:rPr>
                <m:t>:P=</m:t>
              </m:r>
              <m:sSub>
                <m:sSubPr>
                  <m:ctrlPr>
                    <w:rPr>
                      <w:rFonts w:ascii="Cambria Math" w:hAnsi="Cambria Math" w:cs="Arial"/>
                      <w:sz w:val="20"/>
                      <w:szCs w:val="20"/>
                    </w:rPr>
                  </m:ctrlPr>
                </m:sSubPr>
                <m:e>
                  <m:r>
                    <m:rPr>
                      <m:sty m:val="p"/>
                    </m:rPr>
                    <w:rPr>
                      <w:rFonts w:ascii="Cambria Math" w:hAnsi="Cambria Math" w:cs="Arial"/>
                      <w:sz w:val="20"/>
                      <w:szCs w:val="20"/>
                    </w:rPr>
                    <m:t>p</m:t>
                  </m:r>
                </m:e>
                <m:sub>
                  <m:r>
                    <w:rPr>
                      <w:rFonts w:ascii="Cambria Math" w:hAnsi="Cambria Math" w:cs="Arial"/>
                      <w:sz w:val="20"/>
                      <w:szCs w:val="20"/>
                    </w:rPr>
                    <m:t>ref</m:t>
                  </m:r>
                </m:sub>
              </m:sSub>
              <m:r>
                <w:rPr>
                  <w:rFonts w:ascii="Cambria Math" w:hAnsi="Cambria Math" w:cs="Arial"/>
                  <w:sz w:val="20"/>
                  <w:szCs w:val="20"/>
                </w:rPr>
                <m:t>;</m:t>
              </m:r>
            </m:oMath>
            <w:r w:rsidRPr="00C91565">
              <w:rPr>
                <w:rFonts w:ascii="Arial" w:hAnsi="Arial" w:cs="Arial"/>
                <w:sz w:val="20"/>
                <w:szCs w:val="20"/>
              </w:rPr>
              <w:t xml:space="preserve"> </w:t>
            </w:r>
          </w:p>
          <w:p w14:paraId="44F80E70" w14:textId="77777777" w:rsidR="003A2D5C" w:rsidRPr="00C91565" w:rsidRDefault="003A2D5C" w:rsidP="00CC3AFE">
            <w:pPr>
              <w:pStyle w:val="20TableBodyFront"/>
              <w:ind w:left="84" w:firstLine="200"/>
              <w:cnfStyle w:val="000000100000" w:firstRow="0" w:lastRow="0" w:firstColumn="0" w:lastColumn="0" w:oddVBand="0" w:evenVBand="0" w:oddHBand="1" w:evenHBand="0" w:firstRowFirstColumn="0" w:firstRowLastColumn="0" w:lastRowFirstColumn="0" w:lastRowLastColumn="0"/>
              <w:rPr>
                <w:rFonts w:ascii="Cambria Math" w:hAnsi="Cambria Math" w:cs="Arial"/>
                <w:sz w:val="20"/>
                <w:szCs w:val="20"/>
                <w:oMath/>
              </w:rPr>
            </w:pPr>
            <m:oMath>
              <m:r>
                <m:rPr>
                  <m:sty m:val="p"/>
                </m:rPr>
                <w:rPr>
                  <w:rFonts w:ascii="Cambria Math" w:hAnsi="Cambria Math" w:cs="Arial"/>
                  <w:sz w:val="20"/>
                  <w:szCs w:val="20"/>
                </w:rPr>
                <m:t>∂</m:t>
              </m:r>
              <m:sSubSup>
                <m:sSubSupPr>
                  <m:ctrlPr>
                    <w:rPr>
                      <w:rFonts w:ascii="Cambria Math" w:eastAsia="Calibri" w:hAnsi="Cambria Math" w:cs="Arial"/>
                      <w:sz w:val="20"/>
                      <w:szCs w:val="20"/>
                    </w:rPr>
                  </m:ctrlPr>
                </m:sSubSupPr>
                <m:e>
                  <m:r>
                    <m:rPr>
                      <m:sty m:val="p"/>
                    </m:rPr>
                    <w:rPr>
                      <w:rFonts w:ascii="Cambria Math" w:hAnsi="Cambria Math" w:cs="Arial"/>
                      <w:sz w:val="20"/>
                      <w:szCs w:val="20"/>
                    </w:rPr>
                    <m:t>Ω</m:t>
                  </m:r>
                </m:e>
                <m:sub>
                  <m:r>
                    <w:rPr>
                      <w:rFonts w:ascii="Cambria Math" w:hAnsi="Cambria Math" w:cs="Arial"/>
                      <w:sz w:val="20"/>
                      <w:szCs w:val="20"/>
                    </w:rPr>
                    <m:t>mem-GDL</m:t>
                  </m:r>
                </m:sub>
                <m:sup>
                  <m:r>
                    <w:rPr>
                      <w:rFonts w:ascii="Cambria Math" w:hAnsi="Cambria Math" w:cs="Arial"/>
                      <w:sz w:val="20"/>
                      <w:szCs w:val="20"/>
                    </w:rPr>
                    <m:t>c</m:t>
                  </m:r>
                </m:sup>
              </m:sSubSup>
              <m:r>
                <w:rPr>
                  <w:rFonts w:ascii="Cambria Math" w:hAnsi="Cambria Math" w:cs="Arial"/>
                  <w:sz w:val="20"/>
                  <w:szCs w:val="20"/>
                </w:rPr>
                <m:t>:</m:t>
              </m:r>
            </m:oMath>
            <w:r w:rsidRPr="00C91565">
              <w:rPr>
                <w:rFonts w:ascii="Arial" w:hAnsi="Arial" w:cs="Arial"/>
                <w:sz w:val="20"/>
                <w:szCs w:val="20"/>
              </w:rPr>
              <w:t xml:space="preserve"> </w:t>
            </w:r>
          </w:p>
          <w:p w14:paraId="7B4EC69C" w14:textId="77777777" w:rsidR="003A2D5C" w:rsidRPr="00C91565" w:rsidRDefault="003A2D5C" w:rsidP="00CC3AFE">
            <w:pPr>
              <w:ind w:firstLine="21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w:rPr>
                  <w:rFonts w:ascii="Cambria Math" w:hAnsi="Cambria Math" w:cs="Arial"/>
                  <w:sz w:val="20"/>
                  <w:szCs w:val="20"/>
                </w:rPr>
                <m:t>-n</m:t>
              </m:r>
              <m:r>
                <m:rPr>
                  <m:sty m:val="p"/>
                </m:rPr>
                <w:rPr>
                  <w:rFonts w:ascii="Cambria Math" w:hAnsi="Cambria Math" w:cs="Arial"/>
                  <w:sz w:val="20"/>
                  <w:szCs w:val="20"/>
                </w:rPr>
                <m:t>u=</m:t>
              </m:r>
              <m:f>
                <m:fPr>
                  <m:ctrlPr>
                    <w:rPr>
                      <w:rFonts w:ascii="Cambria Math" w:eastAsia="Calibri" w:hAnsi="Cambria Math" w:cs="Arial"/>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c</m:t>
                      </m:r>
                    </m:sub>
                  </m:sSub>
                </m:num>
                <m:den>
                  <m:r>
                    <w:rPr>
                      <w:rFonts w:ascii="Cambria Math" w:hAnsi="Cambria Math" w:cs="Arial"/>
                      <w:sz w:val="20"/>
                      <w:szCs w:val="20"/>
                    </w:rPr>
                    <m:t>ρF</m:t>
                  </m:r>
                </m:den>
              </m:f>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m:t>
                          </m:r>
                        </m:sub>
                      </m:sSub>
                    </m:num>
                    <m:den>
                      <m:r>
                        <w:rPr>
                          <w:rFonts w:ascii="Cambria Math" w:hAnsi="Cambria Math" w:cs="Arial"/>
                          <w:sz w:val="20"/>
                          <w:szCs w:val="20"/>
                        </w:rPr>
                        <m:t>4</m:t>
                      </m:r>
                    </m:den>
                  </m:f>
                  <m:r>
                    <w:rPr>
                      <w:rFonts w:ascii="Cambria Math" w:hAnsi="Cambria Math" w:cs="Arial"/>
                      <w:sz w:val="20"/>
                      <w:szCs w:val="20"/>
                    </w:rPr>
                    <m:t xml:space="preserve">+ </m:t>
                  </m:r>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H2O</m:t>
                          </m:r>
                        </m:sub>
                      </m:sSub>
                    </m:e>
                  </m:d>
                  <m:sSub>
                    <m:sSubPr>
                      <m:ctrlPr>
                        <w:rPr>
                          <w:rFonts w:ascii="Cambria Math" w:eastAsia="Calibri"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H2O</m:t>
                      </m:r>
                    </m:sub>
                  </m:sSub>
                </m:e>
              </m:d>
            </m:oMath>
            <w:r w:rsidRPr="00C91565">
              <w:rPr>
                <w:rFonts w:ascii="Arial" w:hAnsi="Arial" w:cs="Arial"/>
                <w:sz w:val="20"/>
                <w:szCs w:val="20"/>
              </w:rPr>
              <w:t xml:space="preserve"> </w:t>
            </w:r>
          </w:p>
          <w:p w14:paraId="18264C68" w14:textId="77777777" w:rsidR="003A2D5C" w:rsidRPr="00C91565" w:rsidRDefault="003A2D5C" w:rsidP="00CC3AFE">
            <w:pPr>
              <w:ind w:firstLine="21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A2D5C" w:rsidRPr="00C91565" w14:paraId="55267CD6" w14:textId="77777777" w:rsidTr="00CC3AFE">
        <w:tc>
          <w:tcPr>
            <w:cnfStyle w:val="001000000000" w:firstRow="0" w:lastRow="0" w:firstColumn="1" w:lastColumn="0" w:oddVBand="0" w:evenVBand="0" w:oddHBand="0" w:evenHBand="0" w:firstRowFirstColumn="0" w:firstRowLastColumn="0" w:lastRowFirstColumn="0" w:lastRowLastColumn="0"/>
            <w:tcW w:w="4698" w:type="dxa"/>
            <w:vAlign w:val="center"/>
          </w:tcPr>
          <w:p w14:paraId="1635F41A" w14:textId="77777777" w:rsidR="003A2D5C" w:rsidRPr="00C91565" w:rsidRDefault="003A2D5C" w:rsidP="00CC3AFE">
            <w:pPr>
              <w:ind w:firstLine="210"/>
              <w:rPr>
                <w:rFonts w:ascii="Arial" w:hAnsi="Arial" w:cs="Arial"/>
                <w:sz w:val="20"/>
                <w:szCs w:val="20"/>
              </w:rPr>
            </w:pPr>
            <w:r w:rsidRPr="00C91565">
              <w:rPr>
                <w:rFonts w:ascii="Arial" w:hAnsi="Arial" w:cs="Arial"/>
                <w:sz w:val="20"/>
                <w:szCs w:val="20"/>
              </w:rPr>
              <w:t>Mass transit</w:t>
            </w:r>
          </w:p>
        </w:tc>
        <w:tc>
          <w:tcPr>
            <w:tcW w:w="4698" w:type="dxa"/>
            <w:vAlign w:val="center"/>
          </w:tcPr>
          <w:p w14:paraId="2EE24311" w14:textId="77777777" w:rsidR="003A2D5C" w:rsidRPr="00C91565" w:rsidRDefault="003A2D5C" w:rsidP="00CC3AFE">
            <w:pPr>
              <w:pStyle w:val="21TableBodyMiddle"/>
              <w:ind w:left="84" w:hanging="8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m:t>
              </m:r>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m:t>
                      </m:r>
                      <m:nary>
                        <m:naryPr>
                          <m:chr m:val="∑"/>
                          <m:limLoc m:val="undOvr"/>
                          <m:supHide m:val="1"/>
                          <m:ctrlPr>
                            <w:rPr>
                              <w:rFonts w:ascii="Cambria Math" w:eastAsia="Calibri" w:hAnsi="Cambria Math" w:cs="Arial"/>
                              <w:i/>
                              <w:sz w:val="20"/>
                              <w:szCs w:val="20"/>
                            </w:rPr>
                          </m:ctrlPr>
                        </m:naryPr>
                        <m:sub>
                          <m:r>
                            <w:rPr>
                              <w:rFonts w:ascii="Cambria Math" w:hAnsi="Cambria Math" w:cs="Arial"/>
                              <w:sz w:val="20"/>
                              <w:szCs w:val="20"/>
                            </w:rPr>
                            <m:t>j</m:t>
                          </m:r>
                        </m:sub>
                        <m:sup/>
                        <m:e>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O2,j</m:t>
                              </m:r>
                            </m:sub>
                          </m:sSub>
                        </m:e>
                      </m:nary>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j</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O2</m:t>
                      </m:r>
                    </m:sub>
                  </m:sSub>
                  <m:r>
                    <w:rPr>
                      <w:rFonts w:ascii="Cambria Math" w:hAnsi="Cambria Math" w:cs="Arial"/>
                      <w:sz w:val="20"/>
                      <w:szCs w:val="20"/>
                    </w:rPr>
                    <m:t>u</m:t>
                  </m:r>
                </m:e>
              </m:d>
            </m:oMath>
            <w:r w:rsidRPr="00C91565">
              <w:rPr>
                <w:rFonts w:ascii="Arial" w:hAnsi="Arial" w:cs="Arial"/>
                <w:sz w:val="20"/>
                <w:szCs w:val="20"/>
              </w:rPr>
              <w:t>=0;</w:t>
            </w:r>
          </w:p>
          <w:p w14:paraId="3933B0CD" w14:textId="77777777" w:rsidR="003A2D5C" w:rsidRPr="00C91565" w:rsidRDefault="003A2D5C" w:rsidP="00CC3AFE">
            <w:pPr>
              <w:pStyle w:val="21TableBodyMiddle"/>
              <w:ind w:left="84" w:hanging="8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m:t>
              </m:r>
              <m:d>
                <m:dPr>
                  <m:ctrlPr>
                    <w:rPr>
                      <w:rFonts w:ascii="Cambria Math" w:eastAsia="Calibri" w:hAnsi="Cambria Math" w:cs="Arial"/>
                      <w:i/>
                      <w:sz w:val="20"/>
                      <w:szCs w:val="20"/>
                    </w:rPr>
                  </m:ctrlPr>
                </m:dPr>
                <m:e>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H2O</m:t>
                      </m:r>
                      <m:nary>
                        <m:naryPr>
                          <m:chr m:val="∑"/>
                          <m:limLoc m:val="undOvr"/>
                          <m:supHide m:val="1"/>
                          <m:ctrlPr>
                            <w:rPr>
                              <w:rFonts w:ascii="Cambria Math" w:eastAsia="Calibri" w:hAnsi="Cambria Math" w:cs="Arial"/>
                              <w:i/>
                              <w:sz w:val="20"/>
                              <w:szCs w:val="20"/>
                            </w:rPr>
                          </m:ctrlPr>
                        </m:naryPr>
                        <m:sub>
                          <m:r>
                            <w:rPr>
                              <w:rFonts w:ascii="Cambria Math" w:hAnsi="Cambria Math" w:cs="Arial"/>
                              <w:sz w:val="20"/>
                              <w:szCs w:val="20"/>
                            </w:rPr>
                            <m:t>j</m:t>
                          </m:r>
                        </m:sub>
                        <m:sup/>
                        <m:e>
                          <m:sSub>
                            <m:sSubPr>
                              <m:ctrlPr>
                                <w:rPr>
                                  <w:rFonts w:ascii="Cambria Math" w:eastAsia="Calibri"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H2O,j</m:t>
                              </m:r>
                            </m:sub>
                          </m:sSub>
                        </m:e>
                      </m:nary>
                    </m:sub>
                  </m:sSub>
                  <m:d>
                    <m:dPr>
                      <m:begChr m:val="["/>
                      <m:endChr m:val="]"/>
                      <m:ctrlPr>
                        <w:rPr>
                          <w:rFonts w:ascii="Cambria Math" w:eastAsia="Calibri" w:hAnsi="Cambria Math" w:cs="Arial"/>
                          <w:i/>
                          <w:sz w:val="20"/>
                          <w:szCs w:val="20"/>
                        </w:rPr>
                      </m:ctrlPr>
                    </m:dPr>
                    <m:e>
                      <m:r>
                        <m:rPr>
                          <m:sty m:val="p"/>
                        </m:rP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d>
                        <m:dPr>
                          <m:ctrlPr>
                            <w:rPr>
                              <w:rFonts w:ascii="Cambria Math" w:eastAsia="Calibri" w:hAnsi="Cambria Math" w:cs="Arial"/>
                              <w:i/>
                              <w:sz w:val="20"/>
                              <w:szCs w:val="20"/>
                            </w:rPr>
                          </m:ctrlPr>
                        </m:dPr>
                        <m:e>
                          <m:sSub>
                            <m:sSubPr>
                              <m:ctrlPr>
                                <w:rPr>
                                  <w:rFonts w:ascii="Cambria Math" w:eastAsia="Calibri"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j</m:t>
                              </m:r>
                            </m:sub>
                          </m:sSub>
                        </m:e>
                      </m:d>
                      <m:r>
                        <w:rPr>
                          <w:rFonts w:ascii="Cambria Math" w:hAnsi="Cambria Math" w:cs="Arial"/>
                          <w:sz w:val="20"/>
                          <w:szCs w:val="20"/>
                        </w:rPr>
                        <m:t>.</m:t>
                      </m:r>
                      <m:f>
                        <m:fPr>
                          <m:ctrlPr>
                            <w:rPr>
                              <w:rFonts w:ascii="Cambria Math" w:eastAsia="Calibri" w:hAnsi="Cambria Math" w:cs="Arial"/>
                              <w:i/>
                              <w:sz w:val="20"/>
                              <w:szCs w:val="20"/>
                            </w:rPr>
                          </m:ctrlPr>
                        </m:fPr>
                        <m:num>
                          <m:r>
                            <m:rPr>
                              <m:sty m:val="p"/>
                            </m:rPr>
                            <w:rPr>
                              <w:rFonts w:ascii="Cambria Math" w:hAnsi="Cambria Math" w:cs="Arial"/>
                              <w:sz w:val="20"/>
                              <w:szCs w:val="20"/>
                            </w:rPr>
                            <m:t>∇P</m:t>
                          </m:r>
                        </m:num>
                        <m:den>
                          <m:r>
                            <w:rPr>
                              <w:rFonts w:ascii="Cambria Math" w:hAnsi="Cambria Math" w:cs="Arial"/>
                              <w:sz w:val="20"/>
                              <w:szCs w:val="20"/>
                            </w:rPr>
                            <m:t>P</m:t>
                          </m:r>
                        </m:den>
                      </m:f>
                    </m:e>
                  </m:d>
                  <m:r>
                    <w:rPr>
                      <w:rFonts w:ascii="Cambria Math" w:hAnsi="Cambria Math" w:cs="Arial"/>
                      <w:sz w:val="20"/>
                      <w:szCs w:val="20"/>
                    </w:rPr>
                    <m:t>+ρ</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H2O</m:t>
                      </m:r>
                    </m:sub>
                  </m:sSub>
                  <m:r>
                    <w:rPr>
                      <w:rFonts w:ascii="Cambria Math" w:hAnsi="Cambria Math" w:cs="Arial"/>
                      <w:sz w:val="20"/>
                      <w:szCs w:val="20"/>
                    </w:rPr>
                    <m:t>u</m:t>
                  </m:r>
                </m:e>
              </m:d>
            </m:oMath>
            <w:r w:rsidRPr="00C91565">
              <w:rPr>
                <w:rFonts w:ascii="Arial" w:hAnsi="Arial" w:cs="Arial"/>
                <w:sz w:val="20"/>
                <w:szCs w:val="20"/>
              </w:rPr>
              <w:t>=0;</w:t>
            </w:r>
          </w:p>
          <w:p w14:paraId="0F128935" w14:textId="77777777" w:rsidR="003A2D5C" w:rsidRPr="00C91565" w:rsidRDefault="002832C6" w:rsidP="00CC3AFE">
            <w:pPr>
              <w:ind w:firstLine="21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m:oMath>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O</m:t>
                  </m:r>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H</m:t>
                  </m:r>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eastAsia="Calibri"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N</m:t>
                  </m:r>
                  <m:r>
                    <w:rPr>
                      <w:rFonts w:ascii="Cambria Math" w:hAnsi="Cambria Math" w:cs="Arial"/>
                      <w:sz w:val="20"/>
                      <w:szCs w:val="20"/>
                    </w:rPr>
                    <m:t>2</m:t>
                  </m:r>
                </m:sub>
              </m:sSub>
              <m:r>
                <w:rPr>
                  <w:rFonts w:ascii="Cambria Math" w:hAnsi="Cambria Math" w:cs="Arial"/>
                  <w:sz w:val="20"/>
                  <w:szCs w:val="20"/>
                </w:rPr>
                <m:t>=0</m:t>
              </m:r>
            </m:oMath>
            <w:r w:rsidR="003A2D5C" w:rsidRPr="00C91565">
              <w:rPr>
                <w:rFonts w:ascii="Arial" w:eastAsiaTheme="minorEastAsia" w:hAnsi="Arial" w:cs="Arial"/>
                <w:sz w:val="20"/>
                <w:szCs w:val="20"/>
              </w:rPr>
              <w:t xml:space="preserve"> </w:t>
            </w:r>
          </w:p>
        </w:tc>
      </w:tr>
      <w:tr w:rsidR="003A2D5C" w:rsidRPr="00C91565" w14:paraId="50516489" w14:textId="77777777" w:rsidTr="00CC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bottom w:val="none" w:sz="0" w:space="0" w:color="auto"/>
            </w:tcBorders>
            <w:vAlign w:val="center"/>
          </w:tcPr>
          <w:p w14:paraId="408FFBA1" w14:textId="77777777" w:rsidR="003A2D5C" w:rsidRPr="00C91565" w:rsidRDefault="003A2D5C" w:rsidP="00CC3AFE">
            <w:pPr>
              <w:ind w:firstLine="210"/>
              <w:rPr>
                <w:rFonts w:ascii="Arial" w:hAnsi="Arial" w:cs="Arial"/>
                <w:sz w:val="20"/>
                <w:szCs w:val="20"/>
              </w:rPr>
            </w:pPr>
            <w:r w:rsidRPr="00C91565">
              <w:rPr>
                <w:rFonts w:ascii="Arial" w:hAnsi="Arial" w:cs="Arial"/>
                <w:sz w:val="20"/>
                <w:szCs w:val="20"/>
              </w:rPr>
              <w:t>Freight transport</w:t>
            </w:r>
          </w:p>
        </w:tc>
        <w:tc>
          <w:tcPr>
            <w:tcW w:w="4698" w:type="dxa"/>
            <w:tcBorders>
              <w:top w:val="none" w:sz="0" w:space="0" w:color="auto"/>
              <w:bottom w:val="none" w:sz="0" w:space="0" w:color="auto"/>
            </w:tcBorders>
            <w:vAlign w:val="center"/>
          </w:tcPr>
          <w:p w14:paraId="6EB519D1" w14:textId="77777777" w:rsidR="003A2D5C" w:rsidRPr="00C91565" w:rsidRDefault="003A2D5C" w:rsidP="00CC3AFE">
            <w:pPr>
              <w:pStyle w:val="22TableBodyBack"/>
              <w:ind w:firstLine="200"/>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m:oMathPara>
              <m:oMathParaPr>
                <m:jc m:val="left"/>
              </m:oMathParaPr>
              <m:oMath>
                <m:r>
                  <m:rPr>
                    <m:sty m:val="p"/>
                  </m:rPr>
                  <w:rPr>
                    <w:rFonts w:ascii="Cambria Math" w:hAnsi="Cambria Math" w:cs="Arial"/>
                    <w:sz w:val="20"/>
                    <w:szCs w:val="20"/>
                  </w:rPr>
                  <m:t>∂</m:t>
                </m:r>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c, sys</m:t>
                    </m:r>
                  </m:sup>
                </m:sSubSup>
                <m:r>
                  <w:rPr>
                    <w:rFonts w:ascii="Cambria Math" w:hAnsi="Cambria Math" w:cs="Arial"/>
                    <w:sz w:val="20"/>
                    <w:szCs w:val="20"/>
                  </w:rPr>
                  <m:t>, 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a, in</m:t>
                    </m:r>
                  </m:sup>
                </m:sSubSup>
                <m:r>
                  <w:rPr>
                    <w:rFonts w:ascii="Cambria Math" w:hAnsi="Cambria Math" w:cs="Arial"/>
                    <w:sz w:val="20"/>
                    <w:szCs w:val="20"/>
                  </w:rPr>
                  <m:t>, 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GDL</m:t>
                    </m:r>
                  </m:sub>
                  <m:sup>
                    <m:r>
                      <w:rPr>
                        <w:rFonts w:ascii="Cambria Math" w:hAnsi="Cambria Math" w:cs="Arial"/>
                        <w:sz w:val="20"/>
                        <w:szCs w:val="20"/>
                      </w:rPr>
                      <m:t>c, out</m:t>
                    </m:r>
                  </m:sup>
                </m:sSubSup>
                <m:r>
                  <w:rPr>
                    <w:rFonts w:ascii="Cambria Math" w:hAnsi="Cambria Math" w:cs="Arial"/>
                    <w:sz w:val="20"/>
                    <w:szCs w:val="20"/>
                  </w:rPr>
                  <m:t>: -n.i=0;</m:t>
                </m:r>
              </m:oMath>
            </m:oMathPara>
          </w:p>
          <w:p w14:paraId="34AC47F5" w14:textId="77777777" w:rsidR="003A2D5C" w:rsidRPr="00C91565" w:rsidRDefault="003A2D5C" w:rsidP="00CC3AFE">
            <w:pPr>
              <w:ind w:firstLine="21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
              <m:r>
                <w:rPr>
                  <w:rFonts w:ascii="Cambria Math" w:hAnsi="Cambria Math" w:cs="Arial"/>
                  <w:sz w:val="20"/>
                  <w:szCs w:val="20"/>
                </w:rPr>
                <m:t>d</m:t>
              </m:r>
              <m:sSubSup>
                <m:sSubSupPr>
                  <m:ctrlPr>
                    <w:rPr>
                      <w:rFonts w:ascii="Cambria Math" w:eastAsia="Calibri" w:hAnsi="Cambria Math" w:cs="Arial"/>
                      <w:i/>
                      <w:sz w:val="20"/>
                      <w:szCs w:val="20"/>
                    </w:rPr>
                  </m:ctrlPr>
                </m:sSubSupPr>
                <m:e>
                  <m:r>
                    <w:rPr>
                      <w:rFonts w:ascii="Cambria Math" w:hAnsi="Cambria Math" w:cs="Arial"/>
                      <w:sz w:val="20"/>
                      <w:szCs w:val="20"/>
                    </w:rPr>
                    <m:t>Ω</m:t>
                  </m:r>
                </m:e>
                <m:sub>
                  <m:r>
                    <w:rPr>
                      <w:rFonts w:ascii="Cambria Math" w:hAnsi="Cambria Math" w:cs="Arial"/>
                      <w:sz w:val="20"/>
                      <w:szCs w:val="20"/>
                    </w:rPr>
                    <m:t xml:space="preserve">collecteur: </m:t>
                  </m:r>
                </m:sub>
                <m:sup>
                  <m:r>
                    <w:rPr>
                      <w:rFonts w:ascii="Cambria Math" w:hAnsi="Cambria Math" w:cs="Arial"/>
                      <w:sz w:val="20"/>
                      <w:szCs w:val="20"/>
                    </w:rPr>
                    <m:t>c</m:t>
                  </m:r>
                </m:sup>
              </m:sSubSup>
              <m:sSub>
                <m:sSubPr>
                  <m:ctrlPr>
                    <w:rPr>
                      <w:rFonts w:ascii="Cambria Math" w:eastAsia="Calibri"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eastAsia="Calibri"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cell</m:t>
                  </m:r>
                </m:sub>
              </m:sSub>
            </m:oMath>
            <w:r w:rsidRPr="00C91565">
              <w:rPr>
                <w:rFonts w:ascii="Arial" w:eastAsiaTheme="minorEastAsia" w:hAnsi="Arial" w:cs="Arial"/>
                <w:sz w:val="20"/>
                <w:szCs w:val="20"/>
              </w:rPr>
              <w:t xml:space="preserve"> </w:t>
            </w:r>
          </w:p>
        </w:tc>
      </w:tr>
    </w:tbl>
    <w:p w14:paraId="5D8AB023" w14:textId="77777777" w:rsidR="003A2D5C" w:rsidRPr="00C91565" w:rsidRDefault="003A2D5C" w:rsidP="003A2D5C">
      <w:pPr>
        <w:pStyle w:val="Body"/>
        <w:spacing w:after="0"/>
        <w:rPr>
          <w:rFonts w:ascii="Arial" w:hAnsi="Arial" w:cs="Arial"/>
          <w:lang w:val="en-GB"/>
        </w:rPr>
      </w:pPr>
    </w:p>
    <w:p w14:paraId="159B6B19" w14:textId="77777777" w:rsidR="003A2D5C" w:rsidRPr="00C91565" w:rsidRDefault="003A2D5C" w:rsidP="003A2D5C">
      <w:pPr>
        <w:pStyle w:val="Head1"/>
        <w:spacing w:after="0"/>
        <w:jc w:val="both"/>
        <w:rPr>
          <w:rFonts w:ascii="Arial" w:hAnsi="Arial" w:cs="Arial"/>
        </w:rPr>
      </w:pPr>
      <w:r w:rsidRPr="00C91565">
        <w:rPr>
          <w:rFonts w:ascii="Arial" w:hAnsi="Arial" w:cs="Arial"/>
        </w:rPr>
        <w:t>3. results and discussion</w:t>
      </w:r>
    </w:p>
    <w:p w14:paraId="2CC52011" w14:textId="3060B562" w:rsidR="00062A85" w:rsidRPr="00C91565" w:rsidRDefault="00062A85" w:rsidP="006E3887">
      <w:pPr>
        <w:pStyle w:val="Body"/>
        <w:spacing w:after="0"/>
        <w:rPr>
          <w:rFonts w:ascii="Arial" w:hAnsi="Arial" w:cs="Arial"/>
          <w:highlight w:val="white"/>
        </w:rPr>
      </w:pPr>
    </w:p>
    <w:p w14:paraId="74856EBB" w14:textId="77777777" w:rsidR="00062A85" w:rsidRPr="00C91565" w:rsidRDefault="00062A85" w:rsidP="006E3887">
      <w:pPr>
        <w:pStyle w:val="Body"/>
        <w:spacing w:after="0"/>
        <w:rPr>
          <w:rFonts w:ascii="Arial" w:hAnsi="Arial" w:cs="Arial"/>
        </w:rPr>
      </w:pPr>
      <w:r w:rsidRPr="00C91565">
        <w:rPr>
          <w:rFonts w:ascii="Arial" w:hAnsi="Arial" w:cs="Arial"/>
        </w:rPr>
        <w:t>The present study investigates the effects of gas diffusion layer (GDL) microstructure, particularly tortuosity, and operational parameters on the performance of a proton exchange membrane fuel cell (PEMFC). The analysis includes four tortuosity configurations-low isotropic (τₓ = 1.1, τᵧ = 1.1), high isotropic (τₓ = 2.8, τᵧ = 2.8), and two anisotropic cases (τₓ = 1.1, τᵧ = 2.8; τₓ = 2.8, τᵧ = 1.1) as well as variations in porosity, electronic conductivity, gas pressure, and relative humidity.</w:t>
      </w:r>
    </w:p>
    <w:p w14:paraId="7ADA5950" w14:textId="77777777" w:rsidR="00062A85" w:rsidRPr="00C91565" w:rsidRDefault="00062A85" w:rsidP="006E3887">
      <w:pPr>
        <w:pStyle w:val="Body"/>
        <w:spacing w:after="0"/>
        <w:rPr>
          <w:rFonts w:ascii="Arial" w:hAnsi="Arial" w:cs="Arial"/>
        </w:rPr>
      </w:pPr>
    </w:p>
    <w:p w14:paraId="7AA9B821" w14:textId="40CDD7AB" w:rsidR="00026D0F" w:rsidRPr="00C91565" w:rsidRDefault="00062A85" w:rsidP="00441B6F">
      <w:pPr>
        <w:pStyle w:val="Body"/>
        <w:spacing w:after="0"/>
        <w:rPr>
          <w:rFonts w:ascii="Arial" w:hAnsi="Arial" w:cs="Arial"/>
          <w:b/>
        </w:rPr>
      </w:pPr>
      <w:r w:rsidRPr="00C91565">
        <w:rPr>
          <w:rFonts w:ascii="Arial" w:hAnsi="Arial" w:cs="Arial"/>
          <w:b/>
          <w:bCs/>
        </w:rPr>
        <w:t>3.1.</w:t>
      </w:r>
      <w:r w:rsidRPr="00C91565">
        <w:rPr>
          <w:rFonts w:ascii="Arial" w:hAnsi="Arial" w:cs="Arial"/>
        </w:rPr>
        <w:t xml:space="preserve"> </w:t>
      </w:r>
      <w:r w:rsidRPr="00C91565">
        <w:rPr>
          <w:rFonts w:ascii="Arial" w:hAnsi="Arial" w:cs="Arial"/>
          <w:b/>
        </w:rPr>
        <w:t>Impact of GDL Tortuosity</w:t>
      </w:r>
    </w:p>
    <w:p w14:paraId="57BD1C07" w14:textId="77777777" w:rsidR="000205C6" w:rsidRPr="00C91565" w:rsidRDefault="000433FA" w:rsidP="000433FA">
      <w:pPr>
        <w:spacing w:before="100" w:beforeAutospacing="1" w:after="100" w:afterAutospacing="1"/>
        <w:jc w:val="both"/>
        <w:rPr>
          <w:rFonts w:ascii="Arial" w:hAnsi="Arial" w:cs="Arial"/>
        </w:rPr>
      </w:pPr>
      <w:r w:rsidRPr="00C91565">
        <w:rPr>
          <w:rFonts w:ascii="Arial" w:hAnsi="Arial" w:cs="Arial"/>
        </w:rPr>
        <w:t xml:space="preserve">The influence of tortuosity on the distribution of current density and reactant species is illustrated in Figures 3 to 8. </w:t>
      </w:r>
    </w:p>
    <w:p w14:paraId="413F57DC" w14:textId="77777777" w:rsidR="000205C6" w:rsidRPr="00C91565" w:rsidRDefault="000433FA" w:rsidP="000205C6">
      <w:pPr>
        <w:spacing w:before="100" w:beforeAutospacing="1" w:after="100" w:afterAutospacing="1"/>
        <w:jc w:val="both"/>
        <w:rPr>
          <w:rFonts w:ascii="Arial" w:hAnsi="Arial" w:cs="Arial"/>
        </w:rPr>
      </w:pPr>
      <w:r w:rsidRPr="00C91565">
        <w:rPr>
          <w:rFonts w:ascii="Arial" w:hAnsi="Arial" w:cs="Arial"/>
        </w:rPr>
        <w:lastRenderedPageBreak/>
        <w:t xml:space="preserve">Figure 3 shows that low isotropic tortuosity produces a uniform current density throughout the anode, promoting efficient utilization of reactants. </w:t>
      </w:r>
      <w:r w:rsidR="000205C6" w:rsidRPr="00C91565">
        <w:rPr>
          <w:rFonts w:ascii="Arial" w:hAnsi="Arial" w:cs="Arial"/>
        </w:rPr>
        <w:t>In contrast, high isotropic tortuosity results in localized reductions in current density due to hindered transport, while anisotropic tortuosity generates directional asymmetry, with higher current along the axis of lower tortuosity and lower current along the axis of higher tortuosity.</w:t>
      </w:r>
    </w:p>
    <w:p w14:paraId="45548E03" w14:textId="77777777" w:rsidR="000433FA" w:rsidRPr="00C91565" w:rsidRDefault="000433FA" w:rsidP="000433FA">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drawing>
          <wp:inline distT="0" distB="0" distL="0" distR="0" wp14:anchorId="1D925185" wp14:editId="0083AC1E">
            <wp:extent cx="4229100" cy="4305300"/>
            <wp:effectExtent l="0" t="0" r="0" b="0"/>
            <wp:docPr id="9372780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78066" name="Image 937278066"/>
                    <pic:cNvPicPr/>
                  </pic:nvPicPr>
                  <pic:blipFill>
                    <a:blip r:embed="rId16">
                      <a:extLst>
                        <a:ext uri="{28A0092B-C50C-407E-A947-70E740481C1C}">
                          <a14:useLocalDpi xmlns:a14="http://schemas.microsoft.com/office/drawing/2010/main" val="0"/>
                        </a:ext>
                      </a:extLst>
                    </a:blip>
                    <a:stretch>
                      <a:fillRect/>
                    </a:stretch>
                  </pic:blipFill>
                  <pic:spPr>
                    <a:xfrm>
                      <a:off x="0" y="0"/>
                      <a:ext cx="4229678" cy="4305888"/>
                    </a:xfrm>
                    <a:prstGeom prst="rect">
                      <a:avLst/>
                    </a:prstGeom>
                  </pic:spPr>
                </pic:pic>
              </a:graphicData>
            </a:graphic>
          </wp:inline>
        </w:drawing>
      </w:r>
    </w:p>
    <w:p w14:paraId="351C666E" w14:textId="63E7250D" w:rsidR="000433FA" w:rsidRPr="00C91565" w:rsidRDefault="000433FA" w:rsidP="000433FA">
      <w:pPr>
        <w:pStyle w:val="16FigureCaptionMultipleLine"/>
        <w:rPr>
          <w:rFonts w:ascii="Arial" w:hAnsi="Arial" w:cs="Arial"/>
          <w:i w:val="0"/>
          <w:iCs/>
        </w:rPr>
      </w:pPr>
      <w:r w:rsidRPr="00C91565">
        <w:rPr>
          <w:rFonts w:ascii="Arial" w:hAnsi="Arial" w:cs="Arial"/>
          <w:b/>
          <w:i w:val="0"/>
          <w:iCs/>
          <w:snapToGrid w:val="0"/>
          <w:sz w:val="20"/>
          <w:szCs w:val="20"/>
          <w:highlight w:val="white"/>
        </w:rPr>
        <w:t xml:space="preserve">Fig 3. </w:t>
      </w:r>
      <w:r w:rsidRPr="00C91565">
        <w:rPr>
          <w:rFonts w:ascii="Arial" w:hAnsi="Arial" w:cs="Arial"/>
          <w:i w:val="0"/>
          <w:iCs/>
          <w:sz w:val="20"/>
          <w:szCs w:val="20"/>
          <w:highlight w:val="white"/>
        </w:rPr>
        <w:t xml:space="preserve">Effect of GDL Tortuosity on Current Density Distribution in the x- and y- </w:t>
      </w:r>
      <w:proofErr w:type="spellStart"/>
      <w:proofErr w:type="gramStart"/>
      <w:r w:rsidRPr="00C91565">
        <w:rPr>
          <w:rFonts w:ascii="Arial" w:hAnsi="Arial" w:cs="Arial"/>
          <w:i w:val="0"/>
          <w:iCs/>
          <w:sz w:val="20"/>
          <w:szCs w:val="20"/>
          <w:highlight w:val="white"/>
        </w:rPr>
        <w:t>Directions:</w:t>
      </w:r>
      <w:r w:rsidRPr="00C91565">
        <w:rPr>
          <w:rFonts w:ascii="Arial" w:hAnsi="Arial" w:cs="Arial"/>
          <w:i w:val="0"/>
          <w:iCs/>
          <w:highlight w:val="white"/>
        </w:rPr>
        <w:t>a</w:t>
      </w:r>
      <w:proofErr w:type="spellEnd"/>
      <w:proofErr w:type="gramEnd"/>
      <w:r w:rsidRPr="00C91565">
        <w:rPr>
          <w:rFonts w:ascii="Arial" w:hAnsi="Arial" w:cs="Arial"/>
          <w:i w:val="0"/>
          <w:iCs/>
          <w:highlight w:val="white"/>
        </w:rPr>
        <w:t xml:space="preserve">)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=1.1,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 xml:space="preserve">=1.1; b)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=2.8,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 xml:space="preserve">=2.8; c)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=1.1,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 xml:space="preserve">=2.8; d) </w:t>
      </w:r>
      <w:proofErr w:type="spellStart"/>
      <w:r w:rsidRPr="00C91565">
        <w:rPr>
          <w:rFonts w:ascii="Arial" w:hAnsi="Arial" w:cs="Arial"/>
          <w:i w:val="0"/>
          <w:iCs/>
          <w:highlight w:val="white"/>
        </w:rPr>
        <w:t>tortx</w:t>
      </w:r>
      <w:proofErr w:type="spellEnd"/>
      <w:r w:rsidRPr="00C91565">
        <w:rPr>
          <w:rFonts w:ascii="Arial" w:hAnsi="Arial" w:cs="Arial"/>
          <w:i w:val="0"/>
          <w:iCs/>
          <w:highlight w:val="white"/>
        </w:rPr>
        <w:t xml:space="preserve">=2.8, </w:t>
      </w:r>
      <w:proofErr w:type="spellStart"/>
      <w:r w:rsidRPr="00C91565">
        <w:rPr>
          <w:rFonts w:ascii="Arial" w:hAnsi="Arial" w:cs="Arial"/>
          <w:i w:val="0"/>
          <w:iCs/>
          <w:highlight w:val="white"/>
        </w:rPr>
        <w:t>torty</w:t>
      </w:r>
      <w:proofErr w:type="spellEnd"/>
      <w:r w:rsidRPr="00C91565">
        <w:rPr>
          <w:rFonts w:ascii="Arial" w:hAnsi="Arial" w:cs="Arial"/>
          <w:i w:val="0"/>
          <w:iCs/>
          <w:highlight w:val="white"/>
        </w:rPr>
        <w:t>=1.1.</w:t>
      </w:r>
    </w:p>
    <w:p w14:paraId="17BA28BB" w14:textId="78563CEA" w:rsidR="000205C6" w:rsidRPr="00C91565" w:rsidRDefault="00BF74AB" w:rsidP="00C66BC6">
      <w:pPr>
        <w:spacing w:before="100" w:beforeAutospacing="1" w:after="100" w:afterAutospacing="1"/>
        <w:jc w:val="both"/>
        <w:rPr>
          <w:rFonts w:ascii="Arial" w:hAnsi="Arial" w:cs="Arial"/>
          <w:i/>
          <w:iCs/>
        </w:rPr>
      </w:pPr>
      <w:r w:rsidRPr="00C91565">
        <w:rPr>
          <w:rFonts w:ascii="Arial" w:hAnsi="Arial" w:cs="Arial"/>
        </w:rPr>
        <w:t xml:space="preserve">Figures 4 through 6 further reveal the impact of tortuosity on hydrogen and oxygen mass fractions. In the low isotropic case, reactants are distributed homogeneously, ensuring efficient electrochemical reactions. However, high or anisotropic tortuosity induces marked concentration gradients, leading to underutilized zones and limiting reactant accessibility. </w:t>
      </w:r>
    </w:p>
    <w:p w14:paraId="45163A51"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16ED0AA5" wp14:editId="4F47F30E">
            <wp:extent cx="4221480" cy="4160520"/>
            <wp:effectExtent l="0" t="0" r="0" b="0"/>
            <wp:docPr id="442400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0977" name="Image 442400977"/>
                    <pic:cNvPicPr/>
                  </pic:nvPicPr>
                  <pic:blipFill>
                    <a:blip r:embed="rId17">
                      <a:extLst>
                        <a:ext uri="{28A0092B-C50C-407E-A947-70E740481C1C}">
                          <a14:useLocalDpi xmlns:a14="http://schemas.microsoft.com/office/drawing/2010/main" val="0"/>
                        </a:ext>
                      </a:extLst>
                    </a:blip>
                    <a:stretch>
                      <a:fillRect/>
                    </a:stretch>
                  </pic:blipFill>
                  <pic:spPr>
                    <a:xfrm>
                      <a:off x="0" y="0"/>
                      <a:ext cx="4222168" cy="4161198"/>
                    </a:xfrm>
                    <a:prstGeom prst="rect">
                      <a:avLst/>
                    </a:prstGeom>
                  </pic:spPr>
                </pic:pic>
              </a:graphicData>
            </a:graphic>
          </wp:inline>
        </w:drawing>
      </w:r>
    </w:p>
    <w:p w14:paraId="00C8157D" w14:textId="77777777" w:rsidR="00D54953" w:rsidRPr="00C91565" w:rsidRDefault="00D54953" w:rsidP="00D54953">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4. </w:t>
      </w:r>
      <w:r w:rsidRPr="00C91565">
        <w:rPr>
          <w:rFonts w:ascii="Arial" w:hAnsi="Arial" w:cs="Arial"/>
          <w:i w:val="0"/>
          <w:iCs/>
          <w:sz w:val="20"/>
          <w:szCs w:val="20"/>
          <w:highlight w:val="white"/>
        </w:rPr>
        <w:t xml:space="preserve">Effect of GDL Tortuosity on Reactant Mass Fractions Distribution in the x- and y- Directions: a)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=1.1; b)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c)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d)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=1.1</w:t>
      </w:r>
      <w:r w:rsidRPr="00C91565">
        <w:rPr>
          <w:rFonts w:ascii="Arial" w:hAnsi="Arial" w:cs="Arial"/>
          <w:i w:val="0"/>
          <w:iCs/>
          <w:sz w:val="20"/>
          <w:szCs w:val="20"/>
        </w:rPr>
        <w:t>.</w:t>
      </w:r>
    </w:p>
    <w:p w14:paraId="6AAA6253"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5D986A97" wp14:editId="29199EB4">
            <wp:extent cx="4206240" cy="4305300"/>
            <wp:effectExtent l="0" t="0" r="0" b="0"/>
            <wp:docPr id="1145131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31696" name="Image 1145131696"/>
                    <pic:cNvPicPr/>
                  </pic:nvPicPr>
                  <pic:blipFill>
                    <a:blip r:embed="rId18">
                      <a:extLst>
                        <a:ext uri="{28A0092B-C50C-407E-A947-70E740481C1C}">
                          <a14:useLocalDpi xmlns:a14="http://schemas.microsoft.com/office/drawing/2010/main" val="0"/>
                        </a:ext>
                      </a:extLst>
                    </a:blip>
                    <a:stretch>
                      <a:fillRect/>
                    </a:stretch>
                  </pic:blipFill>
                  <pic:spPr>
                    <a:xfrm>
                      <a:off x="0" y="0"/>
                      <a:ext cx="4206486" cy="4305552"/>
                    </a:xfrm>
                    <a:prstGeom prst="rect">
                      <a:avLst/>
                    </a:prstGeom>
                  </pic:spPr>
                </pic:pic>
              </a:graphicData>
            </a:graphic>
          </wp:inline>
        </w:drawing>
      </w:r>
    </w:p>
    <w:p w14:paraId="0E719B2C" w14:textId="258AEC4F" w:rsidR="000205C6" w:rsidRPr="00C91565" w:rsidRDefault="00D54953" w:rsidP="00D54953">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5.</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 xml:space="preserve">Effect of GDL Tortuosity on Hydrogen Mass Fraction Distribution in the x- and y- Directions: a)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=1.1; b)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c)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d)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=1.1</w:t>
      </w:r>
    </w:p>
    <w:p w14:paraId="461E3860"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25C1AE3D" wp14:editId="5DC681E8">
            <wp:extent cx="4259580" cy="4343400"/>
            <wp:effectExtent l="0" t="0" r="0" b="0"/>
            <wp:docPr id="3058438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43852" name="Image 305843852"/>
                    <pic:cNvPicPr/>
                  </pic:nvPicPr>
                  <pic:blipFill>
                    <a:blip r:embed="rId19">
                      <a:extLst>
                        <a:ext uri="{28A0092B-C50C-407E-A947-70E740481C1C}">
                          <a14:useLocalDpi xmlns:a14="http://schemas.microsoft.com/office/drawing/2010/main" val="0"/>
                        </a:ext>
                      </a:extLst>
                    </a:blip>
                    <a:stretch>
                      <a:fillRect/>
                    </a:stretch>
                  </pic:blipFill>
                  <pic:spPr>
                    <a:xfrm>
                      <a:off x="0" y="0"/>
                      <a:ext cx="4260215" cy="4344048"/>
                    </a:xfrm>
                    <a:prstGeom prst="rect">
                      <a:avLst/>
                    </a:prstGeom>
                  </pic:spPr>
                </pic:pic>
              </a:graphicData>
            </a:graphic>
          </wp:inline>
        </w:drawing>
      </w:r>
    </w:p>
    <w:p w14:paraId="1065A042" w14:textId="77777777" w:rsidR="00D54953" w:rsidRPr="00C91565" w:rsidRDefault="00D54953" w:rsidP="00D54953">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6.</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 xml:space="preserve">Effect of GDL Tortuosity on Oxygen Mass Fraction Distribution: a)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=1.1; b)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c)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=1.1,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 xml:space="preserve">=2.8; d) </w:t>
      </w:r>
      <w:proofErr w:type="spellStart"/>
      <w:r w:rsidRPr="00C91565">
        <w:rPr>
          <w:rFonts w:ascii="Arial" w:hAnsi="Arial" w:cs="Arial"/>
          <w:i w:val="0"/>
          <w:iCs/>
          <w:sz w:val="20"/>
          <w:szCs w:val="20"/>
          <w:highlight w:val="white"/>
        </w:rPr>
        <w:t>tortx</w:t>
      </w:r>
      <w:proofErr w:type="spellEnd"/>
      <w:r w:rsidRPr="00C91565">
        <w:rPr>
          <w:rFonts w:ascii="Arial" w:hAnsi="Arial" w:cs="Arial"/>
          <w:i w:val="0"/>
          <w:iCs/>
          <w:sz w:val="20"/>
          <w:szCs w:val="20"/>
          <w:highlight w:val="white"/>
        </w:rPr>
        <w:t xml:space="preserve">=2.8, </w:t>
      </w:r>
      <w:proofErr w:type="spellStart"/>
      <w:r w:rsidRPr="00C91565">
        <w:rPr>
          <w:rFonts w:ascii="Arial" w:hAnsi="Arial" w:cs="Arial"/>
          <w:i w:val="0"/>
          <w:iCs/>
          <w:sz w:val="20"/>
          <w:szCs w:val="20"/>
          <w:highlight w:val="white"/>
        </w:rPr>
        <w:t>torty</w:t>
      </w:r>
      <w:proofErr w:type="spellEnd"/>
      <w:r w:rsidRPr="00C91565">
        <w:rPr>
          <w:rFonts w:ascii="Arial" w:hAnsi="Arial" w:cs="Arial"/>
          <w:i w:val="0"/>
          <w:iCs/>
          <w:sz w:val="20"/>
          <w:szCs w:val="20"/>
          <w:highlight w:val="white"/>
        </w:rPr>
        <w:t>=1.1</w:t>
      </w:r>
      <w:r w:rsidRPr="00C91565">
        <w:rPr>
          <w:rFonts w:ascii="Arial" w:hAnsi="Arial" w:cs="Arial"/>
          <w:i w:val="0"/>
          <w:iCs/>
          <w:sz w:val="20"/>
          <w:szCs w:val="20"/>
        </w:rPr>
        <w:t>.</w:t>
      </w:r>
    </w:p>
    <w:p w14:paraId="2FAE8AD0" w14:textId="77777777" w:rsidR="00D54953" w:rsidRPr="00C91565" w:rsidRDefault="00D54953" w:rsidP="00D54953">
      <w:pPr>
        <w:jc w:val="both"/>
        <w:rPr>
          <w:rFonts w:ascii="Arial" w:hAnsi="Arial" w:cs="Arial"/>
        </w:rPr>
      </w:pPr>
      <w:r w:rsidRPr="00C91565">
        <w:rPr>
          <w:rFonts w:ascii="Arial" w:hAnsi="Arial" w:cs="Arial"/>
        </w:rPr>
        <w:t>Similarly, Figure 7 shows that relative humidity is strongly affected by GDL microstructure: low isotropic tortuosity ensures uniform water transport and optimal membrane hydration, while high or anisotropic configurations create dry or flooded regions, reducing proton conductivity and overall cell performance.</w:t>
      </w:r>
    </w:p>
    <w:p w14:paraId="40C91008" w14:textId="77777777" w:rsidR="00065E46" w:rsidRPr="00C91565" w:rsidRDefault="00065E46" w:rsidP="00D54953">
      <w:pPr>
        <w:jc w:val="both"/>
        <w:rPr>
          <w:rFonts w:ascii="Arial" w:hAnsi="Arial" w:cs="Arial"/>
        </w:rPr>
      </w:pPr>
    </w:p>
    <w:p w14:paraId="56102899" w14:textId="77777777" w:rsidR="00D54953" w:rsidRPr="00C91565" w:rsidRDefault="00D54953" w:rsidP="00D54953">
      <w:pPr>
        <w:pStyle w:val="CommentText"/>
        <w:jc w:val="both"/>
        <w:rPr>
          <w:rFonts w:ascii="Arial" w:hAnsi="Arial" w:cs="Arial"/>
        </w:rPr>
      </w:pPr>
      <w:r w:rsidRPr="00C91565">
        <w:rPr>
          <w:rFonts w:ascii="Arial" w:hAnsi="Arial" w:cs="Arial"/>
        </w:rPr>
        <w:t>Collectively, these results indicate that GDL tortuosity is a critical geometric parameter, with low isotropic tortuosity providing the most favorable conditions for uniform current density, reactant distribution, and water management.</w:t>
      </w:r>
    </w:p>
    <w:p w14:paraId="1973C28A" w14:textId="77777777" w:rsidR="00D54953" w:rsidRPr="00C91565" w:rsidRDefault="00D54953" w:rsidP="00D54953">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19C7ECDB" wp14:editId="2FFCEE3A">
            <wp:extent cx="4358640" cy="4259580"/>
            <wp:effectExtent l="0" t="0" r="0" b="0"/>
            <wp:docPr id="8042112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11243" name="Image 804211243"/>
                    <pic:cNvPicPr/>
                  </pic:nvPicPr>
                  <pic:blipFill>
                    <a:blip r:embed="rId20">
                      <a:extLst>
                        <a:ext uri="{28A0092B-C50C-407E-A947-70E740481C1C}">
                          <a14:useLocalDpi xmlns:a14="http://schemas.microsoft.com/office/drawing/2010/main" val="0"/>
                        </a:ext>
                      </a:extLst>
                    </a:blip>
                    <a:stretch>
                      <a:fillRect/>
                    </a:stretch>
                  </pic:blipFill>
                  <pic:spPr>
                    <a:xfrm>
                      <a:off x="0" y="0"/>
                      <a:ext cx="4359378" cy="4260301"/>
                    </a:xfrm>
                    <a:prstGeom prst="rect">
                      <a:avLst/>
                    </a:prstGeom>
                  </pic:spPr>
                </pic:pic>
              </a:graphicData>
            </a:graphic>
          </wp:inline>
        </w:drawing>
      </w:r>
    </w:p>
    <w:p w14:paraId="6CABC4EC" w14:textId="08FAD4F2" w:rsidR="00D54953" w:rsidRPr="00C91565" w:rsidRDefault="00D54953" w:rsidP="00D54953">
      <w:pPr>
        <w:pStyle w:val="CommentText"/>
        <w:jc w:val="both"/>
        <w:rPr>
          <w:rFonts w:ascii="Arial" w:hAnsi="Arial" w:cs="Arial"/>
        </w:rPr>
      </w:pPr>
      <w:r w:rsidRPr="00C91565">
        <w:rPr>
          <w:rFonts w:ascii="Arial" w:hAnsi="Arial" w:cs="Arial"/>
          <w:b/>
          <w:snapToGrid w:val="0"/>
          <w:highlight w:val="white"/>
        </w:rPr>
        <w:t>Fig 7.</w:t>
      </w:r>
      <w:r w:rsidRPr="00C91565">
        <w:rPr>
          <w:rFonts w:ascii="Arial" w:hAnsi="Arial" w:cs="Arial"/>
          <w:b/>
          <w:highlight w:val="white"/>
        </w:rPr>
        <w:t xml:space="preserve"> </w:t>
      </w:r>
      <w:r w:rsidRPr="00C91565">
        <w:rPr>
          <w:rFonts w:ascii="Arial" w:hAnsi="Arial" w:cs="Arial"/>
          <w:highlight w:val="white"/>
        </w:rPr>
        <w:t>Effect of Tortuosity on Relative Humidity Distribution in the PEM Fuel Cell: a) tortx=1.1, torty=1.1; b) tortx=2.8, torty=2.8; c) tortx=1.1, torty=2.8; d) tortx=2.8, torty=1.1</w:t>
      </w:r>
    </w:p>
    <w:p w14:paraId="074AC3D3" w14:textId="77777777" w:rsidR="00065E46" w:rsidRPr="00C91565" w:rsidRDefault="00065E46" w:rsidP="00065E46">
      <w:pPr>
        <w:pStyle w:val="CommentText"/>
        <w:jc w:val="both"/>
        <w:rPr>
          <w:rFonts w:ascii="Arial" w:hAnsi="Arial" w:cs="Arial"/>
        </w:rPr>
      </w:pPr>
    </w:p>
    <w:p w14:paraId="5A473BC9" w14:textId="790B1392" w:rsidR="00065E46" w:rsidRPr="00C91565" w:rsidRDefault="00065E46" w:rsidP="00065E46">
      <w:pPr>
        <w:pStyle w:val="CommentText"/>
        <w:jc w:val="both"/>
        <w:rPr>
          <w:rFonts w:ascii="Arial" w:hAnsi="Arial" w:cs="Arial"/>
          <w:b/>
        </w:rPr>
      </w:pPr>
      <w:r w:rsidRPr="00C91565">
        <w:rPr>
          <w:rFonts w:ascii="Arial" w:hAnsi="Arial" w:cs="Arial"/>
          <w:b/>
        </w:rPr>
        <w:t>3.2. Effect of Operating Parameters</w:t>
      </w:r>
    </w:p>
    <w:p w14:paraId="79CD6874" w14:textId="77777777" w:rsidR="00065E46" w:rsidRPr="00C91565" w:rsidRDefault="00065E46" w:rsidP="00065E46">
      <w:pPr>
        <w:pStyle w:val="CommentText"/>
        <w:jc w:val="both"/>
        <w:rPr>
          <w:rFonts w:ascii="Arial" w:hAnsi="Arial" w:cs="Arial"/>
          <w:b/>
        </w:rPr>
      </w:pPr>
    </w:p>
    <w:p w14:paraId="582D338F" w14:textId="77777777" w:rsidR="00065E46" w:rsidRPr="00C91565" w:rsidRDefault="00065E46" w:rsidP="00065E46">
      <w:pPr>
        <w:spacing w:before="100" w:beforeAutospacing="1" w:after="100" w:afterAutospacing="1"/>
        <w:jc w:val="both"/>
        <w:rPr>
          <w:rFonts w:ascii="Arial" w:hAnsi="Arial" w:cs="Arial"/>
        </w:rPr>
      </w:pPr>
      <w:r w:rsidRPr="00C91565">
        <w:rPr>
          <w:rFonts w:ascii="Arial" w:hAnsi="Arial" w:cs="Arial"/>
        </w:rPr>
        <w:t>Beyond microstructural effects, several operational parameters significantly influence PEMFC performance.</w:t>
      </w:r>
    </w:p>
    <w:p w14:paraId="0FAB320E" w14:textId="77777777" w:rsidR="00B07B27" w:rsidRPr="00C91565" w:rsidRDefault="008B50A8" w:rsidP="00B07B27">
      <w:pPr>
        <w:pStyle w:val="13Text"/>
        <w:ind w:firstLine="200"/>
        <w:rPr>
          <w:rFonts w:ascii="Arial" w:hAnsi="Arial" w:cs="Arial"/>
          <w:highlight w:val="white"/>
        </w:rPr>
      </w:pPr>
      <w:r w:rsidRPr="00C91565">
        <w:rPr>
          <w:rFonts w:ascii="Arial" w:hAnsi="Arial" w:cs="Arial"/>
          <w:highlight w:val="white"/>
        </w:rPr>
        <w:t>Figure 8 illustrates the variation of current density within the anode active layer as a function of cell height (i.e. Vertical position). Here, the cell height represents the spatial coordinate used to examine the distribution of different tortuosity configurations on this distribution.</w:t>
      </w:r>
    </w:p>
    <w:p w14:paraId="0D1A1E96" w14:textId="1EED4635" w:rsidR="00B07B27" w:rsidRPr="00C91565" w:rsidRDefault="00B07B27" w:rsidP="00B07B27">
      <w:pPr>
        <w:pStyle w:val="13Text"/>
        <w:ind w:firstLineChars="0" w:firstLine="0"/>
        <w:rPr>
          <w:rFonts w:ascii="Arial" w:eastAsiaTheme="minorHAnsi" w:hAnsi="Arial" w:cs="Arial"/>
          <w:highlight w:val="white"/>
        </w:rPr>
      </w:pPr>
      <w:r w:rsidRPr="00C91565">
        <w:rPr>
          <w:rFonts w:ascii="Arial" w:eastAsiaTheme="minorHAnsi" w:hAnsi="Arial" w:cs="Arial"/>
          <w:highlight w:val="white"/>
        </w:rPr>
        <w:t xml:space="preserve">In this figure, an uneven distribution of current density across the layer is observed for both configurations. Despite these variations, the curves for each configuration follow a similar general trend, with the current density exhibiting significant variations in the x and y directions due to tortuosity effects. A comparison between the two types of tortuosity reveals marked differences. The highest current density is achieved when tortuosity is low and isotropic, whereas it is lower in the configuration with isotropic tortuosity. Thus, low tortuosity, particularly when isotropic, promotes optimal anode performance by facilitating mass transport and ensuring a more homogeneous current distribution. </w:t>
      </w:r>
    </w:p>
    <w:p w14:paraId="1B84BCA1" w14:textId="77777777" w:rsidR="008B50A8" w:rsidRPr="00C91565" w:rsidRDefault="008B50A8" w:rsidP="008B50A8">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2205BCF4" wp14:editId="59F414CF">
            <wp:extent cx="4724400" cy="30403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45F0A.tmp"/>
                    <pic:cNvPicPr/>
                  </pic:nvPicPr>
                  <pic:blipFill>
                    <a:blip r:embed="rId21">
                      <a:extLst>
                        <a:ext uri="{28A0092B-C50C-407E-A947-70E740481C1C}">
                          <a14:useLocalDpi xmlns:a14="http://schemas.microsoft.com/office/drawing/2010/main" val="0"/>
                        </a:ext>
                      </a:extLst>
                    </a:blip>
                    <a:stretch>
                      <a:fillRect/>
                    </a:stretch>
                  </pic:blipFill>
                  <pic:spPr>
                    <a:xfrm>
                      <a:off x="0" y="0"/>
                      <a:ext cx="4743873" cy="3052912"/>
                    </a:xfrm>
                    <a:prstGeom prst="rect">
                      <a:avLst/>
                    </a:prstGeom>
                  </pic:spPr>
                </pic:pic>
              </a:graphicData>
            </a:graphic>
          </wp:inline>
        </w:drawing>
      </w:r>
    </w:p>
    <w:p w14:paraId="4E453279" w14:textId="77777777" w:rsidR="008B50A8" w:rsidRPr="00C91565" w:rsidRDefault="008B50A8" w:rsidP="008B50A8">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8.</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Current Density Distribution in the Anode Catalyst Layer for Two GDL Tortuosity Configurations</w:t>
      </w:r>
      <w:r w:rsidRPr="00C91565">
        <w:rPr>
          <w:rFonts w:ascii="Arial" w:hAnsi="Arial" w:cs="Arial"/>
          <w:i w:val="0"/>
          <w:iCs/>
          <w:sz w:val="20"/>
          <w:szCs w:val="20"/>
        </w:rPr>
        <w:t>.</w:t>
      </w:r>
    </w:p>
    <w:p w14:paraId="4FAE1875" w14:textId="77777777" w:rsidR="008B50A8" w:rsidRPr="00C91565" w:rsidRDefault="008B50A8" w:rsidP="008B50A8">
      <w:pPr>
        <w:pStyle w:val="13Text"/>
        <w:ind w:firstLine="200"/>
        <w:rPr>
          <w:rFonts w:ascii="Arial" w:eastAsiaTheme="minorHAnsi" w:hAnsi="Arial" w:cs="Arial"/>
          <w:lang w:eastAsia="en-US"/>
        </w:rPr>
      </w:pPr>
      <w:r w:rsidRPr="00C91565">
        <w:rPr>
          <w:rFonts w:ascii="Arial" w:eastAsiaTheme="minorHAnsi" w:hAnsi="Arial" w:cs="Arial"/>
          <w:highlight w:val="white"/>
          <w:lang w:eastAsia="en-US"/>
        </w:rPr>
        <w:t>Figure 9 illustrates the effect of gas diffusion layer (GDL) tortuosity on the polarization curve of the proton exchange membrane fuel cell (PEMFC). The different curves, corresponding to various tortuosity configurations, exhibit similar general shapes and can be divided into three characteristic performance regions: activation losses, ohmic losses, and mass transport (concentration) losses.</w:t>
      </w:r>
    </w:p>
    <w:p w14:paraId="64ED2BCD" w14:textId="77777777" w:rsidR="008B50A8" w:rsidRPr="00C91565" w:rsidRDefault="008B50A8" w:rsidP="008B50A8">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053E5F56" wp14:editId="4D492E47">
            <wp:extent cx="4838700" cy="32080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427CB.tmp"/>
                    <pic:cNvPicPr/>
                  </pic:nvPicPr>
                  <pic:blipFill>
                    <a:blip r:embed="rId22">
                      <a:extLst>
                        <a:ext uri="{28A0092B-C50C-407E-A947-70E740481C1C}">
                          <a14:useLocalDpi xmlns:a14="http://schemas.microsoft.com/office/drawing/2010/main" val="0"/>
                        </a:ext>
                      </a:extLst>
                    </a:blip>
                    <a:stretch>
                      <a:fillRect/>
                    </a:stretch>
                  </pic:blipFill>
                  <pic:spPr>
                    <a:xfrm>
                      <a:off x="0" y="0"/>
                      <a:ext cx="4872180" cy="3230217"/>
                    </a:xfrm>
                    <a:prstGeom prst="rect">
                      <a:avLst/>
                    </a:prstGeom>
                  </pic:spPr>
                </pic:pic>
              </a:graphicData>
            </a:graphic>
          </wp:inline>
        </w:drawing>
      </w:r>
    </w:p>
    <w:p w14:paraId="79B63581" w14:textId="77777777" w:rsidR="008B50A8" w:rsidRPr="00C91565" w:rsidRDefault="008B50A8" w:rsidP="008B50A8">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9. </w:t>
      </w:r>
      <w:r w:rsidRPr="00C91565">
        <w:rPr>
          <w:rFonts w:ascii="Arial" w:hAnsi="Arial" w:cs="Arial"/>
          <w:i w:val="0"/>
          <w:iCs/>
          <w:sz w:val="20"/>
          <w:szCs w:val="20"/>
          <w:highlight w:val="white"/>
        </w:rPr>
        <w:t>Polarization Curves of the PEM Fuel Cell for Different GDL Tortuosity Conditions</w:t>
      </w:r>
      <w:r w:rsidRPr="00C91565">
        <w:rPr>
          <w:rFonts w:ascii="Arial" w:hAnsi="Arial" w:cs="Arial"/>
          <w:i w:val="0"/>
          <w:iCs/>
          <w:sz w:val="20"/>
          <w:szCs w:val="20"/>
        </w:rPr>
        <w:t>.</w:t>
      </w:r>
    </w:p>
    <w:p w14:paraId="5E2F947E" w14:textId="77777777" w:rsidR="008B50A8" w:rsidRPr="00C91565" w:rsidRDefault="008B50A8" w:rsidP="008B50A8">
      <w:pPr>
        <w:pStyle w:val="13Text"/>
        <w:ind w:firstLine="200"/>
        <w:rPr>
          <w:rFonts w:ascii="Arial" w:hAnsi="Arial" w:cs="Arial"/>
        </w:rPr>
      </w:pPr>
      <w:r w:rsidRPr="00C91565">
        <w:rPr>
          <w:rFonts w:ascii="Arial" w:hAnsi="Arial" w:cs="Arial"/>
          <w:highlight w:val="white"/>
        </w:rPr>
        <w:t>Activation zone (0-0.2 A/m²): a sharp drop in voltage is observed at low current density. This phenomenon is linked to the activation potential, which reflects the kinetics of electrochemical reactions at the anodic and cathodic interfaces.</w:t>
      </w:r>
    </w:p>
    <w:p w14:paraId="62607EB6" w14:textId="77777777" w:rsidR="008B50A8" w:rsidRPr="00C91565" w:rsidRDefault="008B50A8" w:rsidP="008B50A8">
      <w:pPr>
        <w:pStyle w:val="13Text"/>
        <w:ind w:firstLine="200"/>
        <w:rPr>
          <w:rFonts w:ascii="Arial" w:hAnsi="Arial" w:cs="Arial"/>
        </w:rPr>
      </w:pPr>
      <w:r w:rsidRPr="00C91565">
        <w:rPr>
          <w:rFonts w:ascii="Arial" w:hAnsi="Arial" w:cs="Arial"/>
          <w:highlight w:val="white"/>
        </w:rPr>
        <w:t>Ohmic zone (0.2-0.8 A/cm²): Linear decrease in voltage with increasing current density, reflecting ohmic losses due to resistance to proton transport across the membrane and electron conduction through the electrodes and interconnections.</w:t>
      </w:r>
    </w:p>
    <w:p w14:paraId="2AE9FD43" w14:textId="0D640638" w:rsidR="008B50A8" w:rsidRPr="00C91565" w:rsidRDefault="008B50A8" w:rsidP="008B50A8">
      <w:pPr>
        <w:pStyle w:val="13Text"/>
        <w:ind w:firstLine="200"/>
        <w:rPr>
          <w:rFonts w:ascii="Arial" w:hAnsi="Arial" w:cs="Arial"/>
        </w:rPr>
      </w:pPr>
      <w:r w:rsidRPr="00C91565">
        <w:rPr>
          <w:rFonts w:ascii="Arial" w:hAnsi="Arial" w:cs="Arial"/>
          <w:highlight w:val="white"/>
        </w:rPr>
        <w:t>Mass transport zone (0.8-1.4 A/cm²): The cell voltage drops rapidly with increasing current density. This results from mass transport limitations, where depletion of reactants (mainly oxygen) at the catalytic sites hinders the electrochemical reaction, leading to concentration. These different results imply that the best performance is achieved for low isotropic tortuosity, where reactant transport is most efficient and voltage losses are minimized.</w:t>
      </w:r>
    </w:p>
    <w:p w14:paraId="6DA5B174" w14:textId="77777777" w:rsidR="008B50A8" w:rsidRPr="00C91565" w:rsidRDefault="008B50A8" w:rsidP="008B50A8">
      <w:pPr>
        <w:pStyle w:val="11Heading2"/>
        <w:ind w:left="361" w:hanging="361"/>
        <w:jc w:val="both"/>
        <w:rPr>
          <w:rFonts w:ascii="Arial" w:hAnsi="Arial" w:cs="Arial"/>
          <w:color w:val="auto"/>
          <w:sz w:val="20"/>
          <w:szCs w:val="20"/>
          <w:highlight w:val="yellow"/>
        </w:rPr>
      </w:pPr>
      <w:r w:rsidRPr="00C91565">
        <w:rPr>
          <w:rFonts w:ascii="Arial" w:hAnsi="Arial" w:cs="Arial"/>
          <w:snapToGrid w:val="0"/>
          <w:color w:val="auto"/>
          <w:sz w:val="20"/>
          <w:szCs w:val="20"/>
          <w:highlight w:val="white"/>
        </w:rPr>
        <w:t>3.3.</w:t>
      </w:r>
      <w:r w:rsidRPr="00C91565">
        <w:rPr>
          <w:rFonts w:ascii="Arial" w:hAnsi="Arial" w:cs="Arial"/>
          <w:color w:val="auto"/>
          <w:sz w:val="20"/>
          <w:szCs w:val="20"/>
          <w:highlight w:val="white"/>
        </w:rPr>
        <w:t xml:space="preserve"> Assessment of the </w:t>
      </w:r>
      <w:proofErr w:type="spellStart"/>
      <w:r w:rsidRPr="00C91565">
        <w:rPr>
          <w:rFonts w:ascii="Arial" w:hAnsi="Arial" w:cs="Arial"/>
          <w:color w:val="auto"/>
          <w:sz w:val="20"/>
          <w:szCs w:val="20"/>
          <w:highlight w:val="white"/>
        </w:rPr>
        <w:t>Model’S</w:t>
      </w:r>
      <w:proofErr w:type="spellEnd"/>
      <w:r w:rsidRPr="00C91565">
        <w:rPr>
          <w:rFonts w:ascii="Arial" w:hAnsi="Arial" w:cs="Arial"/>
          <w:color w:val="auto"/>
          <w:sz w:val="20"/>
          <w:szCs w:val="20"/>
          <w:highlight w:val="white"/>
        </w:rPr>
        <w:t xml:space="preserve"> Performance Compared to Experimental Data</w:t>
      </w:r>
    </w:p>
    <w:p w14:paraId="63D50C37" w14:textId="77777777" w:rsidR="008F0E68" w:rsidRPr="00C91565" w:rsidRDefault="008F0E68" w:rsidP="008F0E68">
      <w:pPr>
        <w:spacing w:before="100" w:beforeAutospacing="1" w:after="100" w:afterAutospacing="1"/>
        <w:rPr>
          <w:rFonts w:ascii="Arial" w:hAnsi="Arial" w:cs="Arial"/>
        </w:rPr>
      </w:pPr>
      <w:r w:rsidRPr="00C91565">
        <w:rPr>
          <w:rFonts w:ascii="Arial" w:hAnsi="Arial" w:cs="Arial"/>
        </w:rPr>
        <w:t>To validate the model qualitatively, simulated polarization curves were compared with experimental data from the laboratory PEMFC stack (Figure 10). The model successfully reproduces the three characteristic regions of PEMFC operation:</w:t>
      </w:r>
    </w:p>
    <w:p w14:paraId="6F0A9071" w14:textId="77777777" w:rsidR="008B50A8" w:rsidRPr="00C91565" w:rsidRDefault="008B50A8" w:rsidP="008B50A8">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4D04004C" wp14:editId="2BA6D0A2">
            <wp:extent cx="4762500" cy="3101340"/>
            <wp:effectExtent l="0" t="0" r="0" b="0"/>
            <wp:docPr id="1777362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62894" name="Image 1777362894"/>
                    <pic:cNvPicPr/>
                  </pic:nvPicPr>
                  <pic:blipFill rotWithShape="1">
                    <a:blip r:embed="rId23">
                      <a:extLst>
                        <a:ext uri="{28A0092B-C50C-407E-A947-70E740481C1C}">
                          <a14:useLocalDpi xmlns:a14="http://schemas.microsoft.com/office/drawing/2010/main" val="0"/>
                        </a:ext>
                      </a:extLst>
                    </a:blip>
                    <a:srcRect l="2684" r="7211"/>
                    <a:stretch/>
                  </pic:blipFill>
                  <pic:spPr bwMode="auto">
                    <a:xfrm>
                      <a:off x="0" y="0"/>
                      <a:ext cx="4763546" cy="3102021"/>
                    </a:xfrm>
                    <a:prstGeom prst="rect">
                      <a:avLst/>
                    </a:prstGeom>
                    <a:ln>
                      <a:noFill/>
                    </a:ln>
                    <a:extLst>
                      <a:ext uri="{53640926-AAD7-44D8-BBD7-CCE9431645EC}">
                        <a14:shadowObscured xmlns:a14="http://schemas.microsoft.com/office/drawing/2010/main"/>
                      </a:ext>
                    </a:extLst>
                  </pic:spPr>
                </pic:pic>
              </a:graphicData>
            </a:graphic>
          </wp:inline>
        </w:drawing>
      </w:r>
    </w:p>
    <w:p w14:paraId="0354427B" w14:textId="77777777" w:rsidR="008B50A8" w:rsidRPr="00C91565" w:rsidRDefault="008B50A8" w:rsidP="008B50A8">
      <w:pPr>
        <w:pStyle w:val="15FigureCaptionSingleLine"/>
        <w:jc w:val="both"/>
        <w:rPr>
          <w:rFonts w:ascii="Arial" w:hAnsi="Arial" w:cs="Arial"/>
          <w:i w:val="0"/>
          <w:iCs/>
          <w:sz w:val="20"/>
          <w:szCs w:val="20"/>
        </w:rPr>
      </w:pPr>
      <w:r w:rsidRPr="00C91565">
        <w:rPr>
          <w:rFonts w:ascii="Arial" w:hAnsi="Arial" w:cs="Arial"/>
          <w:b/>
          <w:i w:val="0"/>
          <w:iCs/>
          <w:sz w:val="20"/>
          <w:szCs w:val="20"/>
          <w:highlight w:val="white"/>
        </w:rPr>
        <w:t xml:space="preserve">Fig 10. </w:t>
      </w:r>
      <w:r w:rsidRPr="00C91565">
        <w:rPr>
          <w:rFonts w:ascii="Arial" w:hAnsi="Arial" w:cs="Arial"/>
          <w:i w:val="0"/>
          <w:iCs/>
          <w:sz w:val="20"/>
          <w:szCs w:val="20"/>
          <w:highlight w:val="white"/>
        </w:rPr>
        <w:t>Experimental voltage curve</w:t>
      </w:r>
      <w:r w:rsidRPr="00C91565">
        <w:rPr>
          <w:rFonts w:ascii="Arial" w:hAnsi="Arial" w:cs="Arial"/>
          <w:i w:val="0"/>
          <w:iCs/>
          <w:sz w:val="20"/>
          <w:szCs w:val="20"/>
        </w:rPr>
        <w:t>.</w:t>
      </w:r>
    </w:p>
    <w:p w14:paraId="09129755" w14:textId="77777777" w:rsidR="008F0E68" w:rsidRPr="00C91565" w:rsidRDefault="008F0E68" w:rsidP="008F0E68">
      <w:pPr>
        <w:pStyle w:val="ListParagraph"/>
        <w:spacing w:before="100" w:beforeAutospacing="1" w:after="100" w:afterAutospacing="1"/>
        <w:ind w:left="0"/>
        <w:rPr>
          <w:rFonts w:ascii="Arial" w:hAnsi="Arial" w:cs="Arial"/>
          <w:sz w:val="20"/>
          <w:szCs w:val="20"/>
        </w:rPr>
      </w:pPr>
      <w:r w:rsidRPr="00C91565">
        <w:rPr>
          <w:rFonts w:ascii="Arial" w:hAnsi="Arial" w:cs="Arial"/>
          <w:bCs/>
          <w:sz w:val="20"/>
          <w:szCs w:val="20"/>
          <w:lang w:val="en-US"/>
        </w:rPr>
        <w:t xml:space="preserve">(a) </w:t>
      </w:r>
      <w:r w:rsidRPr="00C91565">
        <w:rPr>
          <w:rFonts w:ascii="Arial" w:hAnsi="Arial" w:cs="Arial"/>
          <w:bCs/>
          <w:sz w:val="20"/>
          <w:szCs w:val="20"/>
        </w:rPr>
        <w:t>Activation region:</w:t>
      </w:r>
      <w:r w:rsidRPr="00C91565">
        <w:rPr>
          <w:rFonts w:ascii="Arial" w:hAnsi="Arial" w:cs="Arial"/>
          <w:sz w:val="20"/>
          <w:szCs w:val="20"/>
        </w:rPr>
        <w:t xml:space="preserve"> Rapid voltage drop at low current density due to electrochemical reaction kinetics. </w:t>
      </w:r>
    </w:p>
    <w:p w14:paraId="29445CD1" w14:textId="77777777" w:rsidR="008F0E68" w:rsidRPr="00C91565" w:rsidRDefault="008F0E68" w:rsidP="008F0E68">
      <w:pPr>
        <w:pStyle w:val="ListParagraph"/>
        <w:spacing w:before="100" w:beforeAutospacing="1" w:after="100" w:afterAutospacing="1"/>
        <w:ind w:left="0"/>
        <w:rPr>
          <w:rFonts w:ascii="Arial" w:hAnsi="Arial" w:cs="Arial"/>
          <w:sz w:val="20"/>
          <w:szCs w:val="20"/>
        </w:rPr>
      </w:pPr>
      <w:r w:rsidRPr="00C91565">
        <w:rPr>
          <w:rFonts w:ascii="Arial" w:hAnsi="Arial" w:cs="Arial"/>
          <w:bCs/>
          <w:sz w:val="20"/>
          <w:szCs w:val="20"/>
          <w:lang w:val="en-US"/>
        </w:rPr>
        <w:t xml:space="preserve">(b) </w:t>
      </w:r>
      <w:r w:rsidRPr="00C91565">
        <w:rPr>
          <w:rFonts w:ascii="Arial" w:hAnsi="Arial" w:cs="Arial"/>
          <w:bCs/>
          <w:sz w:val="20"/>
          <w:szCs w:val="20"/>
        </w:rPr>
        <w:t>Ohmic region:</w:t>
      </w:r>
      <w:r w:rsidRPr="00C91565">
        <w:rPr>
          <w:rFonts w:ascii="Arial" w:hAnsi="Arial" w:cs="Arial"/>
          <w:sz w:val="20"/>
          <w:szCs w:val="20"/>
        </w:rPr>
        <w:t xml:space="preserve"> Linear voltage decrease at intermediate currents reflecting ionic and electronic resistance. </w:t>
      </w:r>
    </w:p>
    <w:p w14:paraId="3EA97599" w14:textId="77777777" w:rsidR="008F0E68" w:rsidRPr="00C91565" w:rsidRDefault="008F0E68" w:rsidP="008F0E68">
      <w:pPr>
        <w:pStyle w:val="ListParagraph"/>
        <w:spacing w:before="100" w:beforeAutospacing="1" w:after="100" w:afterAutospacing="1"/>
        <w:ind w:left="0"/>
        <w:rPr>
          <w:rFonts w:ascii="Arial" w:hAnsi="Arial" w:cs="Arial"/>
          <w:sz w:val="20"/>
          <w:szCs w:val="20"/>
        </w:rPr>
      </w:pPr>
      <w:r w:rsidRPr="00C91565">
        <w:rPr>
          <w:rFonts w:ascii="Arial" w:hAnsi="Arial" w:cs="Arial"/>
          <w:bCs/>
          <w:sz w:val="20"/>
          <w:szCs w:val="20"/>
        </w:rPr>
        <w:t>(c) Mass transport region:</w:t>
      </w:r>
      <w:r w:rsidRPr="00C91565">
        <w:rPr>
          <w:rFonts w:ascii="Arial" w:hAnsi="Arial" w:cs="Arial"/>
          <w:sz w:val="20"/>
          <w:szCs w:val="20"/>
        </w:rPr>
        <w:t xml:space="preserve"> Sharp voltage drop at high currents due to reactant depletion in the diffusion and catalytic layers. </w:t>
      </w:r>
    </w:p>
    <w:p w14:paraId="17B97CE2" w14:textId="77777777" w:rsidR="008F0E68" w:rsidRPr="00C91565" w:rsidRDefault="008F0E68" w:rsidP="008F0E68">
      <w:pPr>
        <w:spacing w:before="100" w:beforeAutospacing="1" w:after="100" w:afterAutospacing="1"/>
        <w:jc w:val="both"/>
        <w:rPr>
          <w:rFonts w:ascii="Arial" w:hAnsi="Arial" w:cs="Arial"/>
        </w:rPr>
      </w:pPr>
      <w:r w:rsidRPr="00C91565">
        <w:rPr>
          <w:rFonts w:ascii="Arial" w:hAnsi="Arial" w:cs="Arial"/>
        </w:rPr>
        <w:t>Although minor deviations exist due to parameter approximations, the model captures the essential trends of the experimental data, confirming its capability to represent key electrochemical phenomena.</w:t>
      </w:r>
    </w:p>
    <w:p w14:paraId="37D8AFBD" w14:textId="6237F4DC" w:rsidR="008B50A8" w:rsidRPr="00C91565" w:rsidRDefault="008B50A8" w:rsidP="008F0E68">
      <w:pPr>
        <w:spacing w:before="100" w:beforeAutospacing="1" w:after="100" w:afterAutospacing="1"/>
        <w:jc w:val="both"/>
        <w:rPr>
          <w:rFonts w:ascii="Arial" w:hAnsi="Arial" w:cs="Arial"/>
          <w:b/>
          <w:bCs/>
          <w:lang w:val="en-GB"/>
        </w:rPr>
      </w:pPr>
      <w:r w:rsidRPr="00C91565">
        <w:rPr>
          <w:rFonts w:ascii="Arial" w:hAnsi="Arial" w:cs="Arial"/>
          <w:b/>
          <w:bCs/>
          <w:highlight w:val="white"/>
        </w:rPr>
        <w:t>3.</w:t>
      </w:r>
      <w:r w:rsidR="006A51DB" w:rsidRPr="00C91565">
        <w:rPr>
          <w:rFonts w:ascii="Arial" w:hAnsi="Arial" w:cs="Arial"/>
          <w:b/>
          <w:bCs/>
          <w:highlight w:val="white"/>
        </w:rPr>
        <w:t>4</w:t>
      </w:r>
      <w:r w:rsidRPr="00C91565">
        <w:rPr>
          <w:rFonts w:ascii="Arial" w:hAnsi="Arial" w:cs="Arial"/>
          <w:b/>
          <w:bCs/>
          <w:highlight w:val="white"/>
        </w:rPr>
        <w:t>. Other Parameters Affecting PEMFC Performance</w:t>
      </w:r>
    </w:p>
    <w:p w14:paraId="64C450BD"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rPr>
        <w:t>Beyond microstructural effects, several operational parameters significantly influence PEMFC performance.</w:t>
      </w:r>
    </w:p>
    <w:p w14:paraId="5A5A3CB9"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t>Electrical conductivity of the GDL</w:t>
      </w:r>
      <w:r w:rsidRPr="00C91565">
        <w:rPr>
          <w:rFonts w:ascii="Arial" w:hAnsi="Arial" w:cs="Arial"/>
        </w:rPr>
        <w:t xml:space="preserve"> strongly affects ohmic losses. Figure 11 shows that increasing conductivity from 20 S/m to 1000 S/m markedly enhances cell voltage by facilitating electron transport. Conductivities above 1000 S/m show negligible additional improvement, indicating an optimal range for practical applications.</w:t>
      </w:r>
    </w:p>
    <w:p w14:paraId="52D86BC8"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t>Porosity</w:t>
      </w:r>
      <w:r w:rsidRPr="00C91565">
        <w:rPr>
          <w:rFonts w:ascii="Arial" w:hAnsi="Arial" w:cs="Arial"/>
        </w:rPr>
        <w:t xml:space="preserve"> influences mass transport and water management, as shown in Figure 12. Moderate porosity (~0.6) improves oxygen diffusion to the cathode and water removal, resulting in higher voltage at a given current density. Further increases in porosity above 0.8 yield limited benefits and may compromise mechanical stability.</w:t>
      </w:r>
    </w:p>
    <w:p w14:paraId="53ABCB0C"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lastRenderedPageBreak/>
        <w:t>Gas pressure</w:t>
      </w:r>
      <w:r w:rsidRPr="00C91565">
        <w:rPr>
          <w:rFonts w:ascii="Arial" w:hAnsi="Arial" w:cs="Arial"/>
        </w:rPr>
        <w:t xml:space="preserve"> also plays a key role. As illustrated in Figure 13, increasing anode and cathode pressures from 1 to 4 atm raises cell voltage by approximately 6% at 1 A/cm², due to higher partial pressures of hydrogen and oxygen. However, pressures above 4 atm provide marginal improvements and introduce risks such as membrane drying and mechanical stress.</w:t>
      </w:r>
    </w:p>
    <w:p w14:paraId="00995AB6" w14:textId="77777777" w:rsidR="004B322C" w:rsidRPr="00C91565" w:rsidRDefault="004B322C" w:rsidP="004B322C">
      <w:pPr>
        <w:spacing w:before="100" w:beforeAutospacing="1" w:after="100" w:afterAutospacing="1"/>
        <w:jc w:val="both"/>
        <w:rPr>
          <w:rFonts w:ascii="Arial" w:hAnsi="Arial" w:cs="Arial"/>
        </w:rPr>
      </w:pPr>
      <w:r w:rsidRPr="00C91565">
        <w:rPr>
          <w:rFonts w:ascii="Arial" w:hAnsi="Arial" w:cs="Arial"/>
          <w:bCs/>
        </w:rPr>
        <w:t>Relative humidity (RH)</w:t>
      </w:r>
      <w:r w:rsidRPr="00C91565">
        <w:rPr>
          <w:rFonts w:ascii="Arial" w:hAnsi="Arial" w:cs="Arial"/>
        </w:rPr>
        <w:t xml:space="preserve"> affects both proton conductivity and water management. Figure 14 demonstrates that optimal performance is achieved at RH between 60% and 80%. At low RH (40%), membrane dehydration reduces proton conductivity, whereas high RH (&gt;80%) can cause flooding in porous layers, limiting gas transport and reducing efficiency.</w:t>
      </w:r>
    </w:p>
    <w:p w14:paraId="1639B94F" w14:textId="77777777" w:rsidR="004B322C" w:rsidRPr="00C91565" w:rsidRDefault="004B322C" w:rsidP="004B322C">
      <w:pPr>
        <w:pStyle w:val="CommentText"/>
        <w:rPr>
          <w:rFonts w:ascii="Arial" w:hAnsi="Arial" w:cs="Arial"/>
          <w:b/>
          <w:lang w:val="en-US"/>
        </w:rPr>
      </w:pPr>
    </w:p>
    <w:p w14:paraId="3AB070F3" w14:textId="77777777" w:rsidR="006A51DB" w:rsidRPr="00C91565" w:rsidRDefault="006A51DB" w:rsidP="006A51DB">
      <w:pPr>
        <w:pStyle w:val="14Figure"/>
        <w:jc w:val="both"/>
        <w:rPr>
          <w:rFonts w:ascii="Arial" w:hAnsi="Arial" w:cs="Arial"/>
          <w:noProof w:val="0"/>
          <w:color w:val="EE0000"/>
          <w:sz w:val="20"/>
          <w:szCs w:val="20"/>
        </w:rPr>
      </w:pPr>
      <w:r w:rsidRPr="00C91565">
        <w:rPr>
          <w:rFonts w:ascii="Arial" w:hAnsi="Arial" w:cs="Arial"/>
          <w:sz w:val="20"/>
          <w:szCs w:val="20"/>
          <w:highlight w:val="white"/>
          <w:lang w:val="en-US" w:eastAsia="en-US"/>
        </w:rPr>
        <w:drawing>
          <wp:inline distT="0" distB="0" distL="0" distR="0" wp14:anchorId="33105707" wp14:editId="08526C33">
            <wp:extent cx="4373880" cy="3017520"/>
            <wp:effectExtent l="0" t="0" r="0" b="0"/>
            <wp:docPr id="1604137043" name="Picture 7" descr="C:\Users\The Team\Desktop\LATEX_ODILON\Conductiv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Team\Desktop\LATEX_ODILON\Conductivité.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2997" cy="3030709"/>
                    </a:xfrm>
                    <a:prstGeom prst="rect">
                      <a:avLst/>
                    </a:prstGeom>
                    <a:noFill/>
                    <a:ln>
                      <a:noFill/>
                    </a:ln>
                  </pic:spPr>
                </pic:pic>
              </a:graphicData>
            </a:graphic>
          </wp:inline>
        </w:drawing>
      </w:r>
    </w:p>
    <w:p w14:paraId="1DE9F2B2" w14:textId="77777777" w:rsidR="006A51DB" w:rsidRPr="00C91565" w:rsidRDefault="006A51DB" w:rsidP="006A51DB">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Fig 11.</w:t>
      </w:r>
      <w:r w:rsidRPr="00C91565">
        <w:rPr>
          <w:rFonts w:ascii="Arial" w:hAnsi="Arial" w:cs="Arial"/>
          <w:b/>
          <w:i w:val="0"/>
          <w:iCs/>
          <w:sz w:val="20"/>
          <w:szCs w:val="20"/>
          <w:highlight w:val="white"/>
        </w:rPr>
        <w:t xml:space="preserve"> </w:t>
      </w:r>
      <w:r w:rsidRPr="00C91565">
        <w:rPr>
          <w:rFonts w:ascii="Arial" w:hAnsi="Arial" w:cs="Arial"/>
          <w:i w:val="0"/>
          <w:iCs/>
          <w:sz w:val="20"/>
          <w:szCs w:val="20"/>
          <w:highlight w:val="white"/>
        </w:rPr>
        <w:t>Effect of electrical conductivity on PEM Fuel Cell Performance</w:t>
      </w:r>
      <w:r w:rsidRPr="00C91565">
        <w:rPr>
          <w:rFonts w:ascii="Arial" w:hAnsi="Arial" w:cs="Arial"/>
          <w:i w:val="0"/>
          <w:iCs/>
          <w:sz w:val="20"/>
          <w:szCs w:val="20"/>
        </w:rPr>
        <w:t>.</w:t>
      </w:r>
    </w:p>
    <w:p w14:paraId="646D45A8" w14:textId="77777777" w:rsidR="006A51DB" w:rsidRPr="00C91565" w:rsidRDefault="006A51DB" w:rsidP="006A51DB">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1E92ECB1" wp14:editId="022B6CA5">
            <wp:extent cx="4465320" cy="2933700"/>
            <wp:effectExtent l="0" t="0" r="0" b="0"/>
            <wp:docPr id="6" name="Picture 6" descr="C:\Users\The Team\Desktop\LATEX_ODILON\Porosi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Team\Desktop\LATEX_ODILON\Porosité.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589" cy="2933877"/>
                    </a:xfrm>
                    <a:prstGeom prst="rect">
                      <a:avLst/>
                    </a:prstGeom>
                    <a:noFill/>
                    <a:ln>
                      <a:noFill/>
                    </a:ln>
                  </pic:spPr>
                </pic:pic>
              </a:graphicData>
            </a:graphic>
          </wp:inline>
        </w:drawing>
      </w:r>
    </w:p>
    <w:p w14:paraId="4F161E3D" w14:textId="77777777" w:rsidR="006A51DB" w:rsidRPr="00C91565" w:rsidRDefault="006A51DB" w:rsidP="006A51DB">
      <w:pPr>
        <w:pStyle w:val="15FigureCaptionSingleLine"/>
        <w:jc w:val="both"/>
        <w:rPr>
          <w:rFonts w:ascii="Arial" w:hAnsi="Arial" w:cs="Arial"/>
          <w:i w:val="0"/>
          <w:iCs/>
          <w:sz w:val="20"/>
          <w:szCs w:val="20"/>
        </w:rPr>
      </w:pPr>
      <w:r w:rsidRPr="00C91565">
        <w:rPr>
          <w:rFonts w:ascii="Arial" w:hAnsi="Arial" w:cs="Arial"/>
          <w:b/>
          <w:i w:val="0"/>
          <w:iCs/>
          <w:snapToGrid w:val="0"/>
          <w:sz w:val="20"/>
          <w:szCs w:val="20"/>
          <w:highlight w:val="white"/>
        </w:rPr>
        <w:t xml:space="preserve">Fig 12. </w:t>
      </w:r>
      <w:r w:rsidRPr="00C91565">
        <w:rPr>
          <w:rFonts w:ascii="Arial" w:hAnsi="Arial" w:cs="Arial"/>
          <w:i w:val="0"/>
          <w:iCs/>
          <w:sz w:val="20"/>
          <w:szCs w:val="20"/>
          <w:highlight w:val="white"/>
        </w:rPr>
        <w:t>Effect of Porosity on PEM Fuel Cell Performance</w:t>
      </w:r>
      <w:r w:rsidRPr="00C91565">
        <w:rPr>
          <w:rFonts w:ascii="Arial" w:hAnsi="Arial" w:cs="Arial"/>
          <w:i w:val="0"/>
          <w:iCs/>
          <w:sz w:val="20"/>
          <w:szCs w:val="20"/>
        </w:rPr>
        <w:t>.</w:t>
      </w:r>
    </w:p>
    <w:p w14:paraId="127C5DB2" w14:textId="77777777" w:rsidR="006A51DB" w:rsidRPr="00C91565" w:rsidRDefault="006A51DB" w:rsidP="006A51DB">
      <w:pPr>
        <w:pStyle w:val="14Figure"/>
        <w:jc w:val="both"/>
        <w:rPr>
          <w:rFonts w:ascii="Arial" w:hAnsi="Arial" w:cs="Arial"/>
          <w:noProof w:val="0"/>
          <w:color w:val="EE0000"/>
          <w:sz w:val="20"/>
          <w:szCs w:val="20"/>
        </w:rPr>
      </w:pPr>
      <w:r w:rsidRPr="00C91565">
        <w:rPr>
          <w:rFonts w:ascii="Arial" w:hAnsi="Arial" w:cs="Arial"/>
          <w:sz w:val="20"/>
          <w:szCs w:val="20"/>
          <w:highlight w:val="white"/>
          <w:lang w:val="en-US" w:eastAsia="en-US"/>
        </w:rPr>
        <w:drawing>
          <wp:inline distT="0" distB="0" distL="0" distR="0" wp14:anchorId="06FCA69E" wp14:editId="2F49CC5B">
            <wp:extent cx="4648200" cy="3063240"/>
            <wp:effectExtent l="0" t="0" r="0" b="0"/>
            <wp:docPr id="1708664087" name="Picture 8" descr="C:\Users\The Team\Desktop\LATEX_ODILON\P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Team\Desktop\LATEX_ODILON\Press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8614" cy="3063513"/>
                    </a:xfrm>
                    <a:prstGeom prst="rect">
                      <a:avLst/>
                    </a:prstGeom>
                    <a:noFill/>
                    <a:ln>
                      <a:noFill/>
                    </a:ln>
                  </pic:spPr>
                </pic:pic>
              </a:graphicData>
            </a:graphic>
          </wp:inline>
        </w:drawing>
      </w:r>
    </w:p>
    <w:p w14:paraId="482322D8" w14:textId="77777777" w:rsidR="006A51DB" w:rsidRPr="00C91565" w:rsidRDefault="006A51DB" w:rsidP="006A51DB">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13. </w:t>
      </w:r>
      <w:r w:rsidRPr="00C91565">
        <w:rPr>
          <w:rFonts w:ascii="Arial" w:hAnsi="Arial" w:cs="Arial"/>
          <w:i w:val="0"/>
          <w:iCs/>
          <w:sz w:val="20"/>
          <w:szCs w:val="20"/>
          <w:highlight w:val="white"/>
        </w:rPr>
        <w:t>Effect of Anode and Cathode Gas Pressure on PEM Fuel Cell Performance</w:t>
      </w:r>
      <w:r w:rsidRPr="00C91565">
        <w:rPr>
          <w:rFonts w:ascii="Arial" w:hAnsi="Arial" w:cs="Arial"/>
          <w:i w:val="0"/>
          <w:iCs/>
          <w:sz w:val="20"/>
          <w:szCs w:val="20"/>
        </w:rPr>
        <w:t>.</w:t>
      </w:r>
    </w:p>
    <w:p w14:paraId="17B49B43" w14:textId="77777777" w:rsidR="00D54953" w:rsidRPr="00C91565" w:rsidRDefault="00D54953" w:rsidP="00D54953">
      <w:pPr>
        <w:pStyle w:val="16FigureCaptionMultipleLine"/>
        <w:rPr>
          <w:rFonts w:ascii="Arial" w:hAnsi="Arial" w:cs="Arial"/>
          <w:i w:val="0"/>
          <w:iCs/>
        </w:rPr>
      </w:pPr>
    </w:p>
    <w:p w14:paraId="14D8AF3F" w14:textId="77777777" w:rsidR="006A51DB" w:rsidRPr="00C91565" w:rsidRDefault="006A51DB" w:rsidP="006A51DB">
      <w:pPr>
        <w:pStyle w:val="14Figure"/>
        <w:jc w:val="both"/>
        <w:rPr>
          <w:rFonts w:ascii="Arial" w:hAnsi="Arial" w:cs="Arial"/>
          <w:noProof w:val="0"/>
          <w:sz w:val="20"/>
          <w:szCs w:val="20"/>
        </w:rPr>
      </w:pPr>
      <w:r w:rsidRPr="00C91565">
        <w:rPr>
          <w:rFonts w:ascii="Arial" w:hAnsi="Arial" w:cs="Arial"/>
          <w:sz w:val="20"/>
          <w:szCs w:val="20"/>
          <w:highlight w:val="white"/>
          <w:lang w:val="en-US" w:eastAsia="en-US"/>
        </w:rPr>
        <w:lastRenderedPageBreak/>
        <w:drawing>
          <wp:inline distT="0" distB="0" distL="0" distR="0" wp14:anchorId="2536AC6C" wp14:editId="249EBC42">
            <wp:extent cx="4846320" cy="3208020"/>
            <wp:effectExtent l="0" t="0" r="0" b="0"/>
            <wp:docPr id="14" name="Image 14" descr="C:\Users\LEKANOS\Downloads\Humidité des réac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KANOS\Downloads\Humidité des réactif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7038" cy="3208495"/>
                    </a:xfrm>
                    <a:prstGeom prst="rect">
                      <a:avLst/>
                    </a:prstGeom>
                    <a:noFill/>
                    <a:ln>
                      <a:noFill/>
                    </a:ln>
                  </pic:spPr>
                </pic:pic>
              </a:graphicData>
            </a:graphic>
          </wp:inline>
        </w:drawing>
      </w:r>
    </w:p>
    <w:p w14:paraId="57C7C0A7" w14:textId="77777777" w:rsidR="006A51DB" w:rsidRPr="00C91565" w:rsidRDefault="006A51DB" w:rsidP="006A51DB">
      <w:pPr>
        <w:pStyle w:val="16FigureCaptionMultipleLine"/>
        <w:rPr>
          <w:rFonts w:ascii="Arial" w:hAnsi="Arial" w:cs="Arial"/>
          <w:i w:val="0"/>
          <w:iCs/>
          <w:sz w:val="20"/>
          <w:szCs w:val="20"/>
        </w:rPr>
      </w:pPr>
      <w:r w:rsidRPr="00C91565">
        <w:rPr>
          <w:rFonts w:ascii="Arial" w:hAnsi="Arial" w:cs="Arial"/>
          <w:b/>
          <w:i w:val="0"/>
          <w:iCs/>
          <w:snapToGrid w:val="0"/>
          <w:sz w:val="20"/>
          <w:szCs w:val="20"/>
          <w:highlight w:val="white"/>
        </w:rPr>
        <w:t xml:space="preserve">Fig 14. </w:t>
      </w:r>
      <w:r w:rsidRPr="00C91565">
        <w:rPr>
          <w:rFonts w:ascii="Arial" w:hAnsi="Arial" w:cs="Arial"/>
          <w:i w:val="0"/>
          <w:iCs/>
          <w:sz w:val="20"/>
          <w:szCs w:val="20"/>
          <w:highlight w:val="white"/>
        </w:rPr>
        <w:t>Effect of Relative Humidity on PEM fuel cell Performance</w:t>
      </w:r>
      <w:r w:rsidRPr="00C91565">
        <w:rPr>
          <w:rFonts w:ascii="Arial" w:hAnsi="Arial" w:cs="Arial"/>
          <w:i w:val="0"/>
          <w:iCs/>
          <w:sz w:val="20"/>
          <w:szCs w:val="20"/>
        </w:rPr>
        <w:t>.</w:t>
      </w:r>
    </w:p>
    <w:p w14:paraId="5E56E45C" w14:textId="47C4BE8E" w:rsidR="006A51DB" w:rsidRPr="00C91565" w:rsidRDefault="006A51DB" w:rsidP="00D54953">
      <w:pPr>
        <w:pStyle w:val="16FigureCaptionMultipleLine"/>
        <w:rPr>
          <w:rFonts w:ascii="Arial" w:hAnsi="Arial" w:cs="Arial"/>
          <w:b/>
          <w:bCs/>
          <w:i w:val="0"/>
          <w:iCs/>
          <w:sz w:val="22"/>
          <w:szCs w:val="22"/>
        </w:rPr>
      </w:pPr>
    </w:p>
    <w:p w14:paraId="3A852BDE"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The combined analysis of microstructural and operational parameters highlights their strong interdependence in determining PEMFC performance. As demonstrated in Figures 3-8, low isotropic tortuosity ensures homogeneous distributions of current density, reactants, and relative humidity, thereby enhancing electrochemical efficiency. Conversely, high or anisotropic tortuosity introduces spatial heterogeneities, leading to increased concentration gradients and reduced reactant accessibility.</w:t>
      </w:r>
    </w:p>
    <w:p w14:paraId="21F0BED7" w14:textId="37E1B7E1"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In addition to tortuosity, other parameters such as porosity, electrical conductivity, gas pressure, and relative humidity significantly influence cell behavior (Figures 11-14). Moderate porosity improves mass transport and water management, while increased conductivity reduces ohmic losses. Similarly, optimized pressure and humidity conditions enhance reactant availability and membrane hydration, although extreme values may negatively affect durability.</w:t>
      </w:r>
      <w:r w:rsidR="00B341B1" w:rsidRPr="00C91565">
        <w:rPr>
          <w:rFonts w:ascii="Arial" w:hAnsi="Arial" w:cs="Arial"/>
        </w:rPr>
        <w:t xml:space="preserve"> The results show that increasing tortuosity significantly limits reactant diffusion, leading to a reduction in cell performance of up to 20 – </w:t>
      </w:r>
      <w:r w:rsidR="000B6E73">
        <w:rPr>
          <w:rFonts w:ascii="Arial" w:hAnsi="Arial" w:cs="Arial"/>
        </w:rPr>
        <w:t>8</w:t>
      </w:r>
      <w:r w:rsidR="00B341B1" w:rsidRPr="00C91565">
        <w:rPr>
          <w:rFonts w:ascii="Arial" w:hAnsi="Arial" w:cs="Arial"/>
        </w:rPr>
        <w:t>0 % at low current densities (Chen et al., 2025).</w:t>
      </w:r>
    </w:p>
    <w:p w14:paraId="2BD5F3C1"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These findings are consistent with previous studies (Ceballos et al., 2022; Ullah et al., 2026), which emphasize the importance of coupling microstructural design with operating conditions to achieve optimal performance.</w:t>
      </w:r>
    </w:p>
    <w:p w14:paraId="49F50F0D"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 xml:space="preserve">However, several limitations of the present study should be acknowledged. First, the GDL is modeled as a homogeneous porous medium with uniform properties, which may not fully capture the complex and heterogeneous microstructure observed in real materials. Second, the simulations are based on a two-dimensional representation, which limits the accurate description of three-dimensional transport phenomena. Third, some simplifying assumptions </w:t>
      </w:r>
      <w:r w:rsidRPr="00C91565">
        <w:rPr>
          <w:rFonts w:ascii="Arial" w:hAnsi="Arial" w:cs="Arial"/>
        </w:rPr>
        <w:lastRenderedPageBreak/>
        <w:t>were adopted, such as steady-state conditions and ideal gas behavior, which may not fully reflect transient or non-ideal operating conditions encountered in practical systems. Finally, the validation of the model remains qualitative, as a fully quantitative comparison with experimental data was not performed.</w:t>
      </w:r>
    </w:p>
    <w:p w14:paraId="594F3AB1" w14:textId="77777777" w:rsidR="006A51DB" w:rsidRPr="00C91565" w:rsidRDefault="006A51DB" w:rsidP="006A51DB">
      <w:pPr>
        <w:spacing w:before="100" w:beforeAutospacing="1" w:after="100" w:afterAutospacing="1"/>
        <w:jc w:val="both"/>
        <w:rPr>
          <w:rFonts w:ascii="Arial" w:hAnsi="Arial" w:cs="Arial"/>
        </w:rPr>
      </w:pPr>
      <w:r w:rsidRPr="00C91565">
        <w:rPr>
          <w:rFonts w:ascii="Arial" w:hAnsi="Arial" w:cs="Arial"/>
        </w:rPr>
        <w:t>Despite these limitations, the model successfully captures the main physical and electrochemical trends governing PEMFC operation. Future work should focus on incorporating three-dimensional reconstructed microstructures, transient modeling, and more detailed experimental validation to further improve predictive accuracy.</w:t>
      </w:r>
    </w:p>
    <w:p w14:paraId="2D099D8A" w14:textId="7BAF651B" w:rsidR="006A51DB" w:rsidRPr="00C91565" w:rsidRDefault="006A51DB" w:rsidP="006A51DB">
      <w:pPr>
        <w:spacing w:before="100" w:beforeAutospacing="1" w:after="100" w:afterAutospacing="1"/>
        <w:rPr>
          <w:rFonts w:ascii="Arial" w:hAnsi="Arial" w:cs="Arial"/>
          <w:b/>
          <w:bCs/>
          <w:sz w:val="24"/>
          <w:szCs w:val="24"/>
        </w:rPr>
      </w:pPr>
      <w:r w:rsidRPr="00C91565">
        <w:rPr>
          <w:rFonts w:ascii="Arial" w:hAnsi="Arial" w:cs="Arial"/>
          <w:b/>
          <w:bCs/>
          <w:sz w:val="24"/>
          <w:szCs w:val="24"/>
        </w:rPr>
        <w:t>4. CONCLUSION</w:t>
      </w:r>
    </w:p>
    <w:p w14:paraId="1C3F8E60" w14:textId="77777777" w:rsidR="00B341B1" w:rsidRPr="00C91565" w:rsidRDefault="008C6649" w:rsidP="00B341B1">
      <w:pPr>
        <w:jc w:val="both"/>
        <w:rPr>
          <w:rFonts w:ascii="Arial" w:hAnsi="Arial" w:cs="Arial"/>
        </w:rPr>
      </w:pPr>
      <w:r w:rsidRPr="00C91565">
        <w:rPr>
          <w:rFonts w:ascii="Arial" w:hAnsi="Arial" w:cs="Arial"/>
        </w:rPr>
        <w:t>This study, based on COMSOL Multiphysics modeling of species transport in PEM fuel cells, highlights the critical role of the gas diffusion layer (GDL) microstructure, particularly tortuosity, on cell performance. Low isotropic tortuosity promotes homogeneous distributions of reactants, water, and current density, leading to improved electrochemical efficiency. Conversely, high or anisotropic tortuosity introduces concentration gradients and diffusion losses, reducing performance. Operating parameters such as porosity, gas pressure, relative humidity, and electrical conductivity further modulate these effects, acting synergistically with the GDL microstructure.</w:t>
      </w:r>
    </w:p>
    <w:p w14:paraId="7AD5F24B" w14:textId="390220FE" w:rsidR="00B341B1" w:rsidRPr="00C91565" w:rsidRDefault="00B341B1" w:rsidP="00B341B1">
      <w:pPr>
        <w:jc w:val="both"/>
        <w:rPr>
          <w:rFonts w:ascii="Arial" w:hAnsi="Arial" w:cs="Arial"/>
        </w:rPr>
      </w:pPr>
      <w:r w:rsidRPr="00C91565">
        <w:rPr>
          <w:rFonts w:ascii="Arial" w:hAnsi="Arial" w:cs="Arial"/>
        </w:rPr>
        <w:t xml:space="preserve">The results show that increasing tortuosity significantly limits reactant diffusion, leading to a reduction in cell performance of up to 20 – </w:t>
      </w:r>
      <w:r w:rsidR="000B6E73">
        <w:rPr>
          <w:rFonts w:ascii="Arial" w:hAnsi="Arial" w:cs="Arial"/>
        </w:rPr>
        <w:t>8</w:t>
      </w:r>
      <w:r w:rsidRPr="00C91565">
        <w:rPr>
          <w:rFonts w:ascii="Arial" w:hAnsi="Arial" w:cs="Arial"/>
        </w:rPr>
        <w:t>0 % at low current densities.</w:t>
      </w:r>
    </w:p>
    <w:p w14:paraId="67E405A7" w14:textId="77777777" w:rsidR="008C6649" w:rsidRPr="00C91565" w:rsidRDefault="008C6649" w:rsidP="008C6649">
      <w:pPr>
        <w:spacing w:before="100" w:beforeAutospacing="1" w:after="100" w:afterAutospacing="1"/>
        <w:jc w:val="both"/>
        <w:rPr>
          <w:rFonts w:ascii="Arial" w:hAnsi="Arial" w:cs="Arial"/>
        </w:rPr>
      </w:pPr>
      <w:r w:rsidRPr="00C91565">
        <w:rPr>
          <w:rFonts w:ascii="Arial" w:hAnsi="Arial" w:cs="Arial"/>
        </w:rPr>
        <w:t>Although the model captures the main physical trends, some limitations should be noted. The GDL was considered homogeneous, the simulations were two-dimensional, and steady-state conditions with ideal gas assumptions were used. Moreover, experimental validation was qualitative rather than quantitative. These limitations suggest that future work should focus on three-dimensional modeling, transient behavior, and more detailed experimental comparisons to refine predictive accuracy.</w:t>
      </w:r>
    </w:p>
    <w:p w14:paraId="31B9D493" w14:textId="77777777" w:rsidR="008C6649" w:rsidRPr="00C91565" w:rsidRDefault="008C6649" w:rsidP="008C6649">
      <w:pPr>
        <w:jc w:val="both"/>
        <w:rPr>
          <w:rFonts w:ascii="Arial" w:hAnsi="Arial" w:cs="Arial"/>
          <w:lang w:val="en-GB"/>
        </w:rPr>
      </w:pPr>
      <w:r w:rsidRPr="00C91565">
        <w:rPr>
          <w:rFonts w:ascii="Arial" w:hAnsi="Arial" w:cs="Arial"/>
          <w:lang w:val="en-GB"/>
        </w:rPr>
        <w:t>Ultimately, the integration of strategies that combine the microstructural design of GDLs with adaptive control of operating parameters appears to be the most promising approach for achieving both high performance and increased durability of PEMFCs in practical applications.</w:t>
      </w:r>
    </w:p>
    <w:p w14:paraId="7225756C" w14:textId="77777777" w:rsidR="008C6649" w:rsidRPr="00C91565" w:rsidRDefault="008C6649" w:rsidP="00B57DB8">
      <w:pPr>
        <w:pStyle w:val="ReferHead"/>
        <w:spacing w:after="0"/>
        <w:jc w:val="both"/>
        <w:rPr>
          <w:rFonts w:ascii="Arial" w:hAnsi="Arial" w:cs="Arial"/>
          <w:bCs/>
          <w:lang w:val="en-GB"/>
        </w:rPr>
      </w:pPr>
    </w:p>
    <w:p w14:paraId="13CD0057" w14:textId="77777777" w:rsidR="00440F9B" w:rsidRDefault="00440F9B" w:rsidP="00B57DB8">
      <w:pPr>
        <w:pStyle w:val="13Text"/>
        <w:ind w:firstLine="200"/>
        <w:rPr>
          <w:rFonts w:ascii="Arial" w:hAnsi="Arial" w:cs="Arial"/>
          <w:snapToGrid w:val="0"/>
        </w:rPr>
      </w:pPr>
    </w:p>
    <w:p w14:paraId="54FB86FE" w14:textId="77777777" w:rsidR="00066E60" w:rsidRPr="00066E60" w:rsidRDefault="00066E60" w:rsidP="00066E60">
      <w:pPr>
        <w:spacing w:after="200" w:line="276" w:lineRule="auto"/>
        <w:rPr>
          <w:rFonts w:ascii="Arial" w:eastAsiaTheme="minorEastAsia" w:hAnsi="Arial" w:cs="Arial"/>
          <w:b/>
          <w:bCs/>
          <w:sz w:val="22"/>
          <w:szCs w:val="22"/>
          <w:lang w:val="en-GB" w:eastAsia="en-GB"/>
        </w:rPr>
      </w:pPr>
      <w:r w:rsidRPr="00066E60">
        <w:rPr>
          <w:rFonts w:ascii="Arial" w:eastAsiaTheme="minorEastAsia" w:hAnsi="Arial" w:cs="Arial"/>
          <w:b/>
          <w:bCs/>
          <w:sz w:val="22"/>
          <w:szCs w:val="22"/>
          <w:lang w:val="en-GB" w:eastAsia="en-GB"/>
        </w:rPr>
        <w:t>COMPETING INTERESTS DISCLAIMER:</w:t>
      </w:r>
    </w:p>
    <w:p w14:paraId="50769781" w14:textId="77777777" w:rsidR="00066E60" w:rsidRPr="00066E60" w:rsidRDefault="00066E60" w:rsidP="00066E60">
      <w:pPr>
        <w:spacing w:after="200" w:line="276" w:lineRule="auto"/>
        <w:rPr>
          <w:rFonts w:asciiTheme="minorHAnsi" w:eastAsiaTheme="minorEastAsia" w:hAnsiTheme="minorHAnsi" w:cstheme="minorBidi"/>
          <w:sz w:val="22"/>
          <w:szCs w:val="22"/>
          <w:lang w:val="en-GB" w:eastAsia="en-GB"/>
        </w:rPr>
      </w:pPr>
      <w:r w:rsidRPr="00066E60">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FF3335D" w14:textId="77777777" w:rsidR="00066E60" w:rsidRDefault="00066E60" w:rsidP="00B57DB8">
      <w:pPr>
        <w:pStyle w:val="13Text"/>
        <w:ind w:firstLine="200"/>
        <w:rPr>
          <w:rFonts w:ascii="Arial" w:hAnsi="Arial" w:cs="Arial"/>
          <w:snapToGrid w:val="0"/>
        </w:rPr>
      </w:pPr>
    </w:p>
    <w:p w14:paraId="1B6988F1" w14:textId="77777777" w:rsidR="00066E60" w:rsidRPr="00C91565" w:rsidRDefault="00066E60" w:rsidP="00B57DB8">
      <w:pPr>
        <w:pStyle w:val="13Text"/>
        <w:ind w:firstLine="200"/>
        <w:rPr>
          <w:rFonts w:ascii="Arial" w:hAnsi="Arial" w:cs="Arial"/>
          <w:snapToGrid w:val="0"/>
        </w:rPr>
      </w:pPr>
    </w:p>
    <w:p w14:paraId="27D896BB" w14:textId="77777777" w:rsidR="00B57DB8" w:rsidRPr="00C91565" w:rsidRDefault="00B57DB8" w:rsidP="00B57DB8">
      <w:pPr>
        <w:pStyle w:val="ReferHead"/>
        <w:spacing w:after="0"/>
        <w:jc w:val="both"/>
        <w:rPr>
          <w:rFonts w:ascii="Arial" w:hAnsi="Arial" w:cs="Arial"/>
        </w:rPr>
      </w:pPr>
      <w:r w:rsidRPr="00C91565">
        <w:rPr>
          <w:rFonts w:ascii="Arial" w:hAnsi="Arial" w:cs="Arial"/>
        </w:rPr>
        <w:t>References</w:t>
      </w:r>
    </w:p>
    <w:p w14:paraId="3B1B4678" w14:textId="77777777" w:rsidR="00B57DB8" w:rsidRPr="00C91565" w:rsidRDefault="00B57DB8" w:rsidP="00B57DB8">
      <w:pPr>
        <w:pStyle w:val="ReferHead"/>
        <w:spacing w:after="0"/>
        <w:jc w:val="both"/>
        <w:rPr>
          <w:rFonts w:ascii="Arial" w:hAnsi="Arial" w:cs="Arial"/>
        </w:rPr>
      </w:pPr>
    </w:p>
    <w:p w14:paraId="006ADA03"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Alaswad</w:t>
      </w:r>
      <w:proofErr w:type="spellEnd"/>
      <w:r w:rsidRPr="00C91565">
        <w:rPr>
          <w:rFonts w:ascii="Arial" w:hAnsi="Arial" w:cs="Arial"/>
          <w:lang w:val="en-GB"/>
        </w:rPr>
        <w:t xml:space="preserve">, A., </w:t>
      </w:r>
      <w:proofErr w:type="spellStart"/>
      <w:r w:rsidRPr="00C91565">
        <w:rPr>
          <w:rFonts w:ascii="Arial" w:hAnsi="Arial" w:cs="Arial"/>
          <w:lang w:val="en-GB"/>
        </w:rPr>
        <w:t>Omran</w:t>
      </w:r>
      <w:proofErr w:type="spellEnd"/>
      <w:r w:rsidRPr="00C91565">
        <w:rPr>
          <w:rFonts w:ascii="Arial" w:hAnsi="Arial" w:cs="Arial"/>
          <w:lang w:val="en-GB"/>
        </w:rPr>
        <w:t xml:space="preserve">, A., </w:t>
      </w:r>
      <w:proofErr w:type="spellStart"/>
      <w:r w:rsidRPr="00C91565">
        <w:rPr>
          <w:rFonts w:ascii="Arial" w:hAnsi="Arial" w:cs="Arial"/>
          <w:lang w:val="en-GB"/>
        </w:rPr>
        <w:t>Sodre</w:t>
      </w:r>
      <w:proofErr w:type="spellEnd"/>
      <w:r w:rsidRPr="00C91565">
        <w:rPr>
          <w:rFonts w:ascii="Arial" w:hAnsi="Arial" w:cs="Arial"/>
          <w:lang w:val="en-GB"/>
        </w:rPr>
        <w:t xml:space="preserve">, J. R., Wilberforce, T., Pignatelli, G., </w:t>
      </w:r>
      <w:proofErr w:type="spellStart"/>
      <w:r w:rsidRPr="00C91565">
        <w:rPr>
          <w:rFonts w:ascii="Arial" w:hAnsi="Arial" w:cs="Arial"/>
          <w:lang w:val="en-GB"/>
        </w:rPr>
        <w:t>Dassisti</w:t>
      </w:r>
      <w:proofErr w:type="spellEnd"/>
      <w:r w:rsidRPr="00C91565">
        <w:rPr>
          <w:rFonts w:ascii="Arial" w:hAnsi="Arial" w:cs="Arial"/>
          <w:lang w:val="en-GB"/>
        </w:rPr>
        <w:t xml:space="preserve">, M., </w:t>
      </w:r>
      <w:proofErr w:type="spellStart"/>
      <w:r w:rsidRPr="00C91565">
        <w:rPr>
          <w:rFonts w:ascii="Arial" w:hAnsi="Arial" w:cs="Arial"/>
          <w:lang w:val="en-GB"/>
        </w:rPr>
        <w:t>Baroutaji</w:t>
      </w:r>
      <w:proofErr w:type="spellEnd"/>
      <w:r w:rsidRPr="00C91565">
        <w:rPr>
          <w:rFonts w:ascii="Arial" w:hAnsi="Arial" w:cs="Arial"/>
          <w:lang w:val="en-GB"/>
        </w:rPr>
        <w:t xml:space="preserve">, </w:t>
      </w:r>
      <w:r w:rsidRPr="00C91565">
        <w:rPr>
          <w:rFonts w:ascii="Arial" w:hAnsi="Arial" w:cs="Arial"/>
          <w:lang w:val="en-GB"/>
        </w:rPr>
        <w:tab/>
        <w:t xml:space="preserve">., &amp; </w:t>
      </w:r>
    </w:p>
    <w:p w14:paraId="1E3A4D8E" w14:textId="77777777" w:rsidR="0035038B" w:rsidRPr="00C91565" w:rsidRDefault="0035038B" w:rsidP="0035038B">
      <w:pPr>
        <w:ind w:firstLine="720"/>
        <w:jc w:val="both"/>
        <w:rPr>
          <w:rFonts w:ascii="Arial" w:hAnsi="Arial" w:cs="Arial"/>
          <w:lang w:val="en-GB"/>
        </w:rPr>
      </w:pPr>
      <w:proofErr w:type="spellStart"/>
      <w:r w:rsidRPr="00C91565">
        <w:rPr>
          <w:rFonts w:ascii="Arial" w:hAnsi="Arial" w:cs="Arial"/>
          <w:lang w:val="en-GB"/>
        </w:rPr>
        <w:t>Olabi</w:t>
      </w:r>
      <w:proofErr w:type="spellEnd"/>
      <w:r w:rsidRPr="00C91565">
        <w:rPr>
          <w:rFonts w:ascii="Arial" w:hAnsi="Arial" w:cs="Arial"/>
          <w:lang w:val="en-GB"/>
        </w:rPr>
        <w:t>, A. G. (2021). Technical and Commercial Challenges of Proton-Exchange</w:t>
      </w:r>
    </w:p>
    <w:p w14:paraId="3DBDF75C" w14:textId="77777777" w:rsidR="0035038B" w:rsidRPr="00C91565" w:rsidRDefault="0035038B" w:rsidP="0035038B">
      <w:pPr>
        <w:ind w:left="720" w:firstLine="60"/>
        <w:jc w:val="both"/>
        <w:rPr>
          <w:rFonts w:ascii="Arial" w:hAnsi="Arial" w:cs="Arial"/>
          <w:lang w:val="fr-FR"/>
        </w:rPr>
      </w:pPr>
      <w:r w:rsidRPr="00C91565">
        <w:rPr>
          <w:rFonts w:ascii="Arial" w:hAnsi="Arial" w:cs="Arial"/>
          <w:lang w:val="fr-FR"/>
        </w:rPr>
        <w:t xml:space="preserve">Membrane (PEM) Fuel </w:t>
      </w:r>
      <w:proofErr w:type="spellStart"/>
      <w:r w:rsidRPr="00C91565">
        <w:rPr>
          <w:rFonts w:ascii="Arial" w:hAnsi="Arial" w:cs="Arial"/>
          <w:lang w:val="fr-FR"/>
        </w:rPr>
        <w:t>Cells</w:t>
      </w:r>
      <w:proofErr w:type="spellEnd"/>
      <w:r w:rsidRPr="00C91565">
        <w:rPr>
          <w:rFonts w:ascii="Arial" w:hAnsi="Arial" w:cs="Arial"/>
          <w:lang w:val="fr-FR"/>
        </w:rPr>
        <w:t xml:space="preserve">. Energies, 14(1), 144. </w:t>
      </w:r>
      <w:hyperlink r:id="rId28" w:tgtFrame="_blank" w:history="1">
        <w:r w:rsidRPr="00C91565">
          <w:rPr>
            <w:rStyle w:val="Hyperlink"/>
            <w:rFonts w:ascii="Arial" w:hAnsi="Arial" w:cs="Arial"/>
            <w:lang w:val="fr-FR"/>
          </w:rPr>
          <w:t>https://doi.org/10.3390/en14010144</w:t>
        </w:r>
      </w:hyperlink>
      <w:r w:rsidRPr="00C91565">
        <w:rPr>
          <w:rFonts w:ascii="Arial" w:hAnsi="Arial" w:cs="Arial"/>
          <w:lang w:val="fr-FR"/>
        </w:rPr>
        <w:t xml:space="preserve"> </w:t>
      </w:r>
    </w:p>
    <w:p w14:paraId="3BC7614C" w14:textId="77777777" w:rsidR="0035038B" w:rsidRPr="00C91565" w:rsidRDefault="0035038B" w:rsidP="0035038B">
      <w:pPr>
        <w:jc w:val="both"/>
        <w:rPr>
          <w:rFonts w:ascii="Arial" w:hAnsi="Arial" w:cs="Arial"/>
          <w:lang w:val="en-GB"/>
        </w:rPr>
      </w:pPr>
      <w:proofErr w:type="spellStart"/>
      <w:r w:rsidRPr="00C91565">
        <w:rPr>
          <w:rFonts w:ascii="Arial" w:hAnsi="Arial" w:cs="Arial"/>
          <w:lang w:val="fr-FR"/>
        </w:rPr>
        <w:t>Arvay</w:t>
      </w:r>
      <w:proofErr w:type="spellEnd"/>
      <w:r w:rsidRPr="00C91565">
        <w:rPr>
          <w:rFonts w:ascii="Arial" w:hAnsi="Arial" w:cs="Arial"/>
          <w:color w:val="0070C0"/>
          <w:lang w:val="fr-FR"/>
        </w:rPr>
        <w:t>,</w:t>
      </w:r>
      <w:r w:rsidRPr="00C91565">
        <w:rPr>
          <w:rFonts w:ascii="Arial" w:hAnsi="Arial" w:cs="Arial"/>
          <w:lang w:val="fr-FR"/>
        </w:rPr>
        <w:t xml:space="preserve"> A., </w:t>
      </w:r>
      <w:proofErr w:type="spellStart"/>
      <w:r w:rsidRPr="00C91565">
        <w:rPr>
          <w:rFonts w:ascii="Arial" w:hAnsi="Arial" w:cs="Arial"/>
          <w:lang w:val="fr-FR"/>
        </w:rPr>
        <w:t>Yli-Rantala</w:t>
      </w:r>
      <w:proofErr w:type="spellEnd"/>
      <w:r w:rsidRPr="00C91565">
        <w:rPr>
          <w:rFonts w:ascii="Arial" w:hAnsi="Arial" w:cs="Arial"/>
          <w:lang w:val="fr-FR"/>
        </w:rPr>
        <w:t xml:space="preserve">, E., Liu, C. H., Peng, X. H., Koski, P., </w:t>
      </w:r>
      <w:proofErr w:type="spellStart"/>
      <w:r w:rsidRPr="00C91565">
        <w:rPr>
          <w:rFonts w:ascii="Arial" w:hAnsi="Arial" w:cs="Arial"/>
          <w:lang w:val="fr-FR"/>
        </w:rPr>
        <w:t>Cindrella</w:t>
      </w:r>
      <w:proofErr w:type="spellEnd"/>
      <w:r w:rsidRPr="00C91565">
        <w:rPr>
          <w:rFonts w:ascii="Arial" w:hAnsi="Arial" w:cs="Arial"/>
          <w:lang w:val="fr-FR"/>
        </w:rPr>
        <w:t xml:space="preserve">, </w:t>
      </w:r>
      <w:proofErr w:type="gramStart"/>
      <w:r w:rsidRPr="00C91565">
        <w:rPr>
          <w:rFonts w:ascii="Arial" w:hAnsi="Arial" w:cs="Arial"/>
          <w:lang w:val="fr-FR"/>
        </w:rPr>
        <w:t>L.,...</w:t>
      </w:r>
      <w:proofErr w:type="gramEnd"/>
      <w:r w:rsidRPr="00C91565">
        <w:rPr>
          <w:rFonts w:ascii="Arial" w:hAnsi="Arial" w:cs="Arial"/>
          <w:lang w:val="fr-FR"/>
        </w:rPr>
        <w:t xml:space="preserve"> </w:t>
      </w:r>
      <w:r w:rsidRPr="00C91565">
        <w:rPr>
          <w:rFonts w:ascii="Arial" w:hAnsi="Arial" w:cs="Arial"/>
          <w:lang w:val="en-GB"/>
        </w:rPr>
        <w:t xml:space="preserve">&amp; Kannan, A. M. </w:t>
      </w:r>
    </w:p>
    <w:p w14:paraId="6AEC6CBC" w14:textId="77777777" w:rsidR="0035038B" w:rsidRPr="00C91565" w:rsidRDefault="0035038B" w:rsidP="0035038B">
      <w:pPr>
        <w:ind w:left="720"/>
        <w:jc w:val="both"/>
        <w:rPr>
          <w:rFonts w:ascii="Arial" w:hAnsi="Arial" w:cs="Arial"/>
        </w:rPr>
      </w:pPr>
      <w:r w:rsidRPr="00C91565">
        <w:rPr>
          <w:rFonts w:ascii="Arial" w:hAnsi="Arial" w:cs="Arial"/>
          <w:lang w:val="en-GB"/>
        </w:rPr>
        <w:lastRenderedPageBreak/>
        <w:t>(2012). Characterization techniques for gas diffusion layers for proton exchange membrane fuel cells–A review. Journal of Power Sources, 213, 317-337. </w:t>
      </w:r>
      <w:hyperlink r:id="rId29" w:tgtFrame="_blank" w:history="1">
        <w:r w:rsidRPr="00C91565">
          <w:rPr>
            <w:rStyle w:val="Hyperlink"/>
            <w:rFonts w:ascii="Arial" w:hAnsi="Arial" w:cs="Arial"/>
            <w:lang w:val="en-GB"/>
          </w:rPr>
          <w:t>https://doi.org/10.1016/j.jpowsour.2012.04.026</w:t>
        </w:r>
      </w:hyperlink>
    </w:p>
    <w:p w14:paraId="79207568" w14:textId="77777777" w:rsidR="00787B4A" w:rsidRPr="00C91565" w:rsidRDefault="0035038B" w:rsidP="00787B4A">
      <w:pPr>
        <w:jc w:val="both"/>
        <w:rPr>
          <w:rFonts w:ascii="Arial" w:hAnsi="Arial" w:cs="Arial"/>
        </w:rPr>
      </w:pPr>
      <w:r w:rsidRPr="00C91565">
        <w:rPr>
          <w:rFonts w:ascii="Arial" w:hAnsi="Arial" w:cs="Arial"/>
        </w:rPr>
        <w:t xml:space="preserve">Berger, A., </w:t>
      </w:r>
      <w:proofErr w:type="spellStart"/>
      <w:r w:rsidRPr="00C91565">
        <w:rPr>
          <w:rFonts w:ascii="Arial" w:hAnsi="Arial" w:cs="Arial"/>
        </w:rPr>
        <w:t>Striednig</w:t>
      </w:r>
      <w:proofErr w:type="spellEnd"/>
      <w:r w:rsidRPr="00C91565">
        <w:rPr>
          <w:rFonts w:ascii="Arial" w:hAnsi="Arial" w:cs="Arial"/>
        </w:rPr>
        <w:t xml:space="preserve">, M., Simon, C., &amp; </w:t>
      </w:r>
      <w:proofErr w:type="spellStart"/>
      <w:r w:rsidRPr="00C91565">
        <w:rPr>
          <w:rFonts w:ascii="Arial" w:hAnsi="Arial" w:cs="Arial"/>
        </w:rPr>
        <w:t>Gasteiger</w:t>
      </w:r>
      <w:proofErr w:type="spellEnd"/>
      <w:r w:rsidRPr="00C91565">
        <w:rPr>
          <w:rFonts w:ascii="Arial" w:hAnsi="Arial" w:cs="Arial"/>
        </w:rPr>
        <w:t xml:space="preserve">, H. A. (2025). Determination of the τ/ε-Ratio </w:t>
      </w:r>
    </w:p>
    <w:p w14:paraId="265EE641" w14:textId="7D9FDE4F" w:rsidR="0035038B" w:rsidRPr="00C91565" w:rsidRDefault="0035038B" w:rsidP="00787B4A">
      <w:pPr>
        <w:ind w:left="720"/>
        <w:jc w:val="both"/>
        <w:rPr>
          <w:rFonts w:ascii="Arial" w:hAnsi="Arial" w:cs="Arial"/>
        </w:rPr>
      </w:pPr>
      <w:r w:rsidRPr="00C91565">
        <w:rPr>
          <w:rFonts w:ascii="Arial" w:hAnsi="Arial" w:cs="Arial"/>
        </w:rPr>
        <w:t>for gas diffusion substrates and microporous layers in a proton exchange membrane fuel cell. </w:t>
      </w:r>
      <w:r w:rsidRPr="00C91565">
        <w:rPr>
          <w:rFonts w:ascii="Arial" w:hAnsi="Arial" w:cs="Arial"/>
          <w:i/>
          <w:iCs/>
        </w:rPr>
        <w:t>Journal of The Electrochemical Society</w:t>
      </w:r>
      <w:r w:rsidRPr="00C91565">
        <w:rPr>
          <w:rFonts w:ascii="Arial" w:hAnsi="Arial" w:cs="Arial"/>
        </w:rPr>
        <w:t>, </w:t>
      </w:r>
      <w:r w:rsidRPr="00C91565">
        <w:rPr>
          <w:rFonts w:ascii="Arial" w:hAnsi="Arial" w:cs="Arial"/>
          <w:i/>
          <w:iCs/>
        </w:rPr>
        <w:t>172</w:t>
      </w:r>
      <w:r w:rsidRPr="00C91565">
        <w:rPr>
          <w:rFonts w:ascii="Arial" w:hAnsi="Arial" w:cs="Arial"/>
        </w:rPr>
        <w:t xml:space="preserve">(1), 014508. </w:t>
      </w:r>
      <w:hyperlink r:id="rId30" w:tgtFrame="_blank" w:history="1">
        <w:r w:rsidRPr="00C91565">
          <w:rPr>
            <w:rStyle w:val="Hyperlink"/>
            <w:rFonts w:ascii="Arial" w:hAnsi="Arial" w:cs="Arial"/>
            <w:lang w:val="en-GB"/>
          </w:rPr>
          <w:t>https://doi.org/</w:t>
        </w:r>
        <w:hyperlink r:id="rId31" w:tgtFrame="_blank" w:history="1">
          <w:r w:rsidRPr="00C91565">
            <w:rPr>
              <w:rStyle w:val="Hyperlink"/>
              <w:rFonts w:ascii="Arial" w:hAnsi="Arial" w:cs="Arial"/>
            </w:rPr>
            <w:t>10.1149/1945-7111/ada63e</w:t>
          </w:r>
        </w:hyperlink>
      </w:hyperlink>
    </w:p>
    <w:p w14:paraId="21B4029D" w14:textId="77777777" w:rsidR="0035038B" w:rsidRPr="00C91565" w:rsidRDefault="0035038B" w:rsidP="0035038B">
      <w:pPr>
        <w:jc w:val="both"/>
        <w:rPr>
          <w:rFonts w:ascii="Arial" w:hAnsi="Arial" w:cs="Arial"/>
        </w:rPr>
      </w:pPr>
    </w:p>
    <w:p w14:paraId="56E039B1" w14:textId="77777777" w:rsidR="008E143D" w:rsidRPr="00C91565" w:rsidRDefault="0035038B" w:rsidP="0035038B">
      <w:pPr>
        <w:jc w:val="both"/>
        <w:rPr>
          <w:rFonts w:ascii="Arial" w:hAnsi="Arial" w:cs="Arial"/>
          <w:lang w:val="en-GB"/>
        </w:rPr>
      </w:pPr>
      <w:r w:rsidRPr="00C91565">
        <w:rPr>
          <w:rFonts w:ascii="Arial" w:hAnsi="Arial" w:cs="Arial"/>
        </w:rPr>
        <w:t xml:space="preserve">Ceballos, J. O., </w:t>
      </w:r>
      <w:proofErr w:type="spellStart"/>
      <w:r w:rsidRPr="00C91565">
        <w:rPr>
          <w:rFonts w:ascii="Arial" w:hAnsi="Arial" w:cs="Arial"/>
        </w:rPr>
        <w:t>Ordoñez</w:t>
      </w:r>
      <w:proofErr w:type="spellEnd"/>
      <w:r w:rsidRPr="00C91565">
        <w:rPr>
          <w:rFonts w:ascii="Arial" w:hAnsi="Arial" w:cs="Arial"/>
        </w:rPr>
        <w:t xml:space="preserve">, L. C., &amp; Sierra, J. M. (2022). </w:t>
      </w:r>
      <w:r w:rsidRPr="00C91565">
        <w:rPr>
          <w:rFonts w:ascii="Arial" w:hAnsi="Arial" w:cs="Arial"/>
          <w:lang w:val="en-GB"/>
        </w:rPr>
        <w:t>Numerical simulation of a PEM fuel</w:t>
      </w:r>
    </w:p>
    <w:p w14:paraId="5DB1EAB1" w14:textId="53B9323A" w:rsidR="008E143D" w:rsidRPr="00C91565" w:rsidRDefault="0035038B" w:rsidP="008E143D">
      <w:pPr>
        <w:ind w:left="720"/>
        <w:jc w:val="both"/>
        <w:rPr>
          <w:rFonts w:ascii="Arial" w:hAnsi="Arial" w:cs="Arial"/>
        </w:rPr>
      </w:pPr>
      <w:r w:rsidRPr="00C91565">
        <w:rPr>
          <w:rFonts w:ascii="Arial" w:hAnsi="Arial" w:cs="Arial"/>
          <w:lang w:val="en-GB"/>
        </w:rPr>
        <w:t>cell: Effect of tortuosity parameters on the construction of polarization curves. International Journal of Hydrogen Energy, 47(70), 30291-30302.</w:t>
      </w:r>
      <w:r w:rsidR="008E143D" w:rsidRPr="00C91565">
        <w:rPr>
          <w:rFonts w:ascii="Arial" w:hAnsi="Arial" w:cs="Arial"/>
        </w:rPr>
        <w:t xml:space="preserve"> </w:t>
      </w:r>
      <w:hyperlink r:id="rId32" w:history="1">
        <w:r w:rsidR="008E143D" w:rsidRPr="00C91565">
          <w:rPr>
            <w:rStyle w:val="Hyperlink"/>
            <w:rFonts w:ascii="Arial" w:hAnsi="Arial" w:cs="Arial"/>
          </w:rPr>
          <w:t>https://doi.org/10.1002/cctc.202401286</w:t>
        </w:r>
      </w:hyperlink>
    </w:p>
    <w:p w14:paraId="339241CB" w14:textId="0D8573D4" w:rsidR="0035038B" w:rsidRPr="00C91565" w:rsidRDefault="0035038B" w:rsidP="0035038B">
      <w:pPr>
        <w:ind w:left="720"/>
        <w:jc w:val="both"/>
        <w:rPr>
          <w:rFonts w:ascii="Arial" w:hAnsi="Arial" w:cs="Arial"/>
          <w:lang w:val="en-GB"/>
        </w:rPr>
      </w:pPr>
    </w:p>
    <w:p w14:paraId="17BFFF50" w14:textId="77777777" w:rsidR="00B341B1" w:rsidRPr="00C91565" w:rsidRDefault="00B341B1" w:rsidP="00B341B1">
      <w:pPr>
        <w:jc w:val="both"/>
        <w:rPr>
          <w:rFonts w:ascii="Arial" w:hAnsi="Arial" w:cs="Arial"/>
        </w:rPr>
      </w:pPr>
      <w:r w:rsidRPr="00C91565">
        <w:rPr>
          <w:rFonts w:ascii="Arial" w:hAnsi="Arial" w:cs="Arial"/>
        </w:rPr>
        <w:t xml:space="preserve">Chen, J., Gao, W., Ning, T., Meng, L., Yin, Y., Ouyang, H., &amp; Wang, C. (2025). Effect of GDL </w:t>
      </w:r>
    </w:p>
    <w:p w14:paraId="73C3147E" w14:textId="321982E9" w:rsidR="00B341B1" w:rsidRPr="00C91565" w:rsidRDefault="00B341B1" w:rsidP="00B341B1">
      <w:pPr>
        <w:ind w:left="720"/>
        <w:jc w:val="both"/>
        <w:rPr>
          <w:rFonts w:ascii="Arial" w:hAnsi="Arial" w:cs="Arial"/>
        </w:rPr>
      </w:pPr>
      <w:r w:rsidRPr="00C91565">
        <w:rPr>
          <w:rFonts w:ascii="Arial" w:hAnsi="Arial" w:cs="Arial"/>
        </w:rPr>
        <w:t>compression on PEMFC performance: A comprehensive cross-scale study. </w:t>
      </w:r>
      <w:r w:rsidRPr="00C91565">
        <w:rPr>
          <w:rFonts w:ascii="Arial" w:hAnsi="Arial" w:cs="Arial"/>
          <w:i/>
          <w:iCs/>
        </w:rPr>
        <w:t>Chemical Engineering Journal</w:t>
      </w:r>
      <w:r w:rsidRPr="00C91565">
        <w:rPr>
          <w:rFonts w:ascii="Arial" w:hAnsi="Arial" w:cs="Arial"/>
        </w:rPr>
        <w:t>, </w:t>
      </w:r>
      <w:r w:rsidRPr="00C91565">
        <w:rPr>
          <w:rFonts w:ascii="Arial" w:hAnsi="Arial" w:cs="Arial"/>
          <w:i/>
          <w:iCs/>
        </w:rPr>
        <w:t>503</w:t>
      </w:r>
      <w:r w:rsidRPr="00C91565">
        <w:rPr>
          <w:rFonts w:ascii="Arial" w:hAnsi="Arial" w:cs="Arial"/>
        </w:rPr>
        <w:t xml:space="preserve">, 158542. </w:t>
      </w:r>
      <w:hyperlink r:id="rId33" w:tgtFrame="_blank" w:history="1">
        <w:r w:rsidRPr="00C91565">
          <w:rPr>
            <w:rStyle w:val="Hyperlink"/>
            <w:rFonts w:ascii="Arial" w:hAnsi="Arial" w:cs="Arial"/>
            <w:lang w:val="en-GB"/>
          </w:rPr>
          <w:t>https://doi.org/</w:t>
        </w:r>
        <w:r w:rsidRPr="00C91565">
          <w:rPr>
            <w:rStyle w:val="Hyperlink"/>
            <w:rFonts w:ascii="Arial" w:hAnsi="Arial" w:cs="Arial"/>
          </w:rPr>
          <w:t>10.1016/j.cej.2024.158542</w:t>
        </w:r>
      </w:hyperlink>
    </w:p>
    <w:p w14:paraId="4A67091A" w14:textId="59085358" w:rsidR="00B341B1" w:rsidRPr="00C91565" w:rsidRDefault="00B341B1" w:rsidP="00B341B1">
      <w:pPr>
        <w:jc w:val="both"/>
        <w:rPr>
          <w:rFonts w:ascii="Arial" w:hAnsi="Arial" w:cs="Arial"/>
        </w:rPr>
      </w:pPr>
    </w:p>
    <w:p w14:paraId="23AC6656" w14:textId="77777777" w:rsidR="0059506F" w:rsidRPr="00C91565" w:rsidRDefault="0035038B" w:rsidP="0059506F">
      <w:pPr>
        <w:jc w:val="both"/>
        <w:rPr>
          <w:rFonts w:ascii="Arial" w:hAnsi="Arial" w:cs="Arial"/>
        </w:rPr>
      </w:pPr>
      <w:r w:rsidRPr="00C91565">
        <w:rPr>
          <w:rFonts w:ascii="Arial" w:hAnsi="Arial" w:cs="Arial"/>
        </w:rPr>
        <w:t xml:space="preserve">Farsi, A., Zhu, L., </w:t>
      </w:r>
      <w:proofErr w:type="spellStart"/>
      <w:r w:rsidRPr="00C91565">
        <w:rPr>
          <w:rFonts w:ascii="Arial" w:hAnsi="Arial" w:cs="Arial"/>
        </w:rPr>
        <w:t>Seip</w:t>
      </w:r>
      <w:proofErr w:type="spellEnd"/>
      <w:r w:rsidRPr="00C91565">
        <w:rPr>
          <w:rFonts w:ascii="Arial" w:hAnsi="Arial" w:cs="Arial"/>
        </w:rPr>
        <w:t xml:space="preserve">, T., &amp; </w:t>
      </w:r>
      <w:proofErr w:type="spellStart"/>
      <w:r w:rsidRPr="00C91565">
        <w:rPr>
          <w:rFonts w:ascii="Arial" w:hAnsi="Arial" w:cs="Arial"/>
        </w:rPr>
        <w:t>Bazylak</w:t>
      </w:r>
      <w:proofErr w:type="spellEnd"/>
      <w:r w:rsidRPr="00C91565">
        <w:rPr>
          <w:rFonts w:ascii="Arial" w:hAnsi="Arial" w:cs="Arial"/>
        </w:rPr>
        <w:t>, A. (2025). Predicting Liquid Organic Hydrogen Carrier</w:t>
      </w:r>
    </w:p>
    <w:p w14:paraId="5DD15BD1" w14:textId="39AB69AB" w:rsidR="0035038B" w:rsidRPr="00C91565" w:rsidRDefault="0035038B" w:rsidP="0059506F">
      <w:pPr>
        <w:ind w:left="720"/>
        <w:jc w:val="both"/>
        <w:rPr>
          <w:rFonts w:ascii="Arial" w:hAnsi="Arial" w:cs="Arial"/>
        </w:rPr>
      </w:pPr>
      <w:r w:rsidRPr="00C91565">
        <w:rPr>
          <w:rFonts w:ascii="Arial" w:hAnsi="Arial" w:cs="Arial"/>
        </w:rPr>
        <w:t xml:space="preserve"> Saturation in </w:t>
      </w:r>
      <w:proofErr w:type="spellStart"/>
      <w:r w:rsidRPr="00C91565">
        <w:rPr>
          <w:rFonts w:ascii="Arial" w:hAnsi="Arial" w:cs="Arial"/>
        </w:rPr>
        <w:t>ehydrogenation</w:t>
      </w:r>
      <w:proofErr w:type="spellEnd"/>
      <w:r w:rsidRPr="00C91565">
        <w:rPr>
          <w:rFonts w:ascii="Arial" w:hAnsi="Arial" w:cs="Arial"/>
        </w:rPr>
        <w:t xml:space="preserve"> Cell Gas Diffusion Layers for Hydrogen Storage. </w:t>
      </w:r>
      <w:proofErr w:type="spellStart"/>
      <w:r w:rsidRPr="00C91565">
        <w:rPr>
          <w:rFonts w:ascii="Arial" w:hAnsi="Arial" w:cs="Arial"/>
          <w:i/>
          <w:iCs/>
        </w:rPr>
        <w:t>ChemCatChem</w:t>
      </w:r>
      <w:proofErr w:type="spellEnd"/>
      <w:r w:rsidRPr="00C91565">
        <w:rPr>
          <w:rFonts w:ascii="Arial" w:hAnsi="Arial" w:cs="Arial"/>
        </w:rPr>
        <w:t>, </w:t>
      </w:r>
      <w:r w:rsidRPr="00C91565">
        <w:rPr>
          <w:rFonts w:ascii="Arial" w:hAnsi="Arial" w:cs="Arial"/>
          <w:i/>
          <w:iCs/>
        </w:rPr>
        <w:t>17</w:t>
      </w:r>
      <w:r w:rsidRPr="00C91565">
        <w:rPr>
          <w:rFonts w:ascii="Arial" w:hAnsi="Arial" w:cs="Arial"/>
        </w:rPr>
        <w:t>(16</w:t>
      </w:r>
      <w:proofErr w:type="gramStart"/>
      <w:r w:rsidRPr="00C91565">
        <w:rPr>
          <w:rFonts w:ascii="Arial" w:hAnsi="Arial" w:cs="Arial"/>
        </w:rPr>
        <w:t>),e</w:t>
      </w:r>
      <w:proofErr w:type="gramEnd"/>
      <w:r w:rsidRPr="00C91565">
        <w:rPr>
          <w:rFonts w:ascii="Arial" w:hAnsi="Arial" w:cs="Arial"/>
        </w:rPr>
        <w:t>202401286.</w:t>
      </w:r>
      <w:r w:rsidR="008E143D" w:rsidRPr="00C91565">
        <w:rPr>
          <w:rFonts w:ascii="Arial" w:hAnsi="Arial" w:cs="Arial"/>
        </w:rPr>
        <w:t xml:space="preserve"> </w:t>
      </w:r>
      <w:hyperlink r:id="rId34" w:history="1">
        <w:r w:rsidR="008E143D" w:rsidRPr="00C91565">
          <w:rPr>
            <w:rStyle w:val="Hyperlink"/>
            <w:rFonts w:ascii="Arial" w:hAnsi="Arial" w:cs="Arial"/>
            <w:b/>
            <w:bCs/>
          </w:rPr>
          <w:t>https://doi.org/10.1002/cctc.202401286</w:t>
        </w:r>
      </w:hyperlink>
    </w:p>
    <w:p w14:paraId="23CB5418" w14:textId="746F1DEE" w:rsidR="0059506F" w:rsidRPr="00C91565" w:rsidRDefault="0035038B" w:rsidP="0059506F">
      <w:pPr>
        <w:jc w:val="both"/>
        <w:rPr>
          <w:rFonts w:ascii="Arial" w:hAnsi="Arial" w:cs="Arial"/>
        </w:rPr>
      </w:pPr>
      <w:proofErr w:type="spellStart"/>
      <w:r w:rsidRPr="00C91565">
        <w:rPr>
          <w:rFonts w:ascii="Arial" w:hAnsi="Arial" w:cs="Arial"/>
        </w:rPr>
        <w:t>Igari</w:t>
      </w:r>
      <w:proofErr w:type="spellEnd"/>
      <w:r w:rsidRPr="00C91565">
        <w:rPr>
          <w:rFonts w:ascii="Arial" w:hAnsi="Arial" w:cs="Arial"/>
        </w:rPr>
        <w:t xml:space="preserve">, R., Edmundson, D. D., </w:t>
      </w:r>
      <w:proofErr w:type="spellStart"/>
      <w:r w:rsidRPr="00C91565">
        <w:rPr>
          <w:rFonts w:ascii="Arial" w:hAnsi="Arial" w:cs="Arial"/>
        </w:rPr>
        <w:t>Dichiara</w:t>
      </w:r>
      <w:proofErr w:type="spellEnd"/>
      <w:r w:rsidRPr="00C91565">
        <w:rPr>
          <w:rFonts w:ascii="Arial" w:hAnsi="Arial" w:cs="Arial"/>
        </w:rPr>
        <w:t xml:space="preserve">, A. B., &amp; </w:t>
      </w:r>
      <w:proofErr w:type="spellStart"/>
      <w:r w:rsidRPr="00C91565">
        <w:rPr>
          <w:rFonts w:ascii="Arial" w:hAnsi="Arial" w:cs="Arial"/>
        </w:rPr>
        <w:t>Takana</w:t>
      </w:r>
      <w:proofErr w:type="spellEnd"/>
      <w:r w:rsidRPr="00C91565">
        <w:rPr>
          <w:rFonts w:ascii="Arial" w:hAnsi="Arial" w:cs="Arial"/>
        </w:rPr>
        <w:t xml:space="preserve">, H. (2026). Power generation </w:t>
      </w:r>
    </w:p>
    <w:p w14:paraId="296BE8C1" w14:textId="6F156B89" w:rsidR="0035038B" w:rsidRPr="00C91565" w:rsidRDefault="0035038B" w:rsidP="0059506F">
      <w:pPr>
        <w:ind w:left="720"/>
        <w:jc w:val="both"/>
        <w:rPr>
          <w:rFonts w:ascii="Arial" w:hAnsi="Arial" w:cs="Arial"/>
          <w:lang w:val="en-GB"/>
        </w:rPr>
      </w:pPr>
      <w:r w:rsidRPr="00C91565">
        <w:rPr>
          <w:rFonts w:ascii="Arial" w:hAnsi="Arial" w:cs="Arial"/>
        </w:rPr>
        <w:t>mechanism by ion transport in electrically conductive papers. </w:t>
      </w:r>
      <w:r w:rsidRPr="00C91565">
        <w:rPr>
          <w:rFonts w:ascii="Arial" w:hAnsi="Arial" w:cs="Arial"/>
          <w:i/>
          <w:iCs/>
        </w:rPr>
        <w:t>Energy Conversion and Management: X</w:t>
      </w:r>
      <w:r w:rsidRPr="00C91565">
        <w:rPr>
          <w:rFonts w:ascii="Arial" w:hAnsi="Arial" w:cs="Arial"/>
        </w:rPr>
        <w:t xml:space="preserve">, 101739. </w:t>
      </w:r>
      <w:hyperlink r:id="rId35" w:tgtFrame="_blank" w:tooltip="Persistent link using digital object identifier" w:history="1">
        <w:r w:rsidRPr="00C91565">
          <w:rPr>
            <w:rStyle w:val="Hyperlink"/>
            <w:rFonts w:ascii="Arial" w:hAnsi="Arial" w:cs="Arial"/>
          </w:rPr>
          <w:t>https://doi.org/10.1016/j.ecmx.2026.101739</w:t>
        </w:r>
      </w:hyperlink>
    </w:p>
    <w:p w14:paraId="2BCCF2AE"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Jing, S. Y., Sun, Z. Y., Yang, L., &amp; Wang, Y. (2024). Effects of porosity and porosity </w:t>
      </w:r>
    </w:p>
    <w:p w14:paraId="7086CA62" w14:textId="77777777" w:rsidR="0035038B" w:rsidRPr="00C91565" w:rsidRDefault="0035038B" w:rsidP="0035038B">
      <w:pPr>
        <w:ind w:left="720"/>
        <w:jc w:val="both"/>
        <w:rPr>
          <w:rFonts w:ascii="Arial" w:hAnsi="Arial" w:cs="Arial"/>
          <w:lang w:val="en-GB"/>
        </w:rPr>
      </w:pPr>
      <w:r w:rsidRPr="00C91565">
        <w:rPr>
          <w:rFonts w:ascii="Arial" w:hAnsi="Arial" w:cs="Arial"/>
          <w:lang w:val="en-GB"/>
        </w:rPr>
        <w:t>distribution in gas diffusion layer on the performances of proton exchange membrane fuel cell. Journal of Power Sources, 613, 234957. </w:t>
      </w:r>
      <w:hyperlink r:id="rId36" w:tgtFrame="_blank" w:history="1">
        <w:r w:rsidRPr="00C91565">
          <w:rPr>
            <w:rStyle w:val="Hyperlink"/>
            <w:rFonts w:ascii="Arial" w:hAnsi="Arial" w:cs="Arial"/>
            <w:lang w:val="en-GB"/>
          </w:rPr>
          <w:t>https://doi.org/10.1016/j.jpowsour.2024.234957</w:t>
        </w:r>
      </w:hyperlink>
    </w:p>
    <w:p w14:paraId="335355CA" w14:textId="77777777" w:rsidR="008E143D" w:rsidRPr="00C91565" w:rsidRDefault="008E143D" w:rsidP="0035038B">
      <w:pPr>
        <w:jc w:val="both"/>
        <w:rPr>
          <w:rFonts w:ascii="Arial" w:hAnsi="Arial" w:cs="Arial"/>
          <w:i/>
          <w:iCs/>
        </w:rPr>
      </w:pPr>
      <w:proofErr w:type="spellStart"/>
      <w:r w:rsidRPr="00C91565">
        <w:rPr>
          <w:rFonts w:ascii="Arial" w:hAnsi="Arial" w:cs="Arial"/>
        </w:rPr>
        <w:t>Léodé</w:t>
      </w:r>
      <w:proofErr w:type="spellEnd"/>
      <w:r w:rsidRPr="00C91565">
        <w:rPr>
          <w:rFonts w:ascii="Arial" w:hAnsi="Arial" w:cs="Arial"/>
        </w:rPr>
        <w:t xml:space="preserve">, A. E., &amp; </w:t>
      </w:r>
      <w:proofErr w:type="spellStart"/>
      <w:r w:rsidRPr="00C91565">
        <w:rPr>
          <w:rFonts w:ascii="Arial" w:hAnsi="Arial" w:cs="Arial"/>
        </w:rPr>
        <w:t>Agnimonhan</w:t>
      </w:r>
      <w:proofErr w:type="spellEnd"/>
      <w:r w:rsidRPr="00C91565">
        <w:rPr>
          <w:rFonts w:ascii="Arial" w:hAnsi="Arial" w:cs="Arial"/>
        </w:rPr>
        <w:t>, F. H. Review on the Proton Exchange M. </w:t>
      </w:r>
      <w:r w:rsidRPr="00C91565">
        <w:rPr>
          <w:rFonts w:ascii="Arial" w:hAnsi="Arial" w:cs="Arial"/>
          <w:i/>
          <w:iCs/>
        </w:rPr>
        <w:t xml:space="preserve">Fuel Cells </w:t>
      </w:r>
    </w:p>
    <w:p w14:paraId="680F6895" w14:textId="0AC7F01E" w:rsidR="008E143D" w:rsidRPr="00C91565" w:rsidRDefault="008E143D" w:rsidP="008E143D">
      <w:pPr>
        <w:ind w:firstLine="720"/>
        <w:jc w:val="both"/>
        <w:rPr>
          <w:rFonts w:ascii="Arial" w:hAnsi="Arial" w:cs="Arial"/>
          <w:u w:val="single"/>
        </w:rPr>
      </w:pPr>
      <w:r w:rsidRPr="00C91565">
        <w:rPr>
          <w:rFonts w:ascii="Arial" w:hAnsi="Arial" w:cs="Arial"/>
          <w:i/>
          <w:iCs/>
        </w:rPr>
        <w:t>(PAFC)</w:t>
      </w:r>
      <w:r w:rsidRPr="00C91565">
        <w:rPr>
          <w:rFonts w:ascii="Arial" w:hAnsi="Arial" w:cs="Arial"/>
        </w:rPr>
        <w:t>, </w:t>
      </w:r>
      <w:r w:rsidRPr="00C91565">
        <w:rPr>
          <w:rFonts w:ascii="Arial" w:hAnsi="Arial" w:cs="Arial"/>
          <w:i/>
          <w:iCs/>
        </w:rPr>
        <w:t>14</w:t>
      </w:r>
      <w:r w:rsidRPr="00C91565">
        <w:rPr>
          <w:rFonts w:ascii="Arial" w:hAnsi="Arial" w:cs="Arial"/>
        </w:rPr>
        <w:t xml:space="preserve">, 15. </w:t>
      </w:r>
      <w:r w:rsidRPr="00C91565">
        <w:rPr>
          <w:rFonts w:ascii="Arial" w:hAnsi="Arial" w:cs="Arial"/>
          <w:color w:val="FF6699"/>
          <w:u w:val="single"/>
        </w:rPr>
        <w:t>www.isca.in</w:t>
      </w:r>
    </w:p>
    <w:p w14:paraId="0F2A8489" w14:textId="5F58ADC6" w:rsidR="0035038B" w:rsidRPr="00C91565" w:rsidRDefault="0035038B" w:rsidP="0035038B">
      <w:pPr>
        <w:jc w:val="both"/>
        <w:rPr>
          <w:rFonts w:ascii="Arial" w:hAnsi="Arial" w:cs="Arial"/>
          <w:lang w:val="en-GB"/>
        </w:rPr>
      </w:pPr>
      <w:proofErr w:type="spellStart"/>
      <w:r w:rsidRPr="00C91565">
        <w:rPr>
          <w:rFonts w:ascii="Arial" w:hAnsi="Arial" w:cs="Arial"/>
          <w:lang w:val="en-GB"/>
        </w:rPr>
        <w:t>Majlan</w:t>
      </w:r>
      <w:proofErr w:type="spellEnd"/>
      <w:r w:rsidRPr="00C91565">
        <w:rPr>
          <w:rFonts w:ascii="Arial" w:hAnsi="Arial" w:cs="Arial"/>
          <w:color w:val="0070C0"/>
          <w:lang w:val="en-GB"/>
        </w:rPr>
        <w:t xml:space="preserve">, </w:t>
      </w:r>
      <w:r w:rsidRPr="00C91565">
        <w:rPr>
          <w:rFonts w:ascii="Arial" w:hAnsi="Arial" w:cs="Arial"/>
          <w:lang w:val="en-GB"/>
        </w:rPr>
        <w:t xml:space="preserve">E. H., </w:t>
      </w:r>
      <w:proofErr w:type="spellStart"/>
      <w:r w:rsidRPr="00C91565">
        <w:rPr>
          <w:rFonts w:ascii="Arial" w:hAnsi="Arial" w:cs="Arial"/>
          <w:lang w:val="en-GB"/>
        </w:rPr>
        <w:t>Rohendi</w:t>
      </w:r>
      <w:proofErr w:type="spellEnd"/>
      <w:r w:rsidRPr="00C91565">
        <w:rPr>
          <w:rFonts w:ascii="Arial" w:hAnsi="Arial" w:cs="Arial"/>
          <w:lang w:val="en-GB"/>
        </w:rPr>
        <w:t xml:space="preserve">, D., </w:t>
      </w:r>
      <w:proofErr w:type="spellStart"/>
      <w:r w:rsidRPr="00C91565">
        <w:rPr>
          <w:rFonts w:ascii="Arial" w:hAnsi="Arial" w:cs="Arial"/>
          <w:lang w:val="en-GB"/>
        </w:rPr>
        <w:t>Daud</w:t>
      </w:r>
      <w:proofErr w:type="spellEnd"/>
      <w:r w:rsidRPr="00C91565">
        <w:rPr>
          <w:rFonts w:ascii="Arial" w:hAnsi="Arial" w:cs="Arial"/>
          <w:lang w:val="en-GB"/>
        </w:rPr>
        <w:t xml:space="preserve">, W. R. W., </w:t>
      </w:r>
      <w:proofErr w:type="spellStart"/>
      <w:r w:rsidRPr="00C91565">
        <w:rPr>
          <w:rFonts w:ascii="Arial" w:hAnsi="Arial" w:cs="Arial"/>
          <w:lang w:val="en-GB"/>
        </w:rPr>
        <w:t>Husaini</w:t>
      </w:r>
      <w:proofErr w:type="spellEnd"/>
      <w:r w:rsidRPr="00C91565">
        <w:rPr>
          <w:rFonts w:ascii="Arial" w:hAnsi="Arial" w:cs="Arial"/>
          <w:lang w:val="en-GB"/>
        </w:rPr>
        <w:t xml:space="preserve">, T., &amp; Haque, M. A. (2018). Electrode </w:t>
      </w:r>
    </w:p>
    <w:p w14:paraId="6D2B37B6" w14:textId="77777777" w:rsidR="0035038B" w:rsidRPr="00C91565" w:rsidRDefault="0035038B" w:rsidP="0035038B">
      <w:pPr>
        <w:ind w:left="720"/>
        <w:jc w:val="both"/>
        <w:rPr>
          <w:rFonts w:ascii="Arial" w:hAnsi="Arial" w:cs="Arial"/>
          <w:lang w:val="en-GB"/>
        </w:rPr>
      </w:pPr>
      <w:r w:rsidRPr="00C91565">
        <w:rPr>
          <w:rFonts w:ascii="Arial" w:hAnsi="Arial" w:cs="Arial"/>
          <w:lang w:val="en-GB"/>
        </w:rPr>
        <w:t>for proton exchange membrane fuel cells: A review. Renewable and Sustainable Energy Reviews, 89, 117-134. </w:t>
      </w:r>
      <w:hyperlink r:id="rId37" w:tgtFrame="_blank" w:history="1">
        <w:r w:rsidRPr="00C91565">
          <w:rPr>
            <w:rStyle w:val="Hyperlink"/>
            <w:rFonts w:ascii="Arial" w:hAnsi="Arial" w:cs="Arial"/>
            <w:lang w:val="en-GB"/>
          </w:rPr>
          <w:t>https://doi.org/10.1016/j.rser.2018.03.007</w:t>
        </w:r>
      </w:hyperlink>
    </w:p>
    <w:p w14:paraId="2E0526F2"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Molaeimanesh</w:t>
      </w:r>
      <w:proofErr w:type="spellEnd"/>
      <w:r w:rsidRPr="00C91565">
        <w:rPr>
          <w:rFonts w:ascii="Arial" w:hAnsi="Arial" w:cs="Arial"/>
          <w:lang w:val="en-GB"/>
        </w:rPr>
        <w:t xml:space="preserve">, G. R., &amp; </w:t>
      </w:r>
      <w:proofErr w:type="spellStart"/>
      <w:r w:rsidRPr="00C91565">
        <w:rPr>
          <w:rFonts w:ascii="Arial" w:hAnsi="Arial" w:cs="Arial"/>
          <w:lang w:val="en-GB"/>
        </w:rPr>
        <w:t>Nazemian</w:t>
      </w:r>
      <w:proofErr w:type="spellEnd"/>
      <w:r w:rsidRPr="00C91565">
        <w:rPr>
          <w:rFonts w:ascii="Arial" w:hAnsi="Arial" w:cs="Arial"/>
          <w:lang w:val="en-GB"/>
        </w:rPr>
        <w:t xml:space="preserve">, M. (2017). Investigation of GDL compression effects on </w:t>
      </w:r>
    </w:p>
    <w:p w14:paraId="16B3E610" w14:textId="77777777" w:rsidR="0035038B" w:rsidRPr="00C91565" w:rsidRDefault="0035038B" w:rsidP="0035038B">
      <w:pPr>
        <w:ind w:left="720"/>
        <w:jc w:val="both"/>
        <w:rPr>
          <w:rFonts w:ascii="Arial" w:hAnsi="Arial" w:cs="Arial"/>
          <w:lang w:val="en-GB"/>
        </w:rPr>
      </w:pPr>
      <w:r w:rsidRPr="00C91565">
        <w:rPr>
          <w:rFonts w:ascii="Arial" w:hAnsi="Arial" w:cs="Arial"/>
          <w:lang w:val="en-GB"/>
        </w:rPr>
        <w:t>the performance of a PEM fuel cell cathode by lattice Boltzmann method. Journal of Power Sources, 359, 494-506. </w:t>
      </w:r>
      <w:hyperlink r:id="rId38" w:tgtFrame="_blank" w:history="1">
        <w:r w:rsidRPr="00C91565">
          <w:rPr>
            <w:rStyle w:val="Hyperlink"/>
            <w:rFonts w:ascii="Arial" w:hAnsi="Arial" w:cs="Arial"/>
            <w:lang w:val="en-GB"/>
          </w:rPr>
          <w:t>https://doi.org/10.1016/j.jpowsour.2017.05.078</w:t>
        </w:r>
      </w:hyperlink>
    </w:p>
    <w:p w14:paraId="0E8DA69E"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Nabovati</w:t>
      </w:r>
      <w:proofErr w:type="spellEnd"/>
      <w:r w:rsidRPr="00C91565">
        <w:rPr>
          <w:rFonts w:ascii="Arial" w:hAnsi="Arial" w:cs="Arial"/>
          <w:color w:val="0070C0"/>
          <w:lang w:val="en-GB"/>
        </w:rPr>
        <w:t>,</w:t>
      </w:r>
      <w:r w:rsidRPr="00C91565">
        <w:rPr>
          <w:rFonts w:ascii="Arial" w:hAnsi="Arial" w:cs="Arial"/>
          <w:lang w:val="en-GB"/>
        </w:rPr>
        <w:t xml:space="preserve"> A., </w:t>
      </w:r>
      <w:proofErr w:type="spellStart"/>
      <w:r w:rsidRPr="00C91565">
        <w:rPr>
          <w:rFonts w:ascii="Arial" w:hAnsi="Arial" w:cs="Arial"/>
          <w:lang w:val="en-GB"/>
        </w:rPr>
        <w:t>Hinebaugh</w:t>
      </w:r>
      <w:proofErr w:type="spellEnd"/>
      <w:r w:rsidRPr="00C91565">
        <w:rPr>
          <w:rFonts w:ascii="Arial" w:hAnsi="Arial" w:cs="Arial"/>
          <w:lang w:val="en-GB"/>
        </w:rPr>
        <w:t xml:space="preserve">, J., </w:t>
      </w:r>
      <w:proofErr w:type="spellStart"/>
      <w:r w:rsidRPr="00C91565">
        <w:rPr>
          <w:rFonts w:ascii="Arial" w:hAnsi="Arial" w:cs="Arial"/>
          <w:lang w:val="en-GB"/>
        </w:rPr>
        <w:t>Bazylak</w:t>
      </w:r>
      <w:proofErr w:type="spellEnd"/>
      <w:r w:rsidRPr="00C91565">
        <w:rPr>
          <w:rFonts w:ascii="Arial" w:hAnsi="Arial" w:cs="Arial"/>
          <w:lang w:val="en-GB"/>
        </w:rPr>
        <w:t xml:space="preserve">, A., &amp; Amon, C. H. (2014). Effect of porosity </w:t>
      </w:r>
    </w:p>
    <w:p w14:paraId="6B3DB4B7"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heterogeneity on </w:t>
      </w:r>
      <w:proofErr w:type="gramStart"/>
      <w:r w:rsidRPr="00C91565">
        <w:rPr>
          <w:rFonts w:ascii="Arial" w:hAnsi="Arial" w:cs="Arial"/>
          <w:lang w:val="en-GB"/>
        </w:rPr>
        <w:t>the  permeability</w:t>
      </w:r>
      <w:proofErr w:type="gramEnd"/>
      <w:r w:rsidRPr="00C91565">
        <w:rPr>
          <w:rFonts w:ascii="Arial" w:hAnsi="Arial" w:cs="Arial"/>
          <w:lang w:val="en-GB"/>
        </w:rPr>
        <w:t xml:space="preserve"> and tortuosity of gas diffusion layers in polymer electrolyte membrane fuel cells. Journal of Power Sources, 248, 83-90. </w:t>
      </w:r>
      <w:hyperlink r:id="rId39" w:tgtFrame="_blank" w:history="1">
        <w:r w:rsidRPr="00C91565">
          <w:rPr>
            <w:rStyle w:val="Hyperlink"/>
            <w:rFonts w:ascii="Arial" w:hAnsi="Arial" w:cs="Arial"/>
            <w:lang w:val="en-GB"/>
          </w:rPr>
          <w:t>https://doi.org/10.1016/j.jpowsour.2013.09.061</w:t>
        </w:r>
      </w:hyperlink>
    </w:p>
    <w:p w14:paraId="6E643E65" w14:textId="77777777" w:rsidR="00D974D7" w:rsidRPr="00C91565" w:rsidRDefault="00D974D7" w:rsidP="00D974D7">
      <w:pPr>
        <w:jc w:val="both"/>
        <w:rPr>
          <w:rFonts w:ascii="Arial" w:hAnsi="Arial" w:cs="Arial"/>
        </w:rPr>
      </w:pPr>
      <w:proofErr w:type="spellStart"/>
      <w:r w:rsidRPr="00C91565">
        <w:rPr>
          <w:rFonts w:ascii="Arial" w:hAnsi="Arial" w:cs="Arial"/>
        </w:rPr>
        <w:t>Nazemian</w:t>
      </w:r>
      <w:proofErr w:type="spellEnd"/>
      <w:r w:rsidRPr="00C91565">
        <w:rPr>
          <w:rFonts w:ascii="Arial" w:hAnsi="Arial" w:cs="Arial"/>
        </w:rPr>
        <w:t xml:space="preserve">, M., &amp; </w:t>
      </w:r>
      <w:proofErr w:type="spellStart"/>
      <w:r w:rsidRPr="00C91565">
        <w:rPr>
          <w:rFonts w:ascii="Arial" w:hAnsi="Arial" w:cs="Arial"/>
        </w:rPr>
        <w:t>Molaeimanesh</w:t>
      </w:r>
      <w:proofErr w:type="spellEnd"/>
      <w:r w:rsidRPr="00C91565">
        <w:rPr>
          <w:rFonts w:ascii="Arial" w:hAnsi="Arial" w:cs="Arial"/>
        </w:rPr>
        <w:t>, G. R. (2020). Impact of carbon paper structural parameters</w:t>
      </w:r>
    </w:p>
    <w:p w14:paraId="73E10F70" w14:textId="7197FA24" w:rsidR="00D974D7" w:rsidRPr="00C91565" w:rsidRDefault="00D974D7" w:rsidP="00D974D7">
      <w:pPr>
        <w:ind w:left="720"/>
        <w:jc w:val="both"/>
        <w:rPr>
          <w:rFonts w:ascii="Arial" w:hAnsi="Arial" w:cs="Arial"/>
          <w:lang w:val="en-GB"/>
        </w:rPr>
      </w:pPr>
      <w:r w:rsidRPr="00C91565">
        <w:rPr>
          <w:rFonts w:ascii="Arial" w:hAnsi="Arial" w:cs="Arial"/>
        </w:rPr>
        <w:t xml:space="preserve"> on the performance of a polymer electrolyte fuel cell cathode via lattice Boltzmann method. </w:t>
      </w:r>
      <w:r w:rsidRPr="00C91565">
        <w:rPr>
          <w:rFonts w:ascii="Arial" w:hAnsi="Arial" w:cs="Arial"/>
          <w:i/>
          <w:iCs/>
        </w:rPr>
        <w:t xml:space="preserve">Acta </w:t>
      </w:r>
      <w:proofErr w:type="spellStart"/>
      <w:r w:rsidRPr="00C91565">
        <w:rPr>
          <w:rFonts w:ascii="Arial" w:hAnsi="Arial" w:cs="Arial"/>
          <w:i/>
          <w:iCs/>
        </w:rPr>
        <w:t>Mechanica</w:t>
      </w:r>
      <w:proofErr w:type="spellEnd"/>
      <w:r w:rsidRPr="00C91565">
        <w:rPr>
          <w:rFonts w:ascii="Arial" w:hAnsi="Arial" w:cs="Arial"/>
          <w:i/>
          <w:iCs/>
        </w:rPr>
        <w:t xml:space="preserve"> </w:t>
      </w:r>
      <w:proofErr w:type="spellStart"/>
      <w:r w:rsidRPr="00C91565">
        <w:rPr>
          <w:rFonts w:ascii="Arial" w:hAnsi="Arial" w:cs="Arial"/>
          <w:i/>
          <w:iCs/>
        </w:rPr>
        <w:t>Sinica</w:t>
      </w:r>
      <w:proofErr w:type="spellEnd"/>
      <w:r w:rsidRPr="00C91565">
        <w:rPr>
          <w:rFonts w:ascii="Arial" w:hAnsi="Arial" w:cs="Arial"/>
        </w:rPr>
        <w:t>, </w:t>
      </w:r>
      <w:r w:rsidRPr="00C91565">
        <w:rPr>
          <w:rFonts w:ascii="Arial" w:hAnsi="Arial" w:cs="Arial"/>
          <w:i/>
          <w:iCs/>
        </w:rPr>
        <w:t>36</w:t>
      </w:r>
      <w:r w:rsidRPr="00C91565">
        <w:rPr>
          <w:rFonts w:ascii="Arial" w:hAnsi="Arial" w:cs="Arial"/>
        </w:rPr>
        <w:t xml:space="preserve">(2), 367-380. </w:t>
      </w:r>
      <w:r w:rsidRPr="00C91565">
        <w:rPr>
          <w:rFonts w:ascii="Arial" w:hAnsi="Arial" w:cs="Arial"/>
          <w:b/>
          <w:bCs/>
          <w:color w:val="FF6699"/>
        </w:rPr>
        <w:t>https://doi.org/10.1007/s10409-019-00919-1</w:t>
      </w:r>
    </w:p>
    <w:p w14:paraId="394ACEF6" w14:textId="77777777" w:rsidR="0035038B" w:rsidRPr="00C91565" w:rsidRDefault="0035038B" w:rsidP="0035038B">
      <w:pPr>
        <w:jc w:val="both"/>
        <w:rPr>
          <w:rFonts w:ascii="Arial" w:hAnsi="Arial" w:cs="Arial"/>
          <w:lang w:val="en-GB"/>
        </w:rPr>
      </w:pPr>
      <w:r w:rsidRPr="00C91565">
        <w:rPr>
          <w:rFonts w:ascii="Arial" w:hAnsi="Arial" w:cs="Arial"/>
          <w:lang w:val="en-GB"/>
        </w:rPr>
        <w:t>Niblett</w:t>
      </w:r>
      <w:r w:rsidRPr="00C91565">
        <w:rPr>
          <w:rFonts w:ascii="Arial" w:hAnsi="Arial" w:cs="Arial"/>
          <w:color w:val="0070C0"/>
          <w:lang w:val="en-GB"/>
        </w:rPr>
        <w:t>,</w:t>
      </w:r>
      <w:r w:rsidRPr="00C91565">
        <w:rPr>
          <w:rFonts w:ascii="Arial" w:hAnsi="Arial" w:cs="Arial"/>
          <w:lang w:val="en-GB"/>
        </w:rPr>
        <w:t xml:space="preserve"> D., </w:t>
      </w:r>
      <w:proofErr w:type="spellStart"/>
      <w:r w:rsidRPr="00C91565">
        <w:rPr>
          <w:rFonts w:ascii="Arial" w:hAnsi="Arial" w:cs="Arial"/>
          <w:lang w:val="en-GB"/>
        </w:rPr>
        <w:t>Niasar</w:t>
      </w:r>
      <w:proofErr w:type="spellEnd"/>
      <w:r w:rsidRPr="00C91565">
        <w:rPr>
          <w:rFonts w:ascii="Arial" w:hAnsi="Arial" w:cs="Arial"/>
          <w:lang w:val="en-GB"/>
        </w:rPr>
        <w:t xml:space="preserve">, V., &amp; Holmes, S. (2019). Enhancing the performance of fuel cell gas </w:t>
      </w:r>
    </w:p>
    <w:p w14:paraId="05F27E39"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diffusion layers </w:t>
      </w:r>
      <w:proofErr w:type="gramStart"/>
      <w:r w:rsidRPr="00C91565">
        <w:rPr>
          <w:rFonts w:ascii="Arial" w:hAnsi="Arial" w:cs="Arial"/>
          <w:lang w:val="en-GB"/>
        </w:rPr>
        <w:t>using  ordered</w:t>
      </w:r>
      <w:proofErr w:type="gramEnd"/>
      <w:r w:rsidRPr="00C91565">
        <w:rPr>
          <w:rFonts w:ascii="Arial" w:hAnsi="Arial" w:cs="Arial"/>
          <w:lang w:val="en-GB"/>
        </w:rPr>
        <w:t xml:space="preserve"> microstructural design. Journal of The Electrochemical Society, 167(1), 013520. </w:t>
      </w:r>
      <w:hyperlink r:id="rId40" w:tgtFrame="_blank" w:history="1">
        <w:r w:rsidRPr="00C91565">
          <w:rPr>
            <w:rStyle w:val="Hyperlink"/>
            <w:rFonts w:ascii="Arial" w:hAnsi="Arial" w:cs="Arial"/>
            <w:lang w:val="en-GB"/>
          </w:rPr>
          <w:t>https://doi.org/10.1149/2.0202001JES</w:t>
        </w:r>
      </w:hyperlink>
    </w:p>
    <w:p w14:paraId="18E02715" w14:textId="77777777" w:rsidR="00DE5F61" w:rsidRPr="00C91565" w:rsidRDefault="0035038B" w:rsidP="00DE5F61">
      <w:pPr>
        <w:jc w:val="both"/>
        <w:rPr>
          <w:rFonts w:ascii="Arial" w:hAnsi="Arial" w:cs="Arial"/>
        </w:rPr>
      </w:pPr>
      <w:proofErr w:type="spellStart"/>
      <w:r w:rsidRPr="00C91565">
        <w:rPr>
          <w:rFonts w:ascii="Arial" w:hAnsi="Arial" w:cs="Arial"/>
        </w:rPr>
        <w:t>Nie</w:t>
      </w:r>
      <w:proofErr w:type="spellEnd"/>
      <w:r w:rsidRPr="00C91565">
        <w:rPr>
          <w:rFonts w:ascii="Arial" w:hAnsi="Arial" w:cs="Arial"/>
        </w:rPr>
        <w:t>, Y., Sun, Z., &amp; Chen, Z. (2024, July). Simulation of Water Transport in Proton Exchange</w:t>
      </w:r>
    </w:p>
    <w:p w14:paraId="500DD25B" w14:textId="327DA2ED" w:rsidR="0035038B" w:rsidRPr="00C91565" w:rsidRDefault="0035038B" w:rsidP="00DE5F61">
      <w:pPr>
        <w:ind w:left="720"/>
        <w:jc w:val="both"/>
        <w:rPr>
          <w:rFonts w:ascii="Arial" w:hAnsi="Arial" w:cs="Arial"/>
          <w:lang w:val="en-GB"/>
        </w:rPr>
      </w:pPr>
      <w:r w:rsidRPr="00C91565">
        <w:rPr>
          <w:rFonts w:ascii="Arial" w:hAnsi="Arial" w:cs="Arial"/>
        </w:rPr>
        <w:t xml:space="preserve"> Membrane Fuel Cell Using a One-dimension Model. In </w:t>
      </w:r>
      <w:r w:rsidRPr="00C91565">
        <w:rPr>
          <w:rFonts w:ascii="Arial" w:hAnsi="Arial" w:cs="Arial"/>
          <w:i/>
          <w:iCs/>
        </w:rPr>
        <w:t>2024 IEEE 25th China Conference on System Simulation Technology and its Application (CCSSTA)</w:t>
      </w:r>
      <w:r w:rsidRPr="00C91565">
        <w:rPr>
          <w:rFonts w:ascii="Arial" w:hAnsi="Arial" w:cs="Arial"/>
        </w:rPr>
        <w:t> (pp. 1-5). IEEE</w:t>
      </w:r>
      <w:r w:rsidRPr="00C91565">
        <w:rPr>
          <w:rFonts w:ascii="Arial" w:hAnsi="Arial" w:cs="Arial"/>
          <w:lang w:val="en-GB"/>
        </w:rPr>
        <w:t>. </w:t>
      </w:r>
      <w:hyperlink r:id="rId41" w:tgtFrame="_blank" w:history="1">
        <w:r w:rsidRPr="00C91565">
          <w:rPr>
            <w:rStyle w:val="Hyperlink"/>
            <w:rFonts w:ascii="Arial" w:hAnsi="Arial" w:cs="Arial"/>
            <w:lang w:val="en-GB"/>
          </w:rPr>
          <w:t>https://doi.org/</w:t>
        </w:r>
        <w:r w:rsidRPr="00C91565">
          <w:rPr>
            <w:rStyle w:val="Hyperlink"/>
            <w:rFonts w:ascii="Arial" w:hAnsi="Arial" w:cs="Arial"/>
          </w:rPr>
          <w:t>10.1109/CCSSTA62096.2024.10691739.</w:t>
        </w:r>
      </w:hyperlink>
    </w:p>
    <w:p w14:paraId="3D4BBD15"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Ozden</w:t>
      </w:r>
      <w:proofErr w:type="spellEnd"/>
      <w:r w:rsidRPr="00C91565">
        <w:rPr>
          <w:rFonts w:ascii="Arial" w:hAnsi="Arial" w:cs="Arial"/>
          <w:lang w:val="en-GB"/>
        </w:rPr>
        <w:t xml:space="preserve">, A., </w:t>
      </w:r>
      <w:proofErr w:type="spellStart"/>
      <w:r w:rsidRPr="00C91565">
        <w:rPr>
          <w:rFonts w:ascii="Arial" w:hAnsi="Arial" w:cs="Arial"/>
          <w:lang w:val="en-GB"/>
        </w:rPr>
        <w:t>Shahgaldi</w:t>
      </w:r>
      <w:proofErr w:type="spellEnd"/>
      <w:r w:rsidRPr="00C91565">
        <w:rPr>
          <w:rFonts w:ascii="Arial" w:hAnsi="Arial" w:cs="Arial"/>
          <w:lang w:val="en-GB"/>
        </w:rPr>
        <w:t xml:space="preserve">, S., Li, X., &amp; </w:t>
      </w:r>
      <w:proofErr w:type="spellStart"/>
      <w:r w:rsidRPr="00C91565">
        <w:rPr>
          <w:rFonts w:ascii="Arial" w:hAnsi="Arial" w:cs="Arial"/>
          <w:lang w:val="en-GB"/>
        </w:rPr>
        <w:t>Hamdullahpur</w:t>
      </w:r>
      <w:proofErr w:type="spellEnd"/>
      <w:r w:rsidRPr="00C91565">
        <w:rPr>
          <w:rFonts w:ascii="Arial" w:hAnsi="Arial" w:cs="Arial"/>
          <w:lang w:val="en-GB"/>
        </w:rPr>
        <w:t>, F. (2019). A review of gas diffusion layers</w:t>
      </w:r>
    </w:p>
    <w:p w14:paraId="1DA1A82C" w14:textId="77777777" w:rsidR="0035038B" w:rsidRPr="00C91565" w:rsidRDefault="0035038B" w:rsidP="0035038B">
      <w:pPr>
        <w:ind w:left="720"/>
        <w:jc w:val="both"/>
        <w:rPr>
          <w:rFonts w:ascii="Arial" w:hAnsi="Arial" w:cs="Arial"/>
          <w:lang w:val="en-GB"/>
        </w:rPr>
      </w:pPr>
      <w:r w:rsidRPr="00C91565">
        <w:rPr>
          <w:rFonts w:ascii="Arial" w:hAnsi="Arial" w:cs="Arial"/>
          <w:lang w:val="en-GB"/>
        </w:rPr>
        <w:lastRenderedPageBreak/>
        <w:t xml:space="preserve"> for proton exchange membrane fuel cells—With a focus on characteristics, characterization techniques, materials and designs. Progress in Energy and Combustion Science, 74, 50-102. </w:t>
      </w:r>
      <w:hyperlink r:id="rId42" w:tgtFrame="_blank" w:history="1">
        <w:r w:rsidRPr="00C91565">
          <w:rPr>
            <w:rStyle w:val="Hyperlink"/>
            <w:rFonts w:ascii="Arial" w:hAnsi="Arial" w:cs="Arial"/>
            <w:lang w:val="en-GB"/>
          </w:rPr>
          <w:t>https://doi.org/10.1016/j.pecs.2019.05.002</w:t>
        </w:r>
      </w:hyperlink>
    </w:p>
    <w:p w14:paraId="5DBD55C8"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Pant, L. M., Mitra, S. K., &amp; </w:t>
      </w:r>
      <w:proofErr w:type="spellStart"/>
      <w:r w:rsidRPr="00C91565">
        <w:rPr>
          <w:rFonts w:ascii="Arial" w:hAnsi="Arial" w:cs="Arial"/>
          <w:lang w:val="en-GB"/>
        </w:rPr>
        <w:t>Secanell</w:t>
      </w:r>
      <w:proofErr w:type="spellEnd"/>
      <w:r w:rsidRPr="00C91565">
        <w:rPr>
          <w:rFonts w:ascii="Arial" w:hAnsi="Arial" w:cs="Arial"/>
          <w:lang w:val="en-GB"/>
        </w:rPr>
        <w:t xml:space="preserve">, M. (2011, January). Mass transport measurements in </w:t>
      </w:r>
    </w:p>
    <w:p w14:paraId="4390C388"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porous transport layers of a PEM fuel cell. In International Conference on Nanochannels, Microchannels, and </w:t>
      </w:r>
      <w:proofErr w:type="spellStart"/>
      <w:r w:rsidRPr="00C91565">
        <w:rPr>
          <w:rFonts w:ascii="Arial" w:hAnsi="Arial" w:cs="Arial"/>
          <w:lang w:val="en-GB"/>
        </w:rPr>
        <w:t>Minichannels</w:t>
      </w:r>
      <w:proofErr w:type="spellEnd"/>
      <w:r w:rsidRPr="00C91565">
        <w:rPr>
          <w:rFonts w:ascii="Arial" w:hAnsi="Arial" w:cs="Arial"/>
          <w:lang w:val="en-GB"/>
        </w:rPr>
        <w:t xml:space="preserve"> (Vol. 44632, pp. 257-262). </w:t>
      </w:r>
      <w:hyperlink r:id="rId43" w:tgtFrame="_blank" w:history="1">
        <w:r w:rsidRPr="00C91565">
          <w:rPr>
            <w:rStyle w:val="Hyperlink"/>
            <w:rFonts w:ascii="Arial" w:hAnsi="Arial" w:cs="Arial"/>
            <w:lang w:val="en-GB"/>
          </w:rPr>
          <w:t>https://doi.org/10.1115/ICNMM2011-58181</w:t>
        </w:r>
      </w:hyperlink>
    </w:p>
    <w:p w14:paraId="0D9EAAD5" w14:textId="77777777" w:rsidR="00A7571E" w:rsidRPr="00C91565" w:rsidRDefault="0035038B" w:rsidP="00A7571E">
      <w:pPr>
        <w:jc w:val="both"/>
        <w:rPr>
          <w:rFonts w:ascii="Arial" w:hAnsi="Arial" w:cs="Arial"/>
        </w:rPr>
      </w:pPr>
      <w:r w:rsidRPr="00C91565">
        <w:rPr>
          <w:rFonts w:ascii="Arial" w:hAnsi="Arial" w:cs="Arial"/>
        </w:rPr>
        <w:t xml:space="preserve">Pant, L. M., &amp; Weber, A. Z. (2017). Communication—Modeling polymer-electrolyte fuel-cell </w:t>
      </w:r>
    </w:p>
    <w:p w14:paraId="4C93C331" w14:textId="48E4D3D0" w:rsidR="0035038B" w:rsidRPr="00C91565" w:rsidRDefault="0035038B" w:rsidP="00A7571E">
      <w:pPr>
        <w:ind w:left="720"/>
        <w:jc w:val="both"/>
        <w:rPr>
          <w:rFonts w:ascii="Arial" w:hAnsi="Arial" w:cs="Arial"/>
        </w:rPr>
      </w:pPr>
      <w:r w:rsidRPr="00C91565">
        <w:rPr>
          <w:rFonts w:ascii="Arial" w:hAnsi="Arial" w:cs="Arial"/>
        </w:rPr>
        <w:t>agglomerates with double-trap kinetics. </w:t>
      </w:r>
      <w:r w:rsidRPr="00C91565">
        <w:rPr>
          <w:rFonts w:ascii="Arial" w:hAnsi="Arial" w:cs="Arial"/>
          <w:i/>
          <w:iCs/>
        </w:rPr>
        <w:t>Journal of The Electrochemical Society</w:t>
      </w:r>
      <w:r w:rsidRPr="00C91565">
        <w:rPr>
          <w:rFonts w:ascii="Arial" w:hAnsi="Arial" w:cs="Arial"/>
        </w:rPr>
        <w:t>, </w:t>
      </w:r>
      <w:r w:rsidRPr="00C91565">
        <w:rPr>
          <w:rFonts w:ascii="Arial" w:hAnsi="Arial" w:cs="Arial"/>
          <w:i/>
          <w:iCs/>
        </w:rPr>
        <w:t>164</w:t>
      </w:r>
      <w:r w:rsidRPr="00C91565">
        <w:rPr>
          <w:rFonts w:ascii="Arial" w:hAnsi="Arial" w:cs="Arial"/>
        </w:rPr>
        <w:t>(11), E3102-E3104</w:t>
      </w:r>
      <w:proofErr w:type="gramStart"/>
      <w:r w:rsidRPr="00C91565">
        <w:rPr>
          <w:rFonts w:ascii="Arial" w:hAnsi="Arial" w:cs="Arial"/>
        </w:rPr>
        <w:t xml:space="preserve">. </w:t>
      </w:r>
      <w:r w:rsidRPr="00C91565">
        <w:rPr>
          <w:rFonts w:ascii="Arial" w:hAnsi="Arial" w:cs="Arial"/>
          <w:lang w:val="en-GB"/>
        </w:rPr>
        <w:t>)</w:t>
      </w:r>
      <w:proofErr w:type="gramEnd"/>
      <w:r w:rsidRPr="00C91565">
        <w:rPr>
          <w:rFonts w:ascii="Arial" w:hAnsi="Arial" w:cs="Arial"/>
          <w:lang w:val="en-GB"/>
        </w:rPr>
        <w:t>. </w:t>
      </w:r>
      <w:hyperlink r:id="rId44" w:tgtFrame="_blank" w:history="1">
        <w:r w:rsidRPr="000B6E73">
          <w:rPr>
            <w:rStyle w:val="Hyperlink"/>
            <w:rFonts w:ascii="Arial" w:hAnsi="Arial" w:cs="Arial"/>
          </w:rPr>
          <w:t>https://doi.org/</w:t>
        </w:r>
        <w:hyperlink r:id="rId45" w:tgtFrame="_blank" w:history="1">
          <w:r w:rsidRPr="000B6E73">
            <w:rPr>
              <w:rStyle w:val="Hyperlink"/>
              <w:rFonts w:ascii="Arial" w:hAnsi="Arial" w:cs="Arial"/>
            </w:rPr>
            <w:t>10.1149/2.0111711jes</w:t>
          </w:r>
        </w:hyperlink>
      </w:hyperlink>
    </w:p>
    <w:p w14:paraId="29446539" w14:textId="77777777" w:rsidR="001346BA" w:rsidRPr="00C91565" w:rsidRDefault="001346BA" w:rsidP="001346BA">
      <w:pPr>
        <w:rPr>
          <w:rFonts w:ascii="Arial" w:hAnsi="Arial" w:cs="Arial"/>
        </w:rPr>
      </w:pPr>
      <w:r w:rsidRPr="00C91565">
        <w:rPr>
          <w:rFonts w:ascii="Arial" w:hAnsi="Arial" w:cs="Arial"/>
        </w:rPr>
        <w:t xml:space="preserve"> Pradeep, K., Jeffery, A. A., </w:t>
      </w:r>
      <w:proofErr w:type="spellStart"/>
      <w:r w:rsidRPr="00C91565">
        <w:rPr>
          <w:rFonts w:ascii="Arial" w:hAnsi="Arial" w:cs="Arial"/>
        </w:rPr>
        <w:t>Sundaresan</w:t>
      </w:r>
      <w:proofErr w:type="spellEnd"/>
      <w:r w:rsidRPr="00C91565">
        <w:rPr>
          <w:rFonts w:ascii="Arial" w:hAnsi="Arial" w:cs="Arial"/>
        </w:rPr>
        <w:t xml:space="preserve">, A. P., </w:t>
      </w:r>
      <w:proofErr w:type="spellStart"/>
      <w:r w:rsidRPr="00C91565">
        <w:rPr>
          <w:rFonts w:ascii="Arial" w:hAnsi="Arial" w:cs="Arial"/>
        </w:rPr>
        <w:t>Gunaseelan</w:t>
      </w:r>
      <w:proofErr w:type="spellEnd"/>
      <w:r w:rsidRPr="00C91565">
        <w:rPr>
          <w:rFonts w:ascii="Arial" w:hAnsi="Arial" w:cs="Arial"/>
        </w:rPr>
        <w:t xml:space="preserve">, R., Rajendran, S., Karthik, P. </w:t>
      </w:r>
    </w:p>
    <w:p w14:paraId="0B202B1C" w14:textId="4FC0DBF8" w:rsidR="001346BA" w:rsidRPr="000B6E73" w:rsidRDefault="001346BA" w:rsidP="001346BA">
      <w:pPr>
        <w:ind w:left="720"/>
        <w:rPr>
          <w:rFonts w:ascii="Arial" w:hAnsi="Arial" w:cs="Arial"/>
        </w:rPr>
      </w:pPr>
      <w:r w:rsidRPr="00C91565">
        <w:rPr>
          <w:rFonts w:ascii="Arial" w:hAnsi="Arial" w:cs="Arial"/>
        </w:rPr>
        <w:t xml:space="preserve">E., ... &amp; Selvam, N. C. S. (2025). Impact of catalyst engineering on the durability performance of self-supported catalysts in anion exchange membrane water </w:t>
      </w:r>
      <w:proofErr w:type="spellStart"/>
      <w:r w:rsidRPr="00C91565">
        <w:rPr>
          <w:rFonts w:ascii="Arial" w:hAnsi="Arial" w:cs="Arial"/>
        </w:rPr>
        <w:t>electrolyzers</w:t>
      </w:r>
      <w:proofErr w:type="spellEnd"/>
      <w:r w:rsidRPr="00C91565">
        <w:rPr>
          <w:rFonts w:ascii="Arial" w:hAnsi="Arial" w:cs="Arial"/>
        </w:rPr>
        <w:t>: recent advances and perspectives. </w:t>
      </w:r>
      <w:r w:rsidRPr="00C91565">
        <w:rPr>
          <w:rFonts w:ascii="Arial" w:hAnsi="Arial" w:cs="Arial"/>
          <w:i/>
          <w:iCs/>
        </w:rPr>
        <w:t>Journal of Materials Chemistry A</w:t>
      </w:r>
      <w:r w:rsidRPr="00C91565">
        <w:rPr>
          <w:rFonts w:ascii="Arial" w:hAnsi="Arial" w:cs="Arial"/>
        </w:rPr>
        <w:t>, </w:t>
      </w:r>
      <w:r w:rsidRPr="00C91565">
        <w:rPr>
          <w:rFonts w:ascii="Arial" w:hAnsi="Arial" w:cs="Arial"/>
          <w:i/>
          <w:iCs/>
        </w:rPr>
        <w:t>13</w:t>
      </w:r>
      <w:r w:rsidRPr="00C91565">
        <w:rPr>
          <w:rFonts w:ascii="Arial" w:hAnsi="Arial" w:cs="Arial"/>
        </w:rPr>
        <w:t xml:space="preserve">(20), 14510-14539. </w:t>
      </w:r>
      <w:hyperlink r:id="rId46" w:tooltip="Link to landing page via DOI" w:history="1">
        <w:r w:rsidRPr="00CC0319">
          <w:rPr>
            <w:rStyle w:val="Hyperlink"/>
            <w:rFonts w:ascii="Arial" w:hAnsi="Arial" w:cs="Arial"/>
            <w:b/>
            <w:bCs/>
            <w:color w:val="FF6699"/>
          </w:rPr>
          <w:t>https://doi.org/10.1039/D5TA00208G</w:t>
        </w:r>
      </w:hyperlink>
    </w:p>
    <w:p w14:paraId="5BB40079" w14:textId="77777777" w:rsidR="0035038B" w:rsidRPr="00D95CBF" w:rsidRDefault="0035038B" w:rsidP="0035038B">
      <w:pPr>
        <w:jc w:val="both"/>
        <w:rPr>
          <w:rFonts w:ascii="Arial" w:hAnsi="Arial" w:cs="Arial"/>
        </w:rPr>
      </w:pPr>
      <w:r w:rsidRPr="000B6E73">
        <w:rPr>
          <w:rFonts w:ascii="Arial" w:hAnsi="Arial" w:cs="Arial"/>
        </w:rPr>
        <w:t xml:space="preserve">Ramaswamy, N., Gu, W., </w:t>
      </w:r>
      <w:proofErr w:type="spellStart"/>
      <w:r w:rsidRPr="000B6E73">
        <w:rPr>
          <w:rFonts w:ascii="Arial" w:hAnsi="Arial" w:cs="Arial"/>
        </w:rPr>
        <w:t>Ziegelbauer</w:t>
      </w:r>
      <w:proofErr w:type="spellEnd"/>
      <w:r w:rsidRPr="000B6E73">
        <w:rPr>
          <w:rFonts w:ascii="Arial" w:hAnsi="Arial" w:cs="Arial"/>
        </w:rPr>
        <w:t xml:space="preserve">, J. M., &amp; </w:t>
      </w:r>
      <w:proofErr w:type="spellStart"/>
      <w:r w:rsidRPr="000B6E73">
        <w:rPr>
          <w:rFonts w:ascii="Arial" w:hAnsi="Arial" w:cs="Arial"/>
        </w:rPr>
        <w:t>Kumaraguru</w:t>
      </w:r>
      <w:proofErr w:type="spellEnd"/>
      <w:r w:rsidRPr="000B6E73">
        <w:rPr>
          <w:rFonts w:ascii="Arial" w:hAnsi="Arial" w:cs="Arial"/>
        </w:rPr>
        <w:t xml:space="preserve">, S. (2020). </w:t>
      </w:r>
      <w:r w:rsidRPr="00D95CBF">
        <w:rPr>
          <w:rFonts w:ascii="Arial" w:hAnsi="Arial" w:cs="Arial"/>
        </w:rPr>
        <w:t>Carbon support</w:t>
      </w:r>
    </w:p>
    <w:p w14:paraId="2382FB59" w14:textId="77777777" w:rsidR="0035038B" w:rsidRPr="00C91565" w:rsidRDefault="0035038B" w:rsidP="0035038B">
      <w:pPr>
        <w:ind w:left="720"/>
        <w:jc w:val="both"/>
        <w:rPr>
          <w:rFonts w:ascii="Arial" w:hAnsi="Arial" w:cs="Arial"/>
        </w:rPr>
      </w:pPr>
      <w:r w:rsidRPr="00D95CBF">
        <w:rPr>
          <w:rFonts w:ascii="Arial" w:hAnsi="Arial" w:cs="Arial"/>
        </w:rPr>
        <w:t xml:space="preserve"> </w:t>
      </w:r>
      <w:proofErr w:type="gramStart"/>
      <w:r w:rsidRPr="00C91565">
        <w:rPr>
          <w:rFonts w:ascii="Arial" w:hAnsi="Arial" w:cs="Arial"/>
          <w:lang w:val="en-GB"/>
        </w:rPr>
        <w:t>microstructure  impact</w:t>
      </w:r>
      <w:proofErr w:type="gramEnd"/>
      <w:r w:rsidRPr="00C91565">
        <w:rPr>
          <w:rFonts w:ascii="Arial" w:hAnsi="Arial" w:cs="Arial"/>
          <w:lang w:val="en-GB"/>
        </w:rPr>
        <w:t xml:space="preserve"> on high current density transport resistances in PEMFC cathode. Journal of The Electrochemical Society, 167(6), 064515. </w:t>
      </w:r>
      <w:hyperlink r:id="rId47" w:tgtFrame="_blank" w:history="1">
        <w:r w:rsidRPr="00C91565">
          <w:rPr>
            <w:rStyle w:val="Hyperlink"/>
            <w:rFonts w:ascii="Arial" w:hAnsi="Arial" w:cs="Arial"/>
            <w:lang w:val="en-GB"/>
          </w:rPr>
          <w:t>https://doi.org/10.1149/1945-7111/ab819c</w:t>
        </w:r>
      </w:hyperlink>
    </w:p>
    <w:p w14:paraId="563742E5" w14:textId="77777777" w:rsidR="00A7571E" w:rsidRPr="00C91565" w:rsidRDefault="0035038B" w:rsidP="00A7571E">
      <w:pPr>
        <w:jc w:val="both"/>
        <w:rPr>
          <w:rFonts w:ascii="Arial" w:hAnsi="Arial" w:cs="Arial"/>
        </w:rPr>
      </w:pPr>
      <w:proofErr w:type="spellStart"/>
      <w:r w:rsidRPr="00C91565">
        <w:rPr>
          <w:rFonts w:ascii="Arial" w:hAnsi="Arial" w:cs="Arial"/>
        </w:rPr>
        <w:t>Ruan</w:t>
      </w:r>
      <w:proofErr w:type="spellEnd"/>
      <w:r w:rsidRPr="00C91565">
        <w:rPr>
          <w:rFonts w:ascii="Arial" w:hAnsi="Arial" w:cs="Arial"/>
        </w:rPr>
        <w:t xml:space="preserve">, L., Rybak, I. A Hybrid-Dimensional Stokes–Brinkman–Darcy Model for Arbitrary Flows </w:t>
      </w:r>
    </w:p>
    <w:p w14:paraId="2F1F60B4" w14:textId="4B389EF7" w:rsidR="0035038B" w:rsidRPr="00C91565" w:rsidRDefault="0035038B" w:rsidP="00A7571E">
      <w:pPr>
        <w:ind w:left="720"/>
        <w:jc w:val="both"/>
        <w:rPr>
          <w:rFonts w:ascii="Arial" w:hAnsi="Arial" w:cs="Arial"/>
        </w:rPr>
      </w:pPr>
      <w:r w:rsidRPr="00C91565">
        <w:rPr>
          <w:rFonts w:ascii="Arial" w:hAnsi="Arial" w:cs="Arial"/>
        </w:rPr>
        <w:t>to the Fluid–Porous Interface. </w:t>
      </w:r>
      <w:proofErr w:type="spellStart"/>
      <w:r w:rsidRPr="00C91565">
        <w:rPr>
          <w:rFonts w:ascii="Arial" w:hAnsi="Arial" w:cs="Arial"/>
          <w:i/>
          <w:iCs/>
        </w:rPr>
        <w:t>Transp</w:t>
      </w:r>
      <w:proofErr w:type="spellEnd"/>
      <w:r w:rsidRPr="00C91565">
        <w:rPr>
          <w:rFonts w:ascii="Arial" w:hAnsi="Arial" w:cs="Arial"/>
          <w:i/>
          <w:iCs/>
        </w:rPr>
        <w:t xml:space="preserve"> Porous Med</w:t>
      </w:r>
      <w:r w:rsidRPr="00C91565">
        <w:rPr>
          <w:rFonts w:ascii="Arial" w:hAnsi="Arial" w:cs="Arial"/>
        </w:rPr>
        <w:t> </w:t>
      </w:r>
      <w:r w:rsidRPr="00C91565">
        <w:rPr>
          <w:rFonts w:ascii="Arial" w:hAnsi="Arial" w:cs="Arial"/>
          <w:b/>
          <w:bCs/>
        </w:rPr>
        <w:t>152</w:t>
      </w:r>
      <w:r w:rsidRPr="00C91565">
        <w:rPr>
          <w:rFonts w:ascii="Arial" w:hAnsi="Arial" w:cs="Arial"/>
        </w:rPr>
        <w:t xml:space="preserve">, 75 (2025). </w:t>
      </w:r>
      <w:hyperlink r:id="rId48" w:history="1">
        <w:r w:rsidRPr="00C91565">
          <w:rPr>
            <w:rStyle w:val="Hyperlink"/>
            <w:rFonts w:ascii="Arial" w:hAnsi="Arial" w:cs="Arial"/>
          </w:rPr>
          <w:t>https://doi.org/10.1007/s11242-025-02220-1</w:t>
        </w:r>
      </w:hyperlink>
    </w:p>
    <w:p w14:paraId="61CDA571" w14:textId="77777777" w:rsidR="0035038B" w:rsidRPr="00C91565" w:rsidRDefault="0035038B" w:rsidP="0035038B">
      <w:pPr>
        <w:jc w:val="both"/>
        <w:rPr>
          <w:rFonts w:ascii="Arial" w:hAnsi="Arial" w:cs="Arial"/>
          <w:lang w:val="en-GB"/>
        </w:rPr>
      </w:pPr>
    </w:p>
    <w:p w14:paraId="2950C7E7"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Santamaria, A. D., Das, P. K., MacDonald, J. C., &amp; Weber, A. Z. (2014). Liquid-water </w:t>
      </w:r>
    </w:p>
    <w:p w14:paraId="1B11B952" w14:textId="77777777" w:rsidR="0035038B" w:rsidRPr="00C91565" w:rsidRDefault="0035038B" w:rsidP="0035038B">
      <w:pPr>
        <w:ind w:left="720"/>
        <w:jc w:val="both"/>
        <w:rPr>
          <w:rFonts w:ascii="Arial" w:hAnsi="Arial" w:cs="Arial"/>
        </w:rPr>
      </w:pPr>
      <w:r w:rsidRPr="00C91565">
        <w:rPr>
          <w:rFonts w:ascii="Arial" w:hAnsi="Arial" w:cs="Arial"/>
          <w:lang w:val="en-GB"/>
        </w:rPr>
        <w:t>interactions with gas-diffusion-layer surfaces. Journal of The Electrochemical Society, 161(12), F1184. </w:t>
      </w:r>
      <w:hyperlink r:id="rId49" w:tgtFrame="_blank" w:history="1">
        <w:r w:rsidRPr="00C91565">
          <w:rPr>
            <w:rStyle w:val="Hyperlink"/>
            <w:rFonts w:ascii="Arial" w:hAnsi="Arial" w:cs="Arial"/>
            <w:lang w:val="en-GB"/>
          </w:rPr>
          <w:t>https://doi.org/10.1149/2.0321412jes</w:t>
        </w:r>
      </w:hyperlink>
    </w:p>
    <w:p w14:paraId="4970A0E1" w14:textId="77777777" w:rsidR="00F72DC1" w:rsidRPr="00C91565" w:rsidRDefault="0035038B" w:rsidP="00F72DC1">
      <w:pPr>
        <w:jc w:val="both"/>
        <w:rPr>
          <w:rFonts w:ascii="Arial" w:hAnsi="Arial" w:cs="Arial"/>
        </w:rPr>
      </w:pPr>
      <w:r w:rsidRPr="00C91565">
        <w:rPr>
          <w:rFonts w:ascii="Arial" w:hAnsi="Arial" w:cs="Arial"/>
        </w:rPr>
        <w:t xml:space="preserve">Shu, Q. Z., Xia, Z. X., Wei, W., Xu, X. L., Wang, S. L., Zhao, H., &amp; Sun, G. Q. (2021). A </w:t>
      </w:r>
    </w:p>
    <w:p w14:paraId="05A592F9" w14:textId="7DE15B18" w:rsidR="0035038B" w:rsidRPr="00C91565" w:rsidRDefault="0035038B" w:rsidP="00F72DC1">
      <w:pPr>
        <w:ind w:left="720"/>
        <w:jc w:val="both"/>
        <w:rPr>
          <w:rFonts w:ascii="Arial" w:hAnsi="Arial" w:cs="Arial"/>
          <w:lang w:val="en-GB"/>
        </w:rPr>
      </w:pPr>
      <w:r w:rsidRPr="00C91565">
        <w:rPr>
          <w:rFonts w:ascii="Arial" w:hAnsi="Arial" w:cs="Arial"/>
        </w:rPr>
        <w:t>novel gas diffusion layer and its application to direct methanol fuel cells. </w:t>
      </w:r>
      <w:r w:rsidRPr="00C91565">
        <w:rPr>
          <w:rFonts w:ascii="Arial" w:hAnsi="Arial" w:cs="Arial"/>
          <w:i/>
          <w:iCs/>
        </w:rPr>
        <w:t>New Carbon Materials</w:t>
      </w:r>
      <w:r w:rsidRPr="00C91565">
        <w:rPr>
          <w:rFonts w:ascii="Arial" w:hAnsi="Arial" w:cs="Arial"/>
        </w:rPr>
        <w:t>, </w:t>
      </w:r>
      <w:r w:rsidRPr="00C91565">
        <w:rPr>
          <w:rFonts w:ascii="Arial" w:hAnsi="Arial" w:cs="Arial"/>
          <w:i/>
          <w:iCs/>
        </w:rPr>
        <w:t>36</w:t>
      </w:r>
      <w:r w:rsidRPr="00C91565">
        <w:rPr>
          <w:rFonts w:ascii="Arial" w:hAnsi="Arial" w:cs="Arial"/>
        </w:rPr>
        <w:t>(2), 409-419.</w:t>
      </w:r>
      <w:r w:rsidRPr="00C91565">
        <w:rPr>
          <w:rFonts w:ascii="Arial" w:hAnsi="Arial" w:cs="Arial"/>
          <w:lang w:val="en-GB"/>
        </w:rPr>
        <w:t xml:space="preserve">  </w:t>
      </w:r>
      <w:hyperlink r:id="rId50" w:tgtFrame="_blank" w:history="1">
        <w:r w:rsidRPr="00C91565">
          <w:rPr>
            <w:rStyle w:val="Hyperlink"/>
            <w:rFonts w:ascii="Arial" w:hAnsi="Arial" w:cs="Arial"/>
            <w:lang w:val="en-GB"/>
          </w:rPr>
          <w:t>https://doi.org/</w:t>
        </w:r>
        <w:r w:rsidRPr="00C91565">
          <w:rPr>
            <w:rStyle w:val="Hyperlink"/>
            <w:rFonts w:ascii="Arial" w:hAnsi="Arial" w:cs="Arial"/>
          </w:rPr>
          <w:t>10.1016/s1872-5805(21)60017-3</w:t>
        </w:r>
      </w:hyperlink>
    </w:p>
    <w:p w14:paraId="3C041FD7" w14:textId="77777777" w:rsidR="0035038B" w:rsidRPr="00C91565" w:rsidRDefault="0035038B" w:rsidP="0035038B">
      <w:pPr>
        <w:jc w:val="both"/>
        <w:rPr>
          <w:rFonts w:ascii="Arial" w:hAnsi="Arial" w:cs="Arial"/>
          <w:lang w:val="en-GB"/>
        </w:rPr>
      </w:pPr>
      <w:proofErr w:type="spellStart"/>
      <w:r w:rsidRPr="00C91565">
        <w:rPr>
          <w:rFonts w:ascii="Arial" w:hAnsi="Arial" w:cs="Arial"/>
          <w:lang w:val="en-GB"/>
        </w:rPr>
        <w:t>Tayarani-Yoosefabadi</w:t>
      </w:r>
      <w:proofErr w:type="spellEnd"/>
      <w:r w:rsidRPr="00C91565">
        <w:rPr>
          <w:rFonts w:ascii="Arial" w:hAnsi="Arial" w:cs="Arial"/>
          <w:lang w:val="en-GB"/>
        </w:rPr>
        <w:t xml:space="preserve">, Z., Harvey, D., Bellerive, J., &amp; </w:t>
      </w:r>
      <w:proofErr w:type="spellStart"/>
      <w:r w:rsidRPr="00C91565">
        <w:rPr>
          <w:rFonts w:ascii="Arial" w:hAnsi="Arial" w:cs="Arial"/>
          <w:lang w:val="en-GB"/>
        </w:rPr>
        <w:t>Kjeang</w:t>
      </w:r>
      <w:proofErr w:type="spellEnd"/>
      <w:r w:rsidRPr="00C91565">
        <w:rPr>
          <w:rFonts w:ascii="Arial" w:hAnsi="Arial" w:cs="Arial"/>
          <w:lang w:val="en-GB"/>
        </w:rPr>
        <w:t xml:space="preserve">, E. (2016). Stochastic </w:t>
      </w:r>
    </w:p>
    <w:p w14:paraId="05465C97" w14:textId="77777777" w:rsidR="0035038B" w:rsidRPr="00C91565" w:rsidRDefault="0035038B" w:rsidP="0035038B">
      <w:pPr>
        <w:ind w:left="720"/>
        <w:jc w:val="both"/>
        <w:rPr>
          <w:rFonts w:ascii="Arial" w:hAnsi="Arial" w:cs="Arial"/>
          <w:lang w:val="en-GB"/>
        </w:rPr>
      </w:pPr>
      <w:r w:rsidRPr="00C91565">
        <w:rPr>
          <w:rFonts w:ascii="Arial" w:hAnsi="Arial" w:cs="Arial"/>
          <w:lang w:val="en-GB"/>
        </w:rPr>
        <w:t xml:space="preserve">microstructural </w:t>
      </w:r>
      <w:proofErr w:type="spellStart"/>
      <w:r w:rsidRPr="00C91565">
        <w:rPr>
          <w:rFonts w:ascii="Arial" w:hAnsi="Arial" w:cs="Arial"/>
          <w:lang w:val="en-GB"/>
        </w:rPr>
        <w:t>modeling</w:t>
      </w:r>
      <w:proofErr w:type="spellEnd"/>
      <w:r w:rsidRPr="00C91565">
        <w:rPr>
          <w:rFonts w:ascii="Arial" w:hAnsi="Arial" w:cs="Arial"/>
          <w:lang w:val="en-GB"/>
        </w:rPr>
        <w:t xml:space="preserve"> of fuel cell gas diffusion layers and numerical determination of transport properties in different liquid water saturation levels. Journal of Power Sources, 303, 208-221. </w:t>
      </w:r>
      <w:hyperlink r:id="rId51" w:tgtFrame="_blank" w:history="1">
        <w:r w:rsidRPr="00C91565">
          <w:rPr>
            <w:rStyle w:val="Hyperlink"/>
            <w:rFonts w:ascii="Arial" w:hAnsi="Arial" w:cs="Arial"/>
            <w:lang w:val="en-GB"/>
          </w:rPr>
          <w:t>https://doi.org/10.1016/j.jpowsour.2015.11.005</w:t>
        </w:r>
      </w:hyperlink>
    </w:p>
    <w:p w14:paraId="775ACC64"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Ullah, A., Ahmad, S., Ali, T., </w:t>
      </w:r>
      <w:proofErr w:type="spellStart"/>
      <w:r w:rsidRPr="00C91565">
        <w:rPr>
          <w:rFonts w:ascii="Arial" w:hAnsi="Arial" w:cs="Arial"/>
          <w:lang w:val="en-GB"/>
        </w:rPr>
        <w:t>Samreen</w:t>
      </w:r>
      <w:proofErr w:type="spellEnd"/>
      <w:r w:rsidRPr="00C91565">
        <w:rPr>
          <w:rFonts w:ascii="Arial" w:hAnsi="Arial" w:cs="Arial"/>
          <w:lang w:val="en-GB"/>
        </w:rPr>
        <w:t xml:space="preserve">, A., </w:t>
      </w:r>
      <w:proofErr w:type="spellStart"/>
      <w:r w:rsidRPr="00C91565">
        <w:rPr>
          <w:rFonts w:ascii="Arial" w:hAnsi="Arial" w:cs="Arial"/>
          <w:lang w:val="en-GB"/>
        </w:rPr>
        <w:t>Saher</w:t>
      </w:r>
      <w:proofErr w:type="spellEnd"/>
      <w:r w:rsidRPr="00C91565">
        <w:rPr>
          <w:rFonts w:ascii="Arial" w:hAnsi="Arial" w:cs="Arial"/>
          <w:lang w:val="en-GB"/>
        </w:rPr>
        <w:t xml:space="preserve">, S., </w:t>
      </w:r>
      <w:proofErr w:type="spellStart"/>
      <w:r w:rsidRPr="00C91565">
        <w:rPr>
          <w:rFonts w:ascii="Arial" w:hAnsi="Arial" w:cs="Arial"/>
          <w:lang w:val="en-GB"/>
        </w:rPr>
        <w:t>Arif</w:t>
      </w:r>
      <w:proofErr w:type="spellEnd"/>
      <w:r w:rsidRPr="00C91565">
        <w:rPr>
          <w:rFonts w:ascii="Arial" w:hAnsi="Arial" w:cs="Arial"/>
          <w:lang w:val="en-GB"/>
        </w:rPr>
        <w:t>, M. Z., &amp; Kannan, A. M. (2026).</w:t>
      </w:r>
    </w:p>
    <w:p w14:paraId="716019BA" w14:textId="77777777" w:rsidR="0035038B" w:rsidRPr="00C91565" w:rsidRDefault="0035038B" w:rsidP="0035038B">
      <w:pPr>
        <w:ind w:left="720"/>
        <w:jc w:val="both"/>
        <w:rPr>
          <w:rFonts w:ascii="Arial" w:hAnsi="Arial" w:cs="Arial"/>
          <w:lang w:val="en-GB"/>
        </w:rPr>
      </w:pPr>
      <w:r w:rsidRPr="00C91565">
        <w:rPr>
          <w:rFonts w:ascii="Arial" w:hAnsi="Arial" w:cs="Arial"/>
          <w:lang w:val="en-GB"/>
        </w:rPr>
        <w:t xml:space="preserve"> Advanced fabrication strategies for Durable, High-Efficiency, and scalable solid oxide fuel cells. Fuel, 407, 137515. </w:t>
      </w:r>
      <w:hyperlink r:id="rId52" w:tgtFrame="_blank" w:history="1">
        <w:r w:rsidRPr="00C91565">
          <w:rPr>
            <w:rStyle w:val="Hyperlink"/>
            <w:rFonts w:ascii="Arial" w:hAnsi="Arial" w:cs="Arial"/>
            <w:lang w:val="en-GB"/>
          </w:rPr>
          <w:t>https://doi.org/10.1016/j.fuel.2025.137515</w:t>
        </w:r>
      </w:hyperlink>
    </w:p>
    <w:p w14:paraId="0EC7E916" w14:textId="77777777" w:rsidR="0035038B" w:rsidRPr="00C91565" w:rsidRDefault="0035038B" w:rsidP="0035038B">
      <w:pPr>
        <w:ind w:left="720"/>
        <w:jc w:val="both"/>
        <w:rPr>
          <w:rFonts w:ascii="Arial" w:hAnsi="Arial" w:cs="Arial"/>
          <w:lang w:val="en-GB"/>
        </w:rPr>
      </w:pPr>
      <w:r w:rsidRPr="00C91565">
        <w:rPr>
          <w:rFonts w:ascii="Arial" w:hAnsi="Arial" w:cs="Arial"/>
          <w:lang w:val="en-GB"/>
        </w:rPr>
        <w:t>Wang, C. Y. (2004). Fundamental models for fuel cell engineering. Chemical Reviews, 104(10), 4727-</w:t>
      </w:r>
    </w:p>
    <w:p w14:paraId="2645B5DA" w14:textId="77777777" w:rsidR="0035038B" w:rsidRPr="00C91565" w:rsidRDefault="0035038B" w:rsidP="0035038B">
      <w:pPr>
        <w:spacing w:line="259" w:lineRule="auto"/>
        <w:ind w:firstLine="720"/>
        <w:jc w:val="both"/>
        <w:rPr>
          <w:rFonts w:ascii="Arial" w:hAnsi="Arial" w:cs="Arial"/>
          <w:lang w:val="en-GB"/>
        </w:rPr>
      </w:pPr>
      <w:r w:rsidRPr="00C91565">
        <w:rPr>
          <w:rFonts w:ascii="Arial" w:hAnsi="Arial" w:cs="Arial"/>
          <w:lang w:val="en-GB"/>
        </w:rPr>
        <w:t>4766. </w:t>
      </w:r>
      <w:hyperlink r:id="rId53" w:tgtFrame="_blank" w:history="1">
        <w:r w:rsidRPr="00C91565">
          <w:rPr>
            <w:rStyle w:val="Hyperlink"/>
            <w:rFonts w:ascii="Arial" w:hAnsi="Arial" w:cs="Arial"/>
            <w:lang w:val="en-GB"/>
          </w:rPr>
          <w:t>https://doi.org/10.1021/cr020718s</w:t>
        </w:r>
      </w:hyperlink>
    </w:p>
    <w:p w14:paraId="5B5E4343"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Wang, Y., &amp; Wang, S. (2017). Evaluation and </w:t>
      </w:r>
      <w:proofErr w:type="spellStart"/>
      <w:r w:rsidRPr="00C91565">
        <w:rPr>
          <w:rFonts w:ascii="Arial" w:hAnsi="Arial" w:cs="Arial"/>
          <w:lang w:val="en-GB"/>
        </w:rPr>
        <w:t>modeling</w:t>
      </w:r>
      <w:proofErr w:type="spellEnd"/>
      <w:r w:rsidRPr="00C91565">
        <w:rPr>
          <w:rFonts w:ascii="Arial" w:hAnsi="Arial" w:cs="Arial"/>
          <w:lang w:val="en-GB"/>
        </w:rPr>
        <w:t xml:space="preserve"> of PEM fuel cells with the </w:t>
      </w:r>
    </w:p>
    <w:p w14:paraId="4A473DBA" w14:textId="77777777" w:rsidR="0035038B" w:rsidRPr="00C91565" w:rsidRDefault="0035038B" w:rsidP="0035038B">
      <w:pPr>
        <w:ind w:left="720"/>
        <w:jc w:val="both"/>
        <w:rPr>
          <w:rFonts w:ascii="Arial" w:hAnsi="Arial" w:cs="Arial"/>
        </w:rPr>
      </w:pPr>
      <w:r w:rsidRPr="00C91565">
        <w:rPr>
          <w:rFonts w:ascii="Arial" w:hAnsi="Arial" w:cs="Arial"/>
          <w:lang w:val="en-GB"/>
        </w:rPr>
        <w:t>Bruggeman correlation under various tortuosity factors. International Journal of Heat and Mass Transfer, 105, 18-23. </w:t>
      </w:r>
      <w:hyperlink r:id="rId54" w:tgtFrame="_blank" w:history="1">
        <w:r w:rsidRPr="00C91565">
          <w:rPr>
            <w:rStyle w:val="Hyperlink"/>
            <w:rFonts w:ascii="Arial" w:hAnsi="Arial" w:cs="Arial"/>
          </w:rPr>
          <w:t>https://doi.org/10.1016/j.ijheatmasstransfer.2016.09.030</w:t>
        </w:r>
      </w:hyperlink>
    </w:p>
    <w:p w14:paraId="462CD916" w14:textId="77777777" w:rsidR="00E93DB6" w:rsidRPr="00C91565" w:rsidRDefault="0035038B" w:rsidP="00E93DB6">
      <w:pPr>
        <w:jc w:val="both"/>
        <w:rPr>
          <w:rFonts w:ascii="Arial" w:hAnsi="Arial" w:cs="Arial"/>
        </w:rPr>
      </w:pPr>
      <w:r w:rsidRPr="00C91565">
        <w:rPr>
          <w:rFonts w:ascii="Arial" w:hAnsi="Arial" w:cs="Arial"/>
        </w:rPr>
        <w:t xml:space="preserve">Wang, L. S., &amp; Haile, S. M. (2024). From Fundamental Interfacial Reaction Kinetics to </w:t>
      </w:r>
    </w:p>
    <w:p w14:paraId="711F0A45" w14:textId="60A8C8D1" w:rsidR="0035038B" w:rsidRPr="00C91565" w:rsidRDefault="0035038B" w:rsidP="00E93DB6">
      <w:pPr>
        <w:ind w:left="720"/>
        <w:jc w:val="both"/>
        <w:rPr>
          <w:rFonts w:ascii="Arial" w:hAnsi="Arial" w:cs="Arial"/>
        </w:rPr>
      </w:pPr>
      <w:r w:rsidRPr="00C91565">
        <w:rPr>
          <w:rFonts w:ascii="Arial" w:hAnsi="Arial" w:cs="Arial"/>
        </w:rPr>
        <w:t>Macroscopic Current–Voltage Characteristics: Case Study of Solid Acid Fuel Cell Limitations and Possibilities. </w:t>
      </w:r>
      <w:r w:rsidRPr="00C91565">
        <w:rPr>
          <w:rFonts w:ascii="Arial" w:hAnsi="Arial" w:cs="Arial"/>
          <w:i/>
          <w:iCs/>
        </w:rPr>
        <w:t>Advanced Materials Interfaces</w:t>
      </w:r>
      <w:r w:rsidRPr="00C91565">
        <w:rPr>
          <w:rFonts w:ascii="Arial" w:hAnsi="Arial" w:cs="Arial"/>
        </w:rPr>
        <w:t>, </w:t>
      </w:r>
      <w:r w:rsidRPr="00C91565">
        <w:rPr>
          <w:rFonts w:ascii="Arial" w:hAnsi="Arial" w:cs="Arial"/>
          <w:i/>
          <w:iCs/>
        </w:rPr>
        <w:t>11</w:t>
      </w:r>
      <w:r w:rsidRPr="00C91565">
        <w:rPr>
          <w:rFonts w:ascii="Arial" w:hAnsi="Arial" w:cs="Arial"/>
        </w:rPr>
        <w:t xml:space="preserve">(20), 2400119. </w:t>
      </w:r>
      <w:hyperlink r:id="rId55" w:tgtFrame="_blank" w:history="1">
        <w:r w:rsidRPr="00C91565">
          <w:rPr>
            <w:rStyle w:val="Hyperlink"/>
            <w:rFonts w:ascii="Arial" w:hAnsi="Arial" w:cs="Arial"/>
          </w:rPr>
          <w:t>https://doi.org/</w:t>
        </w:r>
        <w:hyperlink r:id="rId56" w:tgtFrame="_blank" w:history="1">
          <w:r w:rsidRPr="00C91565">
            <w:rPr>
              <w:rStyle w:val="Hyperlink"/>
              <w:rFonts w:ascii="Arial" w:hAnsi="Arial" w:cs="Arial"/>
            </w:rPr>
            <w:t>10.1002/admi.202400119</w:t>
          </w:r>
        </w:hyperlink>
      </w:hyperlink>
    </w:p>
    <w:p w14:paraId="4ED9FA64" w14:textId="77777777" w:rsidR="0035038B" w:rsidRPr="00C91565" w:rsidRDefault="0035038B" w:rsidP="0035038B">
      <w:pPr>
        <w:jc w:val="both"/>
        <w:rPr>
          <w:rFonts w:ascii="Arial" w:hAnsi="Arial" w:cs="Arial"/>
          <w:lang w:val="en-GB"/>
        </w:rPr>
      </w:pPr>
    </w:p>
    <w:p w14:paraId="1B67BBF3" w14:textId="77777777" w:rsidR="0035038B" w:rsidRPr="00C91565" w:rsidRDefault="0035038B" w:rsidP="0035038B">
      <w:pPr>
        <w:jc w:val="both"/>
        <w:rPr>
          <w:rFonts w:ascii="Arial" w:hAnsi="Arial" w:cs="Arial"/>
          <w:lang w:val="en-GB"/>
        </w:rPr>
      </w:pPr>
      <w:r w:rsidRPr="00C91565">
        <w:rPr>
          <w:rFonts w:ascii="Arial" w:hAnsi="Arial" w:cs="Arial"/>
          <w:lang w:val="en-GB"/>
        </w:rPr>
        <w:t xml:space="preserve">Xiao, L., </w:t>
      </w:r>
      <w:proofErr w:type="spellStart"/>
      <w:r w:rsidRPr="00C91565">
        <w:rPr>
          <w:rFonts w:ascii="Arial" w:hAnsi="Arial" w:cs="Arial"/>
          <w:lang w:val="en-GB"/>
        </w:rPr>
        <w:t>Bian</w:t>
      </w:r>
      <w:proofErr w:type="spellEnd"/>
      <w:r w:rsidRPr="00C91565">
        <w:rPr>
          <w:rFonts w:ascii="Arial" w:hAnsi="Arial" w:cs="Arial"/>
          <w:lang w:val="en-GB"/>
        </w:rPr>
        <w:t xml:space="preserve">, M., Zhu, L., </w:t>
      </w:r>
      <w:proofErr w:type="spellStart"/>
      <w:r w:rsidRPr="00C91565">
        <w:rPr>
          <w:rFonts w:ascii="Arial" w:hAnsi="Arial" w:cs="Arial"/>
          <w:lang w:val="en-GB"/>
        </w:rPr>
        <w:t>Duan</w:t>
      </w:r>
      <w:proofErr w:type="spellEnd"/>
      <w:r w:rsidRPr="00C91565">
        <w:rPr>
          <w:rFonts w:ascii="Arial" w:hAnsi="Arial" w:cs="Arial"/>
          <w:lang w:val="en-GB"/>
        </w:rPr>
        <w:t xml:space="preserve">, K., </w:t>
      </w:r>
      <w:proofErr w:type="spellStart"/>
      <w:r w:rsidRPr="00C91565">
        <w:rPr>
          <w:rFonts w:ascii="Arial" w:hAnsi="Arial" w:cs="Arial"/>
          <w:lang w:val="en-GB"/>
        </w:rPr>
        <w:t>Leng</w:t>
      </w:r>
      <w:proofErr w:type="spellEnd"/>
      <w:r w:rsidRPr="00C91565">
        <w:rPr>
          <w:rFonts w:ascii="Arial" w:hAnsi="Arial" w:cs="Arial"/>
          <w:lang w:val="en-GB"/>
        </w:rPr>
        <w:t xml:space="preserve">, W., </w:t>
      </w:r>
      <w:proofErr w:type="spellStart"/>
      <w:r w:rsidRPr="00C91565">
        <w:rPr>
          <w:rFonts w:ascii="Arial" w:hAnsi="Arial" w:cs="Arial"/>
          <w:lang w:val="en-GB"/>
        </w:rPr>
        <w:t>Zeis</w:t>
      </w:r>
      <w:proofErr w:type="spellEnd"/>
      <w:r w:rsidRPr="00C91565">
        <w:rPr>
          <w:rFonts w:ascii="Arial" w:hAnsi="Arial" w:cs="Arial"/>
          <w:lang w:val="en-GB"/>
        </w:rPr>
        <w:t xml:space="preserve">, </w:t>
      </w:r>
      <w:proofErr w:type="gramStart"/>
      <w:r w:rsidRPr="00C91565">
        <w:rPr>
          <w:rFonts w:ascii="Arial" w:hAnsi="Arial" w:cs="Arial"/>
          <w:lang w:val="en-GB"/>
        </w:rPr>
        <w:t>R.,...</w:t>
      </w:r>
      <w:proofErr w:type="gramEnd"/>
      <w:r w:rsidRPr="00C91565">
        <w:rPr>
          <w:rFonts w:ascii="Arial" w:hAnsi="Arial" w:cs="Arial"/>
          <w:lang w:val="en-GB"/>
        </w:rPr>
        <w:t xml:space="preserve"> &amp; Zhang, H. (2022). High-density </w:t>
      </w:r>
    </w:p>
    <w:p w14:paraId="75A22926" w14:textId="77777777" w:rsidR="0035038B" w:rsidRPr="00C91565" w:rsidRDefault="0035038B" w:rsidP="0035038B">
      <w:pPr>
        <w:ind w:left="720"/>
        <w:jc w:val="both"/>
        <w:rPr>
          <w:rFonts w:ascii="Arial" w:hAnsi="Arial" w:cs="Arial"/>
          <w:lang w:val="en-GB"/>
        </w:rPr>
      </w:pPr>
      <w:r w:rsidRPr="00C91565">
        <w:rPr>
          <w:rFonts w:ascii="Arial" w:hAnsi="Arial" w:cs="Arial"/>
          <w:lang w:val="en-GB"/>
        </w:rPr>
        <w:t>and low-</w:t>
      </w:r>
      <w:proofErr w:type="gramStart"/>
      <w:r w:rsidRPr="00C91565">
        <w:rPr>
          <w:rFonts w:ascii="Arial" w:hAnsi="Arial" w:cs="Arial"/>
          <w:lang w:val="en-GB"/>
        </w:rPr>
        <w:t>density  gas</w:t>
      </w:r>
      <w:proofErr w:type="gramEnd"/>
      <w:r w:rsidRPr="00C91565">
        <w:rPr>
          <w:rFonts w:ascii="Arial" w:hAnsi="Arial" w:cs="Arial"/>
          <w:lang w:val="en-GB"/>
        </w:rPr>
        <w:t xml:space="preserve"> diffusion layers for proton exchange membrane fuel cells: Comparison of mechanical and transport properties. International Journal of Hydrogen Energy, 47(53), 22532-22544. </w:t>
      </w:r>
      <w:hyperlink r:id="rId57" w:tgtFrame="_blank" w:history="1">
        <w:r w:rsidRPr="00C91565">
          <w:rPr>
            <w:rStyle w:val="Hyperlink"/>
            <w:rFonts w:ascii="Arial" w:hAnsi="Arial" w:cs="Arial"/>
            <w:lang w:val="en-GB"/>
          </w:rPr>
          <w:t>https://doi.org/10.1016/j.ijhydene.2022.05.092</w:t>
        </w:r>
      </w:hyperlink>
    </w:p>
    <w:p w14:paraId="691188C5" w14:textId="77777777" w:rsidR="0035038B" w:rsidRPr="00C91565" w:rsidRDefault="0035038B" w:rsidP="0035038B">
      <w:pPr>
        <w:jc w:val="both"/>
        <w:rPr>
          <w:rFonts w:ascii="Arial" w:hAnsi="Arial" w:cs="Arial"/>
          <w:lang w:val="en-GB"/>
        </w:rPr>
      </w:pPr>
      <w:r w:rsidRPr="00C91565">
        <w:rPr>
          <w:rFonts w:ascii="Arial" w:hAnsi="Arial" w:cs="Arial"/>
          <w:lang w:val="en-GB"/>
        </w:rPr>
        <w:lastRenderedPageBreak/>
        <w:t xml:space="preserve">Yang, W., Zhu, L., Wang, S., Yin, Z., Xiao, L., Shao, </w:t>
      </w:r>
      <w:proofErr w:type="gramStart"/>
      <w:r w:rsidRPr="00C91565">
        <w:rPr>
          <w:rFonts w:ascii="Arial" w:hAnsi="Arial" w:cs="Arial"/>
          <w:lang w:val="en-GB"/>
        </w:rPr>
        <w:t>Q.,...</w:t>
      </w:r>
      <w:proofErr w:type="gramEnd"/>
      <w:r w:rsidRPr="00C91565">
        <w:rPr>
          <w:rFonts w:ascii="Arial" w:hAnsi="Arial" w:cs="Arial"/>
          <w:lang w:val="en-GB"/>
        </w:rPr>
        <w:t xml:space="preserve"> &amp; Sui, P. C. (2022). Investigation</w:t>
      </w:r>
    </w:p>
    <w:p w14:paraId="60B8D20B" w14:textId="77777777" w:rsidR="0035038B" w:rsidRDefault="0035038B" w:rsidP="0035038B">
      <w:pPr>
        <w:ind w:left="720"/>
        <w:jc w:val="both"/>
        <w:rPr>
          <w:rFonts w:ascii="Arial" w:hAnsi="Arial" w:cs="Arial"/>
          <w:color w:val="FF6699"/>
        </w:rPr>
      </w:pPr>
      <w:r w:rsidRPr="00C91565">
        <w:rPr>
          <w:rFonts w:ascii="Arial" w:hAnsi="Arial" w:cs="Arial"/>
          <w:lang w:val="en-GB"/>
        </w:rPr>
        <w:t xml:space="preserve"> of fabrication of gas diffusion substrate for proton exchange membrane fuel cells. International Journal of Hydrogen Energy, 47(83), 35423-35436.</w:t>
      </w:r>
      <w:r w:rsidRPr="00C91565">
        <w:rPr>
          <w:rFonts w:ascii="Arial" w:hAnsi="Arial" w:cs="Arial"/>
          <w:color w:val="FF6699"/>
          <w:lang w:val="en-GB"/>
        </w:rPr>
        <w:t> </w:t>
      </w:r>
      <w:hyperlink r:id="rId58" w:tgtFrame="_blank" w:history="1">
        <w:r w:rsidRPr="000B6E73">
          <w:rPr>
            <w:rStyle w:val="Hyperlink"/>
            <w:rFonts w:ascii="Arial" w:hAnsi="Arial" w:cs="Arial"/>
            <w:color w:val="FF6699"/>
          </w:rPr>
          <w:t>https://doi.org/10.1016/j.ijhydene.2022.08.094</w:t>
        </w:r>
      </w:hyperlink>
    </w:p>
    <w:p w14:paraId="19A444F3" w14:textId="77777777" w:rsidR="00C91565" w:rsidRPr="00C91565" w:rsidRDefault="00C91565" w:rsidP="00C91565">
      <w:pPr>
        <w:rPr>
          <w:rFonts w:ascii="Arial" w:hAnsi="Arial" w:cs="Arial"/>
        </w:rPr>
      </w:pPr>
      <w:r w:rsidRPr="00C91565">
        <w:rPr>
          <w:rFonts w:ascii="Arial" w:hAnsi="Arial" w:cs="Arial"/>
        </w:rPr>
        <w:t xml:space="preserve">Yang, H., </w:t>
      </w:r>
      <w:proofErr w:type="spellStart"/>
      <w:r w:rsidRPr="00C91565">
        <w:rPr>
          <w:rFonts w:ascii="Arial" w:hAnsi="Arial" w:cs="Arial"/>
        </w:rPr>
        <w:t>Driess</w:t>
      </w:r>
      <w:proofErr w:type="spellEnd"/>
      <w:r w:rsidRPr="00C91565">
        <w:rPr>
          <w:rFonts w:ascii="Arial" w:hAnsi="Arial" w:cs="Arial"/>
        </w:rPr>
        <w:t>, M., &amp; Menezes, P. W. (2021). Self</w:t>
      </w:r>
      <w:r w:rsidRPr="00C91565">
        <w:rPr>
          <w:rFonts w:ascii="Cambria Math" w:hAnsi="Cambria Math" w:cs="Cambria Math"/>
        </w:rPr>
        <w:t>‐</w:t>
      </w:r>
      <w:r w:rsidRPr="00C91565">
        <w:rPr>
          <w:rFonts w:ascii="Arial" w:hAnsi="Arial" w:cs="Arial"/>
        </w:rPr>
        <w:t xml:space="preserve">supported electrocatalysts for practical </w:t>
      </w:r>
    </w:p>
    <w:p w14:paraId="66711397" w14:textId="052C9030" w:rsidR="00C91565" w:rsidRPr="00C91565" w:rsidRDefault="00C91565" w:rsidP="00C91565">
      <w:pPr>
        <w:ind w:left="720"/>
        <w:rPr>
          <w:rFonts w:ascii="Arial" w:hAnsi="Arial" w:cs="Arial"/>
        </w:rPr>
      </w:pPr>
      <w:r w:rsidRPr="00C91565">
        <w:rPr>
          <w:rFonts w:ascii="Arial" w:hAnsi="Arial" w:cs="Arial"/>
        </w:rPr>
        <w:t>water electrolysis. </w:t>
      </w:r>
      <w:r w:rsidRPr="00C91565">
        <w:rPr>
          <w:rFonts w:ascii="Arial" w:hAnsi="Arial" w:cs="Arial"/>
          <w:i/>
          <w:iCs/>
        </w:rPr>
        <w:t>Advanced energy materials</w:t>
      </w:r>
      <w:r w:rsidRPr="00C91565">
        <w:rPr>
          <w:rFonts w:ascii="Arial" w:hAnsi="Arial" w:cs="Arial"/>
        </w:rPr>
        <w:t>, </w:t>
      </w:r>
      <w:r w:rsidRPr="00C91565">
        <w:rPr>
          <w:rFonts w:ascii="Arial" w:hAnsi="Arial" w:cs="Arial"/>
          <w:i/>
          <w:iCs/>
        </w:rPr>
        <w:t>11</w:t>
      </w:r>
      <w:r w:rsidRPr="00C91565">
        <w:rPr>
          <w:rFonts w:ascii="Arial" w:hAnsi="Arial" w:cs="Arial"/>
        </w:rPr>
        <w:t xml:space="preserve">(39), 2102074. </w:t>
      </w:r>
      <w:hyperlink r:id="rId59" w:history="1">
        <w:r w:rsidRPr="00C91565">
          <w:rPr>
            <w:rStyle w:val="Hyperlink"/>
            <w:rFonts w:ascii="Arial" w:hAnsi="Arial" w:cs="Arial"/>
            <w:b/>
            <w:bCs/>
          </w:rPr>
          <w:t>h</w:t>
        </w:r>
        <w:r w:rsidRPr="00C91565">
          <w:rPr>
            <w:rStyle w:val="Hyperlink"/>
            <w:rFonts w:ascii="Arial" w:hAnsi="Arial" w:cs="Arial"/>
            <w:b/>
            <w:bCs/>
            <w:color w:val="FF6699"/>
          </w:rPr>
          <w:t>ttps://doi.org/10.1002/aenm.202102074Digital Object Identifier (DOI)</w:t>
        </w:r>
      </w:hyperlink>
    </w:p>
    <w:p w14:paraId="4C82E57A" w14:textId="77777777" w:rsidR="00C91565" w:rsidRPr="00C91565" w:rsidRDefault="00C91565" w:rsidP="00C91565">
      <w:pPr>
        <w:jc w:val="both"/>
        <w:rPr>
          <w:rFonts w:ascii="Arial" w:hAnsi="Arial" w:cs="Arial"/>
        </w:rPr>
      </w:pPr>
    </w:p>
    <w:p w14:paraId="2D5EE017" w14:textId="77777777" w:rsidR="0035038B" w:rsidRPr="00C91565" w:rsidRDefault="0035038B" w:rsidP="0035038B">
      <w:pPr>
        <w:jc w:val="both"/>
        <w:rPr>
          <w:rFonts w:ascii="Arial" w:hAnsi="Arial" w:cs="Arial"/>
          <w:lang w:val="en-GB"/>
        </w:rPr>
      </w:pPr>
      <w:r w:rsidRPr="00C91565">
        <w:rPr>
          <w:rFonts w:ascii="Arial" w:hAnsi="Arial" w:cs="Arial"/>
          <w:lang w:val="fr-FR"/>
        </w:rPr>
        <w:t xml:space="preserve">Yu, Z., Carter, R. N., &amp; Zhang, J. (2012). </w:t>
      </w:r>
      <w:r w:rsidRPr="00C91565">
        <w:rPr>
          <w:rFonts w:ascii="Arial" w:hAnsi="Arial" w:cs="Arial"/>
          <w:lang w:val="en-GB"/>
        </w:rPr>
        <w:t xml:space="preserve">Measurements of pore size distribution, porosity, </w:t>
      </w:r>
    </w:p>
    <w:p w14:paraId="2BC7A201" w14:textId="77777777" w:rsidR="0035038B" w:rsidRPr="00C91565" w:rsidRDefault="0035038B" w:rsidP="0035038B">
      <w:pPr>
        <w:ind w:left="720"/>
        <w:jc w:val="both"/>
        <w:rPr>
          <w:rFonts w:ascii="Arial" w:hAnsi="Arial" w:cs="Arial"/>
          <w:lang w:val="fr-FR"/>
        </w:rPr>
      </w:pPr>
      <w:r w:rsidRPr="00C91565">
        <w:rPr>
          <w:rFonts w:ascii="Arial" w:hAnsi="Arial" w:cs="Arial"/>
          <w:lang w:val="en-GB"/>
        </w:rPr>
        <w:t xml:space="preserve">effective oxygen diffusivity, and tortuosity of PEM fuel cell electrodes. </w:t>
      </w:r>
      <w:r w:rsidRPr="00C91565">
        <w:rPr>
          <w:rFonts w:ascii="Arial" w:hAnsi="Arial" w:cs="Arial"/>
          <w:lang w:val="fr-FR"/>
        </w:rPr>
        <w:t xml:space="preserve">Fuel </w:t>
      </w:r>
      <w:proofErr w:type="spellStart"/>
      <w:r w:rsidRPr="00C91565">
        <w:rPr>
          <w:rFonts w:ascii="Arial" w:hAnsi="Arial" w:cs="Arial"/>
          <w:lang w:val="fr-FR"/>
        </w:rPr>
        <w:t>Cells</w:t>
      </w:r>
      <w:proofErr w:type="spellEnd"/>
      <w:r w:rsidRPr="00C91565">
        <w:rPr>
          <w:rFonts w:ascii="Arial" w:hAnsi="Arial" w:cs="Arial"/>
          <w:lang w:val="fr-FR"/>
        </w:rPr>
        <w:t>, 12(4), 557-565. </w:t>
      </w:r>
      <w:hyperlink r:id="rId60" w:tgtFrame="_blank" w:history="1">
        <w:r w:rsidRPr="00C91565">
          <w:rPr>
            <w:rStyle w:val="Hyperlink"/>
            <w:rFonts w:ascii="Arial" w:hAnsi="Arial" w:cs="Arial"/>
            <w:lang w:val="fr-FR"/>
          </w:rPr>
          <w:t>https://doi.org/10.1002/fuce.201200017</w:t>
        </w:r>
      </w:hyperlink>
    </w:p>
    <w:p w14:paraId="249EDD6D" w14:textId="77777777" w:rsidR="0035038B" w:rsidRPr="00C91565" w:rsidRDefault="0035038B" w:rsidP="0035038B">
      <w:pPr>
        <w:jc w:val="both"/>
        <w:rPr>
          <w:rFonts w:ascii="Arial" w:hAnsi="Arial" w:cs="Arial"/>
          <w:lang w:val="en-GB"/>
        </w:rPr>
      </w:pPr>
      <w:r w:rsidRPr="00C91565">
        <w:rPr>
          <w:rFonts w:ascii="Arial" w:hAnsi="Arial" w:cs="Arial"/>
          <w:lang w:val="fr-FR"/>
        </w:rPr>
        <w:t>Zhang</w:t>
      </w:r>
      <w:r w:rsidRPr="00C91565">
        <w:rPr>
          <w:rFonts w:ascii="Arial" w:hAnsi="Arial" w:cs="Arial"/>
          <w:color w:val="0070C0"/>
          <w:lang w:val="fr-FR"/>
        </w:rPr>
        <w:t>,</w:t>
      </w:r>
      <w:r w:rsidRPr="00C91565">
        <w:rPr>
          <w:rFonts w:ascii="Arial" w:hAnsi="Arial" w:cs="Arial"/>
          <w:lang w:val="fr-FR"/>
        </w:rPr>
        <w:t xml:space="preserve"> H., Rahman, M. A., </w:t>
      </w:r>
      <w:proofErr w:type="spellStart"/>
      <w:r w:rsidRPr="00C91565">
        <w:rPr>
          <w:rFonts w:ascii="Arial" w:hAnsi="Arial" w:cs="Arial"/>
          <w:lang w:val="fr-FR"/>
        </w:rPr>
        <w:t>Mojica</w:t>
      </w:r>
      <w:proofErr w:type="spellEnd"/>
      <w:r w:rsidRPr="00C91565">
        <w:rPr>
          <w:rFonts w:ascii="Arial" w:hAnsi="Arial" w:cs="Arial"/>
          <w:lang w:val="fr-FR"/>
        </w:rPr>
        <w:t xml:space="preserve">, F., Sui, P. C., &amp; </w:t>
      </w:r>
      <w:proofErr w:type="spellStart"/>
      <w:r w:rsidRPr="00C91565">
        <w:rPr>
          <w:rFonts w:ascii="Arial" w:hAnsi="Arial" w:cs="Arial"/>
          <w:lang w:val="fr-FR"/>
        </w:rPr>
        <w:t>Chuang</w:t>
      </w:r>
      <w:proofErr w:type="spellEnd"/>
      <w:r w:rsidRPr="00C91565">
        <w:rPr>
          <w:rFonts w:ascii="Arial" w:hAnsi="Arial" w:cs="Arial"/>
          <w:lang w:val="fr-FR"/>
        </w:rPr>
        <w:t xml:space="preserve">, P. Y. A. (2021). </w:t>
      </w:r>
      <w:r w:rsidRPr="00C91565">
        <w:rPr>
          <w:rFonts w:ascii="Arial" w:hAnsi="Arial" w:cs="Arial"/>
          <w:lang w:val="en-GB"/>
        </w:rPr>
        <w:t xml:space="preserve">A </w:t>
      </w:r>
    </w:p>
    <w:p w14:paraId="7DA168FF" w14:textId="77777777" w:rsidR="0035038B" w:rsidRPr="00C91565" w:rsidRDefault="0035038B" w:rsidP="0035038B">
      <w:pPr>
        <w:ind w:left="720"/>
        <w:jc w:val="both"/>
        <w:rPr>
          <w:rFonts w:ascii="Arial" w:hAnsi="Arial" w:cs="Arial"/>
        </w:rPr>
      </w:pPr>
      <w:r w:rsidRPr="00C91565">
        <w:rPr>
          <w:rFonts w:ascii="Arial" w:hAnsi="Arial" w:cs="Arial"/>
          <w:lang w:val="en-GB"/>
        </w:rPr>
        <w:t xml:space="preserve">comprehensive two-phase proton exchange membrane fuel cell model coupled with anisotropic properties and mechanical deformation of the gas diffusion layer. </w:t>
      </w:r>
      <w:proofErr w:type="spellStart"/>
      <w:r w:rsidRPr="00C91565">
        <w:rPr>
          <w:rFonts w:ascii="Arial" w:hAnsi="Arial" w:cs="Arial"/>
          <w:lang w:val="en-GB"/>
        </w:rPr>
        <w:t>Electrochimica</w:t>
      </w:r>
      <w:proofErr w:type="spellEnd"/>
      <w:r w:rsidRPr="00C91565">
        <w:rPr>
          <w:rFonts w:ascii="Arial" w:hAnsi="Arial" w:cs="Arial"/>
          <w:lang w:val="en-GB"/>
        </w:rPr>
        <w:t xml:space="preserve"> Acta, 382, 138273. </w:t>
      </w:r>
      <w:hyperlink r:id="rId61" w:tgtFrame="_blank" w:history="1">
        <w:r w:rsidRPr="00C91565">
          <w:rPr>
            <w:rStyle w:val="Hyperlink"/>
            <w:rFonts w:ascii="Arial" w:hAnsi="Arial" w:cs="Arial"/>
            <w:lang w:val="en-GB"/>
          </w:rPr>
          <w:t>https://doi.org/10.1016/j.electacta.2021.138273</w:t>
        </w:r>
      </w:hyperlink>
    </w:p>
    <w:p w14:paraId="18D2E8A5" w14:textId="77777777" w:rsidR="00F72DC1" w:rsidRPr="00C91565" w:rsidRDefault="0035038B" w:rsidP="00F72DC1">
      <w:pPr>
        <w:jc w:val="both"/>
        <w:rPr>
          <w:rFonts w:ascii="Arial" w:hAnsi="Arial" w:cs="Arial"/>
        </w:rPr>
      </w:pPr>
      <w:r w:rsidRPr="00C91565">
        <w:rPr>
          <w:rFonts w:ascii="Arial" w:hAnsi="Arial" w:cs="Arial"/>
        </w:rPr>
        <w:t xml:space="preserve">Zhang, W., Lu, X., </w:t>
      </w:r>
      <w:proofErr w:type="spellStart"/>
      <w:r w:rsidRPr="00C91565">
        <w:rPr>
          <w:rFonts w:ascii="Arial" w:hAnsi="Arial" w:cs="Arial"/>
        </w:rPr>
        <w:t>Bück</w:t>
      </w:r>
      <w:proofErr w:type="spellEnd"/>
      <w:r w:rsidRPr="00C91565">
        <w:rPr>
          <w:rFonts w:ascii="Arial" w:hAnsi="Arial" w:cs="Arial"/>
        </w:rPr>
        <w:t xml:space="preserve">, A., He, Z., </w:t>
      </w:r>
      <w:proofErr w:type="spellStart"/>
      <w:r w:rsidRPr="00C91565">
        <w:rPr>
          <w:rFonts w:ascii="Arial" w:hAnsi="Arial" w:cs="Arial"/>
        </w:rPr>
        <w:t>Tsotsas</w:t>
      </w:r>
      <w:proofErr w:type="spellEnd"/>
      <w:r w:rsidRPr="00C91565">
        <w:rPr>
          <w:rFonts w:ascii="Arial" w:hAnsi="Arial" w:cs="Arial"/>
        </w:rPr>
        <w:t xml:space="preserve">, E., &amp; Jiang, Z. (2025). Pore network simulation </w:t>
      </w:r>
    </w:p>
    <w:p w14:paraId="7E6D9755" w14:textId="7F55C77C" w:rsidR="0035038B" w:rsidRPr="00C91565" w:rsidRDefault="0035038B" w:rsidP="00F72DC1">
      <w:pPr>
        <w:ind w:left="720"/>
        <w:jc w:val="both"/>
        <w:rPr>
          <w:rFonts w:ascii="Arial" w:hAnsi="Arial" w:cs="Arial"/>
          <w:lang w:val="en-GB"/>
        </w:rPr>
      </w:pPr>
      <w:r w:rsidRPr="00C91565">
        <w:rPr>
          <w:rFonts w:ascii="Arial" w:hAnsi="Arial" w:cs="Arial"/>
        </w:rPr>
        <w:t>of HT-PEMFC GDL using radical Voronoi tessellation: Analysis of oxygen, phosphoric acid solution, and charge transport. </w:t>
      </w:r>
      <w:r w:rsidRPr="00C91565">
        <w:rPr>
          <w:rFonts w:ascii="Arial" w:hAnsi="Arial" w:cs="Arial"/>
          <w:i/>
          <w:iCs/>
        </w:rPr>
        <w:t>International Journal of Heat and Mass Transfer</w:t>
      </w:r>
      <w:r w:rsidRPr="00C91565">
        <w:rPr>
          <w:rFonts w:ascii="Arial" w:hAnsi="Arial" w:cs="Arial"/>
        </w:rPr>
        <w:t>, </w:t>
      </w:r>
      <w:r w:rsidRPr="00C91565">
        <w:rPr>
          <w:rFonts w:ascii="Arial" w:hAnsi="Arial" w:cs="Arial"/>
          <w:i/>
          <w:iCs/>
        </w:rPr>
        <w:t>246</w:t>
      </w:r>
      <w:r w:rsidRPr="00C91565">
        <w:rPr>
          <w:rFonts w:ascii="Arial" w:hAnsi="Arial" w:cs="Arial"/>
        </w:rPr>
        <w:t xml:space="preserve">, 127025. </w:t>
      </w:r>
      <w:hyperlink r:id="rId62" w:tgtFrame="_blank" w:tooltip="Persistent link using digital object identifier" w:history="1">
        <w:r w:rsidRPr="00C91565">
          <w:rPr>
            <w:rStyle w:val="Hyperlink"/>
            <w:rFonts w:ascii="Arial" w:hAnsi="Arial" w:cs="Arial"/>
          </w:rPr>
          <w:t>https://doi.org/10.1016/j.ijheatmasstransfer.2025.127025</w:t>
        </w:r>
      </w:hyperlink>
    </w:p>
    <w:p w14:paraId="4D538C04" w14:textId="77777777" w:rsidR="0035038B" w:rsidRPr="00C91565" w:rsidRDefault="0035038B" w:rsidP="0035038B">
      <w:pPr>
        <w:rPr>
          <w:rFonts w:ascii="Arial" w:hAnsi="Arial" w:cs="Arial"/>
        </w:rPr>
      </w:pPr>
    </w:p>
    <w:p w14:paraId="4326980E" w14:textId="77777777" w:rsidR="006A51DB" w:rsidRPr="00C91565" w:rsidRDefault="006A51DB" w:rsidP="00D54953">
      <w:pPr>
        <w:pStyle w:val="16FigureCaptionMultipleLine"/>
        <w:rPr>
          <w:rFonts w:ascii="Arial" w:hAnsi="Arial" w:cs="Arial"/>
          <w:b/>
          <w:bCs/>
          <w:i w:val="0"/>
          <w:iCs/>
          <w:sz w:val="22"/>
          <w:szCs w:val="22"/>
        </w:rPr>
      </w:pPr>
    </w:p>
    <w:p w14:paraId="6A2095F7" w14:textId="77777777" w:rsidR="000433FA" w:rsidRPr="00C91565" w:rsidRDefault="000433FA" w:rsidP="00441B6F">
      <w:pPr>
        <w:pStyle w:val="Body"/>
        <w:spacing w:after="0"/>
        <w:rPr>
          <w:rFonts w:ascii="Arial" w:hAnsi="Arial" w:cs="Arial"/>
        </w:rPr>
      </w:pPr>
    </w:p>
    <w:sectPr w:rsidR="000433FA" w:rsidRPr="00C91565" w:rsidSect="004E30A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20BB2" w14:textId="77777777" w:rsidR="002832C6" w:rsidRDefault="002832C6" w:rsidP="00C37E61">
      <w:r>
        <w:separator/>
      </w:r>
    </w:p>
  </w:endnote>
  <w:endnote w:type="continuationSeparator" w:id="0">
    <w:p w14:paraId="64BE4F12" w14:textId="77777777" w:rsidR="002832C6" w:rsidRDefault="002832C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4C3E1" w14:textId="77777777" w:rsidR="004E30AA" w:rsidRDefault="004E3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82FD" w14:textId="77777777" w:rsidR="004E30AA" w:rsidRDefault="004E30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A387" w14:textId="77777777" w:rsidR="009E048A" w:rsidRDefault="009E048A">
    <w:pPr>
      <w:pStyle w:val="Footer"/>
      <w:rPr>
        <w:rFonts w:ascii="Arial" w:hAnsi="Arial" w:cs="Arial"/>
        <w:sz w:val="16"/>
      </w:rPr>
    </w:pPr>
  </w:p>
  <w:p w14:paraId="1AF24E3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CAF0AC3" w14:textId="77777777" w:rsidR="009E048A" w:rsidRDefault="009E048A">
    <w:pPr>
      <w:pStyle w:val="Footer"/>
      <w:rPr>
        <w:rFonts w:ascii="Arial" w:hAnsi="Arial" w:cs="Arial"/>
        <w:sz w:val="16"/>
      </w:rPr>
    </w:pPr>
  </w:p>
  <w:p w14:paraId="423CCDE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BDF21" w14:textId="77777777" w:rsidR="002832C6" w:rsidRDefault="002832C6" w:rsidP="00C37E61">
      <w:r>
        <w:separator/>
      </w:r>
    </w:p>
  </w:footnote>
  <w:footnote w:type="continuationSeparator" w:id="0">
    <w:p w14:paraId="4D8B1053" w14:textId="77777777" w:rsidR="002832C6" w:rsidRDefault="002832C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7AC7B" w14:textId="0B937DAD" w:rsidR="004E30AA" w:rsidRDefault="004E30AA">
    <w:pPr>
      <w:pStyle w:val="Header"/>
    </w:pPr>
    <w:r>
      <w:rPr>
        <w:noProof/>
      </w:rPr>
      <w:pict w14:anchorId="5BC0B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294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EDBF" w14:textId="38B0E45B" w:rsidR="004E30AA" w:rsidRDefault="004E30AA">
    <w:pPr>
      <w:pStyle w:val="Header"/>
    </w:pPr>
    <w:r>
      <w:rPr>
        <w:noProof/>
      </w:rPr>
      <w:pict w14:anchorId="4F924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294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8F72" w14:textId="779323AD" w:rsidR="00296529" w:rsidRPr="00296529" w:rsidRDefault="004E30AA" w:rsidP="00296529">
    <w:pPr>
      <w:ind w:left="2160"/>
      <w:jc w:val="center"/>
      <w:rPr>
        <w:rFonts w:ascii="Times New Roman" w:eastAsia="Calibri" w:hAnsi="Times New Roman"/>
        <w:i/>
        <w:sz w:val="18"/>
        <w:szCs w:val="22"/>
      </w:rPr>
    </w:pPr>
    <w:r>
      <w:rPr>
        <w:noProof/>
      </w:rPr>
      <w:pict w14:anchorId="0E2D3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294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7403A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7BDAFA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098A0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00933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1BB38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C38EF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F16CB"/>
    <w:multiLevelType w:val="hybridMultilevel"/>
    <w:tmpl w:val="295E7894"/>
    <w:lvl w:ilvl="0" w:tplc="B45E1EA0">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0039"/>
    <w:rsid w:val="000205C6"/>
    <w:rsid w:val="00026D0F"/>
    <w:rsid w:val="00030174"/>
    <w:rsid w:val="000433FA"/>
    <w:rsid w:val="0004579C"/>
    <w:rsid w:val="00062A85"/>
    <w:rsid w:val="00065E46"/>
    <w:rsid w:val="00066E60"/>
    <w:rsid w:val="000A47FA"/>
    <w:rsid w:val="000A65D3"/>
    <w:rsid w:val="000B1E33"/>
    <w:rsid w:val="000B6E73"/>
    <w:rsid w:val="000D689F"/>
    <w:rsid w:val="000E7B7B"/>
    <w:rsid w:val="000E7D62"/>
    <w:rsid w:val="00103357"/>
    <w:rsid w:val="00123C9F"/>
    <w:rsid w:val="00126190"/>
    <w:rsid w:val="00130F17"/>
    <w:rsid w:val="001320BF"/>
    <w:rsid w:val="00133785"/>
    <w:rsid w:val="001346BA"/>
    <w:rsid w:val="00163BC4"/>
    <w:rsid w:val="00177E5A"/>
    <w:rsid w:val="001834C1"/>
    <w:rsid w:val="00191062"/>
    <w:rsid w:val="00192B72"/>
    <w:rsid w:val="001A29D8"/>
    <w:rsid w:val="001A5CAA"/>
    <w:rsid w:val="001B0427"/>
    <w:rsid w:val="001D3A51"/>
    <w:rsid w:val="001E10D2"/>
    <w:rsid w:val="001E25B4"/>
    <w:rsid w:val="001E44FE"/>
    <w:rsid w:val="001F53C9"/>
    <w:rsid w:val="00200595"/>
    <w:rsid w:val="00204835"/>
    <w:rsid w:val="00212F69"/>
    <w:rsid w:val="00231920"/>
    <w:rsid w:val="0023195C"/>
    <w:rsid w:val="00237338"/>
    <w:rsid w:val="0024282C"/>
    <w:rsid w:val="002460DC"/>
    <w:rsid w:val="00250985"/>
    <w:rsid w:val="002556F6"/>
    <w:rsid w:val="0027353B"/>
    <w:rsid w:val="00283105"/>
    <w:rsid w:val="002832C6"/>
    <w:rsid w:val="00284C4C"/>
    <w:rsid w:val="00287E68"/>
    <w:rsid w:val="00296529"/>
    <w:rsid w:val="002A2C34"/>
    <w:rsid w:val="002A50F7"/>
    <w:rsid w:val="002B27FB"/>
    <w:rsid w:val="002B685A"/>
    <w:rsid w:val="002C57D2"/>
    <w:rsid w:val="002D58B0"/>
    <w:rsid w:val="002E0D56"/>
    <w:rsid w:val="002F3976"/>
    <w:rsid w:val="002F7637"/>
    <w:rsid w:val="00315186"/>
    <w:rsid w:val="0033343E"/>
    <w:rsid w:val="0035038B"/>
    <w:rsid w:val="003512C2"/>
    <w:rsid w:val="00353991"/>
    <w:rsid w:val="00370A2C"/>
    <w:rsid w:val="00371FB6"/>
    <w:rsid w:val="003763C1"/>
    <w:rsid w:val="00376BBE"/>
    <w:rsid w:val="0039224F"/>
    <w:rsid w:val="003A2D5C"/>
    <w:rsid w:val="003A43A4"/>
    <w:rsid w:val="003A7E18"/>
    <w:rsid w:val="003C4C86"/>
    <w:rsid w:val="003C6258"/>
    <w:rsid w:val="003D1172"/>
    <w:rsid w:val="003D2074"/>
    <w:rsid w:val="003E2904"/>
    <w:rsid w:val="00401927"/>
    <w:rsid w:val="0041027F"/>
    <w:rsid w:val="00412437"/>
    <w:rsid w:val="00412475"/>
    <w:rsid w:val="00423789"/>
    <w:rsid w:val="00423C96"/>
    <w:rsid w:val="00440F43"/>
    <w:rsid w:val="00440F9B"/>
    <w:rsid w:val="00441B6F"/>
    <w:rsid w:val="00446221"/>
    <w:rsid w:val="00450E62"/>
    <w:rsid w:val="004539DB"/>
    <w:rsid w:val="00471A80"/>
    <w:rsid w:val="004B322C"/>
    <w:rsid w:val="004D305E"/>
    <w:rsid w:val="004D4277"/>
    <w:rsid w:val="004E2185"/>
    <w:rsid w:val="004E30AA"/>
    <w:rsid w:val="00502516"/>
    <w:rsid w:val="00505F06"/>
    <w:rsid w:val="00506828"/>
    <w:rsid w:val="0051100D"/>
    <w:rsid w:val="0053056E"/>
    <w:rsid w:val="00554FDA"/>
    <w:rsid w:val="005869F5"/>
    <w:rsid w:val="0059506F"/>
    <w:rsid w:val="005A2AA9"/>
    <w:rsid w:val="005C784C"/>
    <w:rsid w:val="005D0C09"/>
    <w:rsid w:val="005D17F6"/>
    <w:rsid w:val="005E5539"/>
    <w:rsid w:val="00602BF5"/>
    <w:rsid w:val="006112B2"/>
    <w:rsid w:val="00616528"/>
    <w:rsid w:val="00617FDD"/>
    <w:rsid w:val="00631A90"/>
    <w:rsid w:val="00633614"/>
    <w:rsid w:val="00633F68"/>
    <w:rsid w:val="00636EB2"/>
    <w:rsid w:val="006375B8"/>
    <w:rsid w:val="0066510A"/>
    <w:rsid w:val="00667493"/>
    <w:rsid w:val="00673F9F"/>
    <w:rsid w:val="0067497D"/>
    <w:rsid w:val="00686953"/>
    <w:rsid w:val="00687DEA"/>
    <w:rsid w:val="00687E67"/>
    <w:rsid w:val="006967F7"/>
    <w:rsid w:val="006A250C"/>
    <w:rsid w:val="006A51DB"/>
    <w:rsid w:val="006B1392"/>
    <w:rsid w:val="006B21D3"/>
    <w:rsid w:val="006B57D0"/>
    <w:rsid w:val="006D30FF"/>
    <w:rsid w:val="006D6940"/>
    <w:rsid w:val="006E3887"/>
    <w:rsid w:val="006F11EC"/>
    <w:rsid w:val="0070082C"/>
    <w:rsid w:val="0071526A"/>
    <w:rsid w:val="007369E6"/>
    <w:rsid w:val="00746E59"/>
    <w:rsid w:val="00754C9A"/>
    <w:rsid w:val="0075599A"/>
    <w:rsid w:val="00761D52"/>
    <w:rsid w:val="0077749E"/>
    <w:rsid w:val="00787B4A"/>
    <w:rsid w:val="00790ADA"/>
    <w:rsid w:val="007B02A6"/>
    <w:rsid w:val="007D2288"/>
    <w:rsid w:val="007E088F"/>
    <w:rsid w:val="007F7B32"/>
    <w:rsid w:val="00804BC2"/>
    <w:rsid w:val="00805FB1"/>
    <w:rsid w:val="0081431A"/>
    <w:rsid w:val="0083216F"/>
    <w:rsid w:val="00860000"/>
    <w:rsid w:val="00863BD3"/>
    <w:rsid w:val="008641ED"/>
    <w:rsid w:val="00866D66"/>
    <w:rsid w:val="008671C6"/>
    <w:rsid w:val="00875803"/>
    <w:rsid w:val="008B459E"/>
    <w:rsid w:val="008B50A8"/>
    <w:rsid w:val="008C6649"/>
    <w:rsid w:val="008E13AE"/>
    <w:rsid w:val="008E143D"/>
    <w:rsid w:val="008E1506"/>
    <w:rsid w:val="008E1EF4"/>
    <w:rsid w:val="008E710C"/>
    <w:rsid w:val="008F0E68"/>
    <w:rsid w:val="008F69D6"/>
    <w:rsid w:val="00902823"/>
    <w:rsid w:val="00915CA6"/>
    <w:rsid w:val="00927834"/>
    <w:rsid w:val="00933E25"/>
    <w:rsid w:val="009500A6"/>
    <w:rsid w:val="00957C18"/>
    <w:rsid w:val="009659BA"/>
    <w:rsid w:val="009762E7"/>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067"/>
    <w:rsid w:val="00A51431"/>
    <w:rsid w:val="00A539AD"/>
    <w:rsid w:val="00A7571E"/>
    <w:rsid w:val="00A94063"/>
    <w:rsid w:val="00AA6219"/>
    <w:rsid w:val="00AA74E0"/>
    <w:rsid w:val="00AB703F"/>
    <w:rsid w:val="00AC6BB8"/>
    <w:rsid w:val="00AE008F"/>
    <w:rsid w:val="00B01FCD"/>
    <w:rsid w:val="00B07B27"/>
    <w:rsid w:val="00B1776C"/>
    <w:rsid w:val="00B25571"/>
    <w:rsid w:val="00B2739C"/>
    <w:rsid w:val="00B341B1"/>
    <w:rsid w:val="00B36797"/>
    <w:rsid w:val="00B42998"/>
    <w:rsid w:val="00B52583"/>
    <w:rsid w:val="00B52896"/>
    <w:rsid w:val="00B57DB8"/>
    <w:rsid w:val="00B63640"/>
    <w:rsid w:val="00B95236"/>
    <w:rsid w:val="00B96BD9"/>
    <w:rsid w:val="00BA1B01"/>
    <w:rsid w:val="00BA2641"/>
    <w:rsid w:val="00BB37AA"/>
    <w:rsid w:val="00BC53A0"/>
    <w:rsid w:val="00BC76CA"/>
    <w:rsid w:val="00BE62AD"/>
    <w:rsid w:val="00BF121F"/>
    <w:rsid w:val="00BF1F80"/>
    <w:rsid w:val="00BF74AB"/>
    <w:rsid w:val="00C166EF"/>
    <w:rsid w:val="00C17EB0"/>
    <w:rsid w:val="00C204A2"/>
    <w:rsid w:val="00C27F5F"/>
    <w:rsid w:val="00C30A0F"/>
    <w:rsid w:val="00C37E61"/>
    <w:rsid w:val="00C66BC6"/>
    <w:rsid w:val="00C70F1B"/>
    <w:rsid w:val="00C71A47"/>
    <w:rsid w:val="00C7464C"/>
    <w:rsid w:val="00C85588"/>
    <w:rsid w:val="00C91565"/>
    <w:rsid w:val="00CD6755"/>
    <w:rsid w:val="00CD6856"/>
    <w:rsid w:val="00CE0089"/>
    <w:rsid w:val="00CE793C"/>
    <w:rsid w:val="00CF193C"/>
    <w:rsid w:val="00D173F1"/>
    <w:rsid w:val="00D54953"/>
    <w:rsid w:val="00D74CB0"/>
    <w:rsid w:val="00D8295D"/>
    <w:rsid w:val="00D95CBF"/>
    <w:rsid w:val="00D974D7"/>
    <w:rsid w:val="00DC2A65"/>
    <w:rsid w:val="00DE15F0"/>
    <w:rsid w:val="00DE5663"/>
    <w:rsid w:val="00DE5F61"/>
    <w:rsid w:val="00DE78AA"/>
    <w:rsid w:val="00E053D0"/>
    <w:rsid w:val="00E15994"/>
    <w:rsid w:val="00E3114E"/>
    <w:rsid w:val="00E31A70"/>
    <w:rsid w:val="00E35B02"/>
    <w:rsid w:val="00E4230E"/>
    <w:rsid w:val="00E66496"/>
    <w:rsid w:val="00E66B35"/>
    <w:rsid w:val="00E66E10"/>
    <w:rsid w:val="00E769F6"/>
    <w:rsid w:val="00E8407C"/>
    <w:rsid w:val="00E84F3C"/>
    <w:rsid w:val="00E93DB6"/>
    <w:rsid w:val="00EA012C"/>
    <w:rsid w:val="00EC6A55"/>
    <w:rsid w:val="00ED0288"/>
    <w:rsid w:val="00EE52CB"/>
    <w:rsid w:val="00EF581D"/>
    <w:rsid w:val="00EF7FD8"/>
    <w:rsid w:val="00F002D4"/>
    <w:rsid w:val="00F06F59"/>
    <w:rsid w:val="00F17988"/>
    <w:rsid w:val="00F469F0"/>
    <w:rsid w:val="00F53273"/>
    <w:rsid w:val="00F72DC1"/>
    <w:rsid w:val="00F75270"/>
    <w:rsid w:val="00F755E4"/>
    <w:rsid w:val="00F77D02"/>
    <w:rsid w:val="00F80F6B"/>
    <w:rsid w:val="00FB3A86"/>
    <w:rsid w:val="00FC6BD9"/>
    <w:rsid w:val="00FC76A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45014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B50A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09KeywordsContent">
    <w:name w:val="09_KeywordsContent"/>
    <w:basedOn w:val="Normal"/>
    <w:qFormat/>
    <w:rsid w:val="00616528"/>
    <w:pPr>
      <w:widowControl w:val="0"/>
      <w:suppressAutoHyphens/>
      <w:adjustRightInd w:val="0"/>
      <w:snapToGrid w:val="0"/>
      <w:spacing w:before="100" w:after="320" w:line="264" w:lineRule="auto"/>
    </w:pPr>
    <w:rPr>
      <w:rFonts w:ascii="Times New Roman" w:hAnsi="Times New Roman" w:cstheme="minorBidi"/>
      <w:kern w:val="2"/>
      <w:lang w:val="en-GB" w:eastAsia="zh-CN"/>
    </w:rPr>
  </w:style>
  <w:style w:type="paragraph" w:customStyle="1" w:styleId="03AuthorName">
    <w:name w:val="03_AuthorName"/>
    <w:basedOn w:val="Normal"/>
    <w:qFormat/>
    <w:rsid w:val="00616528"/>
    <w:pPr>
      <w:widowControl w:val="0"/>
      <w:suppressAutoHyphens/>
      <w:adjustRightInd w:val="0"/>
      <w:snapToGrid w:val="0"/>
      <w:spacing w:before="240" w:after="280"/>
    </w:pPr>
    <w:rPr>
      <w:rFonts w:ascii="Times New Roman" w:hAnsi="Times New Roman" w:cstheme="minorBidi"/>
      <w:b/>
      <w:kern w:val="2"/>
      <w:sz w:val="28"/>
      <w:szCs w:val="24"/>
      <w:lang w:val="en-GB" w:eastAsia="zh-CN"/>
    </w:rPr>
  </w:style>
  <w:style w:type="paragraph" w:customStyle="1" w:styleId="13Text">
    <w:name w:val="13_Text"/>
    <w:basedOn w:val="Normal"/>
    <w:qFormat/>
    <w:rsid w:val="0071526A"/>
    <w:pPr>
      <w:widowControl w:val="0"/>
      <w:adjustRightInd w:val="0"/>
      <w:snapToGrid w:val="0"/>
      <w:spacing w:line="264" w:lineRule="auto"/>
      <w:ind w:firstLineChars="100" w:firstLine="100"/>
      <w:jc w:val="both"/>
    </w:pPr>
    <w:rPr>
      <w:rFonts w:ascii="Times New Roman" w:hAnsi="Times New Roman" w:cstheme="minorBidi"/>
      <w:kern w:val="2"/>
      <w:lang w:val="en-GB" w:eastAsia="zh-CN"/>
    </w:rPr>
  </w:style>
  <w:style w:type="paragraph" w:styleId="NormalWeb">
    <w:name w:val="Normal (Web)"/>
    <w:basedOn w:val="Normal"/>
    <w:uiPriority w:val="99"/>
    <w:unhideWhenUsed/>
    <w:rsid w:val="00026D0F"/>
    <w:rPr>
      <w:rFonts w:ascii="Times New Roman" w:hAnsi="Times New Roman"/>
      <w:sz w:val="24"/>
      <w:szCs w:val="24"/>
    </w:rPr>
  </w:style>
  <w:style w:type="paragraph" w:customStyle="1" w:styleId="17TableCaptionSingleLine">
    <w:name w:val="17_TableCaption_SingleLine"/>
    <w:basedOn w:val="Normal"/>
    <w:qFormat/>
    <w:rsid w:val="003A2D5C"/>
    <w:pPr>
      <w:widowControl w:val="0"/>
      <w:tabs>
        <w:tab w:val="left" w:pos="4680"/>
      </w:tabs>
      <w:adjustRightInd w:val="0"/>
      <w:snapToGrid w:val="0"/>
      <w:spacing w:before="500" w:after="100" w:line="264" w:lineRule="auto"/>
      <w:jc w:val="center"/>
    </w:pPr>
    <w:rPr>
      <w:rFonts w:ascii="Times New Roman" w:hAnsi="Times New Roman"/>
      <w:i/>
      <w:kern w:val="2"/>
      <w:sz w:val="18"/>
      <w:szCs w:val="16"/>
      <w:lang w:val="en-GB" w:eastAsia="zh-CN"/>
    </w:rPr>
  </w:style>
  <w:style w:type="paragraph" w:customStyle="1" w:styleId="20TableBodyFront">
    <w:name w:val="20_TableBody_Front"/>
    <w:basedOn w:val="Normal"/>
    <w:qFormat/>
    <w:rsid w:val="003A2D5C"/>
    <w:pPr>
      <w:widowControl w:val="0"/>
      <w:suppressAutoHyphens/>
      <w:adjustRightInd w:val="0"/>
      <w:snapToGrid w:val="0"/>
      <w:spacing w:before="120" w:after="60" w:line="264" w:lineRule="auto"/>
    </w:pPr>
    <w:rPr>
      <w:rFonts w:ascii="Times New Roman" w:eastAsia="SimSun" w:hAnsi="Times New Roman"/>
      <w:snapToGrid w:val="0"/>
      <w:kern w:val="2"/>
      <w:sz w:val="18"/>
      <w:szCs w:val="18"/>
      <w:lang w:val="en-GB" w:eastAsia="zh-CN"/>
    </w:rPr>
  </w:style>
  <w:style w:type="paragraph" w:customStyle="1" w:styleId="21TableBodyMiddle">
    <w:name w:val="21_TableBody_Middle"/>
    <w:basedOn w:val="13Text"/>
    <w:qFormat/>
    <w:rsid w:val="003A2D5C"/>
    <w:pPr>
      <w:spacing w:before="60" w:after="60"/>
      <w:ind w:firstLineChars="0" w:firstLine="0"/>
      <w:jc w:val="left"/>
    </w:pPr>
    <w:rPr>
      <w:sz w:val="18"/>
      <w:szCs w:val="18"/>
    </w:rPr>
  </w:style>
  <w:style w:type="paragraph" w:customStyle="1" w:styleId="22TableBodyBack">
    <w:name w:val="22_TableBody_Back"/>
    <w:basedOn w:val="21TableBodyMiddle"/>
    <w:qFormat/>
    <w:rsid w:val="003A2D5C"/>
    <w:pPr>
      <w:spacing w:after="160"/>
    </w:pPr>
    <w:rPr>
      <w:snapToGrid w:val="0"/>
    </w:rPr>
  </w:style>
  <w:style w:type="table" w:styleId="PlainTable2">
    <w:name w:val="Plain Table 2"/>
    <w:basedOn w:val="TableNormal"/>
    <w:uiPriority w:val="42"/>
    <w:rsid w:val="003A2D5C"/>
    <w:rPr>
      <w:rFonts w:asciiTheme="minorHAnsi" w:eastAsiaTheme="minorHAnsi" w:hAnsiTheme="minorHAnsi" w:cstheme="minorBidi"/>
      <w:kern w:val="2"/>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4Figure">
    <w:name w:val="14_Figure"/>
    <w:basedOn w:val="Normal"/>
    <w:qFormat/>
    <w:rsid w:val="000433FA"/>
    <w:pPr>
      <w:widowControl w:val="0"/>
      <w:adjustRightInd w:val="0"/>
      <w:snapToGrid w:val="0"/>
      <w:spacing w:before="500" w:after="100"/>
      <w:jc w:val="center"/>
    </w:pPr>
    <w:rPr>
      <w:rFonts w:ascii="Calibri" w:hAnsi="Calibri"/>
      <w:noProof/>
      <w:kern w:val="2"/>
      <w:sz w:val="24"/>
      <w:szCs w:val="21"/>
      <w:lang w:val="en-GB" w:eastAsia="zh-CN"/>
    </w:rPr>
  </w:style>
  <w:style w:type="paragraph" w:customStyle="1" w:styleId="16FigureCaptionMultipleLine">
    <w:name w:val="16_FigureCaption_MultipleLine"/>
    <w:basedOn w:val="Normal"/>
    <w:qFormat/>
    <w:rsid w:val="000433FA"/>
    <w:pPr>
      <w:widowControl w:val="0"/>
      <w:adjustRightInd w:val="0"/>
      <w:snapToGrid w:val="0"/>
      <w:spacing w:before="100" w:after="500" w:line="264" w:lineRule="auto"/>
      <w:jc w:val="both"/>
    </w:pPr>
    <w:rPr>
      <w:rFonts w:ascii="Times New Roman" w:hAnsi="Times New Roman"/>
      <w:i/>
      <w:kern w:val="2"/>
      <w:sz w:val="18"/>
      <w:szCs w:val="16"/>
      <w:lang w:val="en-GB" w:eastAsia="zh-CN"/>
    </w:rPr>
  </w:style>
  <w:style w:type="paragraph" w:customStyle="1" w:styleId="Titre71">
    <w:name w:val="Titre 71"/>
    <w:basedOn w:val="Normal"/>
    <w:next w:val="Normal"/>
    <w:uiPriority w:val="9"/>
    <w:semiHidden/>
    <w:unhideWhenUsed/>
    <w:qFormat/>
    <w:rsid w:val="00D54953"/>
    <w:pPr>
      <w:keepNext/>
      <w:keepLines/>
      <w:widowControl w:val="0"/>
      <w:spacing w:before="40"/>
      <w:jc w:val="both"/>
      <w:outlineLvl w:val="6"/>
    </w:pPr>
    <w:rPr>
      <w:rFonts w:ascii="Calibri" w:hAnsi="Calibri"/>
      <w:color w:val="595959"/>
      <w:kern w:val="2"/>
      <w:sz w:val="21"/>
      <w:szCs w:val="21"/>
      <w:lang w:val="en-GB" w:eastAsia="zh-CN"/>
    </w:rPr>
  </w:style>
  <w:style w:type="paragraph" w:customStyle="1" w:styleId="11Heading2">
    <w:name w:val="11_Heading2"/>
    <w:basedOn w:val="Heading3"/>
    <w:qFormat/>
    <w:rsid w:val="008B50A8"/>
    <w:pPr>
      <w:keepNext w:val="0"/>
      <w:keepLines w:val="0"/>
      <w:widowControl w:val="0"/>
      <w:suppressAutoHyphens/>
      <w:adjustRightInd w:val="0"/>
      <w:snapToGrid w:val="0"/>
      <w:spacing w:before="280" w:after="160" w:line="264" w:lineRule="auto"/>
      <w:ind w:hangingChars="180" w:hanging="180"/>
    </w:pPr>
    <w:rPr>
      <w:rFonts w:ascii="Times New Roman" w:eastAsia="Times New Roman" w:hAnsi="Times New Roman" w:cs="Times New Roman"/>
      <w:b/>
      <w:bCs/>
      <w:color w:val="006690"/>
      <w:kern w:val="2"/>
      <w:szCs w:val="28"/>
      <w:lang w:val="en-GB" w:eastAsia="zh-CN"/>
    </w:rPr>
  </w:style>
  <w:style w:type="paragraph" w:customStyle="1" w:styleId="15FigureCaptionSingleLine">
    <w:name w:val="15_FigureCaption_SingleLine"/>
    <w:basedOn w:val="Normal"/>
    <w:qFormat/>
    <w:rsid w:val="008B50A8"/>
    <w:pPr>
      <w:widowControl w:val="0"/>
      <w:adjustRightInd w:val="0"/>
      <w:snapToGrid w:val="0"/>
      <w:spacing w:before="100" w:after="500" w:line="264" w:lineRule="auto"/>
      <w:jc w:val="center"/>
    </w:pPr>
    <w:rPr>
      <w:rFonts w:ascii="Times New Roman" w:hAnsi="Times New Roman"/>
      <w:i/>
      <w:kern w:val="2"/>
      <w:sz w:val="18"/>
      <w:szCs w:val="16"/>
      <w:lang w:val="en-GB" w:eastAsia="zh-CN"/>
    </w:rPr>
  </w:style>
  <w:style w:type="character" w:customStyle="1" w:styleId="Heading3Char">
    <w:name w:val="Heading 3 Char"/>
    <w:basedOn w:val="DefaultParagraphFont"/>
    <w:link w:val="Heading3"/>
    <w:semiHidden/>
    <w:rsid w:val="008B50A8"/>
    <w:rPr>
      <w:rFonts w:asciiTheme="majorHAnsi" w:eastAsiaTheme="majorEastAsia" w:hAnsiTheme="majorHAnsi" w:cstheme="majorBidi"/>
      <w:color w:val="243F60" w:themeColor="accent1" w:themeShade="7F"/>
      <w:sz w:val="24"/>
      <w:szCs w:val="24"/>
    </w:rPr>
  </w:style>
  <w:style w:type="paragraph" w:customStyle="1" w:styleId="29References">
    <w:name w:val="29_References"/>
    <w:basedOn w:val="Normal"/>
    <w:qFormat/>
    <w:rsid w:val="00B57DB8"/>
    <w:pPr>
      <w:widowControl w:val="0"/>
      <w:numPr>
        <w:numId w:val="31"/>
      </w:numPr>
      <w:tabs>
        <w:tab w:val="clear" w:pos="420"/>
        <w:tab w:val="left" w:pos="525"/>
      </w:tabs>
      <w:adjustRightInd w:val="0"/>
      <w:snapToGrid w:val="0"/>
      <w:spacing w:after="160" w:line="264" w:lineRule="auto"/>
      <w:ind w:left="360" w:hanging="360"/>
      <w:jc w:val="both"/>
    </w:pPr>
    <w:rPr>
      <w:rFonts w:ascii="Times New Roman" w:hAnsi="Times New Roman"/>
      <w:kern w:val="2"/>
      <w:sz w:val="18"/>
      <w:szCs w:val="18"/>
      <w:lang w:val="en-GB" w:eastAsia="zh-CN"/>
    </w:rPr>
  </w:style>
  <w:style w:type="paragraph" w:styleId="ListParagraph">
    <w:name w:val="List Paragraph"/>
    <w:basedOn w:val="Normal"/>
    <w:uiPriority w:val="34"/>
    <w:qFormat/>
    <w:rsid w:val="008F0E68"/>
    <w:pPr>
      <w:widowControl w:val="0"/>
      <w:ind w:left="720"/>
      <w:contextualSpacing/>
      <w:jc w:val="both"/>
    </w:pPr>
    <w:rPr>
      <w:rFonts w:ascii="Calibri" w:hAnsi="Calibri"/>
      <w:kern w:val="2"/>
      <w:sz w:val="21"/>
      <w:szCs w:val="21"/>
      <w:lang w:val="en-GB" w:eastAsia="zh-CN"/>
    </w:rPr>
  </w:style>
  <w:style w:type="paragraph" w:styleId="HTMLPreformatted">
    <w:name w:val="HTML Preformatted"/>
    <w:basedOn w:val="Normal"/>
    <w:link w:val="HTMLPreformattedChar"/>
    <w:semiHidden/>
    <w:unhideWhenUsed/>
    <w:rsid w:val="00B341B1"/>
    <w:rPr>
      <w:rFonts w:ascii="Consolas" w:hAnsi="Consolas"/>
    </w:rPr>
  </w:style>
  <w:style w:type="character" w:customStyle="1" w:styleId="HTMLPreformattedChar">
    <w:name w:val="HTML Preformatted Char"/>
    <w:basedOn w:val="DefaultParagraphFont"/>
    <w:link w:val="HTMLPreformatted"/>
    <w:semiHidden/>
    <w:rsid w:val="00B341B1"/>
    <w:rPr>
      <w:rFonts w:ascii="Consolas" w:hAnsi="Consolas"/>
    </w:rPr>
  </w:style>
  <w:style w:type="character" w:styleId="UnresolvedMention">
    <w:name w:val="Unresolved Mention"/>
    <w:basedOn w:val="DefaultParagraphFont"/>
    <w:uiPriority w:val="99"/>
    <w:semiHidden/>
    <w:unhideWhenUsed/>
    <w:rsid w:val="00212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329770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462273">
      <w:bodyDiv w:val="1"/>
      <w:marLeft w:val="0"/>
      <w:marRight w:val="0"/>
      <w:marTop w:val="0"/>
      <w:marBottom w:val="0"/>
      <w:divBdr>
        <w:top w:val="none" w:sz="0" w:space="0" w:color="auto"/>
        <w:left w:val="none" w:sz="0" w:space="0" w:color="auto"/>
        <w:bottom w:val="none" w:sz="0" w:space="0" w:color="auto"/>
        <w:right w:val="none" w:sz="0" w:space="0" w:color="auto"/>
      </w:divBdr>
    </w:div>
    <w:div w:id="304089848">
      <w:bodyDiv w:val="1"/>
      <w:marLeft w:val="0"/>
      <w:marRight w:val="0"/>
      <w:marTop w:val="0"/>
      <w:marBottom w:val="0"/>
      <w:divBdr>
        <w:top w:val="none" w:sz="0" w:space="0" w:color="auto"/>
        <w:left w:val="none" w:sz="0" w:space="0" w:color="auto"/>
        <w:bottom w:val="none" w:sz="0" w:space="0" w:color="auto"/>
        <w:right w:val="none" w:sz="0" w:space="0" w:color="auto"/>
      </w:divBdr>
    </w:div>
    <w:div w:id="56834161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1580025">
      <w:bodyDiv w:val="1"/>
      <w:marLeft w:val="0"/>
      <w:marRight w:val="0"/>
      <w:marTop w:val="0"/>
      <w:marBottom w:val="0"/>
      <w:divBdr>
        <w:top w:val="none" w:sz="0" w:space="0" w:color="auto"/>
        <w:left w:val="none" w:sz="0" w:space="0" w:color="auto"/>
        <w:bottom w:val="none" w:sz="0" w:space="0" w:color="auto"/>
        <w:right w:val="none" w:sz="0" w:space="0" w:color="auto"/>
      </w:divBdr>
    </w:div>
    <w:div w:id="866941443">
      <w:bodyDiv w:val="1"/>
      <w:marLeft w:val="0"/>
      <w:marRight w:val="0"/>
      <w:marTop w:val="0"/>
      <w:marBottom w:val="0"/>
      <w:divBdr>
        <w:top w:val="none" w:sz="0" w:space="0" w:color="auto"/>
        <w:left w:val="none" w:sz="0" w:space="0" w:color="auto"/>
        <w:bottom w:val="none" w:sz="0" w:space="0" w:color="auto"/>
        <w:right w:val="none" w:sz="0" w:space="0" w:color="auto"/>
      </w:divBdr>
    </w:div>
    <w:div w:id="92958622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827595">
      <w:bodyDiv w:val="1"/>
      <w:marLeft w:val="0"/>
      <w:marRight w:val="0"/>
      <w:marTop w:val="0"/>
      <w:marBottom w:val="0"/>
      <w:divBdr>
        <w:top w:val="none" w:sz="0" w:space="0" w:color="auto"/>
        <w:left w:val="none" w:sz="0" w:space="0" w:color="auto"/>
        <w:bottom w:val="none" w:sz="0" w:space="0" w:color="auto"/>
        <w:right w:val="none" w:sz="0" w:space="0" w:color="auto"/>
      </w:divBdr>
    </w:div>
    <w:div w:id="110626748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7318331">
      <w:bodyDiv w:val="1"/>
      <w:marLeft w:val="0"/>
      <w:marRight w:val="0"/>
      <w:marTop w:val="0"/>
      <w:marBottom w:val="0"/>
      <w:divBdr>
        <w:top w:val="none" w:sz="0" w:space="0" w:color="auto"/>
        <w:left w:val="none" w:sz="0" w:space="0" w:color="auto"/>
        <w:bottom w:val="none" w:sz="0" w:space="0" w:color="auto"/>
        <w:right w:val="none" w:sz="0" w:space="0" w:color="auto"/>
      </w:divBdr>
    </w:div>
    <w:div w:id="1399786431">
      <w:bodyDiv w:val="1"/>
      <w:marLeft w:val="0"/>
      <w:marRight w:val="0"/>
      <w:marTop w:val="0"/>
      <w:marBottom w:val="0"/>
      <w:divBdr>
        <w:top w:val="none" w:sz="0" w:space="0" w:color="auto"/>
        <w:left w:val="none" w:sz="0" w:space="0" w:color="auto"/>
        <w:bottom w:val="none" w:sz="0" w:space="0" w:color="auto"/>
        <w:right w:val="none" w:sz="0" w:space="0" w:color="auto"/>
      </w:divBdr>
    </w:div>
    <w:div w:id="1553424768">
      <w:bodyDiv w:val="1"/>
      <w:marLeft w:val="0"/>
      <w:marRight w:val="0"/>
      <w:marTop w:val="0"/>
      <w:marBottom w:val="0"/>
      <w:divBdr>
        <w:top w:val="none" w:sz="0" w:space="0" w:color="auto"/>
        <w:left w:val="none" w:sz="0" w:space="0" w:color="auto"/>
        <w:bottom w:val="none" w:sz="0" w:space="0" w:color="auto"/>
        <w:right w:val="none" w:sz="0" w:space="0" w:color="auto"/>
      </w:divBdr>
    </w:div>
    <w:div w:id="162758930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985573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1254525">
      <w:bodyDiv w:val="1"/>
      <w:marLeft w:val="0"/>
      <w:marRight w:val="0"/>
      <w:marTop w:val="0"/>
      <w:marBottom w:val="0"/>
      <w:divBdr>
        <w:top w:val="none" w:sz="0" w:space="0" w:color="auto"/>
        <w:left w:val="none" w:sz="0" w:space="0" w:color="auto"/>
        <w:bottom w:val="none" w:sz="0" w:space="0" w:color="auto"/>
        <w:right w:val="none" w:sz="0" w:space="0" w:color="auto"/>
      </w:divBdr>
    </w:div>
    <w:div w:id="21265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image" Target="media/image13.png"/><Relationship Id="rId39" Type="http://schemas.openxmlformats.org/officeDocument/2006/relationships/hyperlink" Target="https://doi.org/10.1016/j.jpowsour.2013.09.061" TargetMode="External"/><Relationship Id="rId21" Type="http://schemas.openxmlformats.org/officeDocument/2006/relationships/image" Target="media/image8.tmp"/><Relationship Id="rId34" Type="http://schemas.openxmlformats.org/officeDocument/2006/relationships/hyperlink" Target="https://doi.org/10.1002/cctc.202401286" TargetMode="External"/><Relationship Id="rId42" Type="http://schemas.openxmlformats.org/officeDocument/2006/relationships/hyperlink" Target="https://doi.org/10.1016/j.pecs.2019.05.002" TargetMode="External"/><Relationship Id="rId47" Type="http://schemas.openxmlformats.org/officeDocument/2006/relationships/hyperlink" Target="https://doi.org/10.1149/1945-7111/ab819c" TargetMode="External"/><Relationship Id="rId50" Type="http://schemas.openxmlformats.org/officeDocument/2006/relationships/hyperlink" Target="https://doi.org/10.1149/2.0321412jes" TargetMode="External"/><Relationship Id="rId55" Type="http://schemas.openxmlformats.org/officeDocument/2006/relationships/hyperlink" Target="https://doi.org/10.1016/j.ijheatmasstransfer.2016.09.03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mp"/><Relationship Id="rId29" Type="http://schemas.openxmlformats.org/officeDocument/2006/relationships/hyperlink" Target="https://doi.org/10.1016/j.jpowsour.2012.04.026"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2/cctc.202401286" TargetMode="External"/><Relationship Id="rId37" Type="http://schemas.openxmlformats.org/officeDocument/2006/relationships/hyperlink" Target="https://doi.org/10.1016/j.rser.2018.03.007" TargetMode="External"/><Relationship Id="rId40" Type="http://schemas.openxmlformats.org/officeDocument/2006/relationships/hyperlink" Target="https://doi.org/10.1149/2.0202001JES" TargetMode="External"/><Relationship Id="rId45" Type="http://schemas.openxmlformats.org/officeDocument/2006/relationships/hyperlink" Target="https://doi.org/10.1149/2.0111711jes" TargetMode="External"/><Relationship Id="rId53" Type="http://schemas.openxmlformats.org/officeDocument/2006/relationships/hyperlink" Target="https://doi.org/10.1021/cr020718s" TargetMode="External"/><Relationship Id="rId58" Type="http://schemas.openxmlformats.org/officeDocument/2006/relationships/hyperlink" Target="https://doi.org/10.1002/fuce.201200017" TargetMode="External"/><Relationship Id="rId5" Type="http://schemas.openxmlformats.org/officeDocument/2006/relationships/webSettings" Target="webSettings.xml"/><Relationship Id="rId61" Type="http://schemas.openxmlformats.org/officeDocument/2006/relationships/hyperlink" Target="https://doi.org/10.1016/j.electacta.2021.138273" TargetMode="External"/><Relationship Id="rId19" Type="http://schemas.openxmlformats.org/officeDocument/2006/relationships/image" Target="media/image6.tmp"/><Relationship Id="rId14" Type="http://schemas.openxmlformats.org/officeDocument/2006/relationships/image" Target="media/image1.tmp"/><Relationship Id="rId22" Type="http://schemas.openxmlformats.org/officeDocument/2006/relationships/image" Target="media/image9.tmp"/><Relationship Id="rId27" Type="http://schemas.openxmlformats.org/officeDocument/2006/relationships/image" Target="media/image14.png"/><Relationship Id="rId30" Type="http://schemas.openxmlformats.org/officeDocument/2006/relationships/hyperlink" Target="https://doi.org/10.1016/j.jpowsour.2012.04.026" TargetMode="External"/><Relationship Id="rId35" Type="http://schemas.openxmlformats.org/officeDocument/2006/relationships/hyperlink" Target="https://doi.org/10.1016/j.ecmx.2026.101739" TargetMode="External"/><Relationship Id="rId43" Type="http://schemas.openxmlformats.org/officeDocument/2006/relationships/hyperlink" Target="https://doi.org/10.1115/ICNMM2011-58181" TargetMode="External"/><Relationship Id="rId48" Type="http://schemas.openxmlformats.org/officeDocument/2006/relationships/hyperlink" Target="https://doi.org/10.1007/s11242-025-02220-1" TargetMode="External"/><Relationship Id="rId56" Type="http://schemas.openxmlformats.org/officeDocument/2006/relationships/hyperlink" Target="https://doi.org/10.1002/admi.202400119"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jpowsour.2015.11.00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mp"/><Relationship Id="rId25" Type="http://schemas.openxmlformats.org/officeDocument/2006/relationships/image" Target="media/image12.png"/><Relationship Id="rId33" Type="http://schemas.openxmlformats.org/officeDocument/2006/relationships/hyperlink" Target="https://doi.org/10.1016/j.jpowsour.2012.04.026" TargetMode="External"/><Relationship Id="rId38" Type="http://schemas.openxmlformats.org/officeDocument/2006/relationships/hyperlink" Target="https://doi.org/10.1016/j.jpowsour.2017.05.078" TargetMode="External"/><Relationship Id="rId46" Type="http://schemas.openxmlformats.org/officeDocument/2006/relationships/hyperlink" Target="https://doi.org/10.1039/D5TA00208G" TargetMode="External"/><Relationship Id="rId59" Type="http://schemas.openxmlformats.org/officeDocument/2006/relationships/hyperlink" Target="https://doi.org/10.1002/aenm.202102074" TargetMode="External"/><Relationship Id="rId20" Type="http://schemas.openxmlformats.org/officeDocument/2006/relationships/image" Target="media/image7.tmp"/><Relationship Id="rId41" Type="http://schemas.openxmlformats.org/officeDocument/2006/relationships/hyperlink" Target="https://doi.org/10.1149/2.0202001JES" TargetMode="External"/><Relationship Id="rId54" Type="http://schemas.openxmlformats.org/officeDocument/2006/relationships/hyperlink" Target="https://doi.org/10.1016/j.ijheatmasstransfer.2016.09.030" TargetMode="External"/><Relationship Id="rId62" Type="http://schemas.openxmlformats.org/officeDocument/2006/relationships/hyperlink" Target="https://doi.org/10.1016/j.ijheatmasstransfer.2025.1270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mp"/><Relationship Id="rId23" Type="http://schemas.openxmlformats.org/officeDocument/2006/relationships/image" Target="media/image10.tmp"/><Relationship Id="rId28" Type="http://schemas.openxmlformats.org/officeDocument/2006/relationships/hyperlink" Target="https://doi.org/10.1016/j.jpowsour.2012.04.026" TargetMode="External"/><Relationship Id="rId36" Type="http://schemas.openxmlformats.org/officeDocument/2006/relationships/hyperlink" Target="https://doi.org/10.1016/j.jpowsour.2024.234957" TargetMode="External"/><Relationship Id="rId49" Type="http://schemas.openxmlformats.org/officeDocument/2006/relationships/hyperlink" Target="https://doi.org/10.1149/2.0321412jes" TargetMode="External"/><Relationship Id="rId57" Type="http://schemas.openxmlformats.org/officeDocument/2006/relationships/hyperlink" Target="https://doi.org/10.1016/j.ijhydene.2022.05.092" TargetMode="External"/><Relationship Id="rId10" Type="http://schemas.openxmlformats.org/officeDocument/2006/relationships/footer" Target="footer1.xml"/><Relationship Id="rId31" Type="http://schemas.openxmlformats.org/officeDocument/2006/relationships/hyperlink" Target="https://doi.org/10.1149/1945-7111/ada63e" TargetMode="External"/><Relationship Id="rId44" Type="http://schemas.openxmlformats.org/officeDocument/2006/relationships/hyperlink" Target="https://doi.org/10.1115/ICNMM2011-58181" TargetMode="External"/><Relationship Id="rId52" Type="http://schemas.openxmlformats.org/officeDocument/2006/relationships/hyperlink" Target="https://doi.org/10.1016/j.fuel.2025.137515" TargetMode="External"/><Relationship Id="rId60" Type="http://schemas.openxmlformats.org/officeDocument/2006/relationships/hyperlink" Target="https://doi.org/10.1002/fuce.201200017" TargetMode="Externa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7FC46-B4BC-4952-93A8-948EE7D7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23</Pages>
  <Words>6109</Words>
  <Characters>34822</Characters>
  <Application>Microsoft Office Word</Application>
  <DocSecurity>0</DocSecurity>
  <Lines>290</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40850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2026-04-10T18:05:00Z</dcterms:created>
  <dcterms:modified xsi:type="dcterms:W3CDTF">2026-04-16T09:53:00Z</dcterms:modified>
</cp:coreProperties>
</file>