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A1A1" w14:textId="465B44C6" w:rsidR="005B58CE" w:rsidRPr="005B58CE" w:rsidRDefault="005B58CE" w:rsidP="005B58CE">
      <w:pPr>
        <w:spacing w:line="360" w:lineRule="auto"/>
        <w:rPr>
          <w:rFonts w:ascii="Times New Roman" w:hAnsi="Times New Roman" w:cs="Times New Roman"/>
          <w:b/>
          <w:bCs/>
          <w:sz w:val="24"/>
          <w:szCs w:val="24"/>
        </w:rPr>
      </w:pPr>
      <w:r w:rsidRPr="005B58CE">
        <w:rPr>
          <w:rFonts w:ascii="Times New Roman" w:hAnsi="Times New Roman" w:cs="Times New Roman"/>
          <w:b/>
          <w:bCs/>
          <w:sz w:val="28"/>
          <w:szCs w:val="28"/>
        </w:rPr>
        <w:t>Annual Analysis of the Operational Performance of the Souapiti</w:t>
      </w:r>
      <w:r>
        <w:rPr>
          <w:rFonts w:ascii="Times New Roman" w:hAnsi="Times New Roman" w:cs="Times New Roman"/>
          <w:b/>
          <w:bCs/>
          <w:sz w:val="28"/>
          <w:szCs w:val="28"/>
        </w:rPr>
        <w:t xml:space="preserve"> </w:t>
      </w:r>
      <w:r w:rsidRPr="005B58CE">
        <w:rPr>
          <w:rFonts w:ascii="Times New Roman" w:hAnsi="Times New Roman" w:cs="Times New Roman"/>
          <w:b/>
          <w:bCs/>
          <w:sz w:val="28"/>
          <w:szCs w:val="28"/>
        </w:rPr>
        <w:t>Hydroelectric Dam in 2025</w:t>
      </w:r>
      <w:r>
        <w:rPr>
          <w:rFonts w:ascii="Times New Roman" w:hAnsi="Times New Roman" w:cs="Times New Roman"/>
          <w:b/>
          <w:bCs/>
          <w:sz w:val="28"/>
          <w:szCs w:val="28"/>
        </w:rPr>
        <w:t xml:space="preserve"> (</w:t>
      </w:r>
      <w:r w:rsidRPr="005B58CE">
        <w:rPr>
          <w:rFonts w:ascii="Times New Roman" w:hAnsi="Times New Roman" w:cs="Times New Roman"/>
          <w:b/>
          <w:bCs/>
          <w:sz w:val="28"/>
          <w:szCs w:val="28"/>
        </w:rPr>
        <w:t>Status as of December 25, 2025)</w:t>
      </w:r>
    </w:p>
    <w:p w14:paraId="087CAE4D" w14:textId="57C3A3AC" w:rsidR="00A21BEA" w:rsidRPr="00D97EE4" w:rsidRDefault="005B58CE" w:rsidP="00D97EE4">
      <w:pPr>
        <w:spacing w:line="360" w:lineRule="auto"/>
        <w:rPr>
          <w:rFonts w:ascii="Times New Roman" w:hAnsi="Times New Roman" w:cs="Times New Roman"/>
          <w:b/>
          <w:bCs/>
          <w:sz w:val="24"/>
          <w:szCs w:val="24"/>
        </w:rPr>
      </w:pPr>
      <w:r w:rsidRPr="005B58CE">
        <w:rPr>
          <w:rFonts w:ascii="Times New Roman" w:hAnsi="Times New Roman" w:cs="Times New Roman"/>
          <w:b/>
          <w:bCs/>
          <w:sz w:val="28"/>
          <w:szCs w:val="28"/>
        </w:rPr>
        <w:br/>
      </w:r>
    </w:p>
    <w:p w14:paraId="091654EF" w14:textId="6195E502" w:rsidR="00EC7394" w:rsidRPr="002E49B5" w:rsidRDefault="00EC7394" w:rsidP="002E49B5">
      <w:pPr>
        <w:spacing w:line="360" w:lineRule="auto"/>
        <w:jc w:val="both"/>
        <w:rPr>
          <w:rFonts w:ascii="Times New Roman" w:hAnsi="Times New Roman" w:cs="Times New Roman"/>
          <w:b/>
          <w:bCs/>
          <w:sz w:val="24"/>
          <w:szCs w:val="24"/>
        </w:rPr>
      </w:pPr>
      <w:r w:rsidRPr="002E49B5">
        <w:rPr>
          <w:rFonts w:ascii="Times New Roman" w:hAnsi="Times New Roman" w:cs="Times New Roman"/>
          <w:b/>
          <w:bCs/>
          <w:sz w:val="24"/>
          <w:szCs w:val="24"/>
        </w:rPr>
        <w:t>Abstract</w:t>
      </w:r>
    </w:p>
    <w:p w14:paraId="506520E2" w14:textId="6CDA2DA7" w:rsidR="00EC7394" w:rsidRPr="007E3DE9" w:rsidRDefault="00EC7394" w:rsidP="007E3DE9">
      <w:pPr>
        <w:spacing w:line="360" w:lineRule="auto"/>
        <w:jc w:val="both"/>
        <w:rPr>
          <w:rFonts w:ascii="Times New Roman" w:hAnsi="Times New Roman" w:cs="Times New Roman"/>
          <w:sz w:val="24"/>
          <w:szCs w:val="24"/>
        </w:rPr>
      </w:pPr>
      <w:r w:rsidRPr="007E3DE9">
        <w:rPr>
          <w:rFonts w:ascii="Times New Roman" w:hAnsi="Times New Roman" w:cs="Times New Roman"/>
          <w:sz w:val="24"/>
          <w:szCs w:val="24"/>
        </w:rPr>
        <w:t xml:space="preserve">This study presents an annual analysis of the operational performance of the Souapiti Hydropower Dam, based on data finalized as of December 25, 2025 at 24:00. Energy, hydrological, and operational indicators were assessed in order to evaluate the dam’s annual contribution to national electricity generation and its compliance with the contractual commitments defined under the Power Purchase Agreement (PPA). From an energy perspective, the results show an annual generation exceeding the PPA target by 20.42%, reflecting a high overall level of performance. This surplus highlights the strong availability of generating units, effective operational management, and optimized use of the hydropower potential, confirming </w:t>
      </w:r>
      <w:proofErr w:type="spellStart"/>
      <w:r w:rsidRPr="007E3DE9">
        <w:rPr>
          <w:rFonts w:ascii="Times New Roman" w:hAnsi="Times New Roman" w:cs="Times New Roman"/>
          <w:sz w:val="24"/>
          <w:szCs w:val="24"/>
        </w:rPr>
        <w:t>Souapiti’s</w:t>
      </w:r>
      <w:proofErr w:type="spellEnd"/>
      <w:r w:rsidRPr="007E3DE9">
        <w:rPr>
          <w:rFonts w:ascii="Times New Roman" w:hAnsi="Times New Roman" w:cs="Times New Roman"/>
          <w:sz w:val="24"/>
          <w:szCs w:val="24"/>
        </w:rPr>
        <w:t xml:space="preserve"> strategic role within the national power system. Nevertheless, a slight monthly underperformance toward the end of the year was observed, mainly attributable to operational adjustments and seasonal variations in hydrological </w:t>
      </w:r>
      <w:proofErr w:type="spellStart"/>
      <w:proofErr w:type="gramStart"/>
      <w:r w:rsidRPr="007E3DE9">
        <w:rPr>
          <w:rFonts w:ascii="Times New Roman" w:hAnsi="Times New Roman" w:cs="Times New Roman"/>
          <w:sz w:val="24"/>
          <w:szCs w:val="24"/>
        </w:rPr>
        <w:t>conditions.The</w:t>
      </w:r>
      <w:proofErr w:type="spellEnd"/>
      <w:proofErr w:type="gramEnd"/>
      <w:r w:rsidRPr="007E3DE9">
        <w:rPr>
          <w:rFonts w:ascii="Times New Roman" w:hAnsi="Times New Roman" w:cs="Times New Roman"/>
          <w:sz w:val="24"/>
          <w:szCs w:val="24"/>
        </w:rPr>
        <w:t xml:space="preserve"> hydrological assessment indicates a satisfactory reservoir status, with water levels remaining within the prescribed operating rules. Key hydraulic parameters, including inflows, outflows, and stored volumes, confirm a well-controlled annual management of water resources. This approach ensures a balance between energy production objectives and the safety of the hydraulic structures. Moreover, the coordinated operation within the Souapiti–Kaléta hydropower complex enhances overall system efficiency and resource optimization. In conclusion, the 2025 operating year is characterized by a strong overall performance of the Souapiti Dam, demonstrating its significant contribution to national energy security and compliance with contractual obligations, while underscoring the importance of continuous monitoring to sustain these results in the long term.</w:t>
      </w:r>
    </w:p>
    <w:p w14:paraId="7D63197C" w14:textId="731D02D2" w:rsidR="00A21BEA" w:rsidRPr="002E49B5" w:rsidRDefault="00EC7394" w:rsidP="002E49B5">
      <w:pPr>
        <w:spacing w:line="360" w:lineRule="auto"/>
        <w:rPr>
          <w:rFonts w:ascii="Times New Roman" w:hAnsi="Times New Roman" w:cs="Times New Roman"/>
          <w:sz w:val="24"/>
          <w:szCs w:val="24"/>
        </w:rPr>
      </w:pPr>
      <w:r w:rsidRPr="00EC7394">
        <w:rPr>
          <w:rFonts w:ascii="Times New Roman" w:hAnsi="Times New Roman" w:cs="Times New Roman"/>
          <w:b/>
          <w:bCs/>
          <w:sz w:val="24"/>
          <w:szCs w:val="24"/>
        </w:rPr>
        <w:t>Keywords:</w:t>
      </w:r>
      <w:r w:rsidRPr="00EC7394">
        <w:rPr>
          <w:rFonts w:ascii="Times New Roman" w:hAnsi="Times New Roman" w:cs="Times New Roman"/>
          <w:sz w:val="24"/>
          <w:szCs w:val="24"/>
        </w:rPr>
        <w:t xml:space="preserve"> Hydropower; Souapiti; annual analysis; energy performance; PPA; dam management</w:t>
      </w:r>
    </w:p>
    <w:p w14:paraId="4C43D986" w14:textId="77777777" w:rsidR="00FC0384" w:rsidRDefault="00FC0384" w:rsidP="002E49B5">
      <w:pPr>
        <w:spacing w:line="360" w:lineRule="auto"/>
        <w:rPr>
          <w:rFonts w:ascii="Times New Roman" w:hAnsi="Times New Roman" w:cs="Times New Roman"/>
          <w:sz w:val="24"/>
          <w:szCs w:val="24"/>
        </w:rPr>
      </w:pPr>
    </w:p>
    <w:p w14:paraId="48F098C4" w14:textId="77777777" w:rsidR="00EC1264" w:rsidRDefault="00EC1264" w:rsidP="002E49B5">
      <w:pPr>
        <w:spacing w:line="360" w:lineRule="auto"/>
        <w:rPr>
          <w:rFonts w:ascii="Times New Roman" w:hAnsi="Times New Roman" w:cs="Times New Roman"/>
          <w:sz w:val="24"/>
          <w:szCs w:val="24"/>
        </w:rPr>
      </w:pPr>
    </w:p>
    <w:p w14:paraId="0CA84160" w14:textId="77777777" w:rsidR="00EC1264" w:rsidRDefault="00EC1264" w:rsidP="002E49B5">
      <w:pPr>
        <w:spacing w:line="360" w:lineRule="auto"/>
        <w:rPr>
          <w:rFonts w:ascii="Times New Roman" w:hAnsi="Times New Roman" w:cs="Times New Roman"/>
          <w:sz w:val="24"/>
          <w:szCs w:val="24"/>
        </w:rPr>
      </w:pPr>
    </w:p>
    <w:p w14:paraId="206A1413" w14:textId="77777777" w:rsidR="00EC1264" w:rsidRDefault="00EC1264" w:rsidP="002E49B5">
      <w:pPr>
        <w:spacing w:line="360" w:lineRule="auto"/>
        <w:rPr>
          <w:rFonts w:ascii="Times New Roman" w:hAnsi="Times New Roman" w:cs="Times New Roman"/>
          <w:sz w:val="24"/>
          <w:szCs w:val="24"/>
        </w:rPr>
      </w:pPr>
    </w:p>
    <w:p w14:paraId="73D82E62" w14:textId="77777777" w:rsidR="00EC1264" w:rsidRPr="002E49B5" w:rsidRDefault="00EC1264" w:rsidP="002E49B5">
      <w:pPr>
        <w:spacing w:line="360" w:lineRule="auto"/>
        <w:rPr>
          <w:rFonts w:ascii="Times New Roman" w:hAnsi="Times New Roman" w:cs="Times New Roman"/>
          <w:sz w:val="24"/>
          <w:szCs w:val="24"/>
        </w:rPr>
      </w:pPr>
    </w:p>
    <w:p w14:paraId="11784788" w14:textId="77777777" w:rsidR="00EC1264" w:rsidRPr="00EC1264" w:rsidRDefault="00EC1264" w:rsidP="00EC1264">
      <w:pPr>
        <w:spacing w:line="360" w:lineRule="auto"/>
        <w:jc w:val="both"/>
        <w:rPr>
          <w:rFonts w:ascii="Times New Roman" w:hAnsi="Times New Roman" w:cs="Times New Roman"/>
          <w:b/>
          <w:bCs/>
          <w:sz w:val="24"/>
          <w:szCs w:val="24"/>
        </w:rPr>
      </w:pPr>
      <w:r w:rsidRPr="00EC1264">
        <w:rPr>
          <w:rFonts w:ascii="Times New Roman" w:hAnsi="Times New Roman" w:cs="Times New Roman"/>
          <w:b/>
          <w:bCs/>
          <w:sz w:val="24"/>
          <w:szCs w:val="24"/>
        </w:rPr>
        <w:t>1. Introduction</w:t>
      </w:r>
    </w:p>
    <w:p w14:paraId="4E5CD59E"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Hydroelectric dams constitute a fundamental pillar of the sustainable energy mix, particularly in countries endowed with abundant water resources. They provide renewable, dispatchable energy with low greenhouse gas emissions, while also contributing to hydrological regulation, economic development, and energy security. In the Republic of Guinea, which is rich in hydrographic potential, hydropower occupies a central place in the national strategy for the development of the energy sector. In this context, the Souapiti Dam, integrated into the Souapiti–Kaléta (S+K) hydroelectric complex, plays a major strategic role in securing the national electricity supply and optimizing the use of water resources in the Konkouré River basin.</w:t>
      </w:r>
    </w:p>
    <w:p w14:paraId="5A7BE47D"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Commissioned to complement and strengthen the existing generation capacity of the Kaléta Dam, the Souapiti hydroelectric scheme is distinguished by its seasonal regulation function. Thanks to its large storage capacity, it makes it possible to smooth interannual hydrological variations and ensure more stable electricity generation throughout the year, including during low-water periods. This hydraulic and energy complementarity between Souapiti and Kaléta constitutes an essential lever for improving the reliability of the national power system and reducing dependence on costly and highly polluting thermal power plants.</w:t>
      </w:r>
    </w:p>
    <w:p w14:paraId="5DF9844C"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present study aims to carry out a consolidated annual analysis of the operational performance of the Souapiti Dam for the year 2025, based on data finalized as of December 25, 2025 at 24:00. It is part of a technical and operational evaluation approach, with particular emphasis on three main aspects: cumulative energy production, the hydrological status of the reservoir, and compliance with contractual commitments defined under the Power Purchase Agreement (PPA). This approach makes it possible not only to assess the quantitative results of operations, but also to evaluate the quality of resource management and the overall performance of the facility.</w:t>
      </w:r>
    </w:p>
    <w:p w14:paraId="48553F3C"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lastRenderedPageBreak/>
        <w:t>From an energy perspective, the annual analysis highlights the significant contribution of the Souapiti Dam to national electricity generation in 2025. The cumulative production recorded over the period under review exceeds contractual forecasts, reflecting good availability of generating units and optimized operation of installed capacities. This performance is all the more noteworthy as it occurs in a context of growing electricity demand, driven by urbanization, industrialization, and improved access to electricity across the entire territory. Exceeding the production targets set out in the PPA therefore reflects the technical robustness of the facility and the relevance of the operational strategies implemented.</w:t>
      </w:r>
    </w:p>
    <w:p w14:paraId="4B530C96"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However, the monthly analysis also reveals fluctuations in production, particularly toward the end of the year, when a slight underperformance relative to monthly targets is observed. These variations are mainly explained by seasonal hydrological factors, constraints related to reservoir level management, as well as operational adjustments required to ensure the safety of the facility and coordination with the Kaléta Dam. Far from calling overall performance into question, these adjustments reflect a prudent and rational operating approach that prioritizes the long-term sustainability of the system.</w:t>
      </w:r>
    </w:p>
    <w:p w14:paraId="4C16B14E"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hydrological status of the reservoir constitutes another central element of this study. The analyzed data show that water levels in the Souapiti reservoir generally remained in compliance with the management rules established for the year 2025. Stored volumes, inflows and outflows, as well as controlled releases, demonstrate sound water resource management that is compatible with energy production objectives, hydraulic safety requirements, and downstream needs. This management is all the more crucial as Souapiti plays a regulating role for the entire S+K complex, largely determining the energy performance of Kaléta during low-water periods.</w:t>
      </w:r>
    </w:p>
    <w:p w14:paraId="1D9CDCDF"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Operational coordination between Souapiti and Kaléta therefore emerges as a key success factor. The joint operation of the two facilities makes it possible to optimize the overall energy output of the system, reduce water losses, and improve the flexibility of the hydropower generation fleet. This synergy enhances the resilience of the power system to climatic and hydrological variability, while maximizing economic and energy benefits for the country.</w:t>
      </w:r>
    </w:p>
    <w:p w14:paraId="25D22131"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 xml:space="preserve">Finally, the assessment of compliance with contractual commitments under the PPA constitutes an essential indicator of operational performance. The results for 2025 show that the Souapiti Dam not only met its contractual obligations, but exceeded them on an annual basis. This compliance </w:t>
      </w:r>
      <w:r w:rsidRPr="00EC1264">
        <w:rPr>
          <w:rFonts w:ascii="Times New Roman" w:hAnsi="Times New Roman" w:cs="Times New Roman"/>
          <w:sz w:val="24"/>
          <w:szCs w:val="24"/>
        </w:rPr>
        <w:lastRenderedPageBreak/>
        <w:t>strengthens the credibility of the project vis-à-vis institutional and financial partners and helps build confidence in future hydroelectric and energy investments in the country.</w:t>
      </w:r>
    </w:p>
    <w:p w14:paraId="095027E6" w14:textId="77777777" w:rsidR="00EC1264" w:rsidRPr="00EC1264" w:rsidRDefault="00EC1264" w:rsidP="007E3DE9">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In conclusion, the consolidated annual analysis of the operational performance of the Souapiti Dam for the year 2025 highlights a high level of overall performance from an energy, hydrological, and contractual standpoint. It confirms the strategic role of this facility in securing the national electricity supply and in the sustainable valorization of Guinea’s water resources. These results underscore the importance of rigorous and continuous operational monitoring in order to maintain and strengthen this positive momentum in a context of energy transition and sustained growth in electricity demand.</w:t>
      </w:r>
    </w:p>
    <w:p w14:paraId="00AC9415" w14:textId="77777777" w:rsidR="00EC1264" w:rsidRPr="00EC1264" w:rsidRDefault="00EC1264" w:rsidP="00EC1264">
      <w:pPr>
        <w:spacing w:line="360" w:lineRule="auto"/>
        <w:jc w:val="both"/>
        <w:rPr>
          <w:rFonts w:ascii="Times New Roman" w:hAnsi="Times New Roman" w:cs="Times New Roman"/>
          <w:b/>
          <w:bCs/>
          <w:sz w:val="24"/>
          <w:szCs w:val="24"/>
        </w:rPr>
      </w:pPr>
      <w:r w:rsidRPr="00EC1264">
        <w:rPr>
          <w:rFonts w:ascii="Times New Roman" w:hAnsi="Times New Roman" w:cs="Times New Roman"/>
          <w:b/>
          <w:bCs/>
          <w:sz w:val="24"/>
          <w:szCs w:val="24"/>
        </w:rPr>
        <w:t>2. Materials and Methods</w:t>
      </w:r>
    </w:p>
    <w:p w14:paraId="77B9AD49" w14:textId="77777777" w:rsidR="00EC1264" w:rsidRPr="00EC1264" w:rsidRDefault="00EC1264" w:rsidP="00EC1264">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data analyzed in this study are derived from the official daily operational records of the Souapiti Hydroelectric Dam for the year 2025, consolidated by the Souapiti Management and Operations Company (SGES). These records include energy, hydrological, and operational information, enabling a comprehensive assessment of the dam’s annual performance.</w:t>
      </w:r>
    </w:p>
    <w:p w14:paraId="2939CA8D" w14:textId="77777777" w:rsidR="00EC1264" w:rsidRPr="00EC1264" w:rsidRDefault="00EC1264" w:rsidP="00EC1264">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indicators analyzed are as follows:</w:t>
      </w:r>
    </w:p>
    <w:p w14:paraId="291C39FF"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Cumulative annual energy delivered to the grid: quantification of the energy actually injected into the national power system, compared with the targets defined in the Power Purchase Agreement (PPA).</w:t>
      </w:r>
    </w:p>
    <w:p w14:paraId="3AE9BD02"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Average daily power output: assessment of the daily performance of the turbine-generator units, allowing identification of periods of high production and any occasional shortfalls.</w:t>
      </w:r>
    </w:p>
    <w:p w14:paraId="3404D99B"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Annual and monthly achievement rates relative to the PPA: calculation of the proportion of energy produced relative to contractual commitments, on both annual and monthly bases, in order to detect seasonal and operational variations.</w:t>
      </w:r>
    </w:p>
    <w:p w14:paraId="391CEE05"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Hydrological parameters of the reservoir: monitoring of water levels, stored volumes, and available active storage, which are essential for measuring the effectiveness of reservoir management.</w:t>
      </w:r>
    </w:p>
    <w:p w14:paraId="25E40012"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Inflow and turbine discharge rates: analysis of water inflows into the dam and flows used for power generation, in order to assess hydraulic efficiency and resource regulation.</w:t>
      </w:r>
    </w:p>
    <w:p w14:paraId="36E38C9B"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lastRenderedPageBreak/>
        <w:t>Rainfall: consideration of precipitation over the catchment area to interpret level variations and deviations in production.</w:t>
      </w:r>
    </w:p>
    <w:p w14:paraId="5295D685" w14:textId="77777777" w:rsidR="00EC1264" w:rsidRPr="00EC1264" w:rsidRDefault="00EC1264" w:rsidP="00EC1264">
      <w:pPr>
        <w:numPr>
          <w:ilvl w:val="0"/>
          <w:numId w:val="3"/>
        </w:num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Overall performance indicators of the Souapiti–Kaléta complex: evaluation of the complementarity between the two dams, hydrological regulation, and the impact on consolidated power generation.</w:t>
      </w:r>
    </w:p>
    <w:p w14:paraId="59539FB4" w14:textId="77777777" w:rsidR="00EC1264" w:rsidRPr="00EC1264" w:rsidRDefault="00EC1264" w:rsidP="00EC1264">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The methodological approach adopted is both descriptive and analytical. The data were processed to identify trends, compare actual performance with contractual targets, and assess consistency between hydrological and energy parameters. This analysis does not rely on predictive models, but rather on rigorous processing of existing records to provide an accurate picture of the dam’s annual performance.</w:t>
      </w:r>
    </w:p>
    <w:p w14:paraId="24B4FFAB" w14:textId="0E45157F" w:rsidR="00FC0384" w:rsidRPr="007E3DE9" w:rsidRDefault="00EC1264" w:rsidP="002E49B5">
      <w:pPr>
        <w:spacing w:line="360" w:lineRule="auto"/>
        <w:jc w:val="both"/>
        <w:rPr>
          <w:rFonts w:ascii="Times New Roman" w:hAnsi="Times New Roman" w:cs="Times New Roman"/>
          <w:sz w:val="24"/>
          <w:szCs w:val="24"/>
        </w:rPr>
      </w:pPr>
      <w:r w:rsidRPr="00EC1264">
        <w:rPr>
          <w:rFonts w:ascii="Times New Roman" w:hAnsi="Times New Roman" w:cs="Times New Roman"/>
          <w:sz w:val="24"/>
          <w:szCs w:val="24"/>
        </w:rPr>
        <w:t>This methodology thus combines quantitative analysis of energy performance with qualitative evaluation of hydrological and operational management, offering an integrated view of the operation of the Souapiti Dam and its contribution to national energy security.</w:t>
      </w:r>
    </w:p>
    <w:p w14:paraId="2AD2F099"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3. Results</w:t>
      </w:r>
    </w:p>
    <w:p w14:paraId="7964E80F"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3.1 Annual Energy Performance</w:t>
      </w:r>
    </w:p>
    <w:p w14:paraId="149E3F80" w14:textId="26297907" w:rsidR="00C83D49" w:rsidRPr="00EC1264" w:rsidRDefault="00EC1264" w:rsidP="00EC1264">
      <w:pPr>
        <w:spacing w:line="360" w:lineRule="auto"/>
        <w:rPr>
          <w:rFonts w:ascii="Times New Roman" w:hAnsi="Times New Roman" w:cs="Times New Roman"/>
          <w:sz w:val="24"/>
          <w:szCs w:val="24"/>
        </w:rPr>
      </w:pPr>
      <w:r w:rsidRPr="00EC1264">
        <w:rPr>
          <w:rFonts w:ascii="Times New Roman" w:hAnsi="Times New Roman" w:cs="Times New Roman"/>
          <w:sz w:val="24"/>
          <w:szCs w:val="24"/>
        </w:rPr>
        <w:t>As of December 25, 2025, the annual energy delivered to the grid by the Souapiti Dam reached 2,286,763.70 MWh, corresponding to an average daily power output of 229.18 MW. The annual achievement rate relative to the PPA is 120.42%, reflecting a significant overperformance. The monthly achievement rate, for its part, stands at 98.32%.</w:t>
      </w:r>
    </w:p>
    <w:p w14:paraId="17F6C12A"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Table 1. Annual Energy Performance Indicators of the Souapiti Dam</w:t>
      </w:r>
    </w:p>
    <w:tbl>
      <w:tblPr>
        <w:tblStyle w:val="TableGrid"/>
        <w:tblW w:w="0" w:type="auto"/>
        <w:tblLook w:val="04A0" w:firstRow="1" w:lastRow="0" w:firstColumn="1" w:lastColumn="0" w:noHBand="0" w:noVBand="1"/>
      </w:tblPr>
      <w:tblGrid>
        <w:gridCol w:w="3116"/>
        <w:gridCol w:w="3117"/>
        <w:gridCol w:w="1275"/>
      </w:tblGrid>
      <w:tr w:rsidR="00C83D49" w:rsidRPr="002E49B5" w14:paraId="617C4FED" w14:textId="77777777" w:rsidTr="007E3DE9">
        <w:tc>
          <w:tcPr>
            <w:tcW w:w="3116" w:type="dxa"/>
          </w:tcPr>
          <w:p w14:paraId="51CAD2E6" w14:textId="348E5819" w:rsidR="00C83D49" w:rsidRPr="002E49B5" w:rsidRDefault="00C83D49" w:rsidP="00C83D49">
            <w:pPr>
              <w:spacing w:line="360" w:lineRule="auto"/>
              <w:rPr>
                <w:rFonts w:ascii="Times New Roman" w:hAnsi="Times New Roman" w:cs="Times New Roman"/>
                <w:sz w:val="24"/>
                <w:szCs w:val="24"/>
                <w:lang w:val="fr-FR"/>
              </w:rPr>
            </w:pPr>
            <w:r w:rsidRPr="00953E64">
              <w:rPr>
                <w:rStyle w:val="Strong"/>
              </w:rPr>
              <w:t>Indicator</w:t>
            </w:r>
          </w:p>
        </w:tc>
        <w:tc>
          <w:tcPr>
            <w:tcW w:w="3117" w:type="dxa"/>
          </w:tcPr>
          <w:p w14:paraId="6D09A535" w14:textId="52437C9F" w:rsidR="00C83D49" w:rsidRPr="002E49B5" w:rsidRDefault="00C83D49" w:rsidP="00C83D49">
            <w:pPr>
              <w:spacing w:line="360" w:lineRule="auto"/>
              <w:rPr>
                <w:rFonts w:ascii="Times New Roman" w:hAnsi="Times New Roman" w:cs="Times New Roman"/>
                <w:sz w:val="24"/>
                <w:szCs w:val="24"/>
                <w:lang w:val="fr-FR"/>
              </w:rPr>
            </w:pPr>
            <w:r w:rsidRPr="00B8292D">
              <w:rPr>
                <w:rStyle w:val="Strong"/>
              </w:rPr>
              <w:t>Value</w:t>
            </w:r>
            <w:r w:rsidRPr="00B8292D">
              <w:t> </w:t>
            </w:r>
          </w:p>
        </w:tc>
        <w:tc>
          <w:tcPr>
            <w:tcW w:w="1275" w:type="dxa"/>
          </w:tcPr>
          <w:p w14:paraId="2613D26C" w14:textId="5147C258" w:rsidR="00C83D49" w:rsidRPr="002E49B5" w:rsidRDefault="00C83D49" w:rsidP="00C83D49">
            <w:pPr>
              <w:spacing w:line="360" w:lineRule="auto"/>
              <w:rPr>
                <w:rFonts w:ascii="Times New Roman" w:hAnsi="Times New Roman" w:cs="Times New Roman"/>
                <w:sz w:val="24"/>
                <w:szCs w:val="24"/>
                <w:lang w:val="fr-FR"/>
              </w:rPr>
            </w:pPr>
            <w:r w:rsidRPr="00B8292D">
              <w:t> </w:t>
            </w:r>
            <w:r w:rsidRPr="00B8292D">
              <w:rPr>
                <w:rStyle w:val="Strong"/>
              </w:rPr>
              <w:t>Unit</w:t>
            </w:r>
          </w:p>
        </w:tc>
      </w:tr>
      <w:tr w:rsidR="00C83D49" w:rsidRPr="002E49B5" w14:paraId="59C050A8" w14:textId="77777777" w:rsidTr="007E3DE9">
        <w:tc>
          <w:tcPr>
            <w:tcW w:w="3116" w:type="dxa"/>
          </w:tcPr>
          <w:p w14:paraId="79131701" w14:textId="6657E3E0" w:rsidR="00C83D49" w:rsidRPr="00C83D49" w:rsidRDefault="00C83D49" w:rsidP="00C83D49">
            <w:pPr>
              <w:spacing w:line="360" w:lineRule="auto"/>
              <w:rPr>
                <w:rFonts w:ascii="Times New Roman" w:hAnsi="Times New Roman" w:cs="Times New Roman"/>
                <w:sz w:val="24"/>
                <w:szCs w:val="24"/>
              </w:rPr>
            </w:pPr>
            <w:r w:rsidRPr="00953E64">
              <w:rPr>
                <w:rStyle w:val="Strong"/>
              </w:rPr>
              <w:t>Annual energy delivered to the grid</w:t>
            </w:r>
          </w:p>
        </w:tc>
        <w:tc>
          <w:tcPr>
            <w:tcW w:w="3117" w:type="dxa"/>
          </w:tcPr>
          <w:p w14:paraId="6C666E62" w14:textId="15A48B6A"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2 286 763,70</w:t>
            </w:r>
          </w:p>
        </w:tc>
        <w:tc>
          <w:tcPr>
            <w:tcW w:w="1275" w:type="dxa"/>
          </w:tcPr>
          <w:p w14:paraId="30A58A88" w14:textId="648512CE"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MWh</w:t>
            </w:r>
          </w:p>
        </w:tc>
      </w:tr>
      <w:tr w:rsidR="00C83D49" w:rsidRPr="002E49B5" w14:paraId="21B77224" w14:textId="77777777" w:rsidTr="007E3DE9">
        <w:tc>
          <w:tcPr>
            <w:tcW w:w="3116" w:type="dxa"/>
          </w:tcPr>
          <w:p w14:paraId="41E32149" w14:textId="7B0A1707" w:rsidR="00C83D49" w:rsidRPr="002E49B5" w:rsidRDefault="00C83D49" w:rsidP="00C83D49">
            <w:pPr>
              <w:spacing w:line="360" w:lineRule="auto"/>
              <w:rPr>
                <w:rFonts w:ascii="Times New Roman" w:hAnsi="Times New Roman" w:cs="Times New Roman"/>
                <w:sz w:val="24"/>
                <w:szCs w:val="24"/>
                <w:lang w:val="fr-FR"/>
              </w:rPr>
            </w:pPr>
            <w:r w:rsidRPr="00953E64">
              <w:rPr>
                <w:rStyle w:val="Strong"/>
              </w:rPr>
              <w:t>Average daily power output</w:t>
            </w:r>
          </w:p>
        </w:tc>
        <w:tc>
          <w:tcPr>
            <w:tcW w:w="3117" w:type="dxa"/>
          </w:tcPr>
          <w:p w14:paraId="4180C8B5" w14:textId="103C9F27"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229,18</w:t>
            </w:r>
          </w:p>
        </w:tc>
        <w:tc>
          <w:tcPr>
            <w:tcW w:w="1275" w:type="dxa"/>
          </w:tcPr>
          <w:p w14:paraId="04A0A3C5" w14:textId="00B24A01"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MW</w:t>
            </w:r>
          </w:p>
        </w:tc>
      </w:tr>
      <w:tr w:rsidR="00C83D49" w:rsidRPr="002E49B5" w14:paraId="3DA2C303" w14:textId="77777777" w:rsidTr="007E3DE9">
        <w:tc>
          <w:tcPr>
            <w:tcW w:w="3116" w:type="dxa"/>
          </w:tcPr>
          <w:p w14:paraId="15A2A40D" w14:textId="392FBBF3" w:rsidR="00C83D49" w:rsidRPr="002E49B5" w:rsidRDefault="00C83D49" w:rsidP="00C83D49">
            <w:pPr>
              <w:spacing w:line="360" w:lineRule="auto"/>
              <w:rPr>
                <w:rFonts w:ascii="Times New Roman" w:hAnsi="Times New Roman" w:cs="Times New Roman"/>
                <w:sz w:val="24"/>
                <w:szCs w:val="24"/>
                <w:lang w:val="fr-FR"/>
              </w:rPr>
            </w:pPr>
            <w:r w:rsidRPr="00953E64">
              <w:rPr>
                <w:rStyle w:val="Strong"/>
              </w:rPr>
              <w:t>Annual achievement rate (PPA)</w:t>
            </w:r>
          </w:p>
        </w:tc>
        <w:tc>
          <w:tcPr>
            <w:tcW w:w="3117" w:type="dxa"/>
          </w:tcPr>
          <w:p w14:paraId="1B7C3974" w14:textId="36F17835"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120,42</w:t>
            </w:r>
          </w:p>
        </w:tc>
        <w:tc>
          <w:tcPr>
            <w:tcW w:w="1275" w:type="dxa"/>
          </w:tcPr>
          <w:p w14:paraId="07B4C97F" w14:textId="689D4BB7"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w:t>
            </w:r>
          </w:p>
        </w:tc>
      </w:tr>
      <w:tr w:rsidR="00C83D49" w:rsidRPr="002E49B5" w14:paraId="5BEDA5AE" w14:textId="77777777" w:rsidTr="007E3DE9">
        <w:tc>
          <w:tcPr>
            <w:tcW w:w="3116" w:type="dxa"/>
          </w:tcPr>
          <w:p w14:paraId="28201492" w14:textId="7244D257" w:rsidR="00C83D49" w:rsidRPr="002E49B5" w:rsidRDefault="00C83D49" w:rsidP="00C83D49">
            <w:pPr>
              <w:spacing w:line="360" w:lineRule="auto"/>
              <w:rPr>
                <w:rFonts w:ascii="Times New Roman" w:hAnsi="Times New Roman" w:cs="Times New Roman"/>
                <w:sz w:val="24"/>
                <w:szCs w:val="24"/>
                <w:lang w:val="fr-FR"/>
              </w:rPr>
            </w:pPr>
            <w:r w:rsidRPr="00953E64">
              <w:rPr>
                <w:rStyle w:val="Strong"/>
              </w:rPr>
              <w:t>Monthly achievement rate (PPA)</w:t>
            </w:r>
          </w:p>
        </w:tc>
        <w:tc>
          <w:tcPr>
            <w:tcW w:w="3117" w:type="dxa"/>
          </w:tcPr>
          <w:p w14:paraId="71C1EDA4" w14:textId="2CA704D5"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98,32</w:t>
            </w:r>
          </w:p>
        </w:tc>
        <w:tc>
          <w:tcPr>
            <w:tcW w:w="1275" w:type="dxa"/>
          </w:tcPr>
          <w:p w14:paraId="37C6AD28" w14:textId="1E712BE2" w:rsidR="00C83D49" w:rsidRPr="002E49B5" w:rsidRDefault="00C83D49" w:rsidP="00C83D4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w:t>
            </w:r>
          </w:p>
        </w:tc>
      </w:tr>
    </w:tbl>
    <w:p w14:paraId="2A842789" w14:textId="77777777" w:rsidR="00FC0384" w:rsidRDefault="00FC0384" w:rsidP="002E49B5">
      <w:pPr>
        <w:spacing w:line="360" w:lineRule="auto"/>
        <w:rPr>
          <w:rFonts w:ascii="Times New Roman" w:hAnsi="Times New Roman" w:cs="Times New Roman"/>
          <w:sz w:val="24"/>
          <w:szCs w:val="24"/>
          <w:lang w:val="fr-FR"/>
        </w:rPr>
      </w:pPr>
    </w:p>
    <w:p w14:paraId="594B4621" w14:textId="77777777" w:rsidR="007E3DE9" w:rsidRDefault="007E3DE9" w:rsidP="002E49B5">
      <w:pPr>
        <w:spacing w:line="360" w:lineRule="auto"/>
        <w:rPr>
          <w:rFonts w:ascii="Times New Roman" w:hAnsi="Times New Roman" w:cs="Times New Roman"/>
          <w:sz w:val="24"/>
          <w:szCs w:val="24"/>
          <w:lang w:val="fr-FR"/>
        </w:rPr>
      </w:pPr>
    </w:p>
    <w:p w14:paraId="7E5F223E" w14:textId="77777777" w:rsidR="007E3DE9" w:rsidRPr="002E49B5" w:rsidRDefault="007E3DE9" w:rsidP="002E49B5">
      <w:pPr>
        <w:spacing w:line="360" w:lineRule="auto"/>
        <w:rPr>
          <w:rFonts w:ascii="Times New Roman" w:hAnsi="Times New Roman" w:cs="Times New Roman"/>
          <w:sz w:val="24"/>
          <w:szCs w:val="24"/>
          <w:lang w:val="fr-FR"/>
        </w:rPr>
      </w:pPr>
    </w:p>
    <w:p w14:paraId="6F0DF3F1"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3.2 Annual Hydrological Status of the Reservoir</w:t>
      </w:r>
    </w:p>
    <w:p w14:paraId="055465F5" w14:textId="77777777" w:rsidR="00EC1264" w:rsidRPr="00EC1264" w:rsidRDefault="00EC1264" w:rsidP="00EC1264">
      <w:pPr>
        <w:spacing w:line="360" w:lineRule="auto"/>
        <w:rPr>
          <w:rFonts w:ascii="Times New Roman" w:hAnsi="Times New Roman" w:cs="Times New Roman"/>
          <w:sz w:val="24"/>
          <w:szCs w:val="24"/>
        </w:rPr>
      </w:pPr>
      <w:r w:rsidRPr="00EC1264">
        <w:rPr>
          <w:rFonts w:ascii="Times New Roman" w:hAnsi="Times New Roman" w:cs="Times New Roman"/>
          <w:sz w:val="24"/>
          <w:szCs w:val="24"/>
        </w:rPr>
        <w:t>The available active water layer is 23.89 m out of a maximum of 25 m, indicating a high storage level at the end of the year. The reservoir level, measured on December 26, 2025 at 00:00, is 208.89 m. Daily rainfall is zero (0.00 mm).</w:t>
      </w:r>
    </w:p>
    <w:p w14:paraId="11D80FCB" w14:textId="77777777" w:rsidR="00EC1264" w:rsidRPr="00EC1264" w:rsidRDefault="00EC1264" w:rsidP="00EC1264">
      <w:pPr>
        <w:spacing w:line="360" w:lineRule="auto"/>
        <w:rPr>
          <w:rFonts w:ascii="Times New Roman" w:hAnsi="Times New Roman" w:cs="Times New Roman"/>
          <w:b/>
          <w:bCs/>
          <w:sz w:val="24"/>
          <w:szCs w:val="24"/>
        </w:rPr>
      </w:pPr>
      <w:r w:rsidRPr="00EC1264">
        <w:rPr>
          <w:rFonts w:ascii="Times New Roman" w:hAnsi="Times New Roman" w:cs="Times New Roman"/>
          <w:b/>
          <w:bCs/>
          <w:sz w:val="24"/>
          <w:szCs w:val="24"/>
        </w:rPr>
        <w:t>Table 2. Hydrological Status of the Souapiti Dam Reservoir</w:t>
      </w:r>
    </w:p>
    <w:tbl>
      <w:tblPr>
        <w:tblStyle w:val="TableGrid"/>
        <w:tblW w:w="0" w:type="auto"/>
        <w:tblLook w:val="04A0" w:firstRow="1" w:lastRow="0" w:firstColumn="1" w:lastColumn="0" w:noHBand="0" w:noVBand="1"/>
      </w:tblPr>
      <w:tblGrid>
        <w:gridCol w:w="3116"/>
        <w:gridCol w:w="3117"/>
        <w:gridCol w:w="992"/>
      </w:tblGrid>
      <w:tr w:rsidR="00747AD4" w:rsidRPr="002E49B5" w14:paraId="6B4D55A2" w14:textId="77777777" w:rsidTr="007E3DE9">
        <w:tc>
          <w:tcPr>
            <w:tcW w:w="3116" w:type="dxa"/>
          </w:tcPr>
          <w:p w14:paraId="48C3AC91" w14:textId="73F19307" w:rsidR="00747AD4"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Param</w:t>
            </w:r>
            <w:r w:rsidR="00C83D49">
              <w:rPr>
                <w:rFonts w:ascii="Times New Roman" w:hAnsi="Times New Roman" w:cs="Times New Roman"/>
                <w:sz w:val="24"/>
                <w:szCs w:val="24"/>
                <w:lang w:val="fr-FR"/>
              </w:rPr>
              <w:t>e</w:t>
            </w:r>
            <w:r w:rsidRPr="002E49B5">
              <w:rPr>
                <w:rFonts w:ascii="Times New Roman" w:hAnsi="Times New Roman" w:cs="Times New Roman"/>
                <w:sz w:val="24"/>
                <w:szCs w:val="24"/>
                <w:lang w:val="fr-FR"/>
              </w:rPr>
              <w:t>t</w:t>
            </w:r>
            <w:r w:rsidR="00C83D49">
              <w:rPr>
                <w:rFonts w:ascii="Times New Roman" w:hAnsi="Times New Roman" w:cs="Times New Roman"/>
                <w:sz w:val="24"/>
                <w:szCs w:val="24"/>
                <w:lang w:val="fr-FR"/>
              </w:rPr>
              <w:t xml:space="preserve">er </w:t>
            </w:r>
          </w:p>
        </w:tc>
        <w:tc>
          <w:tcPr>
            <w:tcW w:w="3117" w:type="dxa"/>
          </w:tcPr>
          <w:p w14:paraId="15C00787" w14:textId="09B9AD29" w:rsidR="00747AD4" w:rsidRPr="002E49B5" w:rsidRDefault="00747AD4"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Val</w:t>
            </w:r>
            <w:r w:rsidR="00C83D49">
              <w:rPr>
                <w:rFonts w:ascii="Times New Roman" w:hAnsi="Times New Roman" w:cs="Times New Roman"/>
                <w:sz w:val="24"/>
                <w:szCs w:val="24"/>
                <w:lang w:val="fr-FR"/>
              </w:rPr>
              <w:t xml:space="preserve">ue </w:t>
            </w:r>
          </w:p>
        </w:tc>
        <w:tc>
          <w:tcPr>
            <w:tcW w:w="992" w:type="dxa"/>
          </w:tcPr>
          <w:p w14:paraId="02ED7926" w14:textId="3334A635" w:rsidR="00747AD4" w:rsidRPr="002E49B5" w:rsidRDefault="00747AD4"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Unit</w:t>
            </w:r>
          </w:p>
        </w:tc>
      </w:tr>
      <w:tr w:rsidR="00C83D49" w:rsidRPr="002E49B5" w14:paraId="189138EE" w14:textId="77777777" w:rsidTr="007E3DE9">
        <w:tc>
          <w:tcPr>
            <w:tcW w:w="3116" w:type="dxa"/>
          </w:tcPr>
          <w:p w14:paraId="10DB15DA" w14:textId="1F9A7970" w:rsidR="00C83D49" w:rsidRPr="002E49B5" w:rsidRDefault="00C83D49" w:rsidP="00C83D49">
            <w:pPr>
              <w:spacing w:line="360" w:lineRule="auto"/>
              <w:rPr>
                <w:rFonts w:ascii="Times New Roman" w:hAnsi="Times New Roman" w:cs="Times New Roman"/>
                <w:sz w:val="24"/>
                <w:szCs w:val="24"/>
                <w:lang w:val="fr-FR"/>
              </w:rPr>
            </w:pPr>
            <w:r w:rsidRPr="0083022E">
              <w:rPr>
                <w:rStyle w:val="Strong"/>
              </w:rPr>
              <w:t>Active water layer</w:t>
            </w:r>
          </w:p>
        </w:tc>
        <w:tc>
          <w:tcPr>
            <w:tcW w:w="3117" w:type="dxa"/>
          </w:tcPr>
          <w:p w14:paraId="3FE20943" w14:textId="10065AC6" w:rsidR="00C83D49" w:rsidRPr="002E49B5" w:rsidRDefault="00C83D49" w:rsidP="00C83D49">
            <w:pPr>
              <w:spacing w:line="360" w:lineRule="auto"/>
              <w:rPr>
                <w:rFonts w:ascii="Times New Roman" w:hAnsi="Times New Roman" w:cs="Times New Roman"/>
                <w:sz w:val="24"/>
                <w:szCs w:val="24"/>
                <w:lang w:val="fr-FR"/>
              </w:rPr>
            </w:pPr>
            <w:r w:rsidRPr="0083022E">
              <w:t>23.89 / 25</w:t>
            </w:r>
          </w:p>
        </w:tc>
        <w:tc>
          <w:tcPr>
            <w:tcW w:w="992" w:type="dxa"/>
          </w:tcPr>
          <w:p w14:paraId="5D8A2A9A" w14:textId="73C3841F" w:rsidR="00C83D49" w:rsidRPr="002E49B5" w:rsidRDefault="00C83D49" w:rsidP="00C83D49">
            <w:pPr>
              <w:spacing w:line="360" w:lineRule="auto"/>
              <w:rPr>
                <w:rFonts w:ascii="Times New Roman" w:hAnsi="Times New Roman" w:cs="Times New Roman"/>
                <w:sz w:val="24"/>
                <w:szCs w:val="24"/>
                <w:lang w:val="fr-FR"/>
              </w:rPr>
            </w:pPr>
            <w:r w:rsidRPr="0083022E">
              <w:t> </w:t>
            </w:r>
            <w:r w:rsidRPr="0083022E">
              <w:t>m</w:t>
            </w:r>
          </w:p>
        </w:tc>
      </w:tr>
      <w:tr w:rsidR="00C83D49" w:rsidRPr="002E49B5" w14:paraId="775CD3F6" w14:textId="77777777" w:rsidTr="007E3DE9">
        <w:tc>
          <w:tcPr>
            <w:tcW w:w="3116" w:type="dxa"/>
          </w:tcPr>
          <w:p w14:paraId="1641B3EB" w14:textId="2B81DAC7" w:rsidR="00C83D49" w:rsidRPr="002E49B5" w:rsidRDefault="00C83D49" w:rsidP="00C83D49">
            <w:pPr>
              <w:spacing w:line="360" w:lineRule="auto"/>
              <w:rPr>
                <w:rFonts w:ascii="Times New Roman" w:hAnsi="Times New Roman" w:cs="Times New Roman"/>
                <w:sz w:val="24"/>
                <w:szCs w:val="24"/>
                <w:lang w:val="fr-FR"/>
              </w:rPr>
            </w:pPr>
            <w:r w:rsidRPr="0083022E">
              <w:rPr>
                <w:rStyle w:val="Strong"/>
              </w:rPr>
              <w:t>Reservoir level</w:t>
            </w:r>
          </w:p>
        </w:tc>
        <w:tc>
          <w:tcPr>
            <w:tcW w:w="3117" w:type="dxa"/>
          </w:tcPr>
          <w:p w14:paraId="719FED59" w14:textId="6D186478" w:rsidR="00C83D49" w:rsidRPr="002E49B5" w:rsidRDefault="00C83D49" w:rsidP="00C83D49">
            <w:pPr>
              <w:spacing w:line="360" w:lineRule="auto"/>
              <w:rPr>
                <w:rFonts w:ascii="Times New Roman" w:hAnsi="Times New Roman" w:cs="Times New Roman"/>
                <w:sz w:val="24"/>
                <w:szCs w:val="24"/>
                <w:lang w:val="fr-FR"/>
              </w:rPr>
            </w:pPr>
            <w:r w:rsidRPr="0083022E">
              <w:t>208.89</w:t>
            </w:r>
          </w:p>
        </w:tc>
        <w:tc>
          <w:tcPr>
            <w:tcW w:w="992" w:type="dxa"/>
          </w:tcPr>
          <w:p w14:paraId="1F616B44" w14:textId="0388886E" w:rsidR="00C83D49" w:rsidRPr="002E49B5" w:rsidRDefault="00C83D49" w:rsidP="00C83D49">
            <w:pPr>
              <w:spacing w:line="360" w:lineRule="auto"/>
              <w:rPr>
                <w:rFonts w:ascii="Times New Roman" w:hAnsi="Times New Roman" w:cs="Times New Roman"/>
                <w:sz w:val="24"/>
                <w:szCs w:val="24"/>
                <w:lang w:val="fr-FR"/>
              </w:rPr>
            </w:pPr>
            <w:r w:rsidRPr="0083022E">
              <w:t> </w:t>
            </w:r>
            <w:r w:rsidRPr="0083022E">
              <w:t>m</w:t>
            </w:r>
          </w:p>
        </w:tc>
      </w:tr>
      <w:tr w:rsidR="00C83D49" w:rsidRPr="002E49B5" w14:paraId="5BA06FB0" w14:textId="77777777" w:rsidTr="007E3DE9">
        <w:tc>
          <w:tcPr>
            <w:tcW w:w="3116" w:type="dxa"/>
          </w:tcPr>
          <w:p w14:paraId="3F3C706A" w14:textId="1CA05C74" w:rsidR="00C83D49" w:rsidRPr="002E49B5" w:rsidRDefault="00C83D49" w:rsidP="00C83D49">
            <w:pPr>
              <w:spacing w:line="360" w:lineRule="auto"/>
              <w:rPr>
                <w:rFonts w:ascii="Times New Roman" w:hAnsi="Times New Roman" w:cs="Times New Roman"/>
                <w:sz w:val="24"/>
                <w:szCs w:val="24"/>
                <w:lang w:val="fr-FR"/>
              </w:rPr>
            </w:pPr>
            <w:r w:rsidRPr="0083022E">
              <w:rPr>
                <w:rStyle w:val="Strong"/>
              </w:rPr>
              <w:t>Rainfall</w:t>
            </w:r>
          </w:p>
        </w:tc>
        <w:tc>
          <w:tcPr>
            <w:tcW w:w="3117" w:type="dxa"/>
          </w:tcPr>
          <w:p w14:paraId="0CB169A7" w14:textId="6767D4DB" w:rsidR="00C83D49" w:rsidRPr="002E49B5" w:rsidRDefault="00C83D49" w:rsidP="00C83D49">
            <w:pPr>
              <w:spacing w:line="360" w:lineRule="auto"/>
              <w:rPr>
                <w:rFonts w:ascii="Times New Roman" w:hAnsi="Times New Roman" w:cs="Times New Roman"/>
                <w:sz w:val="24"/>
                <w:szCs w:val="24"/>
                <w:lang w:val="fr-FR"/>
              </w:rPr>
            </w:pPr>
            <w:r w:rsidRPr="0083022E">
              <w:t>0.00</w:t>
            </w:r>
          </w:p>
        </w:tc>
        <w:tc>
          <w:tcPr>
            <w:tcW w:w="992" w:type="dxa"/>
          </w:tcPr>
          <w:p w14:paraId="0D2EE8AA" w14:textId="69056F14" w:rsidR="00C83D49" w:rsidRPr="002E49B5" w:rsidRDefault="00C83D49" w:rsidP="00C83D49">
            <w:pPr>
              <w:spacing w:line="360" w:lineRule="auto"/>
              <w:rPr>
                <w:rFonts w:ascii="Times New Roman" w:hAnsi="Times New Roman" w:cs="Times New Roman"/>
                <w:sz w:val="24"/>
                <w:szCs w:val="24"/>
                <w:lang w:val="fr-FR"/>
              </w:rPr>
            </w:pPr>
            <w:r w:rsidRPr="0083022E">
              <w:t> </w:t>
            </w:r>
            <w:r w:rsidRPr="0083022E">
              <w:t>mm</w:t>
            </w:r>
          </w:p>
        </w:tc>
      </w:tr>
    </w:tbl>
    <w:p w14:paraId="0AF45498" w14:textId="77777777" w:rsidR="00FC0384" w:rsidRPr="002E49B5" w:rsidRDefault="00FC0384" w:rsidP="002E49B5">
      <w:pPr>
        <w:spacing w:line="360" w:lineRule="auto"/>
        <w:rPr>
          <w:rFonts w:ascii="Times New Roman" w:hAnsi="Times New Roman" w:cs="Times New Roman"/>
          <w:sz w:val="24"/>
          <w:szCs w:val="24"/>
          <w:lang w:val="fr-FR"/>
        </w:rPr>
      </w:pPr>
    </w:p>
    <w:p w14:paraId="55339473" w14:textId="77777777" w:rsidR="00C83D49" w:rsidRPr="00C83D49" w:rsidRDefault="00C83D49" w:rsidP="00C83D49">
      <w:pPr>
        <w:spacing w:line="360" w:lineRule="auto"/>
        <w:rPr>
          <w:rFonts w:ascii="Times New Roman" w:hAnsi="Times New Roman" w:cs="Times New Roman"/>
          <w:b/>
          <w:bCs/>
          <w:sz w:val="24"/>
          <w:szCs w:val="24"/>
          <w:lang w:val="fr-FR"/>
        </w:rPr>
      </w:pPr>
      <w:r w:rsidRPr="00C83D49">
        <w:rPr>
          <w:rFonts w:ascii="Times New Roman" w:hAnsi="Times New Roman" w:cs="Times New Roman"/>
          <w:b/>
          <w:bCs/>
          <w:sz w:val="24"/>
          <w:szCs w:val="24"/>
          <w:lang w:val="fr-FR"/>
        </w:rPr>
        <w:t>3.3 Operational Hydraulic Parameters</w:t>
      </w:r>
    </w:p>
    <w:p w14:paraId="36D2E3A8" w14:textId="77777777" w:rsidR="00C83D49" w:rsidRPr="00C83D49" w:rsidRDefault="00C83D49" w:rsidP="00C83D49">
      <w:pPr>
        <w:spacing w:line="360" w:lineRule="auto"/>
        <w:rPr>
          <w:rFonts w:ascii="Times New Roman" w:hAnsi="Times New Roman" w:cs="Times New Roman"/>
          <w:sz w:val="24"/>
          <w:szCs w:val="24"/>
        </w:rPr>
      </w:pPr>
      <w:r w:rsidRPr="00C83D49">
        <w:rPr>
          <w:rFonts w:ascii="Times New Roman" w:hAnsi="Times New Roman" w:cs="Times New Roman"/>
          <w:sz w:val="24"/>
          <w:szCs w:val="24"/>
        </w:rPr>
        <w:t>The observed inflow rate is 176.31 m³/s, while the turbine discharge reaches 263.62 m³/s, reflecting a controlled use of stored volumes to maintain electricity generation during periods of low inflows.</w:t>
      </w:r>
    </w:p>
    <w:p w14:paraId="537482BD" w14:textId="1158FA75" w:rsidR="00C83D49" w:rsidRPr="00C83D49" w:rsidRDefault="00C83D49" w:rsidP="00C83D49">
      <w:pPr>
        <w:numPr>
          <w:ilvl w:val="0"/>
          <w:numId w:val="4"/>
        </w:numPr>
        <w:spacing w:line="360" w:lineRule="auto"/>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Inflow </w:t>
      </w:r>
      <w:r w:rsidR="007E3DE9" w:rsidRPr="00C83D49">
        <w:rPr>
          <w:rFonts w:ascii="Times New Roman" w:hAnsi="Times New Roman" w:cs="Times New Roman"/>
          <w:sz w:val="24"/>
          <w:szCs w:val="24"/>
          <w:lang w:val="fr-FR"/>
        </w:rPr>
        <w:t>rate :</w:t>
      </w:r>
      <w:r w:rsidRPr="00C83D49">
        <w:rPr>
          <w:rFonts w:ascii="Times New Roman" w:hAnsi="Times New Roman" w:cs="Times New Roman"/>
          <w:sz w:val="24"/>
          <w:szCs w:val="24"/>
          <w:lang w:val="fr-FR"/>
        </w:rPr>
        <w:t xml:space="preserve"> 176.31 m³/s</w:t>
      </w:r>
    </w:p>
    <w:p w14:paraId="304007B9" w14:textId="6F4C28FA" w:rsidR="007E3DE9" w:rsidRPr="00C83D49" w:rsidRDefault="00C83D49" w:rsidP="007E3DE9">
      <w:pPr>
        <w:numPr>
          <w:ilvl w:val="0"/>
          <w:numId w:val="4"/>
        </w:numPr>
        <w:spacing w:line="360" w:lineRule="auto"/>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Turbine </w:t>
      </w:r>
      <w:r w:rsidR="007E3DE9" w:rsidRPr="00C83D49">
        <w:rPr>
          <w:rFonts w:ascii="Times New Roman" w:hAnsi="Times New Roman" w:cs="Times New Roman"/>
          <w:sz w:val="24"/>
          <w:szCs w:val="24"/>
          <w:lang w:val="fr-FR"/>
        </w:rPr>
        <w:t>discharge :</w:t>
      </w:r>
      <w:r w:rsidRPr="00C83D49">
        <w:rPr>
          <w:rFonts w:ascii="Times New Roman" w:hAnsi="Times New Roman" w:cs="Times New Roman"/>
          <w:sz w:val="24"/>
          <w:szCs w:val="24"/>
          <w:lang w:val="fr-FR"/>
        </w:rPr>
        <w:t xml:space="preserve"> 263.62 m³/s</w:t>
      </w:r>
    </w:p>
    <w:p w14:paraId="217AE6DC" w14:textId="77777777" w:rsidR="00C83D49" w:rsidRPr="00C83D49" w:rsidRDefault="00C83D49" w:rsidP="00C83D49">
      <w:pPr>
        <w:spacing w:line="360" w:lineRule="auto"/>
        <w:rPr>
          <w:rFonts w:ascii="Times New Roman" w:hAnsi="Times New Roman" w:cs="Times New Roman"/>
          <w:b/>
          <w:bCs/>
          <w:sz w:val="24"/>
          <w:szCs w:val="24"/>
        </w:rPr>
      </w:pPr>
      <w:r w:rsidRPr="00C83D49">
        <w:rPr>
          <w:rFonts w:ascii="Times New Roman" w:hAnsi="Times New Roman" w:cs="Times New Roman"/>
          <w:b/>
          <w:bCs/>
          <w:sz w:val="24"/>
          <w:szCs w:val="24"/>
        </w:rPr>
        <w:t>Table 3. Hydraulic Parameters of the Souapiti Dam</w:t>
      </w:r>
    </w:p>
    <w:tbl>
      <w:tblPr>
        <w:tblStyle w:val="TableGrid"/>
        <w:tblW w:w="0" w:type="auto"/>
        <w:tblLook w:val="04A0" w:firstRow="1" w:lastRow="0" w:firstColumn="1" w:lastColumn="0" w:noHBand="0" w:noVBand="1"/>
      </w:tblPr>
      <w:tblGrid>
        <w:gridCol w:w="3116"/>
        <w:gridCol w:w="3117"/>
        <w:gridCol w:w="3117"/>
      </w:tblGrid>
      <w:tr w:rsidR="004523F2" w:rsidRPr="002E49B5" w14:paraId="24469924" w14:textId="77777777" w:rsidTr="00792999">
        <w:tc>
          <w:tcPr>
            <w:tcW w:w="3116" w:type="dxa"/>
          </w:tcPr>
          <w:p w14:paraId="280DCD17" w14:textId="6EF48460"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Param</w:t>
            </w:r>
            <w:r w:rsidR="007E3DE9">
              <w:rPr>
                <w:rFonts w:ascii="Times New Roman" w:hAnsi="Times New Roman" w:cs="Times New Roman"/>
                <w:sz w:val="24"/>
                <w:szCs w:val="24"/>
                <w:lang w:val="fr-FR"/>
              </w:rPr>
              <w:t>e</w:t>
            </w:r>
            <w:r w:rsidRPr="002E49B5">
              <w:rPr>
                <w:rFonts w:ascii="Times New Roman" w:hAnsi="Times New Roman" w:cs="Times New Roman"/>
                <w:sz w:val="24"/>
                <w:szCs w:val="24"/>
                <w:lang w:val="fr-FR"/>
              </w:rPr>
              <w:t>te</w:t>
            </w:r>
            <w:r w:rsidR="007E3DE9">
              <w:rPr>
                <w:rFonts w:ascii="Times New Roman" w:hAnsi="Times New Roman" w:cs="Times New Roman"/>
                <w:sz w:val="24"/>
                <w:szCs w:val="24"/>
                <w:lang w:val="fr-FR"/>
              </w:rPr>
              <w:t>r</w:t>
            </w:r>
            <w:r w:rsidRPr="002E49B5">
              <w:rPr>
                <w:rFonts w:ascii="Times New Roman" w:hAnsi="Times New Roman" w:cs="Times New Roman"/>
                <w:sz w:val="24"/>
                <w:szCs w:val="24"/>
                <w:lang w:val="fr-FR"/>
              </w:rPr>
              <w:t xml:space="preserve"> </w:t>
            </w:r>
          </w:p>
        </w:tc>
        <w:tc>
          <w:tcPr>
            <w:tcW w:w="3117" w:type="dxa"/>
          </w:tcPr>
          <w:p w14:paraId="3481B77C" w14:textId="1AE63368"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Val</w:t>
            </w:r>
            <w:r w:rsidR="007E3DE9">
              <w:rPr>
                <w:rFonts w:ascii="Times New Roman" w:hAnsi="Times New Roman" w:cs="Times New Roman"/>
                <w:sz w:val="24"/>
                <w:szCs w:val="24"/>
                <w:lang w:val="fr-FR"/>
              </w:rPr>
              <w:t>ue</w:t>
            </w:r>
          </w:p>
        </w:tc>
        <w:tc>
          <w:tcPr>
            <w:tcW w:w="3117" w:type="dxa"/>
          </w:tcPr>
          <w:p w14:paraId="6F68D880" w14:textId="0C4EDA4D"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Unit</w:t>
            </w:r>
          </w:p>
        </w:tc>
      </w:tr>
      <w:tr w:rsidR="007E3DE9" w:rsidRPr="002E49B5" w14:paraId="12752E45" w14:textId="77777777" w:rsidTr="00792999">
        <w:tc>
          <w:tcPr>
            <w:tcW w:w="3116" w:type="dxa"/>
          </w:tcPr>
          <w:p w14:paraId="436DD09F" w14:textId="24D49E38" w:rsidR="007E3DE9" w:rsidRPr="002E49B5" w:rsidRDefault="007E3DE9" w:rsidP="007E3DE9">
            <w:pPr>
              <w:spacing w:line="360" w:lineRule="auto"/>
              <w:rPr>
                <w:rFonts w:ascii="Times New Roman" w:hAnsi="Times New Roman" w:cs="Times New Roman"/>
                <w:sz w:val="24"/>
                <w:szCs w:val="24"/>
                <w:lang w:val="fr-FR"/>
              </w:rPr>
            </w:pPr>
            <w:r w:rsidRPr="00C03F12">
              <w:rPr>
                <w:rStyle w:val="Strong"/>
              </w:rPr>
              <w:t>Inflow rate</w:t>
            </w:r>
          </w:p>
        </w:tc>
        <w:tc>
          <w:tcPr>
            <w:tcW w:w="3117" w:type="dxa"/>
          </w:tcPr>
          <w:p w14:paraId="66E935BB" w14:textId="104E495F"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176,31</w:t>
            </w:r>
          </w:p>
        </w:tc>
        <w:tc>
          <w:tcPr>
            <w:tcW w:w="3117" w:type="dxa"/>
          </w:tcPr>
          <w:p w14:paraId="1BBF3C33" w14:textId="05C60915" w:rsidR="007E3DE9" w:rsidRPr="002E49B5" w:rsidRDefault="007E3DE9" w:rsidP="007E3DE9">
            <w:pPr>
              <w:spacing w:line="360" w:lineRule="auto"/>
              <w:rPr>
                <w:rFonts w:ascii="Times New Roman" w:hAnsi="Times New Roman" w:cs="Times New Roman"/>
                <w:sz w:val="24"/>
                <w:szCs w:val="24"/>
                <w:lang w:val="fr-FR"/>
              </w:rPr>
            </w:pPr>
            <w:proofErr w:type="gramStart"/>
            <w:r w:rsidRPr="002E49B5">
              <w:rPr>
                <w:rFonts w:ascii="Times New Roman" w:hAnsi="Times New Roman" w:cs="Times New Roman"/>
                <w:sz w:val="24"/>
                <w:szCs w:val="24"/>
                <w:lang w:val="fr-FR"/>
              </w:rPr>
              <w:t>m</w:t>
            </w:r>
            <w:proofErr w:type="gramEnd"/>
            <w:r w:rsidRPr="002E49B5">
              <w:rPr>
                <w:rFonts w:ascii="Times New Roman" w:hAnsi="Times New Roman" w:cs="Times New Roman"/>
                <w:sz w:val="24"/>
                <w:szCs w:val="24"/>
                <w:lang w:val="fr-FR"/>
              </w:rPr>
              <w:t>³/s</w:t>
            </w:r>
          </w:p>
        </w:tc>
      </w:tr>
      <w:tr w:rsidR="007E3DE9" w:rsidRPr="002E49B5" w14:paraId="78265C10" w14:textId="77777777" w:rsidTr="00792999">
        <w:tc>
          <w:tcPr>
            <w:tcW w:w="3116" w:type="dxa"/>
          </w:tcPr>
          <w:p w14:paraId="347CDA52" w14:textId="08B863AD" w:rsidR="007E3DE9" w:rsidRPr="002E49B5" w:rsidRDefault="007E3DE9" w:rsidP="007E3DE9">
            <w:pPr>
              <w:spacing w:line="360" w:lineRule="auto"/>
              <w:rPr>
                <w:rFonts w:ascii="Times New Roman" w:hAnsi="Times New Roman" w:cs="Times New Roman"/>
                <w:sz w:val="24"/>
                <w:szCs w:val="24"/>
                <w:lang w:val="fr-FR"/>
              </w:rPr>
            </w:pPr>
            <w:r w:rsidRPr="00C03F12">
              <w:br/>
            </w:r>
            <w:r w:rsidRPr="00C03F12">
              <w:rPr>
                <w:rStyle w:val="Strong"/>
              </w:rPr>
              <w:t>Turbine discharge</w:t>
            </w:r>
          </w:p>
        </w:tc>
        <w:tc>
          <w:tcPr>
            <w:tcW w:w="3117" w:type="dxa"/>
          </w:tcPr>
          <w:p w14:paraId="34D039AE" w14:textId="6DF688F2"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263,62</w:t>
            </w:r>
          </w:p>
        </w:tc>
        <w:tc>
          <w:tcPr>
            <w:tcW w:w="3117" w:type="dxa"/>
          </w:tcPr>
          <w:p w14:paraId="3341A366" w14:textId="1B3061DB" w:rsidR="007E3DE9" w:rsidRPr="002E49B5" w:rsidRDefault="007E3DE9" w:rsidP="007E3DE9">
            <w:pPr>
              <w:spacing w:line="360" w:lineRule="auto"/>
              <w:rPr>
                <w:rFonts w:ascii="Times New Roman" w:hAnsi="Times New Roman" w:cs="Times New Roman"/>
                <w:sz w:val="24"/>
                <w:szCs w:val="24"/>
                <w:lang w:val="fr-FR"/>
              </w:rPr>
            </w:pPr>
            <w:proofErr w:type="gramStart"/>
            <w:r w:rsidRPr="002E49B5">
              <w:rPr>
                <w:rFonts w:ascii="Times New Roman" w:hAnsi="Times New Roman" w:cs="Times New Roman"/>
                <w:sz w:val="24"/>
                <w:szCs w:val="24"/>
                <w:lang w:val="fr-FR"/>
              </w:rPr>
              <w:t>m</w:t>
            </w:r>
            <w:proofErr w:type="gramEnd"/>
            <w:r w:rsidRPr="002E49B5">
              <w:rPr>
                <w:rFonts w:ascii="Times New Roman" w:hAnsi="Times New Roman" w:cs="Times New Roman"/>
                <w:sz w:val="24"/>
                <w:szCs w:val="24"/>
                <w:lang w:val="fr-FR"/>
              </w:rPr>
              <w:t>³/s</w:t>
            </w:r>
          </w:p>
        </w:tc>
      </w:tr>
    </w:tbl>
    <w:p w14:paraId="5BB2B1FB" w14:textId="77777777" w:rsidR="007E3DE9" w:rsidRDefault="007E3DE9" w:rsidP="00C83D49">
      <w:pPr>
        <w:spacing w:line="360" w:lineRule="auto"/>
        <w:rPr>
          <w:rFonts w:ascii="Times New Roman" w:hAnsi="Times New Roman" w:cs="Times New Roman"/>
          <w:b/>
          <w:bCs/>
          <w:sz w:val="24"/>
          <w:szCs w:val="24"/>
          <w:lang w:val="fr-FR"/>
        </w:rPr>
      </w:pPr>
    </w:p>
    <w:p w14:paraId="43240053" w14:textId="0BC690EE" w:rsidR="00C83D49" w:rsidRPr="00C83D49" w:rsidRDefault="00C83D49" w:rsidP="00C83D49">
      <w:pPr>
        <w:spacing w:line="360" w:lineRule="auto"/>
        <w:rPr>
          <w:rFonts w:ascii="Times New Roman" w:hAnsi="Times New Roman" w:cs="Times New Roman"/>
          <w:b/>
          <w:bCs/>
          <w:sz w:val="24"/>
          <w:szCs w:val="24"/>
          <w:lang w:val="fr-FR"/>
        </w:rPr>
      </w:pPr>
      <w:r w:rsidRPr="00C83D49">
        <w:rPr>
          <w:rFonts w:ascii="Times New Roman" w:hAnsi="Times New Roman" w:cs="Times New Roman"/>
          <w:b/>
          <w:bCs/>
          <w:sz w:val="24"/>
          <w:szCs w:val="24"/>
          <w:lang w:val="fr-FR"/>
        </w:rPr>
        <w:t>3.3 Operational Hydraulic Parameters</w:t>
      </w:r>
    </w:p>
    <w:p w14:paraId="572D3F93"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lastRenderedPageBreak/>
        <w:t>The observed inflow rate is 176.31 m³/s, while the turbine discharge reaches 263.62 m³/s, indicating a controlled use of stored water volumes to sustain electricity generation during periods of low inflows.</w:t>
      </w:r>
    </w:p>
    <w:p w14:paraId="7DECD8EB" w14:textId="29BCB29B" w:rsidR="00C83D49" w:rsidRPr="00C83D49" w:rsidRDefault="00C83D49" w:rsidP="00E57C09">
      <w:pPr>
        <w:numPr>
          <w:ilvl w:val="0"/>
          <w:numId w:val="5"/>
        </w:numPr>
        <w:spacing w:line="360" w:lineRule="auto"/>
        <w:jc w:val="both"/>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Inflow </w:t>
      </w:r>
      <w:r w:rsidR="00E57C09" w:rsidRPr="00C83D49">
        <w:rPr>
          <w:rFonts w:ascii="Times New Roman" w:hAnsi="Times New Roman" w:cs="Times New Roman"/>
          <w:sz w:val="24"/>
          <w:szCs w:val="24"/>
          <w:lang w:val="fr-FR"/>
        </w:rPr>
        <w:t>rate :</w:t>
      </w:r>
      <w:r w:rsidRPr="00C83D49">
        <w:rPr>
          <w:rFonts w:ascii="Times New Roman" w:hAnsi="Times New Roman" w:cs="Times New Roman"/>
          <w:sz w:val="24"/>
          <w:szCs w:val="24"/>
          <w:lang w:val="fr-FR"/>
        </w:rPr>
        <w:t xml:space="preserve"> 176.31 m³/s</w:t>
      </w:r>
    </w:p>
    <w:p w14:paraId="024AAC81" w14:textId="2268DD82" w:rsidR="00C83D49" w:rsidRPr="00C83D49" w:rsidRDefault="00C83D49" w:rsidP="00E57C09">
      <w:pPr>
        <w:numPr>
          <w:ilvl w:val="0"/>
          <w:numId w:val="5"/>
        </w:numPr>
        <w:spacing w:line="360" w:lineRule="auto"/>
        <w:jc w:val="both"/>
        <w:rPr>
          <w:rFonts w:ascii="Times New Roman" w:hAnsi="Times New Roman" w:cs="Times New Roman"/>
          <w:sz w:val="24"/>
          <w:szCs w:val="24"/>
          <w:lang w:val="fr-FR"/>
        </w:rPr>
      </w:pPr>
      <w:r w:rsidRPr="00C83D49">
        <w:rPr>
          <w:rFonts w:ascii="Times New Roman" w:hAnsi="Times New Roman" w:cs="Times New Roman"/>
          <w:sz w:val="24"/>
          <w:szCs w:val="24"/>
          <w:lang w:val="fr-FR"/>
        </w:rPr>
        <w:t xml:space="preserve">Turbine </w:t>
      </w:r>
      <w:r w:rsidR="00E57C09" w:rsidRPr="00C83D49">
        <w:rPr>
          <w:rFonts w:ascii="Times New Roman" w:hAnsi="Times New Roman" w:cs="Times New Roman"/>
          <w:sz w:val="24"/>
          <w:szCs w:val="24"/>
          <w:lang w:val="fr-FR"/>
        </w:rPr>
        <w:t>discharge :</w:t>
      </w:r>
      <w:r w:rsidRPr="00C83D49">
        <w:rPr>
          <w:rFonts w:ascii="Times New Roman" w:hAnsi="Times New Roman" w:cs="Times New Roman"/>
          <w:sz w:val="24"/>
          <w:szCs w:val="24"/>
          <w:lang w:val="fr-FR"/>
        </w:rPr>
        <w:t xml:space="preserve"> 263.62 m³/s</w:t>
      </w:r>
    </w:p>
    <w:p w14:paraId="05C89188" w14:textId="77777777" w:rsidR="00C83D49" w:rsidRPr="00C83D49" w:rsidRDefault="00C83D49" w:rsidP="00C83D49">
      <w:pPr>
        <w:spacing w:line="360" w:lineRule="auto"/>
        <w:rPr>
          <w:rFonts w:ascii="Times New Roman" w:hAnsi="Times New Roman" w:cs="Times New Roman"/>
          <w:b/>
          <w:bCs/>
          <w:sz w:val="24"/>
          <w:szCs w:val="24"/>
        </w:rPr>
      </w:pPr>
      <w:r w:rsidRPr="00C83D49">
        <w:rPr>
          <w:rFonts w:ascii="Times New Roman" w:hAnsi="Times New Roman" w:cs="Times New Roman"/>
          <w:b/>
          <w:bCs/>
          <w:sz w:val="24"/>
          <w:szCs w:val="24"/>
        </w:rPr>
        <w:t>Table 3. Hydraulic Parameters of the Souapiti Dam</w:t>
      </w:r>
    </w:p>
    <w:tbl>
      <w:tblPr>
        <w:tblStyle w:val="TableGrid"/>
        <w:tblW w:w="0" w:type="auto"/>
        <w:tblLook w:val="04A0" w:firstRow="1" w:lastRow="0" w:firstColumn="1" w:lastColumn="0" w:noHBand="0" w:noVBand="1"/>
      </w:tblPr>
      <w:tblGrid>
        <w:gridCol w:w="3116"/>
        <w:gridCol w:w="3117"/>
        <w:gridCol w:w="2551"/>
      </w:tblGrid>
      <w:tr w:rsidR="004523F2" w:rsidRPr="002E49B5" w14:paraId="37080B2B" w14:textId="77777777" w:rsidTr="007E3DE9">
        <w:tc>
          <w:tcPr>
            <w:tcW w:w="3116" w:type="dxa"/>
          </w:tcPr>
          <w:p w14:paraId="5A9EC407" w14:textId="7D202D81"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Param</w:t>
            </w:r>
            <w:r w:rsidR="007E3DE9">
              <w:rPr>
                <w:rFonts w:ascii="Times New Roman" w:hAnsi="Times New Roman" w:cs="Times New Roman"/>
                <w:sz w:val="24"/>
                <w:szCs w:val="24"/>
                <w:lang w:val="fr-FR"/>
              </w:rPr>
              <w:t>e</w:t>
            </w:r>
            <w:r w:rsidRPr="002E49B5">
              <w:rPr>
                <w:rFonts w:ascii="Times New Roman" w:hAnsi="Times New Roman" w:cs="Times New Roman"/>
                <w:sz w:val="24"/>
                <w:szCs w:val="24"/>
                <w:lang w:val="fr-FR"/>
              </w:rPr>
              <w:t>te</w:t>
            </w:r>
            <w:r w:rsidR="007E3DE9">
              <w:rPr>
                <w:rFonts w:ascii="Times New Roman" w:hAnsi="Times New Roman" w:cs="Times New Roman"/>
                <w:sz w:val="24"/>
                <w:szCs w:val="24"/>
                <w:lang w:val="fr-FR"/>
              </w:rPr>
              <w:t>r</w:t>
            </w:r>
            <w:r w:rsidRPr="002E49B5">
              <w:rPr>
                <w:rFonts w:ascii="Times New Roman" w:hAnsi="Times New Roman" w:cs="Times New Roman"/>
                <w:sz w:val="24"/>
                <w:szCs w:val="24"/>
                <w:lang w:val="fr-FR"/>
              </w:rPr>
              <w:t xml:space="preserve"> </w:t>
            </w:r>
          </w:p>
        </w:tc>
        <w:tc>
          <w:tcPr>
            <w:tcW w:w="3117" w:type="dxa"/>
          </w:tcPr>
          <w:p w14:paraId="17D3246D" w14:textId="4A86E341"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Valu</w:t>
            </w:r>
            <w:r w:rsidR="007E3DE9">
              <w:rPr>
                <w:rFonts w:ascii="Times New Roman" w:hAnsi="Times New Roman" w:cs="Times New Roman"/>
                <w:sz w:val="24"/>
                <w:szCs w:val="24"/>
                <w:lang w:val="fr-FR"/>
              </w:rPr>
              <w:t>e</w:t>
            </w:r>
          </w:p>
        </w:tc>
        <w:tc>
          <w:tcPr>
            <w:tcW w:w="2551" w:type="dxa"/>
          </w:tcPr>
          <w:p w14:paraId="1A2921F2" w14:textId="33C90F81" w:rsidR="004523F2" w:rsidRPr="002E49B5" w:rsidRDefault="004523F2" w:rsidP="002E49B5">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Unit</w:t>
            </w:r>
          </w:p>
        </w:tc>
      </w:tr>
      <w:tr w:rsidR="007E3DE9" w:rsidRPr="002E49B5" w14:paraId="3EA6D083" w14:textId="77777777" w:rsidTr="007E3DE9">
        <w:tc>
          <w:tcPr>
            <w:tcW w:w="3116" w:type="dxa"/>
          </w:tcPr>
          <w:p w14:paraId="4AA14AAF" w14:textId="64FF56A1" w:rsidR="007E3DE9" w:rsidRPr="007E3DE9" w:rsidRDefault="007E3DE9" w:rsidP="007E3DE9">
            <w:pPr>
              <w:spacing w:line="360" w:lineRule="auto"/>
              <w:rPr>
                <w:rFonts w:ascii="Times New Roman" w:hAnsi="Times New Roman" w:cs="Times New Roman"/>
                <w:sz w:val="24"/>
                <w:szCs w:val="24"/>
              </w:rPr>
            </w:pPr>
            <w:r w:rsidRPr="00F334DA">
              <w:rPr>
                <w:rStyle w:val="Strong"/>
              </w:rPr>
              <w:t>Average power output</w:t>
            </w:r>
          </w:p>
        </w:tc>
        <w:tc>
          <w:tcPr>
            <w:tcW w:w="3117" w:type="dxa"/>
          </w:tcPr>
          <w:p w14:paraId="28BB0227" w14:textId="1896193B"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349,92</w:t>
            </w:r>
          </w:p>
        </w:tc>
        <w:tc>
          <w:tcPr>
            <w:tcW w:w="2551" w:type="dxa"/>
          </w:tcPr>
          <w:p w14:paraId="294E5F32" w14:textId="6A2F3AEB"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MW</w:t>
            </w:r>
          </w:p>
        </w:tc>
      </w:tr>
      <w:tr w:rsidR="007E3DE9" w:rsidRPr="002E49B5" w14:paraId="4154B9DB" w14:textId="77777777" w:rsidTr="007E3DE9">
        <w:tc>
          <w:tcPr>
            <w:tcW w:w="3116" w:type="dxa"/>
          </w:tcPr>
          <w:p w14:paraId="209A1925" w14:textId="4B83BEC9" w:rsidR="007E3DE9" w:rsidRPr="007E3DE9" w:rsidRDefault="007E3DE9" w:rsidP="007E3DE9">
            <w:pPr>
              <w:spacing w:line="360" w:lineRule="auto"/>
              <w:rPr>
                <w:rFonts w:ascii="Times New Roman" w:hAnsi="Times New Roman" w:cs="Times New Roman"/>
                <w:sz w:val="24"/>
                <w:szCs w:val="24"/>
              </w:rPr>
            </w:pPr>
            <w:r w:rsidRPr="00F334DA">
              <w:br/>
            </w:r>
            <w:r w:rsidRPr="00F334DA">
              <w:rPr>
                <w:rStyle w:val="Strong"/>
              </w:rPr>
              <w:t>Daily operating load</w:t>
            </w:r>
          </w:p>
        </w:tc>
        <w:tc>
          <w:tcPr>
            <w:tcW w:w="3117" w:type="dxa"/>
          </w:tcPr>
          <w:p w14:paraId="52C354F7" w14:textId="4B3BFE88"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50,71</w:t>
            </w:r>
          </w:p>
        </w:tc>
        <w:tc>
          <w:tcPr>
            <w:tcW w:w="2551" w:type="dxa"/>
          </w:tcPr>
          <w:p w14:paraId="2A9F6E3C" w14:textId="42A529E8" w:rsidR="007E3DE9" w:rsidRPr="002E49B5" w:rsidRDefault="007E3DE9" w:rsidP="007E3DE9">
            <w:pPr>
              <w:spacing w:line="360" w:lineRule="auto"/>
              <w:rPr>
                <w:rFonts w:ascii="Times New Roman" w:hAnsi="Times New Roman" w:cs="Times New Roman"/>
                <w:sz w:val="24"/>
                <w:szCs w:val="24"/>
                <w:lang w:val="fr-FR"/>
              </w:rPr>
            </w:pPr>
            <w:r w:rsidRPr="002E49B5">
              <w:rPr>
                <w:rFonts w:ascii="Times New Roman" w:hAnsi="Times New Roman" w:cs="Times New Roman"/>
                <w:sz w:val="24"/>
                <w:szCs w:val="24"/>
                <w:lang w:val="fr-FR"/>
              </w:rPr>
              <w:t>%</w:t>
            </w:r>
          </w:p>
        </w:tc>
      </w:tr>
    </w:tbl>
    <w:p w14:paraId="14FB08BE" w14:textId="77777777" w:rsidR="00FC0384" w:rsidRPr="002E49B5" w:rsidRDefault="00FC0384" w:rsidP="002E49B5">
      <w:pPr>
        <w:spacing w:line="360" w:lineRule="auto"/>
        <w:rPr>
          <w:rFonts w:ascii="Times New Roman" w:hAnsi="Times New Roman" w:cs="Times New Roman"/>
          <w:sz w:val="24"/>
          <w:szCs w:val="24"/>
          <w:lang w:val="fr-FR"/>
        </w:rPr>
      </w:pPr>
    </w:p>
    <w:p w14:paraId="31DF3079" w14:textId="77777777" w:rsidR="00C83D49" w:rsidRPr="00C83D49" w:rsidRDefault="00C83D49" w:rsidP="00C83D49">
      <w:pPr>
        <w:spacing w:line="360" w:lineRule="auto"/>
        <w:rPr>
          <w:rFonts w:ascii="Times New Roman" w:hAnsi="Times New Roman" w:cs="Times New Roman"/>
          <w:b/>
          <w:bCs/>
          <w:sz w:val="24"/>
          <w:szCs w:val="24"/>
          <w:lang w:val="fr-FR"/>
        </w:rPr>
      </w:pPr>
      <w:r w:rsidRPr="00C83D49">
        <w:rPr>
          <w:rFonts w:ascii="Times New Roman" w:hAnsi="Times New Roman" w:cs="Times New Roman"/>
          <w:b/>
          <w:bCs/>
          <w:sz w:val="24"/>
          <w:szCs w:val="24"/>
          <w:lang w:val="fr-FR"/>
        </w:rPr>
        <w:t>4. Discussion</w:t>
      </w:r>
    </w:p>
    <w:p w14:paraId="5A534D39" w14:textId="77777777" w:rsidR="00C83D49" w:rsidRPr="00C83D49" w:rsidRDefault="00C83D49" w:rsidP="00C83D49">
      <w:pPr>
        <w:spacing w:line="360" w:lineRule="auto"/>
        <w:rPr>
          <w:rFonts w:ascii="Times New Roman" w:hAnsi="Times New Roman" w:cs="Times New Roman"/>
          <w:sz w:val="24"/>
          <w:szCs w:val="24"/>
        </w:rPr>
      </w:pPr>
      <w:r w:rsidRPr="00C83D49">
        <w:rPr>
          <w:rFonts w:ascii="Times New Roman" w:hAnsi="Times New Roman" w:cs="Times New Roman"/>
          <w:sz w:val="24"/>
          <w:szCs w:val="24"/>
        </w:rPr>
        <w:t>The annual analysis of the operational performance of the Souapiti Hydroelectric Dam clearly highlights a robust energy performance, marked by cumulative production significantly exceeding the contractual commitments defined under the Power Purchase Agreement (PPA). This annual overperformance constitutes a strong indicator of the overall efficiency of the facility, both technically and operationally, and confirms the strategic position of Souapiti within the national electricity generation system.</w:t>
      </w:r>
    </w:p>
    <w:p w14:paraId="48C6778C" w14:textId="77777777" w:rsidR="00C83D49" w:rsidRPr="00C83D49" w:rsidRDefault="00C83D49" w:rsidP="00C83D49">
      <w:pPr>
        <w:spacing w:line="360" w:lineRule="auto"/>
        <w:rPr>
          <w:rFonts w:ascii="Times New Roman" w:hAnsi="Times New Roman" w:cs="Times New Roman"/>
          <w:sz w:val="24"/>
          <w:szCs w:val="24"/>
        </w:rPr>
      </w:pPr>
      <w:r w:rsidRPr="00C83D49">
        <w:rPr>
          <w:rFonts w:ascii="Times New Roman" w:hAnsi="Times New Roman" w:cs="Times New Roman"/>
          <w:sz w:val="24"/>
          <w:szCs w:val="24"/>
        </w:rPr>
        <w:t>From an energy perspective, the consolidated results show that actual annual production far exceeds the initial contractual forecasts. This situation reflects high availability of generating units, satisfactory reliability of electromechanical equipment, and effective control of operating parameters. The optimization of operating regimes, combined with rigorous planning of scheduled outages and maintenance activities, made it possible to maximize annual energy output while complying with safety and sustainability constraints of the facilities. This positive dynamic is all the more significant as it occurs in a context of growing energy demand and increasing pressure on generation infrastructure.</w:t>
      </w:r>
    </w:p>
    <w:p w14:paraId="00E508A9"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However, the detailed period-by-period analysis reveals a slight monthly underachievement toward the end of the year. This phenomenon, although limited in magnitude, mainly results from </w:t>
      </w:r>
      <w:r w:rsidRPr="00C83D49">
        <w:rPr>
          <w:rFonts w:ascii="Times New Roman" w:hAnsi="Times New Roman" w:cs="Times New Roman"/>
          <w:sz w:val="24"/>
          <w:szCs w:val="24"/>
        </w:rPr>
        <w:lastRenderedPageBreak/>
        <w:t>seasonal hydrological factors characterized by a gradual reduction in natural inflows to the reservoir during the low-water period. In addition, prudent operational choices aimed at preserving strategic water levels and ensuring continuity of production in subsequent months also contributed. It should be emphasized that this occasional underachievement did not compromise overall annual performance, as the overperformance recorded during other periods of the year largely offset these temporary deviations.</w:t>
      </w:r>
    </w:p>
    <w:p w14:paraId="6D89E3DA"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The combined interpretation of energy and hydrological indicators reveals remarkable consistency between the high reservoir level, the availability of active storage, and the volumes actually turbinated. This consistency reflects optimized hydrological management on an annual scale, based on anticipation of hydrological cycles and rational use of stored volumes. Maintaining a high reservoir level while ensuring turbine discharges compatible with production objectives demonstrates a balanced operating strategy that integrates energy imperatives, hydraulic safety, and environmental requirements.</w:t>
      </w:r>
    </w:p>
    <w:p w14:paraId="5DF725B2"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One of the key elements highlighted by this analysis is the capacity of the Souapiti Dam to ensure continuity of electricity generation in the absence of immediate rainfall inputs. Thanks to its large storage capacity, the reservoir fully plays its role as a regulating storage facility, enabling sustained production during periods of low precipitation. This function is particularly critical in the context of the Souapiti–Kaléta hydroelectric complex, where volume management at Souapiti largely determines the energy performance of the entire system, especially during low-flow periods.</w:t>
      </w:r>
    </w:p>
    <w:p w14:paraId="6D6DFAA6" w14:textId="432D37D9"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The stability observed in turbine discharges, despite variability in natural inflows, reflects excellent mastery of reservoir management rules. Decisions regarding water releases and production modulation made it possible to reconcile the </w:t>
      </w:r>
      <w:r w:rsidR="00E57C09" w:rsidRPr="00C83D49">
        <w:rPr>
          <w:rFonts w:ascii="Times New Roman" w:hAnsi="Times New Roman" w:cs="Times New Roman"/>
          <w:sz w:val="24"/>
          <w:szCs w:val="24"/>
        </w:rPr>
        <w:t>sometimes-competing</w:t>
      </w:r>
      <w:r w:rsidRPr="00C83D49">
        <w:rPr>
          <w:rFonts w:ascii="Times New Roman" w:hAnsi="Times New Roman" w:cs="Times New Roman"/>
          <w:sz w:val="24"/>
          <w:szCs w:val="24"/>
        </w:rPr>
        <w:t xml:space="preserve"> objectives of maximizing energy output, preserving hydraulic reserves, and complying with downstream constraints. This integrated approach strengthens the resilience of the system to climatic and hydrological variability, which is becoming increasingly pronounced in the context of climate change.</w:t>
      </w:r>
    </w:p>
    <w:p w14:paraId="2F359C1B"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Moreover, the annual overperformance observed enhances the credibility of the Souapiti Dam with regard to contractual commitments and institutional partners. Compliance with, and even exceeding, the obligations defined by the PPA sends a positive signal regarding the economic viability of the project and confidence in future investments in the hydropower sector. It also </w:t>
      </w:r>
      <w:r w:rsidRPr="00C83D49">
        <w:rPr>
          <w:rFonts w:ascii="Times New Roman" w:hAnsi="Times New Roman" w:cs="Times New Roman"/>
          <w:sz w:val="24"/>
          <w:szCs w:val="24"/>
        </w:rPr>
        <w:lastRenderedPageBreak/>
        <w:t>demonstrates the ability of operating teams to fully harness the potential of the facility while maintaining a high level of operational rigor.</w:t>
      </w:r>
    </w:p>
    <w:p w14:paraId="36B27D91" w14:textId="77777777" w:rsidR="00C83D49" w:rsidRPr="00C83D49" w:rsidRDefault="00C83D49" w:rsidP="00E57C0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Ultimately, the annual analysis confirms that the slight monthly underachievement observed toward the end of the year is more the result of controlled operational adjustment than of any structural weakness. It is largely offset by the overperformance recorded over the year as a whole, from both an energy and hydrological standpoint. This robust overall performance illustrates the soundness of the design and operational choices for the Souapiti Dam and underscores its central role in the sustainable securing of the national electricity supply. It also highlights the importance of continuous monitoring and anticipatory management in maintaining the delicate balance between production, water resource availability, and the long-term sustainability of the hydropower system.</w:t>
      </w:r>
    </w:p>
    <w:p w14:paraId="7C009FDE" w14:textId="77777777" w:rsidR="00C83D49" w:rsidRPr="00C83D49" w:rsidRDefault="00C83D49" w:rsidP="00C83D49">
      <w:pPr>
        <w:spacing w:line="360" w:lineRule="auto"/>
        <w:jc w:val="both"/>
        <w:rPr>
          <w:rFonts w:ascii="Times New Roman" w:hAnsi="Times New Roman" w:cs="Times New Roman"/>
          <w:b/>
          <w:bCs/>
          <w:sz w:val="24"/>
          <w:szCs w:val="24"/>
        </w:rPr>
      </w:pPr>
      <w:r w:rsidRPr="00C83D49">
        <w:rPr>
          <w:rFonts w:ascii="Times New Roman" w:hAnsi="Times New Roman" w:cs="Times New Roman"/>
          <w:b/>
          <w:bCs/>
          <w:sz w:val="24"/>
          <w:szCs w:val="24"/>
        </w:rPr>
        <w:t>5. Conclusion</w:t>
      </w:r>
    </w:p>
    <w:p w14:paraId="3F02084D" w14:textId="77777777" w:rsidR="00C83D49" w:rsidRPr="00C83D49" w:rsidRDefault="00C83D49" w:rsidP="00C83D4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The annual analysis of operational data from the Souapiti Hydroelectric Dam for the year 2025 highlights a major and sustainable energy contribution to the national electricity grid. The review of production indicators, compared with the commitments defined under the Power Purchase Agreement (PPA), reveals significant annual overperformance, reflecting efficient operation and high availability of generating units. This performance confirms </w:t>
      </w:r>
      <w:proofErr w:type="spellStart"/>
      <w:r w:rsidRPr="00C83D49">
        <w:rPr>
          <w:rFonts w:ascii="Times New Roman" w:hAnsi="Times New Roman" w:cs="Times New Roman"/>
          <w:sz w:val="24"/>
          <w:szCs w:val="24"/>
        </w:rPr>
        <w:t>Souapiti’s</w:t>
      </w:r>
      <w:proofErr w:type="spellEnd"/>
      <w:r w:rsidRPr="00C83D49">
        <w:rPr>
          <w:rFonts w:ascii="Times New Roman" w:hAnsi="Times New Roman" w:cs="Times New Roman"/>
          <w:sz w:val="24"/>
          <w:szCs w:val="24"/>
        </w:rPr>
        <w:t xml:space="preserve"> capacity to support growing electricity demand and to strengthen the stability of the national power system.</w:t>
      </w:r>
    </w:p>
    <w:p w14:paraId="4C05472A" w14:textId="77777777" w:rsidR="00C83D49" w:rsidRPr="00C83D49" w:rsidRDefault="00C83D49" w:rsidP="00C83D49">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Despite some monthly fluctuations observed toward the end of the year—mainly related to hydrological seasonality and prudent operational adjustments—overall production remains largely in excess of contractual targets. These occasional variations reflect an operating strategy focused on sustainability, prioritizing the preservation of water resources and the continuity of power generation over the medium and long terms.</w:t>
      </w:r>
    </w:p>
    <w:p w14:paraId="55DE3D6A" w14:textId="1224C3CB" w:rsidR="00C83D49" w:rsidRDefault="00C83D49" w:rsidP="002E49B5">
      <w:pPr>
        <w:spacing w:line="360" w:lineRule="auto"/>
        <w:jc w:val="both"/>
        <w:rPr>
          <w:rFonts w:ascii="Times New Roman" w:hAnsi="Times New Roman" w:cs="Times New Roman"/>
          <w:sz w:val="24"/>
          <w:szCs w:val="24"/>
        </w:rPr>
      </w:pPr>
      <w:r w:rsidRPr="00C83D49">
        <w:rPr>
          <w:rFonts w:ascii="Times New Roman" w:hAnsi="Times New Roman" w:cs="Times New Roman"/>
          <w:sz w:val="24"/>
          <w:szCs w:val="24"/>
        </w:rPr>
        <w:t xml:space="preserve">From a hydrological perspective, reservoir levels and water volumes mobilized in 2025 remained in compliance with established management rules. The consistency between storage levels, available active water volume, and turbine discharges attests to well-controlled water resource management, enabling regular production even during periods of low rainfall. This seasonal regulation capability constitutes a major asset of the </w:t>
      </w:r>
      <w:proofErr w:type="spellStart"/>
      <w:r w:rsidRPr="00C83D49">
        <w:rPr>
          <w:rFonts w:ascii="Times New Roman" w:hAnsi="Times New Roman" w:cs="Times New Roman"/>
          <w:sz w:val="24"/>
          <w:szCs w:val="24"/>
        </w:rPr>
        <w:t>Souapiti</w:t>
      </w:r>
      <w:proofErr w:type="spellEnd"/>
      <w:r w:rsidRPr="00C83D49">
        <w:rPr>
          <w:rFonts w:ascii="Times New Roman" w:hAnsi="Times New Roman" w:cs="Times New Roman"/>
          <w:sz w:val="24"/>
          <w:szCs w:val="24"/>
        </w:rPr>
        <w:t xml:space="preserve"> </w:t>
      </w:r>
      <w:proofErr w:type="spellStart"/>
      <w:r w:rsidRPr="00C83D49">
        <w:rPr>
          <w:rFonts w:ascii="Times New Roman" w:hAnsi="Times New Roman" w:cs="Times New Roman"/>
          <w:sz w:val="24"/>
          <w:szCs w:val="24"/>
        </w:rPr>
        <w:t>Dam.Within</w:t>
      </w:r>
      <w:proofErr w:type="spellEnd"/>
      <w:r w:rsidRPr="00C83D49">
        <w:rPr>
          <w:rFonts w:ascii="Times New Roman" w:hAnsi="Times New Roman" w:cs="Times New Roman"/>
          <w:sz w:val="24"/>
          <w:szCs w:val="24"/>
        </w:rPr>
        <w:t xml:space="preserve"> the framework of the Souapiti–Kaléta hydroelectric complex, Souapiti plays a structuring role by ensuring the energy </w:t>
      </w:r>
      <w:r w:rsidRPr="00C83D49">
        <w:rPr>
          <w:rFonts w:ascii="Times New Roman" w:hAnsi="Times New Roman" w:cs="Times New Roman"/>
          <w:sz w:val="24"/>
          <w:szCs w:val="24"/>
        </w:rPr>
        <w:lastRenderedPageBreak/>
        <w:t>stability of the entire system. In conclusion, the overperformance relative to the PPA and the rigorous hydrological management confirm the strategic role of the Souapiti Dam in national energy security and in the sustainable valorization of the country’s water resources.</w:t>
      </w:r>
    </w:p>
    <w:p w14:paraId="1AF1C333" w14:textId="77777777" w:rsidR="003839C3" w:rsidRDefault="003839C3" w:rsidP="002E49B5">
      <w:pPr>
        <w:spacing w:line="360" w:lineRule="auto"/>
        <w:jc w:val="both"/>
        <w:rPr>
          <w:rFonts w:ascii="Times New Roman" w:hAnsi="Times New Roman" w:cs="Times New Roman"/>
          <w:sz w:val="24"/>
          <w:szCs w:val="24"/>
        </w:rPr>
      </w:pPr>
    </w:p>
    <w:p w14:paraId="466F408E" w14:textId="40432B49" w:rsidR="00747AD4" w:rsidRPr="00747AD4" w:rsidRDefault="003839C3" w:rsidP="002E49B5">
      <w:pPr>
        <w:spacing w:line="36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REFERENCES</w:t>
      </w:r>
    </w:p>
    <w:p w14:paraId="43F0B330" w14:textId="77777777" w:rsidR="00D11E02" w:rsidRPr="00D11E02" w:rsidRDefault="00D11E02" w:rsidP="00D11E02">
      <w:pPr>
        <w:numPr>
          <w:ilvl w:val="0"/>
          <w:numId w:val="1"/>
        </w:numPr>
        <w:spacing w:line="360" w:lineRule="auto"/>
        <w:rPr>
          <w:rFonts w:ascii="Times New Roman" w:hAnsi="Times New Roman" w:cs="Times New Roman"/>
          <w:sz w:val="24"/>
          <w:szCs w:val="24"/>
          <w:lang w:val="fr-FR"/>
        </w:rPr>
      </w:pPr>
      <w:r w:rsidRPr="00D11E02">
        <w:rPr>
          <w:rFonts w:ascii="Times New Roman" w:hAnsi="Times New Roman" w:cs="Times New Roman"/>
          <w:sz w:val="24"/>
          <w:szCs w:val="24"/>
          <w:lang w:val="fr-FR"/>
        </w:rPr>
        <w:t xml:space="preserve">1. Électricité de Guinée (EDG). (2025). </w:t>
      </w:r>
      <w:proofErr w:type="spellStart"/>
      <w:r w:rsidRPr="00D11E02">
        <w:rPr>
          <w:rFonts w:ascii="Times New Roman" w:hAnsi="Times New Roman" w:cs="Times New Roman"/>
          <w:sz w:val="24"/>
          <w:szCs w:val="24"/>
          <w:lang w:val="fr-FR"/>
        </w:rPr>
        <w:t>Annual</w:t>
      </w:r>
      <w:proofErr w:type="spellEnd"/>
      <w:r w:rsidRPr="00D11E02">
        <w:rPr>
          <w:rFonts w:ascii="Times New Roman" w:hAnsi="Times New Roman" w:cs="Times New Roman"/>
          <w:sz w:val="24"/>
          <w:szCs w:val="24"/>
          <w:lang w:val="fr-FR"/>
        </w:rPr>
        <w:t xml:space="preserve"> Operating Report of </w:t>
      </w:r>
      <w:proofErr w:type="spellStart"/>
      <w:r w:rsidRPr="00D11E02">
        <w:rPr>
          <w:rFonts w:ascii="Times New Roman" w:hAnsi="Times New Roman" w:cs="Times New Roman"/>
          <w:sz w:val="24"/>
          <w:szCs w:val="24"/>
          <w:lang w:val="fr-FR"/>
        </w:rPr>
        <w:t>Hydroelectric</w:t>
      </w:r>
      <w:proofErr w:type="spellEnd"/>
      <w:r w:rsidRPr="00D11E02">
        <w:rPr>
          <w:rFonts w:ascii="Times New Roman" w:hAnsi="Times New Roman" w:cs="Times New Roman"/>
          <w:sz w:val="24"/>
          <w:szCs w:val="24"/>
          <w:lang w:val="fr-FR"/>
        </w:rPr>
        <w:t xml:space="preserve"> Power Plants. Conakry.</w:t>
      </w:r>
    </w:p>
    <w:p w14:paraId="041705FE" w14:textId="77777777" w:rsidR="00D11E02" w:rsidRPr="00D11E02" w:rsidRDefault="00D11E02" w:rsidP="00D11E02">
      <w:pPr>
        <w:numPr>
          <w:ilvl w:val="0"/>
          <w:numId w:val="1"/>
        </w:numPr>
        <w:spacing w:line="360" w:lineRule="auto"/>
        <w:rPr>
          <w:rFonts w:ascii="Times New Roman" w:hAnsi="Times New Roman" w:cs="Times New Roman"/>
          <w:sz w:val="24"/>
          <w:szCs w:val="24"/>
          <w:lang w:val="fr-FR"/>
        </w:rPr>
      </w:pPr>
      <w:r w:rsidRPr="00D11E02">
        <w:rPr>
          <w:rFonts w:ascii="Times New Roman" w:hAnsi="Times New Roman" w:cs="Times New Roman"/>
          <w:sz w:val="24"/>
          <w:szCs w:val="24"/>
          <w:lang w:val="fr-FR"/>
        </w:rPr>
        <w:t xml:space="preserve">2. Société de Gestion et d’Exploitation de </w:t>
      </w:r>
      <w:proofErr w:type="spellStart"/>
      <w:r w:rsidRPr="00D11E02">
        <w:rPr>
          <w:rFonts w:ascii="Times New Roman" w:hAnsi="Times New Roman" w:cs="Times New Roman"/>
          <w:sz w:val="24"/>
          <w:szCs w:val="24"/>
          <w:lang w:val="fr-FR"/>
        </w:rPr>
        <w:t>Souapiti</w:t>
      </w:r>
      <w:proofErr w:type="spellEnd"/>
      <w:r w:rsidRPr="00D11E02">
        <w:rPr>
          <w:rFonts w:ascii="Times New Roman" w:hAnsi="Times New Roman" w:cs="Times New Roman"/>
          <w:sz w:val="24"/>
          <w:szCs w:val="24"/>
          <w:lang w:val="fr-FR"/>
        </w:rPr>
        <w:t xml:space="preserve"> (SGES). (2025). </w:t>
      </w:r>
      <w:proofErr w:type="spellStart"/>
      <w:r w:rsidRPr="00D11E02">
        <w:rPr>
          <w:rFonts w:ascii="Times New Roman" w:hAnsi="Times New Roman" w:cs="Times New Roman"/>
          <w:sz w:val="24"/>
          <w:szCs w:val="24"/>
          <w:lang w:val="fr-FR"/>
        </w:rPr>
        <w:t>Technical</w:t>
      </w:r>
      <w:proofErr w:type="spellEnd"/>
      <w:r w:rsidRPr="00D11E02">
        <w:rPr>
          <w:rFonts w:ascii="Times New Roman" w:hAnsi="Times New Roman" w:cs="Times New Roman"/>
          <w:sz w:val="24"/>
          <w:szCs w:val="24"/>
          <w:lang w:val="fr-FR"/>
        </w:rPr>
        <w:t xml:space="preserve"> and </w:t>
      </w:r>
      <w:proofErr w:type="spellStart"/>
      <w:r w:rsidRPr="00D11E02">
        <w:rPr>
          <w:rFonts w:ascii="Times New Roman" w:hAnsi="Times New Roman" w:cs="Times New Roman"/>
          <w:sz w:val="24"/>
          <w:szCs w:val="24"/>
          <w:lang w:val="fr-FR"/>
        </w:rPr>
        <w:t>Hydrological</w:t>
      </w:r>
      <w:proofErr w:type="spellEnd"/>
      <w:r w:rsidRPr="00D11E02">
        <w:rPr>
          <w:rFonts w:ascii="Times New Roman" w:hAnsi="Times New Roman" w:cs="Times New Roman"/>
          <w:sz w:val="24"/>
          <w:szCs w:val="24"/>
          <w:lang w:val="fr-FR"/>
        </w:rPr>
        <w:t xml:space="preserve"> Data of the </w:t>
      </w:r>
      <w:proofErr w:type="spellStart"/>
      <w:r w:rsidRPr="00D11E02">
        <w:rPr>
          <w:rFonts w:ascii="Times New Roman" w:hAnsi="Times New Roman" w:cs="Times New Roman"/>
          <w:sz w:val="24"/>
          <w:szCs w:val="24"/>
          <w:lang w:val="fr-FR"/>
        </w:rPr>
        <w:t>Souapiti</w:t>
      </w:r>
      <w:proofErr w:type="spellEnd"/>
      <w:r w:rsidRPr="00D11E02">
        <w:rPr>
          <w:rFonts w:ascii="Times New Roman" w:hAnsi="Times New Roman" w:cs="Times New Roman"/>
          <w:sz w:val="24"/>
          <w:szCs w:val="24"/>
          <w:lang w:val="fr-FR"/>
        </w:rPr>
        <w:t xml:space="preserve"> Dam.</w:t>
      </w:r>
    </w:p>
    <w:p w14:paraId="024D94AE" w14:textId="77777777" w:rsidR="00D11E02" w:rsidRPr="00D11E02" w:rsidRDefault="00D11E02" w:rsidP="00D11E02">
      <w:pPr>
        <w:numPr>
          <w:ilvl w:val="0"/>
          <w:numId w:val="1"/>
        </w:numPr>
        <w:spacing w:line="360" w:lineRule="auto"/>
        <w:rPr>
          <w:rFonts w:ascii="Times New Roman" w:hAnsi="Times New Roman" w:cs="Times New Roman"/>
          <w:sz w:val="24"/>
          <w:szCs w:val="24"/>
          <w:lang w:val="fr-FR"/>
        </w:rPr>
      </w:pPr>
      <w:r w:rsidRPr="00D11E02">
        <w:rPr>
          <w:rFonts w:ascii="Times New Roman" w:hAnsi="Times New Roman" w:cs="Times New Roman"/>
          <w:sz w:val="24"/>
          <w:szCs w:val="24"/>
          <w:lang w:val="fr-FR"/>
        </w:rPr>
        <w:t xml:space="preserve">3. Ministry of Energy, </w:t>
      </w:r>
      <w:proofErr w:type="spellStart"/>
      <w:r w:rsidRPr="00D11E02">
        <w:rPr>
          <w:rFonts w:ascii="Times New Roman" w:hAnsi="Times New Roman" w:cs="Times New Roman"/>
          <w:sz w:val="24"/>
          <w:szCs w:val="24"/>
          <w:lang w:val="fr-FR"/>
        </w:rPr>
        <w:t>Hydraulics</w:t>
      </w:r>
      <w:proofErr w:type="spellEnd"/>
      <w:r w:rsidRPr="00D11E02">
        <w:rPr>
          <w:rFonts w:ascii="Times New Roman" w:hAnsi="Times New Roman" w:cs="Times New Roman"/>
          <w:sz w:val="24"/>
          <w:szCs w:val="24"/>
          <w:lang w:val="fr-FR"/>
        </w:rPr>
        <w:t xml:space="preserve"> and </w:t>
      </w:r>
      <w:proofErr w:type="spellStart"/>
      <w:r w:rsidRPr="00D11E02">
        <w:rPr>
          <w:rFonts w:ascii="Times New Roman" w:hAnsi="Times New Roman" w:cs="Times New Roman"/>
          <w:sz w:val="24"/>
          <w:szCs w:val="24"/>
          <w:lang w:val="fr-FR"/>
        </w:rPr>
        <w:t>Hydrocarbons</w:t>
      </w:r>
      <w:proofErr w:type="spellEnd"/>
      <w:r w:rsidRPr="00D11E02">
        <w:rPr>
          <w:rFonts w:ascii="Times New Roman" w:hAnsi="Times New Roman" w:cs="Times New Roman"/>
          <w:sz w:val="24"/>
          <w:szCs w:val="24"/>
          <w:lang w:val="fr-FR"/>
        </w:rPr>
        <w:t xml:space="preserve">. (2024). National Policy for the </w:t>
      </w:r>
      <w:proofErr w:type="spellStart"/>
      <w:r w:rsidRPr="00D11E02">
        <w:rPr>
          <w:rFonts w:ascii="Times New Roman" w:hAnsi="Times New Roman" w:cs="Times New Roman"/>
          <w:sz w:val="24"/>
          <w:szCs w:val="24"/>
          <w:lang w:val="fr-FR"/>
        </w:rPr>
        <w:t>Development</w:t>
      </w:r>
      <w:proofErr w:type="spellEnd"/>
      <w:r w:rsidRPr="00D11E02">
        <w:rPr>
          <w:rFonts w:ascii="Times New Roman" w:hAnsi="Times New Roman" w:cs="Times New Roman"/>
          <w:sz w:val="24"/>
          <w:szCs w:val="24"/>
          <w:lang w:val="fr-FR"/>
        </w:rPr>
        <w:t xml:space="preserve"> of the </w:t>
      </w:r>
      <w:proofErr w:type="spellStart"/>
      <w:r w:rsidRPr="00D11E02">
        <w:rPr>
          <w:rFonts w:ascii="Times New Roman" w:hAnsi="Times New Roman" w:cs="Times New Roman"/>
          <w:sz w:val="24"/>
          <w:szCs w:val="24"/>
          <w:lang w:val="fr-FR"/>
        </w:rPr>
        <w:t>Electricity</w:t>
      </w:r>
      <w:proofErr w:type="spellEnd"/>
      <w:r w:rsidRPr="00D11E02">
        <w:rPr>
          <w:rFonts w:ascii="Times New Roman" w:hAnsi="Times New Roman" w:cs="Times New Roman"/>
          <w:sz w:val="24"/>
          <w:szCs w:val="24"/>
          <w:lang w:val="fr-FR"/>
        </w:rPr>
        <w:t xml:space="preserve"> </w:t>
      </w:r>
      <w:proofErr w:type="spellStart"/>
      <w:r w:rsidRPr="00D11E02">
        <w:rPr>
          <w:rFonts w:ascii="Times New Roman" w:hAnsi="Times New Roman" w:cs="Times New Roman"/>
          <w:sz w:val="24"/>
          <w:szCs w:val="24"/>
          <w:lang w:val="fr-FR"/>
        </w:rPr>
        <w:t>Sector</w:t>
      </w:r>
      <w:proofErr w:type="spellEnd"/>
      <w:r w:rsidRPr="00D11E02">
        <w:rPr>
          <w:rFonts w:ascii="Times New Roman" w:hAnsi="Times New Roman" w:cs="Times New Roman"/>
          <w:sz w:val="24"/>
          <w:szCs w:val="24"/>
          <w:lang w:val="fr-FR"/>
        </w:rPr>
        <w:t xml:space="preserve">. </w:t>
      </w:r>
      <w:proofErr w:type="spellStart"/>
      <w:r w:rsidRPr="00D11E02">
        <w:rPr>
          <w:rFonts w:ascii="Times New Roman" w:hAnsi="Times New Roman" w:cs="Times New Roman"/>
          <w:sz w:val="24"/>
          <w:szCs w:val="24"/>
          <w:lang w:val="fr-FR"/>
        </w:rPr>
        <w:t>Guinea</w:t>
      </w:r>
      <w:proofErr w:type="spellEnd"/>
      <w:r w:rsidRPr="00D11E02">
        <w:rPr>
          <w:rFonts w:ascii="Times New Roman" w:hAnsi="Times New Roman" w:cs="Times New Roman"/>
          <w:sz w:val="24"/>
          <w:szCs w:val="24"/>
          <w:lang w:val="fr-FR"/>
        </w:rPr>
        <w:t>.</w:t>
      </w:r>
    </w:p>
    <w:p w14:paraId="7E67F3A1" w14:textId="3B6D122B" w:rsidR="00E61B47" w:rsidRPr="00E61B47" w:rsidRDefault="00D11E02" w:rsidP="00D11E02">
      <w:pPr>
        <w:numPr>
          <w:ilvl w:val="0"/>
          <w:numId w:val="1"/>
        </w:numPr>
        <w:spacing w:line="360" w:lineRule="auto"/>
        <w:rPr>
          <w:rFonts w:ascii="Times New Roman" w:hAnsi="Times New Roman" w:cs="Times New Roman"/>
          <w:sz w:val="24"/>
          <w:szCs w:val="24"/>
        </w:rPr>
      </w:pPr>
      <w:r w:rsidRPr="00D11E02">
        <w:rPr>
          <w:rFonts w:ascii="Times New Roman" w:hAnsi="Times New Roman" w:cs="Times New Roman"/>
          <w:sz w:val="24"/>
          <w:szCs w:val="24"/>
          <w:lang w:val="fr-FR"/>
        </w:rPr>
        <w:t xml:space="preserve">4. Power </w:t>
      </w:r>
      <w:proofErr w:type="spellStart"/>
      <w:r w:rsidRPr="00D11E02">
        <w:rPr>
          <w:rFonts w:ascii="Times New Roman" w:hAnsi="Times New Roman" w:cs="Times New Roman"/>
          <w:sz w:val="24"/>
          <w:szCs w:val="24"/>
          <w:lang w:val="fr-FR"/>
        </w:rPr>
        <w:t>Purchase</w:t>
      </w:r>
      <w:proofErr w:type="spellEnd"/>
      <w:r w:rsidRPr="00D11E02">
        <w:rPr>
          <w:rFonts w:ascii="Times New Roman" w:hAnsi="Times New Roman" w:cs="Times New Roman"/>
          <w:sz w:val="24"/>
          <w:szCs w:val="24"/>
          <w:lang w:val="fr-FR"/>
        </w:rPr>
        <w:t xml:space="preserve"> Agreement (PPA) – </w:t>
      </w:r>
      <w:proofErr w:type="spellStart"/>
      <w:r w:rsidRPr="00D11E02">
        <w:rPr>
          <w:rFonts w:ascii="Times New Roman" w:hAnsi="Times New Roman" w:cs="Times New Roman"/>
          <w:sz w:val="24"/>
          <w:szCs w:val="24"/>
          <w:lang w:val="fr-FR"/>
        </w:rPr>
        <w:t>Souapiti</w:t>
      </w:r>
      <w:proofErr w:type="spellEnd"/>
      <w:r w:rsidRPr="00D11E02">
        <w:rPr>
          <w:rFonts w:ascii="Times New Roman" w:hAnsi="Times New Roman" w:cs="Times New Roman"/>
          <w:sz w:val="24"/>
          <w:szCs w:val="24"/>
          <w:lang w:val="fr-FR"/>
        </w:rPr>
        <w:t xml:space="preserve"> Dam. (2019). Official </w:t>
      </w:r>
      <w:proofErr w:type="spellStart"/>
      <w:r w:rsidRPr="00D11E02">
        <w:rPr>
          <w:rFonts w:ascii="Times New Roman" w:hAnsi="Times New Roman" w:cs="Times New Roman"/>
          <w:sz w:val="24"/>
          <w:szCs w:val="24"/>
          <w:lang w:val="fr-FR"/>
        </w:rPr>
        <w:t>Contractual</w:t>
      </w:r>
      <w:proofErr w:type="spellEnd"/>
      <w:r w:rsidRPr="00D11E02">
        <w:rPr>
          <w:rFonts w:ascii="Times New Roman" w:hAnsi="Times New Roman" w:cs="Times New Roman"/>
          <w:sz w:val="24"/>
          <w:szCs w:val="24"/>
          <w:lang w:val="fr-FR"/>
        </w:rPr>
        <w:t xml:space="preserve"> Agreement.</w:t>
      </w:r>
      <w:r w:rsidR="00E61B47">
        <w:rPr>
          <w:rFonts w:ascii="Times New Roman" w:hAnsi="Times New Roman" w:cs="Times New Roman"/>
          <w:sz w:val="24"/>
          <w:szCs w:val="24"/>
          <w:lang w:val="fr-FR"/>
        </w:rPr>
        <w:t xml:space="preserve"> </w:t>
      </w:r>
      <w:hyperlink r:id="rId7" w:history="1">
        <w:r w:rsidR="00E61B47" w:rsidRPr="00EB7AC9">
          <w:rPr>
            <w:rStyle w:val="Hyperlink"/>
            <w:rFonts w:ascii="Times New Roman" w:hAnsi="Times New Roman" w:cs="Times New Roman"/>
            <w:sz w:val="24"/>
            <w:szCs w:val="24"/>
            <w:lang w:val="fr-FR"/>
          </w:rPr>
          <w:t>https://www.cnt.gov.gn/textes-8eme-legislature/conakry-le-28-novembre-2018-l20180061an-autorisant-la-ratification-du-contrat-dachat-delectricite-entre-la-societe-de-gestion-et-dexploitation-de-souapiti-et-electricite-de-guinee-en-presence-de-letat-guineen-relatif-a-la-centrale-hydroelectrique-de-450-mw-situee-a-souapiti/</w:t>
        </w:r>
      </w:hyperlink>
      <w:r w:rsidR="00E61B47">
        <w:rPr>
          <w:rFonts w:ascii="Times New Roman" w:hAnsi="Times New Roman" w:cs="Times New Roman"/>
          <w:sz w:val="24"/>
          <w:szCs w:val="24"/>
          <w:lang w:val="fr-FR"/>
        </w:rPr>
        <w:t xml:space="preserve"> </w:t>
      </w:r>
    </w:p>
    <w:p w14:paraId="0313771D" w14:textId="75E21C63" w:rsidR="00747AD4" w:rsidRPr="00747AD4" w:rsidRDefault="00747AD4" w:rsidP="00D11E02">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International Commission on Large Dams (ICOLD). (2020). </w:t>
      </w:r>
      <w:r w:rsidRPr="00747AD4">
        <w:rPr>
          <w:rFonts w:ascii="Times New Roman" w:hAnsi="Times New Roman" w:cs="Times New Roman"/>
          <w:i/>
          <w:iCs/>
          <w:sz w:val="24"/>
          <w:szCs w:val="24"/>
        </w:rPr>
        <w:t>Operation, Maintenance and Safety of Large Dams</w:t>
      </w:r>
      <w:r w:rsidRPr="00747AD4">
        <w:rPr>
          <w:rFonts w:ascii="Times New Roman" w:hAnsi="Times New Roman" w:cs="Times New Roman"/>
          <w:sz w:val="24"/>
          <w:szCs w:val="24"/>
        </w:rPr>
        <w:t>. Paris.</w:t>
      </w:r>
      <w:r w:rsidR="00E61B47">
        <w:rPr>
          <w:rFonts w:ascii="Times New Roman" w:hAnsi="Times New Roman" w:cs="Times New Roman"/>
          <w:sz w:val="24"/>
          <w:szCs w:val="24"/>
        </w:rPr>
        <w:t xml:space="preserve"> </w:t>
      </w:r>
    </w:p>
    <w:p w14:paraId="1CCD49F0" w14:textId="5F176AF9"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International Energy Agency (IEA). (2023). </w:t>
      </w:r>
      <w:r w:rsidRPr="00747AD4">
        <w:rPr>
          <w:rFonts w:ascii="Times New Roman" w:hAnsi="Times New Roman" w:cs="Times New Roman"/>
          <w:i/>
          <w:iCs/>
          <w:sz w:val="24"/>
          <w:szCs w:val="24"/>
        </w:rPr>
        <w:t>Hydropower Special Market Report</w:t>
      </w:r>
      <w:r w:rsidRPr="00747AD4">
        <w:rPr>
          <w:rFonts w:ascii="Times New Roman" w:hAnsi="Times New Roman" w:cs="Times New Roman"/>
          <w:sz w:val="24"/>
          <w:szCs w:val="24"/>
        </w:rPr>
        <w:t>. Paris.</w:t>
      </w:r>
      <w:r w:rsidR="0003258D">
        <w:rPr>
          <w:rFonts w:ascii="Times New Roman" w:hAnsi="Times New Roman" w:cs="Times New Roman"/>
          <w:sz w:val="24"/>
          <w:szCs w:val="24"/>
        </w:rPr>
        <w:t xml:space="preserve"> </w:t>
      </w:r>
      <w:hyperlink r:id="rId8" w:history="1">
        <w:r w:rsidR="0003258D" w:rsidRPr="00EB7AC9">
          <w:rPr>
            <w:rStyle w:val="Hyperlink"/>
            <w:rFonts w:ascii="Times New Roman" w:hAnsi="Times New Roman" w:cs="Times New Roman"/>
            <w:sz w:val="24"/>
            <w:szCs w:val="24"/>
          </w:rPr>
          <w:t>https://www.iea.org/reports/hydropower-special-market-report</w:t>
        </w:r>
      </w:hyperlink>
      <w:r w:rsidR="0003258D">
        <w:rPr>
          <w:rFonts w:ascii="Times New Roman" w:hAnsi="Times New Roman" w:cs="Times New Roman"/>
          <w:sz w:val="24"/>
          <w:szCs w:val="24"/>
        </w:rPr>
        <w:t xml:space="preserve"> </w:t>
      </w:r>
    </w:p>
    <w:p w14:paraId="0A9A2AB9" w14:textId="26F877C2"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World Bank Group. (2018). </w:t>
      </w:r>
      <w:r w:rsidRPr="00747AD4">
        <w:rPr>
          <w:rFonts w:ascii="Times New Roman" w:hAnsi="Times New Roman" w:cs="Times New Roman"/>
          <w:i/>
          <w:iCs/>
          <w:sz w:val="24"/>
          <w:szCs w:val="24"/>
        </w:rPr>
        <w:t>Hydropower Sustainability Assessment Protocol</w:t>
      </w:r>
      <w:r w:rsidRPr="00747AD4">
        <w:rPr>
          <w:rFonts w:ascii="Times New Roman" w:hAnsi="Times New Roman" w:cs="Times New Roman"/>
          <w:sz w:val="24"/>
          <w:szCs w:val="24"/>
        </w:rPr>
        <w:t>. Washington, DC.</w:t>
      </w:r>
      <w:r w:rsidR="00531A8E">
        <w:rPr>
          <w:rFonts w:ascii="Times New Roman" w:hAnsi="Times New Roman" w:cs="Times New Roman"/>
          <w:sz w:val="24"/>
          <w:szCs w:val="24"/>
        </w:rPr>
        <w:t xml:space="preserve"> </w:t>
      </w:r>
      <w:hyperlink r:id="rId9" w:history="1">
        <w:r w:rsidR="00531A8E" w:rsidRPr="00EB7AC9">
          <w:rPr>
            <w:rStyle w:val="Hyperlink"/>
            <w:rFonts w:ascii="Times New Roman" w:hAnsi="Times New Roman" w:cs="Times New Roman"/>
            <w:sz w:val="24"/>
            <w:szCs w:val="24"/>
          </w:rPr>
          <w:t>https://www.hydrosustainability.org/hydropower-sustainability-tools/hydropower-sustainability-assessment-protocol</w:t>
        </w:r>
      </w:hyperlink>
      <w:r w:rsidR="00531A8E">
        <w:rPr>
          <w:rFonts w:ascii="Times New Roman" w:hAnsi="Times New Roman" w:cs="Times New Roman"/>
          <w:sz w:val="24"/>
          <w:szCs w:val="24"/>
        </w:rPr>
        <w:t xml:space="preserve"> </w:t>
      </w:r>
    </w:p>
    <w:p w14:paraId="5765BDF8" w14:textId="77777777"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Electric Power Research Institute (EPRI). (2019). </w:t>
      </w:r>
      <w:r w:rsidRPr="00747AD4">
        <w:rPr>
          <w:rFonts w:ascii="Times New Roman" w:hAnsi="Times New Roman" w:cs="Times New Roman"/>
          <w:i/>
          <w:iCs/>
          <w:sz w:val="24"/>
          <w:szCs w:val="24"/>
        </w:rPr>
        <w:t>Hydropower Plant Performance and Optimization</w:t>
      </w:r>
      <w:r w:rsidRPr="00747AD4">
        <w:rPr>
          <w:rFonts w:ascii="Times New Roman" w:hAnsi="Times New Roman" w:cs="Times New Roman"/>
          <w:sz w:val="24"/>
          <w:szCs w:val="24"/>
        </w:rPr>
        <w:t>.</w:t>
      </w:r>
    </w:p>
    <w:p w14:paraId="7535A6DC" w14:textId="77777777"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United Nations Industrial Development Organization (UNIDO). (2021). </w:t>
      </w:r>
      <w:r w:rsidRPr="00747AD4">
        <w:rPr>
          <w:rFonts w:ascii="Times New Roman" w:hAnsi="Times New Roman" w:cs="Times New Roman"/>
          <w:i/>
          <w:iCs/>
          <w:sz w:val="24"/>
          <w:szCs w:val="24"/>
        </w:rPr>
        <w:t>Renewable Energy for Sustainable Development in Africa</w:t>
      </w:r>
      <w:r w:rsidRPr="00747AD4">
        <w:rPr>
          <w:rFonts w:ascii="Times New Roman" w:hAnsi="Times New Roman" w:cs="Times New Roman"/>
          <w:sz w:val="24"/>
          <w:szCs w:val="24"/>
        </w:rPr>
        <w:t>.</w:t>
      </w:r>
    </w:p>
    <w:p w14:paraId="264F48F9" w14:textId="38AC55C2"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lastRenderedPageBreak/>
        <w:t xml:space="preserve">World Meteorological Organization (WMO). (2022). </w:t>
      </w:r>
      <w:r w:rsidRPr="00747AD4">
        <w:rPr>
          <w:rFonts w:ascii="Times New Roman" w:hAnsi="Times New Roman" w:cs="Times New Roman"/>
          <w:i/>
          <w:iCs/>
          <w:sz w:val="24"/>
          <w:szCs w:val="24"/>
        </w:rPr>
        <w:t>Guide to Hydrological Practices</w:t>
      </w:r>
      <w:r w:rsidRPr="00747AD4">
        <w:rPr>
          <w:rFonts w:ascii="Times New Roman" w:hAnsi="Times New Roman" w:cs="Times New Roman"/>
          <w:sz w:val="24"/>
          <w:szCs w:val="24"/>
        </w:rPr>
        <w:t>. Geneva.</w:t>
      </w:r>
      <w:r w:rsidR="003D7EE2">
        <w:rPr>
          <w:rFonts w:ascii="Times New Roman" w:hAnsi="Times New Roman" w:cs="Times New Roman"/>
          <w:sz w:val="24"/>
          <w:szCs w:val="24"/>
        </w:rPr>
        <w:t xml:space="preserve"> </w:t>
      </w:r>
      <w:hyperlink r:id="rId10" w:history="1">
        <w:r w:rsidR="003D7EE2" w:rsidRPr="00EB7AC9">
          <w:rPr>
            <w:rStyle w:val="Hyperlink"/>
            <w:rFonts w:ascii="Times New Roman" w:hAnsi="Times New Roman" w:cs="Times New Roman"/>
            <w:sz w:val="24"/>
            <w:szCs w:val="24"/>
          </w:rPr>
          <w:t>https://community.wmo.int/activity-areas/hydrology/publications</w:t>
        </w:r>
      </w:hyperlink>
      <w:r w:rsidR="003D7EE2">
        <w:rPr>
          <w:rFonts w:ascii="Times New Roman" w:hAnsi="Times New Roman" w:cs="Times New Roman"/>
          <w:sz w:val="24"/>
          <w:szCs w:val="24"/>
        </w:rPr>
        <w:t xml:space="preserve"> </w:t>
      </w:r>
    </w:p>
    <w:p w14:paraId="4AAF4675" w14:textId="77777777"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African Development Bank (AfDB). (2020). </w:t>
      </w:r>
      <w:r w:rsidRPr="00747AD4">
        <w:rPr>
          <w:rFonts w:ascii="Times New Roman" w:hAnsi="Times New Roman" w:cs="Times New Roman"/>
          <w:i/>
          <w:iCs/>
          <w:sz w:val="24"/>
          <w:szCs w:val="24"/>
        </w:rPr>
        <w:t>Hydropower Development in Africa</w:t>
      </w:r>
      <w:r w:rsidRPr="00747AD4">
        <w:rPr>
          <w:rFonts w:ascii="Times New Roman" w:hAnsi="Times New Roman" w:cs="Times New Roman"/>
          <w:sz w:val="24"/>
          <w:szCs w:val="24"/>
        </w:rPr>
        <w:t>. Abidjan.</w:t>
      </w:r>
    </w:p>
    <w:p w14:paraId="412ED3B7" w14:textId="2E7E8215"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International Renewable Energy Agency (IRENA). (2022). </w:t>
      </w:r>
      <w:r w:rsidRPr="00747AD4">
        <w:rPr>
          <w:rFonts w:ascii="Times New Roman" w:hAnsi="Times New Roman" w:cs="Times New Roman"/>
          <w:i/>
          <w:iCs/>
          <w:sz w:val="24"/>
          <w:szCs w:val="24"/>
        </w:rPr>
        <w:t>Renewable Power Generation Costs</w:t>
      </w:r>
      <w:r w:rsidRPr="00747AD4">
        <w:rPr>
          <w:rFonts w:ascii="Times New Roman" w:hAnsi="Times New Roman" w:cs="Times New Roman"/>
          <w:sz w:val="24"/>
          <w:szCs w:val="24"/>
        </w:rPr>
        <w:t>. Abu Dhabi.</w:t>
      </w:r>
      <w:r w:rsidR="000F2CB5">
        <w:rPr>
          <w:rFonts w:ascii="Times New Roman" w:hAnsi="Times New Roman" w:cs="Times New Roman"/>
          <w:sz w:val="24"/>
          <w:szCs w:val="24"/>
        </w:rPr>
        <w:t xml:space="preserve"> </w:t>
      </w:r>
      <w:hyperlink r:id="rId11" w:history="1">
        <w:r w:rsidR="000F2CB5" w:rsidRPr="00EB7AC9">
          <w:rPr>
            <w:rStyle w:val="Hyperlink"/>
            <w:rFonts w:ascii="Times New Roman" w:hAnsi="Times New Roman" w:cs="Times New Roman"/>
            <w:sz w:val="24"/>
            <w:szCs w:val="24"/>
          </w:rPr>
          <w:t>https://www.irena.org/Publications/2023/Aug/Renewable-Power-Generation-Costs-in-2022</w:t>
        </w:r>
      </w:hyperlink>
      <w:r w:rsidR="000F2CB5">
        <w:rPr>
          <w:rFonts w:ascii="Times New Roman" w:hAnsi="Times New Roman" w:cs="Times New Roman"/>
          <w:sz w:val="24"/>
          <w:szCs w:val="24"/>
        </w:rPr>
        <w:t xml:space="preserve"> </w:t>
      </w:r>
    </w:p>
    <w:p w14:paraId="3C7CEBD2" w14:textId="77777777"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FAO. (2017). </w:t>
      </w:r>
      <w:r w:rsidRPr="00747AD4">
        <w:rPr>
          <w:rFonts w:ascii="Times New Roman" w:hAnsi="Times New Roman" w:cs="Times New Roman"/>
          <w:i/>
          <w:iCs/>
          <w:sz w:val="24"/>
          <w:szCs w:val="24"/>
        </w:rPr>
        <w:t>Dams and Reservoirs under Changing Climate Conditions</w:t>
      </w:r>
      <w:r w:rsidRPr="00747AD4">
        <w:rPr>
          <w:rFonts w:ascii="Times New Roman" w:hAnsi="Times New Roman" w:cs="Times New Roman"/>
          <w:sz w:val="24"/>
          <w:szCs w:val="24"/>
        </w:rPr>
        <w:t>. Rome.</w:t>
      </w:r>
    </w:p>
    <w:p w14:paraId="1F6FB70D" w14:textId="77777777"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EDF Hydro. (2019). </w:t>
      </w:r>
      <w:r w:rsidRPr="00747AD4">
        <w:rPr>
          <w:rFonts w:ascii="Times New Roman" w:hAnsi="Times New Roman" w:cs="Times New Roman"/>
          <w:i/>
          <w:iCs/>
          <w:sz w:val="24"/>
          <w:szCs w:val="24"/>
        </w:rPr>
        <w:t>Best Practices in Hydropower Operation and Reservoir Management</w:t>
      </w:r>
      <w:r w:rsidRPr="00747AD4">
        <w:rPr>
          <w:rFonts w:ascii="Times New Roman" w:hAnsi="Times New Roman" w:cs="Times New Roman"/>
          <w:sz w:val="24"/>
          <w:szCs w:val="24"/>
        </w:rPr>
        <w:t>.</w:t>
      </w:r>
    </w:p>
    <w:p w14:paraId="1BCE2672" w14:textId="77777777" w:rsidR="00747AD4" w:rsidRPr="00747AD4" w:rsidRDefault="00747AD4" w:rsidP="002E49B5">
      <w:pPr>
        <w:numPr>
          <w:ilvl w:val="0"/>
          <w:numId w:val="1"/>
        </w:numPr>
        <w:spacing w:line="360" w:lineRule="auto"/>
        <w:rPr>
          <w:rFonts w:ascii="Times New Roman" w:hAnsi="Times New Roman" w:cs="Times New Roman"/>
          <w:sz w:val="24"/>
          <w:szCs w:val="24"/>
        </w:rPr>
      </w:pPr>
      <w:r w:rsidRPr="00747AD4">
        <w:rPr>
          <w:rFonts w:ascii="Times New Roman" w:hAnsi="Times New Roman" w:cs="Times New Roman"/>
          <w:sz w:val="24"/>
          <w:szCs w:val="24"/>
        </w:rPr>
        <w:t xml:space="preserve">UNESCO. (2021). </w:t>
      </w:r>
      <w:r w:rsidRPr="00747AD4">
        <w:rPr>
          <w:rFonts w:ascii="Times New Roman" w:hAnsi="Times New Roman" w:cs="Times New Roman"/>
          <w:i/>
          <w:iCs/>
          <w:sz w:val="24"/>
          <w:szCs w:val="24"/>
        </w:rPr>
        <w:t>Water Security and Sustainable Development</w:t>
      </w:r>
      <w:r w:rsidRPr="00747AD4">
        <w:rPr>
          <w:rFonts w:ascii="Times New Roman" w:hAnsi="Times New Roman" w:cs="Times New Roman"/>
          <w:sz w:val="24"/>
          <w:szCs w:val="24"/>
        </w:rPr>
        <w:t>. Paris.</w:t>
      </w:r>
    </w:p>
    <w:p w14:paraId="691955BB" w14:textId="77777777" w:rsidR="00747AD4" w:rsidRPr="002E49B5" w:rsidRDefault="00747AD4" w:rsidP="002E49B5">
      <w:pPr>
        <w:spacing w:line="360" w:lineRule="auto"/>
        <w:rPr>
          <w:rFonts w:ascii="Times New Roman" w:hAnsi="Times New Roman" w:cs="Times New Roman"/>
          <w:sz w:val="24"/>
          <w:szCs w:val="24"/>
          <w:lang w:val="fr-FR"/>
        </w:rPr>
      </w:pPr>
    </w:p>
    <w:p w14:paraId="28063570" w14:textId="2CEB1D0F" w:rsidR="00397F61" w:rsidRPr="002E49B5" w:rsidRDefault="00397F61" w:rsidP="002E49B5">
      <w:pPr>
        <w:spacing w:line="360" w:lineRule="auto"/>
        <w:rPr>
          <w:rFonts w:ascii="Times New Roman" w:hAnsi="Times New Roman" w:cs="Times New Roman"/>
          <w:sz w:val="24"/>
          <w:szCs w:val="24"/>
          <w:lang w:val="fr-FR"/>
        </w:rPr>
      </w:pPr>
    </w:p>
    <w:sectPr w:rsidR="00397F61" w:rsidRPr="002E49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5148F" w14:textId="77777777" w:rsidR="00834D20" w:rsidRDefault="00834D20" w:rsidP="00747AD4">
      <w:pPr>
        <w:spacing w:after="0" w:line="240" w:lineRule="auto"/>
      </w:pPr>
      <w:r>
        <w:separator/>
      </w:r>
    </w:p>
  </w:endnote>
  <w:endnote w:type="continuationSeparator" w:id="0">
    <w:p w14:paraId="12FBC9CA" w14:textId="77777777" w:rsidR="00834D20" w:rsidRDefault="00834D20" w:rsidP="0074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9AAC" w14:textId="77777777" w:rsidR="00EE211B" w:rsidRDefault="00EE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94382"/>
      <w:docPartObj>
        <w:docPartGallery w:val="Page Numbers (Bottom of Page)"/>
        <w:docPartUnique/>
      </w:docPartObj>
    </w:sdtPr>
    <w:sdtEndPr/>
    <w:sdtContent>
      <w:p w14:paraId="216AFC8F" w14:textId="7092ACD9" w:rsidR="00747AD4" w:rsidRDefault="00747AD4">
        <w:pPr>
          <w:pStyle w:val="Footer"/>
          <w:jc w:val="center"/>
        </w:pPr>
        <w:r>
          <w:fldChar w:fldCharType="begin"/>
        </w:r>
        <w:r>
          <w:instrText>PAGE   \* MERGEFORMAT</w:instrText>
        </w:r>
        <w:r>
          <w:fldChar w:fldCharType="separate"/>
        </w:r>
        <w:r>
          <w:rPr>
            <w:lang w:val="fr-FR"/>
          </w:rPr>
          <w:t>2</w:t>
        </w:r>
        <w:r>
          <w:fldChar w:fldCharType="end"/>
        </w:r>
      </w:p>
    </w:sdtContent>
  </w:sdt>
  <w:p w14:paraId="69FE5C4A" w14:textId="77777777" w:rsidR="00747AD4" w:rsidRDefault="00747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6F68" w14:textId="77777777" w:rsidR="00EE211B" w:rsidRDefault="00EE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9685" w14:textId="77777777" w:rsidR="00834D20" w:rsidRDefault="00834D20" w:rsidP="00747AD4">
      <w:pPr>
        <w:spacing w:after="0" w:line="240" w:lineRule="auto"/>
      </w:pPr>
      <w:r>
        <w:separator/>
      </w:r>
    </w:p>
  </w:footnote>
  <w:footnote w:type="continuationSeparator" w:id="0">
    <w:p w14:paraId="0D151390" w14:textId="77777777" w:rsidR="00834D20" w:rsidRDefault="00834D20" w:rsidP="00747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218A9" w14:textId="4479C226" w:rsidR="00EE211B" w:rsidRDefault="00EE211B">
    <w:pPr>
      <w:pStyle w:val="Header"/>
    </w:pPr>
    <w:r>
      <w:rPr>
        <w:noProof/>
      </w:rPr>
      <w:pict w14:anchorId="1874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10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A28EF" w14:textId="1E8A7655" w:rsidR="00EE211B" w:rsidRDefault="00EE211B">
    <w:pPr>
      <w:pStyle w:val="Header"/>
    </w:pPr>
    <w:r>
      <w:rPr>
        <w:noProof/>
      </w:rPr>
      <w:pict w14:anchorId="752EC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10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CE85" w14:textId="139C5E8E" w:rsidR="00EE211B" w:rsidRDefault="00EE211B">
    <w:pPr>
      <w:pStyle w:val="Header"/>
    </w:pPr>
    <w:r>
      <w:rPr>
        <w:noProof/>
      </w:rPr>
      <w:pict w14:anchorId="65A55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10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970"/>
    <w:multiLevelType w:val="multilevel"/>
    <w:tmpl w:val="4BBE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DB329C"/>
    <w:multiLevelType w:val="multilevel"/>
    <w:tmpl w:val="6D68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428BA"/>
    <w:multiLevelType w:val="multilevel"/>
    <w:tmpl w:val="2CFC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637D9"/>
    <w:multiLevelType w:val="multilevel"/>
    <w:tmpl w:val="614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D1B7F"/>
    <w:multiLevelType w:val="multilevel"/>
    <w:tmpl w:val="066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84"/>
    <w:rsid w:val="0003258D"/>
    <w:rsid w:val="000639D2"/>
    <w:rsid w:val="000C490E"/>
    <w:rsid w:val="000D3589"/>
    <w:rsid w:val="000F2CB5"/>
    <w:rsid w:val="00116A59"/>
    <w:rsid w:val="00197270"/>
    <w:rsid w:val="00246FE5"/>
    <w:rsid w:val="002D4EDB"/>
    <w:rsid w:val="002E49B5"/>
    <w:rsid w:val="003839C3"/>
    <w:rsid w:val="00397F61"/>
    <w:rsid w:val="003D7EE2"/>
    <w:rsid w:val="004523F2"/>
    <w:rsid w:val="004A5DF3"/>
    <w:rsid w:val="00531A8E"/>
    <w:rsid w:val="0057294F"/>
    <w:rsid w:val="005B1638"/>
    <w:rsid w:val="005B58CE"/>
    <w:rsid w:val="006C03D9"/>
    <w:rsid w:val="00747AD4"/>
    <w:rsid w:val="007E3DE9"/>
    <w:rsid w:val="00834D20"/>
    <w:rsid w:val="00914B7A"/>
    <w:rsid w:val="009304CC"/>
    <w:rsid w:val="00A21BEA"/>
    <w:rsid w:val="00C83D49"/>
    <w:rsid w:val="00CF0F0D"/>
    <w:rsid w:val="00D11E02"/>
    <w:rsid w:val="00D97EE4"/>
    <w:rsid w:val="00E57C09"/>
    <w:rsid w:val="00E61B47"/>
    <w:rsid w:val="00EB3538"/>
    <w:rsid w:val="00EC1264"/>
    <w:rsid w:val="00EC7394"/>
    <w:rsid w:val="00EE211B"/>
    <w:rsid w:val="00FC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6C17F"/>
  <w15:chartTrackingRefBased/>
  <w15:docId w15:val="{72B06FB8-DF80-4CE0-83D7-52F43310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384"/>
    <w:rPr>
      <w:rFonts w:eastAsiaTheme="majorEastAsia" w:cstheme="majorBidi"/>
      <w:color w:val="272727" w:themeColor="text1" w:themeTint="D8"/>
    </w:rPr>
  </w:style>
  <w:style w:type="paragraph" w:styleId="Title">
    <w:name w:val="Title"/>
    <w:basedOn w:val="Normal"/>
    <w:next w:val="Normal"/>
    <w:link w:val="TitleChar"/>
    <w:uiPriority w:val="10"/>
    <w:qFormat/>
    <w:rsid w:val="00FC0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384"/>
    <w:pPr>
      <w:spacing w:before="160"/>
      <w:jc w:val="center"/>
    </w:pPr>
    <w:rPr>
      <w:i/>
      <w:iCs/>
      <w:color w:val="404040" w:themeColor="text1" w:themeTint="BF"/>
    </w:rPr>
  </w:style>
  <w:style w:type="character" w:customStyle="1" w:styleId="QuoteChar">
    <w:name w:val="Quote Char"/>
    <w:basedOn w:val="DefaultParagraphFont"/>
    <w:link w:val="Quote"/>
    <w:uiPriority w:val="29"/>
    <w:rsid w:val="00FC0384"/>
    <w:rPr>
      <w:i/>
      <w:iCs/>
      <w:color w:val="404040" w:themeColor="text1" w:themeTint="BF"/>
    </w:rPr>
  </w:style>
  <w:style w:type="paragraph" w:styleId="ListParagraph">
    <w:name w:val="List Paragraph"/>
    <w:basedOn w:val="Normal"/>
    <w:uiPriority w:val="34"/>
    <w:qFormat/>
    <w:rsid w:val="00FC0384"/>
    <w:pPr>
      <w:ind w:left="720"/>
      <w:contextualSpacing/>
    </w:pPr>
  </w:style>
  <w:style w:type="character" w:styleId="IntenseEmphasis">
    <w:name w:val="Intense Emphasis"/>
    <w:basedOn w:val="DefaultParagraphFont"/>
    <w:uiPriority w:val="21"/>
    <w:qFormat/>
    <w:rsid w:val="00FC0384"/>
    <w:rPr>
      <w:i/>
      <w:iCs/>
      <w:color w:val="2F5496" w:themeColor="accent1" w:themeShade="BF"/>
    </w:rPr>
  </w:style>
  <w:style w:type="paragraph" w:styleId="IntenseQuote">
    <w:name w:val="Intense Quote"/>
    <w:basedOn w:val="Normal"/>
    <w:next w:val="Normal"/>
    <w:link w:val="IntenseQuoteChar"/>
    <w:uiPriority w:val="30"/>
    <w:qFormat/>
    <w:rsid w:val="00FC0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384"/>
    <w:rPr>
      <w:i/>
      <w:iCs/>
      <w:color w:val="2F5496" w:themeColor="accent1" w:themeShade="BF"/>
    </w:rPr>
  </w:style>
  <w:style w:type="character" w:styleId="IntenseReference">
    <w:name w:val="Intense Reference"/>
    <w:basedOn w:val="DefaultParagraphFont"/>
    <w:uiPriority w:val="32"/>
    <w:qFormat/>
    <w:rsid w:val="00FC0384"/>
    <w:rPr>
      <w:b/>
      <w:bCs/>
      <w:smallCaps/>
      <w:color w:val="2F5496" w:themeColor="accent1" w:themeShade="BF"/>
      <w:spacing w:val="5"/>
    </w:rPr>
  </w:style>
  <w:style w:type="paragraph" w:styleId="Header">
    <w:name w:val="header"/>
    <w:basedOn w:val="Normal"/>
    <w:link w:val="HeaderChar"/>
    <w:uiPriority w:val="99"/>
    <w:unhideWhenUsed/>
    <w:rsid w:val="00747A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47AD4"/>
  </w:style>
  <w:style w:type="paragraph" w:styleId="Footer">
    <w:name w:val="footer"/>
    <w:basedOn w:val="Normal"/>
    <w:link w:val="FooterChar"/>
    <w:uiPriority w:val="99"/>
    <w:unhideWhenUsed/>
    <w:rsid w:val="00747A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47AD4"/>
  </w:style>
  <w:style w:type="table" w:styleId="TableGrid">
    <w:name w:val="Table Grid"/>
    <w:basedOn w:val="TableNormal"/>
    <w:uiPriority w:val="39"/>
    <w:rsid w:val="0074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3D49"/>
    <w:rPr>
      <w:b/>
      <w:bCs/>
    </w:rPr>
  </w:style>
  <w:style w:type="character" w:styleId="Hyperlink">
    <w:name w:val="Hyperlink"/>
    <w:basedOn w:val="DefaultParagraphFont"/>
    <w:uiPriority w:val="99"/>
    <w:unhideWhenUsed/>
    <w:rsid w:val="006C03D9"/>
    <w:rPr>
      <w:color w:val="0563C1" w:themeColor="hyperlink"/>
      <w:u w:val="single"/>
    </w:rPr>
  </w:style>
  <w:style w:type="character" w:styleId="UnresolvedMention">
    <w:name w:val="Unresolved Mention"/>
    <w:basedOn w:val="DefaultParagraphFont"/>
    <w:uiPriority w:val="99"/>
    <w:semiHidden/>
    <w:unhideWhenUsed/>
    <w:rsid w:val="006C0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hydropower-special-market-repor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t.gov.gn/textes-8eme-legislature/conakry-le-28-novembre-2018-l20180061an-autorisant-la-ratification-du-contrat-dachat-delectricite-entre-la-societe-de-gestion-et-dexploitation-de-souapiti-et-electricite-de-guinee-en-presence-de-letat-guineen-relatif-a-la-centrale-hydroelectrique-de-450-mw-situee-a-souapit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ena.org/Publications/2023/Aug/Renewable-Power-Generation-Costs-in-20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mmunity.wmo.int/activity-areas/hydrology/publ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ydrosustainability.org/hydropower-sustainability-tools/hydropower-sustainability-assessment-protoco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3224</Words>
  <Characters>18382</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SDI 1180</cp:lastModifiedBy>
  <cp:revision>32</cp:revision>
  <dcterms:created xsi:type="dcterms:W3CDTF">2025-12-30T09:41:00Z</dcterms:created>
  <dcterms:modified xsi:type="dcterms:W3CDTF">2025-12-31T07:18:00Z</dcterms:modified>
</cp:coreProperties>
</file>