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81F3" w14:textId="65FC07F1" w:rsidR="00891B21" w:rsidRPr="00891B21" w:rsidRDefault="00891B21" w:rsidP="00891B21">
      <w:pPr>
        <w:rPr>
          <w:rFonts w:ascii="Century Gothic" w:hAnsi="Century Gothic"/>
          <w:sz w:val="24"/>
          <w:szCs w:val="24"/>
        </w:rPr>
      </w:pPr>
    </w:p>
    <w:p w14:paraId="020BFDC1"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Energy Valorization of the Palm Stem: Composition, Potential, and Applications in Guinea</w:t>
      </w:r>
    </w:p>
    <w:p w14:paraId="4AF3C10D" w14:textId="77777777" w:rsidR="00CD2B67" w:rsidRPr="00704446" w:rsidRDefault="00CD2B67" w:rsidP="00891B21">
      <w:pPr>
        <w:rPr>
          <w:rFonts w:ascii="Century Gothic" w:hAnsi="Century Gothic"/>
          <w:b/>
          <w:bCs/>
          <w:sz w:val="24"/>
          <w:szCs w:val="24"/>
          <w:lang w:val="fr-FR"/>
        </w:rPr>
      </w:pPr>
    </w:p>
    <w:p w14:paraId="5F5C7709" w14:textId="10C98E62" w:rsidR="00891B21" w:rsidRPr="00891B21" w:rsidRDefault="00891B21" w:rsidP="00891B21">
      <w:pPr>
        <w:rPr>
          <w:rFonts w:ascii="Century Gothic" w:hAnsi="Century Gothic"/>
          <w:sz w:val="24"/>
          <w:szCs w:val="24"/>
          <w:lang w:val="fr-FR"/>
        </w:rPr>
      </w:pPr>
    </w:p>
    <w:p w14:paraId="794F887B"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Abstract</w:t>
      </w:r>
    </w:p>
    <w:p w14:paraId="5CC84956" w14:textId="71EDEFE5" w:rsidR="00891B21" w:rsidRPr="00891B21" w:rsidRDefault="00891B21" w:rsidP="00891B21">
      <w:pPr>
        <w:jc w:val="both"/>
        <w:rPr>
          <w:rFonts w:ascii="Century Gothic" w:hAnsi="Century Gothic"/>
          <w:sz w:val="24"/>
          <w:szCs w:val="24"/>
        </w:rPr>
      </w:pPr>
      <w:r w:rsidRPr="00891B21">
        <w:rPr>
          <w:rFonts w:ascii="Century Gothic" w:hAnsi="Century Gothic"/>
          <w:sz w:val="24"/>
          <w:szCs w:val="24"/>
        </w:rPr>
        <w:t>Biomass derived from palm trees represents a renewable energy resource that remains largely underexploited in Guinea, despite its abundance and local availability [1], [2]. Among its components, the palm stem, or stipe, offers significant energy potential due to its lignocellulosic structure, primarily composed of cellulose, hemicellulose, and lignin, which are key elements for biomass energy valorization [3], [6]. Several studies have shown that this type of biomass exhibits thermochemical properties comparable to those of conventional woody residues commonly used for energy production [4], [7].This article provides a scientific analysis of the energy composition of the palm stem, its physicochemical properties, and its main valorization pathways, including direct combustion, carbonization, and gasification, while considering the economic, environmental, and energy-specific context of Guinea [5], [10]. The results indicate that, despite a high moisture content in the fresh state, characteristic of tropical biomass [6], the palm stem exhibits, after proper drying and conditioning, a calorific value comparable to conventional wood [1], [8].Thus, this biomass represents a credible and sustainable alternative for thermal and electrical energy production, particularly in rural areas of Guinea, where access to centralized grids remains limited and decentralized biomass-based energy solutions offer a strategic lever for local development [9], [13]–[15].</w:t>
      </w:r>
    </w:p>
    <w:p w14:paraId="75447E49" w14:textId="6B549960" w:rsidR="00891B21" w:rsidRDefault="00891B21" w:rsidP="00891B21">
      <w:pPr>
        <w:rPr>
          <w:rFonts w:ascii="Century Gothic" w:hAnsi="Century Gothic"/>
          <w:sz w:val="24"/>
          <w:szCs w:val="24"/>
        </w:rPr>
      </w:pPr>
      <w:r w:rsidRPr="00891B21">
        <w:rPr>
          <w:rFonts w:ascii="Century Gothic" w:hAnsi="Century Gothic"/>
          <w:b/>
          <w:bCs/>
          <w:sz w:val="24"/>
          <w:szCs w:val="24"/>
        </w:rPr>
        <w:t>Keywords:</w:t>
      </w:r>
      <w:r w:rsidRPr="00891B21">
        <w:rPr>
          <w:rFonts w:ascii="Century Gothic" w:hAnsi="Century Gothic"/>
          <w:sz w:val="24"/>
          <w:szCs w:val="24"/>
        </w:rPr>
        <w:t xml:space="preserve"> Biomass; palm stem; lignocellulose; renewable energy; Guinea; energy valorization</w:t>
      </w:r>
    </w:p>
    <w:p w14:paraId="645E1CDF" w14:textId="77777777" w:rsidR="00891B21" w:rsidRDefault="00891B21" w:rsidP="00891B21">
      <w:pPr>
        <w:rPr>
          <w:rFonts w:ascii="Century Gothic" w:hAnsi="Century Gothic"/>
          <w:sz w:val="24"/>
          <w:szCs w:val="24"/>
        </w:rPr>
      </w:pPr>
    </w:p>
    <w:p w14:paraId="0A2A98C1" w14:textId="77777777" w:rsidR="00891B21" w:rsidRDefault="00891B21" w:rsidP="00891B21">
      <w:pPr>
        <w:rPr>
          <w:rFonts w:ascii="Century Gothic" w:hAnsi="Century Gothic"/>
          <w:sz w:val="24"/>
          <w:szCs w:val="24"/>
        </w:rPr>
      </w:pPr>
    </w:p>
    <w:p w14:paraId="7AC80192" w14:textId="750929B9" w:rsidR="00891B21" w:rsidRDefault="00891B21" w:rsidP="00891B21">
      <w:pPr>
        <w:rPr>
          <w:rFonts w:ascii="Century Gothic" w:hAnsi="Century Gothic"/>
          <w:sz w:val="24"/>
          <w:szCs w:val="24"/>
        </w:rPr>
      </w:pPr>
    </w:p>
    <w:p w14:paraId="7B92A29A" w14:textId="4374ECA6" w:rsidR="00176E49" w:rsidRDefault="00176E49" w:rsidP="00891B21">
      <w:pPr>
        <w:rPr>
          <w:rFonts w:ascii="Century Gothic" w:hAnsi="Century Gothic"/>
          <w:sz w:val="24"/>
          <w:szCs w:val="24"/>
        </w:rPr>
      </w:pPr>
    </w:p>
    <w:p w14:paraId="77A77C23" w14:textId="6F5230C4" w:rsidR="00176E49" w:rsidRDefault="00176E49" w:rsidP="00891B21">
      <w:pPr>
        <w:rPr>
          <w:rFonts w:ascii="Century Gothic" w:hAnsi="Century Gothic"/>
          <w:sz w:val="24"/>
          <w:szCs w:val="24"/>
        </w:rPr>
      </w:pPr>
    </w:p>
    <w:p w14:paraId="3F25B854" w14:textId="77777777" w:rsidR="00176E49" w:rsidRDefault="00176E49" w:rsidP="00891B21">
      <w:pPr>
        <w:rPr>
          <w:rFonts w:ascii="Century Gothic" w:hAnsi="Century Gothic"/>
          <w:sz w:val="24"/>
          <w:szCs w:val="24"/>
        </w:rPr>
      </w:pPr>
      <w:bookmarkStart w:id="0" w:name="_GoBack"/>
      <w:bookmarkEnd w:id="0"/>
    </w:p>
    <w:p w14:paraId="70D9DA45" w14:textId="77777777" w:rsidR="00891B21" w:rsidRDefault="00891B21" w:rsidP="00891B21">
      <w:pPr>
        <w:rPr>
          <w:rFonts w:ascii="Century Gothic" w:hAnsi="Century Gothic"/>
          <w:sz w:val="24"/>
          <w:szCs w:val="24"/>
        </w:rPr>
      </w:pPr>
    </w:p>
    <w:p w14:paraId="7C04C13A" w14:textId="77777777" w:rsidR="00891B21" w:rsidRPr="00891B21" w:rsidRDefault="00891B21" w:rsidP="00891B21">
      <w:pPr>
        <w:rPr>
          <w:rFonts w:ascii="Century Gothic" w:hAnsi="Century Gothic"/>
          <w:sz w:val="24"/>
          <w:szCs w:val="24"/>
        </w:rPr>
      </w:pPr>
    </w:p>
    <w:p w14:paraId="194CA492" w14:textId="64959905" w:rsidR="00726E48" w:rsidRPr="00726E48" w:rsidRDefault="00726E48" w:rsidP="00726E48">
      <w:pPr>
        <w:pStyle w:val="Heading2"/>
      </w:pPr>
    </w:p>
    <w:p w14:paraId="2C522D89" w14:textId="77777777" w:rsidR="00726E48" w:rsidRPr="00726E48" w:rsidRDefault="00726E48" w:rsidP="00726E48">
      <w:pPr>
        <w:rPr>
          <w:rFonts w:ascii="Century Gothic" w:hAnsi="Century Gothic"/>
          <w:b/>
          <w:bCs/>
          <w:sz w:val="24"/>
          <w:szCs w:val="24"/>
        </w:rPr>
      </w:pPr>
      <w:r w:rsidRPr="00726E48">
        <w:rPr>
          <w:rFonts w:ascii="Century Gothic" w:hAnsi="Century Gothic"/>
          <w:b/>
          <w:bCs/>
          <w:sz w:val="24"/>
          <w:szCs w:val="24"/>
        </w:rPr>
        <w:t>1. Introduction</w:t>
      </w:r>
    </w:p>
    <w:p w14:paraId="67A9B8F5" w14:textId="06AA03FE"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In Guinea, the question of energy goes far beyond infrastructure and technology</w:t>
      </w:r>
      <w:r w:rsidR="000B2924">
        <w:rPr>
          <w:rFonts w:ascii="Century Gothic" w:hAnsi="Century Gothic"/>
          <w:sz w:val="24"/>
          <w:szCs w:val="24"/>
        </w:rPr>
        <w:t xml:space="preserve"> </w:t>
      </w:r>
      <w:r w:rsidRPr="00726E48">
        <w:rPr>
          <w:rFonts w:ascii="Century Gothic" w:hAnsi="Century Gothic"/>
          <w:sz w:val="24"/>
          <w:szCs w:val="24"/>
        </w:rPr>
        <w:t>it directly affects daily life, economic activity, and social development. For many households, especially in rural areas, access to reliable electricity remains limited, irregular, or simply unavailable. Cooking, lighting, small-scale farming, food processing, and local businesses all depend on energy that is often expensive, scarce, or environmentally damaging. In this context, Guinea’s energy transition increasingly relies on the ability to harness local, renewable resources that are accessible, affordable, and sustainable.</w:t>
      </w:r>
    </w:p>
    <w:p w14:paraId="75298730"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Hydropower has long been the backbone of the national electricity system and remains a major asset for the country. Guinea’s rivers offer immense potential, and large hydropower projects have significantly increased installed capacity. However, this strong dependence on hydropower also reveals its limits. Electricity production fluctuates with rainfall, drought periods can weaken supply, and large infrastructure projects require heavy investments, long construction timelines, and complex environmental and social management. These realities make it clear that hydropower alone cannot meet all of Guinea’s current and future energy needs. Diversifying energy sources is therefore not a choice, but a necessity.</w:t>
      </w:r>
    </w:p>
    <w:p w14:paraId="553423C3"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Biomass energy naturally emerges as a complementary and practical solution. It is already part of everyday life for millions of Guineans and, when better managed and modernized, it can become a cleaner, more efficient, and more sustainable energy option. Biomass is particularly well suited to rural areas and agro-industrial zones, where centralized electricity networks are often absent or unreliable. Unlike large-scale energy infrastructure, biomass systems can be developed locally, adapted to community needs, and scaled progressively.</w:t>
      </w:r>
    </w:p>
    <w:p w14:paraId="4C4CDC43"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Among the country’s agricultural resources, palm trees hold a special place, especially in Maritime Guinea and Forested Guinea, where oil palm cultivation supports livelihoods and local economies. Each year, agricultural activities, plantation renewal, and agro-industrial processing generate large volumes of residues. Palm stems, in particular, are often viewed as waste—left in the fields, burned without control, or abandoned to decompose. Yet behind this apparent waste lies a significant and largely untapped energy potential.</w:t>
      </w:r>
    </w:p>
    <w:p w14:paraId="3BAAC9D0"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 xml:space="preserve">Palm stems are rich in lignocellulosic material, making them suitable for energy conversion when properly processed. With simple techniques such as drying, cutting, or densification, they can be transformed into fuel for cooking, heat </w:t>
      </w:r>
      <w:r w:rsidRPr="00726E48">
        <w:rPr>
          <w:rFonts w:ascii="Century Gothic" w:hAnsi="Century Gothic"/>
          <w:sz w:val="24"/>
          <w:szCs w:val="24"/>
        </w:rPr>
        <w:lastRenderedPageBreak/>
        <w:t>generation, or even small-scale electricity production. Their use not only provides a local energy source but also helps reduce pressure on forests, which are increasingly exploited to meet household energy demand. In this way, palm stem valorization responds simultaneously to energy needs, environmental protection, and waste management challenges.</w:t>
      </w:r>
    </w:p>
    <w:p w14:paraId="220CF161"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This study explores the energetic properties, composition, and valorization pathways of palm stems, with the aim of showing how this overlooked resource can contribute to more sustainable and inclusive energy systems in Guinea. Beyond technical performance, the analysis highlights the human, environmental, and socio-economic dimensions of palm stem energy. By grounding energy solutions in local resources and community realities, palm stem biomass can play a meaningful role in Guinea’s renewable energy transition, rural development, and long-term energy sovereignty.</w:t>
      </w:r>
    </w:p>
    <w:p w14:paraId="4ABFE300"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2. Materials and Methods</w:t>
      </w:r>
    </w:p>
    <w:p w14:paraId="3E745FD3" w14:textId="77777777" w:rsidR="00891B21" w:rsidRPr="00891B21" w:rsidRDefault="00891B21" w:rsidP="00891B21">
      <w:pPr>
        <w:jc w:val="both"/>
        <w:rPr>
          <w:rFonts w:ascii="Century Gothic" w:hAnsi="Century Gothic"/>
          <w:sz w:val="24"/>
          <w:szCs w:val="24"/>
        </w:rPr>
      </w:pPr>
      <w:r w:rsidRPr="00891B21">
        <w:rPr>
          <w:rFonts w:ascii="Century Gothic" w:hAnsi="Century Gothic"/>
          <w:sz w:val="24"/>
          <w:szCs w:val="24"/>
        </w:rPr>
        <w:t>The analysis is based on a review of scientific and technical data on the lignocellulosic biomass of palm trees, contextualized to Guinea’s climate and agricultural conditions. Parameters studied include:</w:t>
      </w:r>
    </w:p>
    <w:p w14:paraId="118CFFEA"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Chemical composition: cellulose, hemicellulose, lignin</w:t>
      </w:r>
    </w:p>
    <w:p w14:paraId="69427AD0"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Moisture content</w:t>
      </w:r>
    </w:p>
    <w:p w14:paraId="366E705B"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Mineral fraction (ash)</w:t>
      </w:r>
    </w:p>
    <w:p w14:paraId="45D91106"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Lower heating value (LHV)</w:t>
      </w:r>
    </w:p>
    <w:p w14:paraId="5CE65134" w14:textId="453F5177" w:rsidR="00891B21" w:rsidRPr="00891B21" w:rsidRDefault="00891B21" w:rsidP="00891B21">
      <w:pPr>
        <w:jc w:val="both"/>
        <w:rPr>
          <w:rFonts w:ascii="Century Gothic" w:hAnsi="Century Gothic"/>
          <w:sz w:val="24"/>
          <w:szCs w:val="24"/>
        </w:rPr>
      </w:pPr>
      <w:r w:rsidRPr="00891B21">
        <w:rPr>
          <w:rFonts w:ascii="Century Gothic" w:hAnsi="Century Gothic"/>
          <w:sz w:val="24"/>
          <w:szCs w:val="24"/>
        </w:rPr>
        <w:t>Data were obtained from experimental studies, technical reports, international standards, and local measurements in Guinea. The approach is descriptive and analytical, without predictive modeling.</w:t>
      </w:r>
    </w:p>
    <w:p w14:paraId="5D2C40A9" w14:textId="0ECF9A6E"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 xml:space="preserve"> Composition of Palm Stem</w:t>
      </w:r>
    </w:p>
    <w:p w14:paraId="05B98B35" w14:textId="77777777" w:rsidR="00891B21" w:rsidRPr="00891B21" w:rsidRDefault="00891B21" w:rsidP="00891B21">
      <w:pPr>
        <w:rPr>
          <w:rFonts w:ascii="Century Gothic" w:hAnsi="Century Gothic"/>
          <w:sz w:val="24"/>
          <w:szCs w:val="24"/>
        </w:rPr>
      </w:pPr>
      <w:r w:rsidRPr="00891B21">
        <w:rPr>
          <w:rFonts w:ascii="Century Gothic" w:hAnsi="Century Gothic"/>
          <w:sz w:val="24"/>
          <w:szCs w:val="24"/>
        </w:rPr>
        <w:t>The palm stem is primarily composed of:</w:t>
      </w:r>
    </w:p>
    <w:p w14:paraId="3A1E34BD"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Cellulose:</w:t>
      </w:r>
      <w:r w:rsidRPr="00891B21">
        <w:rPr>
          <w:rFonts w:ascii="Century Gothic" w:hAnsi="Century Gothic"/>
          <w:sz w:val="24"/>
          <w:szCs w:val="24"/>
        </w:rPr>
        <w:t xml:space="preserve"> 35–45</w:t>
      </w:r>
      <w:r w:rsidRPr="00891B21">
        <w:rPr>
          <w:rFonts w:ascii="Arial" w:hAnsi="Arial" w:cs="Arial"/>
          <w:sz w:val="24"/>
          <w:szCs w:val="24"/>
        </w:rPr>
        <w:t> </w:t>
      </w:r>
      <w:r w:rsidRPr="00891B21">
        <w:rPr>
          <w:rFonts w:ascii="Century Gothic" w:hAnsi="Century Gothic"/>
          <w:sz w:val="24"/>
          <w:szCs w:val="24"/>
        </w:rPr>
        <w:t>%</w:t>
      </w:r>
    </w:p>
    <w:p w14:paraId="33DA1140"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Hemicellulose:</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4FD48EE1"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Lignin:</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287A2448"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Extractives (resins, soluble sugars):</w:t>
      </w:r>
      <w:r w:rsidRPr="00891B21">
        <w:rPr>
          <w:rFonts w:ascii="Century Gothic" w:hAnsi="Century Gothic"/>
          <w:sz w:val="24"/>
          <w:szCs w:val="24"/>
        </w:rPr>
        <w:t xml:space="preserve"> 5–10</w:t>
      </w:r>
      <w:r w:rsidRPr="00891B21">
        <w:rPr>
          <w:rFonts w:ascii="Arial" w:hAnsi="Arial" w:cs="Arial"/>
          <w:sz w:val="24"/>
          <w:szCs w:val="24"/>
        </w:rPr>
        <w:t> </w:t>
      </w:r>
      <w:r w:rsidRPr="00891B21">
        <w:rPr>
          <w:rFonts w:ascii="Century Gothic" w:hAnsi="Century Gothic"/>
          <w:sz w:val="24"/>
          <w:szCs w:val="24"/>
        </w:rPr>
        <w:t>%</w:t>
      </w:r>
    </w:p>
    <w:p w14:paraId="70CEB020"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Mineral fraction (ash):</w:t>
      </w:r>
      <w:r w:rsidRPr="00891B21">
        <w:rPr>
          <w:rFonts w:ascii="Century Gothic" w:hAnsi="Century Gothic"/>
          <w:sz w:val="24"/>
          <w:szCs w:val="24"/>
        </w:rPr>
        <w:t xml:space="preserve"> 1–5</w:t>
      </w:r>
      <w:r w:rsidRPr="00891B21">
        <w:rPr>
          <w:rFonts w:ascii="Arial" w:hAnsi="Arial" w:cs="Arial"/>
          <w:sz w:val="24"/>
          <w:szCs w:val="24"/>
        </w:rPr>
        <w:t> </w:t>
      </w:r>
      <w:r w:rsidRPr="00891B21">
        <w:rPr>
          <w:rFonts w:ascii="Century Gothic" w:hAnsi="Century Gothic"/>
          <w:sz w:val="24"/>
          <w:szCs w:val="24"/>
        </w:rPr>
        <w:t>%</w:t>
      </w:r>
    </w:p>
    <w:p w14:paraId="4447B0E3" w14:textId="77777777" w:rsidR="00891B21" w:rsidRPr="00726E48" w:rsidRDefault="00891B21" w:rsidP="00726E48">
      <w:pPr>
        <w:jc w:val="both"/>
        <w:rPr>
          <w:rFonts w:ascii="Century Gothic" w:hAnsi="Century Gothic"/>
          <w:sz w:val="24"/>
          <w:szCs w:val="24"/>
        </w:rPr>
      </w:pPr>
      <w:r w:rsidRPr="00726E48">
        <w:rPr>
          <w:rFonts w:ascii="Century Gothic" w:hAnsi="Century Gothic"/>
          <w:sz w:val="24"/>
          <w:szCs w:val="24"/>
        </w:rPr>
        <w:lastRenderedPageBreak/>
        <w:t>The lignocellulosic structure ensures significant energy potential. Lignin contributes to higher energy density, while cellulose and hemicellulose degrade more easily under heat, providing quick energy release.</w:t>
      </w:r>
    </w:p>
    <w:p w14:paraId="4AD90629" w14:textId="56065925" w:rsidR="00891B21" w:rsidRPr="00726E48" w:rsidRDefault="00891B21" w:rsidP="00726E48">
      <w:pPr>
        <w:jc w:val="both"/>
        <w:rPr>
          <w:rFonts w:ascii="Century Gothic" w:hAnsi="Century Gothic"/>
          <w:sz w:val="24"/>
          <w:szCs w:val="24"/>
        </w:rPr>
      </w:pPr>
      <w:r w:rsidRPr="00726E48">
        <w:rPr>
          <w:rFonts w:ascii="Century Gothic" w:hAnsi="Century Gothic"/>
          <w:sz w:val="24"/>
          <w:szCs w:val="24"/>
        </w:rPr>
        <w:t>The lower heating value (dry) of palm stems ranges from 16 to 19</w:t>
      </w:r>
      <w:r w:rsidRPr="00726E48">
        <w:rPr>
          <w:rFonts w:ascii="Arial" w:hAnsi="Arial" w:cs="Arial"/>
          <w:sz w:val="24"/>
          <w:szCs w:val="24"/>
        </w:rPr>
        <w:t> </w:t>
      </w:r>
      <w:r w:rsidRPr="00726E48">
        <w:rPr>
          <w:rFonts w:ascii="Century Gothic" w:hAnsi="Century Gothic"/>
          <w:sz w:val="24"/>
          <w:szCs w:val="24"/>
        </w:rPr>
        <w:t>MJ/kg, comparable to conventional wood.</w:t>
      </w:r>
    </w:p>
    <w:p w14:paraId="02CE3308" w14:textId="5589013E"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Physico-Energetic Properties</w:t>
      </w:r>
    </w:p>
    <w:p w14:paraId="3B886F1B"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Moisture:</w:t>
      </w:r>
      <w:r w:rsidRPr="00891B21">
        <w:rPr>
          <w:rFonts w:ascii="Century Gothic" w:hAnsi="Century Gothic"/>
          <w:sz w:val="24"/>
          <w:szCs w:val="24"/>
        </w:rPr>
        <w:t xml:space="preserve"> Fresh palm stems contain 60–70</w:t>
      </w:r>
      <w:r w:rsidRPr="00891B21">
        <w:rPr>
          <w:rFonts w:ascii="Arial" w:hAnsi="Arial" w:cs="Arial"/>
          <w:sz w:val="24"/>
          <w:szCs w:val="24"/>
        </w:rPr>
        <w:t> </w:t>
      </w:r>
      <w:r w:rsidRPr="00891B21">
        <w:rPr>
          <w:rFonts w:ascii="Century Gothic" w:hAnsi="Century Gothic"/>
          <w:sz w:val="24"/>
          <w:szCs w:val="24"/>
        </w:rPr>
        <w:t>% moisture, typical of tropical biomass, requiring pre-drying to maximize energy efficiency.</w:t>
      </w:r>
    </w:p>
    <w:p w14:paraId="7C1B374C"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Density:</w:t>
      </w:r>
      <w:r w:rsidRPr="00891B21">
        <w:rPr>
          <w:rFonts w:ascii="Century Gothic" w:hAnsi="Century Gothic"/>
          <w:sz w:val="24"/>
          <w:szCs w:val="24"/>
        </w:rPr>
        <w:t xml:space="preserve"> Heterogeneous, higher at the periphery than the center, affecting combustion.</w:t>
      </w:r>
    </w:p>
    <w:p w14:paraId="3B25634F"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Densification:</w:t>
      </w:r>
      <w:r w:rsidRPr="00891B21">
        <w:rPr>
          <w:rFonts w:ascii="Century Gothic" w:hAnsi="Century Gothic"/>
          <w:sz w:val="24"/>
          <w:szCs w:val="24"/>
        </w:rPr>
        <w:t xml:space="preserve"> Conversion into briquettes or pellets </w:t>
      </w:r>
      <w:r w:rsidRPr="00726E48">
        <w:rPr>
          <w:rFonts w:ascii="Century Gothic" w:hAnsi="Century Gothic"/>
          <w:sz w:val="24"/>
          <w:szCs w:val="24"/>
        </w:rPr>
        <w:t>homogenizes the fuel,</w:t>
      </w:r>
      <w:r w:rsidRPr="00891B21">
        <w:rPr>
          <w:rFonts w:ascii="Century Gothic" w:hAnsi="Century Gothic"/>
          <w:sz w:val="24"/>
          <w:szCs w:val="24"/>
        </w:rPr>
        <w:t xml:space="preserve"> improving storage, transport, and combustion efficiency.</w:t>
      </w:r>
    </w:p>
    <w:p w14:paraId="02DF3F80" w14:textId="61B9B65E"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Climatic influence:</w:t>
      </w:r>
      <w:r w:rsidRPr="00891B21">
        <w:rPr>
          <w:rFonts w:ascii="Century Gothic" w:hAnsi="Century Gothic"/>
          <w:sz w:val="24"/>
          <w:szCs w:val="24"/>
        </w:rPr>
        <w:t xml:space="preserve"> Guinea’s tropical climate affects drying rates and biomass quality.</w:t>
      </w:r>
    </w:p>
    <w:p w14:paraId="4993CBB8" w14:textId="6ECEABF4"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Energy Valorization Pathways in Guinea</w:t>
      </w:r>
    </w:p>
    <w:p w14:paraId="45FB30DB" w14:textId="77777777" w:rsidR="00891B21" w:rsidRPr="00891B21" w:rsidRDefault="00891B21" w:rsidP="00891B21">
      <w:pPr>
        <w:rPr>
          <w:rFonts w:ascii="Century Gothic" w:hAnsi="Century Gothic"/>
          <w:sz w:val="24"/>
          <w:szCs w:val="24"/>
        </w:rPr>
      </w:pPr>
      <w:r w:rsidRPr="00891B21">
        <w:rPr>
          <w:rFonts w:ascii="Century Gothic" w:hAnsi="Century Gothic"/>
          <w:sz w:val="24"/>
          <w:szCs w:val="24"/>
        </w:rPr>
        <w:t>Palm stems can be valorized via multiple pathways:</w:t>
      </w:r>
    </w:p>
    <w:p w14:paraId="508E1853" w14:textId="76A6CB00" w:rsidR="00891B21" w:rsidRPr="00891B21" w:rsidRDefault="009753EF" w:rsidP="009753EF">
      <w:pPr>
        <w:rPr>
          <w:rFonts w:ascii="Century Gothic" w:hAnsi="Century Gothic"/>
          <w:sz w:val="24"/>
          <w:szCs w:val="24"/>
        </w:rPr>
      </w:pPr>
      <w:r>
        <w:rPr>
          <w:rFonts w:ascii="Century Gothic" w:hAnsi="Century Gothic"/>
          <w:b/>
          <w:bCs/>
          <w:sz w:val="24"/>
          <w:szCs w:val="24"/>
        </w:rPr>
        <w:t xml:space="preserve">      </w:t>
      </w:r>
      <w:r w:rsidR="00891B21" w:rsidRPr="00891B21">
        <w:rPr>
          <w:rFonts w:ascii="Century Gothic" w:hAnsi="Century Gothic"/>
          <w:b/>
          <w:bCs/>
          <w:sz w:val="24"/>
          <w:szCs w:val="24"/>
        </w:rPr>
        <w:t>Direct combustion</w:t>
      </w:r>
      <w:r w:rsidR="00891B21" w:rsidRPr="00891B21">
        <w:rPr>
          <w:rFonts w:ascii="Century Gothic" w:hAnsi="Century Gothic"/>
          <w:sz w:val="24"/>
          <w:szCs w:val="24"/>
        </w:rPr>
        <w:t xml:space="preserve"> → domestic and industrial heat</w:t>
      </w:r>
    </w:p>
    <w:p w14:paraId="76480F07" w14:textId="77777777" w:rsidR="00891B21" w:rsidRPr="00891B21" w:rsidRDefault="00891B21" w:rsidP="009753EF">
      <w:pPr>
        <w:ind w:left="360"/>
        <w:rPr>
          <w:rFonts w:ascii="Century Gothic" w:hAnsi="Century Gothic"/>
          <w:sz w:val="24"/>
          <w:szCs w:val="24"/>
        </w:rPr>
      </w:pPr>
      <w:r w:rsidRPr="00891B21">
        <w:rPr>
          <w:rFonts w:ascii="Century Gothic" w:hAnsi="Century Gothic"/>
          <w:b/>
          <w:bCs/>
          <w:sz w:val="24"/>
          <w:szCs w:val="24"/>
        </w:rPr>
        <w:t>Carbonization</w:t>
      </w:r>
      <w:r w:rsidRPr="00891B21">
        <w:rPr>
          <w:rFonts w:ascii="Century Gothic" w:hAnsi="Century Gothic"/>
          <w:sz w:val="24"/>
          <w:szCs w:val="24"/>
        </w:rPr>
        <w:t xml:space="preserve"> → biomass charcoal with high stability and calorific value</w:t>
      </w:r>
    </w:p>
    <w:p w14:paraId="45756871" w14:textId="77777777" w:rsidR="00891B21" w:rsidRPr="00891B21" w:rsidRDefault="00891B21" w:rsidP="009753EF">
      <w:pPr>
        <w:ind w:left="360"/>
        <w:rPr>
          <w:rFonts w:ascii="Century Gothic" w:hAnsi="Century Gothic"/>
          <w:sz w:val="24"/>
          <w:szCs w:val="24"/>
        </w:rPr>
      </w:pPr>
      <w:r w:rsidRPr="00891B21">
        <w:rPr>
          <w:rFonts w:ascii="Century Gothic" w:hAnsi="Century Gothic"/>
          <w:b/>
          <w:bCs/>
          <w:sz w:val="24"/>
          <w:szCs w:val="24"/>
        </w:rPr>
        <w:t>Gasification</w:t>
      </w:r>
      <w:r w:rsidRPr="00891B21">
        <w:rPr>
          <w:rFonts w:ascii="Century Gothic" w:hAnsi="Century Gothic"/>
          <w:sz w:val="24"/>
          <w:szCs w:val="24"/>
        </w:rPr>
        <w:t xml:space="preserve"> → combustible gas for electricity or heat, suitable for rural mini-grids</w:t>
      </w:r>
    </w:p>
    <w:p w14:paraId="44349C47" w14:textId="77777777" w:rsidR="00891B21" w:rsidRPr="00891B21" w:rsidRDefault="00891B21" w:rsidP="009753EF">
      <w:pPr>
        <w:ind w:left="720"/>
        <w:rPr>
          <w:rFonts w:ascii="Century Gothic" w:hAnsi="Century Gothic"/>
          <w:sz w:val="24"/>
          <w:szCs w:val="24"/>
        </w:rPr>
      </w:pPr>
      <w:r w:rsidRPr="00891B21">
        <w:rPr>
          <w:rFonts w:ascii="Century Gothic" w:hAnsi="Century Gothic"/>
          <w:b/>
          <w:bCs/>
          <w:sz w:val="24"/>
          <w:szCs w:val="24"/>
        </w:rPr>
        <w:t>Pyrolysis</w:t>
      </w:r>
      <w:r w:rsidRPr="00891B21">
        <w:rPr>
          <w:rFonts w:ascii="Century Gothic" w:hAnsi="Century Gothic"/>
          <w:sz w:val="24"/>
          <w:szCs w:val="24"/>
        </w:rPr>
        <w:t xml:space="preserve"> → biochar and gas, combining energy recovery and soil fertility improvement</w:t>
      </w:r>
    </w:p>
    <w:p w14:paraId="315C38D8" w14:textId="77777777" w:rsidR="00891B21" w:rsidRPr="00891B21" w:rsidRDefault="00891B21" w:rsidP="00891B21">
      <w:pPr>
        <w:rPr>
          <w:rFonts w:ascii="Century Gothic" w:hAnsi="Century Gothic"/>
          <w:sz w:val="24"/>
          <w:szCs w:val="24"/>
        </w:rPr>
      </w:pPr>
      <w:r w:rsidRPr="00891B21">
        <w:rPr>
          <w:rFonts w:ascii="Century Gothic" w:hAnsi="Century Gothic"/>
          <w:sz w:val="24"/>
          <w:szCs w:val="24"/>
        </w:rPr>
        <w:t xml:space="preserve">These pathways allow integration into </w:t>
      </w:r>
      <w:r w:rsidRPr="00891B21">
        <w:rPr>
          <w:rFonts w:ascii="Century Gothic" w:hAnsi="Century Gothic"/>
          <w:b/>
          <w:bCs/>
          <w:sz w:val="24"/>
          <w:szCs w:val="24"/>
        </w:rPr>
        <w:t>decentralized energy systems</w:t>
      </w:r>
      <w:r w:rsidRPr="00891B21">
        <w:rPr>
          <w:rFonts w:ascii="Century Gothic" w:hAnsi="Century Gothic"/>
          <w:sz w:val="24"/>
          <w:szCs w:val="24"/>
        </w:rPr>
        <w:t xml:space="preserve"> and </w:t>
      </w:r>
      <w:r w:rsidRPr="00891B21">
        <w:rPr>
          <w:rFonts w:ascii="Century Gothic" w:hAnsi="Century Gothic"/>
          <w:b/>
          <w:bCs/>
          <w:sz w:val="24"/>
          <w:szCs w:val="24"/>
        </w:rPr>
        <w:t>agro-industrial operations</w:t>
      </w:r>
      <w:r w:rsidRPr="00891B21">
        <w:rPr>
          <w:rFonts w:ascii="Century Gothic" w:hAnsi="Century Gothic"/>
          <w:sz w:val="24"/>
          <w:szCs w:val="24"/>
        </w:rPr>
        <w:t>, promoting circular economy approaches.</w:t>
      </w:r>
    </w:p>
    <w:p w14:paraId="39FD8345" w14:textId="2C961E79" w:rsidR="00891B21" w:rsidRDefault="00891B21" w:rsidP="00891B21">
      <w:pPr>
        <w:rPr>
          <w:rFonts w:ascii="Century Gothic" w:hAnsi="Century Gothic"/>
          <w:sz w:val="24"/>
          <w:szCs w:val="24"/>
        </w:rPr>
      </w:pPr>
    </w:p>
    <w:p w14:paraId="57A74DC9" w14:textId="77777777" w:rsidR="00522A74" w:rsidRDefault="00522A74" w:rsidP="00891B21">
      <w:pPr>
        <w:rPr>
          <w:rFonts w:ascii="Century Gothic" w:hAnsi="Century Gothic"/>
          <w:sz w:val="24"/>
          <w:szCs w:val="24"/>
        </w:rPr>
      </w:pPr>
    </w:p>
    <w:p w14:paraId="27B6A997" w14:textId="77777777" w:rsidR="00522A74" w:rsidRDefault="00522A74" w:rsidP="00891B21">
      <w:pPr>
        <w:rPr>
          <w:rFonts w:ascii="Century Gothic" w:hAnsi="Century Gothic"/>
          <w:sz w:val="24"/>
          <w:szCs w:val="24"/>
        </w:rPr>
      </w:pPr>
    </w:p>
    <w:p w14:paraId="5911DB75" w14:textId="77777777" w:rsidR="00522A74" w:rsidRDefault="00522A74" w:rsidP="00891B21">
      <w:pPr>
        <w:rPr>
          <w:rFonts w:ascii="Century Gothic" w:hAnsi="Century Gothic"/>
          <w:sz w:val="24"/>
          <w:szCs w:val="24"/>
        </w:rPr>
      </w:pPr>
    </w:p>
    <w:p w14:paraId="65E09293" w14:textId="77777777" w:rsidR="00704446" w:rsidRDefault="00704446" w:rsidP="00891B21">
      <w:pPr>
        <w:rPr>
          <w:rFonts w:ascii="Century Gothic" w:hAnsi="Century Gothic"/>
          <w:sz w:val="24"/>
          <w:szCs w:val="24"/>
        </w:rPr>
      </w:pPr>
    </w:p>
    <w:p w14:paraId="603B0208" w14:textId="77777777" w:rsidR="00704446" w:rsidRDefault="00704446" w:rsidP="00891B21">
      <w:pPr>
        <w:rPr>
          <w:rFonts w:ascii="Century Gothic" w:hAnsi="Century Gothic"/>
          <w:sz w:val="24"/>
          <w:szCs w:val="24"/>
        </w:rPr>
      </w:pPr>
    </w:p>
    <w:p w14:paraId="24C5BD70" w14:textId="77777777" w:rsidR="00704446" w:rsidRPr="00891B21" w:rsidRDefault="00704446" w:rsidP="00891B21">
      <w:pPr>
        <w:rPr>
          <w:rFonts w:ascii="Century Gothic" w:hAnsi="Century Gothic"/>
          <w:sz w:val="24"/>
          <w:szCs w:val="24"/>
        </w:rPr>
      </w:pPr>
    </w:p>
    <w:p w14:paraId="4DA1CEE0" w14:textId="2184D8CA" w:rsidR="00891B21" w:rsidRPr="00891B21" w:rsidRDefault="009753EF" w:rsidP="00891B21">
      <w:pPr>
        <w:rPr>
          <w:rFonts w:ascii="Century Gothic" w:hAnsi="Century Gothic"/>
          <w:b/>
          <w:bCs/>
          <w:sz w:val="24"/>
          <w:szCs w:val="24"/>
        </w:rPr>
      </w:pPr>
      <w:r>
        <w:rPr>
          <w:rFonts w:ascii="Century Gothic" w:hAnsi="Century Gothic"/>
          <w:b/>
          <w:bCs/>
          <w:sz w:val="24"/>
          <w:szCs w:val="24"/>
        </w:rPr>
        <w:t>3</w:t>
      </w:r>
      <w:r w:rsidR="00891B21" w:rsidRPr="00891B21">
        <w:rPr>
          <w:rFonts w:ascii="Century Gothic" w:hAnsi="Century Gothic"/>
          <w:b/>
          <w:bCs/>
          <w:sz w:val="24"/>
          <w:szCs w:val="24"/>
        </w:rPr>
        <w:t>. Results</w:t>
      </w:r>
    </w:p>
    <w:p w14:paraId="7CAFEF23" w14:textId="1EF7EC64" w:rsidR="00522A74" w:rsidRDefault="00CD2B67" w:rsidP="00891B21">
      <w:pPr>
        <w:rPr>
          <w:rFonts w:ascii="Century Gothic" w:hAnsi="Century Gothic"/>
          <w:b/>
          <w:bCs/>
          <w:sz w:val="24"/>
          <w:szCs w:val="24"/>
        </w:rPr>
      </w:pPr>
      <w:r>
        <w:rPr>
          <w:rFonts w:ascii="Century Gothic" w:hAnsi="Century Gothic"/>
          <w:b/>
          <w:bCs/>
          <w:sz w:val="24"/>
          <w:szCs w:val="24"/>
        </w:rPr>
        <w:t xml:space="preserve">CHART </w:t>
      </w:r>
      <w:r w:rsidR="00891B21" w:rsidRPr="00891B21">
        <w:rPr>
          <w:rFonts w:ascii="Century Gothic" w:hAnsi="Century Gothic"/>
          <w:b/>
          <w:bCs/>
          <w:sz w:val="24"/>
          <w:szCs w:val="24"/>
        </w:rPr>
        <w:t>1 Comparative Tables</w:t>
      </w:r>
    </w:p>
    <w:tbl>
      <w:tblPr>
        <w:tblStyle w:val="TableGrid"/>
        <w:tblW w:w="0" w:type="auto"/>
        <w:tblLook w:val="04A0" w:firstRow="1" w:lastRow="0" w:firstColumn="1" w:lastColumn="0" w:noHBand="0" w:noVBand="1"/>
      </w:tblPr>
      <w:tblGrid>
        <w:gridCol w:w="3116"/>
        <w:gridCol w:w="3117"/>
        <w:gridCol w:w="3117"/>
      </w:tblGrid>
      <w:tr w:rsidR="00522A74" w14:paraId="30C64656" w14:textId="77777777" w:rsidTr="00EA27E5">
        <w:tc>
          <w:tcPr>
            <w:tcW w:w="3116" w:type="dxa"/>
            <w:vAlign w:val="center"/>
          </w:tcPr>
          <w:p w14:paraId="78D61F56" w14:textId="32946138" w:rsidR="00522A74" w:rsidRDefault="00522A74" w:rsidP="00522A74">
            <w:pPr>
              <w:rPr>
                <w:rFonts w:ascii="Century Gothic" w:hAnsi="Century Gothic"/>
                <w:b/>
                <w:bCs/>
                <w:sz w:val="24"/>
                <w:szCs w:val="24"/>
              </w:rPr>
            </w:pPr>
            <w:r w:rsidRPr="00891B21">
              <w:rPr>
                <w:rFonts w:ascii="Century Gothic" w:hAnsi="Century Gothic"/>
                <w:b/>
                <w:bCs/>
                <w:sz w:val="24"/>
                <w:szCs w:val="24"/>
              </w:rPr>
              <w:t>Parameter</w:t>
            </w:r>
          </w:p>
        </w:tc>
        <w:tc>
          <w:tcPr>
            <w:tcW w:w="3117" w:type="dxa"/>
            <w:vAlign w:val="center"/>
          </w:tcPr>
          <w:p w14:paraId="497D0DB8" w14:textId="01627139" w:rsidR="00522A74" w:rsidRDefault="00522A74" w:rsidP="00522A74">
            <w:pPr>
              <w:rPr>
                <w:rFonts w:ascii="Century Gothic" w:hAnsi="Century Gothic"/>
                <w:b/>
                <w:bCs/>
                <w:sz w:val="24"/>
                <w:szCs w:val="24"/>
              </w:rPr>
            </w:pPr>
            <w:r w:rsidRPr="00891B21">
              <w:rPr>
                <w:rFonts w:ascii="Century Gothic" w:hAnsi="Century Gothic"/>
                <w:b/>
                <w:bCs/>
                <w:sz w:val="24"/>
                <w:szCs w:val="24"/>
              </w:rPr>
              <w:t>Palm Stem</w:t>
            </w:r>
          </w:p>
        </w:tc>
        <w:tc>
          <w:tcPr>
            <w:tcW w:w="3117" w:type="dxa"/>
            <w:vAlign w:val="center"/>
          </w:tcPr>
          <w:p w14:paraId="5D841FD6" w14:textId="389E3CF2" w:rsidR="00522A74" w:rsidRDefault="00522A74" w:rsidP="00522A74">
            <w:pPr>
              <w:rPr>
                <w:rFonts w:ascii="Century Gothic" w:hAnsi="Century Gothic"/>
                <w:b/>
                <w:bCs/>
                <w:sz w:val="24"/>
                <w:szCs w:val="24"/>
              </w:rPr>
            </w:pPr>
            <w:r w:rsidRPr="00891B21">
              <w:rPr>
                <w:rFonts w:ascii="Century Gothic" w:hAnsi="Century Gothic"/>
                <w:b/>
                <w:bCs/>
                <w:sz w:val="24"/>
                <w:szCs w:val="24"/>
              </w:rPr>
              <w:t>Conventional Wood</w:t>
            </w:r>
          </w:p>
        </w:tc>
      </w:tr>
      <w:tr w:rsidR="00522A74" w14:paraId="7928F950" w14:textId="77777777" w:rsidTr="00EA27E5">
        <w:tc>
          <w:tcPr>
            <w:tcW w:w="3116" w:type="dxa"/>
            <w:vAlign w:val="center"/>
          </w:tcPr>
          <w:p w14:paraId="418512CE" w14:textId="2994F452" w:rsidR="00522A74" w:rsidRDefault="00522A74" w:rsidP="00522A74">
            <w:pPr>
              <w:rPr>
                <w:rFonts w:ascii="Century Gothic" w:hAnsi="Century Gothic"/>
                <w:b/>
                <w:bCs/>
                <w:sz w:val="24"/>
                <w:szCs w:val="24"/>
              </w:rPr>
            </w:pPr>
            <w:r w:rsidRPr="00891B21">
              <w:rPr>
                <w:rFonts w:ascii="Century Gothic" w:hAnsi="Century Gothic"/>
                <w:sz w:val="24"/>
                <w:szCs w:val="24"/>
              </w:rPr>
              <w:t>Cellulose</w:t>
            </w:r>
          </w:p>
        </w:tc>
        <w:tc>
          <w:tcPr>
            <w:tcW w:w="3117" w:type="dxa"/>
            <w:vAlign w:val="center"/>
          </w:tcPr>
          <w:p w14:paraId="292F4034" w14:textId="526DBC03" w:rsidR="00522A74" w:rsidRDefault="00522A74" w:rsidP="00522A74">
            <w:pPr>
              <w:rPr>
                <w:rFonts w:ascii="Century Gothic" w:hAnsi="Century Gothic"/>
                <w:b/>
                <w:bCs/>
                <w:sz w:val="24"/>
                <w:szCs w:val="24"/>
              </w:rPr>
            </w:pPr>
            <w:r w:rsidRPr="00891B21">
              <w:rPr>
                <w:rFonts w:ascii="Century Gothic" w:hAnsi="Century Gothic"/>
                <w:sz w:val="24"/>
                <w:szCs w:val="24"/>
              </w:rPr>
              <w:t>35–45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14BEDCCA" w14:textId="56D2B134" w:rsidR="00522A74" w:rsidRDefault="00522A74" w:rsidP="00522A74">
            <w:pPr>
              <w:rPr>
                <w:rFonts w:ascii="Century Gothic" w:hAnsi="Century Gothic"/>
                <w:b/>
                <w:bCs/>
                <w:sz w:val="24"/>
                <w:szCs w:val="24"/>
              </w:rPr>
            </w:pPr>
            <w:r w:rsidRPr="00891B21">
              <w:rPr>
                <w:rFonts w:ascii="Century Gothic" w:hAnsi="Century Gothic"/>
                <w:sz w:val="24"/>
                <w:szCs w:val="24"/>
              </w:rPr>
              <w:t>40–50</w:t>
            </w:r>
            <w:r w:rsidRPr="00891B21">
              <w:rPr>
                <w:rFonts w:ascii="Arial" w:hAnsi="Arial" w:cs="Arial"/>
                <w:sz w:val="24"/>
                <w:szCs w:val="24"/>
              </w:rPr>
              <w:t> </w:t>
            </w:r>
            <w:r w:rsidRPr="00891B21">
              <w:rPr>
                <w:rFonts w:ascii="Century Gothic" w:hAnsi="Century Gothic"/>
                <w:sz w:val="24"/>
                <w:szCs w:val="24"/>
              </w:rPr>
              <w:t>%</w:t>
            </w:r>
          </w:p>
        </w:tc>
      </w:tr>
      <w:tr w:rsidR="00522A74" w14:paraId="2817BFEF" w14:textId="77777777" w:rsidTr="00EA27E5">
        <w:tc>
          <w:tcPr>
            <w:tcW w:w="3116" w:type="dxa"/>
            <w:vAlign w:val="center"/>
          </w:tcPr>
          <w:p w14:paraId="33F15A4A" w14:textId="6BE50A3B" w:rsidR="00522A74" w:rsidRDefault="00522A74" w:rsidP="00522A74">
            <w:pPr>
              <w:rPr>
                <w:rFonts w:ascii="Century Gothic" w:hAnsi="Century Gothic"/>
                <w:b/>
                <w:bCs/>
                <w:sz w:val="24"/>
                <w:szCs w:val="24"/>
              </w:rPr>
            </w:pPr>
            <w:r w:rsidRPr="00891B21">
              <w:rPr>
                <w:rFonts w:ascii="Century Gothic" w:hAnsi="Century Gothic"/>
                <w:sz w:val="24"/>
                <w:szCs w:val="24"/>
              </w:rPr>
              <w:t>Hemicellulose</w:t>
            </w:r>
          </w:p>
        </w:tc>
        <w:tc>
          <w:tcPr>
            <w:tcW w:w="3117" w:type="dxa"/>
            <w:vAlign w:val="center"/>
          </w:tcPr>
          <w:p w14:paraId="4D2195D5" w14:textId="4CC65A51" w:rsidR="00522A74" w:rsidRDefault="00522A74" w:rsidP="00522A74">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1C7DFB20" w14:textId="7083AA04" w:rsidR="00522A74" w:rsidRDefault="00522A74" w:rsidP="00522A74">
            <w:pPr>
              <w:rPr>
                <w:rFonts w:ascii="Century Gothic" w:hAnsi="Century Gothic"/>
                <w:b/>
                <w:bCs/>
                <w:sz w:val="24"/>
                <w:szCs w:val="24"/>
              </w:rPr>
            </w:pPr>
            <w:r w:rsidRPr="00891B21">
              <w:rPr>
                <w:rFonts w:ascii="Century Gothic" w:hAnsi="Century Gothic"/>
                <w:sz w:val="24"/>
                <w:szCs w:val="24"/>
              </w:rPr>
              <w:t>20–25</w:t>
            </w:r>
            <w:r w:rsidRPr="00891B21">
              <w:rPr>
                <w:rFonts w:ascii="Arial" w:hAnsi="Arial" w:cs="Arial"/>
                <w:sz w:val="24"/>
                <w:szCs w:val="24"/>
              </w:rPr>
              <w:t> </w:t>
            </w:r>
            <w:r w:rsidRPr="00891B21">
              <w:rPr>
                <w:rFonts w:ascii="Century Gothic" w:hAnsi="Century Gothic"/>
                <w:sz w:val="24"/>
                <w:szCs w:val="24"/>
              </w:rPr>
              <w:t>%</w:t>
            </w:r>
          </w:p>
        </w:tc>
      </w:tr>
      <w:tr w:rsidR="00522A74" w14:paraId="4C7E21BF" w14:textId="77777777" w:rsidTr="00EA27E5">
        <w:tc>
          <w:tcPr>
            <w:tcW w:w="3116" w:type="dxa"/>
            <w:vAlign w:val="center"/>
          </w:tcPr>
          <w:p w14:paraId="322B0E57" w14:textId="061E5E6E" w:rsidR="00522A74" w:rsidRDefault="00522A74" w:rsidP="00522A74">
            <w:pPr>
              <w:rPr>
                <w:rFonts w:ascii="Century Gothic" w:hAnsi="Century Gothic"/>
                <w:b/>
                <w:bCs/>
                <w:sz w:val="24"/>
                <w:szCs w:val="24"/>
              </w:rPr>
            </w:pPr>
            <w:r w:rsidRPr="00891B21">
              <w:rPr>
                <w:rFonts w:ascii="Century Gothic" w:hAnsi="Century Gothic"/>
                <w:sz w:val="24"/>
                <w:szCs w:val="24"/>
              </w:rPr>
              <w:t>Lignin</w:t>
            </w:r>
          </w:p>
        </w:tc>
        <w:tc>
          <w:tcPr>
            <w:tcW w:w="3117" w:type="dxa"/>
            <w:vAlign w:val="center"/>
          </w:tcPr>
          <w:p w14:paraId="38D1E344" w14:textId="561968EB" w:rsidR="00522A74" w:rsidRDefault="00522A74" w:rsidP="00522A74">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6708825D" w14:textId="27DAD9BD" w:rsidR="00522A74" w:rsidRDefault="00522A74" w:rsidP="00522A74">
            <w:pPr>
              <w:rPr>
                <w:rFonts w:ascii="Century Gothic" w:hAnsi="Century Gothic"/>
                <w:b/>
                <w:bCs/>
                <w:sz w:val="24"/>
                <w:szCs w:val="24"/>
              </w:rPr>
            </w:pPr>
            <w:r w:rsidRPr="00891B21">
              <w:rPr>
                <w:rFonts w:ascii="Century Gothic" w:hAnsi="Century Gothic"/>
                <w:sz w:val="24"/>
                <w:szCs w:val="24"/>
              </w:rPr>
              <w:t>25–35</w:t>
            </w:r>
            <w:r w:rsidRPr="00891B21">
              <w:rPr>
                <w:rFonts w:ascii="Arial" w:hAnsi="Arial" w:cs="Arial"/>
                <w:sz w:val="24"/>
                <w:szCs w:val="24"/>
              </w:rPr>
              <w:t> </w:t>
            </w:r>
            <w:r w:rsidRPr="00891B21">
              <w:rPr>
                <w:rFonts w:ascii="Century Gothic" w:hAnsi="Century Gothic"/>
                <w:sz w:val="24"/>
                <w:szCs w:val="24"/>
              </w:rPr>
              <w:t>%</w:t>
            </w:r>
          </w:p>
        </w:tc>
      </w:tr>
      <w:tr w:rsidR="00522A74" w14:paraId="733CD6CE" w14:textId="77777777" w:rsidTr="00EA27E5">
        <w:tc>
          <w:tcPr>
            <w:tcW w:w="3116" w:type="dxa"/>
            <w:vAlign w:val="center"/>
          </w:tcPr>
          <w:p w14:paraId="1DE16ECF" w14:textId="11DFDD63" w:rsidR="00522A74" w:rsidRDefault="00522A74" w:rsidP="00522A74">
            <w:pPr>
              <w:rPr>
                <w:rFonts w:ascii="Century Gothic" w:hAnsi="Century Gothic"/>
                <w:b/>
                <w:bCs/>
                <w:sz w:val="24"/>
                <w:szCs w:val="24"/>
              </w:rPr>
            </w:pPr>
            <w:r w:rsidRPr="00891B21">
              <w:rPr>
                <w:rFonts w:ascii="Century Gothic" w:hAnsi="Century Gothic"/>
                <w:sz w:val="24"/>
                <w:szCs w:val="24"/>
              </w:rPr>
              <w:t>Moisture (fresh)</w:t>
            </w:r>
          </w:p>
        </w:tc>
        <w:tc>
          <w:tcPr>
            <w:tcW w:w="3117" w:type="dxa"/>
            <w:vAlign w:val="center"/>
          </w:tcPr>
          <w:p w14:paraId="6C64CD8B" w14:textId="543CDB82" w:rsidR="00522A74" w:rsidRDefault="00522A74" w:rsidP="00522A74">
            <w:pPr>
              <w:rPr>
                <w:rFonts w:ascii="Century Gothic" w:hAnsi="Century Gothic"/>
                <w:b/>
                <w:bCs/>
                <w:sz w:val="24"/>
                <w:szCs w:val="24"/>
              </w:rPr>
            </w:pPr>
            <w:r w:rsidRPr="00891B21">
              <w:rPr>
                <w:rFonts w:ascii="Century Gothic" w:hAnsi="Century Gothic"/>
                <w:sz w:val="24"/>
                <w:szCs w:val="24"/>
              </w:rPr>
              <w:t>60–70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722E3F3C" w14:textId="3DBDDB13" w:rsidR="00522A74" w:rsidRDefault="00522A74" w:rsidP="00522A74">
            <w:pPr>
              <w:rPr>
                <w:rFonts w:ascii="Century Gothic" w:hAnsi="Century Gothic"/>
                <w:b/>
                <w:bCs/>
                <w:sz w:val="24"/>
                <w:szCs w:val="24"/>
              </w:rPr>
            </w:pPr>
            <w:r w:rsidRPr="00891B21">
              <w:rPr>
                <w:rFonts w:ascii="Century Gothic" w:hAnsi="Century Gothic"/>
                <w:sz w:val="24"/>
                <w:szCs w:val="24"/>
              </w:rPr>
              <w:t>40–55</w:t>
            </w:r>
            <w:r w:rsidRPr="00891B21">
              <w:rPr>
                <w:rFonts w:ascii="Arial" w:hAnsi="Arial" w:cs="Arial"/>
                <w:sz w:val="24"/>
                <w:szCs w:val="24"/>
              </w:rPr>
              <w:t> </w:t>
            </w:r>
            <w:r w:rsidRPr="00891B21">
              <w:rPr>
                <w:rFonts w:ascii="Century Gothic" w:hAnsi="Century Gothic"/>
                <w:sz w:val="24"/>
                <w:szCs w:val="24"/>
              </w:rPr>
              <w:t>%</w:t>
            </w:r>
          </w:p>
        </w:tc>
      </w:tr>
      <w:tr w:rsidR="00522A74" w14:paraId="3FAF5D44" w14:textId="77777777" w:rsidTr="00EA27E5">
        <w:tc>
          <w:tcPr>
            <w:tcW w:w="3116" w:type="dxa"/>
            <w:vAlign w:val="center"/>
          </w:tcPr>
          <w:p w14:paraId="0009A057" w14:textId="378A415E" w:rsidR="00522A74" w:rsidRDefault="00522A74" w:rsidP="00522A74">
            <w:pPr>
              <w:rPr>
                <w:rFonts w:ascii="Century Gothic" w:hAnsi="Century Gothic"/>
                <w:b/>
                <w:bCs/>
                <w:sz w:val="24"/>
                <w:szCs w:val="24"/>
              </w:rPr>
            </w:pPr>
            <w:r w:rsidRPr="00891B21">
              <w:rPr>
                <w:rFonts w:ascii="Century Gothic" w:hAnsi="Century Gothic"/>
                <w:sz w:val="24"/>
                <w:szCs w:val="24"/>
              </w:rPr>
              <w:t>Ash content</w:t>
            </w:r>
          </w:p>
        </w:tc>
        <w:tc>
          <w:tcPr>
            <w:tcW w:w="3117" w:type="dxa"/>
            <w:vAlign w:val="center"/>
          </w:tcPr>
          <w:p w14:paraId="0C58D4B1" w14:textId="4DFA8857" w:rsidR="00522A74" w:rsidRDefault="00522A74" w:rsidP="00522A74">
            <w:pPr>
              <w:rPr>
                <w:rFonts w:ascii="Century Gothic" w:hAnsi="Century Gothic"/>
                <w:b/>
                <w:bCs/>
                <w:sz w:val="24"/>
                <w:szCs w:val="24"/>
              </w:rPr>
            </w:pPr>
            <w:r w:rsidRPr="00891B21">
              <w:rPr>
                <w:rFonts w:ascii="Century Gothic" w:hAnsi="Century Gothic"/>
                <w:sz w:val="24"/>
                <w:szCs w:val="24"/>
              </w:rPr>
              <w:t>1–5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46E44EC9" w14:textId="1F4D5F9A" w:rsidR="00522A74" w:rsidRDefault="00522A74" w:rsidP="00522A74">
            <w:pPr>
              <w:rPr>
                <w:rFonts w:ascii="Century Gothic" w:hAnsi="Century Gothic"/>
                <w:b/>
                <w:bCs/>
                <w:sz w:val="24"/>
                <w:szCs w:val="24"/>
              </w:rPr>
            </w:pPr>
            <w:r w:rsidRPr="00891B21">
              <w:rPr>
                <w:rFonts w:ascii="Century Gothic" w:hAnsi="Century Gothic"/>
                <w:sz w:val="24"/>
                <w:szCs w:val="24"/>
              </w:rPr>
              <w:t>0.5–2</w:t>
            </w:r>
            <w:r w:rsidRPr="00891B21">
              <w:rPr>
                <w:rFonts w:ascii="Arial" w:hAnsi="Arial" w:cs="Arial"/>
                <w:sz w:val="24"/>
                <w:szCs w:val="24"/>
              </w:rPr>
              <w:t> </w:t>
            </w:r>
            <w:r w:rsidRPr="00891B21">
              <w:rPr>
                <w:rFonts w:ascii="Century Gothic" w:hAnsi="Century Gothic"/>
                <w:sz w:val="24"/>
                <w:szCs w:val="24"/>
              </w:rPr>
              <w:t>%</w:t>
            </w:r>
          </w:p>
        </w:tc>
      </w:tr>
      <w:tr w:rsidR="00522A74" w14:paraId="2A24DCF3" w14:textId="77777777" w:rsidTr="00EA27E5">
        <w:tc>
          <w:tcPr>
            <w:tcW w:w="3116" w:type="dxa"/>
            <w:vAlign w:val="center"/>
          </w:tcPr>
          <w:p w14:paraId="4599BEB6" w14:textId="7659634B" w:rsidR="00522A74" w:rsidRDefault="00522A74" w:rsidP="00522A74">
            <w:pPr>
              <w:rPr>
                <w:rFonts w:ascii="Century Gothic" w:hAnsi="Century Gothic"/>
                <w:b/>
                <w:bCs/>
                <w:sz w:val="24"/>
                <w:szCs w:val="24"/>
              </w:rPr>
            </w:pPr>
            <w:r w:rsidRPr="00891B21">
              <w:rPr>
                <w:rFonts w:ascii="Century Gothic" w:hAnsi="Century Gothic"/>
                <w:sz w:val="24"/>
                <w:szCs w:val="24"/>
              </w:rPr>
              <w:t>Calorific value (LHV, dry)</w:t>
            </w:r>
          </w:p>
        </w:tc>
        <w:tc>
          <w:tcPr>
            <w:tcW w:w="3117" w:type="dxa"/>
            <w:vAlign w:val="center"/>
          </w:tcPr>
          <w:p w14:paraId="3636311F" w14:textId="5E4337F8" w:rsidR="00522A74" w:rsidRDefault="00522A74" w:rsidP="00522A74">
            <w:pPr>
              <w:rPr>
                <w:rFonts w:ascii="Century Gothic" w:hAnsi="Century Gothic"/>
                <w:b/>
                <w:bCs/>
                <w:sz w:val="24"/>
                <w:szCs w:val="24"/>
              </w:rPr>
            </w:pPr>
            <w:r w:rsidRPr="00891B21">
              <w:rPr>
                <w:rFonts w:ascii="Century Gothic" w:hAnsi="Century Gothic"/>
                <w:sz w:val="24"/>
                <w:szCs w:val="24"/>
              </w:rPr>
              <w:t>16–19</w:t>
            </w:r>
            <w:r w:rsidRPr="00891B21">
              <w:rPr>
                <w:rFonts w:ascii="Arial" w:hAnsi="Arial" w:cs="Arial"/>
                <w:sz w:val="24"/>
                <w:szCs w:val="24"/>
              </w:rPr>
              <w:t> </w:t>
            </w:r>
            <w:r w:rsidRPr="00891B21">
              <w:rPr>
                <w:rFonts w:ascii="Century Gothic" w:hAnsi="Century Gothic"/>
                <w:sz w:val="24"/>
                <w:szCs w:val="24"/>
              </w:rPr>
              <w:t>MJ/kg</w:t>
            </w:r>
          </w:p>
        </w:tc>
        <w:tc>
          <w:tcPr>
            <w:tcW w:w="3117" w:type="dxa"/>
            <w:vAlign w:val="center"/>
          </w:tcPr>
          <w:p w14:paraId="58074668" w14:textId="53C70B85" w:rsidR="00522A74" w:rsidRDefault="00522A74" w:rsidP="00522A74">
            <w:pPr>
              <w:rPr>
                <w:rFonts w:ascii="Century Gothic" w:hAnsi="Century Gothic"/>
                <w:b/>
                <w:bCs/>
                <w:sz w:val="24"/>
                <w:szCs w:val="24"/>
              </w:rPr>
            </w:pPr>
            <w:r w:rsidRPr="00891B21">
              <w:rPr>
                <w:rFonts w:ascii="Century Gothic" w:hAnsi="Century Gothic"/>
                <w:sz w:val="24"/>
                <w:szCs w:val="24"/>
              </w:rPr>
              <w:t>18–21</w:t>
            </w:r>
            <w:r w:rsidRPr="00891B21">
              <w:rPr>
                <w:rFonts w:ascii="Arial" w:hAnsi="Arial" w:cs="Arial"/>
                <w:sz w:val="24"/>
                <w:szCs w:val="24"/>
              </w:rPr>
              <w:t> </w:t>
            </w:r>
            <w:r w:rsidRPr="00891B21">
              <w:rPr>
                <w:rFonts w:ascii="Century Gothic" w:hAnsi="Century Gothic"/>
                <w:sz w:val="24"/>
                <w:szCs w:val="24"/>
              </w:rPr>
              <w:t>MJ/kg</w:t>
            </w:r>
          </w:p>
        </w:tc>
      </w:tr>
      <w:tr w:rsidR="00522A74" w14:paraId="0D50A430" w14:textId="77777777" w:rsidTr="00EA27E5">
        <w:tc>
          <w:tcPr>
            <w:tcW w:w="3116" w:type="dxa"/>
            <w:vAlign w:val="center"/>
          </w:tcPr>
          <w:p w14:paraId="633D0F98" w14:textId="1611D2C6" w:rsidR="00522A74" w:rsidRDefault="00522A74" w:rsidP="00522A74">
            <w:pPr>
              <w:rPr>
                <w:rFonts w:ascii="Century Gothic" w:hAnsi="Century Gothic"/>
                <w:b/>
                <w:bCs/>
                <w:sz w:val="24"/>
                <w:szCs w:val="24"/>
              </w:rPr>
            </w:pPr>
            <w:r w:rsidRPr="00891B21">
              <w:rPr>
                <w:rFonts w:ascii="Century Gothic" w:hAnsi="Century Gothic"/>
                <w:sz w:val="24"/>
                <w:szCs w:val="24"/>
              </w:rPr>
              <w:t>Density</w:t>
            </w:r>
          </w:p>
        </w:tc>
        <w:tc>
          <w:tcPr>
            <w:tcW w:w="3117" w:type="dxa"/>
            <w:vAlign w:val="center"/>
          </w:tcPr>
          <w:p w14:paraId="388C38B3" w14:textId="44CFA728" w:rsidR="00522A74" w:rsidRDefault="00522A74" w:rsidP="00522A74">
            <w:pPr>
              <w:rPr>
                <w:rFonts w:ascii="Century Gothic" w:hAnsi="Century Gothic"/>
                <w:b/>
                <w:bCs/>
                <w:sz w:val="24"/>
                <w:szCs w:val="24"/>
              </w:rPr>
            </w:pPr>
            <w:r w:rsidRPr="00891B21">
              <w:rPr>
                <w:rFonts w:ascii="Century Gothic" w:hAnsi="Century Gothic"/>
                <w:sz w:val="24"/>
                <w:szCs w:val="24"/>
              </w:rPr>
              <w:t>Heterogeneous</w:t>
            </w:r>
          </w:p>
        </w:tc>
        <w:tc>
          <w:tcPr>
            <w:tcW w:w="3117" w:type="dxa"/>
            <w:vAlign w:val="center"/>
          </w:tcPr>
          <w:p w14:paraId="7667F5E1" w14:textId="6D4C9055" w:rsidR="00522A74" w:rsidRDefault="00522A74" w:rsidP="00522A74">
            <w:pPr>
              <w:rPr>
                <w:rFonts w:ascii="Century Gothic" w:hAnsi="Century Gothic"/>
                <w:b/>
                <w:bCs/>
                <w:sz w:val="24"/>
                <w:szCs w:val="24"/>
              </w:rPr>
            </w:pPr>
            <w:r w:rsidRPr="00891B21">
              <w:rPr>
                <w:rFonts w:ascii="Century Gothic" w:hAnsi="Century Gothic"/>
                <w:sz w:val="24"/>
                <w:szCs w:val="24"/>
              </w:rPr>
              <w:t>Homogeneous</w:t>
            </w:r>
          </w:p>
        </w:tc>
      </w:tr>
    </w:tbl>
    <w:p w14:paraId="07103775" w14:textId="732387B2" w:rsidR="00A768CB" w:rsidRPr="00A768CB" w:rsidRDefault="00A768CB" w:rsidP="00A768CB">
      <w:pPr>
        <w:rPr>
          <w:rFonts w:ascii="Century Gothic" w:hAnsi="Century Gothic"/>
          <w:b/>
          <w:bCs/>
          <w:sz w:val="24"/>
          <w:szCs w:val="24"/>
        </w:rPr>
      </w:pPr>
    </w:p>
    <w:p w14:paraId="142C32B6"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 Experimental Results on Palm Stem Biomass</w:t>
      </w:r>
    </w:p>
    <w:p w14:paraId="2FBA732E" w14:textId="37E323A2"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 xml:space="preserve">The experimental data presented in this section originate from detailed </w:t>
      </w:r>
      <w:proofErr w:type="spellStart"/>
      <w:r w:rsidRPr="00A768CB">
        <w:rPr>
          <w:rFonts w:ascii="Century Gothic" w:hAnsi="Century Gothic"/>
          <w:sz w:val="24"/>
          <w:szCs w:val="24"/>
        </w:rPr>
        <w:t>physico</w:t>
      </w:r>
      <w:proofErr w:type="spellEnd"/>
      <w:r w:rsidRPr="00A768CB">
        <w:rPr>
          <w:rFonts w:ascii="Century Gothic" w:hAnsi="Century Gothic"/>
          <w:sz w:val="24"/>
          <w:szCs w:val="24"/>
        </w:rPr>
        <w:t>-energetic characterization and combustion tests performed on dried palm stems, selected due to their high abundance and local availability in Guinea. These experiments aimed to assess the technical feasibility and energy potential of palm residues for thermal and electricity generation.</w:t>
      </w:r>
    </w:p>
    <w:p w14:paraId="1EE18AF2"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3.2.1 Energy Characterization of Palm Stems</w:t>
      </w:r>
    </w:p>
    <w:p w14:paraId="4D9C3A95"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 collected palm stems were subjected to a natural and controlled drying process to reduce moisture content below 20%, which is generally required to ensure stable and efficient combustion. Moisture content above this threshold typically results in incomplete combustion and reduced thermal performance.</w:t>
      </w:r>
    </w:p>
    <w:p w14:paraId="7D8049B5" w14:textId="77777777" w:rsidR="00A768CB" w:rsidRDefault="00A768CB" w:rsidP="00E62C1F">
      <w:pPr>
        <w:jc w:val="both"/>
        <w:rPr>
          <w:rFonts w:ascii="Century Gothic" w:hAnsi="Century Gothic"/>
          <w:sz w:val="24"/>
          <w:szCs w:val="24"/>
        </w:rPr>
      </w:pPr>
      <w:r w:rsidRPr="00A768CB">
        <w:rPr>
          <w:rFonts w:ascii="Century Gothic" w:hAnsi="Century Gothic"/>
          <w:sz w:val="24"/>
          <w:szCs w:val="24"/>
        </w:rPr>
        <w:t>Physico-chemical analyses were performed to evaluate the combustion properties of the dried stems. The main results are summarized in Table 1.</w:t>
      </w:r>
    </w:p>
    <w:p w14:paraId="28BF9C6A" w14:textId="77777777" w:rsidR="00E62C1F" w:rsidRDefault="00E62C1F" w:rsidP="00E62C1F">
      <w:pPr>
        <w:jc w:val="both"/>
        <w:rPr>
          <w:rFonts w:ascii="Century Gothic" w:hAnsi="Century Gothic"/>
          <w:sz w:val="24"/>
          <w:szCs w:val="24"/>
        </w:rPr>
      </w:pPr>
    </w:p>
    <w:p w14:paraId="1015DB42" w14:textId="77777777" w:rsidR="00E62C1F" w:rsidRDefault="00E62C1F" w:rsidP="00E62C1F">
      <w:pPr>
        <w:jc w:val="both"/>
        <w:rPr>
          <w:rFonts w:ascii="Century Gothic" w:hAnsi="Century Gothic"/>
          <w:sz w:val="24"/>
          <w:szCs w:val="24"/>
        </w:rPr>
      </w:pPr>
    </w:p>
    <w:p w14:paraId="77808BB2" w14:textId="77777777" w:rsidR="00E62C1F" w:rsidRDefault="00E62C1F" w:rsidP="00E62C1F">
      <w:pPr>
        <w:jc w:val="both"/>
        <w:rPr>
          <w:rFonts w:ascii="Century Gothic" w:hAnsi="Century Gothic"/>
          <w:sz w:val="24"/>
          <w:szCs w:val="24"/>
        </w:rPr>
      </w:pPr>
    </w:p>
    <w:p w14:paraId="497B2E8A" w14:textId="77777777" w:rsidR="00E62C1F" w:rsidRDefault="00E62C1F" w:rsidP="00E62C1F">
      <w:pPr>
        <w:jc w:val="both"/>
        <w:rPr>
          <w:rFonts w:ascii="Century Gothic" w:hAnsi="Century Gothic"/>
          <w:sz w:val="24"/>
          <w:szCs w:val="24"/>
        </w:rPr>
      </w:pPr>
    </w:p>
    <w:p w14:paraId="64B86F65" w14:textId="77777777" w:rsidR="00E62C1F" w:rsidRDefault="00E62C1F" w:rsidP="00E62C1F">
      <w:pPr>
        <w:jc w:val="both"/>
        <w:rPr>
          <w:rFonts w:ascii="Century Gothic" w:hAnsi="Century Gothic"/>
          <w:sz w:val="24"/>
          <w:szCs w:val="24"/>
        </w:rPr>
      </w:pPr>
    </w:p>
    <w:p w14:paraId="2E86A2C6" w14:textId="77777777" w:rsidR="00E62C1F" w:rsidRDefault="00E62C1F" w:rsidP="00E62C1F">
      <w:pPr>
        <w:jc w:val="both"/>
        <w:rPr>
          <w:rFonts w:ascii="Century Gothic" w:hAnsi="Century Gothic"/>
          <w:sz w:val="24"/>
          <w:szCs w:val="24"/>
        </w:rPr>
      </w:pPr>
    </w:p>
    <w:p w14:paraId="12B8909D" w14:textId="77777777" w:rsidR="00E62C1F" w:rsidRDefault="00E62C1F" w:rsidP="00E62C1F">
      <w:pPr>
        <w:jc w:val="both"/>
        <w:rPr>
          <w:rFonts w:ascii="Century Gothic" w:hAnsi="Century Gothic"/>
          <w:sz w:val="24"/>
          <w:szCs w:val="24"/>
        </w:rPr>
      </w:pPr>
    </w:p>
    <w:p w14:paraId="3D988DF4"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Table 1: Physico-chemical properties of dried palm stems</w:t>
      </w:r>
    </w:p>
    <w:tbl>
      <w:tblPr>
        <w:tblStyle w:val="TableGrid"/>
        <w:tblW w:w="6927" w:type="dxa"/>
        <w:tblLook w:val="04A0" w:firstRow="1" w:lastRow="0" w:firstColumn="1" w:lastColumn="0" w:noHBand="0" w:noVBand="1"/>
      </w:tblPr>
      <w:tblGrid>
        <w:gridCol w:w="3276"/>
        <w:gridCol w:w="2695"/>
        <w:gridCol w:w="956"/>
      </w:tblGrid>
      <w:tr w:rsidR="00A768CB" w:rsidRPr="00A768CB" w14:paraId="728F476F" w14:textId="77777777" w:rsidTr="00E62C1F">
        <w:trPr>
          <w:trHeight w:val="466"/>
        </w:trPr>
        <w:tc>
          <w:tcPr>
            <w:tcW w:w="0" w:type="auto"/>
            <w:hideMark/>
          </w:tcPr>
          <w:p w14:paraId="208AA46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lastRenderedPageBreak/>
              <w:t>Parameter</w:t>
            </w:r>
          </w:p>
        </w:tc>
        <w:tc>
          <w:tcPr>
            <w:tcW w:w="0" w:type="auto"/>
            <w:hideMark/>
          </w:tcPr>
          <w:p w14:paraId="01D0F5CF"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4872AE2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A768CB" w:rsidRPr="00A768CB" w14:paraId="1412887A" w14:textId="77777777" w:rsidTr="00E62C1F">
        <w:trPr>
          <w:trHeight w:val="466"/>
        </w:trPr>
        <w:tc>
          <w:tcPr>
            <w:tcW w:w="0" w:type="auto"/>
            <w:hideMark/>
          </w:tcPr>
          <w:p w14:paraId="7DB4728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Moisture content</w:t>
            </w:r>
          </w:p>
        </w:tc>
        <w:tc>
          <w:tcPr>
            <w:tcW w:w="0" w:type="auto"/>
            <w:hideMark/>
          </w:tcPr>
          <w:p w14:paraId="0E9B3D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18 ± 2</w:t>
            </w:r>
          </w:p>
        </w:tc>
        <w:tc>
          <w:tcPr>
            <w:tcW w:w="0" w:type="auto"/>
            <w:hideMark/>
          </w:tcPr>
          <w:p w14:paraId="7487AD5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244C7807" w14:textId="77777777" w:rsidTr="00E62C1F">
        <w:trPr>
          <w:trHeight w:val="466"/>
        </w:trPr>
        <w:tc>
          <w:tcPr>
            <w:tcW w:w="0" w:type="auto"/>
            <w:hideMark/>
          </w:tcPr>
          <w:p w14:paraId="260A7315"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Ash content</w:t>
            </w:r>
          </w:p>
        </w:tc>
        <w:tc>
          <w:tcPr>
            <w:tcW w:w="0" w:type="auto"/>
            <w:hideMark/>
          </w:tcPr>
          <w:p w14:paraId="79EDC065"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30FAE5BE"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16B4F4FA" w14:textId="77777777" w:rsidTr="00E62C1F">
        <w:trPr>
          <w:trHeight w:val="455"/>
        </w:trPr>
        <w:tc>
          <w:tcPr>
            <w:tcW w:w="0" w:type="auto"/>
            <w:hideMark/>
          </w:tcPr>
          <w:p w14:paraId="24A55B6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Volatile matter</w:t>
            </w:r>
          </w:p>
        </w:tc>
        <w:tc>
          <w:tcPr>
            <w:tcW w:w="0" w:type="auto"/>
            <w:hideMark/>
          </w:tcPr>
          <w:p w14:paraId="76AFE3A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72 ± 1.5</w:t>
            </w:r>
          </w:p>
        </w:tc>
        <w:tc>
          <w:tcPr>
            <w:tcW w:w="0" w:type="auto"/>
            <w:hideMark/>
          </w:tcPr>
          <w:p w14:paraId="54BDF6E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702D0517" w14:textId="77777777" w:rsidTr="00E62C1F">
        <w:trPr>
          <w:trHeight w:val="466"/>
        </w:trPr>
        <w:tc>
          <w:tcPr>
            <w:tcW w:w="0" w:type="auto"/>
            <w:hideMark/>
          </w:tcPr>
          <w:p w14:paraId="3726C920"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Fixed carbon</w:t>
            </w:r>
          </w:p>
        </w:tc>
        <w:tc>
          <w:tcPr>
            <w:tcW w:w="0" w:type="auto"/>
            <w:hideMark/>
          </w:tcPr>
          <w:p w14:paraId="65FEB4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23.5 ± 1.2</w:t>
            </w:r>
          </w:p>
        </w:tc>
        <w:tc>
          <w:tcPr>
            <w:tcW w:w="0" w:type="auto"/>
            <w:hideMark/>
          </w:tcPr>
          <w:p w14:paraId="7754181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6221AC30" w14:textId="77777777" w:rsidTr="00E62C1F">
        <w:trPr>
          <w:trHeight w:val="466"/>
        </w:trPr>
        <w:tc>
          <w:tcPr>
            <w:tcW w:w="0" w:type="auto"/>
            <w:hideMark/>
          </w:tcPr>
          <w:p w14:paraId="0A29425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Lower Heating Value (LHV)</w:t>
            </w:r>
          </w:p>
        </w:tc>
        <w:tc>
          <w:tcPr>
            <w:tcW w:w="0" w:type="auto"/>
            <w:hideMark/>
          </w:tcPr>
          <w:p w14:paraId="6BE398C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18 ± 0.5</w:t>
            </w:r>
          </w:p>
        </w:tc>
        <w:tc>
          <w:tcPr>
            <w:tcW w:w="0" w:type="auto"/>
            <w:hideMark/>
          </w:tcPr>
          <w:p w14:paraId="15686CC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MJ/kg</w:t>
            </w:r>
          </w:p>
        </w:tc>
      </w:tr>
      <w:tr w:rsidR="00A768CB" w:rsidRPr="00A768CB" w14:paraId="71077942" w14:textId="77777777" w:rsidTr="00E62C1F">
        <w:trPr>
          <w:trHeight w:val="466"/>
        </w:trPr>
        <w:tc>
          <w:tcPr>
            <w:tcW w:w="0" w:type="auto"/>
            <w:hideMark/>
          </w:tcPr>
          <w:p w14:paraId="40D7997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Bulk density</w:t>
            </w:r>
          </w:p>
        </w:tc>
        <w:tc>
          <w:tcPr>
            <w:tcW w:w="0" w:type="auto"/>
            <w:hideMark/>
          </w:tcPr>
          <w:p w14:paraId="2A28010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250 ± 15</w:t>
            </w:r>
          </w:p>
        </w:tc>
        <w:tc>
          <w:tcPr>
            <w:tcW w:w="0" w:type="auto"/>
            <w:hideMark/>
          </w:tcPr>
          <w:p w14:paraId="5BBCB20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kg/m³</w:t>
            </w:r>
          </w:p>
        </w:tc>
      </w:tr>
      <w:tr w:rsidR="00A768CB" w:rsidRPr="00A768CB" w14:paraId="4D4B2753" w14:textId="77777777" w:rsidTr="00E62C1F">
        <w:trPr>
          <w:trHeight w:val="466"/>
        </w:trPr>
        <w:tc>
          <w:tcPr>
            <w:tcW w:w="0" w:type="auto"/>
            <w:hideMark/>
          </w:tcPr>
          <w:p w14:paraId="46C3BF5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Particle size (average)</w:t>
            </w:r>
          </w:p>
        </w:tc>
        <w:tc>
          <w:tcPr>
            <w:tcW w:w="0" w:type="auto"/>
            <w:hideMark/>
          </w:tcPr>
          <w:p w14:paraId="5E8FD82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15 ± 5</w:t>
            </w:r>
          </w:p>
        </w:tc>
        <w:tc>
          <w:tcPr>
            <w:tcW w:w="0" w:type="auto"/>
            <w:hideMark/>
          </w:tcPr>
          <w:p w14:paraId="4F641374" w14:textId="5D15025C" w:rsidR="00A768CB" w:rsidRPr="00A768CB" w:rsidRDefault="00E62C1F" w:rsidP="00A768CB">
            <w:pPr>
              <w:spacing w:after="160" w:line="259" w:lineRule="auto"/>
              <w:rPr>
                <w:rFonts w:ascii="Century Gothic" w:hAnsi="Century Gothic"/>
                <w:b/>
                <w:bCs/>
                <w:sz w:val="24"/>
                <w:szCs w:val="24"/>
              </w:rPr>
            </w:pPr>
            <w:r w:rsidRPr="00A768CB">
              <w:rPr>
                <w:rFonts w:ascii="Century Gothic" w:hAnsi="Century Gothic"/>
                <w:b/>
                <w:bCs/>
                <w:sz w:val="24"/>
                <w:szCs w:val="24"/>
              </w:rPr>
              <w:t>M</w:t>
            </w:r>
            <w:r w:rsidR="00A768CB" w:rsidRPr="00A768CB">
              <w:rPr>
                <w:rFonts w:ascii="Century Gothic" w:hAnsi="Century Gothic"/>
                <w:b/>
                <w:bCs/>
                <w:sz w:val="24"/>
                <w:szCs w:val="24"/>
              </w:rPr>
              <w:t>m</w:t>
            </w:r>
          </w:p>
        </w:tc>
      </w:tr>
    </w:tbl>
    <w:p w14:paraId="7ADF509A" w14:textId="2F8A9930"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 LHV of 18 MJ/kg is comparable to other lignocellulosic biomasses such as wood chips (17–19 MJ/kg) and agricultural residues, confirming the significant energy potential of palm stems. Moisture reduction is critical, as it minimizes thermal losses associated with water evaporation, improving overall energy efficiency and reducing smoke emissions.</w:t>
      </w:r>
    </w:p>
    <w:p w14:paraId="64242E43"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3.2.2 Combustion Tests and Thermal Performance</w:t>
      </w:r>
    </w:p>
    <w:p w14:paraId="5B0FA62B"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Combustion tests were carried out in a modified small-scale biomass boiler designed to handle low-density solid biomass. The boiler was equipped with temperature sensors, flue gas analyzers, and mass flow meters to monitor fuel feed, combustion temperature, and emissions.</w:t>
      </w:r>
    </w:p>
    <w:p w14:paraId="026693B2" w14:textId="77777777" w:rsidR="00A768CB" w:rsidRDefault="00A768CB" w:rsidP="00E62C1F">
      <w:pPr>
        <w:jc w:val="both"/>
        <w:rPr>
          <w:rFonts w:ascii="Century Gothic" w:hAnsi="Century Gothic"/>
          <w:sz w:val="24"/>
          <w:szCs w:val="24"/>
        </w:rPr>
      </w:pPr>
      <w:r w:rsidRPr="00A768CB">
        <w:rPr>
          <w:rFonts w:ascii="Century Gothic" w:hAnsi="Century Gothic"/>
          <w:sz w:val="24"/>
          <w:szCs w:val="24"/>
        </w:rPr>
        <w:t>The tests were conducted under quasi-real operating conditions, simulating typical rural and peri-urban energy systems. The main performance metrics are summarized in Table 2.</w:t>
      </w:r>
    </w:p>
    <w:p w14:paraId="009AC63C" w14:textId="77777777" w:rsidR="00E62C1F" w:rsidRDefault="00E62C1F" w:rsidP="00E62C1F">
      <w:pPr>
        <w:jc w:val="both"/>
        <w:rPr>
          <w:rFonts w:ascii="Century Gothic" w:hAnsi="Century Gothic"/>
          <w:sz w:val="24"/>
          <w:szCs w:val="24"/>
        </w:rPr>
      </w:pPr>
    </w:p>
    <w:p w14:paraId="245EF62C" w14:textId="77777777" w:rsidR="00E62C1F" w:rsidRDefault="00E62C1F" w:rsidP="00E62C1F">
      <w:pPr>
        <w:jc w:val="both"/>
        <w:rPr>
          <w:rFonts w:ascii="Century Gothic" w:hAnsi="Century Gothic"/>
          <w:sz w:val="24"/>
          <w:szCs w:val="24"/>
        </w:rPr>
      </w:pPr>
    </w:p>
    <w:p w14:paraId="02EB7FFB" w14:textId="77777777" w:rsidR="00E62C1F" w:rsidRDefault="00E62C1F" w:rsidP="00E62C1F">
      <w:pPr>
        <w:jc w:val="both"/>
        <w:rPr>
          <w:rFonts w:ascii="Century Gothic" w:hAnsi="Century Gothic"/>
          <w:sz w:val="24"/>
          <w:szCs w:val="24"/>
        </w:rPr>
      </w:pPr>
    </w:p>
    <w:p w14:paraId="5F1633A0" w14:textId="77777777" w:rsidR="00E62C1F" w:rsidRDefault="00E62C1F" w:rsidP="00E62C1F">
      <w:pPr>
        <w:jc w:val="both"/>
        <w:rPr>
          <w:rFonts w:ascii="Century Gothic" w:hAnsi="Century Gothic"/>
          <w:sz w:val="24"/>
          <w:szCs w:val="24"/>
        </w:rPr>
      </w:pPr>
    </w:p>
    <w:p w14:paraId="099D3486" w14:textId="77777777" w:rsidR="00E62C1F" w:rsidRDefault="00E62C1F" w:rsidP="00E62C1F">
      <w:pPr>
        <w:jc w:val="both"/>
        <w:rPr>
          <w:rFonts w:ascii="Century Gothic" w:hAnsi="Century Gothic"/>
          <w:sz w:val="24"/>
          <w:szCs w:val="24"/>
        </w:rPr>
      </w:pPr>
    </w:p>
    <w:p w14:paraId="3D3DB807" w14:textId="77777777" w:rsidR="00E62C1F" w:rsidRDefault="00E62C1F" w:rsidP="00E62C1F">
      <w:pPr>
        <w:jc w:val="both"/>
        <w:rPr>
          <w:rFonts w:ascii="Century Gothic" w:hAnsi="Century Gothic"/>
          <w:sz w:val="24"/>
          <w:szCs w:val="24"/>
        </w:rPr>
      </w:pPr>
    </w:p>
    <w:p w14:paraId="6EF277C0" w14:textId="77777777" w:rsidR="00E62C1F" w:rsidRPr="00A768CB" w:rsidRDefault="00E62C1F" w:rsidP="00E62C1F">
      <w:pPr>
        <w:jc w:val="both"/>
        <w:rPr>
          <w:rFonts w:ascii="Century Gothic" w:hAnsi="Century Gothic"/>
          <w:sz w:val="24"/>
          <w:szCs w:val="24"/>
        </w:rPr>
      </w:pPr>
    </w:p>
    <w:p w14:paraId="343CBF80"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Table 2: Combustion performance of dried palm stems</w:t>
      </w:r>
    </w:p>
    <w:tbl>
      <w:tblPr>
        <w:tblStyle w:val="TableGrid"/>
        <w:tblW w:w="0" w:type="auto"/>
        <w:tblLook w:val="04A0" w:firstRow="1" w:lastRow="0" w:firstColumn="1" w:lastColumn="0" w:noHBand="0" w:noVBand="1"/>
      </w:tblPr>
      <w:tblGrid>
        <w:gridCol w:w="3130"/>
        <w:gridCol w:w="2719"/>
        <w:gridCol w:w="769"/>
      </w:tblGrid>
      <w:tr w:rsidR="00A768CB" w:rsidRPr="00A768CB" w14:paraId="2AED8BE3" w14:textId="77777777" w:rsidTr="00E62C1F">
        <w:tc>
          <w:tcPr>
            <w:tcW w:w="0" w:type="auto"/>
            <w:hideMark/>
          </w:tcPr>
          <w:p w14:paraId="198B4EF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lastRenderedPageBreak/>
              <w:t>Parameter</w:t>
            </w:r>
          </w:p>
        </w:tc>
        <w:tc>
          <w:tcPr>
            <w:tcW w:w="0" w:type="auto"/>
            <w:hideMark/>
          </w:tcPr>
          <w:p w14:paraId="1060624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5CA7C2E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A768CB" w:rsidRPr="00A768CB" w14:paraId="0CB301D9" w14:textId="77777777" w:rsidTr="00E62C1F">
        <w:tc>
          <w:tcPr>
            <w:tcW w:w="0" w:type="auto"/>
            <w:hideMark/>
          </w:tcPr>
          <w:p w14:paraId="761C471F"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Combustion temperature</w:t>
            </w:r>
          </w:p>
        </w:tc>
        <w:tc>
          <w:tcPr>
            <w:tcW w:w="0" w:type="auto"/>
            <w:hideMark/>
          </w:tcPr>
          <w:p w14:paraId="35E1714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780 ± 25</w:t>
            </w:r>
          </w:p>
        </w:tc>
        <w:tc>
          <w:tcPr>
            <w:tcW w:w="0" w:type="auto"/>
            <w:hideMark/>
          </w:tcPr>
          <w:p w14:paraId="24C3F5A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w:t>
            </w:r>
          </w:p>
        </w:tc>
      </w:tr>
      <w:tr w:rsidR="00A768CB" w:rsidRPr="00A768CB" w14:paraId="36BB7B61" w14:textId="77777777" w:rsidTr="00E62C1F">
        <w:tc>
          <w:tcPr>
            <w:tcW w:w="0" w:type="auto"/>
            <w:hideMark/>
          </w:tcPr>
          <w:p w14:paraId="4A5AABF0"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Boiler thermal efficiency</w:t>
            </w:r>
          </w:p>
        </w:tc>
        <w:tc>
          <w:tcPr>
            <w:tcW w:w="0" w:type="auto"/>
            <w:hideMark/>
          </w:tcPr>
          <w:p w14:paraId="1382E25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85 ± 2</w:t>
            </w:r>
          </w:p>
        </w:tc>
        <w:tc>
          <w:tcPr>
            <w:tcW w:w="0" w:type="auto"/>
            <w:hideMark/>
          </w:tcPr>
          <w:p w14:paraId="1F3105E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426FCCAA" w14:textId="77777777" w:rsidTr="00E62C1F">
        <w:tc>
          <w:tcPr>
            <w:tcW w:w="0" w:type="auto"/>
            <w:hideMark/>
          </w:tcPr>
          <w:p w14:paraId="51790EA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CO emissions</w:t>
            </w:r>
          </w:p>
        </w:tc>
        <w:tc>
          <w:tcPr>
            <w:tcW w:w="0" w:type="auto"/>
            <w:hideMark/>
          </w:tcPr>
          <w:p w14:paraId="2C3320E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150 ± 20</w:t>
            </w:r>
          </w:p>
        </w:tc>
        <w:tc>
          <w:tcPr>
            <w:tcW w:w="0" w:type="auto"/>
            <w:hideMark/>
          </w:tcPr>
          <w:p w14:paraId="40817B9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A768CB" w:rsidRPr="00A768CB" w14:paraId="26A1C296" w14:textId="77777777" w:rsidTr="00E62C1F">
        <w:tc>
          <w:tcPr>
            <w:tcW w:w="0" w:type="auto"/>
            <w:hideMark/>
          </w:tcPr>
          <w:p w14:paraId="560B6A0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NOx emissions</w:t>
            </w:r>
          </w:p>
        </w:tc>
        <w:tc>
          <w:tcPr>
            <w:tcW w:w="0" w:type="auto"/>
            <w:hideMark/>
          </w:tcPr>
          <w:p w14:paraId="0EF05BD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5</w:t>
            </w:r>
          </w:p>
        </w:tc>
        <w:tc>
          <w:tcPr>
            <w:tcW w:w="0" w:type="auto"/>
            <w:hideMark/>
          </w:tcPr>
          <w:p w14:paraId="35FF8518"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A768CB" w:rsidRPr="00A768CB" w14:paraId="0B488FA7" w14:textId="77777777" w:rsidTr="00E62C1F">
        <w:tc>
          <w:tcPr>
            <w:tcW w:w="0" w:type="auto"/>
            <w:hideMark/>
          </w:tcPr>
          <w:p w14:paraId="26B2B84E"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Ash yield</w:t>
            </w:r>
          </w:p>
        </w:tc>
        <w:tc>
          <w:tcPr>
            <w:tcW w:w="0" w:type="auto"/>
            <w:hideMark/>
          </w:tcPr>
          <w:p w14:paraId="31554A9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301AB2C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47C6BDFC" w14:textId="77777777" w:rsidTr="00E62C1F">
        <w:tc>
          <w:tcPr>
            <w:tcW w:w="0" w:type="auto"/>
            <w:hideMark/>
          </w:tcPr>
          <w:p w14:paraId="79BB9E9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Fuel consumption rate</w:t>
            </w:r>
          </w:p>
        </w:tc>
        <w:tc>
          <w:tcPr>
            <w:tcW w:w="0" w:type="auto"/>
            <w:hideMark/>
          </w:tcPr>
          <w:p w14:paraId="2DC08F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3.5 ± 0.2</w:t>
            </w:r>
          </w:p>
        </w:tc>
        <w:tc>
          <w:tcPr>
            <w:tcW w:w="0" w:type="auto"/>
            <w:hideMark/>
          </w:tcPr>
          <w:p w14:paraId="4F42912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kg/h</w:t>
            </w:r>
          </w:p>
        </w:tc>
      </w:tr>
    </w:tbl>
    <w:p w14:paraId="2E735752"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 observed efficiency of 85% indicates effective conversion of the chemical energy in the biomass to useful thermal energy. The high efficiency is attributed to:</w:t>
      </w:r>
    </w:p>
    <w:p w14:paraId="19E9B869"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Low moisture content of the stems.</w:t>
      </w:r>
    </w:p>
    <w:p w14:paraId="365462E5"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Controlled and continuous feeding of the boiler.</w:t>
      </w:r>
    </w:p>
    <w:p w14:paraId="5E62C15B"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Optimized air-to-fuel ratio, ensuring complete combustion.</w:t>
      </w:r>
    </w:p>
    <w:p w14:paraId="6A55E383" w14:textId="45850736"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CO emissions were within acceptable limits for small-scale biomass systems, indicating good combustion quality. The low ash content (≈4.5%) also simplifies residue handling and reduces fouling in the boiler.</w:t>
      </w:r>
    </w:p>
    <w:p w14:paraId="7C05FAD1"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3.2.3 Implications for the Guinean Context</w:t>
      </w:r>
    </w:p>
    <w:p w14:paraId="0C742927" w14:textId="77777777" w:rsidR="00A768CB" w:rsidRPr="00A768CB" w:rsidRDefault="00A768CB" w:rsidP="00A768CB">
      <w:pPr>
        <w:jc w:val="both"/>
        <w:rPr>
          <w:rFonts w:ascii="Century Gothic" w:hAnsi="Century Gothic"/>
          <w:sz w:val="24"/>
          <w:szCs w:val="24"/>
        </w:rPr>
      </w:pPr>
      <w:r w:rsidRPr="00A768CB">
        <w:rPr>
          <w:rFonts w:ascii="Century Gothic" w:hAnsi="Century Gothic"/>
          <w:sz w:val="24"/>
          <w:szCs w:val="24"/>
        </w:rPr>
        <w:t>The experimental results confirm that palm stems are a technically viable renewable energy source in Guinea. Their abundance, good energy properties, and reliable combustion performance make them suitable for:</w:t>
      </w:r>
    </w:p>
    <w:p w14:paraId="5F5B6F25" w14:textId="7777777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t>Industrial heat production: Small-scale industries, such as brick kilns, rice mills, and food processing, could benefit from palm stem combustion.</w:t>
      </w:r>
    </w:p>
    <w:p w14:paraId="51C3BE33" w14:textId="7777777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t>Decentralized electricity generation: Biomass-to-electricity systems can use palm residues to supply rural and peri-urban areas, reducing reliance on imported fossil fuels.</w:t>
      </w:r>
    </w:p>
    <w:p w14:paraId="5D64899C" w14:textId="7777777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t>Environmental benefits: Utilizing local biomass decreases pressure on forests for firewood and lowers greenhouse gas emissions compared to fossil fuels.</w:t>
      </w:r>
    </w:p>
    <w:p w14:paraId="6DFC0ECA" w14:textId="10F0077C"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These results provide a solid experimental basis for developing biomass energy projects in Guinea and support the country’s transition to renewable energy. Future research could explore co-firing palm stems with other residues, optimization of boiler design for higher efficiency, and long-term sustainability of biomass supply chains.</w:t>
      </w:r>
    </w:p>
    <w:p w14:paraId="78003281" w14:textId="7BAB08A0" w:rsidR="00891B21" w:rsidRDefault="00891B21" w:rsidP="00891B21">
      <w:pPr>
        <w:rPr>
          <w:rFonts w:ascii="Century Gothic" w:hAnsi="Century Gothic"/>
          <w:b/>
          <w:bCs/>
          <w:sz w:val="24"/>
          <w:szCs w:val="24"/>
        </w:rPr>
      </w:pPr>
      <w:r w:rsidRPr="00891B21">
        <w:rPr>
          <w:rFonts w:ascii="Century Gothic" w:hAnsi="Century Gothic"/>
          <w:b/>
          <w:bCs/>
          <w:sz w:val="24"/>
          <w:szCs w:val="24"/>
        </w:rPr>
        <w:lastRenderedPageBreak/>
        <w:t>. Figures</w:t>
      </w:r>
    </w:p>
    <w:p w14:paraId="797259DC" w14:textId="77777777" w:rsidR="00AB4AF4" w:rsidRDefault="00AB4AF4" w:rsidP="00891B21">
      <w:pPr>
        <w:rPr>
          <w:rFonts w:ascii="Century Gothic" w:hAnsi="Century Gothic"/>
          <w:b/>
          <w:bCs/>
          <w:sz w:val="24"/>
          <w:szCs w:val="24"/>
        </w:rPr>
      </w:pPr>
    </w:p>
    <w:p w14:paraId="1BD808F1" w14:textId="70D97CEE" w:rsidR="00AB4AF4" w:rsidRPr="00AB4AF4" w:rsidRDefault="00AB4AF4" w:rsidP="00AB4AF4">
      <w:pPr>
        <w:rPr>
          <w:rFonts w:ascii="Century Gothic" w:hAnsi="Century Gothic"/>
          <w:b/>
          <w:bCs/>
          <w:sz w:val="24"/>
          <w:szCs w:val="24"/>
        </w:rPr>
      </w:pPr>
      <w:r w:rsidRPr="00AB4AF4">
        <w:rPr>
          <w:rFonts w:ascii="Century Gothic" w:hAnsi="Century Gothic"/>
          <w:b/>
          <w:bCs/>
          <w:noProof/>
          <w:sz w:val="24"/>
          <w:szCs w:val="24"/>
        </w:rPr>
        <w:drawing>
          <wp:inline distT="0" distB="0" distL="0" distR="0" wp14:anchorId="45BDC269" wp14:editId="07A0270D">
            <wp:extent cx="4282440" cy="3211830"/>
            <wp:effectExtent l="0" t="0" r="3810" b="7620"/>
            <wp:docPr id="110233617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2440" cy="3211830"/>
                    </a:xfrm>
                    <a:prstGeom prst="rect">
                      <a:avLst/>
                    </a:prstGeom>
                    <a:noFill/>
                    <a:ln>
                      <a:noFill/>
                    </a:ln>
                  </pic:spPr>
                </pic:pic>
              </a:graphicData>
            </a:graphic>
          </wp:inline>
        </w:drawing>
      </w:r>
    </w:p>
    <w:p w14:paraId="4675A2B0" w14:textId="77777777" w:rsidR="00AB4AF4" w:rsidRDefault="00AB4AF4" w:rsidP="00AB4AF4">
      <w:pPr>
        <w:rPr>
          <w:rFonts w:ascii="Century Gothic" w:hAnsi="Century Gothic"/>
          <w:sz w:val="24"/>
          <w:szCs w:val="24"/>
        </w:rPr>
      </w:pPr>
      <w:r w:rsidRPr="00891B21">
        <w:rPr>
          <w:rFonts w:ascii="Century Gothic" w:hAnsi="Century Gothic"/>
          <w:b/>
          <w:bCs/>
          <w:sz w:val="24"/>
          <w:szCs w:val="24"/>
        </w:rPr>
        <w:t>Figure 1:</w:t>
      </w:r>
      <w:r w:rsidRPr="00891B21">
        <w:rPr>
          <w:rFonts w:ascii="Century Gothic" w:hAnsi="Century Gothic"/>
          <w:sz w:val="24"/>
          <w:szCs w:val="24"/>
        </w:rPr>
        <w:t xml:space="preserve"> Pie chart of palm stem composition (cellulose, hemicellulose, lignin, extractives, ash)</w:t>
      </w:r>
    </w:p>
    <w:p w14:paraId="7B14762A" w14:textId="11E0FCBD" w:rsidR="00AB4AF4" w:rsidRPr="00891B21" w:rsidRDefault="0087332B" w:rsidP="00891B21">
      <w:pPr>
        <w:rPr>
          <w:rFonts w:ascii="Century Gothic" w:hAnsi="Century Gothic"/>
          <w:sz w:val="24"/>
          <w:szCs w:val="24"/>
        </w:rPr>
      </w:pPr>
      <w:r w:rsidRPr="0087332B">
        <w:rPr>
          <w:rFonts w:ascii="Century Gothic" w:hAnsi="Century Gothic"/>
          <w:noProof/>
          <w:sz w:val="24"/>
          <w:szCs w:val="24"/>
        </w:rPr>
        <w:lastRenderedPageBreak/>
        <w:drawing>
          <wp:inline distT="0" distB="0" distL="0" distR="0" wp14:anchorId="60A37AD4" wp14:editId="39F2F309">
            <wp:extent cx="5943600" cy="4457700"/>
            <wp:effectExtent l="0" t="0" r="0" b="0"/>
            <wp:docPr id="171810448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E215979" w14:textId="77777777" w:rsidR="00891B21" w:rsidRDefault="00891B21" w:rsidP="00891B21">
      <w:pPr>
        <w:rPr>
          <w:rFonts w:ascii="Century Gothic" w:hAnsi="Century Gothic"/>
          <w:sz w:val="24"/>
          <w:szCs w:val="24"/>
        </w:rPr>
      </w:pPr>
      <w:r w:rsidRPr="00891B21">
        <w:rPr>
          <w:rFonts w:ascii="Century Gothic" w:hAnsi="Century Gothic"/>
          <w:b/>
          <w:bCs/>
          <w:sz w:val="24"/>
          <w:szCs w:val="24"/>
        </w:rPr>
        <w:t>Figure 2:</w:t>
      </w:r>
      <w:r w:rsidRPr="00891B21">
        <w:rPr>
          <w:rFonts w:ascii="Century Gothic" w:hAnsi="Century Gothic"/>
          <w:sz w:val="24"/>
          <w:szCs w:val="24"/>
        </w:rPr>
        <w:t xml:space="preserve"> LHV vs moisture content (line chart) shows the drop from 19</w:t>
      </w:r>
      <w:r w:rsidRPr="00891B21">
        <w:rPr>
          <w:rFonts w:ascii="Arial" w:hAnsi="Arial" w:cs="Arial"/>
          <w:sz w:val="24"/>
          <w:szCs w:val="24"/>
        </w:rPr>
        <w:t> </w:t>
      </w:r>
      <w:r w:rsidRPr="00891B21">
        <w:rPr>
          <w:rFonts w:ascii="Century Gothic" w:hAnsi="Century Gothic"/>
          <w:sz w:val="24"/>
          <w:szCs w:val="24"/>
        </w:rPr>
        <w:t>MJ/kg to ~12</w:t>
      </w:r>
      <w:r w:rsidRPr="00891B21">
        <w:rPr>
          <w:rFonts w:ascii="Century Gothic" w:hAnsi="Century Gothic" w:cs="Century Gothic"/>
          <w:sz w:val="24"/>
          <w:szCs w:val="24"/>
        </w:rPr>
        <w:t>–</w:t>
      </w:r>
      <w:r w:rsidRPr="00891B21">
        <w:rPr>
          <w:rFonts w:ascii="Century Gothic" w:hAnsi="Century Gothic"/>
          <w:sz w:val="24"/>
          <w:szCs w:val="24"/>
        </w:rPr>
        <w:t>13</w:t>
      </w:r>
      <w:r w:rsidRPr="00891B21">
        <w:rPr>
          <w:rFonts w:ascii="Arial" w:hAnsi="Arial" w:cs="Arial"/>
          <w:sz w:val="24"/>
          <w:szCs w:val="24"/>
        </w:rPr>
        <w:t> </w:t>
      </w:r>
      <w:r w:rsidRPr="00891B21">
        <w:rPr>
          <w:rFonts w:ascii="Century Gothic" w:hAnsi="Century Gothic"/>
          <w:sz w:val="24"/>
          <w:szCs w:val="24"/>
        </w:rPr>
        <w:t>MJ/kg as moisture rises to 70</w:t>
      </w:r>
      <w:r w:rsidRPr="00891B21">
        <w:rPr>
          <w:rFonts w:ascii="Arial" w:hAnsi="Arial" w:cs="Arial"/>
          <w:sz w:val="24"/>
          <w:szCs w:val="24"/>
        </w:rPr>
        <w:t> </w:t>
      </w:r>
      <w:r w:rsidRPr="00891B21">
        <w:rPr>
          <w:rFonts w:ascii="Century Gothic" w:hAnsi="Century Gothic"/>
          <w:sz w:val="24"/>
          <w:szCs w:val="24"/>
        </w:rPr>
        <w:t>%</w:t>
      </w:r>
    </w:p>
    <w:p w14:paraId="36082BFA" w14:textId="77777777" w:rsidR="0087332B" w:rsidRDefault="0087332B" w:rsidP="00891B21">
      <w:pPr>
        <w:rPr>
          <w:rFonts w:ascii="Century Gothic" w:hAnsi="Century Gothic"/>
          <w:sz w:val="24"/>
          <w:szCs w:val="24"/>
        </w:rPr>
      </w:pPr>
    </w:p>
    <w:p w14:paraId="3E28A9D8" w14:textId="71D4895E" w:rsidR="0087332B" w:rsidRPr="00891B21" w:rsidRDefault="007032C2" w:rsidP="00891B21">
      <w:pPr>
        <w:rPr>
          <w:rFonts w:ascii="Century Gothic" w:hAnsi="Century Gothic"/>
          <w:sz w:val="24"/>
          <w:szCs w:val="24"/>
        </w:rPr>
      </w:pPr>
      <w:r w:rsidRPr="007032C2">
        <w:rPr>
          <w:rFonts w:ascii="Century Gothic" w:hAnsi="Century Gothic"/>
          <w:noProof/>
          <w:sz w:val="24"/>
          <w:szCs w:val="24"/>
        </w:rPr>
        <w:lastRenderedPageBreak/>
        <w:drawing>
          <wp:inline distT="0" distB="0" distL="0" distR="0" wp14:anchorId="2E2A0C7D" wp14:editId="58469BAD">
            <wp:extent cx="5943600" cy="4457700"/>
            <wp:effectExtent l="0" t="0" r="0" b="0"/>
            <wp:docPr id="170243712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07271FE" w14:textId="77777777" w:rsidR="00891B21" w:rsidRDefault="00891B21" w:rsidP="00891B21">
      <w:pPr>
        <w:rPr>
          <w:rFonts w:ascii="Century Gothic" w:hAnsi="Century Gothic"/>
          <w:sz w:val="24"/>
          <w:szCs w:val="24"/>
        </w:rPr>
      </w:pPr>
      <w:r w:rsidRPr="00891B21">
        <w:rPr>
          <w:rFonts w:ascii="Century Gothic" w:hAnsi="Century Gothic"/>
          <w:b/>
          <w:bCs/>
          <w:sz w:val="24"/>
          <w:szCs w:val="24"/>
        </w:rPr>
        <w:t>Figure 3:</w:t>
      </w:r>
      <w:r w:rsidRPr="00891B21">
        <w:rPr>
          <w:rFonts w:ascii="Century Gothic" w:hAnsi="Century Gothic"/>
          <w:sz w:val="24"/>
          <w:szCs w:val="24"/>
        </w:rPr>
        <w:t xml:space="preserve"> Bar chart comparing LHV of palm stem (18</w:t>
      </w:r>
      <w:r w:rsidRPr="00891B21">
        <w:rPr>
          <w:rFonts w:ascii="Arial" w:hAnsi="Arial" w:cs="Arial"/>
          <w:sz w:val="24"/>
          <w:szCs w:val="24"/>
        </w:rPr>
        <w:t> </w:t>
      </w:r>
      <w:r w:rsidRPr="00891B21">
        <w:rPr>
          <w:rFonts w:ascii="Century Gothic" w:hAnsi="Century Gothic"/>
          <w:sz w:val="24"/>
          <w:szCs w:val="24"/>
        </w:rPr>
        <w:t>MJ/kg) and conventional wood (20</w:t>
      </w:r>
      <w:r w:rsidRPr="00891B21">
        <w:rPr>
          <w:rFonts w:ascii="Arial" w:hAnsi="Arial" w:cs="Arial"/>
          <w:sz w:val="24"/>
          <w:szCs w:val="24"/>
        </w:rPr>
        <w:t> </w:t>
      </w:r>
      <w:r w:rsidRPr="00891B21">
        <w:rPr>
          <w:rFonts w:ascii="Century Gothic" w:hAnsi="Century Gothic"/>
          <w:sz w:val="24"/>
          <w:szCs w:val="24"/>
        </w:rPr>
        <w:t>MJ/kg)</w:t>
      </w:r>
    </w:p>
    <w:p w14:paraId="767C7CFF" w14:textId="77777777" w:rsidR="007032C2" w:rsidRDefault="007032C2" w:rsidP="00891B21">
      <w:pPr>
        <w:rPr>
          <w:rFonts w:ascii="Century Gothic" w:hAnsi="Century Gothic"/>
          <w:sz w:val="24"/>
          <w:szCs w:val="24"/>
        </w:rPr>
      </w:pPr>
    </w:p>
    <w:p w14:paraId="0685D851" w14:textId="77777777" w:rsidR="007032C2" w:rsidRDefault="007032C2" w:rsidP="00891B21">
      <w:pPr>
        <w:rPr>
          <w:rFonts w:ascii="Century Gothic" w:hAnsi="Century Gothic"/>
          <w:sz w:val="24"/>
          <w:szCs w:val="24"/>
        </w:rPr>
      </w:pPr>
    </w:p>
    <w:p w14:paraId="3A9BE4AF" w14:textId="77777777" w:rsidR="007032C2" w:rsidRDefault="007032C2" w:rsidP="00891B21">
      <w:pPr>
        <w:rPr>
          <w:rFonts w:ascii="Century Gothic" w:hAnsi="Century Gothic"/>
          <w:sz w:val="24"/>
          <w:szCs w:val="24"/>
        </w:rPr>
      </w:pPr>
    </w:p>
    <w:p w14:paraId="7E366F87" w14:textId="77777777" w:rsidR="007032C2" w:rsidRPr="00891B21" w:rsidRDefault="007032C2" w:rsidP="00891B21">
      <w:pPr>
        <w:rPr>
          <w:rFonts w:ascii="Century Gothic" w:hAnsi="Century Gothic"/>
          <w:sz w:val="24"/>
          <w:szCs w:val="24"/>
        </w:rPr>
      </w:pPr>
    </w:p>
    <w:p w14:paraId="79359C7A" w14:textId="77777777" w:rsidR="00522A74" w:rsidRDefault="00522A74" w:rsidP="00891B21">
      <w:pPr>
        <w:rPr>
          <w:rFonts w:ascii="Century Gothic" w:hAnsi="Century Gothic"/>
          <w:b/>
          <w:bCs/>
          <w:sz w:val="24"/>
          <w:szCs w:val="24"/>
        </w:rPr>
      </w:pPr>
    </w:p>
    <w:p w14:paraId="2AE3EF60" w14:textId="77777777" w:rsidR="00522A74" w:rsidRDefault="00522A74" w:rsidP="00891B21">
      <w:pPr>
        <w:rPr>
          <w:rFonts w:ascii="Century Gothic" w:hAnsi="Century Gothic"/>
          <w:b/>
          <w:bCs/>
          <w:sz w:val="24"/>
          <w:szCs w:val="24"/>
        </w:rPr>
      </w:pPr>
    </w:p>
    <w:p w14:paraId="40A45C17" w14:textId="77777777" w:rsidR="00522A74" w:rsidRDefault="00522A74" w:rsidP="00891B21">
      <w:pPr>
        <w:rPr>
          <w:rFonts w:ascii="Century Gothic" w:hAnsi="Century Gothic"/>
          <w:b/>
          <w:bCs/>
          <w:sz w:val="24"/>
          <w:szCs w:val="24"/>
        </w:rPr>
      </w:pPr>
    </w:p>
    <w:p w14:paraId="16407EDC" w14:textId="77777777" w:rsidR="00522A74" w:rsidRDefault="00522A74" w:rsidP="00891B21">
      <w:pPr>
        <w:rPr>
          <w:rFonts w:ascii="Century Gothic" w:hAnsi="Century Gothic"/>
          <w:sz w:val="24"/>
          <w:szCs w:val="24"/>
        </w:rPr>
      </w:pPr>
    </w:p>
    <w:p w14:paraId="3E3AC160" w14:textId="77777777" w:rsidR="00522A74" w:rsidRDefault="00522A74" w:rsidP="00891B21">
      <w:pPr>
        <w:rPr>
          <w:rFonts w:ascii="Century Gothic" w:hAnsi="Century Gothic"/>
          <w:sz w:val="24"/>
          <w:szCs w:val="24"/>
        </w:rPr>
      </w:pPr>
    </w:p>
    <w:p w14:paraId="22E2F89B" w14:textId="55FB4031" w:rsidR="008226E5" w:rsidRPr="008226E5" w:rsidRDefault="008226E5" w:rsidP="008226E5">
      <w:pPr>
        <w:rPr>
          <w:rFonts w:ascii="Century Gothic" w:hAnsi="Century Gothic"/>
          <w:b/>
          <w:bCs/>
          <w:sz w:val="24"/>
          <w:szCs w:val="24"/>
        </w:rPr>
      </w:pPr>
    </w:p>
    <w:p w14:paraId="78681810" w14:textId="77777777" w:rsidR="008226E5" w:rsidRPr="008226E5" w:rsidRDefault="008226E5" w:rsidP="008226E5">
      <w:pPr>
        <w:rPr>
          <w:rFonts w:ascii="Century Gothic" w:hAnsi="Century Gothic"/>
          <w:b/>
          <w:bCs/>
          <w:sz w:val="24"/>
          <w:szCs w:val="24"/>
        </w:rPr>
      </w:pPr>
      <w:r w:rsidRPr="008226E5">
        <w:rPr>
          <w:rFonts w:ascii="Century Gothic" w:hAnsi="Century Gothic"/>
          <w:b/>
          <w:bCs/>
          <w:sz w:val="24"/>
          <w:szCs w:val="24"/>
        </w:rPr>
        <w:lastRenderedPageBreak/>
        <w:t>4. Discussion</w:t>
      </w:r>
    </w:p>
    <w:p w14:paraId="4C702223"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When compared to conventional wood, palm stems show a slightly lower calorific value, generally between 16 and 19 MJ/kg after drying, whereas conventional wood reaches 18 to 21 MJ/kg. At first glance, this difference may appear to limit their usefulness. In practice, however, this gap is far from being a major obstacle. Once palm stems are properly dried and processed, they become a reliable and effective energy source. What they may lack in raw energy content is largely compensated by their abundance, renewability, and the fact that they are often available at little or no cost as agricultural residues.</w:t>
      </w:r>
    </w:p>
    <w:p w14:paraId="04DA6A2A"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For households and small communities, especially in rural Guinea, energy is not only about numbers or calorific values—it is about access, affordability, and reliability. Palm stems respond well to these realities. With simple drying and transformation techniques, they can be used for cooking and heating, reducing dependence on firewood collected from nearby forests. When densified into briquettes or pellets, they burn more evenly, are easier to transport and store, and fit better into improved cooking stoves or small energy systems.</w:t>
      </w:r>
    </w:p>
    <w:p w14:paraId="4A2791BE"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The environmental impact of this shift is equally important. In many regions of Guinea, forests are under growing pressure due to the daily need for fuelwood. Using palm stems instead of cutting trees offers a practical way to slow deforestation while making use of materials that would otherwise be discarded or left to decompose. This approach naturally fits within a circular economy logic, where agricultural residues are not treated as waste but as valuable resources that serve local needs.</w:t>
      </w:r>
    </w:p>
    <w:p w14:paraId="6B0F009C"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 xml:space="preserve">Palm stems also open promising perspectives for decentralized energy production. In areas far from the national grid, where electricity is scarce or unreliable, locally available biomass can make a real difference. Small-scale power generation units, community cooking centers, or </w:t>
      </w:r>
      <w:proofErr w:type="spellStart"/>
      <w:r w:rsidRPr="008226E5">
        <w:rPr>
          <w:rFonts w:ascii="Century Gothic" w:hAnsi="Century Gothic"/>
          <w:sz w:val="24"/>
          <w:szCs w:val="24"/>
        </w:rPr>
        <w:t>agro</w:t>
      </w:r>
      <w:proofErr w:type="spellEnd"/>
      <w:r w:rsidRPr="008226E5">
        <w:rPr>
          <w:rFonts w:ascii="Century Gothic" w:hAnsi="Century Gothic"/>
          <w:sz w:val="24"/>
          <w:szCs w:val="24"/>
        </w:rPr>
        <w:t>-processing facilities can rely on palm stem energy to operate independently. This local control over energy resources strengthens community resilience and reduces vulnerability to fuel shortages or rising prices.</w:t>
      </w:r>
    </w:p>
    <w:p w14:paraId="399751AA"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In agro-industrial settings, the benefits are even more tangible. Agricultural residues used to generate energy on-site help reduce operational costs and improve productivity. Instead of paying for fuel or struggling with waste disposal, producers can turn by-products into a source of power for processing, storage, or irrigation. This creates a strong and practical link between agriculture and energy, where each sector supports the other.</w:t>
      </w:r>
    </w:p>
    <w:p w14:paraId="7D24BD4C"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lastRenderedPageBreak/>
        <w:t>Beyond technology and economics, the human dimension of palm stem valorization is central. Collecting, processing, and distributing biomass fuels create jobs and income opportunities at the local level. These activities particularly benefit rural populations, including youth and women, who are often at the heart of biomass value chains. By strengthening rural energy autonomy and reducing dependence on imported fossil fuels, palm stem energy helps keep value within local communities and supports long-term development.</w:t>
      </w:r>
    </w:p>
    <w:p w14:paraId="057F04F3"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Ultimately, the use of palm stems as an energy resource goes beyond a simple technical solution. It reflects a broader vision of development—one that is grounded in local resources, respectful of the environment, and attentive to people’s daily needs. In this sense, palm stem biomass fits naturally within Guinea’s strategy for renewable energy transition and national energy sovereignty, offering a realistic and inclusive pathway toward a more sustainable energy future.</w:t>
      </w:r>
    </w:p>
    <w:p w14:paraId="53DF57DC" w14:textId="77777777" w:rsidR="00522A74" w:rsidRPr="00522A74" w:rsidRDefault="00522A74" w:rsidP="00522A74">
      <w:pPr>
        <w:rPr>
          <w:rFonts w:ascii="Century Gothic" w:hAnsi="Century Gothic"/>
          <w:b/>
          <w:bCs/>
          <w:sz w:val="24"/>
          <w:szCs w:val="24"/>
        </w:rPr>
      </w:pPr>
      <w:r w:rsidRPr="00522A74">
        <w:rPr>
          <w:rFonts w:ascii="Century Gothic" w:hAnsi="Century Gothic"/>
          <w:b/>
          <w:bCs/>
          <w:sz w:val="24"/>
          <w:szCs w:val="24"/>
        </w:rPr>
        <w:t>5. Conclusion</w:t>
      </w:r>
    </w:p>
    <w:p w14:paraId="3A3A789A"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The palm stem constitutes a highly strategic renewable resource for Guinea, both in terms of its availability and its multiple energy applications. As an agricultural residue generated in large quantities, it represents an underexploited biomass whose valorization can significantly contribute to addressing the country’s energy challenges. Its lignocellulosic structure, composed mainly of cellulose, hemicellulose, and lignin, gives it a real capacity for energy conversion. After appropriate drying, its calorific value becomes sufficient to meet several energy needs, particularly in rural and peri-urban areas where access to modern energy services remains limited.</w:t>
      </w:r>
    </w:p>
    <w:p w14:paraId="70317213"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The versatility of palm stem biomass allows its use across a wide range of energy pathways. It can be directly used for heat production and household cooking, offering an alternative to firewood and thus helping to curb deforestation. Through carbonization, it can be converted into biomass charcoal, which is more energy-dense, easier to store and transport, and produces fewer emissions during combustion. Advanced conversion technologies such as gasification enable the production of syngas for small-scale electricity generation, suitable for decentralized energy systems and rural electrification. In addition, pyrolysis makes it possible to produce biochar, which not only serves as a solid fuel but also plays an important role in improving soil fertility, water retention, and carbon sequestration, thereby linking energy production with sustainable agricultural development.</w:t>
      </w:r>
    </w:p>
    <w:p w14:paraId="33F243B5"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 xml:space="preserve">The successful and sustainable valorization of palm stem biomass depends on several key factors. These include proper collection and logistics, controlled drying to reduce moisture content, and the selection of appropriate and locally </w:t>
      </w:r>
      <w:r w:rsidRPr="00522A74">
        <w:rPr>
          <w:rFonts w:ascii="Century Gothic" w:hAnsi="Century Gothic"/>
          <w:sz w:val="24"/>
          <w:szCs w:val="24"/>
        </w:rPr>
        <w:lastRenderedPageBreak/>
        <w:t>adapted conversion technologies. Capacity building, technical training, and the involvement of local communities are also essential to ensure long-term viability. While the calorific value of palm stems is slightly lower than that of conventional hardwoods, this limitation is largely offset by their abundance, renewability, and the fact that their use does not require cutting live trees.</w:t>
      </w:r>
    </w:p>
    <w:p w14:paraId="625F6FD5" w14:textId="4037615B" w:rsidR="00891B21" w:rsidRDefault="00522A74" w:rsidP="00522A74">
      <w:pPr>
        <w:jc w:val="both"/>
        <w:rPr>
          <w:rFonts w:ascii="Century Gothic" w:hAnsi="Century Gothic"/>
          <w:sz w:val="24"/>
          <w:szCs w:val="24"/>
        </w:rPr>
      </w:pPr>
      <w:r w:rsidRPr="00522A74">
        <w:rPr>
          <w:rFonts w:ascii="Century Gothic" w:hAnsi="Century Gothic"/>
          <w:sz w:val="24"/>
          <w:szCs w:val="24"/>
        </w:rPr>
        <w:t>By implementing an integrated national strategy that combines energy, agriculture, and environmental policies, Guinea can transform palm stem residues into a reliable, low-cost, and environmentally friendly energy resource. Such a strategy would contribute to diversifying the national energy mix, reducing dependence on imported fossil fuels, and strengthening energy access in rural areas. Moreover, it would support the country’s broader objectives of energy transition, climate resilience, and sustainable development, while reinforcing national energy sovereignty and promoting a circular economy rooted in local resources.</w:t>
      </w:r>
    </w:p>
    <w:p w14:paraId="0168895C" w14:textId="77777777" w:rsidR="00CD2B67" w:rsidRDefault="00CD2B67" w:rsidP="00522A74">
      <w:pPr>
        <w:jc w:val="both"/>
        <w:rPr>
          <w:rFonts w:ascii="Century Gothic" w:hAnsi="Century Gothic"/>
          <w:sz w:val="24"/>
          <w:szCs w:val="24"/>
        </w:rPr>
      </w:pPr>
    </w:p>
    <w:p w14:paraId="635A2F04" w14:textId="77777777" w:rsidR="00CD2B67" w:rsidRPr="00CD2B67" w:rsidRDefault="00CD2B67" w:rsidP="00CD2B67">
      <w:pPr>
        <w:jc w:val="both"/>
        <w:rPr>
          <w:rFonts w:ascii="Century Gothic" w:hAnsi="Century Gothic"/>
          <w:sz w:val="24"/>
          <w:szCs w:val="24"/>
        </w:rPr>
      </w:pPr>
      <w:r w:rsidRPr="00CD2B67">
        <w:rPr>
          <w:rFonts w:ascii="Century Gothic" w:hAnsi="Century Gothic"/>
          <w:sz w:val="24"/>
          <w:szCs w:val="24"/>
        </w:rPr>
        <w:t>COMPETING INTERESTS DISCLAIMER:</w:t>
      </w:r>
    </w:p>
    <w:p w14:paraId="6326B270" w14:textId="15CAA2D8" w:rsidR="00CD2B67" w:rsidRPr="00522A74" w:rsidRDefault="00CD2B67" w:rsidP="00CD2B67">
      <w:pPr>
        <w:jc w:val="both"/>
        <w:rPr>
          <w:rFonts w:ascii="Century Gothic" w:hAnsi="Century Gothic"/>
          <w:sz w:val="24"/>
          <w:szCs w:val="24"/>
        </w:rPr>
      </w:pPr>
      <w:r w:rsidRPr="00CD2B67">
        <w:rPr>
          <w:rFonts w:ascii="Century Gothic" w:hAnsi="Century Gothic"/>
          <w:sz w:val="24"/>
          <w:szCs w:val="24"/>
        </w:rPr>
        <w:t>Authors have declared that they have no known competing financial interests OR non-financial interests OR personal relationships that could have appeared to influence the work reported in this paper.</w:t>
      </w:r>
    </w:p>
    <w:p w14:paraId="025220FD" w14:textId="2FEE00BE" w:rsidR="00891B21" w:rsidRPr="00891B21" w:rsidRDefault="009753EF" w:rsidP="00891B21">
      <w:pPr>
        <w:rPr>
          <w:rFonts w:ascii="Century Gothic" w:hAnsi="Century Gothic"/>
          <w:b/>
          <w:bCs/>
          <w:sz w:val="24"/>
          <w:szCs w:val="24"/>
        </w:rPr>
      </w:pPr>
      <w:proofErr w:type="gramStart"/>
      <w:r>
        <w:rPr>
          <w:rFonts w:ascii="Century Gothic" w:hAnsi="Century Gothic"/>
          <w:b/>
          <w:bCs/>
          <w:sz w:val="24"/>
          <w:szCs w:val="24"/>
        </w:rPr>
        <w:t xml:space="preserve">6 </w:t>
      </w:r>
      <w:r w:rsidR="00891B21" w:rsidRPr="00891B21">
        <w:rPr>
          <w:rFonts w:ascii="Century Gothic" w:hAnsi="Century Gothic"/>
          <w:b/>
          <w:bCs/>
          <w:sz w:val="24"/>
          <w:szCs w:val="24"/>
        </w:rPr>
        <w:t>.</w:t>
      </w:r>
      <w:proofErr w:type="gramEnd"/>
      <w:r w:rsidR="00891B21" w:rsidRPr="00891B21">
        <w:rPr>
          <w:rFonts w:ascii="Century Gothic" w:hAnsi="Century Gothic"/>
          <w:b/>
          <w:bCs/>
          <w:sz w:val="24"/>
          <w:szCs w:val="24"/>
        </w:rPr>
        <w:t xml:space="preserve"> References</w:t>
      </w:r>
    </w:p>
    <w:p w14:paraId="23C83EE3" w14:textId="77777777" w:rsidR="00891B21" w:rsidRPr="003D1CA8" w:rsidRDefault="00891B21" w:rsidP="00891B21">
      <w:pPr>
        <w:rPr>
          <w:rFonts w:ascii="Century Gothic" w:hAnsi="Century Gothic"/>
          <w:sz w:val="24"/>
          <w:szCs w:val="24"/>
          <w:lang w:val="fr-FR"/>
        </w:rPr>
      </w:pPr>
      <w:r w:rsidRPr="00891B21">
        <w:rPr>
          <w:rFonts w:ascii="Century Gothic" w:hAnsi="Century Gothic"/>
          <w:sz w:val="24"/>
          <w:szCs w:val="24"/>
        </w:rPr>
        <w:t xml:space="preserve">[1] A. </w:t>
      </w:r>
      <w:proofErr w:type="spellStart"/>
      <w:r w:rsidRPr="00891B21">
        <w:rPr>
          <w:rFonts w:ascii="Century Gothic" w:hAnsi="Century Gothic"/>
          <w:sz w:val="24"/>
          <w:szCs w:val="24"/>
        </w:rPr>
        <w:t>Demirbas</w:t>
      </w:r>
      <w:proofErr w:type="spellEnd"/>
      <w:r w:rsidRPr="00891B21">
        <w:rPr>
          <w:rFonts w:ascii="Century Gothic" w:hAnsi="Century Gothic"/>
          <w:sz w:val="24"/>
          <w:szCs w:val="24"/>
        </w:rPr>
        <w:t xml:space="preserve">, “Combustion characteristics of different biomass fuels,” </w:t>
      </w:r>
      <w:r w:rsidRPr="00891B21">
        <w:rPr>
          <w:rFonts w:ascii="Century Gothic" w:hAnsi="Century Gothic"/>
          <w:i/>
          <w:iCs/>
          <w:sz w:val="24"/>
          <w:szCs w:val="24"/>
        </w:rPr>
        <w:t>Progress in Energy and Combustion Science</w:t>
      </w:r>
      <w:r w:rsidRPr="00891B21">
        <w:rPr>
          <w:rFonts w:ascii="Century Gothic" w:hAnsi="Century Gothic"/>
          <w:sz w:val="24"/>
          <w:szCs w:val="24"/>
        </w:rPr>
        <w:t>, vol. 30, no. 2, pp. 219–230, 2004.</w:t>
      </w:r>
      <w:r w:rsidRPr="00891B21">
        <w:rPr>
          <w:rFonts w:ascii="Century Gothic" w:hAnsi="Century Gothic"/>
          <w:sz w:val="24"/>
          <w:szCs w:val="24"/>
        </w:rPr>
        <w:br/>
        <w:t xml:space="preserve">[2] P. McKendry, “Energy production from biomass (Part 1): Overview of biomass,” </w:t>
      </w:r>
      <w:r w:rsidRPr="00891B21">
        <w:rPr>
          <w:rFonts w:ascii="Century Gothic" w:hAnsi="Century Gothic"/>
          <w:i/>
          <w:iCs/>
          <w:sz w:val="24"/>
          <w:szCs w:val="24"/>
        </w:rPr>
        <w:t>Bioresource Technology</w:t>
      </w:r>
      <w:r w:rsidRPr="00891B21">
        <w:rPr>
          <w:rFonts w:ascii="Century Gothic" w:hAnsi="Century Gothic"/>
          <w:sz w:val="24"/>
          <w:szCs w:val="24"/>
        </w:rPr>
        <w:t>, vol. 83, no. 1, pp. 37–46, 2002.</w:t>
      </w:r>
      <w:r w:rsidRPr="00891B21">
        <w:rPr>
          <w:rFonts w:ascii="Century Gothic" w:hAnsi="Century Gothic"/>
          <w:sz w:val="24"/>
          <w:szCs w:val="24"/>
        </w:rPr>
        <w:br/>
        <w:t xml:space="preserve">[3] D. L. Klass, </w:t>
      </w:r>
      <w:r w:rsidRPr="00891B21">
        <w:rPr>
          <w:rFonts w:ascii="Century Gothic" w:hAnsi="Century Gothic"/>
          <w:i/>
          <w:iCs/>
          <w:sz w:val="24"/>
          <w:szCs w:val="24"/>
        </w:rPr>
        <w:t>Biomass for Renewable Energy, Fuels, and Chemicals</w:t>
      </w:r>
      <w:r w:rsidRPr="00891B21">
        <w:rPr>
          <w:rFonts w:ascii="Century Gothic" w:hAnsi="Century Gothic"/>
          <w:sz w:val="24"/>
          <w:szCs w:val="24"/>
        </w:rPr>
        <w:t>, Academic Press, 1998.</w:t>
      </w:r>
      <w:r w:rsidRPr="00891B21">
        <w:rPr>
          <w:rFonts w:ascii="Century Gothic" w:hAnsi="Century Gothic"/>
          <w:sz w:val="24"/>
          <w:szCs w:val="24"/>
        </w:rPr>
        <w:br/>
        <w:t xml:space="preserve">[4] B. M. Jenkins, L. L. Baxter, T. R. Miles Jr., “Combustion properties of biomass,” </w:t>
      </w:r>
      <w:r w:rsidRPr="00891B21">
        <w:rPr>
          <w:rFonts w:ascii="Century Gothic" w:hAnsi="Century Gothic"/>
          <w:i/>
          <w:iCs/>
          <w:sz w:val="24"/>
          <w:szCs w:val="24"/>
        </w:rPr>
        <w:t>Fuel Processing Technology</w:t>
      </w:r>
      <w:r w:rsidRPr="00891B21">
        <w:rPr>
          <w:rFonts w:ascii="Century Gothic" w:hAnsi="Century Gothic"/>
          <w:sz w:val="24"/>
          <w:szCs w:val="24"/>
        </w:rPr>
        <w:t>, vol. 54, no. 1–3, pp. 17–46, 1998.</w:t>
      </w:r>
      <w:r w:rsidRPr="00891B21">
        <w:rPr>
          <w:rFonts w:ascii="Century Gothic" w:hAnsi="Century Gothic"/>
          <w:sz w:val="24"/>
          <w:szCs w:val="24"/>
        </w:rPr>
        <w:br/>
        <w:t xml:space="preserve">[5] P. Basu, </w:t>
      </w:r>
      <w:r w:rsidRPr="00891B21">
        <w:rPr>
          <w:rFonts w:ascii="Century Gothic" w:hAnsi="Century Gothic"/>
          <w:i/>
          <w:iCs/>
          <w:sz w:val="24"/>
          <w:szCs w:val="24"/>
        </w:rPr>
        <w:t>Biomass Gasification and Pyrolysis: Practical Design and Theory</w:t>
      </w:r>
      <w:r w:rsidRPr="00891B21">
        <w:rPr>
          <w:rFonts w:ascii="Century Gothic" w:hAnsi="Century Gothic"/>
          <w:sz w:val="24"/>
          <w:szCs w:val="24"/>
        </w:rPr>
        <w:t>, Academic Press, 2010.</w:t>
      </w:r>
      <w:r w:rsidRPr="00891B21">
        <w:rPr>
          <w:rFonts w:ascii="Century Gothic" w:hAnsi="Century Gothic"/>
          <w:sz w:val="24"/>
          <w:szCs w:val="24"/>
        </w:rPr>
        <w:br/>
        <w:t xml:space="preserve">[6] S. V. Vassilev et al., “An overview of the chemical composition of biomass,” </w:t>
      </w:r>
      <w:r w:rsidRPr="00891B21">
        <w:rPr>
          <w:rFonts w:ascii="Century Gothic" w:hAnsi="Century Gothic"/>
          <w:i/>
          <w:iCs/>
          <w:sz w:val="24"/>
          <w:szCs w:val="24"/>
        </w:rPr>
        <w:t>Fuel</w:t>
      </w:r>
      <w:r w:rsidRPr="00891B21">
        <w:rPr>
          <w:rFonts w:ascii="Century Gothic" w:hAnsi="Century Gothic"/>
          <w:sz w:val="24"/>
          <w:szCs w:val="24"/>
        </w:rPr>
        <w:t>, vol. 89, no. 5, pp. 913–933, 2010.</w:t>
      </w:r>
      <w:r w:rsidRPr="00891B21">
        <w:rPr>
          <w:rFonts w:ascii="Century Gothic" w:hAnsi="Century Gothic"/>
          <w:sz w:val="24"/>
          <w:szCs w:val="24"/>
        </w:rPr>
        <w:br/>
        <w:t xml:space="preserve">[7] R. Saidur et al., “A review on biomass as a fuel for boilers,” </w:t>
      </w:r>
      <w:r w:rsidRPr="00891B21">
        <w:rPr>
          <w:rFonts w:ascii="Century Gothic" w:hAnsi="Century Gothic"/>
          <w:i/>
          <w:iCs/>
          <w:sz w:val="24"/>
          <w:szCs w:val="24"/>
        </w:rPr>
        <w:t>Renewable and Sustainable Energy Reviews</w:t>
      </w:r>
      <w:r w:rsidRPr="00891B21">
        <w:rPr>
          <w:rFonts w:ascii="Century Gothic" w:hAnsi="Century Gothic"/>
          <w:sz w:val="24"/>
          <w:szCs w:val="24"/>
        </w:rPr>
        <w:t>, vol. 15, no. 5, pp. 2262–2289, 2011.</w:t>
      </w:r>
      <w:r w:rsidRPr="00891B21">
        <w:rPr>
          <w:rFonts w:ascii="Century Gothic" w:hAnsi="Century Gothic"/>
          <w:sz w:val="24"/>
          <w:szCs w:val="24"/>
        </w:rPr>
        <w:br/>
        <w:t xml:space="preserve">[8] C. K. W. Ndiema et al., “Influence of agricultural waste on the calorific value of biomass briquettes,” </w:t>
      </w:r>
      <w:r w:rsidRPr="00891B21">
        <w:rPr>
          <w:rFonts w:ascii="Century Gothic" w:hAnsi="Century Gothic"/>
          <w:i/>
          <w:iCs/>
          <w:sz w:val="24"/>
          <w:szCs w:val="24"/>
        </w:rPr>
        <w:t>Energy Conversion and Management</w:t>
      </w:r>
      <w:r w:rsidRPr="00891B21">
        <w:rPr>
          <w:rFonts w:ascii="Century Gothic" w:hAnsi="Century Gothic"/>
          <w:sz w:val="24"/>
          <w:szCs w:val="24"/>
        </w:rPr>
        <w:t>, vol. 43, no. 15, pp. 2061–2069, 2002.</w:t>
      </w:r>
      <w:r w:rsidRPr="00891B21">
        <w:rPr>
          <w:rFonts w:ascii="Century Gothic" w:hAnsi="Century Gothic"/>
          <w:sz w:val="24"/>
          <w:szCs w:val="24"/>
        </w:rPr>
        <w:br/>
      </w:r>
      <w:r w:rsidRPr="00891B21">
        <w:rPr>
          <w:rFonts w:ascii="Century Gothic" w:hAnsi="Century Gothic"/>
          <w:sz w:val="24"/>
          <w:szCs w:val="24"/>
        </w:rPr>
        <w:lastRenderedPageBreak/>
        <w:t xml:space="preserve">[9] A. P. C. Faaij, “Bio-energy in Europe: Changing technology choices,” </w:t>
      </w:r>
      <w:r w:rsidRPr="00891B21">
        <w:rPr>
          <w:rFonts w:ascii="Century Gothic" w:hAnsi="Century Gothic"/>
          <w:i/>
          <w:iCs/>
          <w:sz w:val="24"/>
          <w:szCs w:val="24"/>
        </w:rPr>
        <w:t>Energy Policy</w:t>
      </w:r>
      <w:r w:rsidRPr="00891B21">
        <w:rPr>
          <w:rFonts w:ascii="Century Gothic" w:hAnsi="Century Gothic"/>
          <w:sz w:val="24"/>
          <w:szCs w:val="24"/>
        </w:rPr>
        <w:t>, vol. 34, no. 3, pp. 322–342, 2006.</w:t>
      </w:r>
      <w:r w:rsidRPr="00891B21">
        <w:rPr>
          <w:rFonts w:ascii="Century Gothic" w:hAnsi="Century Gothic"/>
          <w:sz w:val="24"/>
          <w:szCs w:val="24"/>
        </w:rPr>
        <w:br/>
        <w:t xml:space="preserve">[10] J. Werther et al., “Combustion of agricultural residues,” </w:t>
      </w:r>
      <w:r w:rsidRPr="00891B21">
        <w:rPr>
          <w:rFonts w:ascii="Century Gothic" w:hAnsi="Century Gothic"/>
          <w:i/>
          <w:iCs/>
          <w:sz w:val="24"/>
          <w:szCs w:val="24"/>
        </w:rPr>
        <w:t>Progress in Energy and Combustion Science</w:t>
      </w:r>
      <w:r w:rsidRPr="00891B21">
        <w:rPr>
          <w:rFonts w:ascii="Century Gothic" w:hAnsi="Century Gothic"/>
          <w:sz w:val="24"/>
          <w:szCs w:val="24"/>
        </w:rPr>
        <w:t>, vol. 26, no. 1, pp. 1–27, 2000.</w:t>
      </w:r>
      <w:r w:rsidRPr="00891B21">
        <w:rPr>
          <w:rFonts w:ascii="Century Gothic" w:hAnsi="Century Gothic"/>
          <w:sz w:val="24"/>
          <w:szCs w:val="24"/>
        </w:rPr>
        <w:br/>
        <w:t xml:space="preserve">[11] Y. H. Chan and J. S. Lim, “Biomass utilization for power generation in palm oil mills,” </w:t>
      </w:r>
      <w:r w:rsidRPr="00891B21">
        <w:rPr>
          <w:rFonts w:ascii="Century Gothic" w:hAnsi="Century Gothic"/>
          <w:i/>
          <w:iCs/>
          <w:sz w:val="24"/>
          <w:szCs w:val="24"/>
        </w:rPr>
        <w:t>Applied Energy</w:t>
      </w:r>
      <w:r w:rsidRPr="00891B21">
        <w:rPr>
          <w:rFonts w:ascii="Century Gothic" w:hAnsi="Century Gothic"/>
          <w:sz w:val="24"/>
          <w:szCs w:val="24"/>
        </w:rPr>
        <w:t>, vol. 90, no. 1, pp. 50–56, 2012.</w:t>
      </w:r>
      <w:r w:rsidRPr="00891B21">
        <w:rPr>
          <w:rFonts w:ascii="Century Gothic" w:hAnsi="Century Gothic"/>
          <w:sz w:val="24"/>
          <w:szCs w:val="24"/>
        </w:rPr>
        <w:br/>
        <w:t xml:space="preserve">[12] F. Sulaiman et al., “Malaysian energy and oil palm industry wastes,” </w:t>
      </w:r>
      <w:r w:rsidRPr="00891B21">
        <w:rPr>
          <w:rFonts w:ascii="Century Gothic" w:hAnsi="Century Gothic"/>
          <w:i/>
          <w:iCs/>
          <w:sz w:val="24"/>
          <w:szCs w:val="24"/>
        </w:rPr>
        <w:t>Biomass and Bioenergy</w:t>
      </w:r>
      <w:r w:rsidRPr="00891B21">
        <w:rPr>
          <w:rFonts w:ascii="Century Gothic" w:hAnsi="Century Gothic"/>
          <w:sz w:val="24"/>
          <w:szCs w:val="24"/>
        </w:rPr>
        <w:t>, vol. 35, no. 9, pp. 3775–3786, 2011.</w:t>
      </w:r>
      <w:r w:rsidRPr="00891B21">
        <w:rPr>
          <w:rFonts w:ascii="Century Gothic" w:hAnsi="Century Gothic"/>
          <w:sz w:val="24"/>
          <w:szCs w:val="24"/>
        </w:rPr>
        <w:br/>
        <w:t xml:space="preserve">[13] L. J. R. Nunes et al., “Biomass combustion systems: A review,” </w:t>
      </w:r>
      <w:r w:rsidRPr="00891B21">
        <w:rPr>
          <w:rFonts w:ascii="Century Gothic" w:hAnsi="Century Gothic"/>
          <w:i/>
          <w:iCs/>
          <w:sz w:val="24"/>
          <w:szCs w:val="24"/>
        </w:rPr>
        <w:t>Renewable and Sustainable Energy Reviews</w:t>
      </w:r>
      <w:r w:rsidRPr="00891B21">
        <w:rPr>
          <w:rFonts w:ascii="Century Gothic" w:hAnsi="Century Gothic"/>
          <w:sz w:val="24"/>
          <w:szCs w:val="24"/>
        </w:rPr>
        <w:t>, vol. 57, pp. 529–536, 2016.</w:t>
      </w:r>
      <w:r w:rsidRPr="00891B21">
        <w:rPr>
          <w:rFonts w:ascii="Century Gothic" w:hAnsi="Century Gothic"/>
          <w:sz w:val="24"/>
          <w:szCs w:val="24"/>
        </w:rPr>
        <w:br/>
        <w:t xml:space="preserve">[14] FAO, </w:t>
      </w:r>
      <w:r w:rsidRPr="00891B21">
        <w:rPr>
          <w:rFonts w:ascii="Century Gothic" w:hAnsi="Century Gothic"/>
          <w:i/>
          <w:iCs/>
          <w:sz w:val="24"/>
          <w:szCs w:val="24"/>
        </w:rPr>
        <w:t>The Future of Food and Agriculture – Trends and Challenges</w:t>
      </w:r>
      <w:r w:rsidRPr="00891B21">
        <w:rPr>
          <w:rFonts w:ascii="Century Gothic" w:hAnsi="Century Gothic"/>
          <w:sz w:val="24"/>
          <w:szCs w:val="24"/>
        </w:rPr>
        <w:t>, Rome, 2017.</w:t>
      </w:r>
      <w:r w:rsidRPr="00891B21">
        <w:rPr>
          <w:rFonts w:ascii="Century Gothic" w:hAnsi="Century Gothic"/>
          <w:sz w:val="24"/>
          <w:szCs w:val="24"/>
        </w:rPr>
        <w:br/>
      </w:r>
      <w:r w:rsidRPr="003D1CA8">
        <w:rPr>
          <w:rFonts w:ascii="Century Gothic" w:hAnsi="Century Gothic"/>
          <w:sz w:val="24"/>
          <w:szCs w:val="24"/>
          <w:lang w:val="fr-FR"/>
        </w:rPr>
        <w:t xml:space="preserve">[15] IRENA, </w:t>
      </w:r>
      <w:r w:rsidRPr="003D1CA8">
        <w:rPr>
          <w:rFonts w:ascii="Century Gothic" w:hAnsi="Century Gothic"/>
          <w:i/>
          <w:iCs/>
          <w:sz w:val="24"/>
          <w:szCs w:val="24"/>
          <w:lang w:val="fr-FR"/>
        </w:rPr>
        <w:t>Renewable Energy Prospects for Africa</w:t>
      </w:r>
      <w:r w:rsidRPr="003D1CA8">
        <w:rPr>
          <w:rFonts w:ascii="Century Gothic" w:hAnsi="Century Gothic"/>
          <w:sz w:val="24"/>
          <w:szCs w:val="24"/>
          <w:lang w:val="fr-FR"/>
        </w:rPr>
        <w:t>, Abu Dhabi, 2020.</w:t>
      </w:r>
    </w:p>
    <w:p w14:paraId="54214E0D" w14:textId="5BAB8E1F" w:rsidR="00891B21" w:rsidRPr="003D1CA8" w:rsidRDefault="00891B21" w:rsidP="00891B21">
      <w:pPr>
        <w:rPr>
          <w:rFonts w:ascii="Century Gothic" w:hAnsi="Century Gothic"/>
          <w:sz w:val="24"/>
          <w:szCs w:val="24"/>
          <w:lang w:val="fr-FR"/>
        </w:rPr>
      </w:pPr>
    </w:p>
    <w:p w14:paraId="6D6CEBA3" w14:textId="77777777" w:rsidR="00397F61" w:rsidRPr="00891B21" w:rsidRDefault="00397F61" w:rsidP="00891B21">
      <w:pPr>
        <w:rPr>
          <w:lang w:val="fr-FR"/>
        </w:rPr>
      </w:pPr>
    </w:p>
    <w:sectPr w:rsidR="00397F61" w:rsidRPr="00891B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9820E" w14:textId="77777777" w:rsidR="00261E3D" w:rsidRDefault="00261E3D" w:rsidP="00CE503F">
      <w:pPr>
        <w:spacing w:after="0" w:line="240" w:lineRule="auto"/>
      </w:pPr>
      <w:r>
        <w:separator/>
      </w:r>
    </w:p>
  </w:endnote>
  <w:endnote w:type="continuationSeparator" w:id="0">
    <w:p w14:paraId="2A8DAF1D" w14:textId="77777777" w:rsidR="00261E3D" w:rsidRDefault="00261E3D" w:rsidP="00CE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46A0" w14:textId="77777777" w:rsidR="00176E49" w:rsidRDefault="00176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14351"/>
      <w:docPartObj>
        <w:docPartGallery w:val="Page Numbers (Bottom of Page)"/>
        <w:docPartUnique/>
      </w:docPartObj>
    </w:sdtPr>
    <w:sdtEndPr/>
    <w:sdtContent>
      <w:p w14:paraId="0769A636" w14:textId="3DD41533" w:rsidR="00CE503F" w:rsidRDefault="00CE503F">
        <w:pPr>
          <w:pStyle w:val="Footer"/>
          <w:jc w:val="center"/>
        </w:pPr>
        <w:r>
          <w:fldChar w:fldCharType="begin"/>
        </w:r>
        <w:r>
          <w:instrText>PAGE   \* MERGEFORMAT</w:instrText>
        </w:r>
        <w:r>
          <w:fldChar w:fldCharType="separate"/>
        </w:r>
        <w:r>
          <w:rPr>
            <w:lang w:val="fr-FR"/>
          </w:rPr>
          <w:t>2</w:t>
        </w:r>
        <w:r>
          <w:fldChar w:fldCharType="end"/>
        </w:r>
      </w:p>
    </w:sdtContent>
  </w:sdt>
  <w:p w14:paraId="54CCFC18" w14:textId="77777777" w:rsidR="00CE503F" w:rsidRDefault="00CE5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8B3C" w14:textId="77777777" w:rsidR="00176E49" w:rsidRDefault="0017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4B53" w14:textId="77777777" w:rsidR="00261E3D" w:rsidRDefault="00261E3D" w:rsidP="00CE503F">
      <w:pPr>
        <w:spacing w:after="0" w:line="240" w:lineRule="auto"/>
      </w:pPr>
      <w:r>
        <w:separator/>
      </w:r>
    </w:p>
  </w:footnote>
  <w:footnote w:type="continuationSeparator" w:id="0">
    <w:p w14:paraId="6C1199C7" w14:textId="77777777" w:rsidR="00261E3D" w:rsidRDefault="00261E3D" w:rsidP="00CE5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A713" w14:textId="49734C3C" w:rsidR="00176E49" w:rsidRDefault="00176E49">
    <w:pPr>
      <w:pStyle w:val="Header"/>
    </w:pPr>
    <w:r>
      <w:rPr>
        <w:noProof/>
      </w:rPr>
      <w:pict w14:anchorId="472DF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AD3B" w14:textId="3D58FE28" w:rsidR="00176E49" w:rsidRDefault="00176E49">
    <w:pPr>
      <w:pStyle w:val="Header"/>
    </w:pPr>
    <w:r>
      <w:rPr>
        <w:noProof/>
      </w:rPr>
      <w:pict w14:anchorId="6EC2A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FF64" w14:textId="1E78F599" w:rsidR="00176E49" w:rsidRDefault="00176E49">
    <w:pPr>
      <w:pStyle w:val="Header"/>
    </w:pPr>
    <w:r>
      <w:rPr>
        <w:noProof/>
      </w:rPr>
      <w:pict w14:anchorId="3930C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35C"/>
    <w:multiLevelType w:val="multilevel"/>
    <w:tmpl w:val="3B4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F6076"/>
    <w:multiLevelType w:val="multilevel"/>
    <w:tmpl w:val="B7A2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761A2"/>
    <w:multiLevelType w:val="multilevel"/>
    <w:tmpl w:val="9C0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91229"/>
    <w:multiLevelType w:val="multilevel"/>
    <w:tmpl w:val="A62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E7CB1"/>
    <w:multiLevelType w:val="multilevel"/>
    <w:tmpl w:val="AFEC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503F3"/>
    <w:multiLevelType w:val="multilevel"/>
    <w:tmpl w:val="615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97933"/>
    <w:multiLevelType w:val="multilevel"/>
    <w:tmpl w:val="CCF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96B80"/>
    <w:multiLevelType w:val="multilevel"/>
    <w:tmpl w:val="CD5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A40BE"/>
    <w:multiLevelType w:val="multilevel"/>
    <w:tmpl w:val="0D9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2421A"/>
    <w:multiLevelType w:val="multilevel"/>
    <w:tmpl w:val="29A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A7952"/>
    <w:multiLevelType w:val="multilevel"/>
    <w:tmpl w:val="1C3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11ABE"/>
    <w:multiLevelType w:val="multilevel"/>
    <w:tmpl w:val="5F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C4E50"/>
    <w:multiLevelType w:val="multilevel"/>
    <w:tmpl w:val="41C2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835F2"/>
    <w:multiLevelType w:val="multilevel"/>
    <w:tmpl w:val="95D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F4BB4"/>
    <w:multiLevelType w:val="multilevel"/>
    <w:tmpl w:val="E0A4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432E21"/>
    <w:multiLevelType w:val="multilevel"/>
    <w:tmpl w:val="AB1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22CC5"/>
    <w:multiLevelType w:val="multilevel"/>
    <w:tmpl w:val="81D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353FA"/>
    <w:multiLevelType w:val="multilevel"/>
    <w:tmpl w:val="E264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60E28"/>
    <w:multiLevelType w:val="multilevel"/>
    <w:tmpl w:val="7BBE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50AC4"/>
    <w:multiLevelType w:val="multilevel"/>
    <w:tmpl w:val="807A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305EDB"/>
    <w:multiLevelType w:val="multilevel"/>
    <w:tmpl w:val="905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E49FC"/>
    <w:multiLevelType w:val="multilevel"/>
    <w:tmpl w:val="004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D4D6B"/>
    <w:multiLevelType w:val="multilevel"/>
    <w:tmpl w:val="95D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5"/>
  </w:num>
  <w:num w:numId="4">
    <w:abstractNumId w:val="15"/>
  </w:num>
  <w:num w:numId="5">
    <w:abstractNumId w:val="20"/>
  </w:num>
  <w:num w:numId="6">
    <w:abstractNumId w:val="9"/>
  </w:num>
  <w:num w:numId="7">
    <w:abstractNumId w:val="21"/>
  </w:num>
  <w:num w:numId="8">
    <w:abstractNumId w:val="22"/>
  </w:num>
  <w:num w:numId="9">
    <w:abstractNumId w:val="1"/>
  </w:num>
  <w:num w:numId="10">
    <w:abstractNumId w:val="12"/>
  </w:num>
  <w:num w:numId="11">
    <w:abstractNumId w:val="7"/>
  </w:num>
  <w:num w:numId="12">
    <w:abstractNumId w:val="19"/>
  </w:num>
  <w:num w:numId="13">
    <w:abstractNumId w:val="8"/>
  </w:num>
  <w:num w:numId="14">
    <w:abstractNumId w:val="0"/>
  </w:num>
  <w:num w:numId="15">
    <w:abstractNumId w:val="13"/>
  </w:num>
  <w:num w:numId="16">
    <w:abstractNumId w:val="2"/>
  </w:num>
  <w:num w:numId="17">
    <w:abstractNumId w:val="14"/>
  </w:num>
  <w:num w:numId="18">
    <w:abstractNumId w:val="3"/>
  </w:num>
  <w:num w:numId="19">
    <w:abstractNumId w:val="6"/>
  </w:num>
  <w:num w:numId="20">
    <w:abstractNumId w:val="16"/>
  </w:num>
  <w:num w:numId="21">
    <w:abstractNumId w:val="4"/>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8B"/>
    <w:rsid w:val="000033C4"/>
    <w:rsid w:val="00016CE9"/>
    <w:rsid w:val="00033662"/>
    <w:rsid w:val="00060804"/>
    <w:rsid w:val="000B2924"/>
    <w:rsid w:val="000C490E"/>
    <w:rsid w:val="00176E49"/>
    <w:rsid w:val="00261E3D"/>
    <w:rsid w:val="00397F61"/>
    <w:rsid w:val="003A5F78"/>
    <w:rsid w:val="003A7BE7"/>
    <w:rsid w:val="003D1CA8"/>
    <w:rsid w:val="00445FDE"/>
    <w:rsid w:val="00522A74"/>
    <w:rsid w:val="00532167"/>
    <w:rsid w:val="006B502B"/>
    <w:rsid w:val="007032C2"/>
    <w:rsid w:val="00704446"/>
    <w:rsid w:val="00726E48"/>
    <w:rsid w:val="00785690"/>
    <w:rsid w:val="007877C0"/>
    <w:rsid w:val="00804124"/>
    <w:rsid w:val="00814C61"/>
    <w:rsid w:val="008226E5"/>
    <w:rsid w:val="008460D2"/>
    <w:rsid w:val="0087332B"/>
    <w:rsid w:val="00891B21"/>
    <w:rsid w:val="00927A8D"/>
    <w:rsid w:val="00961EF5"/>
    <w:rsid w:val="009753EF"/>
    <w:rsid w:val="00A768CB"/>
    <w:rsid w:val="00AB4AF4"/>
    <w:rsid w:val="00B2215F"/>
    <w:rsid w:val="00CD2B67"/>
    <w:rsid w:val="00CD33CF"/>
    <w:rsid w:val="00CE503F"/>
    <w:rsid w:val="00D4555C"/>
    <w:rsid w:val="00DE6457"/>
    <w:rsid w:val="00E62C1F"/>
    <w:rsid w:val="00E6568B"/>
    <w:rsid w:val="00F73306"/>
    <w:rsid w:val="00FF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6C534"/>
  <w15:chartTrackingRefBased/>
  <w15:docId w15:val="{04D3EE7C-CED6-4F17-9E44-078281A2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5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5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8B"/>
    <w:rPr>
      <w:rFonts w:eastAsiaTheme="majorEastAsia" w:cstheme="majorBidi"/>
      <w:color w:val="272727" w:themeColor="text1" w:themeTint="D8"/>
    </w:rPr>
  </w:style>
  <w:style w:type="paragraph" w:styleId="Title">
    <w:name w:val="Title"/>
    <w:basedOn w:val="Normal"/>
    <w:next w:val="Normal"/>
    <w:link w:val="TitleChar"/>
    <w:uiPriority w:val="10"/>
    <w:qFormat/>
    <w:rsid w:val="00E6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8B"/>
    <w:pPr>
      <w:spacing w:before="160"/>
      <w:jc w:val="center"/>
    </w:pPr>
    <w:rPr>
      <w:i/>
      <w:iCs/>
      <w:color w:val="404040" w:themeColor="text1" w:themeTint="BF"/>
    </w:rPr>
  </w:style>
  <w:style w:type="character" w:customStyle="1" w:styleId="QuoteChar">
    <w:name w:val="Quote Char"/>
    <w:basedOn w:val="DefaultParagraphFont"/>
    <w:link w:val="Quote"/>
    <w:uiPriority w:val="29"/>
    <w:rsid w:val="00E6568B"/>
    <w:rPr>
      <w:i/>
      <w:iCs/>
      <w:color w:val="404040" w:themeColor="text1" w:themeTint="BF"/>
    </w:rPr>
  </w:style>
  <w:style w:type="paragraph" w:styleId="ListParagraph">
    <w:name w:val="List Paragraph"/>
    <w:basedOn w:val="Normal"/>
    <w:uiPriority w:val="34"/>
    <w:qFormat/>
    <w:rsid w:val="00E6568B"/>
    <w:pPr>
      <w:ind w:left="720"/>
      <w:contextualSpacing/>
    </w:pPr>
  </w:style>
  <w:style w:type="character" w:styleId="IntenseEmphasis">
    <w:name w:val="Intense Emphasis"/>
    <w:basedOn w:val="DefaultParagraphFont"/>
    <w:uiPriority w:val="21"/>
    <w:qFormat/>
    <w:rsid w:val="00E6568B"/>
    <w:rPr>
      <w:i/>
      <w:iCs/>
      <w:color w:val="2F5496" w:themeColor="accent1" w:themeShade="BF"/>
    </w:rPr>
  </w:style>
  <w:style w:type="paragraph" w:styleId="IntenseQuote">
    <w:name w:val="Intense Quote"/>
    <w:basedOn w:val="Normal"/>
    <w:next w:val="Normal"/>
    <w:link w:val="IntenseQuoteChar"/>
    <w:uiPriority w:val="30"/>
    <w:qFormat/>
    <w:rsid w:val="00E6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68B"/>
    <w:rPr>
      <w:i/>
      <w:iCs/>
      <w:color w:val="2F5496" w:themeColor="accent1" w:themeShade="BF"/>
    </w:rPr>
  </w:style>
  <w:style w:type="character" w:styleId="IntenseReference">
    <w:name w:val="Intense Reference"/>
    <w:basedOn w:val="DefaultParagraphFont"/>
    <w:uiPriority w:val="32"/>
    <w:qFormat/>
    <w:rsid w:val="00E6568B"/>
    <w:rPr>
      <w:b/>
      <w:bCs/>
      <w:smallCaps/>
      <w:color w:val="2F5496" w:themeColor="accent1" w:themeShade="BF"/>
      <w:spacing w:val="5"/>
    </w:rPr>
  </w:style>
  <w:style w:type="table" w:styleId="TableGrid">
    <w:name w:val="Table Grid"/>
    <w:basedOn w:val="TableNormal"/>
    <w:uiPriority w:val="39"/>
    <w:rsid w:val="00E6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0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503F"/>
  </w:style>
  <w:style w:type="paragraph" w:styleId="Footer">
    <w:name w:val="footer"/>
    <w:basedOn w:val="Normal"/>
    <w:link w:val="FooterChar"/>
    <w:uiPriority w:val="99"/>
    <w:unhideWhenUsed/>
    <w:rsid w:val="00CE50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503F"/>
  </w:style>
  <w:style w:type="character" w:styleId="Hyperlink">
    <w:name w:val="Hyperlink"/>
    <w:basedOn w:val="DefaultParagraphFont"/>
    <w:uiPriority w:val="99"/>
    <w:unhideWhenUsed/>
    <w:rsid w:val="003A7BE7"/>
    <w:rPr>
      <w:color w:val="0563C1" w:themeColor="hyperlink"/>
      <w:u w:val="single"/>
    </w:rPr>
  </w:style>
  <w:style w:type="character" w:styleId="UnresolvedMention">
    <w:name w:val="Unresolved Mention"/>
    <w:basedOn w:val="DefaultParagraphFont"/>
    <w:uiPriority w:val="99"/>
    <w:semiHidden/>
    <w:unhideWhenUsed/>
    <w:rsid w:val="003A7BE7"/>
    <w:rPr>
      <w:color w:val="605E5C"/>
      <w:shd w:val="clear" w:color="auto" w:fill="E1DFDD"/>
    </w:rPr>
  </w:style>
  <w:style w:type="table" w:styleId="TableGridLight">
    <w:name w:val="Grid Table Light"/>
    <w:basedOn w:val="TableNormal"/>
    <w:uiPriority w:val="40"/>
    <w:rsid w:val="00E62C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3055</Words>
  <Characters>17414</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SDI 1084</cp:lastModifiedBy>
  <cp:revision>4</cp:revision>
  <dcterms:created xsi:type="dcterms:W3CDTF">2026-01-11T20:43:00Z</dcterms:created>
  <dcterms:modified xsi:type="dcterms:W3CDTF">2026-01-12T10:05:00Z</dcterms:modified>
</cp:coreProperties>
</file>