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243C9" w14:textId="2AF2420B" w:rsidR="00754C9A" w:rsidRDefault="00FD2500" w:rsidP="00441B6F">
      <w:pPr>
        <w:pStyle w:val="Title"/>
        <w:spacing w:after="0"/>
        <w:jc w:val="both"/>
        <w:rPr>
          <w:rFonts w:ascii="Arial" w:hAnsi="Arial" w:cs="Arial"/>
        </w:rPr>
      </w:pPr>
      <w:r w:rsidRPr="00FD2500">
        <w:rPr>
          <w:rFonts w:ascii="Arial" w:hAnsi="Arial" w:cs="Arial"/>
        </w:rPr>
        <w:t>Original Research Article</w:t>
      </w:r>
    </w:p>
    <w:p w14:paraId="1D1688BA" w14:textId="77777777" w:rsidR="00FD2500" w:rsidRDefault="00FD2500" w:rsidP="00441B6F">
      <w:pPr>
        <w:pStyle w:val="Title"/>
        <w:spacing w:after="0"/>
        <w:jc w:val="both"/>
        <w:rPr>
          <w:rFonts w:ascii="Arial" w:hAnsi="Arial" w:cs="Arial"/>
        </w:rPr>
      </w:pPr>
    </w:p>
    <w:p w14:paraId="432F1664" w14:textId="77777777" w:rsidR="0067784A" w:rsidRPr="0067784A" w:rsidRDefault="0067784A" w:rsidP="0067784A">
      <w:pPr>
        <w:pStyle w:val="Author"/>
        <w:spacing w:line="240" w:lineRule="auto"/>
        <w:rPr>
          <w:rFonts w:ascii="Arial" w:hAnsi="Arial" w:cs="Arial"/>
          <w:bCs/>
          <w:iCs/>
          <w:kern w:val="28"/>
          <w:sz w:val="36"/>
          <w:lang w:val="fr-FR"/>
        </w:rPr>
      </w:pPr>
      <w:r w:rsidRPr="0067784A">
        <w:rPr>
          <w:rFonts w:ascii="Arial" w:hAnsi="Arial" w:cs="Arial"/>
          <w:bCs/>
          <w:iCs/>
          <w:kern w:val="28"/>
          <w:sz w:val="36"/>
          <w:lang w:val="fr-FR"/>
        </w:rPr>
        <w:t xml:space="preserve">Impact of environmental toxicity on systemic inflammation and the progression of bacterial and fungal infections in </w:t>
      </w:r>
      <w:proofErr w:type="gramStart"/>
      <w:r w:rsidRPr="0067784A">
        <w:rPr>
          <w:rFonts w:ascii="Arial" w:hAnsi="Arial" w:cs="Arial"/>
          <w:bCs/>
          <w:iCs/>
          <w:kern w:val="28"/>
          <w:sz w:val="36"/>
          <w:lang w:val="fr-FR"/>
        </w:rPr>
        <w:t>a</w:t>
      </w:r>
      <w:proofErr w:type="gramEnd"/>
      <w:r w:rsidRPr="0067784A">
        <w:rPr>
          <w:rFonts w:ascii="Arial" w:hAnsi="Arial" w:cs="Arial"/>
          <w:bCs/>
          <w:iCs/>
          <w:kern w:val="28"/>
          <w:sz w:val="36"/>
          <w:lang w:val="fr-FR"/>
        </w:rPr>
        <w:t xml:space="preserve"> mouse model</w:t>
      </w:r>
    </w:p>
    <w:p w14:paraId="007ABFCB" w14:textId="77777777" w:rsidR="00A258C3" w:rsidRPr="00790ADA" w:rsidRDefault="00A258C3" w:rsidP="00441B6F">
      <w:pPr>
        <w:pStyle w:val="Author"/>
        <w:spacing w:line="240" w:lineRule="auto"/>
        <w:jc w:val="both"/>
        <w:rPr>
          <w:rFonts w:ascii="Arial" w:hAnsi="Arial" w:cs="Arial"/>
          <w:sz w:val="36"/>
        </w:rPr>
      </w:pPr>
    </w:p>
    <w:p w14:paraId="6F6DE447" w14:textId="2495513D" w:rsidR="00151652" w:rsidRDefault="00151652" w:rsidP="00AD2CCB">
      <w:pPr>
        <w:pStyle w:val="Affiliation"/>
        <w:spacing w:after="0"/>
        <w:rPr>
          <w:rFonts w:ascii="Arial" w:hAnsi="Arial" w:cs="Arial"/>
          <w:i/>
          <w:vertAlign w:val="superscript"/>
          <w:lang w:val="fr-FR"/>
        </w:rPr>
      </w:pPr>
    </w:p>
    <w:p w14:paraId="0F5A5606" w14:textId="77777777" w:rsidR="008C744E" w:rsidRPr="004E3B30" w:rsidRDefault="008C744E" w:rsidP="00AD2CCB">
      <w:pPr>
        <w:pStyle w:val="Affiliation"/>
        <w:spacing w:after="0"/>
        <w:rPr>
          <w:rFonts w:ascii="Arial" w:hAnsi="Arial" w:cs="Arial"/>
          <w:i/>
          <w:vertAlign w:val="superscript"/>
          <w:lang w:val="fr-FR"/>
        </w:rPr>
      </w:pPr>
    </w:p>
    <w:p w14:paraId="4F67DCBA" w14:textId="77777777" w:rsidR="00B01FCD" w:rsidRPr="00FB3A86" w:rsidRDefault="00C20194" w:rsidP="00441B6F">
      <w:pPr>
        <w:pStyle w:val="Copyright"/>
        <w:spacing w:after="0" w:line="240" w:lineRule="auto"/>
        <w:jc w:val="both"/>
        <w:rPr>
          <w:rFonts w:ascii="Arial" w:hAnsi="Arial" w:cs="Arial"/>
        </w:rPr>
        <w:sectPr w:rsidR="00B01FCD" w:rsidRPr="00FB3A86" w:rsidSect="00085F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21C4CAA" wp14:editId="62B5C868">
                <wp:extent cx="5303520" cy="635"/>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8FDC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E8BA78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ACCFAE" w14:textId="77777777" w:rsidTr="001E44FE">
        <w:tc>
          <w:tcPr>
            <w:tcW w:w="9576" w:type="dxa"/>
            <w:shd w:val="clear" w:color="auto" w:fill="F2F2F2"/>
          </w:tcPr>
          <w:p w14:paraId="2EA5FB32" w14:textId="77777777" w:rsidR="0067784A" w:rsidRDefault="00BA1B01" w:rsidP="00441B6F">
            <w:pPr>
              <w:pStyle w:val="Body"/>
              <w:spacing w:after="0"/>
              <w:rPr>
                <w:rFonts w:ascii="Arial" w:eastAsia="Calibri" w:hAnsi="Arial" w:cs="Arial"/>
                <w:szCs w:val="22"/>
                <w:lang w:val="fr-FR"/>
              </w:rPr>
            </w:pPr>
            <w:r w:rsidRPr="00BA1B01">
              <w:rPr>
                <w:rFonts w:ascii="Arial" w:eastAsia="Calibri" w:hAnsi="Arial" w:cs="Arial"/>
                <w:b/>
                <w:szCs w:val="22"/>
              </w:rPr>
              <w:t xml:space="preserve">Aims: </w:t>
            </w:r>
            <w:r w:rsidR="0067784A" w:rsidRPr="0067784A">
              <w:rPr>
                <w:rFonts w:ascii="Arial" w:eastAsia="Calibri" w:hAnsi="Arial" w:cs="Arial"/>
                <w:szCs w:val="22"/>
                <w:lang w:val="fr-FR"/>
              </w:rPr>
              <w:t>The intensification of human activities in recent years has led to persistent environmental pollution, marked by the accumulation of heavy metals and pesticides due to their widespread and excessive use, raising serious health concerns. At the same time, the resurgence of infectious diseases and the emergence of resistant strains are complicating therapeutic management.</w:t>
            </w:r>
          </w:p>
          <w:p w14:paraId="30A2864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3FA8">
              <w:rPr>
                <w:rFonts w:ascii="Arial" w:eastAsia="Calibri" w:hAnsi="Arial" w:cs="Arial"/>
                <w:szCs w:val="22"/>
              </w:rPr>
              <w:t>Experimental</w:t>
            </w:r>
            <w:r w:rsidR="006B21D3">
              <w:rPr>
                <w:rFonts w:ascii="Arial" w:eastAsia="Calibri" w:hAnsi="Arial" w:cs="Arial"/>
                <w:szCs w:val="22"/>
              </w:rPr>
              <w:t xml:space="preserve"> study</w:t>
            </w:r>
            <w:r w:rsidRPr="00BA1B01">
              <w:rPr>
                <w:rFonts w:ascii="Arial" w:eastAsia="Calibri" w:hAnsi="Arial" w:cs="Arial"/>
                <w:szCs w:val="22"/>
              </w:rPr>
              <w:t>.</w:t>
            </w:r>
          </w:p>
          <w:p w14:paraId="6605445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3FA8" w:rsidRPr="00DE3FA8">
              <w:rPr>
                <w:rFonts w:ascii="Arial" w:eastAsia="Calibri" w:hAnsi="Arial" w:cs="Arial"/>
                <w:szCs w:val="22"/>
                <w:lang w:val="fr-FR"/>
              </w:rPr>
              <w:t>Laboratory of Biotechnology and Valorization of Bioactive Natural Substances Laboratory of the National Center for Floristics (CNF) (Abidjan, Côte d’Ivoire)</w:t>
            </w:r>
            <w:r w:rsidR="00DE3FA8">
              <w:rPr>
                <w:rFonts w:ascii="Arial" w:eastAsia="Calibri" w:hAnsi="Arial" w:cs="Arial"/>
                <w:szCs w:val="22"/>
                <w:lang w:val="fr-FR"/>
              </w:rPr>
              <w:t>,</w:t>
            </w:r>
            <w:r w:rsidRPr="00BA1B01">
              <w:rPr>
                <w:rFonts w:ascii="Arial" w:eastAsia="Calibri" w:hAnsi="Arial" w:cs="Arial"/>
                <w:szCs w:val="22"/>
              </w:rPr>
              <w:t xml:space="preserve"> </w:t>
            </w:r>
            <w:r w:rsidR="0009354C" w:rsidRPr="0009354C">
              <w:rPr>
                <w:rFonts w:ascii="Arial" w:eastAsia="Calibri" w:hAnsi="Arial" w:cs="Arial"/>
                <w:szCs w:val="22"/>
              </w:rPr>
              <w:t>between July</w:t>
            </w:r>
            <w:r w:rsidR="0009354C">
              <w:rPr>
                <w:rFonts w:ascii="Arial" w:eastAsia="Calibri" w:hAnsi="Arial" w:cs="Arial"/>
                <w:szCs w:val="22"/>
              </w:rPr>
              <w:t xml:space="preserve"> 2023-december 2023.</w:t>
            </w:r>
          </w:p>
          <w:p w14:paraId="731B26C0" w14:textId="77777777" w:rsidR="0009354C" w:rsidRDefault="00BA1B01" w:rsidP="00BD1A5B">
            <w:pPr>
              <w:pStyle w:val="Body"/>
              <w:spacing w:after="0"/>
              <w:rPr>
                <w:rFonts w:ascii="Arial" w:eastAsia="Calibri" w:hAnsi="Arial" w:cs="Arial"/>
                <w:szCs w:val="22"/>
                <w:lang w:val="fr-FR"/>
              </w:rPr>
            </w:pPr>
            <w:r w:rsidRPr="00BA1B01">
              <w:rPr>
                <w:rFonts w:ascii="Arial" w:eastAsia="Calibri" w:hAnsi="Arial" w:cs="Arial"/>
                <w:b/>
                <w:bCs/>
                <w:szCs w:val="22"/>
              </w:rPr>
              <w:t>Methodology:</w:t>
            </w:r>
            <w:r w:rsidRPr="00BA1B01">
              <w:rPr>
                <w:rFonts w:ascii="Arial" w:eastAsia="Calibri" w:hAnsi="Arial" w:cs="Arial"/>
                <w:szCs w:val="22"/>
              </w:rPr>
              <w:t xml:space="preserve"> </w:t>
            </w:r>
            <w:r w:rsidR="00DE3FA8" w:rsidRPr="00DE3FA8">
              <w:rPr>
                <w:rFonts w:ascii="Arial" w:eastAsia="Calibri" w:hAnsi="Arial" w:cs="Arial"/>
                <w:szCs w:val="22"/>
                <w:lang w:val="fr-FR"/>
              </w:rPr>
              <w:t>To examine the correlations between exposure to pollutants, inflammatory response, and the worsening of microbial infections.</w:t>
            </w:r>
            <w:r w:rsidR="00DE3FA8">
              <w:rPr>
                <w:rFonts w:ascii="Arial" w:eastAsia="Calibri" w:hAnsi="Arial" w:cs="Arial"/>
                <w:szCs w:val="22"/>
                <w:lang w:val="fr-FR"/>
              </w:rPr>
              <w:t xml:space="preserve"> Thus, </w:t>
            </w:r>
            <w:r w:rsidR="00DE3FA8" w:rsidRPr="00DE3FA8">
              <w:rPr>
                <w:rFonts w:ascii="Arial" w:eastAsia="Calibri" w:hAnsi="Arial" w:cs="Arial"/>
                <w:szCs w:val="22"/>
                <w:lang w:val="fr-FR"/>
              </w:rPr>
              <w:t>Wistar rats were exposed to three common environmental pollutants, lead or glyphosate orally or mercury by inhalation, and then infected with Escherichia coli or Candida albicans.</w:t>
            </w:r>
          </w:p>
          <w:p w14:paraId="73AA8497" w14:textId="77777777" w:rsidR="0009354C" w:rsidRDefault="00BA1B01" w:rsidP="00BD1A5B">
            <w:pPr>
              <w:pStyle w:val="Body"/>
              <w:spacing w:after="0"/>
              <w:rPr>
                <w:rFonts w:ascii="Arial" w:eastAsia="Calibri" w:hAnsi="Arial" w:cs="Arial"/>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00DE3FA8" w:rsidRPr="00DE3FA8">
              <w:rPr>
                <w:rFonts w:ascii="Arial" w:eastAsia="Calibri" w:hAnsi="Arial" w:cs="Arial"/>
                <w:szCs w:val="22"/>
                <w:lang w:val="fr-FR"/>
              </w:rPr>
              <w:t xml:space="preserve">The results obtained show that co-exposure to pollutants and infectious agents significantly worsened the physiological condition of the rats, inducing leukocyte disorganization, persistent systemic inflammation, as well as variable immunosuppression responsible for increased susceptibility to infections. This alteration exhibited increasing severy depending on the toxin (mercury, lead, glyphosate). In contrast, in the absence of toxins, infections remained generally reversible, the maintenance of stable immune parameters. Furthermore, Escherichia coli isolates from rats exposed to lead or mercury showed resistance to fluoroquinolones and reduced sensitivity to beta-lactams and aminoglycosides, while glyphosate did not alter this profile. In addition, Candida albicans isolates remained sensitive to antifungals. </w:t>
            </w:r>
          </w:p>
          <w:p w14:paraId="6FAD83F9" w14:textId="77777777" w:rsidR="00505F06" w:rsidRPr="00DE3FA8" w:rsidRDefault="00BA1B01" w:rsidP="00DE3FA8">
            <w:pPr>
              <w:pStyle w:val="Body"/>
              <w:rPr>
                <w:rFonts w:ascii="Arial" w:eastAsia="Calibri" w:hAnsi="Arial" w:cs="Arial"/>
                <w:szCs w:val="22"/>
                <w:lang w:val="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DE3FA8" w:rsidRPr="00DE3FA8">
              <w:rPr>
                <w:rFonts w:ascii="Arial" w:eastAsia="Calibri" w:hAnsi="Arial" w:cs="Arial"/>
                <w:szCs w:val="22"/>
                <w:lang w:val="fr-FR"/>
              </w:rPr>
              <w:t>The study showed that exposure to lead and mercury caused severe immunosuppression persistent inflammation and promoted antibiotic resistance, while glyphosate activated persistent chronic systemic inflammation without altering microbial sensitivity.</w:t>
            </w:r>
          </w:p>
        </w:tc>
      </w:tr>
    </w:tbl>
    <w:p w14:paraId="76A83986" w14:textId="77777777" w:rsidR="00636EB2" w:rsidRDefault="00636EB2" w:rsidP="00441B6F">
      <w:pPr>
        <w:pStyle w:val="Body"/>
        <w:spacing w:after="0"/>
        <w:rPr>
          <w:rFonts w:ascii="Arial" w:hAnsi="Arial" w:cs="Arial"/>
          <w:i/>
        </w:rPr>
      </w:pPr>
    </w:p>
    <w:p w14:paraId="2EB3B880" w14:textId="77777777" w:rsidR="00790ADA" w:rsidRDefault="00A24E7E" w:rsidP="00441B6F">
      <w:pPr>
        <w:pStyle w:val="Body"/>
        <w:spacing w:after="0"/>
        <w:rPr>
          <w:rFonts w:ascii="Arial" w:hAnsi="Arial" w:cs="Arial"/>
          <w:i/>
        </w:rPr>
      </w:pPr>
      <w:r>
        <w:rPr>
          <w:rFonts w:ascii="Arial" w:hAnsi="Arial" w:cs="Arial"/>
          <w:i/>
        </w:rPr>
        <w:t>Keywords: [</w:t>
      </w:r>
      <w:r w:rsidR="00C9035B" w:rsidRPr="00C9035B">
        <w:rPr>
          <w:rFonts w:ascii="Arial" w:hAnsi="Arial" w:cs="Arial"/>
          <w:i/>
          <w:lang w:val="fr-FR"/>
        </w:rPr>
        <w:t>Environmental toxicity, Microbial infections, Immunotoxicity</w:t>
      </w:r>
      <w:r>
        <w:rPr>
          <w:rFonts w:ascii="Arial" w:hAnsi="Arial" w:cs="Arial"/>
          <w:i/>
        </w:rPr>
        <w:t>}</w:t>
      </w:r>
      <w:r w:rsidR="00C9035B">
        <w:rPr>
          <w:rFonts w:ascii="Arial" w:hAnsi="Arial" w:cs="Arial"/>
          <w:i/>
        </w:rPr>
        <w:t xml:space="preserve"> </w:t>
      </w:r>
    </w:p>
    <w:p w14:paraId="3FB9D2DA" w14:textId="1A8111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DAD28E" w14:textId="77777777" w:rsidR="00790ADA" w:rsidRPr="00FB3A86" w:rsidRDefault="00790ADA" w:rsidP="00441B6F">
      <w:pPr>
        <w:pStyle w:val="AbstHead"/>
        <w:spacing w:after="0"/>
        <w:jc w:val="both"/>
        <w:rPr>
          <w:rFonts w:ascii="Arial" w:hAnsi="Arial" w:cs="Arial"/>
        </w:rPr>
      </w:pPr>
    </w:p>
    <w:p w14:paraId="23CC77DD" w14:textId="4ACF9B3F" w:rsidR="00C9035B" w:rsidRPr="00C9035B" w:rsidRDefault="00C9035B" w:rsidP="00382823">
      <w:pPr>
        <w:pStyle w:val="Body"/>
        <w:spacing w:after="0"/>
        <w:rPr>
          <w:rFonts w:ascii="Arial" w:hAnsi="Arial" w:cs="Arial"/>
          <w:lang w:val="fr-FR"/>
        </w:rPr>
      </w:pPr>
      <w:r w:rsidRPr="00C9035B">
        <w:rPr>
          <w:rFonts w:ascii="Arial" w:hAnsi="Arial" w:cs="Arial"/>
          <w:lang w:val="fr-FR"/>
        </w:rPr>
        <w:t>The increasing incidence of infections, particularly those linked to the emergence of resistant pathogens, constitutes a major challenge to global public health. Among these, bacterial and fungal infections pose a predominant threat, particularly those caused by bacteria (</w:t>
      </w:r>
      <w:r w:rsidRPr="00C9035B">
        <w:rPr>
          <w:rFonts w:ascii="Arial" w:hAnsi="Arial" w:cs="Arial"/>
          <w:i/>
          <w:iCs/>
          <w:lang w:val="fr-FR"/>
        </w:rPr>
        <w:t>Escherichia coli</w:t>
      </w:r>
      <w:r w:rsidRPr="00C9035B">
        <w:rPr>
          <w:rFonts w:ascii="Arial" w:hAnsi="Arial" w:cs="Arial"/>
          <w:lang w:val="fr-FR"/>
        </w:rPr>
        <w:t xml:space="preserve">, </w:t>
      </w:r>
      <w:r w:rsidRPr="00C9035B">
        <w:rPr>
          <w:rFonts w:ascii="Arial" w:hAnsi="Arial" w:cs="Arial"/>
          <w:i/>
          <w:iCs/>
          <w:lang w:val="fr-FR"/>
        </w:rPr>
        <w:t>Staphylococcus aureus</w:t>
      </w:r>
      <w:r w:rsidRPr="00C9035B">
        <w:rPr>
          <w:rFonts w:ascii="Arial" w:hAnsi="Arial" w:cs="Arial"/>
          <w:lang w:val="fr-FR"/>
        </w:rPr>
        <w:t xml:space="preserve">) and fungi (Candida, Aspergillus, and Cryptococcus) (Dahal </w:t>
      </w:r>
      <w:r w:rsidRPr="004E3B30">
        <w:rPr>
          <w:rFonts w:ascii="Arial" w:hAnsi="Arial" w:cs="Arial"/>
          <w:i/>
          <w:iCs/>
          <w:lang w:val="fr-FR"/>
        </w:rPr>
        <w:t>et al</w:t>
      </w:r>
      <w:r w:rsidRPr="00C9035B">
        <w:rPr>
          <w:rFonts w:ascii="Arial" w:hAnsi="Arial" w:cs="Arial"/>
          <w:lang w:val="fr-FR"/>
        </w:rPr>
        <w:t xml:space="preserve">., 2018 ; Mohsen, 2022). These infections carry a heavy burden of morbidity and mortality, </w:t>
      </w:r>
      <w:r w:rsidRPr="00C9035B">
        <w:rPr>
          <w:rFonts w:ascii="Arial" w:hAnsi="Arial" w:cs="Arial"/>
          <w:lang w:val="fr-FR"/>
        </w:rPr>
        <w:lastRenderedPageBreak/>
        <w:t xml:space="preserve">with more than 3.57 million deaths attributable to bacteria and 1.6 million to fungi, exceeding malaria in some cases (Bongomin </w:t>
      </w:r>
      <w:r w:rsidRPr="004E3B30">
        <w:rPr>
          <w:rFonts w:ascii="Arial" w:hAnsi="Arial" w:cs="Arial"/>
          <w:i/>
          <w:iCs/>
          <w:lang w:val="fr-FR"/>
        </w:rPr>
        <w:t>et al</w:t>
      </w:r>
      <w:r w:rsidRPr="00C9035B">
        <w:rPr>
          <w:rFonts w:ascii="Arial" w:hAnsi="Arial" w:cs="Arial"/>
          <w:lang w:val="fr-FR"/>
        </w:rPr>
        <w:t>., 2017</w:t>
      </w:r>
      <w:r w:rsidR="003958A6">
        <w:rPr>
          <w:rFonts w:ascii="Arial" w:hAnsi="Arial" w:cs="Arial"/>
          <w:lang w:val="fr-FR"/>
        </w:rPr>
        <w:t xml:space="preserve"> ; </w:t>
      </w:r>
      <w:r w:rsidR="003958A6" w:rsidRPr="00C9035B">
        <w:rPr>
          <w:rFonts w:ascii="Arial" w:hAnsi="Arial" w:cs="Arial"/>
          <w:lang w:val="fr-FR"/>
        </w:rPr>
        <w:t xml:space="preserve">Dahal </w:t>
      </w:r>
      <w:r w:rsidR="003958A6" w:rsidRPr="004E3B30">
        <w:rPr>
          <w:rFonts w:ascii="Arial" w:hAnsi="Arial" w:cs="Arial"/>
          <w:i/>
          <w:iCs/>
          <w:lang w:val="fr-FR"/>
        </w:rPr>
        <w:t>et al</w:t>
      </w:r>
      <w:r w:rsidR="003958A6" w:rsidRPr="00C9035B">
        <w:rPr>
          <w:rFonts w:ascii="Arial" w:hAnsi="Arial" w:cs="Arial"/>
          <w:lang w:val="fr-FR"/>
        </w:rPr>
        <w:t>., 2018</w:t>
      </w:r>
      <w:r w:rsidRPr="00C9035B">
        <w:rPr>
          <w:rFonts w:ascii="Arial" w:hAnsi="Arial" w:cs="Arial"/>
          <w:lang w:val="fr-FR"/>
        </w:rPr>
        <w:t>). Sub-Saharan Africa remains the most affected region, with more than 90</w:t>
      </w:r>
      <w:r w:rsidR="008C0A90">
        <w:rPr>
          <w:rFonts w:ascii="Arial" w:hAnsi="Arial" w:cs="Arial"/>
          <w:lang w:val="fr-FR"/>
        </w:rPr>
        <w:t xml:space="preserve"> </w:t>
      </w:r>
      <w:r w:rsidRPr="00C9035B">
        <w:rPr>
          <w:rFonts w:ascii="Arial" w:hAnsi="Arial" w:cs="Arial"/>
          <w:lang w:val="fr-FR"/>
        </w:rPr>
        <w:t>% of infectious diseases, even though it accounts for only 12</w:t>
      </w:r>
      <w:r w:rsidR="008C0A90">
        <w:rPr>
          <w:rFonts w:ascii="Arial" w:hAnsi="Arial" w:cs="Arial"/>
          <w:lang w:val="fr-FR"/>
        </w:rPr>
        <w:t xml:space="preserve"> </w:t>
      </w:r>
      <w:r w:rsidRPr="00C9035B">
        <w:rPr>
          <w:rFonts w:ascii="Arial" w:hAnsi="Arial" w:cs="Arial"/>
          <w:lang w:val="fr-FR"/>
        </w:rPr>
        <w:t>% of the world's population (Fabienne, 2012).</w:t>
      </w:r>
    </w:p>
    <w:p w14:paraId="761F30CC" w14:textId="22E47FD7" w:rsidR="00C9035B" w:rsidRPr="00C9035B" w:rsidRDefault="00C9035B" w:rsidP="00382823">
      <w:pPr>
        <w:pStyle w:val="Body"/>
        <w:spacing w:after="0"/>
        <w:rPr>
          <w:rFonts w:ascii="Arial" w:hAnsi="Arial" w:cs="Arial"/>
          <w:lang w:val="fr-FR"/>
        </w:rPr>
      </w:pPr>
      <w:r w:rsidRPr="00C9035B">
        <w:rPr>
          <w:rFonts w:ascii="Arial" w:hAnsi="Arial" w:cs="Arial"/>
          <w:lang w:val="fr-FR"/>
        </w:rPr>
        <w:t xml:space="preserve">This increased vulnerability is closely linked to unfavorable environmental conditions (Bongomin </w:t>
      </w:r>
      <w:r w:rsidRPr="004E3B30">
        <w:rPr>
          <w:rFonts w:ascii="Arial" w:hAnsi="Arial" w:cs="Arial"/>
          <w:i/>
          <w:iCs/>
          <w:lang w:val="fr-FR"/>
        </w:rPr>
        <w:t>et al</w:t>
      </w:r>
      <w:r w:rsidRPr="00C9035B">
        <w:rPr>
          <w:rFonts w:ascii="Arial" w:hAnsi="Arial" w:cs="Arial"/>
          <w:lang w:val="fr-FR"/>
        </w:rPr>
        <w:t xml:space="preserve">., 2017 ; Kainz </w:t>
      </w:r>
      <w:r w:rsidRPr="004E3B30">
        <w:rPr>
          <w:rFonts w:ascii="Arial" w:hAnsi="Arial" w:cs="Arial"/>
          <w:i/>
          <w:iCs/>
          <w:lang w:val="fr-FR"/>
        </w:rPr>
        <w:t>et al</w:t>
      </w:r>
      <w:r w:rsidRPr="00C9035B">
        <w:rPr>
          <w:rFonts w:ascii="Arial" w:hAnsi="Arial" w:cs="Arial"/>
          <w:lang w:val="fr-FR"/>
        </w:rPr>
        <w:t xml:space="preserve">., 2020). According to the WHO (2022), the environment significantly contributes to the burden of infectious diseases in the region, while simultaneously strengthening that of non-communicable diseases. Thus environmental pollutants, including heavy metals, hydrocarbons, and pesticides, are responsible for nearly 7 million premature deaths each year, over a million of wich occur in Africa (Thurston </w:t>
      </w:r>
      <w:r w:rsidRPr="004E3B30">
        <w:rPr>
          <w:rFonts w:ascii="Arial" w:hAnsi="Arial" w:cs="Arial"/>
          <w:i/>
          <w:iCs/>
          <w:lang w:val="fr-FR"/>
        </w:rPr>
        <w:t>et al</w:t>
      </w:r>
      <w:r w:rsidRPr="00C9035B">
        <w:rPr>
          <w:rFonts w:ascii="Arial" w:hAnsi="Arial" w:cs="Arial"/>
          <w:lang w:val="fr-FR"/>
        </w:rPr>
        <w:t xml:space="preserve">., 2017 ; Caroline </w:t>
      </w:r>
      <w:r w:rsidRPr="004E3B30">
        <w:rPr>
          <w:rFonts w:ascii="Arial" w:hAnsi="Arial" w:cs="Arial"/>
          <w:i/>
          <w:iCs/>
          <w:lang w:val="fr-FR"/>
        </w:rPr>
        <w:t>et al</w:t>
      </w:r>
      <w:r w:rsidRPr="00C9035B">
        <w:rPr>
          <w:rFonts w:ascii="Arial" w:hAnsi="Arial" w:cs="Arial"/>
          <w:lang w:val="fr-FR"/>
        </w:rPr>
        <w:t xml:space="preserve">., 2020 ; </w:t>
      </w:r>
      <w:r w:rsidR="00251D6E">
        <w:rPr>
          <w:rFonts w:ascii="Arial" w:hAnsi="Arial" w:cs="Arial"/>
          <w:lang w:val="fr-FR"/>
        </w:rPr>
        <w:t>OMS</w:t>
      </w:r>
      <w:r w:rsidRPr="00C9035B">
        <w:rPr>
          <w:rFonts w:ascii="Arial" w:hAnsi="Arial" w:cs="Arial"/>
          <w:lang w:val="fr-FR"/>
        </w:rPr>
        <w:t xml:space="preserve">, 2024). These substances disrupt physiological homeostasis and induce immunosuppression, compromising the body's ability to control infections (SPF, 2021 ; Hamza </w:t>
      </w:r>
      <w:r w:rsidRPr="004E3B30">
        <w:rPr>
          <w:rFonts w:ascii="Arial" w:hAnsi="Arial" w:cs="Arial"/>
          <w:i/>
          <w:iCs/>
          <w:lang w:val="fr-FR"/>
        </w:rPr>
        <w:t>et al.</w:t>
      </w:r>
      <w:r w:rsidRPr="00C9035B">
        <w:rPr>
          <w:rFonts w:ascii="Arial" w:hAnsi="Arial" w:cs="Arial"/>
          <w:lang w:val="fr-FR"/>
        </w:rPr>
        <w:t xml:space="preserve">, 2022 ; Moustapha </w:t>
      </w:r>
      <w:r w:rsidRPr="004E3B30">
        <w:rPr>
          <w:rFonts w:ascii="Arial" w:hAnsi="Arial" w:cs="Arial"/>
          <w:i/>
          <w:iCs/>
          <w:lang w:val="fr-FR"/>
        </w:rPr>
        <w:t>et al.</w:t>
      </w:r>
      <w:r w:rsidRPr="00C9035B">
        <w:rPr>
          <w:rFonts w:ascii="Arial" w:hAnsi="Arial" w:cs="Arial"/>
          <w:lang w:val="fr-FR"/>
        </w:rPr>
        <w:t>, 2025).</w:t>
      </w:r>
    </w:p>
    <w:p w14:paraId="25A0084F" w14:textId="6348A093" w:rsidR="00C9035B" w:rsidRPr="00C9035B" w:rsidRDefault="00C9035B" w:rsidP="00382823">
      <w:pPr>
        <w:pStyle w:val="Body"/>
        <w:spacing w:after="0"/>
        <w:rPr>
          <w:rFonts w:ascii="Arial" w:hAnsi="Arial" w:cs="Arial"/>
          <w:lang w:val="fr-FR"/>
        </w:rPr>
      </w:pPr>
      <w:r w:rsidRPr="00C9035B">
        <w:rPr>
          <w:rFonts w:ascii="Arial" w:hAnsi="Arial" w:cs="Arial"/>
          <w:lang w:val="fr-FR"/>
        </w:rPr>
        <w:t>In Côte d'Ivoire, despite the implementation of a health policy, the situation is particularly worrying. Indeed nearly 24 million people are exposed to levels of air pollution exceeding WHO standards (MEDD, 2018). At the same time, more than 7.25</w:t>
      </w:r>
      <w:r w:rsidR="008C0A90">
        <w:rPr>
          <w:rFonts w:ascii="Arial" w:hAnsi="Arial" w:cs="Arial"/>
          <w:lang w:val="fr-FR"/>
        </w:rPr>
        <w:t xml:space="preserve"> </w:t>
      </w:r>
      <w:r w:rsidRPr="00C9035B">
        <w:rPr>
          <w:rFonts w:ascii="Arial" w:hAnsi="Arial" w:cs="Arial"/>
          <w:lang w:val="fr-FR"/>
        </w:rPr>
        <w:t>% of the population (1.8 million people) suffer from fungal infections, with alarming prevalence rates of 79.4</w:t>
      </w:r>
      <w:r w:rsidR="008C0A90">
        <w:rPr>
          <w:rFonts w:ascii="Arial" w:hAnsi="Arial" w:cs="Arial"/>
          <w:lang w:val="fr-FR"/>
        </w:rPr>
        <w:t xml:space="preserve"> </w:t>
      </w:r>
      <w:r w:rsidRPr="00C9035B">
        <w:rPr>
          <w:rFonts w:ascii="Arial" w:hAnsi="Arial" w:cs="Arial"/>
          <w:lang w:val="fr-FR"/>
        </w:rPr>
        <w:t>% for oropharyngeal infections and 43</w:t>
      </w:r>
      <w:r w:rsidR="008C0A90">
        <w:rPr>
          <w:rFonts w:ascii="Arial" w:hAnsi="Arial" w:cs="Arial"/>
          <w:lang w:val="fr-FR"/>
        </w:rPr>
        <w:t xml:space="preserve"> </w:t>
      </w:r>
      <w:r w:rsidRPr="00C9035B">
        <w:rPr>
          <w:rFonts w:ascii="Arial" w:hAnsi="Arial" w:cs="Arial"/>
          <w:lang w:val="fr-FR"/>
        </w:rPr>
        <w:t xml:space="preserve">% for severe vulvovaginal candidiasis (MEDD, 2018 ; Koffi </w:t>
      </w:r>
      <w:r w:rsidRPr="004E3B30">
        <w:rPr>
          <w:rFonts w:ascii="Arial" w:hAnsi="Arial" w:cs="Arial"/>
          <w:i/>
          <w:iCs/>
          <w:lang w:val="fr-FR"/>
        </w:rPr>
        <w:t>et al</w:t>
      </w:r>
      <w:r w:rsidRPr="00C9035B">
        <w:rPr>
          <w:rFonts w:ascii="Arial" w:hAnsi="Arial" w:cs="Arial"/>
          <w:lang w:val="fr-FR"/>
        </w:rPr>
        <w:t>., 2021). The same applies to bacterial infections, which are also a major problem, with urinary tract infections accounting for more than 25</w:t>
      </w:r>
      <w:r w:rsidR="008C0A90">
        <w:rPr>
          <w:rFonts w:ascii="Arial" w:hAnsi="Arial" w:cs="Arial"/>
          <w:lang w:val="fr-FR"/>
        </w:rPr>
        <w:t xml:space="preserve"> </w:t>
      </w:r>
      <w:r w:rsidRPr="00C9035B">
        <w:rPr>
          <w:rFonts w:ascii="Arial" w:hAnsi="Arial" w:cs="Arial"/>
          <w:lang w:val="fr-FR"/>
        </w:rPr>
        <w:t>% of cases and a significant proportion of respiratory infections estimated at 8.3</w:t>
      </w:r>
      <w:r w:rsidR="008C0A90">
        <w:rPr>
          <w:rFonts w:ascii="Arial" w:hAnsi="Arial" w:cs="Arial"/>
          <w:lang w:val="fr-FR"/>
        </w:rPr>
        <w:t xml:space="preserve"> </w:t>
      </w:r>
      <w:r w:rsidRPr="00C9035B">
        <w:rPr>
          <w:rFonts w:ascii="Arial" w:hAnsi="Arial" w:cs="Arial"/>
          <w:lang w:val="fr-FR"/>
        </w:rPr>
        <w:t xml:space="preserve">% (Kadiane </w:t>
      </w:r>
      <w:r w:rsidRPr="004E3B30">
        <w:rPr>
          <w:rFonts w:ascii="Arial" w:hAnsi="Arial" w:cs="Arial"/>
          <w:i/>
          <w:iCs/>
          <w:lang w:val="fr-FR"/>
        </w:rPr>
        <w:t>et al</w:t>
      </w:r>
      <w:r w:rsidRPr="00C9035B">
        <w:rPr>
          <w:rFonts w:ascii="Arial" w:hAnsi="Arial" w:cs="Arial"/>
          <w:lang w:val="fr-FR"/>
        </w:rPr>
        <w:t xml:space="preserve">., 2023 ; Gbégbé </w:t>
      </w:r>
      <w:r w:rsidRPr="004E3B30">
        <w:rPr>
          <w:rFonts w:ascii="Arial" w:hAnsi="Arial" w:cs="Arial"/>
          <w:i/>
          <w:iCs/>
          <w:lang w:val="fr-FR"/>
        </w:rPr>
        <w:t>et al</w:t>
      </w:r>
      <w:r w:rsidRPr="00C9035B">
        <w:rPr>
          <w:rFonts w:ascii="Arial" w:hAnsi="Arial" w:cs="Arial"/>
          <w:lang w:val="fr-FR"/>
        </w:rPr>
        <w:t>., 2023).</w:t>
      </w:r>
    </w:p>
    <w:p w14:paraId="076B7E78" w14:textId="77777777" w:rsidR="00C9035B" w:rsidRPr="00C9035B" w:rsidRDefault="00C9035B" w:rsidP="00382823">
      <w:pPr>
        <w:pStyle w:val="Body"/>
        <w:spacing w:after="0"/>
        <w:rPr>
          <w:rFonts w:ascii="Arial" w:hAnsi="Arial" w:cs="Arial"/>
          <w:lang w:val="fr-FR"/>
        </w:rPr>
      </w:pPr>
      <w:r w:rsidRPr="00C9035B">
        <w:rPr>
          <w:rFonts w:ascii="Arial" w:hAnsi="Arial" w:cs="Arial"/>
          <w:lang w:val="fr-FR"/>
        </w:rPr>
        <w:t xml:space="preserve">This issue illustrates the double burden faced by populations : environmental exposure and infectious vulnerability. Given this situation, it is crucial to assess the impact of the biotoxicity of environmental pollutants on the organism and on the evolutionary dynamics of bacterial and fungal infections. In this context, </w:t>
      </w:r>
      <w:r w:rsidRPr="00C9035B">
        <w:rPr>
          <w:rFonts w:ascii="Arial" w:hAnsi="Arial" w:cs="Arial"/>
          <w:i/>
          <w:iCs/>
          <w:lang w:val="fr-FR"/>
        </w:rPr>
        <w:t>Escherichia coli</w:t>
      </w:r>
      <w:r w:rsidRPr="00C9035B">
        <w:rPr>
          <w:rFonts w:ascii="Arial" w:hAnsi="Arial" w:cs="Arial"/>
          <w:lang w:val="fr-FR"/>
        </w:rPr>
        <w:t xml:space="preserve"> and </w:t>
      </w:r>
      <w:r w:rsidRPr="00C9035B">
        <w:rPr>
          <w:rFonts w:ascii="Arial" w:hAnsi="Arial" w:cs="Arial"/>
          <w:i/>
          <w:iCs/>
          <w:lang w:val="fr-FR"/>
        </w:rPr>
        <w:t>Candida albicans</w:t>
      </w:r>
      <w:r w:rsidRPr="00C9035B">
        <w:rPr>
          <w:rFonts w:ascii="Arial" w:hAnsi="Arial" w:cs="Arial"/>
          <w:lang w:val="fr-FR"/>
        </w:rPr>
        <w:t xml:space="preserve"> are two relevant models, due to their clinical prevalence and their major role in opportunistic infections.</w:t>
      </w:r>
    </w:p>
    <w:p w14:paraId="41DF64CF" w14:textId="77777777" w:rsidR="00C9035B" w:rsidRPr="00C9035B" w:rsidRDefault="00C9035B" w:rsidP="00382823">
      <w:pPr>
        <w:pStyle w:val="Body"/>
        <w:spacing w:after="0"/>
        <w:rPr>
          <w:rFonts w:ascii="Arial" w:hAnsi="Arial" w:cs="Arial"/>
          <w:lang w:val="fr-FR"/>
        </w:rPr>
      </w:pPr>
      <w:r w:rsidRPr="00C9035B">
        <w:rPr>
          <w:rFonts w:ascii="Arial" w:hAnsi="Arial" w:cs="Arial"/>
          <w:lang w:val="fr-FR"/>
        </w:rPr>
        <w:t>Thus, this study conducted on Wistar albino rats, aims to examine the correlations between exposure to pollutants, inflammatory response, and worsening of microbial infections. The expected outcomes should provide key data to better understand the interaction between environmental pollution and human health, particularly in regions heavily exposed to toxic contaminants.</w:t>
      </w:r>
    </w:p>
    <w:p w14:paraId="322B4147" w14:textId="77777777" w:rsidR="00790ADA" w:rsidRPr="00FB3A86" w:rsidRDefault="00790ADA" w:rsidP="00382823">
      <w:pPr>
        <w:pStyle w:val="Body"/>
        <w:spacing w:after="0"/>
        <w:rPr>
          <w:rFonts w:ascii="Arial" w:hAnsi="Arial" w:cs="Arial"/>
        </w:rPr>
      </w:pPr>
    </w:p>
    <w:p w14:paraId="4073FFB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2698F4" w14:textId="77777777" w:rsidR="00790ADA" w:rsidRPr="00FB3A86" w:rsidRDefault="00790ADA" w:rsidP="00441B6F">
      <w:pPr>
        <w:pStyle w:val="AbstHead"/>
        <w:spacing w:after="0"/>
        <w:jc w:val="both"/>
        <w:rPr>
          <w:rFonts w:ascii="Arial" w:hAnsi="Arial" w:cs="Arial"/>
        </w:rPr>
      </w:pPr>
    </w:p>
    <w:p w14:paraId="0CC69153" w14:textId="17F91CD1" w:rsidR="007350F8" w:rsidRPr="00835868" w:rsidRDefault="00835868" w:rsidP="00382823">
      <w:pPr>
        <w:pStyle w:val="Body"/>
        <w:spacing w:after="0"/>
        <w:rPr>
          <w:rFonts w:ascii="Arial" w:hAnsi="Arial" w:cs="Arial"/>
          <w:b/>
          <w:bCs/>
          <w:sz w:val="22"/>
          <w:szCs w:val="22"/>
          <w:lang w:val="fr-FR"/>
        </w:rPr>
      </w:pPr>
      <w:r w:rsidRPr="00835868">
        <w:rPr>
          <w:rFonts w:ascii="Arial" w:hAnsi="Arial" w:cs="Arial"/>
          <w:b/>
          <w:bCs/>
          <w:sz w:val="22"/>
          <w:szCs w:val="22"/>
          <w:lang w:val="fr-FR"/>
        </w:rPr>
        <w:t xml:space="preserve">2.1 </w:t>
      </w:r>
      <w:r w:rsidR="007350F8" w:rsidRPr="00835868">
        <w:rPr>
          <w:rFonts w:ascii="Arial" w:hAnsi="Arial" w:cs="Arial"/>
          <w:b/>
          <w:bCs/>
          <w:sz w:val="22"/>
          <w:szCs w:val="22"/>
          <w:lang w:val="fr-FR"/>
        </w:rPr>
        <w:t xml:space="preserve">Material     </w:t>
      </w:r>
    </w:p>
    <w:p w14:paraId="38C1D7F9" w14:textId="357D705B" w:rsidR="007350F8" w:rsidRPr="007350F8" w:rsidRDefault="00835868" w:rsidP="00382823">
      <w:pPr>
        <w:pStyle w:val="Body"/>
        <w:spacing w:after="0"/>
        <w:rPr>
          <w:rFonts w:ascii="Arial" w:hAnsi="Arial" w:cs="Arial"/>
          <w:lang w:val="fr-FR"/>
        </w:rPr>
      </w:pPr>
      <w:r w:rsidRPr="00835868">
        <w:rPr>
          <w:rFonts w:ascii="Arial" w:hAnsi="Arial" w:cs="Arial"/>
          <w:b/>
          <w:bCs/>
          <w:u w:val="single"/>
          <w:lang w:val="fr-FR"/>
        </w:rPr>
        <w:t xml:space="preserve">2.1.1 </w:t>
      </w:r>
      <w:r w:rsidR="007350F8" w:rsidRPr="00835868">
        <w:rPr>
          <w:rFonts w:ascii="Arial" w:hAnsi="Arial" w:cs="Arial"/>
          <w:b/>
          <w:bCs/>
          <w:u w:val="single"/>
          <w:lang w:val="fr-FR"/>
        </w:rPr>
        <w:t xml:space="preserve">Experimental </w:t>
      </w:r>
      <w:r w:rsidR="001B238B" w:rsidRPr="00835868">
        <w:rPr>
          <w:rFonts w:ascii="Arial" w:hAnsi="Arial" w:cs="Arial"/>
          <w:b/>
          <w:bCs/>
          <w:u w:val="single"/>
          <w:lang w:val="fr-FR"/>
        </w:rPr>
        <w:t>animals</w:t>
      </w:r>
      <w:r w:rsidR="001B238B" w:rsidRPr="007350F8">
        <w:rPr>
          <w:rFonts w:ascii="Arial" w:hAnsi="Arial" w:cs="Arial"/>
          <w:lang w:val="fr-FR"/>
        </w:rPr>
        <w:t xml:space="preserve"> :</w:t>
      </w:r>
      <w:r w:rsidR="007350F8" w:rsidRPr="007350F8">
        <w:rPr>
          <w:rFonts w:ascii="Arial" w:hAnsi="Arial" w:cs="Arial"/>
          <w:lang w:val="fr-FR"/>
        </w:rPr>
        <w:t xml:space="preserve"> Wistar rats (</w:t>
      </w:r>
      <w:r w:rsidR="007350F8" w:rsidRPr="001B238B">
        <w:rPr>
          <w:rFonts w:ascii="Arial" w:hAnsi="Arial" w:cs="Arial"/>
          <w:i/>
          <w:lang w:val="fr-FR"/>
        </w:rPr>
        <w:t>Rattus norvegicus</w:t>
      </w:r>
      <w:r w:rsidR="007350F8" w:rsidRPr="007350F8">
        <w:rPr>
          <w:rFonts w:ascii="Arial" w:hAnsi="Arial" w:cs="Arial"/>
          <w:lang w:val="fr-FR"/>
        </w:rPr>
        <w:t xml:space="preserve">), aged 8 to 12 weeks, were selected as subjects for this study. </w:t>
      </w:r>
    </w:p>
    <w:p w14:paraId="7F87357C" w14:textId="77777777" w:rsidR="007350F8" w:rsidRPr="007350F8" w:rsidRDefault="007350F8" w:rsidP="00382823">
      <w:pPr>
        <w:pStyle w:val="Body"/>
        <w:spacing w:after="0"/>
        <w:rPr>
          <w:rFonts w:ascii="Arial" w:hAnsi="Arial" w:cs="Arial"/>
          <w:lang w:val="fr-FR"/>
        </w:rPr>
      </w:pPr>
      <w:r w:rsidRPr="007350F8">
        <w:rPr>
          <w:rFonts w:ascii="Arial" w:hAnsi="Arial" w:cs="Arial"/>
          <w:lang w:val="fr-FR"/>
        </w:rPr>
        <w:t xml:space="preserve">Microorganisms </w:t>
      </w:r>
      <w:r w:rsidR="001B238B" w:rsidRPr="007350F8">
        <w:rPr>
          <w:rFonts w:ascii="Arial" w:hAnsi="Arial" w:cs="Arial"/>
          <w:lang w:val="fr-FR"/>
        </w:rPr>
        <w:t>used :</w:t>
      </w:r>
      <w:r w:rsidRPr="007350F8">
        <w:rPr>
          <w:rFonts w:ascii="Arial" w:hAnsi="Arial" w:cs="Arial"/>
          <w:lang w:val="fr-FR"/>
        </w:rPr>
        <w:t xml:space="preserve"> A bacterial isolate, </w:t>
      </w:r>
      <w:r w:rsidRPr="007350F8">
        <w:rPr>
          <w:rFonts w:ascii="Arial" w:hAnsi="Arial" w:cs="Arial"/>
          <w:i/>
          <w:iCs/>
          <w:lang w:val="fr-FR"/>
        </w:rPr>
        <w:t>Escherichia coli</w:t>
      </w:r>
      <w:r w:rsidRPr="007350F8">
        <w:rPr>
          <w:rFonts w:ascii="Arial" w:hAnsi="Arial" w:cs="Arial"/>
          <w:lang w:val="fr-FR"/>
        </w:rPr>
        <w:t xml:space="preserve"> (4744/753), provided by the Medical Biology Laboratory of the Regional Hospital Center of Daloa (Côte d’Ivoire), and a fungi isolate, </w:t>
      </w:r>
      <w:r w:rsidRPr="007350F8">
        <w:rPr>
          <w:rFonts w:ascii="Arial" w:hAnsi="Arial" w:cs="Arial"/>
          <w:i/>
          <w:iCs/>
          <w:lang w:val="fr-FR"/>
        </w:rPr>
        <w:t>Candida albicans</w:t>
      </w:r>
      <w:r w:rsidRPr="007350F8">
        <w:rPr>
          <w:rFonts w:ascii="Arial" w:hAnsi="Arial" w:cs="Arial"/>
          <w:lang w:val="fr-FR"/>
        </w:rPr>
        <w:t xml:space="preserve"> (0923), from the Laboratory of Biotechnology and Valorization of Bioactive Natural Substances Laboratory of the National Center for Floristics (CNF) (Abidjan, Côte d’Ivoire).</w:t>
      </w:r>
    </w:p>
    <w:p w14:paraId="011BC193" w14:textId="549D5EDA" w:rsidR="007350F8" w:rsidRPr="007350F8" w:rsidRDefault="00835868" w:rsidP="00382823">
      <w:pPr>
        <w:pStyle w:val="Body"/>
        <w:spacing w:after="0"/>
        <w:rPr>
          <w:rFonts w:ascii="Arial" w:hAnsi="Arial" w:cs="Arial"/>
          <w:lang w:val="fr-FR"/>
        </w:rPr>
      </w:pPr>
      <w:r w:rsidRPr="00835868">
        <w:rPr>
          <w:rFonts w:ascii="Arial" w:hAnsi="Arial" w:cs="Arial"/>
          <w:b/>
          <w:bCs/>
          <w:u w:val="single"/>
          <w:lang w:val="fr-FR"/>
        </w:rPr>
        <w:t xml:space="preserve">2.1.2 </w:t>
      </w:r>
      <w:r w:rsidR="007350F8" w:rsidRPr="00835868">
        <w:rPr>
          <w:rFonts w:ascii="Arial" w:hAnsi="Arial" w:cs="Arial"/>
          <w:b/>
          <w:bCs/>
          <w:u w:val="single"/>
          <w:lang w:val="fr-FR"/>
        </w:rPr>
        <w:t xml:space="preserve">Technical </w:t>
      </w:r>
      <w:r w:rsidR="001B238B" w:rsidRPr="00835868">
        <w:rPr>
          <w:rFonts w:ascii="Arial" w:hAnsi="Arial" w:cs="Arial"/>
          <w:b/>
          <w:bCs/>
          <w:u w:val="single"/>
          <w:lang w:val="fr-FR"/>
        </w:rPr>
        <w:t>equipment</w:t>
      </w:r>
      <w:r w:rsidR="001B238B" w:rsidRPr="007350F8">
        <w:rPr>
          <w:rFonts w:ascii="Arial" w:hAnsi="Arial" w:cs="Arial"/>
          <w:lang w:val="fr-FR"/>
        </w:rPr>
        <w:t xml:space="preserve"> :</w:t>
      </w:r>
      <w:r>
        <w:rPr>
          <w:rFonts w:ascii="Arial" w:hAnsi="Arial" w:cs="Arial"/>
          <w:lang w:val="fr-FR"/>
        </w:rPr>
        <w:t xml:space="preserve"> </w:t>
      </w:r>
      <w:r w:rsidR="007350F8" w:rsidRPr="007350F8">
        <w:rPr>
          <w:rFonts w:ascii="Arial" w:hAnsi="Arial" w:cs="Arial"/>
          <w:lang w:val="fr-FR"/>
        </w:rPr>
        <w:t>The study was conducted using standard microbiology laboratory equipment, including the API FUNGUS 3 gallery.</w:t>
      </w:r>
    </w:p>
    <w:p w14:paraId="20DDCAB1" w14:textId="77777777" w:rsidR="007350F8" w:rsidRPr="007350F8" w:rsidRDefault="001B238B" w:rsidP="00382823">
      <w:pPr>
        <w:pStyle w:val="Body"/>
        <w:spacing w:after="0"/>
        <w:rPr>
          <w:rFonts w:ascii="Arial" w:hAnsi="Arial" w:cs="Arial"/>
          <w:lang w:val="fr-FR"/>
        </w:rPr>
      </w:pPr>
      <w:r w:rsidRPr="007350F8">
        <w:rPr>
          <w:rFonts w:ascii="Arial" w:hAnsi="Arial" w:cs="Arial"/>
          <w:lang w:val="fr-FR"/>
        </w:rPr>
        <w:t>Pollutants :</w:t>
      </w:r>
      <w:r w:rsidR="007350F8" w:rsidRPr="007350F8">
        <w:rPr>
          <w:rFonts w:ascii="Arial" w:hAnsi="Arial" w:cs="Arial"/>
          <w:lang w:val="fr-FR"/>
        </w:rPr>
        <w:t xml:space="preserve"> Lead acetate and mercury oxide were supplied by the Laboratory of BioOrganic Chemistry and Natural Substances (LCBOSN) of Félix Houphouët-Boigny University (Abidjan, Côte d'Ivoire). Glyphosate was purchased locally (Bingerville, Côte d'Ivoire).</w:t>
      </w:r>
    </w:p>
    <w:p w14:paraId="77B5BB2B" w14:textId="63E32237" w:rsidR="007350F8" w:rsidRDefault="001B238B" w:rsidP="00382823">
      <w:pPr>
        <w:pStyle w:val="Body"/>
        <w:spacing w:after="0"/>
        <w:rPr>
          <w:rFonts w:ascii="Arial" w:hAnsi="Arial" w:cs="Arial"/>
          <w:lang w:val="fr-FR"/>
        </w:rPr>
      </w:pPr>
      <w:r w:rsidRPr="007350F8">
        <w:rPr>
          <w:rFonts w:ascii="Arial" w:hAnsi="Arial" w:cs="Arial"/>
          <w:lang w:val="fr-FR"/>
        </w:rPr>
        <w:t>Antibiotics :</w:t>
      </w:r>
      <w:r w:rsidR="007350F8" w:rsidRPr="007350F8">
        <w:rPr>
          <w:rFonts w:ascii="Arial" w:hAnsi="Arial" w:cs="Arial"/>
          <w:lang w:val="fr-FR"/>
        </w:rPr>
        <w:t xml:space="preserve"> The antibiotics used for the antimicrobial profile consisted of five (5) antibacterials (amikacin, kanamycin, tobramycin, cefepime, and levofloxacin) and also five (5) antifungals (amphotericin B, 5-fluorocytosine, fluconazole, itraconazole, and voriconazole).</w:t>
      </w:r>
    </w:p>
    <w:p w14:paraId="1BA47A11" w14:textId="77777777" w:rsidR="007302CF" w:rsidRPr="007350F8" w:rsidRDefault="007302CF" w:rsidP="00382823">
      <w:pPr>
        <w:pStyle w:val="Body"/>
        <w:spacing w:after="0"/>
        <w:rPr>
          <w:rFonts w:ascii="Arial" w:hAnsi="Arial" w:cs="Arial"/>
          <w:lang w:val="fr-FR"/>
        </w:rPr>
      </w:pPr>
    </w:p>
    <w:p w14:paraId="38A676AC" w14:textId="77777777" w:rsidR="008C0A90" w:rsidRDefault="008C0A90" w:rsidP="007350F8">
      <w:pPr>
        <w:pStyle w:val="Body"/>
        <w:rPr>
          <w:rFonts w:ascii="Arial" w:hAnsi="Arial" w:cs="Arial"/>
          <w:b/>
          <w:bCs/>
          <w:lang w:val="fr-FR"/>
        </w:rPr>
      </w:pPr>
    </w:p>
    <w:p w14:paraId="02DF5393" w14:textId="03A4357F" w:rsidR="007350F8" w:rsidRPr="00835868" w:rsidRDefault="00835868" w:rsidP="007350F8">
      <w:pPr>
        <w:pStyle w:val="Body"/>
        <w:rPr>
          <w:rFonts w:ascii="Arial" w:hAnsi="Arial" w:cs="Arial"/>
          <w:b/>
          <w:bCs/>
          <w:sz w:val="22"/>
          <w:szCs w:val="22"/>
          <w:lang w:val="fr-FR"/>
        </w:rPr>
      </w:pPr>
      <w:r w:rsidRPr="00835868">
        <w:rPr>
          <w:rFonts w:ascii="Arial" w:hAnsi="Arial" w:cs="Arial"/>
          <w:b/>
          <w:bCs/>
          <w:sz w:val="22"/>
          <w:szCs w:val="22"/>
          <w:lang w:val="fr-FR"/>
        </w:rPr>
        <w:lastRenderedPageBreak/>
        <w:t xml:space="preserve">2.2 </w:t>
      </w:r>
      <w:r w:rsidR="007350F8" w:rsidRPr="00835868">
        <w:rPr>
          <w:rFonts w:ascii="Arial" w:hAnsi="Arial" w:cs="Arial"/>
          <w:b/>
          <w:bCs/>
          <w:sz w:val="22"/>
          <w:szCs w:val="22"/>
          <w:lang w:val="fr-FR"/>
        </w:rPr>
        <w:t>Method</w:t>
      </w:r>
    </w:p>
    <w:p w14:paraId="4C95D178" w14:textId="6BBCC962" w:rsidR="007350F8" w:rsidRPr="007350F8" w:rsidRDefault="00835868" w:rsidP="00470FD3">
      <w:pPr>
        <w:pStyle w:val="Body"/>
        <w:spacing w:after="0"/>
        <w:rPr>
          <w:rFonts w:ascii="Arial" w:hAnsi="Arial" w:cs="Arial"/>
          <w:b/>
          <w:bCs/>
          <w:u w:val="single"/>
          <w:lang w:val="fr-FR"/>
        </w:rPr>
      </w:pPr>
      <w:r>
        <w:rPr>
          <w:rFonts w:ascii="Arial" w:hAnsi="Arial" w:cs="Arial"/>
          <w:b/>
          <w:bCs/>
          <w:u w:val="single"/>
          <w:lang w:val="fr-FR"/>
        </w:rPr>
        <w:t xml:space="preserve">2.2.1 </w:t>
      </w:r>
      <w:r w:rsidR="007350F8" w:rsidRPr="007350F8">
        <w:rPr>
          <w:rFonts w:ascii="Arial" w:hAnsi="Arial" w:cs="Arial"/>
          <w:b/>
          <w:bCs/>
          <w:u w:val="single"/>
          <w:lang w:val="fr-FR"/>
        </w:rPr>
        <w:t>Acclimatization and feeding</w:t>
      </w:r>
    </w:p>
    <w:p w14:paraId="2A91C2BD" w14:textId="3ABCC018" w:rsidR="007350F8" w:rsidRPr="007350F8" w:rsidRDefault="007350F8" w:rsidP="00470FD3">
      <w:pPr>
        <w:pStyle w:val="Body"/>
        <w:spacing w:after="0"/>
        <w:rPr>
          <w:rFonts w:ascii="Arial" w:hAnsi="Arial" w:cs="Arial"/>
          <w:lang w:val="fr-FR"/>
        </w:rPr>
      </w:pPr>
      <w:r w:rsidRPr="007350F8">
        <w:rPr>
          <w:rFonts w:ascii="Arial" w:hAnsi="Arial" w:cs="Arial"/>
          <w:lang w:val="fr-FR"/>
        </w:rPr>
        <w:t>The rats were kept under standard environmental conditions at 25</w:t>
      </w:r>
      <w:r w:rsidR="008C0A90">
        <w:rPr>
          <w:rFonts w:ascii="Arial" w:hAnsi="Arial" w:cs="Arial"/>
          <w:lang w:val="fr-FR"/>
        </w:rPr>
        <w:t xml:space="preserve"> </w:t>
      </w:r>
      <w:r w:rsidRPr="007350F8">
        <w:rPr>
          <w:rFonts w:ascii="Arial" w:hAnsi="Arial" w:cs="Arial"/>
          <w:lang w:val="fr-FR"/>
        </w:rPr>
        <w:t xml:space="preserve">°C (± 2) and a 12 hours light/dark cycle. Their diet consisted of pellets (IVOGRAIN®) and bakery bread and free access to water </w:t>
      </w:r>
      <w:r w:rsidRPr="007350F8">
        <w:rPr>
          <w:rFonts w:ascii="Arial" w:hAnsi="Arial" w:cs="Arial"/>
          <w:i/>
          <w:iCs/>
          <w:lang w:val="fr-FR"/>
        </w:rPr>
        <w:t>ad libitum</w:t>
      </w:r>
      <w:r w:rsidRPr="007350F8">
        <w:rPr>
          <w:rFonts w:ascii="Arial" w:hAnsi="Arial" w:cs="Arial"/>
          <w:lang w:val="fr-FR"/>
        </w:rPr>
        <w:t>.</w:t>
      </w:r>
    </w:p>
    <w:p w14:paraId="34E8847C" w14:textId="77777777" w:rsidR="007350F8" w:rsidRPr="007350F8" w:rsidRDefault="007350F8" w:rsidP="00470FD3">
      <w:pPr>
        <w:pStyle w:val="Body"/>
        <w:spacing w:after="0"/>
        <w:rPr>
          <w:rFonts w:ascii="Arial" w:hAnsi="Arial" w:cs="Arial"/>
          <w:lang w:val="fr-FR"/>
        </w:rPr>
      </w:pPr>
      <w:r w:rsidRPr="007350F8">
        <w:rPr>
          <w:rFonts w:ascii="Arial" w:hAnsi="Arial" w:cs="Arial"/>
          <w:lang w:val="fr-FR"/>
        </w:rPr>
        <w:t>Before the experiments began, rats were acclimatized for 7 days. The care and handling of rats was carried out in strict compliance with the recommendations on rats (CCPA, 2020).</w:t>
      </w:r>
    </w:p>
    <w:p w14:paraId="144B3D70" w14:textId="77777777" w:rsidR="004E3B30" w:rsidRDefault="004E3B30" w:rsidP="00470FD3">
      <w:pPr>
        <w:pStyle w:val="Body"/>
        <w:spacing w:after="0"/>
        <w:rPr>
          <w:rFonts w:ascii="Arial" w:hAnsi="Arial" w:cs="Arial"/>
          <w:b/>
          <w:bCs/>
          <w:u w:val="single"/>
          <w:lang w:val="fr-FR"/>
        </w:rPr>
      </w:pPr>
    </w:p>
    <w:p w14:paraId="4C0BFD03" w14:textId="27898F47" w:rsidR="007350F8" w:rsidRPr="007350F8" w:rsidRDefault="00835868" w:rsidP="00470FD3">
      <w:pPr>
        <w:pStyle w:val="Body"/>
        <w:spacing w:after="0"/>
        <w:rPr>
          <w:rFonts w:ascii="Arial" w:hAnsi="Arial" w:cs="Arial"/>
          <w:b/>
          <w:bCs/>
          <w:u w:val="single"/>
          <w:lang w:val="fr-FR"/>
        </w:rPr>
      </w:pPr>
      <w:r>
        <w:rPr>
          <w:rFonts w:ascii="Arial" w:hAnsi="Arial" w:cs="Arial"/>
          <w:b/>
          <w:bCs/>
          <w:u w:val="single"/>
          <w:lang w:val="fr-FR"/>
        </w:rPr>
        <w:t xml:space="preserve">2.2.2 </w:t>
      </w:r>
      <w:r w:rsidR="007350F8" w:rsidRPr="007350F8">
        <w:rPr>
          <w:rFonts w:ascii="Arial" w:hAnsi="Arial" w:cs="Arial"/>
          <w:b/>
          <w:bCs/>
          <w:u w:val="single"/>
          <w:lang w:val="fr-FR"/>
        </w:rPr>
        <w:t xml:space="preserve">Preparation of concentrations </w:t>
      </w:r>
    </w:p>
    <w:p w14:paraId="02F6400C" w14:textId="289F2CE3" w:rsidR="007350F8" w:rsidRDefault="007350F8" w:rsidP="00470FD3">
      <w:pPr>
        <w:pStyle w:val="Body"/>
        <w:spacing w:after="0"/>
        <w:rPr>
          <w:rFonts w:ascii="Arial" w:hAnsi="Arial" w:cs="Arial"/>
          <w:lang w:val="fr-FR"/>
        </w:rPr>
      </w:pPr>
      <w:r w:rsidRPr="007350F8">
        <w:rPr>
          <w:rFonts w:ascii="Arial" w:hAnsi="Arial" w:cs="Arial"/>
          <w:lang w:val="fr-FR"/>
        </w:rPr>
        <w:t>The concentrations of lead acetate, mercury oxide, and glyphosate were prepared respectively in accordance with the toxicological reference values with threshold effects adopted by ANSES in 2023 (15 µ</w:t>
      </w:r>
      <w:r w:rsidR="008C0A90" w:rsidRPr="007350F8">
        <w:rPr>
          <w:rFonts w:ascii="Arial" w:hAnsi="Arial" w:cs="Arial"/>
          <w:lang w:val="fr-FR"/>
        </w:rPr>
        <w:t>g. L</w:t>
      </w:r>
      <w:r w:rsidRPr="007350F8">
        <w:rPr>
          <w:rFonts w:ascii="Arial" w:hAnsi="Arial" w:cs="Arial"/>
          <w:vertAlign w:val="superscript"/>
          <w:lang w:val="fr-FR"/>
        </w:rPr>
        <w:t>-1</w:t>
      </w:r>
      <w:r w:rsidRPr="007350F8">
        <w:rPr>
          <w:rFonts w:ascii="Arial" w:hAnsi="Arial" w:cs="Arial"/>
          <w:lang w:val="fr-FR"/>
        </w:rPr>
        <w:t>) for lead, ATSDR in 2022 (0.3 µg/m</w:t>
      </w:r>
      <w:r w:rsidRPr="007350F8">
        <w:rPr>
          <w:rFonts w:ascii="Arial" w:hAnsi="Arial" w:cs="Arial"/>
          <w:vertAlign w:val="superscript"/>
          <w:lang w:val="fr-FR"/>
        </w:rPr>
        <w:t>3</w:t>
      </w:r>
      <w:r w:rsidRPr="007350F8">
        <w:rPr>
          <w:rFonts w:ascii="Arial" w:hAnsi="Arial" w:cs="Arial"/>
          <w:lang w:val="fr-FR"/>
        </w:rPr>
        <w:t xml:space="preserve">) for mercury, and CSS in 2020 (0.5 mg/kg/day) for glyphosate. </w:t>
      </w:r>
    </w:p>
    <w:p w14:paraId="3C03CBAD" w14:textId="77777777" w:rsidR="00470FD3" w:rsidRPr="007350F8" w:rsidRDefault="00470FD3" w:rsidP="00470FD3">
      <w:pPr>
        <w:pStyle w:val="Body"/>
        <w:spacing w:after="0"/>
        <w:rPr>
          <w:rFonts w:ascii="Arial" w:hAnsi="Arial" w:cs="Arial"/>
          <w:lang w:val="fr-FR"/>
        </w:rPr>
      </w:pPr>
    </w:p>
    <w:p w14:paraId="78A971FB" w14:textId="21D83E76" w:rsidR="007350F8" w:rsidRPr="007350F8" w:rsidRDefault="00835868" w:rsidP="00470FD3">
      <w:pPr>
        <w:pStyle w:val="Body"/>
        <w:spacing w:after="0"/>
        <w:rPr>
          <w:rFonts w:ascii="Arial" w:hAnsi="Arial" w:cs="Arial"/>
          <w:b/>
          <w:bCs/>
          <w:u w:val="single"/>
          <w:lang w:val="fr-FR"/>
        </w:rPr>
      </w:pPr>
      <w:r>
        <w:rPr>
          <w:rFonts w:ascii="Arial" w:hAnsi="Arial" w:cs="Arial"/>
          <w:b/>
          <w:bCs/>
          <w:u w:val="single"/>
          <w:lang w:val="fr-FR"/>
        </w:rPr>
        <w:t xml:space="preserve">2.2.3 </w:t>
      </w:r>
      <w:r w:rsidR="007350F8" w:rsidRPr="007350F8">
        <w:rPr>
          <w:rFonts w:ascii="Arial" w:hAnsi="Arial" w:cs="Arial"/>
          <w:b/>
          <w:bCs/>
          <w:u w:val="single"/>
          <w:lang w:val="fr-FR"/>
        </w:rPr>
        <w:t>Preparation of bacterial suspension</w:t>
      </w:r>
    </w:p>
    <w:p w14:paraId="17869BA1" w14:textId="77777777" w:rsidR="007350F8" w:rsidRPr="007350F8" w:rsidRDefault="007350F8" w:rsidP="00470FD3">
      <w:pPr>
        <w:pStyle w:val="Body"/>
        <w:spacing w:after="0"/>
        <w:rPr>
          <w:rFonts w:ascii="Arial" w:hAnsi="Arial" w:cs="Arial"/>
          <w:lang w:val="fr-FR"/>
        </w:rPr>
      </w:pPr>
      <w:r w:rsidRPr="007350F8">
        <w:rPr>
          <w:rFonts w:ascii="Arial" w:hAnsi="Arial" w:cs="Arial"/>
          <w:lang w:val="fr-FR"/>
        </w:rPr>
        <w:t xml:space="preserve">This suspension was prepared according to the method used by Cziek </w:t>
      </w:r>
      <w:r w:rsidRPr="004E3B30">
        <w:rPr>
          <w:rFonts w:ascii="Arial" w:hAnsi="Arial" w:cs="Arial"/>
          <w:i/>
          <w:iCs/>
          <w:lang w:val="fr-FR"/>
        </w:rPr>
        <w:t>et al</w:t>
      </w:r>
      <w:r w:rsidRPr="007350F8">
        <w:rPr>
          <w:rFonts w:ascii="Arial" w:hAnsi="Arial" w:cs="Arial"/>
          <w:lang w:val="fr-FR"/>
        </w:rPr>
        <w:t>. (2000) with some modifications.</w:t>
      </w:r>
    </w:p>
    <w:p w14:paraId="220D2344" w14:textId="3FC953CF" w:rsidR="007350F8" w:rsidRDefault="007350F8" w:rsidP="00470FD3">
      <w:pPr>
        <w:pStyle w:val="Body"/>
        <w:spacing w:after="0"/>
        <w:rPr>
          <w:rFonts w:ascii="Arial" w:hAnsi="Arial" w:cs="Arial"/>
          <w:lang w:val="fr-FR"/>
        </w:rPr>
      </w:pPr>
      <w:r w:rsidRPr="007350F8">
        <w:rPr>
          <w:rFonts w:ascii="Arial" w:hAnsi="Arial" w:cs="Arial"/>
          <w:lang w:val="fr-FR"/>
        </w:rPr>
        <w:t>For this purpose, the bacterial isolate in previously prepared Müller-Hinton agar was incubated at 37</w:t>
      </w:r>
      <w:r w:rsidR="008C0A90">
        <w:rPr>
          <w:rFonts w:ascii="Arial" w:hAnsi="Arial" w:cs="Arial"/>
          <w:lang w:val="fr-FR"/>
        </w:rPr>
        <w:t xml:space="preserve"> </w:t>
      </w:r>
      <w:r w:rsidRPr="007350F8">
        <w:rPr>
          <w:rFonts w:ascii="Arial" w:hAnsi="Arial" w:cs="Arial"/>
          <w:lang w:val="fr-FR"/>
        </w:rPr>
        <w:t>°C for 24 hours. Then, a few colonies were isolated and enriched overnight at 37</w:t>
      </w:r>
      <w:r w:rsidR="008C0A90">
        <w:rPr>
          <w:rFonts w:ascii="Arial" w:hAnsi="Arial" w:cs="Arial"/>
          <w:lang w:val="fr-FR"/>
        </w:rPr>
        <w:t xml:space="preserve"> </w:t>
      </w:r>
      <w:r w:rsidRPr="007350F8">
        <w:rPr>
          <w:rFonts w:ascii="Arial" w:hAnsi="Arial" w:cs="Arial"/>
          <w:lang w:val="fr-FR"/>
        </w:rPr>
        <w:t>°C in 50 mL of buffered peptone water (BPW). Following centrifugation at 7000 tr/10 min, the sediment was suspended in a sterile aqueous solution of 10</w:t>
      </w:r>
      <w:r w:rsidR="008C0A90">
        <w:rPr>
          <w:rFonts w:ascii="Arial" w:hAnsi="Arial" w:cs="Arial"/>
          <w:lang w:val="fr-FR"/>
        </w:rPr>
        <w:t xml:space="preserve"> </w:t>
      </w:r>
      <w:r w:rsidRPr="007350F8">
        <w:rPr>
          <w:rFonts w:ascii="Arial" w:hAnsi="Arial" w:cs="Arial"/>
          <w:lang w:val="fr-FR"/>
        </w:rPr>
        <w:t>% skimmed milk powder and diluted to an estimated concentration of 10</w:t>
      </w:r>
      <w:r w:rsidRPr="007350F8">
        <w:rPr>
          <w:rFonts w:ascii="Arial" w:hAnsi="Arial" w:cs="Arial"/>
          <w:vertAlign w:val="superscript"/>
          <w:lang w:val="fr-FR"/>
        </w:rPr>
        <w:t>5</w:t>
      </w:r>
      <w:r w:rsidRPr="007350F8">
        <w:rPr>
          <w:rFonts w:ascii="Arial" w:hAnsi="Arial" w:cs="Arial"/>
          <w:lang w:val="fr-FR"/>
        </w:rPr>
        <w:t xml:space="preserve"> CFU. One (1) mL of this suspension was used to inoculate rats orally on days D</w:t>
      </w:r>
      <w:r w:rsidRPr="007350F8">
        <w:rPr>
          <w:rFonts w:ascii="Arial" w:hAnsi="Arial" w:cs="Arial"/>
          <w:vertAlign w:val="subscript"/>
          <w:lang w:val="fr-FR"/>
        </w:rPr>
        <w:t>0</w:t>
      </w:r>
      <w:r w:rsidRPr="007350F8">
        <w:rPr>
          <w:rFonts w:ascii="Arial" w:hAnsi="Arial" w:cs="Arial"/>
          <w:lang w:val="fr-FR"/>
        </w:rPr>
        <w:t>, D</w:t>
      </w:r>
      <w:r w:rsidRPr="007350F8">
        <w:rPr>
          <w:rFonts w:ascii="Arial" w:hAnsi="Arial" w:cs="Arial"/>
          <w:vertAlign w:val="subscript"/>
          <w:lang w:val="fr-FR"/>
        </w:rPr>
        <w:t>5</w:t>
      </w:r>
      <w:r w:rsidRPr="007350F8">
        <w:rPr>
          <w:rFonts w:ascii="Arial" w:hAnsi="Arial" w:cs="Arial"/>
          <w:lang w:val="fr-FR"/>
        </w:rPr>
        <w:t>, and D</w:t>
      </w:r>
      <w:r w:rsidRPr="007350F8">
        <w:rPr>
          <w:rFonts w:ascii="Arial" w:hAnsi="Arial" w:cs="Arial"/>
          <w:vertAlign w:val="subscript"/>
          <w:lang w:val="fr-FR"/>
        </w:rPr>
        <w:t>9</w:t>
      </w:r>
      <w:r w:rsidRPr="007350F8">
        <w:rPr>
          <w:rFonts w:ascii="Arial" w:hAnsi="Arial" w:cs="Arial"/>
          <w:lang w:val="fr-FR"/>
        </w:rPr>
        <w:t>.</w:t>
      </w:r>
    </w:p>
    <w:p w14:paraId="6D0EAEE2" w14:textId="77777777" w:rsidR="00470FD3" w:rsidRPr="007350F8" w:rsidRDefault="00470FD3" w:rsidP="00470FD3">
      <w:pPr>
        <w:pStyle w:val="Body"/>
        <w:spacing w:after="0"/>
        <w:rPr>
          <w:rFonts w:ascii="Arial" w:hAnsi="Arial" w:cs="Arial"/>
          <w:lang w:val="fr-FR"/>
        </w:rPr>
      </w:pPr>
    </w:p>
    <w:p w14:paraId="6758035E" w14:textId="2AC015DD" w:rsidR="007350F8" w:rsidRPr="007350F8" w:rsidRDefault="00835868" w:rsidP="00AA177A">
      <w:pPr>
        <w:pStyle w:val="Body"/>
        <w:spacing w:after="0"/>
        <w:rPr>
          <w:rFonts w:ascii="Arial" w:hAnsi="Arial" w:cs="Arial"/>
          <w:b/>
          <w:bCs/>
          <w:u w:val="single"/>
          <w:lang w:val="fr-FR"/>
        </w:rPr>
      </w:pPr>
      <w:r>
        <w:rPr>
          <w:rFonts w:ascii="Arial" w:hAnsi="Arial" w:cs="Arial"/>
          <w:b/>
          <w:bCs/>
          <w:u w:val="single"/>
          <w:lang w:val="fr-FR"/>
        </w:rPr>
        <w:t xml:space="preserve">2.2.4 </w:t>
      </w:r>
      <w:r w:rsidR="007350F8" w:rsidRPr="007350F8">
        <w:rPr>
          <w:rFonts w:ascii="Arial" w:hAnsi="Arial" w:cs="Arial"/>
          <w:b/>
          <w:bCs/>
          <w:u w:val="single"/>
          <w:lang w:val="fr-FR"/>
        </w:rPr>
        <w:t>Preparation of fungal suspension</w:t>
      </w:r>
    </w:p>
    <w:p w14:paraId="36862350"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The fungal suspension was prepared followed the method used by Russell &amp; Jones (1973), with a few modifications.</w:t>
      </w:r>
    </w:p>
    <w:p w14:paraId="530578B2" w14:textId="43F9B976" w:rsidR="007350F8" w:rsidRPr="007350F8" w:rsidRDefault="007350F8" w:rsidP="00AA177A">
      <w:pPr>
        <w:pStyle w:val="Body"/>
        <w:spacing w:after="0"/>
        <w:rPr>
          <w:rFonts w:ascii="Arial" w:hAnsi="Arial" w:cs="Arial"/>
          <w:lang w:val="fr-FR"/>
        </w:rPr>
      </w:pPr>
      <w:r w:rsidRPr="007350F8">
        <w:rPr>
          <w:rFonts w:ascii="Arial" w:hAnsi="Arial" w:cs="Arial"/>
          <w:lang w:val="fr-FR"/>
        </w:rPr>
        <w:t>The fungal isolate was subculturer on Sabouraud agar supplemented with chloramphenicol and incubated at 35</w:t>
      </w:r>
      <w:r w:rsidR="008C0A90">
        <w:rPr>
          <w:rFonts w:ascii="Arial" w:hAnsi="Arial" w:cs="Arial"/>
          <w:lang w:val="fr-FR"/>
        </w:rPr>
        <w:t xml:space="preserve"> </w:t>
      </w:r>
      <w:r w:rsidRPr="007350F8">
        <w:rPr>
          <w:rFonts w:ascii="Arial" w:hAnsi="Arial" w:cs="Arial"/>
          <w:lang w:val="fr-FR"/>
        </w:rPr>
        <w:t>°C for 48 hours. The resulting growth was harvested, washed twice by centrifugation at 7000 tr/10 min and suspended in 10 mL of sterile saline solution (0.9</w:t>
      </w:r>
      <w:r w:rsidR="008C0A90">
        <w:rPr>
          <w:rFonts w:ascii="Arial" w:hAnsi="Arial" w:cs="Arial"/>
          <w:lang w:val="fr-FR"/>
        </w:rPr>
        <w:t xml:space="preserve"> </w:t>
      </w:r>
      <w:r w:rsidRPr="007350F8">
        <w:rPr>
          <w:rFonts w:ascii="Arial" w:hAnsi="Arial" w:cs="Arial"/>
          <w:lang w:val="fr-FR"/>
        </w:rPr>
        <w:t>% NaCl) to obtain a final concentration of 6.10</w:t>
      </w:r>
      <w:r w:rsidRPr="007350F8">
        <w:rPr>
          <w:rFonts w:ascii="Arial" w:hAnsi="Arial" w:cs="Arial"/>
          <w:vertAlign w:val="superscript"/>
          <w:lang w:val="fr-FR"/>
        </w:rPr>
        <w:t>8</w:t>
      </w:r>
      <w:r w:rsidRPr="007350F8">
        <w:rPr>
          <w:rFonts w:ascii="Arial" w:hAnsi="Arial" w:cs="Arial"/>
          <w:lang w:val="fr-FR"/>
        </w:rPr>
        <w:t xml:space="preserve"> cells/mL.</w:t>
      </w:r>
    </w:p>
    <w:p w14:paraId="13F42D31" w14:textId="77777777" w:rsidR="007350F8" w:rsidRDefault="007350F8" w:rsidP="00AA177A">
      <w:pPr>
        <w:pStyle w:val="Body"/>
        <w:spacing w:after="0"/>
        <w:rPr>
          <w:rFonts w:ascii="Arial" w:hAnsi="Arial" w:cs="Arial"/>
          <w:lang w:val="fr-FR"/>
        </w:rPr>
      </w:pPr>
      <w:r w:rsidRPr="007350F8">
        <w:rPr>
          <w:rFonts w:ascii="Arial" w:hAnsi="Arial" w:cs="Arial"/>
          <w:lang w:val="fr-FR"/>
        </w:rPr>
        <w:t>Each rat was orally inoculated with 0.1 mL of this suspension on days D</w:t>
      </w:r>
      <w:r w:rsidRPr="007350F8">
        <w:rPr>
          <w:rFonts w:ascii="Arial" w:hAnsi="Arial" w:cs="Arial"/>
          <w:vertAlign w:val="subscript"/>
          <w:lang w:val="fr-FR"/>
        </w:rPr>
        <w:t>0</w:t>
      </w:r>
      <w:r w:rsidRPr="007350F8">
        <w:rPr>
          <w:rFonts w:ascii="Arial" w:hAnsi="Arial" w:cs="Arial"/>
          <w:lang w:val="fr-FR"/>
        </w:rPr>
        <w:t>, D</w:t>
      </w:r>
      <w:r w:rsidRPr="007350F8">
        <w:rPr>
          <w:rFonts w:ascii="Arial" w:hAnsi="Arial" w:cs="Arial"/>
          <w:vertAlign w:val="subscript"/>
          <w:lang w:val="fr-FR"/>
        </w:rPr>
        <w:t>6</w:t>
      </w:r>
      <w:r w:rsidRPr="007350F8">
        <w:rPr>
          <w:rFonts w:ascii="Arial" w:hAnsi="Arial" w:cs="Arial"/>
          <w:lang w:val="fr-FR"/>
        </w:rPr>
        <w:t>, D</w:t>
      </w:r>
      <w:r w:rsidRPr="007350F8">
        <w:rPr>
          <w:rFonts w:ascii="Arial" w:hAnsi="Arial" w:cs="Arial"/>
          <w:vertAlign w:val="subscript"/>
          <w:lang w:val="fr-FR"/>
        </w:rPr>
        <w:t>8</w:t>
      </w:r>
      <w:r w:rsidRPr="007350F8">
        <w:rPr>
          <w:rFonts w:ascii="Arial" w:hAnsi="Arial" w:cs="Arial"/>
          <w:lang w:val="fr-FR"/>
        </w:rPr>
        <w:t>, and D</w:t>
      </w:r>
      <w:r w:rsidRPr="007350F8">
        <w:rPr>
          <w:rFonts w:ascii="Arial" w:hAnsi="Arial" w:cs="Arial"/>
          <w:vertAlign w:val="subscript"/>
          <w:lang w:val="fr-FR"/>
        </w:rPr>
        <w:t>10</w:t>
      </w:r>
      <w:r w:rsidRPr="007350F8">
        <w:rPr>
          <w:rFonts w:ascii="Arial" w:hAnsi="Arial" w:cs="Arial"/>
          <w:lang w:val="fr-FR"/>
        </w:rPr>
        <w:t>.</w:t>
      </w:r>
    </w:p>
    <w:p w14:paraId="19767331" w14:textId="77777777" w:rsidR="00AA177A" w:rsidRPr="007350F8" w:rsidRDefault="00AA177A" w:rsidP="00AA177A">
      <w:pPr>
        <w:pStyle w:val="Body"/>
        <w:spacing w:after="0"/>
        <w:rPr>
          <w:rFonts w:ascii="Arial" w:hAnsi="Arial" w:cs="Arial"/>
          <w:lang w:val="fr-FR"/>
        </w:rPr>
      </w:pPr>
    </w:p>
    <w:p w14:paraId="702DCFBA" w14:textId="5368850F" w:rsidR="007350F8" w:rsidRPr="007350F8" w:rsidRDefault="00835868" w:rsidP="00AA177A">
      <w:pPr>
        <w:pStyle w:val="Body"/>
        <w:spacing w:after="0"/>
        <w:rPr>
          <w:rFonts w:ascii="Arial" w:hAnsi="Arial" w:cs="Arial"/>
          <w:b/>
          <w:bCs/>
          <w:u w:val="single"/>
          <w:lang w:val="fr-FR"/>
        </w:rPr>
      </w:pPr>
      <w:r>
        <w:rPr>
          <w:rFonts w:ascii="Arial" w:hAnsi="Arial" w:cs="Arial"/>
          <w:b/>
          <w:bCs/>
          <w:u w:val="single"/>
          <w:lang w:val="fr-FR"/>
        </w:rPr>
        <w:t xml:space="preserve">2.2.5 </w:t>
      </w:r>
      <w:r w:rsidR="007350F8" w:rsidRPr="007350F8">
        <w:rPr>
          <w:rFonts w:ascii="Arial" w:hAnsi="Arial" w:cs="Arial"/>
          <w:b/>
          <w:bCs/>
          <w:u w:val="single"/>
          <w:lang w:val="fr-FR"/>
        </w:rPr>
        <w:t>Intoxication and development of infection in rats</w:t>
      </w:r>
    </w:p>
    <w:p w14:paraId="288703DD"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The study was conducted in accordance with OCDE recommendations 403, 407, 423, and 436 (OCDE, 2001). These methods aim to assess the correlations between exposure to environmental pollutants, systemic inflammation, and the progression of experimental infections.</w:t>
      </w:r>
    </w:p>
    <w:p w14:paraId="5EAC0156"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A total of 54 Wistar rats (</w:t>
      </w:r>
      <w:r w:rsidRPr="007350F8">
        <w:rPr>
          <w:rFonts w:ascii="Arial" w:hAnsi="Arial" w:cs="Arial"/>
          <w:i/>
          <w:iCs/>
          <w:lang w:val="fr-FR"/>
        </w:rPr>
        <w:t>Rattus norvegicus</w:t>
      </w:r>
      <w:r w:rsidRPr="007350F8">
        <w:rPr>
          <w:rFonts w:ascii="Arial" w:hAnsi="Arial" w:cs="Arial"/>
          <w:lang w:val="fr-FR"/>
        </w:rPr>
        <w:t xml:space="preserve">) of similar weight were used. The animals were divided into nine (9) Batches of six (6) </w:t>
      </w:r>
      <w:r w:rsidR="00812630" w:rsidRPr="007350F8">
        <w:rPr>
          <w:rFonts w:ascii="Arial" w:hAnsi="Arial" w:cs="Arial"/>
          <w:lang w:val="fr-FR"/>
        </w:rPr>
        <w:t>rats :</w:t>
      </w:r>
    </w:p>
    <w:p w14:paraId="07BC2819"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w:t>
      </w:r>
      <w:r w:rsidR="00812630">
        <w:rPr>
          <w:rFonts w:ascii="Arial" w:hAnsi="Arial" w:cs="Arial"/>
          <w:lang w:val="fr-FR"/>
        </w:rPr>
        <w:t xml:space="preserve"> </w:t>
      </w:r>
      <w:r w:rsidRPr="007350F8">
        <w:rPr>
          <w:rFonts w:ascii="Arial" w:hAnsi="Arial" w:cs="Arial"/>
          <w:lang w:val="fr-FR"/>
        </w:rPr>
        <w:t>Batch T</w:t>
      </w:r>
      <w:r w:rsidR="00812630" w:rsidRPr="007350F8">
        <w:rPr>
          <w:rFonts w:ascii="Arial" w:hAnsi="Arial" w:cs="Arial"/>
          <w:vertAlign w:val="subscript"/>
          <w:lang w:val="fr-FR"/>
        </w:rPr>
        <w:t>0</w:t>
      </w:r>
      <w:r w:rsidR="00812630" w:rsidRPr="007350F8">
        <w:rPr>
          <w:rFonts w:ascii="Arial" w:hAnsi="Arial" w:cs="Arial"/>
          <w:lang w:val="fr-FR"/>
        </w:rPr>
        <w:t xml:space="preserve"> :</w:t>
      </w:r>
      <w:r w:rsidRPr="007350F8">
        <w:rPr>
          <w:rFonts w:ascii="Arial" w:hAnsi="Arial" w:cs="Arial"/>
          <w:lang w:val="fr-FR"/>
        </w:rPr>
        <w:t xml:space="preserve"> negative control (healthy food and water).</w:t>
      </w:r>
    </w:p>
    <w:p w14:paraId="585AF11E"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Batches T</w:t>
      </w:r>
      <w:r w:rsidRPr="007350F8">
        <w:rPr>
          <w:rFonts w:ascii="Arial" w:hAnsi="Arial" w:cs="Arial"/>
          <w:vertAlign w:val="subscript"/>
          <w:lang w:val="fr-FR"/>
        </w:rPr>
        <w:t>1</w:t>
      </w:r>
      <w:r w:rsidRPr="007350F8">
        <w:rPr>
          <w:rFonts w:ascii="Arial" w:hAnsi="Arial" w:cs="Arial"/>
          <w:lang w:val="fr-FR"/>
        </w:rPr>
        <w:t xml:space="preserve"> and T</w:t>
      </w:r>
      <w:r w:rsidR="00812630" w:rsidRPr="007350F8">
        <w:rPr>
          <w:rFonts w:ascii="Arial" w:hAnsi="Arial" w:cs="Arial"/>
          <w:vertAlign w:val="subscript"/>
          <w:lang w:val="fr-FR"/>
        </w:rPr>
        <w:t>2</w:t>
      </w:r>
      <w:r w:rsidR="00812630" w:rsidRPr="007350F8">
        <w:rPr>
          <w:rFonts w:ascii="Arial" w:hAnsi="Arial" w:cs="Arial"/>
          <w:lang w:val="fr-FR"/>
        </w:rPr>
        <w:t xml:space="preserve"> :</w:t>
      </w:r>
      <w:r w:rsidRPr="007350F8">
        <w:rPr>
          <w:rFonts w:ascii="Arial" w:hAnsi="Arial" w:cs="Arial"/>
          <w:lang w:val="fr-FR"/>
        </w:rPr>
        <w:t xml:space="preserve"> positive controls infected with </w:t>
      </w:r>
      <w:r w:rsidRPr="007350F8">
        <w:rPr>
          <w:rFonts w:ascii="Arial" w:hAnsi="Arial" w:cs="Arial"/>
          <w:i/>
          <w:iCs/>
          <w:lang w:val="fr-FR"/>
        </w:rPr>
        <w:t>Escherichia coli</w:t>
      </w:r>
      <w:r w:rsidRPr="007350F8">
        <w:rPr>
          <w:rFonts w:ascii="Arial" w:hAnsi="Arial" w:cs="Arial"/>
          <w:lang w:val="fr-FR"/>
        </w:rPr>
        <w:t xml:space="preserve"> and </w:t>
      </w:r>
      <w:r w:rsidRPr="007350F8">
        <w:rPr>
          <w:rFonts w:ascii="Arial" w:hAnsi="Arial" w:cs="Arial"/>
          <w:i/>
          <w:iCs/>
          <w:lang w:val="fr-FR"/>
        </w:rPr>
        <w:t>Candida albicans</w:t>
      </w:r>
      <w:r w:rsidRPr="007350F8">
        <w:rPr>
          <w:rFonts w:ascii="Arial" w:hAnsi="Arial" w:cs="Arial"/>
          <w:lang w:val="fr-FR"/>
        </w:rPr>
        <w:t>, respectively.</w:t>
      </w:r>
    </w:p>
    <w:p w14:paraId="33E0E1EB" w14:textId="4DBF8F32" w:rsidR="007350F8" w:rsidRPr="007350F8" w:rsidRDefault="007350F8" w:rsidP="00AA177A">
      <w:pPr>
        <w:pStyle w:val="Body"/>
        <w:spacing w:after="0"/>
        <w:rPr>
          <w:rFonts w:ascii="Arial" w:hAnsi="Arial" w:cs="Arial"/>
          <w:lang w:val="fr-FR"/>
        </w:rPr>
      </w:pPr>
      <w:r w:rsidRPr="007350F8">
        <w:rPr>
          <w:rFonts w:ascii="Arial" w:hAnsi="Arial" w:cs="Arial"/>
          <w:lang w:val="fr-FR"/>
        </w:rPr>
        <w:t>•</w:t>
      </w:r>
      <w:r w:rsidR="004E3B30">
        <w:rPr>
          <w:rFonts w:ascii="Arial" w:hAnsi="Arial" w:cs="Arial"/>
          <w:lang w:val="fr-FR"/>
        </w:rPr>
        <w:t xml:space="preserve"> </w:t>
      </w:r>
      <w:r w:rsidRPr="007350F8">
        <w:rPr>
          <w:rFonts w:ascii="Arial" w:hAnsi="Arial" w:cs="Arial"/>
          <w:lang w:val="fr-FR"/>
        </w:rPr>
        <w:t>Batches ACP</w:t>
      </w:r>
      <w:r w:rsidRPr="007350F8">
        <w:rPr>
          <w:rFonts w:ascii="Arial" w:hAnsi="Arial" w:cs="Arial"/>
          <w:vertAlign w:val="subscript"/>
          <w:lang w:val="fr-FR"/>
        </w:rPr>
        <w:t>1</w:t>
      </w:r>
      <w:r w:rsidRPr="007350F8">
        <w:rPr>
          <w:rFonts w:ascii="Arial" w:hAnsi="Arial" w:cs="Arial"/>
          <w:lang w:val="fr-FR"/>
        </w:rPr>
        <w:t xml:space="preserve"> and ACP</w:t>
      </w:r>
      <w:r w:rsidR="00812630" w:rsidRPr="007350F8">
        <w:rPr>
          <w:rFonts w:ascii="Arial" w:hAnsi="Arial" w:cs="Arial"/>
          <w:vertAlign w:val="subscript"/>
          <w:lang w:val="fr-FR"/>
        </w:rPr>
        <w:t>2</w:t>
      </w:r>
      <w:r w:rsidR="00812630" w:rsidRPr="007350F8">
        <w:rPr>
          <w:rFonts w:ascii="Arial" w:hAnsi="Arial" w:cs="Arial"/>
          <w:lang w:val="fr-FR"/>
        </w:rPr>
        <w:t xml:space="preserve"> :</w:t>
      </w:r>
      <w:r w:rsidRPr="007350F8">
        <w:rPr>
          <w:rFonts w:ascii="Arial" w:hAnsi="Arial" w:cs="Arial"/>
          <w:lang w:val="fr-FR"/>
        </w:rPr>
        <w:t xml:space="preserve"> exposed to lead acetate (orally) and infected respectively by </w:t>
      </w:r>
      <w:r w:rsidRPr="00812630">
        <w:rPr>
          <w:rFonts w:ascii="Arial" w:hAnsi="Arial" w:cs="Arial"/>
          <w:i/>
          <w:lang w:val="fr-FR"/>
        </w:rPr>
        <w:t>Escherichia coli</w:t>
      </w:r>
      <w:r w:rsidRPr="007350F8">
        <w:rPr>
          <w:rFonts w:ascii="Arial" w:hAnsi="Arial" w:cs="Arial"/>
          <w:lang w:val="fr-FR"/>
        </w:rPr>
        <w:t xml:space="preserve"> and </w:t>
      </w:r>
      <w:r w:rsidRPr="00812630">
        <w:rPr>
          <w:rFonts w:ascii="Arial" w:hAnsi="Arial" w:cs="Arial"/>
          <w:i/>
          <w:lang w:val="fr-FR"/>
        </w:rPr>
        <w:t>Candida albicans</w:t>
      </w:r>
    </w:p>
    <w:p w14:paraId="5547BBED"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Batches OME</w:t>
      </w:r>
      <w:r w:rsidRPr="007350F8">
        <w:rPr>
          <w:rFonts w:ascii="Arial" w:hAnsi="Arial" w:cs="Arial"/>
          <w:vertAlign w:val="subscript"/>
          <w:lang w:val="fr-FR"/>
        </w:rPr>
        <w:t>1</w:t>
      </w:r>
      <w:r w:rsidRPr="007350F8">
        <w:rPr>
          <w:rFonts w:ascii="Arial" w:hAnsi="Arial" w:cs="Arial"/>
          <w:lang w:val="fr-FR"/>
        </w:rPr>
        <w:t xml:space="preserve"> and OME</w:t>
      </w:r>
      <w:r w:rsidR="00812630" w:rsidRPr="007350F8">
        <w:rPr>
          <w:rFonts w:ascii="Arial" w:hAnsi="Arial" w:cs="Arial"/>
          <w:vertAlign w:val="subscript"/>
          <w:lang w:val="fr-FR"/>
        </w:rPr>
        <w:t>2</w:t>
      </w:r>
      <w:r w:rsidR="00812630" w:rsidRPr="007350F8">
        <w:rPr>
          <w:rFonts w:ascii="Arial" w:hAnsi="Arial" w:cs="Arial"/>
          <w:lang w:val="fr-FR"/>
        </w:rPr>
        <w:t xml:space="preserve"> :</w:t>
      </w:r>
      <w:r w:rsidRPr="007350F8">
        <w:rPr>
          <w:rFonts w:ascii="Arial" w:hAnsi="Arial" w:cs="Arial"/>
          <w:lang w:val="fr-FR"/>
        </w:rPr>
        <w:t xml:space="preserve"> exposed to mercury oxide (inhalation for 4 hours) and infected with </w:t>
      </w:r>
      <w:r w:rsidRPr="00812630">
        <w:rPr>
          <w:rFonts w:ascii="Arial" w:hAnsi="Arial" w:cs="Arial"/>
          <w:i/>
          <w:lang w:val="fr-FR"/>
        </w:rPr>
        <w:t>Escherichia coli</w:t>
      </w:r>
      <w:r w:rsidRPr="007350F8">
        <w:rPr>
          <w:rFonts w:ascii="Arial" w:hAnsi="Arial" w:cs="Arial"/>
          <w:lang w:val="fr-FR"/>
        </w:rPr>
        <w:t xml:space="preserve"> and </w:t>
      </w:r>
      <w:r w:rsidRPr="00812630">
        <w:rPr>
          <w:rFonts w:ascii="Arial" w:hAnsi="Arial" w:cs="Arial"/>
          <w:i/>
          <w:lang w:val="fr-FR"/>
        </w:rPr>
        <w:t>Candida albicans</w:t>
      </w:r>
      <w:r w:rsidRPr="007350F8">
        <w:rPr>
          <w:rFonts w:ascii="Arial" w:hAnsi="Arial" w:cs="Arial"/>
          <w:lang w:val="fr-FR"/>
        </w:rPr>
        <w:t>, respectively.</w:t>
      </w:r>
    </w:p>
    <w:p w14:paraId="3C015ED8"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Batches GLY</w:t>
      </w:r>
      <w:r w:rsidRPr="007350F8">
        <w:rPr>
          <w:rFonts w:ascii="Arial" w:hAnsi="Arial" w:cs="Arial"/>
          <w:vertAlign w:val="subscript"/>
          <w:lang w:val="fr-FR"/>
        </w:rPr>
        <w:t>1</w:t>
      </w:r>
      <w:r w:rsidRPr="007350F8">
        <w:rPr>
          <w:rFonts w:ascii="Arial" w:hAnsi="Arial" w:cs="Arial"/>
          <w:lang w:val="fr-FR"/>
        </w:rPr>
        <w:t xml:space="preserve"> and GLY</w:t>
      </w:r>
      <w:r w:rsidR="00812630" w:rsidRPr="007350F8">
        <w:rPr>
          <w:rFonts w:ascii="Arial" w:hAnsi="Arial" w:cs="Arial"/>
          <w:vertAlign w:val="subscript"/>
          <w:lang w:val="fr-FR"/>
        </w:rPr>
        <w:t>2</w:t>
      </w:r>
      <w:r w:rsidR="00812630" w:rsidRPr="007350F8">
        <w:rPr>
          <w:rFonts w:ascii="Arial" w:hAnsi="Arial" w:cs="Arial"/>
          <w:lang w:val="fr-FR"/>
        </w:rPr>
        <w:t xml:space="preserve"> :</w:t>
      </w:r>
      <w:r w:rsidRPr="007350F8">
        <w:rPr>
          <w:rFonts w:ascii="Arial" w:hAnsi="Arial" w:cs="Arial"/>
          <w:lang w:val="fr-FR"/>
        </w:rPr>
        <w:t xml:space="preserve"> exposed to glyphosate (orally) and infected respectively by </w:t>
      </w:r>
      <w:r w:rsidRPr="00812630">
        <w:rPr>
          <w:rFonts w:ascii="Arial" w:hAnsi="Arial" w:cs="Arial"/>
          <w:i/>
          <w:lang w:val="fr-FR"/>
        </w:rPr>
        <w:t>Escherichia coli</w:t>
      </w:r>
      <w:r w:rsidRPr="007350F8">
        <w:rPr>
          <w:rFonts w:ascii="Arial" w:hAnsi="Arial" w:cs="Arial"/>
          <w:lang w:val="fr-FR"/>
        </w:rPr>
        <w:t xml:space="preserve"> and </w:t>
      </w:r>
      <w:r w:rsidRPr="00812630">
        <w:rPr>
          <w:rFonts w:ascii="Arial" w:hAnsi="Arial" w:cs="Arial"/>
          <w:i/>
          <w:lang w:val="fr-FR"/>
        </w:rPr>
        <w:t>Candida albicans</w:t>
      </w:r>
      <w:r w:rsidRPr="007350F8">
        <w:rPr>
          <w:rFonts w:ascii="Arial" w:hAnsi="Arial" w:cs="Arial"/>
          <w:lang w:val="fr-FR"/>
        </w:rPr>
        <w:t>.</w:t>
      </w:r>
    </w:p>
    <w:p w14:paraId="1BA065F4" w14:textId="425EB921"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All rats were acclimatized before the experiments began. In order to prevent non-specific superinfections and standardize inoculation conditions, a reference antibiotic and antifungal agent were </w:t>
      </w:r>
      <w:r w:rsidR="00812630" w:rsidRPr="007350F8">
        <w:rPr>
          <w:rFonts w:ascii="Arial" w:hAnsi="Arial" w:cs="Arial"/>
          <w:lang w:val="fr-FR"/>
        </w:rPr>
        <w:t>administered :</w:t>
      </w:r>
      <w:r w:rsidRPr="007350F8">
        <w:rPr>
          <w:rFonts w:ascii="Arial" w:hAnsi="Arial" w:cs="Arial"/>
          <w:lang w:val="fr-FR"/>
        </w:rPr>
        <w:t xml:space="preserve"> ciprofloxacin 500 mg (0.5</w:t>
      </w:r>
      <w:r w:rsidR="008C0A90">
        <w:rPr>
          <w:rFonts w:ascii="Arial" w:hAnsi="Arial" w:cs="Arial"/>
          <w:lang w:val="fr-FR"/>
        </w:rPr>
        <w:t xml:space="preserve"> </w:t>
      </w:r>
      <w:r w:rsidRPr="007350F8">
        <w:rPr>
          <w:rFonts w:ascii="Arial" w:hAnsi="Arial" w:cs="Arial"/>
          <w:lang w:val="fr-FR"/>
        </w:rPr>
        <w:t>% on D</w:t>
      </w:r>
      <w:r w:rsidRPr="007350F8">
        <w:rPr>
          <w:rFonts w:ascii="Arial" w:hAnsi="Arial" w:cs="Arial"/>
          <w:vertAlign w:val="subscript"/>
          <w:lang w:val="fr-FR"/>
        </w:rPr>
        <w:t>1</w:t>
      </w:r>
      <w:r w:rsidRPr="007350F8">
        <w:rPr>
          <w:rFonts w:ascii="Arial" w:hAnsi="Arial" w:cs="Arial"/>
          <w:lang w:val="fr-FR"/>
        </w:rPr>
        <w:t xml:space="preserve"> before bacterial infection) and </w:t>
      </w:r>
      <w:r w:rsidRPr="007350F8">
        <w:rPr>
          <w:rFonts w:ascii="Arial" w:hAnsi="Arial" w:cs="Arial"/>
          <w:lang w:val="fr-FR"/>
        </w:rPr>
        <w:lastRenderedPageBreak/>
        <w:t>lymecycline 300 mg (0.1</w:t>
      </w:r>
      <w:r w:rsidR="008C0A90">
        <w:rPr>
          <w:rFonts w:ascii="Arial" w:hAnsi="Arial" w:cs="Arial"/>
          <w:lang w:val="fr-FR"/>
        </w:rPr>
        <w:t xml:space="preserve"> </w:t>
      </w:r>
      <w:r w:rsidRPr="007350F8">
        <w:rPr>
          <w:rFonts w:ascii="Arial" w:hAnsi="Arial" w:cs="Arial"/>
          <w:lang w:val="fr-FR"/>
        </w:rPr>
        <w:t>% starting from D</w:t>
      </w:r>
      <w:r w:rsidRPr="007350F8">
        <w:rPr>
          <w:rFonts w:ascii="Arial" w:hAnsi="Arial" w:cs="Arial"/>
          <w:vertAlign w:val="subscript"/>
          <w:lang w:val="fr-FR"/>
        </w:rPr>
        <w:t>5</w:t>
      </w:r>
      <w:r w:rsidRPr="007350F8">
        <w:rPr>
          <w:rFonts w:ascii="Arial" w:hAnsi="Arial" w:cs="Arial"/>
          <w:lang w:val="fr-FR"/>
        </w:rPr>
        <w:t xml:space="preserve"> before fungal infection) at a rate of 1 mL/100 g body weight.</w:t>
      </w:r>
    </w:p>
    <w:p w14:paraId="7374012D"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The infections were then carried out </w:t>
      </w:r>
      <w:r w:rsidR="00812630" w:rsidRPr="007350F8">
        <w:rPr>
          <w:rFonts w:ascii="Arial" w:hAnsi="Arial" w:cs="Arial"/>
          <w:lang w:val="fr-FR"/>
        </w:rPr>
        <w:t>orally :</w:t>
      </w:r>
    </w:p>
    <w:p w14:paraId="445E1CC0"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 </w:t>
      </w:r>
      <w:r w:rsidRPr="007350F8">
        <w:rPr>
          <w:rFonts w:ascii="Arial" w:hAnsi="Arial" w:cs="Arial"/>
          <w:i/>
          <w:iCs/>
          <w:lang w:val="fr-FR"/>
        </w:rPr>
        <w:t>Escherichia coli</w:t>
      </w:r>
      <w:r w:rsidRPr="007350F8">
        <w:rPr>
          <w:rFonts w:ascii="Arial" w:hAnsi="Arial" w:cs="Arial"/>
          <w:lang w:val="fr-FR"/>
        </w:rPr>
        <w:t xml:space="preserve"> (1 mL of bacterial suspension) on days D</w:t>
      </w:r>
      <w:r w:rsidRPr="007350F8">
        <w:rPr>
          <w:rFonts w:ascii="Arial" w:hAnsi="Arial" w:cs="Arial"/>
          <w:vertAlign w:val="subscript"/>
          <w:lang w:val="fr-FR"/>
        </w:rPr>
        <w:t>0</w:t>
      </w:r>
      <w:r w:rsidRPr="007350F8">
        <w:rPr>
          <w:rFonts w:ascii="Arial" w:hAnsi="Arial" w:cs="Arial"/>
          <w:lang w:val="fr-FR"/>
        </w:rPr>
        <w:t>, D</w:t>
      </w:r>
      <w:r w:rsidRPr="007350F8">
        <w:rPr>
          <w:rFonts w:ascii="Arial" w:hAnsi="Arial" w:cs="Arial"/>
          <w:vertAlign w:val="subscript"/>
          <w:lang w:val="fr-FR"/>
        </w:rPr>
        <w:t>5</w:t>
      </w:r>
      <w:r w:rsidRPr="007350F8">
        <w:rPr>
          <w:rFonts w:ascii="Arial" w:hAnsi="Arial" w:cs="Arial"/>
          <w:lang w:val="fr-FR"/>
        </w:rPr>
        <w:t>, and D</w:t>
      </w:r>
      <w:r w:rsidRPr="007350F8">
        <w:rPr>
          <w:rFonts w:ascii="Arial" w:hAnsi="Arial" w:cs="Arial"/>
          <w:vertAlign w:val="subscript"/>
          <w:lang w:val="fr-FR"/>
        </w:rPr>
        <w:t>9</w:t>
      </w:r>
      <w:r w:rsidRPr="007350F8">
        <w:rPr>
          <w:rFonts w:ascii="Arial" w:hAnsi="Arial" w:cs="Arial"/>
          <w:lang w:val="fr-FR"/>
        </w:rPr>
        <w:t>.</w:t>
      </w:r>
    </w:p>
    <w:p w14:paraId="6981BFE6"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 </w:t>
      </w:r>
      <w:r w:rsidRPr="007350F8">
        <w:rPr>
          <w:rFonts w:ascii="Arial" w:hAnsi="Arial" w:cs="Arial"/>
          <w:i/>
          <w:iCs/>
          <w:lang w:val="fr-FR"/>
        </w:rPr>
        <w:t>Candida albicans</w:t>
      </w:r>
      <w:r w:rsidRPr="007350F8">
        <w:rPr>
          <w:rFonts w:ascii="Arial" w:hAnsi="Arial" w:cs="Arial"/>
          <w:lang w:val="fr-FR"/>
        </w:rPr>
        <w:t xml:space="preserve"> (0.1 mL of fungal suspension) on days D</w:t>
      </w:r>
      <w:r w:rsidRPr="007350F8">
        <w:rPr>
          <w:rFonts w:ascii="Arial" w:hAnsi="Arial" w:cs="Arial"/>
          <w:vertAlign w:val="subscript"/>
          <w:lang w:val="fr-FR"/>
        </w:rPr>
        <w:t>0</w:t>
      </w:r>
      <w:r w:rsidRPr="007350F8">
        <w:rPr>
          <w:rFonts w:ascii="Arial" w:hAnsi="Arial" w:cs="Arial"/>
          <w:lang w:val="fr-FR"/>
        </w:rPr>
        <w:t>, D</w:t>
      </w:r>
      <w:r w:rsidRPr="007350F8">
        <w:rPr>
          <w:rFonts w:ascii="Arial" w:hAnsi="Arial" w:cs="Arial"/>
          <w:vertAlign w:val="subscript"/>
          <w:lang w:val="fr-FR"/>
        </w:rPr>
        <w:t>6</w:t>
      </w:r>
      <w:r w:rsidRPr="007350F8">
        <w:rPr>
          <w:rFonts w:ascii="Arial" w:hAnsi="Arial" w:cs="Arial"/>
          <w:lang w:val="fr-FR"/>
        </w:rPr>
        <w:t>, D</w:t>
      </w:r>
      <w:r w:rsidRPr="007350F8">
        <w:rPr>
          <w:rFonts w:ascii="Arial" w:hAnsi="Arial" w:cs="Arial"/>
          <w:vertAlign w:val="subscript"/>
          <w:lang w:val="fr-FR"/>
        </w:rPr>
        <w:t>8</w:t>
      </w:r>
      <w:r w:rsidRPr="007350F8">
        <w:rPr>
          <w:rFonts w:ascii="Arial" w:hAnsi="Arial" w:cs="Arial"/>
          <w:lang w:val="fr-FR"/>
        </w:rPr>
        <w:t>, and D</w:t>
      </w:r>
      <w:r w:rsidRPr="007350F8">
        <w:rPr>
          <w:rFonts w:ascii="Arial" w:hAnsi="Arial" w:cs="Arial"/>
          <w:vertAlign w:val="subscript"/>
          <w:lang w:val="fr-FR"/>
        </w:rPr>
        <w:t>10</w:t>
      </w:r>
      <w:r w:rsidRPr="007350F8">
        <w:rPr>
          <w:rFonts w:ascii="Arial" w:hAnsi="Arial" w:cs="Arial"/>
          <w:lang w:val="fr-FR"/>
        </w:rPr>
        <w:t>.</w:t>
      </w:r>
    </w:p>
    <w:p w14:paraId="31ABC5B4"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Daily clinical monitoring was performed, including monitoring of behavior, appetite, and mobility, recording specific signs of infection. Individual weighings were performed from D</w:t>
      </w:r>
      <w:r w:rsidRPr="007350F8">
        <w:rPr>
          <w:rFonts w:ascii="Arial" w:hAnsi="Arial" w:cs="Arial"/>
          <w:vertAlign w:val="subscript"/>
          <w:lang w:val="fr-FR"/>
        </w:rPr>
        <w:t>1</w:t>
      </w:r>
      <w:r w:rsidRPr="007350F8">
        <w:rPr>
          <w:rFonts w:ascii="Arial" w:hAnsi="Arial" w:cs="Arial"/>
          <w:lang w:val="fr-FR"/>
        </w:rPr>
        <w:t xml:space="preserve"> to D</w:t>
      </w:r>
      <w:r w:rsidRPr="007350F8">
        <w:rPr>
          <w:rFonts w:ascii="Arial" w:hAnsi="Arial" w:cs="Arial"/>
          <w:vertAlign w:val="subscript"/>
          <w:lang w:val="fr-FR"/>
        </w:rPr>
        <w:t>28</w:t>
      </w:r>
      <w:r w:rsidRPr="007350F8">
        <w:rPr>
          <w:rFonts w:ascii="Arial" w:hAnsi="Arial" w:cs="Arial"/>
          <w:lang w:val="fr-FR"/>
        </w:rPr>
        <w:t xml:space="preserve"> to monitor weight changes as proxy for toxicity and infection.</w:t>
      </w:r>
    </w:p>
    <w:p w14:paraId="25CC5A7E" w14:textId="77777777"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Weight gain (WG) was calculated using the formula below (Ghasemi </w:t>
      </w:r>
      <w:r w:rsidRPr="007350F8">
        <w:rPr>
          <w:rFonts w:ascii="Arial" w:hAnsi="Arial" w:cs="Arial"/>
          <w:i/>
          <w:iCs/>
          <w:lang w:val="fr-FR"/>
        </w:rPr>
        <w:t>et al.</w:t>
      </w:r>
      <w:r w:rsidRPr="007350F8">
        <w:rPr>
          <w:rFonts w:ascii="Arial" w:hAnsi="Arial" w:cs="Arial"/>
          <w:lang w:val="fr-FR"/>
        </w:rPr>
        <w:t>, 2021</w:t>
      </w:r>
      <w:r w:rsidR="00AA177A" w:rsidRPr="007350F8">
        <w:rPr>
          <w:rFonts w:ascii="Arial" w:hAnsi="Arial" w:cs="Arial"/>
          <w:lang w:val="fr-FR"/>
        </w:rPr>
        <w:t>) :</w:t>
      </w:r>
    </w:p>
    <w:p w14:paraId="2BB84DEB" w14:textId="77777777" w:rsidR="007350F8" w:rsidRPr="007350F8" w:rsidRDefault="007350F8" w:rsidP="00AA177A">
      <w:pPr>
        <w:pStyle w:val="Body"/>
        <w:spacing w:after="0"/>
        <w:rPr>
          <w:rFonts w:ascii="Arial" w:hAnsi="Arial" w:cs="Arial"/>
          <w:lang w:val="fr-FR"/>
        </w:rPr>
      </w:pPr>
    </w:p>
    <w:p w14:paraId="75598E64" w14:textId="53F3ABD5" w:rsidR="007350F8" w:rsidRPr="007350F8" w:rsidRDefault="007350F8" w:rsidP="008C0A90">
      <w:pPr>
        <w:pStyle w:val="Body"/>
        <w:spacing w:after="0"/>
        <w:rPr>
          <w:rFonts w:ascii="Arial" w:hAnsi="Arial" w:cs="Arial"/>
          <w:lang w:val="fr-FR"/>
        </w:rPr>
      </w:pPr>
      <m:oMathPara>
        <m:oMath>
          <m:r>
            <w:rPr>
              <w:rFonts w:ascii="Cambria Math" w:hAnsi="Cambria Math" w:cs="Arial"/>
              <w:lang w:val="fr-FR"/>
            </w:rPr>
            <m:t>WG (%)=</m:t>
          </m:r>
          <m:f>
            <m:fPr>
              <m:ctrlPr>
                <w:rPr>
                  <w:rFonts w:ascii="Cambria Math" w:hAnsi="Cambria Math" w:cs="Arial"/>
                  <w:i/>
                  <w:lang w:val="fr-FR"/>
                </w:rPr>
              </m:ctrlPr>
            </m:fPr>
            <m:num>
              <m:r>
                <w:rPr>
                  <w:rFonts w:ascii="Cambria Math" w:hAnsi="Cambria Math" w:cs="Arial"/>
                  <w:lang w:val="fr-FR"/>
                </w:rPr>
                <m:t>Pt-Pi</m:t>
              </m:r>
            </m:num>
            <m:den>
              <m:r>
                <w:rPr>
                  <w:rFonts w:ascii="Cambria Math" w:hAnsi="Cambria Math" w:cs="Arial"/>
                  <w:lang w:val="fr-FR"/>
                </w:rPr>
                <m:t>Pi</m:t>
              </m:r>
            </m:den>
          </m:f>
          <m:r>
            <w:rPr>
              <w:rFonts w:ascii="Cambria Math" w:hAnsi="Cambria Math" w:cs="Arial"/>
              <w:lang w:val="fr-FR"/>
            </w:rPr>
            <m:t>×100</m:t>
          </m:r>
        </m:oMath>
      </m:oMathPara>
    </w:p>
    <w:p w14:paraId="07B881E6" w14:textId="308D4FEC" w:rsidR="007350F8" w:rsidRPr="007350F8" w:rsidRDefault="00835868" w:rsidP="00AA177A">
      <w:pPr>
        <w:pStyle w:val="Body"/>
        <w:spacing w:after="0"/>
        <w:rPr>
          <w:rFonts w:ascii="Arial" w:hAnsi="Arial" w:cs="Arial"/>
          <w:b/>
          <w:bCs/>
          <w:u w:val="single"/>
          <w:lang w:val="fr-FR"/>
        </w:rPr>
      </w:pPr>
      <w:r>
        <w:rPr>
          <w:rFonts w:ascii="Arial" w:hAnsi="Arial" w:cs="Arial"/>
          <w:b/>
          <w:bCs/>
          <w:u w:val="single"/>
          <w:lang w:val="fr-FR"/>
        </w:rPr>
        <w:t xml:space="preserve">2.2.6 </w:t>
      </w:r>
      <w:r w:rsidR="007350F8" w:rsidRPr="007350F8">
        <w:rPr>
          <w:rFonts w:ascii="Arial" w:hAnsi="Arial" w:cs="Arial"/>
          <w:b/>
          <w:bCs/>
          <w:u w:val="single"/>
          <w:lang w:val="fr-FR"/>
        </w:rPr>
        <w:t>Blood test</w:t>
      </w:r>
    </w:p>
    <w:p w14:paraId="4C5C19DD" w14:textId="77777777" w:rsidR="007350F8" w:rsidRDefault="007350F8" w:rsidP="00AA177A">
      <w:pPr>
        <w:pStyle w:val="Body"/>
        <w:spacing w:after="0"/>
        <w:rPr>
          <w:rFonts w:ascii="Arial" w:hAnsi="Arial" w:cs="Arial"/>
          <w:lang w:val="fr-FR"/>
        </w:rPr>
      </w:pPr>
      <w:r w:rsidRPr="007350F8">
        <w:rPr>
          <w:rFonts w:ascii="Arial" w:hAnsi="Arial" w:cs="Arial"/>
          <w:lang w:val="fr-FR"/>
        </w:rPr>
        <w:t>The complete blood count (CBC) was performed using 2 mL of blood collected an automaton (Mindray BC-30s). The CRP assay was carried out an automaton (KROMA PLUS Rayto) with 2 mL of blood collected.</w:t>
      </w:r>
    </w:p>
    <w:p w14:paraId="04590DCD" w14:textId="77777777" w:rsidR="00AA177A" w:rsidRPr="007350F8" w:rsidRDefault="00AA177A" w:rsidP="00AA177A">
      <w:pPr>
        <w:pStyle w:val="Body"/>
        <w:spacing w:after="0"/>
        <w:rPr>
          <w:rFonts w:ascii="Arial" w:hAnsi="Arial" w:cs="Arial"/>
          <w:lang w:val="fr-FR"/>
        </w:rPr>
      </w:pPr>
    </w:p>
    <w:p w14:paraId="67733521" w14:textId="5C82A7D9" w:rsidR="007350F8" w:rsidRPr="007350F8" w:rsidRDefault="00835868" w:rsidP="00AA177A">
      <w:pPr>
        <w:pStyle w:val="Body"/>
        <w:spacing w:after="0"/>
        <w:rPr>
          <w:rFonts w:ascii="Arial" w:hAnsi="Arial" w:cs="Arial"/>
          <w:b/>
          <w:bCs/>
          <w:u w:val="single"/>
          <w:lang w:val="fr-FR"/>
        </w:rPr>
      </w:pPr>
      <w:r>
        <w:rPr>
          <w:rFonts w:ascii="Arial" w:hAnsi="Arial" w:cs="Arial"/>
          <w:b/>
          <w:bCs/>
          <w:u w:val="single"/>
          <w:lang w:val="fr-FR"/>
        </w:rPr>
        <w:t xml:space="preserve">2.2.7 </w:t>
      </w:r>
      <w:r w:rsidR="007350F8" w:rsidRPr="007350F8">
        <w:rPr>
          <w:rFonts w:ascii="Arial" w:hAnsi="Arial" w:cs="Arial"/>
          <w:b/>
          <w:bCs/>
          <w:u w:val="single"/>
          <w:lang w:val="fr-FR"/>
        </w:rPr>
        <w:t>Antimicrobial susceptibility profile testing</w:t>
      </w:r>
    </w:p>
    <w:p w14:paraId="23199144" w14:textId="77777777" w:rsidR="006144DB" w:rsidRDefault="006144DB" w:rsidP="00AA177A">
      <w:pPr>
        <w:pStyle w:val="Body"/>
        <w:spacing w:after="0"/>
        <w:rPr>
          <w:rFonts w:ascii="Arial" w:hAnsi="Arial" w:cs="Arial"/>
          <w:i/>
          <w:iCs/>
          <w:lang w:val="fr-FR"/>
        </w:rPr>
      </w:pPr>
    </w:p>
    <w:p w14:paraId="49CA3404" w14:textId="792888EB" w:rsidR="007350F8" w:rsidRPr="006144DB" w:rsidRDefault="00835868" w:rsidP="00AA177A">
      <w:pPr>
        <w:pStyle w:val="Body"/>
        <w:spacing w:after="0"/>
        <w:rPr>
          <w:rFonts w:ascii="Arial" w:hAnsi="Arial" w:cs="Arial"/>
          <w:i/>
          <w:iCs/>
          <w:lang w:val="fr-FR"/>
        </w:rPr>
      </w:pPr>
      <w:r w:rsidRPr="006144DB">
        <w:rPr>
          <w:rFonts w:ascii="Arial" w:hAnsi="Arial" w:cs="Arial"/>
          <w:i/>
          <w:iCs/>
          <w:lang w:val="fr-FR"/>
        </w:rPr>
        <w:t xml:space="preserve">2.2.7.1 </w:t>
      </w:r>
      <w:r w:rsidR="007350F8" w:rsidRPr="006144DB">
        <w:rPr>
          <w:rFonts w:ascii="Arial" w:hAnsi="Arial" w:cs="Arial"/>
          <w:i/>
          <w:iCs/>
          <w:lang w:val="fr-FR"/>
        </w:rPr>
        <w:t>Bacterial isolates</w:t>
      </w:r>
    </w:p>
    <w:p w14:paraId="40165F4B" w14:textId="77777777" w:rsidR="006144DB" w:rsidRDefault="006144DB" w:rsidP="00AA177A">
      <w:pPr>
        <w:pStyle w:val="Body"/>
        <w:spacing w:after="0"/>
        <w:rPr>
          <w:rFonts w:ascii="Arial" w:hAnsi="Arial" w:cs="Arial"/>
          <w:i/>
          <w:iCs/>
          <w:lang w:val="fr-FR"/>
        </w:rPr>
      </w:pPr>
    </w:p>
    <w:p w14:paraId="6D3A4F0C" w14:textId="373D2738" w:rsidR="007350F8" w:rsidRDefault="007350F8" w:rsidP="00AA177A">
      <w:pPr>
        <w:pStyle w:val="Body"/>
        <w:spacing w:after="0"/>
        <w:rPr>
          <w:rFonts w:ascii="Arial" w:hAnsi="Arial" w:cs="Arial"/>
          <w:lang w:val="fr-FR"/>
        </w:rPr>
      </w:pPr>
      <w:r w:rsidRPr="007350F8">
        <w:rPr>
          <w:rFonts w:ascii="Arial" w:hAnsi="Arial" w:cs="Arial"/>
          <w:i/>
          <w:iCs/>
          <w:lang w:val="fr-FR"/>
        </w:rPr>
        <w:t>Escherichia coli</w:t>
      </w:r>
      <w:r w:rsidRPr="007350F8">
        <w:rPr>
          <w:rFonts w:ascii="Arial" w:hAnsi="Arial" w:cs="Arial"/>
          <w:lang w:val="fr-FR"/>
        </w:rPr>
        <w:t xml:space="preserve"> isolates from infected rats were identified according to the method described by Vilchez </w:t>
      </w:r>
      <w:r w:rsidRPr="007350F8">
        <w:rPr>
          <w:rFonts w:ascii="Arial" w:hAnsi="Arial" w:cs="Arial"/>
          <w:i/>
          <w:iCs/>
          <w:lang w:val="fr-FR"/>
        </w:rPr>
        <w:t>et al.</w:t>
      </w:r>
      <w:r w:rsidRPr="007350F8">
        <w:rPr>
          <w:rFonts w:ascii="Arial" w:hAnsi="Arial" w:cs="Arial"/>
          <w:lang w:val="fr-FR"/>
        </w:rPr>
        <w:t xml:space="preserve"> (2009). Fecal samples from batches T</w:t>
      </w:r>
      <w:r w:rsidRPr="007350F8">
        <w:rPr>
          <w:rFonts w:ascii="Arial" w:hAnsi="Arial" w:cs="Arial"/>
          <w:vertAlign w:val="subscript"/>
          <w:lang w:val="fr-FR"/>
        </w:rPr>
        <w:t>0</w:t>
      </w:r>
      <w:r w:rsidRPr="007350F8">
        <w:rPr>
          <w:rFonts w:ascii="Arial" w:hAnsi="Arial" w:cs="Arial"/>
          <w:lang w:val="fr-FR"/>
        </w:rPr>
        <w:t>, T</w:t>
      </w:r>
      <w:r w:rsidRPr="007350F8">
        <w:rPr>
          <w:rFonts w:ascii="Arial" w:hAnsi="Arial" w:cs="Arial"/>
          <w:vertAlign w:val="subscript"/>
          <w:lang w:val="fr-FR"/>
        </w:rPr>
        <w:t>1</w:t>
      </w:r>
      <w:r w:rsidRPr="007350F8">
        <w:rPr>
          <w:rFonts w:ascii="Arial" w:hAnsi="Arial" w:cs="Arial"/>
          <w:lang w:val="fr-FR"/>
        </w:rPr>
        <w:t>, ACP</w:t>
      </w:r>
      <w:r w:rsidRPr="007350F8">
        <w:rPr>
          <w:rFonts w:ascii="Arial" w:hAnsi="Arial" w:cs="Arial"/>
          <w:vertAlign w:val="subscript"/>
          <w:lang w:val="fr-FR"/>
        </w:rPr>
        <w:t>1</w:t>
      </w:r>
      <w:r w:rsidRPr="007350F8">
        <w:rPr>
          <w:rFonts w:ascii="Arial" w:hAnsi="Arial" w:cs="Arial"/>
          <w:lang w:val="fr-FR"/>
        </w:rPr>
        <w:t>, OME</w:t>
      </w:r>
      <w:r w:rsidRPr="007350F8">
        <w:rPr>
          <w:rFonts w:ascii="Arial" w:hAnsi="Arial" w:cs="Arial"/>
          <w:vertAlign w:val="subscript"/>
          <w:lang w:val="fr-FR"/>
        </w:rPr>
        <w:t>1</w:t>
      </w:r>
      <w:r w:rsidRPr="007350F8">
        <w:rPr>
          <w:rFonts w:ascii="Arial" w:hAnsi="Arial" w:cs="Arial"/>
          <w:lang w:val="fr-FR"/>
        </w:rPr>
        <w:t>, and GLY</w:t>
      </w:r>
      <w:r w:rsidRPr="007350F8">
        <w:rPr>
          <w:rFonts w:ascii="Arial" w:hAnsi="Arial" w:cs="Arial"/>
          <w:vertAlign w:val="subscript"/>
          <w:lang w:val="fr-FR"/>
        </w:rPr>
        <w:t>1</w:t>
      </w:r>
      <w:r w:rsidRPr="007350F8">
        <w:rPr>
          <w:rFonts w:ascii="Arial" w:hAnsi="Arial" w:cs="Arial"/>
          <w:lang w:val="fr-FR"/>
        </w:rPr>
        <w:t xml:space="preserve"> were collected and then seeded on MacConkey agar supplemented with crystal violet. The isolates obtained were incubated at 37</w:t>
      </w:r>
      <w:r w:rsidR="00835868">
        <w:rPr>
          <w:rFonts w:ascii="Arial" w:hAnsi="Arial" w:cs="Arial"/>
          <w:lang w:val="fr-FR"/>
        </w:rPr>
        <w:t xml:space="preserve"> </w:t>
      </w:r>
      <w:r w:rsidRPr="007350F8">
        <w:rPr>
          <w:rFonts w:ascii="Arial" w:hAnsi="Arial" w:cs="Arial"/>
          <w:lang w:val="fr-FR"/>
        </w:rPr>
        <w:t>°C for 24 hours. Thus, the young colonies were collected using a platinum loop and suspended in 10 mL of 0.9</w:t>
      </w:r>
      <w:r w:rsidR="008C0A90">
        <w:rPr>
          <w:rFonts w:ascii="Arial" w:hAnsi="Arial" w:cs="Arial"/>
          <w:lang w:val="fr-FR"/>
        </w:rPr>
        <w:t xml:space="preserve"> </w:t>
      </w:r>
      <w:r w:rsidRPr="007350F8">
        <w:rPr>
          <w:rFonts w:ascii="Arial" w:hAnsi="Arial" w:cs="Arial"/>
          <w:lang w:val="fr-FR"/>
        </w:rPr>
        <w:t>% (NaCl). The turbidity of the suspension was adjusted to 0.5 McFarland (10⁸ CFU/mL) in accordance with CA-SFM/EUCAST recommendations (SFM, 2024).</w:t>
      </w:r>
    </w:p>
    <w:p w14:paraId="70F77824" w14:textId="36B29A28" w:rsidR="007350F8" w:rsidRPr="007350F8" w:rsidRDefault="007350F8" w:rsidP="00AA177A">
      <w:pPr>
        <w:pStyle w:val="Body"/>
        <w:spacing w:after="0"/>
        <w:rPr>
          <w:rFonts w:ascii="Arial" w:hAnsi="Arial" w:cs="Arial"/>
          <w:lang w:val="fr-FR"/>
        </w:rPr>
      </w:pPr>
      <w:r w:rsidRPr="007350F8">
        <w:rPr>
          <w:rFonts w:ascii="Arial" w:hAnsi="Arial" w:cs="Arial"/>
          <w:lang w:val="fr-FR"/>
        </w:rPr>
        <w:t>The susceptibility test was carried out the agar diffusion method. The standardized suspension was seeded on Mueller-Hinton agar, and antibiotics discs were placed on the surface using sterile forceps. After incubation at 37</w:t>
      </w:r>
      <w:r w:rsidR="008C0A90">
        <w:rPr>
          <w:rFonts w:ascii="Arial" w:hAnsi="Arial" w:cs="Arial"/>
          <w:lang w:val="fr-FR"/>
        </w:rPr>
        <w:t xml:space="preserve"> </w:t>
      </w:r>
      <w:r w:rsidRPr="007350F8">
        <w:rPr>
          <w:rFonts w:ascii="Arial" w:hAnsi="Arial" w:cs="Arial"/>
          <w:lang w:val="fr-FR"/>
        </w:rPr>
        <w:t>°C for 24 hours, the inhibition zones formed around the discs were measured using ImageJ software (version 1.54d).</w:t>
      </w:r>
    </w:p>
    <w:p w14:paraId="2107D869" w14:textId="77777777" w:rsidR="006144DB" w:rsidRDefault="006144DB" w:rsidP="00AA177A">
      <w:pPr>
        <w:pStyle w:val="Body"/>
        <w:spacing w:after="0"/>
        <w:rPr>
          <w:rFonts w:ascii="Arial" w:hAnsi="Arial" w:cs="Arial"/>
          <w:i/>
          <w:iCs/>
          <w:lang w:val="fr-FR"/>
        </w:rPr>
      </w:pPr>
    </w:p>
    <w:p w14:paraId="60C8F5C9" w14:textId="7E30610B" w:rsidR="007350F8" w:rsidRPr="006144DB" w:rsidRDefault="006144DB" w:rsidP="00AA177A">
      <w:pPr>
        <w:pStyle w:val="Body"/>
        <w:spacing w:after="0"/>
        <w:rPr>
          <w:rFonts w:ascii="Arial" w:hAnsi="Arial" w:cs="Arial"/>
          <w:i/>
          <w:iCs/>
          <w:lang w:val="fr-FR"/>
        </w:rPr>
      </w:pPr>
      <w:r w:rsidRPr="006144DB">
        <w:rPr>
          <w:rFonts w:ascii="Arial" w:hAnsi="Arial" w:cs="Arial"/>
          <w:i/>
          <w:iCs/>
          <w:lang w:val="fr-FR"/>
        </w:rPr>
        <w:t xml:space="preserve">2.2.7.2 </w:t>
      </w:r>
      <w:r w:rsidR="007350F8" w:rsidRPr="006144DB">
        <w:rPr>
          <w:rFonts w:ascii="Arial" w:hAnsi="Arial" w:cs="Arial"/>
          <w:i/>
          <w:iCs/>
          <w:lang w:val="fr-FR"/>
        </w:rPr>
        <w:t>Fungals isolates</w:t>
      </w:r>
    </w:p>
    <w:p w14:paraId="11D48C1B" w14:textId="77777777" w:rsidR="006144DB" w:rsidRDefault="006144DB" w:rsidP="00AA177A">
      <w:pPr>
        <w:pStyle w:val="Body"/>
        <w:spacing w:after="0"/>
        <w:rPr>
          <w:rFonts w:ascii="Arial" w:hAnsi="Arial" w:cs="Arial"/>
          <w:i/>
          <w:iCs/>
          <w:lang w:val="fr-FR"/>
        </w:rPr>
      </w:pPr>
    </w:p>
    <w:p w14:paraId="188A11D7" w14:textId="28B3B932" w:rsidR="007350F8" w:rsidRPr="007350F8" w:rsidRDefault="007350F8" w:rsidP="00AA177A">
      <w:pPr>
        <w:pStyle w:val="Body"/>
        <w:spacing w:after="0"/>
        <w:rPr>
          <w:rFonts w:ascii="Arial" w:hAnsi="Arial" w:cs="Arial"/>
          <w:lang w:val="fr-FR"/>
        </w:rPr>
      </w:pPr>
      <w:r w:rsidRPr="007350F8">
        <w:rPr>
          <w:rFonts w:ascii="Arial" w:hAnsi="Arial" w:cs="Arial"/>
          <w:i/>
          <w:iCs/>
          <w:lang w:val="fr-FR"/>
        </w:rPr>
        <w:t>Candida albicans</w:t>
      </w:r>
      <w:r w:rsidRPr="007350F8">
        <w:rPr>
          <w:rFonts w:ascii="Arial" w:hAnsi="Arial" w:cs="Arial"/>
          <w:lang w:val="fr-FR"/>
        </w:rPr>
        <w:t xml:space="preserve"> isolates from infected rats were identified using chromogenic agar (CHROMagar™ Candida) and their antifungal susceptibility profile was assessed the ATB FUNGUS 3 gallery compliance with the methods of Vilchez </w:t>
      </w:r>
      <w:r w:rsidRPr="008C0A90">
        <w:rPr>
          <w:rFonts w:ascii="Arial" w:hAnsi="Arial" w:cs="Arial"/>
          <w:i/>
          <w:iCs/>
          <w:lang w:val="fr-FR"/>
        </w:rPr>
        <w:t>et al.</w:t>
      </w:r>
      <w:r w:rsidRPr="007350F8">
        <w:rPr>
          <w:rFonts w:ascii="Arial" w:hAnsi="Arial" w:cs="Arial"/>
          <w:lang w:val="fr-FR"/>
        </w:rPr>
        <w:t xml:space="preserve"> (2009) and Preeti </w:t>
      </w:r>
      <w:r w:rsidRPr="008C0A90">
        <w:rPr>
          <w:rFonts w:ascii="Arial" w:hAnsi="Arial" w:cs="Arial"/>
          <w:i/>
          <w:iCs/>
          <w:lang w:val="fr-FR"/>
        </w:rPr>
        <w:t>et al.</w:t>
      </w:r>
      <w:r w:rsidRPr="007350F8">
        <w:rPr>
          <w:rFonts w:ascii="Arial" w:hAnsi="Arial" w:cs="Arial"/>
          <w:lang w:val="fr-FR"/>
        </w:rPr>
        <w:t xml:space="preserve"> (2017). </w:t>
      </w:r>
    </w:p>
    <w:p w14:paraId="03DB1537" w14:textId="135D2E12" w:rsidR="007350F8" w:rsidRPr="007350F8" w:rsidRDefault="007350F8" w:rsidP="00AA177A">
      <w:pPr>
        <w:pStyle w:val="Body"/>
        <w:spacing w:after="0"/>
        <w:rPr>
          <w:rFonts w:ascii="Arial" w:hAnsi="Arial" w:cs="Arial"/>
          <w:lang w:val="fr-FR"/>
        </w:rPr>
      </w:pPr>
      <w:r w:rsidRPr="007350F8">
        <w:rPr>
          <w:rFonts w:ascii="Arial" w:hAnsi="Arial" w:cs="Arial"/>
          <w:lang w:val="fr-FR"/>
        </w:rPr>
        <w:t>Fecal samples from batches T</w:t>
      </w:r>
      <w:r w:rsidRPr="007350F8">
        <w:rPr>
          <w:rFonts w:ascii="Arial" w:hAnsi="Arial" w:cs="Arial"/>
          <w:vertAlign w:val="subscript"/>
          <w:lang w:val="fr-FR"/>
        </w:rPr>
        <w:t>0</w:t>
      </w:r>
      <w:r w:rsidRPr="007350F8">
        <w:rPr>
          <w:rFonts w:ascii="Arial" w:hAnsi="Arial" w:cs="Arial"/>
          <w:lang w:val="fr-FR"/>
        </w:rPr>
        <w:t>, T</w:t>
      </w:r>
      <w:r w:rsidRPr="007350F8">
        <w:rPr>
          <w:rFonts w:ascii="Arial" w:hAnsi="Arial" w:cs="Arial"/>
          <w:vertAlign w:val="subscript"/>
          <w:lang w:val="fr-FR"/>
        </w:rPr>
        <w:t>2</w:t>
      </w:r>
      <w:r w:rsidRPr="007350F8">
        <w:rPr>
          <w:rFonts w:ascii="Arial" w:hAnsi="Arial" w:cs="Arial"/>
          <w:lang w:val="fr-FR"/>
        </w:rPr>
        <w:t>, ACP</w:t>
      </w:r>
      <w:r w:rsidRPr="007350F8">
        <w:rPr>
          <w:rFonts w:ascii="Arial" w:hAnsi="Arial" w:cs="Arial"/>
          <w:vertAlign w:val="subscript"/>
          <w:lang w:val="fr-FR"/>
        </w:rPr>
        <w:t>2</w:t>
      </w:r>
      <w:r w:rsidRPr="007350F8">
        <w:rPr>
          <w:rFonts w:ascii="Arial" w:hAnsi="Arial" w:cs="Arial"/>
          <w:lang w:val="fr-FR"/>
        </w:rPr>
        <w:t>, OME</w:t>
      </w:r>
      <w:r w:rsidRPr="007350F8">
        <w:rPr>
          <w:rFonts w:ascii="Arial" w:hAnsi="Arial" w:cs="Arial"/>
          <w:vertAlign w:val="subscript"/>
          <w:lang w:val="fr-FR"/>
        </w:rPr>
        <w:t>2</w:t>
      </w:r>
      <w:r w:rsidRPr="007350F8">
        <w:rPr>
          <w:rFonts w:ascii="Arial" w:hAnsi="Arial" w:cs="Arial"/>
          <w:lang w:val="fr-FR"/>
        </w:rPr>
        <w:t>, and GLY</w:t>
      </w:r>
      <w:r w:rsidRPr="007350F8">
        <w:rPr>
          <w:rFonts w:ascii="Arial" w:hAnsi="Arial" w:cs="Arial"/>
          <w:vertAlign w:val="subscript"/>
          <w:lang w:val="fr-FR"/>
        </w:rPr>
        <w:t>2</w:t>
      </w:r>
      <w:r w:rsidRPr="007350F8">
        <w:rPr>
          <w:rFonts w:ascii="Arial" w:hAnsi="Arial" w:cs="Arial"/>
          <w:lang w:val="fr-FR"/>
        </w:rPr>
        <w:t xml:space="preserve"> were homogenized in 0.9</w:t>
      </w:r>
      <w:r w:rsidR="008C0A90">
        <w:rPr>
          <w:rFonts w:ascii="Arial" w:hAnsi="Arial" w:cs="Arial"/>
          <w:lang w:val="fr-FR"/>
        </w:rPr>
        <w:t xml:space="preserve"> </w:t>
      </w:r>
      <w:r w:rsidRPr="007350F8">
        <w:rPr>
          <w:rFonts w:ascii="Arial" w:hAnsi="Arial" w:cs="Arial"/>
          <w:lang w:val="fr-FR"/>
        </w:rPr>
        <w:t>% NaCl and then inoculed on Sabouraud agar supplemented with chloramphenicol.</w:t>
      </w:r>
    </w:p>
    <w:p w14:paraId="06C983A0" w14:textId="14D81594" w:rsidR="007350F8" w:rsidRPr="007350F8" w:rsidRDefault="007350F8" w:rsidP="00AA177A">
      <w:pPr>
        <w:pStyle w:val="Body"/>
        <w:spacing w:after="0"/>
        <w:rPr>
          <w:rFonts w:ascii="Arial" w:hAnsi="Arial" w:cs="Arial"/>
          <w:lang w:val="fr-FR"/>
        </w:rPr>
      </w:pPr>
      <w:r w:rsidRPr="007350F8">
        <w:rPr>
          <w:rFonts w:ascii="Arial" w:hAnsi="Arial" w:cs="Arial"/>
          <w:lang w:val="fr-FR"/>
        </w:rPr>
        <w:t>A representative colony was then sampled, diluted in saline solution (NaCl) and spread on CHROMagar™ Candida before incubation at 35</w:t>
      </w:r>
      <w:r w:rsidR="008C0A90">
        <w:rPr>
          <w:rFonts w:ascii="Arial" w:hAnsi="Arial" w:cs="Arial"/>
          <w:lang w:val="fr-FR"/>
        </w:rPr>
        <w:t xml:space="preserve"> </w:t>
      </w:r>
      <w:r w:rsidRPr="007350F8">
        <w:rPr>
          <w:rFonts w:ascii="Arial" w:hAnsi="Arial" w:cs="Arial"/>
          <w:lang w:val="fr-FR"/>
        </w:rPr>
        <w:t xml:space="preserve">°C for 48 hours. Colonies exhibiting a coloration confirmed the presence of </w:t>
      </w:r>
      <w:r w:rsidRPr="007350F8">
        <w:rPr>
          <w:rFonts w:ascii="Arial" w:hAnsi="Arial" w:cs="Arial"/>
          <w:i/>
          <w:iCs/>
          <w:lang w:val="fr-FR"/>
        </w:rPr>
        <w:t>C. albicans</w:t>
      </w:r>
      <w:r w:rsidRPr="007350F8">
        <w:rPr>
          <w:rFonts w:ascii="Arial" w:hAnsi="Arial" w:cs="Arial"/>
          <w:lang w:val="fr-FR"/>
        </w:rPr>
        <w:t xml:space="preserve">.                                                                                                                                                                                                                                                                                                                                                                                                                                                                                                                                                                                                                                                                                                                                                                                                                                                                                                                                                                                                                                                                                                                                                                                                                                                                                                                                                                                                                                                                                                                                                                                                                                                                                                                                                                                                                                                                                                                                                                                                                                                                                                                                                                  </w:t>
      </w:r>
    </w:p>
    <w:p w14:paraId="7BCB3DC7" w14:textId="67D6B839" w:rsidR="007350F8" w:rsidRDefault="007350F8" w:rsidP="00AA177A">
      <w:pPr>
        <w:pStyle w:val="Body"/>
        <w:spacing w:after="0"/>
        <w:rPr>
          <w:rFonts w:ascii="Arial" w:hAnsi="Arial" w:cs="Arial"/>
          <w:lang w:val="fr-FR"/>
        </w:rPr>
      </w:pPr>
      <w:r w:rsidRPr="007350F8">
        <w:rPr>
          <w:rFonts w:ascii="Arial" w:hAnsi="Arial" w:cs="Arial"/>
          <w:lang w:val="fr-FR"/>
        </w:rPr>
        <w:t>Confirmed isolates were subjected to antifungal susceptibility test by microdilution in semi-solid medium using the ATB FUNGUS 3 gallery wich includes amphotericin B, 5-fluorocytosine, fluconazole, itraconazole, and voriconazole. From young colonies (48 hours), a standardized suspension at 2 McFarland was prepared using a Densimat, diluted in ATB F2 Medium, and then distributed into the wells of the gallery. After incubation at 35</w:t>
      </w:r>
      <w:r w:rsidR="008C0A90">
        <w:rPr>
          <w:rFonts w:ascii="Arial" w:hAnsi="Arial" w:cs="Arial"/>
          <w:lang w:val="fr-FR"/>
        </w:rPr>
        <w:t xml:space="preserve"> </w:t>
      </w:r>
      <w:r w:rsidRPr="007350F8">
        <w:rPr>
          <w:rFonts w:ascii="Arial" w:hAnsi="Arial" w:cs="Arial"/>
          <w:lang w:val="fr-FR"/>
        </w:rPr>
        <w:t>°C for 48 hours, the growth was read visually against a black background. The minimum inhibitory concentration (MIC) was defined as the lowest antifungal concentration allowing significant inhibition of growth.</w:t>
      </w:r>
    </w:p>
    <w:p w14:paraId="3F0E0563" w14:textId="77777777" w:rsidR="00AA177A" w:rsidRPr="007350F8" w:rsidRDefault="00AA177A" w:rsidP="00AA177A">
      <w:pPr>
        <w:pStyle w:val="Body"/>
        <w:spacing w:after="0"/>
        <w:rPr>
          <w:rFonts w:ascii="Arial" w:hAnsi="Arial" w:cs="Arial"/>
          <w:lang w:val="fr-FR"/>
        </w:rPr>
      </w:pPr>
    </w:p>
    <w:p w14:paraId="17F177D1" w14:textId="4453E629" w:rsidR="007350F8" w:rsidRPr="007350F8" w:rsidRDefault="006144DB" w:rsidP="00AA177A">
      <w:pPr>
        <w:pStyle w:val="Body"/>
        <w:spacing w:after="0"/>
        <w:rPr>
          <w:rFonts w:ascii="Arial" w:hAnsi="Arial" w:cs="Arial"/>
          <w:b/>
          <w:bCs/>
          <w:u w:val="single"/>
          <w:lang w:val="fr-FR"/>
        </w:rPr>
      </w:pPr>
      <w:r>
        <w:rPr>
          <w:rFonts w:ascii="Arial" w:hAnsi="Arial" w:cs="Arial"/>
          <w:b/>
          <w:bCs/>
          <w:u w:val="single"/>
          <w:lang w:val="fr-FR"/>
        </w:rPr>
        <w:lastRenderedPageBreak/>
        <w:t xml:space="preserve">2.2.8 </w:t>
      </w:r>
      <w:r w:rsidR="007350F8" w:rsidRPr="007350F8">
        <w:rPr>
          <w:rFonts w:ascii="Arial" w:hAnsi="Arial" w:cs="Arial"/>
          <w:b/>
          <w:bCs/>
          <w:u w:val="single"/>
          <w:lang w:val="fr-FR"/>
        </w:rPr>
        <w:t>Statistical analyses</w:t>
      </w:r>
    </w:p>
    <w:p w14:paraId="258E4007" w14:textId="32EFEC3C"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The data obtained were subjected to variance analysis using GraphPad Prism software version 10.2.0 variance analysis (ANOVA). The inhibition diameters of the antibiograms were determined using ImageJ software version 1.54d. Tukey's multiple comparison test was used to compare the variance of the controls with that of the other groups. The difference is considered significant for a probability level of </w:t>
      </w:r>
      <w:r w:rsidR="00C66484">
        <w:rPr>
          <w:rFonts w:ascii="Arial" w:hAnsi="Arial" w:cs="Arial"/>
          <w:lang w:val="fr-FR"/>
        </w:rPr>
        <w:t>P</w:t>
      </w:r>
      <w:r w:rsidR="00835868">
        <w:rPr>
          <w:rFonts w:ascii="Arial" w:hAnsi="Arial" w:cs="Arial"/>
          <w:lang w:val="fr-FR"/>
        </w:rPr>
        <w:t xml:space="preserve"> </w:t>
      </w:r>
      <w:r w:rsidRPr="007350F8">
        <w:rPr>
          <w:rFonts w:ascii="Arial" w:hAnsi="Arial" w:cs="Arial"/>
          <w:lang w:val="fr-FR"/>
        </w:rPr>
        <w:t>&lt;</w:t>
      </w:r>
      <w:r w:rsidR="00C66484">
        <w:rPr>
          <w:rFonts w:ascii="Arial" w:hAnsi="Arial" w:cs="Arial"/>
          <w:lang w:val="fr-FR"/>
        </w:rPr>
        <w:t xml:space="preserve"> </w:t>
      </w:r>
      <w:r w:rsidRPr="007350F8">
        <w:rPr>
          <w:rFonts w:ascii="Arial" w:hAnsi="Arial" w:cs="Arial"/>
          <w:lang w:val="fr-FR"/>
        </w:rPr>
        <w:t>.05.</w:t>
      </w:r>
    </w:p>
    <w:p w14:paraId="5D3B21BC" w14:textId="77777777" w:rsidR="00790ADA" w:rsidRPr="00FB3A86" w:rsidRDefault="00790ADA" w:rsidP="00441B6F">
      <w:pPr>
        <w:pStyle w:val="Body"/>
        <w:spacing w:after="0"/>
        <w:rPr>
          <w:rFonts w:ascii="Arial" w:hAnsi="Arial" w:cs="Arial"/>
        </w:rPr>
      </w:pPr>
    </w:p>
    <w:p w14:paraId="408A17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AC649A" w14:textId="77777777" w:rsidR="00790ADA" w:rsidRPr="00FB3A86" w:rsidRDefault="00790ADA" w:rsidP="00441B6F">
      <w:pPr>
        <w:pStyle w:val="Head1"/>
        <w:spacing w:after="0"/>
        <w:jc w:val="both"/>
        <w:rPr>
          <w:rFonts w:ascii="Arial" w:hAnsi="Arial" w:cs="Arial"/>
        </w:rPr>
      </w:pPr>
    </w:p>
    <w:p w14:paraId="4C9C1EF1" w14:textId="4F2CC54E" w:rsidR="003D1280" w:rsidRPr="006144DB" w:rsidRDefault="006144DB" w:rsidP="003D1280">
      <w:pPr>
        <w:pStyle w:val="Body"/>
        <w:rPr>
          <w:rFonts w:ascii="Arial" w:hAnsi="Arial" w:cs="Arial"/>
          <w:b/>
          <w:bCs/>
          <w:sz w:val="22"/>
          <w:szCs w:val="22"/>
          <w:lang w:val="fr-FR"/>
        </w:rPr>
      </w:pPr>
      <w:r w:rsidRPr="006144DB">
        <w:rPr>
          <w:rFonts w:ascii="Arial" w:hAnsi="Arial" w:cs="Arial"/>
          <w:b/>
          <w:bCs/>
          <w:sz w:val="22"/>
          <w:szCs w:val="22"/>
          <w:lang w:val="fr-FR"/>
        </w:rPr>
        <w:t xml:space="preserve">3.1 </w:t>
      </w:r>
      <w:r w:rsidR="003D1280" w:rsidRPr="006144DB">
        <w:rPr>
          <w:rFonts w:ascii="Arial" w:hAnsi="Arial" w:cs="Arial"/>
          <w:b/>
          <w:bCs/>
          <w:sz w:val="22"/>
          <w:szCs w:val="22"/>
          <w:lang w:val="fr-FR"/>
        </w:rPr>
        <w:t>Results</w:t>
      </w:r>
    </w:p>
    <w:p w14:paraId="73956BBA" w14:textId="07447DAF" w:rsidR="00A541E0" w:rsidRPr="006144DB" w:rsidRDefault="006144DB" w:rsidP="00A541E0">
      <w:pPr>
        <w:pStyle w:val="Body"/>
        <w:spacing w:after="0"/>
        <w:rPr>
          <w:rFonts w:ascii="Arial" w:hAnsi="Arial" w:cs="Arial"/>
          <w:b/>
          <w:bCs/>
          <w:u w:val="single"/>
          <w:lang w:val="fr-FR"/>
        </w:rPr>
      </w:pPr>
      <w:r w:rsidRPr="006144DB">
        <w:rPr>
          <w:rFonts w:ascii="Arial" w:hAnsi="Arial" w:cs="Arial"/>
          <w:b/>
          <w:bCs/>
          <w:u w:val="single"/>
          <w:lang w:val="fr-FR"/>
        </w:rPr>
        <w:t>3.1.</w:t>
      </w:r>
      <w:r w:rsidR="003D1280" w:rsidRPr="006144DB">
        <w:rPr>
          <w:rFonts w:ascii="Arial" w:hAnsi="Arial" w:cs="Arial"/>
          <w:b/>
          <w:bCs/>
          <w:u w:val="single"/>
          <w:lang w:val="fr-FR"/>
        </w:rPr>
        <w:t xml:space="preserve">1.    </w:t>
      </w:r>
      <w:r w:rsidR="003D1280" w:rsidRPr="006144DB">
        <w:rPr>
          <w:rFonts w:ascii="Arial" w:hAnsi="Arial" w:cs="Arial"/>
          <w:b/>
          <w:bCs/>
          <w:i/>
          <w:iCs/>
          <w:u w:val="single"/>
          <w:lang w:val="fr-FR"/>
        </w:rPr>
        <w:t>In vivo</w:t>
      </w:r>
      <w:r w:rsidR="003D1280" w:rsidRPr="006144DB">
        <w:rPr>
          <w:rFonts w:ascii="Arial" w:hAnsi="Arial" w:cs="Arial"/>
          <w:b/>
          <w:bCs/>
          <w:u w:val="single"/>
          <w:lang w:val="fr-FR"/>
        </w:rPr>
        <w:t xml:space="preserve"> impact of pollutants on pathogen infectivity</w:t>
      </w:r>
    </w:p>
    <w:p w14:paraId="0D264189" w14:textId="5A365AA0" w:rsidR="003D1280" w:rsidRPr="003D1280" w:rsidRDefault="003D1280" w:rsidP="00A541E0">
      <w:pPr>
        <w:pStyle w:val="Body"/>
        <w:spacing w:after="0"/>
        <w:rPr>
          <w:rFonts w:ascii="Arial" w:hAnsi="Arial" w:cs="Arial"/>
          <w:lang w:val="fr-FR"/>
        </w:rPr>
      </w:pPr>
      <w:r w:rsidRPr="003D1280">
        <w:rPr>
          <w:rFonts w:ascii="Arial" w:hAnsi="Arial" w:cs="Arial"/>
          <w:lang w:val="fr-FR"/>
        </w:rPr>
        <w:t>In negative control rats (batch T</w:t>
      </w:r>
      <w:r w:rsidRPr="003D1280">
        <w:rPr>
          <w:rFonts w:ascii="Arial" w:hAnsi="Arial" w:cs="Arial"/>
          <w:vertAlign w:val="subscript"/>
          <w:lang w:val="fr-FR"/>
        </w:rPr>
        <w:t>0</w:t>
      </w:r>
      <w:r w:rsidRPr="003D1280">
        <w:rPr>
          <w:rFonts w:ascii="Arial" w:hAnsi="Arial" w:cs="Arial"/>
          <w:lang w:val="fr-FR"/>
        </w:rPr>
        <w:t>), free from infection and any exposure to the pollutants tested, no signs of distress or behavioral changes were observed, alongside a gradual and insignificant increase in weight (</w:t>
      </w:r>
      <w:r w:rsidR="006144DB">
        <w:rPr>
          <w:rFonts w:ascii="Arial" w:hAnsi="Arial" w:cs="Arial"/>
          <w:lang w:val="fr-FR"/>
        </w:rPr>
        <w:t>P</w:t>
      </w:r>
      <w:r w:rsidR="00835868">
        <w:rPr>
          <w:rFonts w:ascii="Arial" w:hAnsi="Arial" w:cs="Arial"/>
          <w:lang w:val="fr-FR"/>
        </w:rPr>
        <w:t xml:space="preserve"> </w:t>
      </w:r>
      <w:r w:rsidRPr="003D1280">
        <w:rPr>
          <w:rFonts w:ascii="Arial" w:hAnsi="Arial" w:cs="Arial"/>
          <w:lang w:val="fr-FR"/>
        </w:rPr>
        <w:t>&gt;</w:t>
      </w:r>
      <w:r w:rsidR="00835868">
        <w:rPr>
          <w:rFonts w:ascii="Arial" w:hAnsi="Arial" w:cs="Arial"/>
          <w:lang w:val="fr-FR"/>
        </w:rPr>
        <w:t xml:space="preserve"> </w:t>
      </w:r>
      <w:r w:rsidRPr="003D1280">
        <w:rPr>
          <w:rFonts w:ascii="Arial" w:hAnsi="Arial" w:cs="Arial"/>
          <w:lang w:val="fr-FR"/>
        </w:rPr>
        <w:t>.05) throughout the experiment (Figure 1), confirming a normal physiological development in the absence of chemical or infectious stress.</w:t>
      </w:r>
    </w:p>
    <w:p w14:paraId="0FACDE3E" w14:textId="40FE1BD2" w:rsidR="003D1280" w:rsidRPr="003D1280" w:rsidRDefault="003D1280" w:rsidP="00AA177A">
      <w:pPr>
        <w:pStyle w:val="Body"/>
        <w:spacing w:after="0"/>
        <w:rPr>
          <w:rFonts w:ascii="Arial" w:hAnsi="Arial" w:cs="Arial"/>
          <w:lang w:val="fr-FR"/>
        </w:rPr>
      </w:pPr>
      <w:r w:rsidRPr="003D1280">
        <w:rPr>
          <w:rFonts w:ascii="Arial" w:hAnsi="Arial" w:cs="Arial"/>
          <w:lang w:val="fr-FR"/>
        </w:rPr>
        <w:t>In the positive control rats from batches T</w:t>
      </w:r>
      <w:r w:rsidRPr="003D1280">
        <w:rPr>
          <w:rFonts w:ascii="Arial" w:hAnsi="Arial" w:cs="Arial"/>
          <w:vertAlign w:val="subscript"/>
          <w:lang w:val="fr-FR"/>
        </w:rPr>
        <w:t>1</w:t>
      </w:r>
      <w:r w:rsidRPr="003D1280">
        <w:rPr>
          <w:rFonts w:ascii="Arial" w:hAnsi="Arial" w:cs="Arial"/>
          <w:lang w:val="fr-FR"/>
        </w:rPr>
        <w:t xml:space="preserve"> and T</w:t>
      </w:r>
      <w:r w:rsidRPr="003D1280">
        <w:rPr>
          <w:rFonts w:ascii="Arial" w:hAnsi="Arial" w:cs="Arial"/>
          <w:vertAlign w:val="subscript"/>
          <w:lang w:val="fr-FR"/>
        </w:rPr>
        <w:t>2</w:t>
      </w:r>
      <w:r w:rsidRPr="003D1280">
        <w:rPr>
          <w:rFonts w:ascii="Arial" w:hAnsi="Arial" w:cs="Arial"/>
          <w:lang w:val="fr-FR"/>
        </w:rPr>
        <w:t xml:space="preserve">, infected with </w:t>
      </w:r>
      <w:r w:rsidRPr="003D1280">
        <w:rPr>
          <w:rFonts w:ascii="Arial" w:hAnsi="Arial" w:cs="Arial"/>
          <w:i/>
          <w:iCs/>
          <w:lang w:val="fr-FR"/>
        </w:rPr>
        <w:t>E. coli</w:t>
      </w:r>
      <w:r w:rsidRPr="003D1280">
        <w:rPr>
          <w:rFonts w:ascii="Arial" w:hAnsi="Arial" w:cs="Arial"/>
          <w:lang w:val="fr-FR"/>
        </w:rPr>
        <w:t xml:space="preserve"> and </w:t>
      </w:r>
      <w:r w:rsidRPr="003D1280">
        <w:rPr>
          <w:rFonts w:ascii="Arial" w:hAnsi="Arial" w:cs="Arial"/>
          <w:i/>
          <w:iCs/>
          <w:lang w:val="fr-FR"/>
        </w:rPr>
        <w:t>C. albicans</w:t>
      </w:r>
      <w:r w:rsidRPr="003D1280">
        <w:rPr>
          <w:rFonts w:ascii="Arial" w:hAnsi="Arial" w:cs="Arial"/>
          <w:lang w:val="fr-FR"/>
        </w:rPr>
        <w:t xml:space="preserve"> respectively without exposure to toxins, moderate signs of altered general condition were observed. All rats in these two batches had ruffled fur, hypovigilance, frequent sneezing, and mild diarrheal syndrome. These symptoms were accompanied by a transient, non-significant weight loss (</w:t>
      </w:r>
      <w:r w:rsidR="006144DB">
        <w:rPr>
          <w:rFonts w:ascii="Arial" w:hAnsi="Arial" w:cs="Arial"/>
          <w:lang w:val="fr-FR"/>
        </w:rPr>
        <w:t>P</w:t>
      </w:r>
      <w:r w:rsidR="00835868">
        <w:rPr>
          <w:rFonts w:ascii="Arial" w:hAnsi="Arial" w:cs="Arial"/>
          <w:lang w:val="fr-FR"/>
        </w:rPr>
        <w:t xml:space="preserve"> </w:t>
      </w:r>
      <w:r w:rsidRPr="003D1280">
        <w:rPr>
          <w:rFonts w:ascii="Arial" w:hAnsi="Arial" w:cs="Arial"/>
          <w:lang w:val="fr-FR"/>
        </w:rPr>
        <w:t>&gt;</w:t>
      </w:r>
      <w:r w:rsidR="00835868">
        <w:rPr>
          <w:rFonts w:ascii="Arial" w:hAnsi="Arial" w:cs="Arial"/>
          <w:lang w:val="fr-FR"/>
        </w:rPr>
        <w:t xml:space="preserve"> </w:t>
      </w:r>
      <w:r w:rsidRPr="003D1280">
        <w:rPr>
          <w:rFonts w:ascii="Arial" w:hAnsi="Arial" w:cs="Arial"/>
          <w:lang w:val="fr-FR"/>
        </w:rPr>
        <w:t>.05), followed by a gradual recovery from the 14</w:t>
      </w:r>
      <w:r w:rsidRPr="003D1280">
        <w:rPr>
          <w:rFonts w:ascii="Arial" w:hAnsi="Arial" w:cs="Arial"/>
          <w:vertAlign w:val="superscript"/>
          <w:lang w:val="fr-FR"/>
        </w:rPr>
        <w:t>th</w:t>
      </w:r>
      <w:r w:rsidRPr="003D1280">
        <w:rPr>
          <w:rFonts w:ascii="Arial" w:hAnsi="Arial" w:cs="Arial"/>
          <w:lang w:val="fr-FR"/>
        </w:rPr>
        <w:t xml:space="preserve"> day for rats infected in batch T</w:t>
      </w:r>
      <w:r w:rsidRPr="003D1280">
        <w:rPr>
          <w:rFonts w:ascii="Arial" w:hAnsi="Arial" w:cs="Arial"/>
          <w:vertAlign w:val="subscript"/>
          <w:lang w:val="fr-FR"/>
        </w:rPr>
        <w:t xml:space="preserve">1 </w:t>
      </w:r>
      <w:r w:rsidRPr="003D1280">
        <w:rPr>
          <w:rFonts w:ascii="Arial" w:hAnsi="Arial" w:cs="Arial"/>
          <w:lang w:val="fr-FR"/>
        </w:rPr>
        <w:t>and the 21</w:t>
      </w:r>
      <w:r w:rsidRPr="003D1280">
        <w:rPr>
          <w:rFonts w:ascii="Arial" w:hAnsi="Arial" w:cs="Arial"/>
          <w:vertAlign w:val="superscript"/>
          <w:lang w:val="fr-FR"/>
        </w:rPr>
        <w:t>st</w:t>
      </w:r>
      <w:r w:rsidRPr="003D1280">
        <w:rPr>
          <w:rFonts w:ascii="Arial" w:hAnsi="Arial" w:cs="Arial"/>
          <w:lang w:val="fr-FR"/>
        </w:rPr>
        <w:t xml:space="preserve"> day for those infected with </w:t>
      </w:r>
      <w:r w:rsidRPr="003D1280">
        <w:rPr>
          <w:rFonts w:ascii="Arial" w:hAnsi="Arial" w:cs="Arial"/>
          <w:i/>
          <w:iCs/>
          <w:lang w:val="fr-FR"/>
        </w:rPr>
        <w:t>C. albicans</w:t>
      </w:r>
      <w:r w:rsidRPr="003D1280">
        <w:rPr>
          <w:rFonts w:ascii="Arial" w:hAnsi="Arial" w:cs="Arial"/>
          <w:lang w:val="fr-FR"/>
        </w:rPr>
        <w:t xml:space="preserve"> (batch T</w:t>
      </w:r>
      <w:r w:rsidRPr="003D1280">
        <w:rPr>
          <w:rFonts w:ascii="Arial" w:hAnsi="Arial" w:cs="Arial"/>
          <w:vertAlign w:val="subscript"/>
          <w:lang w:val="fr-FR"/>
        </w:rPr>
        <w:t>2</w:t>
      </w:r>
      <w:r w:rsidRPr="003D1280">
        <w:rPr>
          <w:rFonts w:ascii="Arial" w:hAnsi="Arial" w:cs="Arial"/>
          <w:lang w:val="fr-FR"/>
        </w:rPr>
        <w:t>), reflecting reversible physiological stress related to the infection in the absence of co-exposure to a toxic agent (Figure 1).</w:t>
      </w:r>
    </w:p>
    <w:p w14:paraId="75D6B036" w14:textId="5E40A66F" w:rsidR="003D1280" w:rsidRPr="003D1280" w:rsidRDefault="003D1280" w:rsidP="00AA177A">
      <w:pPr>
        <w:pStyle w:val="Body"/>
        <w:spacing w:after="0"/>
        <w:rPr>
          <w:rFonts w:ascii="Arial" w:hAnsi="Arial" w:cs="Arial"/>
          <w:lang w:val="fr-FR"/>
        </w:rPr>
      </w:pPr>
      <w:r w:rsidRPr="003D1280">
        <w:rPr>
          <w:rFonts w:ascii="Arial" w:hAnsi="Arial" w:cs="Arial"/>
          <w:lang w:val="fr-FR"/>
        </w:rPr>
        <w:t xml:space="preserve">Furthermore, in rats infected with </w:t>
      </w:r>
      <w:r w:rsidRPr="003D1280">
        <w:rPr>
          <w:rFonts w:ascii="Arial" w:hAnsi="Arial" w:cs="Arial"/>
          <w:i/>
          <w:iCs/>
          <w:lang w:val="fr-FR"/>
        </w:rPr>
        <w:t>E. coli</w:t>
      </w:r>
      <w:r w:rsidRPr="003D1280">
        <w:rPr>
          <w:rFonts w:ascii="Arial" w:hAnsi="Arial" w:cs="Arial"/>
          <w:lang w:val="fr-FR"/>
        </w:rPr>
        <w:t xml:space="preserve"> (batch ACP</w:t>
      </w:r>
      <w:r w:rsidRPr="003D1280">
        <w:rPr>
          <w:rFonts w:ascii="Arial" w:hAnsi="Arial" w:cs="Arial"/>
          <w:vertAlign w:val="subscript"/>
          <w:lang w:val="fr-FR"/>
        </w:rPr>
        <w:t>1</w:t>
      </w:r>
      <w:r w:rsidRPr="003D1280">
        <w:rPr>
          <w:rFonts w:ascii="Arial" w:hAnsi="Arial" w:cs="Arial"/>
          <w:lang w:val="fr-FR"/>
        </w:rPr>
        <w:t xml:space="preserve">) and </w:t>
      </w:r>
      <w:r w:rsidRPr="003D1280">
        <w:rPr>
          <w:rFonts w:ascii="Arial" w:hAnsi="Arial" w:cs="Arial"/>
          <w:i/>
          <w:lang w:val="fr-FR"/>
        </w:rPr>
        <w:t>C. albicans</w:t>
      </w:r>
      <w:r w:rsidRPr="003D1280">
        <w:rPr>
          <w:rFonts w:ascii="Arial" w:hAnsi="Arial" w:cs="Arial"/>
          <w:lang w:val="fr-FR"/>
        </w:rPr>
        <w:t xml:space="preserve"> (batch ACP</w:t>
      </w:r>
      <w:r w:rsidRPr="003D1280">
        <w:rPr>
          <w:rFonts w:ascii="Arial" w:hAnsi="Arial" w:cs="Arial"/>
          <w:vertAlign w:val="subscript"/>
          <w:lang w:val="fr-FR"/>
        </w:rPr>
        <w:t>2</w:t>
      </w:r>
      <w:r w:rsidRPr="003D1280">
        <w:rPr>
          <w:rFonts w:ascii="Arial" w:hAnsi="Arial" w:cs="Arial"/>
          <w:lang w:val="fr-FR"/>
        </w:rPr>
        <w:t>) and then exposed to lead, a marked deterioration in health was observed with dull fur, impaired social interaction, hypovigilance, partial anorexia, severe diarrhea syndrome, and obstructive dyspnea. These alterations were followed by a very significant reduction (</w:t>
      </w:r>
      <w:r w:rsidR="00C66484">
        <w:rPr>
          <w:rFonts w:ascii="Arial" w:hAnsi="Arial" w:cs="Arial"/>
          <w:lang w:val="fr-FR"/>
        </w:rPr>
        <w:t>P</w:t>
      </w:r>
      <w:r w:rsidR="00835868">
        <w:rPr>
          <w:rFonts w:ascii="Arial" w:hAnsi="Arial" w:cs="Arial"/>
          <w:lang w:val="fr-FR"/>
        </w:rPr>
        <w:t xml:space="preserve"> </w:t>
      </w:r>
      <w:r w:rsidRPr="003D1280">
        <w:rPr>
          <w:rFonts w:ascii="Arial" w:hAnsi="Arial" w:cs="Arial"/>
          <w:lang w:val="fr-FR"/>
        </w:rPr>
        <w:t>&lt;</w:t>
      </w:r>
      <w:r w:rsidR="00835868">
        <w:rPr>
          <w:rFonts w:ascii="Arial" w:hAnsi="Arial" w:cs="Arial"/>
          <w:lang w:val="fr-FR"/>
        </w:rPr>
        <w:t xml:space="preserve"> </w:t>
      </w:r>
      <w:r w:rsidRPr="003D1280">
        <w:rPr>
          <w:rFonts w:ascii="Arial" w:hAnsi="Arial" w:cs="Arial"/>
          <w:lang w:val="fr-FR"/>
        </w:rPr>
        <w:t>.0001) in body growth without recovery. This reflects a major deleterious effect of lead on the pathophysiological condition of the exposed animals (Figure 1).</w:t>
      </w:r>
    </w:p>
    <w:p w14:paraId="4832F097" w14:textId="77D7A9F4" w:rsidR="003D1280" w:rsidRPr="003D1280" w:rsidRDefault="003D1280" w:rsidP="00AA177A">
      <w:pPr>
        <w:pStyle w:val="Body"/>
        <w:spacing w:after="0"/>
        <w:rPr>
          <w:rFonts w:ascii="Arial" w:hAnsi="Arial" w:cs="Arial"/>
          <w:lang w:val="fr-FR"/>
        </w:rPr>
      </w:pPr>
      <w:r w:rsidRPr="003D1280">
        <w:rPr>
          <w:rFonts w:ascii="Arial" w:hAnsi="Arial" w:cs="Arial"/>
          <w:lang w:val="fr-FR"/>
        </w:rPr>
        <w:t>As for the OME</w:t>
      </w:r>
      <w:r w:rsidRPr="003D1280">
        <w:rPr>
          <w:rFonts w:ascii="Arial" w:hAnsi="Arial" w:cs="Arial"/>
          <w:vertAlign w:val="subscript"/>
          <w:lang w:val="fr-FR"/>
        </w:rPr>
        <w:t>1</w:t>
      </w:r>
      <w:r w:rsidRPr="003D1280">
        <w:rPr>
          <w:rFonts w:ascii="Arial" w:hAnsi="Arial" w:cs="Arial"/>
          <w:lang w:val="fr-FR"/>
        </w:rPr>
        <w:t xml:space="preserve"> (infected with </w:t>
      </w:r>
      <w:r w:rsidRPr="003D1280">
        <w:rPr>
          <w:rFonts w:ascii="Arial" w:hAnsi="Arial" w:cs="Arial"/>
          <w:i/>
          <w:iCs/>
          <w:lang w:val="fr-FR"/>
        </w:rPr>
        <w:t>E. coli</w:t>
      </w:r>
      <w:r w:rsidRPr="003D1280">
        <w:rPr>
          <w:rFonts w:ascii="Arial" w:hAnsi="Arial" w:cs="Arial"/>
          <w:lang w:val="fr-FR"/>
        </w:rPr>
        <w:t>) and OME</w:t>
      </w:r>
      <w:r w:rsidRPr="003D1280">
        <w:rPr>
          <w:rFonts w:ascii="Arial" w:hAnsi="Arial" w:cs="Arial"/>
          <w:vertAlign w:val="subscript"/>
          <w:lang w:val="fr-FR"/>
        </w:rPr>
        <w:t>2</w:t>
      </w:r>
      <w:r w:rsidRPr="003D1280">
        <w:rPr>
          <w:rFonts w:ascii="Arial" w:hAnsi="Arial" w:cs="Arial"/>
          <w:lang w:val="fr-FR"/>
        </w:rPr>
        <w:t xml:space="preserve"> (infected with </w:t>
      </w:r>
      <w:r w:rsidRPr="003D1280">
        <w:rPr>
          <w:rFonts w:ascii="Arial" w:hAnsi="Arial" w:cs="Arial"/>
          <w:i/>
          <w:iCs/>
          <w:lang w:val="fr-FR"/>
        </w:rPr>
        <w:t>C. albicans</w:t>
      </w:r>
      <w:r w:rsidRPr="003D1280">
        <w:rPr>
          <w:rFonts w:ascii="Arial" w:hAnsi="Arial" w:cs="Arial"/>
          <w:lang w:val="fr-FR"/>
        </w:rPr>
        <w:t>) groups exposed to mercury, severe deterioration was also observed, characterized by marked weight loss, impaired social interaction, obstructive dyspnea, and several cases of mortality from the second week onwards. Body growth dropped significantly (</w:t>
      </w:r>
      <w:r w:rsidR="00C66484">
        <w:rPr>
          <w:rFonts w:ascii="Arial" w:hAnsi="Arial" w:cs="Arial"/>
          <w:lang w:val="fr-FR"/>
        </w:rPr>
        <w:t>P</w:t>
      </w:r>
      <w:r w:rsidR="00835868">
        <w:rPr>
          <w:rFonts w:ascii="Arial" w:hAnsi="Arial" w:cs="Arial"/>
          <w:lang w:val="fr-FR"/>
        </w:rPr>
        <w:t xml:space="preserve"> </w:t>
      </w:r>
      <w:r w:rsidRPr="003D1280">
        <w:rPr>
          <w:rFonts w:ascii="Arial" w:hAnsi="Arial" w:cs="Arial"/>
          <w:lang w:val="fr-FR"/>
        </w:rPr>
        <w:t>&lt;</w:t>
      </w:r>
      <w:r w:rsidR="00835868">
        <w:rPr>
          <w:rFonts w:ascii="Arial" w:hAnsi="Arial" w:cs="Arial"/>
          <w:lang w:val="fr-FR"/>
        </w:rPr>
        <w:t xml:space="preserve"> </w:t>
      </w:r>
      <w:r w:rsidRPr="003D1280">
        <w:rPr>
          <w:rFonts w:ascii="Arial" w:hAnsi="Arial" w:cs="Arial"/>
          <w:lang w:val="fr-FR"/>
        </w:rPr>
        <w:t>.05), with no possible recovery, confirming the particularly deleterious effect of mercury on the well-being, metabolism, and survival of infected rats compared to controls (Figure 1).</w:t>
      </w:r>
    </w:p>
    <w:p w14:paraId="6544BD20" w14:textId="5F592CF8" w:rsidR="003D1280" w:rsidRDefault="003D1280" w:rsidP="00AA177A">
      <w:pPr>
        <w:pStyle w:val="Body"/>
        <w:spacing w:after="0"/>
        <w:rPr>
          <w:rFonts w:ascii="Arial" w:hAnsi="Arial" w:cs="Arial"/>
          <w:lang w:val="fr-FR"/>
        </w:rPr>
      </w:pPr>
      <w:r w:rsidRPr="003D1280">
        <w:rPr>
          <w:rFonts w:ascii="Arial" w:hAnsi="Arial" w:cs="Arial"/>
          <w:lang w:val="fr-FR"/>
        </w:rPr>
        <w:t xml:space="preserve">In rats exposed to glyphosate and infected with </w:t>
      </w:r>
      <w:r w:rsidRPr="003D1280">
        <w:rPr>
          <w:rFonts w:ascii="Arial" w:hAnsi="Arial" w:cs="Arial"/>
          <w:i/>
          <w:iCs/>
          <w:lang w:val="fr-FR"/>
        </w:rPr>
        <w:t>E. coli</w:t>
      </w:r>
      <w:r w:rsidRPr="003D1280">
        <w:rPr>
          <w:rFonts w:ascii="Arial" w:hAnsi="Arial" w:cs="Arial"/>
          <w:lang w:val="fr-FR"/>
        </w:rPr>
        <w:t xml:space="preserve"> and </w:t>
      </w:r>
      <w:r w:rsidRPr="003D1280">
        <w:rPr>
          <w:rFonts w:ascii="Arial" w:hAnsi="Arial" w:cs="Arial"/>
          <w:i/>
          <w:iCs/>
          <w:lang w:val="fr-FR"/>
        </w:rPr>
        <w:t>C. albicans</w:t>
      </w:r>
      <w:r w:rsidRPr="003D1280">
        <w:rPr>
          <w:rFonts w:ascii="Arial" w:hAnsi="Arial" w:cs="Arial"/>
          <w:lang w:val="fr-FR"/>
        </w:rPr>
        <w:t>, respectively (batches GLY</w:t>
      </w:r>
      <w:r w:rsidRPr="003D1280">
        <w:rPr>
          <w:rFonts w:ascii="Arial" w:hAnsi="Arial" w:cs="Arial"/>
          <w:vertAlign w:val="subscript"/>
          <w:lang w:val="fr-FR"/>
        </w:rPr>
        <w:t>1</w:t>
      </w:r>
      <w:r w:rsidRPr="003D1280">
        <w:rPr>
          <w:rFonts w:ascii="Arial" w:hAnsi="Arial" w:cs="Arial"/>
          <w:lang w:val="fr-FR"/>
        </w:rPr>
        <w:t xml:space="preserve"> and GLY</w:t>
      </w:r>
      <w:r w:rsidRPr="003D1280">
        <w:rPr>
          <w:rFonts w:ascii="Arial" w:hAnsi="Arial" w:cs="Arial"/>
          <w:vertAlign w:val="subscript"/>
          <w:lang w:val="fr-FR"/>
        </w:rPr>
        <w:t>2</w:t>
      </w:r>
      <w:r w:rsidRPr="003D1280">
        <w:rPr>
          <w:rFonts w:ascii="Arial" w:hAnsi="Arial" w:cs="Arial"/>
          <w:lang w:val="fr-FR"/>
        </w:rPr>
        <w:t>), a noticeable but less severe behavioral alteration was observed, characterized by a dull coat, hypovigilance, a tendency toward social isolation, moderate diarrhea, and transient weight loss, accompanied by non significant weight loss followed by a gradual recovery on the 12</w:t>
      </w:r>
      <w:r w:rsidRPr="003D1280">
        <w:rPr>
          <w:rFonts w:ascii="Arial" w:hAnsi="Arial" w:cs="Arial"/>
          <w:vertAlign w:val="superscript"/>
          <w:lang w:val="fr-FR"/>
        </w:rPr>
        <w:t>th</w:t>
      </w:r>
      <w:r w:rsidRPr="003D1280">
        <w:rPr>
          <w:rFonts w:ascii="Arial" w:hAnsi="Arial" w:cs="Arial"/>
          <w:lang w:val="fr-FR"/>
        </w:rPr>
        <w:t xml:space="preserve"> day for animals in batch GLY</w:t>
      </w:r>
      <w:r w:rsidRPr="003D1280">
        <w:rPr>
          <w:rFonts w:ascii="Arial" w:hAnsi="Arial" w:cs="Arial"/>
          <w:vertAlign w:val="subscript"/>
          <w:lang w:val="fr-FR"/>
        </w:rPr>
        <w:t>1</w:t>
      </w:r>
      <w:r w:rsidRPr="003D1280">
        <w:rPr>
          <w:rFonts w:ascii="Arial" w:hAnsi="Arial" w:cs="Arial"/>
          <w:lang w:val="fr-FR"/>
        </w:rPr>
        <w:t xml:space="preserve"> and on 21</w:t>
      </w:r>
      <w:r w:rsidRPr="003D1280">
        <w:rPr>
          <w:rFonts w:ascii="Arial" w:hAnsi="Arial" w:cs="Arial"/>
          <w:vertAlign w:val="superscript"/>
          <w:lang w:val="fr-FR"/>
        </w:rPr>
        <w:t>st</w:t>
      </w:r>
      <w:r w:rsidRPr="003D1280">
        <w:rPr>
          <w:rFonts w:ascii="Arial" w:hAnsi="Arial" w:cs="Arial"/>
          <w:lang w:val="fr-FR"/>
        </w:rPr>
        <w:t xml:space="preserve"> day for those in batch GLY</w:t>
      </w:r>
      <w:r w:rsidRPr="003D1280">
        <w:rPr>
          <w:rFonts w:ascii="Arial" w:hAnsi="Arial" w:cs="Arial"/>
          <w:vertAlign w:val="subscript"/>
          <w:lang w:val="fr-FR"/>
        </w:rPr>
        <w:t>2</w:t>
      </w:r>
      <w:r w:rsidRPr="003D1280">
        <w:rPr>
          <w:rFonts w:ascii="Arial" w:hAnsi="Arial" w:cs="Arial"/>
          <w:lang w:val="fr-FR"/>
        </w:rPr>
        <w:t>. This reveals a disruptive effect of glyphosate, less intense than that induced by lead or mercury (Figure 1).</w:t>
      </w:r>
    </w:p>
    <w:p w14:paraId="7B1F217F" w14:textId="74550B8E" w:rsidR="00330611" w:rsidRDefault="00330611" w:rsidP="00AA177A">
      <w:pPr>
        <w:pStyle w:val="Body"/>
        <w:spacing w:after="0"/>
        <w:rPr>
          <w:rFonts w:ascii="Arial" w:hAnsi="Arial" w:cs="Arial"/>
          <w:lang w:val="fr-FR"/>
        </w:rPr>
      </w:pPr>
    </w:p>
    <w:p w14:paraId="7DA941B1" w14:textId="614A0DEC" w:rsidR="00330611" w:rsidRDefault="00330611" w:rsidP="00AA177A">
      <w:pPr>
        <w:pStyle w:val="Body"/>
        <w:spacing w:after="0"/>
        <w:rPr>
          <w:rFonts w:ascii="Arial" w:hAnsi="Arial" w:cs="Arial"/>
          <w:lang w:val="fr-FR"/>
        </w:rPr>
      </w:pPr>
    </w:p>
    <w:p w14:paraId="710502DA" w14:textId="684B6984" w:rsidR="00330611" w:rsidRDefault="00330611" w:rsidP="00AA177A">
      <w:pPr>
        <w:pStyle w:val="Body"/>
        <w:spacing w:after="0"/>
        <w:rPr>
          <w:rFonts w:ascii="Arial" w:hAnsi="Arial" w:cs="Arial"/>
          <w:lang w:val="fr-FR"/>
        </w:rPr>
      </w:pPr>
    </w:p>
    <w:p w14:paraId="301BE4C4" w14:textId="3923F7B0" w:rsidR="00330611" w:rsidRDefault="00330611" w:rsidP="00AA177A">
      <w:pPr>
        <w:pStyle w:val="Body"/>
        <w:spacing w:after="0"/>
        <w:rPr>
          <w:rFonts w:ascii="Arial" w:hAnsi="Arial" w:cs="Arial"/>
          <w:lang w:val="fr-FR"/>
        </w:rPr>
      </w:pPr>
    </w:p>
    <w:p w14:paraId="33E1F587" w14:textId="7E9506AB" w:rsidR="00330611" w:rsidRDefault="00330611" w:rsidP="00AA177A">
      <w:pPr>
        <w:pStyle w:val="Body"/>
        <w:spacing w:after="0"/>
        <w:rPr>
          <w:rFonts w:ascii="Arial" w:hAnsi="Arial" w:cs="Arial"/>
          <w:lang w:val="fr-FR"/>
        </w:rPr>
      </w:pPr>
    </w:p>
    <w:p w14:paraId="362DCB07" w14:textId="77777777" w:rsidR="00330611" w:rsidRDefault="00330611" w:rsidP="00AA177A">
      <w:pPr>
        <w:pStyle w:val="Body"/>
        <w:spacing w:after="0"/>
        <w:rPr>
          <w:rFonts w:ascii="Arial" w:hAnsi="Arial" w:cs="Arial"/>
          <w:lang w:val="fr-FR"/>
        </w:rPr>
      </w:pPr>
    </w:p>
    <w:p w14:paraId="1F2AA248" w14:textId="77777777" w:rsidR="006D7AEC" w:rsidRDefault="006D7AEC" w:rsidP="003D1280">
      <w:pPr>
        <w:pStyle w:val="Body"/>
        <w:rPr>
          <w:rFonts w:ascii="Arial" w:hAnsi="Arial" w:cs="Arial"/>
          <w:lang w:val="fr-FR"/>
        </w:rPr>
      </w:pPr>
    </w:p>
    <w:p w14:paraId="7246AC52" w14:textId="77777777" w:rsidR="006144DB" w:rsidRPr="003D1280" w:rsidRDefault="006144DB" w:rsidP="003D1280">
      <w:pPr>
        <w:pStyle w:val="Body"/>
        <w:rPr>
          <w:rFonts w:ascii="Arial" w:hAnsi="Arial" w:cs="Arial"/>
          <w:lang w:val="fr-FR"/>
        </w:rPr>
      </w:pPr>
    </w:p>
    <w:p w14:paraId="573BBDBC" w14:textId="77777777" w:rsidR="003D1280" w:rsidRPr="003D1280" w:rsidRDefault="007375C1" w:rsidP="003D1280">
      <w:pPr>
        <w:pStyle w:val="Body"/>
        <w:rPr>
          <w:rFonts w:ascii="Arial" w:hAnsi="Arial" w:cs="Arial"/>
          <w:lang w:val="fr-FR"/>
        </w:rPr>
      </w:pPr>
      <w:r w:rsidRPr="003D1280">
        <w:rPr>
          <w:rFonts w:ascii="Arial" w:hAnsi="Arial" w:cs="Arial"/>
          <w:noProof/>
          <w:lang w:val="fr-FR" w:eastAsia="fr-FR"/>
        </w:rPr>
        <w:lastRenderedPageBreak/>
        <w:drawing>
          <wp:anchor distT="0" distB="0" distL="114300" distR="114300" simplePos="0" relativeHeight="251643392" behindDoc="0" locked="0" layoutInCell="1" allowOverlap="1" wp14:anchorId="72D635E3" wp14:editId="1EDE4C30">
            <wp:simplePos x="0" y="0"/>
            <wp:positionH relativeFrom="margin">
              <wp:posOffset>2434590</wp:posOffset>
            </wp:positionH>
            <wp:positionV relativeFrom="paragraph">
              <wp:posOffset>-104775</wp:posOffset>
            </wp:positionV>
            <wp:extent cx="2695575" cy="264223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95575" cy="2642235"/>
                    </a:xfrm>
                    <a:prstGeom prst="rect">
                      <a:avLst/>
                    </a:prstGeom>
                    <a:noFill/>
                  </pic:spPr>
                </pic:pic>
              </a:graphicData>
            </a:graphic>
            <wp14:sizeRelH relativeFrom="margin">
              <wp14:pctWidth>0</wp14:pctWidth>
            </wp14:sizeRelH>
            <wp14:sizeRelV relativeFrom="margin">
              <wp14:pctHeight>0</wp14:pctHeight>
            </wp14:sizeRelV>
          </wp:anchor>
        </w:drawing>
      </w:r>
      <w:r w:rsidRPr="003D1280">
        <w:rPr>
          <w:rFonts w:ascii="Arial" w:hAnsi="Arial" w:cs="Arial"/>
          <w:noProof/>
          <w:lang w:val="fr-FR" w:eastAsia="fr-FR"/>
        </w:rPr>
        <w:drawing>
          <wp:anchor distT="0" distB="0" distL="114300" distR="114300" simplePos="0" relativeHeight="251638272" behindDoc="0" locked="0" layoutInCell="1" allowOverlap="1" wp14:anchorId="511D97B1" wp14:editId="77513B5D">
            <wp:simplePos x="0" y="0"/>
            <wp:positionH relativeFrom="margin">
              <wp:posOffset>158115</wp:posOffset>
            </wp:positionH>
            <wp:positionV relativeFrom="paragraph">
              <wp:posOffset>-114300</wp:posOffset>
            </wp:positionV>
            <wp:extent cx="2381250" cy="264223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81250" cy="2642235"/>
                    </a:xfrm>
                    <a:prstGeom prst="rect">
                      <a:avLst/>
                    </a:prstGeom>
                    <a:noFill/>
                  </pic:spPr>
                </pic:pic>
              </a:graphicData>
            </a:graphic>
            <wp14:sizeRelH relativeFrom="margin">
              <wp14:pctWidth>0</wp14:pctWidth>
            </wp14:sizeRelH>
            <wp14:sizeRelV relativeFrom="margin">
              <wp14:pctHeight>0</wp14:pctHeight>
            </wp14:sizeRelV>
          </wp:anchor>
        </w:drawing>
      </w:r>
    </w:p>
    <w:p w14:paraId="29EAB2F5" w14:textId="77777777" w:rsidR="003D1280" w:rsidRPr="003D1280" w:rsidRDefault="003D1280" w:rsidP="003D1280">
      <w:pPr>
        <w:pStyle w:val="Body"/>
        <w:spacing w:after="0"/>
        <w:rPr>
          <w:rFonts w:ascii="Arial" w:hAnsi="Arial" w:cs="Arial"/>
          <w:lang w:val="fr-FR"/>
        </w:rPr>
      </w:pPr>
    </w:p>
    <w:p w14:paraId="2BE03CCB" w14:textId="77777777" w:rsidR="003D1280" w:rsidRPr="003D1280" w:rsidRDefault="003D1280" w:rsidP="003D1280">
      <w:pPr>
        <w:pStyle w:val="Body"/>
        <w:spacing w:after="0"/>
        <w:rPr>
          <w:rFonts w:ascii="Arial" w:hAnsi="Arial" w:cs="Arial"/>
          <w:b/>
          <w:bCs/>
          <w:lang w:val="fr-FR"/>
        </w:rPr>
      </w:pPr>
    </w:p>
    <w:p w14:paraId="5488FEC7" w14:textId="77777777" w:rsidR="003D1280" w:rsidRDefault="003D1280" w:rsidP="00441B6F">
      <w:pPr>
        <w:pStyle w:val="Body"/>
        <w:spacing w:after="0"/>
        <w:rPr>
          <w:rFonts w:ascii="Arial" w:hAnsi="Arial" w:cs="Arial"/>
          <w:b/>
          <w:bCs/>
          <w:lang w:val="fr-FR"/>
        </w:rPr>
      </w:pPr>
    </w:p>
    <w:p w14:paraId="26A2F9A0" w14:textId="77777777" w:rsidR="003D1280" w:rsidRDefault="003D1280" w:rsidP="00441B6F">
      <w:pPr>
        <w:pStyle w:val="Body"/>
        <w:spacing w:after="0"/>
        <w:rPr>
          <w:rFonts w:ascii="Arial" w:hAnsi="Arial" w:cs="Arial"/>
          <w:b/>
          <w:bCs/>
          <w:lang w:val="fr-FR"/>
        </w:rPr>
      </w:pPr>
    </w:p>
    <w:p w14:paraId="554F4717" w14:textId="77777777" w:rsidR="003D1280" w:rsidRDefault="003D1280" w:rsidP="00441B6F">
      <w:pPr>
        <w:pStyle w:val="Body"/>
        <w:spacing w:after="0"/>
        <w:rPr>
          <w:rFonts w:ascii="Arial" w:hAnsi="Arial" w:cs="Arial"/>
          <w:b/>
          <w:bCs/>
          <w:lang w:val="fr-FR"/>
        </w:rPr>
      </w:pPr>
    </w:p>
    <w:p w14:paraId="5D6720A2" w14:textId="77777777" w:rsidR="003D1280" w:rsidRDefault="003D1280" w:rsidP="00441B6F">
      <w:pPr>
        <w:pStyle w:val="Body"/>
        <w:spacing w:after="0"/>
        <w:rPr>
          <w:rFonts w:ascii="Arial" w:hAnsi="Arial" w:cs="Arial"/>
          <w:b/>
          <w:bCs/>
          <w:lang w:val="fr-FR"/>
        </w:rPr>
      </w:pPr>
    </w:p>
    <w:p w14:paraId="585BDA8A" w14:textId="77777777" w:rsidR="003D1280" w:rsidRDefault="003D1280" w:rsidP="00441B6F">
      <w:pPr>
        <w:pStyle w:val="Body"/>
        <w:spacing w:after="0"/>
        <w:rPr>
          <w:rFonts w:ascii="Arial" w:hAnsi="Arial" w:cs="Arial"/>
          <w:b/>
          <w:bCs/>
          <w:lang w:val="fr-FR"/>
        </w:rPr>
      </w:pPr>
    </w:p>
    <w:p w14:paraId="56DBCB5B" w14:textId="77777777" w:rsidR="003D1280" w:rsidRDefault="003D1280" w:rsidP="00441B6F">
      <w:pPr>
        <w:pStyle w:val="Body"/>
        <w:spacing w:after="0"/>
        <w:rPr>
          <w:rFonts w:ascii="Arial" w:hAnsi="Arial" w:cs="Arial"/>
          <w:b/>
          <w:bCs/>
          <w:lang w:val="fr-FR"/>
        </w:rPr>
      </w:pPr>
    </w:p>
    <w:p w14:paraId="49153920" w14:textId="77777777" w:rsidR="003D1280" w:rsidRDefault="003D1280" w:rsidP="00441B6F">
      <w:pPr>
        <w:pStyle w:val="Body"/>
        <w:spacing w:after="0"/>
        <w:rPr>
          <w:rFonts w:ascii="Arial" w:hAnsi="Arial" w:cs="Arial"/>
          <w:b/>
          <w:bCs/>
          <w:lang w:val="fr-FR"/>
        </w:rPr>
      </w:pPr>
    </w:p>
    <w:p w14:paraId="4E3D5D03" w14:textId="77777777" w:rsidR="003D1280" w:rsidRDefault="003D1280" w:rsidP="00441B6F">
      <w:pPr>
        <w:pStyle w:val="Body"/>
        <w:spacing w:after="0"/>
        <w:rPr>
          <w:rFonts w:ascii="Arial" w:hAnsi="Arial" w:cs="Arial"/>
          <w:b/>
          <w:bCs/>
          <w:lang w:val="fr-FR"/>
        </w:rPr>
      </w:pPr>
    </w:p>
    <w:p w14:paraId="23261482" w14:textId="77777777" w:rsidR="003D1280" w:rsidRDefault="003D1280" w:rsidP="00441B6F">
      <w:pPr>
        <w:pStyle w:val="Body"/>
        <w:spacing w:after="0"/>
        <w:rPr>
          <w:rFonts w:ascii="Arial" w:hAnsi="Arial" w:cs="Arial"/>
          <w:b/>
          <w:bCs/>
          <w:lang w:val="fr-FR"/>
        </w:rPr>
      </w:pPr>
    </w:p>
    <w:p w14:paraId="06ED7F98" w14:textId="77777777" w:rsidR="003D1280" w:rsidRDefault="003D1280" w:rsidP="00441B6F">
      <w:pPr>
        <w:pStyle w:val="Body"/>
        <w:spacing w:after="0"/>
        <w:rPr>
          <w:rFonts w:ascii="Arial" w:hAnsi="Arial" w:cs="Arial"/>
          <w:b/>
          <w:bCs/>
          <w:lang w:val="fr-FR"/>
        </w:rPr>
      </w:pPr>
    </w:p>
    <w:p w14:paraId="60449ED1" w14:textId="77777777" w:rsidR="003D1280" w:rsidRDefault="003D1280" w:rsidP="00441B6F">
      <w:pPr>
        <w:pStyle w:val="Body"/>
        <w:spacing w:after="0"/>
        <w:rPr>
          <w:rFonts w:ascii="Arial" w:hAnsi="Arial" w:cs="Arial"/>
          <w:b/>
          <w:bCs/>
          <w:lang w:val="fr-FR"/>
        </w:rPr>
      </w:pPr>
    </w:p>
    <w:p w14:paraId="438DA565" w14:textId="77777777" w:rsidR="003D1280" w:rsidRDefault="003D1280" w:rsidP="00441B6F">
      <w:pPr>
        <w:pStyle w:val="Body"/>
        <w:spacing w:after="0"/>
        <w:rPr>
          <w:rFonts w:ascii="Arial" w:hAnsi="Arial" w:cs="Arial"/>
          <w:b/>
          <w:bCs/>
          <w:lang w:val="fr-FR"/>
        </w:rPr>
      </w:pPr>
    </w:p>
    <w:p w14:paraId="2C0EFBFE" w14:textId="77777777" w:rsidR="003D1280" w:rsidRDefault="003D1280" w:rsidP="00441B6F">
      <w:pPr>
        <w:pStyle w:val="Body"/>
        <w:spacing w:after="0"/>
        <w:rPr>
          <w:rFonts w:ascii="Arial" w:hAnsi="Arial" w:cs="Arial"/>
          <w:b/>
          <w:bCs/>
          <w:lang w:val="fr-FR"/>
        </w:rPr>
      </w:pPr>
    </w:p>
    <w:p w14:paraId="55E6131E" w14:textId="6A04E209" w:rsidR="003D1280" w:rsidRPr="003D1280" w:rsidRDefault="003D1280" w:rsidP="007375C1">
      <w:pPr>
        <w:pStyle w:val="Body"/>
        <w:spacing w:after="0"/>
        <w:rPr>
          <w:rFonts w:ascii="Arial" w:hAnsi="Arial" w:cs="Arial"/>
          <w:b/>
          <w:bCs/>
          <w:lang w:val="fr-FR"/>
        </w:rPr>
      </w:pPr>
      <w:r w:rsidRPr="003D1280">
        <w:rPr>
          <w:rFonts w:ascii="Arial" w:hAnsi="Arial" w:cs="Arial"/>
          <w:b/>
          <w:bCs/>
          <w:lang w:val="fr-FR"/>
        </w:rPr>
        <w:t xml:space="preserve">Figure </w:t>
      </w:r>
      <w:r w:rsidR="00835868" w:rsidRPr="003D1280">
        <w:rPr>
          <w:rFonts w:ascii="Arial" w:hAnsi="Arial" w:cs="Arial"/>
          <w:b/>
          <w:bCs/>
          <w:lang w:val="fr-FR"/>
        </w:rPr>
        <w:t>1 :</w:t>
      </w:r>
      <w:r w:rsidRPr="003D1280">
        <w:rPr>
          <w:rFonts w:ascii="Arial" w:hAnsi="Arial" w:cs="Arial"/>
          <w:b/>
          <w:bCs/>
          <w:lang w:val="fr-FR"/>
        </w:rPr>
        <w:t xml:space="preserve"> Curve showing evolution weight gain in rats infected and exposed to pollutants. </w:t>
      </w:r>
    </w:p>
    <w:p w14:paraId="7678498D" w14:textId="1CE38F8B" w:rsidR="003D1280" w:rsidRPr="00835868" w:rsidRDefault="006D7AEC" w:rsidP="007375C1">
      <w:pPr>
        <w:pStyle w:val="Body"/>
        <w:spacing w:after="0"/>
        <w:jc w:val="center"/>
        <w:rPr>
          <w:rFonts w:ascii="Arial" w:hAnsi="Arial" w:cs="Arial"/>
          <w:bCs/>
          <w:i/>
          <w:sz w:val="18"/>
          <w:szCs w:val="18"/>
          <w:lang w:val="fr-FR"/>
        </w:rPr>
      </w:pPr>
      <w:r w:rsidRPr="00835868">
        <w:rPr>
          <w:rFonts w:ascii="Arial" w:hAnsi="Arial" w:cs="Arial"/>
          <w:bCs/>
          <w:i/>
          <w:sz w:val="18"/>
          <w:szCs w:val="18"/>
          <w:lang w:val="fr-FR"/>
        </w:rPr>
        <w:t>A :</w:t>
      </w:r>
      <w:r w:rsidR="003D1280" w:rsidRPr="00835868">
        <w:rPr>
          <w:rFonts w:ascii="Arial" w:hAnsi="Arial" w:cs="Arial"/>
          <w:bCs/>
          <w:i/>
          <w:sz w:val="18"/>
          <w:szCs w:val="18"/>
          <w:lang w:val="fr-FR"/>
        </w:rPr>
        <w:t xml:space="preserve"> Infected with E. </w:t>
      </w:r>
      <w:r w:rsidRPr="00835868">
        <w:rPr>
          <w:rFonts w:ascii="Arial" w:hAnsi="Arial" w:cs="Arial"/>
          <w:bCs/>
          <w:i/>
          <w:sz w:val="18"/>
          <w:szCs w:val="18"/>
          <w:lang w:val="fr-FR"/>
        </w:rPr>
        <w:t>coli ;</w:t>
      </w:r>
      <w:r w:rsidR="003D1280" w:rsidRPr="00835868">
        <w:rPr>
          <w:rFonts w:ascii="Arial" w:hAnsi="Arial" w:cs="Arial"/>
          <w:bCs/>
          <w:i/>
          <w:sz w:val="18"/>
          <w:szCs w:val="18"/>
          <w:lang w:val="fr-FR"/>
        </w:rPr>
        <w:t xml:space="preserve"> </w:t>
      </w:r>
      <w:r w:rsidRPr="00835868">
        <w:rPr>
          <w:rFonts w:ascii="Arial" w:hAnsi="Arial" w:cs="Arial"/>
          <w:bCs/>
          <w:i/>
          <w:sz w:val="18"/>
          <w:szCs w:val="18"/>
          <w:lang w:val="fr-FR"/>
        </w:rPr>
        <w:t>B :</w:t>
      </w:r>
      <w:r w:rsidR="003D1280" w:rsidRPr="00835868">
        <w:rPr>
          <w:rFonts w:ascii="Arial" w:hAnsi="Arial" w:cs="Arial"/>
          <w:bCs/>
          <w:i/>
          <w:sz w:val="18"/>
          <w:szCs w:val="18"/>
          <w:lang w:val="fr-FR"/>
        </w:rPr>
        <w:t xml:space="preserve"> Infected with C. albicans</w:t>
      </w:r>
    </w:p>
    <w:p w14:paraId="7FAA9663" w14:textId="77777777" w:rsidR="003D1280" w:rsidRDefault="003D1280" w:rsidP="00441B6F">
      <w:pPr>
        <w:pStyle w:val="Body"/>
        <w:spacing w:after="0"/>
        <w:rPr>
          <w:rFonts w:ascii="Arial" w:hAnsi="Arial" w:cs="Arial"/>
          <w:b/>
          <w:bCs/>
          <w:lang w:val="fr-FR"/>
        </w:rPr>
      </w:pPr>
    </w:p>
    <w:p w14:paraId="4E585105" w14:textId="77777777" w:rsidR="003D1280" w:rsidRDefault="003D1280" w:rsidP="008E3E0C">
      <w:pPr>
        <w:pStyle w:val="Body"/>
        <w:spacing w:after="0"/>
        <w:rPr>
          <w:rFonts w:ascii="Arial" w:hAnsi="Arial" w:cs="Arial"/>
        </w:rPr>
      </w:pPr>
    </w:p>
    <w:p w14:paraId="2D290CCD" w14:textId="32D3D956" w:rsidR="007375C1" w:rsidRPr="00A541E0" w:rsidRDefault="00A541E0" w:rsidP="008E3E0C">
      <w:pPr>
        <w:pStyle w:val="Body"/>
        <w:spacing w:after="0"/>
        <w:rPr>
          <w:rFonts w:ascii="Arial" w:hAnsi="Arial" w:cs="Arial"/>
          <w:b/>
          <w:bCs/>
          <w:u w:val="single"/>
          <w:lang w:val="fr-FR"/>
        </w:rPr>
      </w:pPr>
      <w:r w:rsidRPr="00A541E0">
        <w:rPr>
          <w:rFonts w:ascii="Arial" w:hAnsi="Arial" w:cs="Arial"/>
          <w:b/>
          <w:bCs/>
          <w:u w:val="single"/>
          <w:lang w:val="fr-FR"/>
        </w:rPr>
        <w:t>3.1.</w:t>
      </w:r>
      <w:r w:rsidR="007375C1" w:rsidRPr="00A541E0">
        <w:rPr>
          <w:rFonts w:ascii="Arial" w:hAnsi="Arial" w:cs="Arial"/>
          <w:b/>
          <w:bCs/>
          <w:u w:val="single"/>
          <w:lang w:val="fr-FR"/>
        </w:rPr>
        <w:t>2 Effects of pollutants on leukocyte and inflammatory response</w:t>
      </w:r>
    </w:p>
    <w:p w14:paraId="1ADCE21A" w14:textId="10109B8D" w:rsidR="007375C1" w:rsidRDefault="007375C1" w:rsidP="008E3E0C">
      <w:pPr>
        <w:pStyle w:val="Body"/>
        <w:spacing w:after="0"/>
        <w:rPr>
          <w:rFonts w:ascii="Arial" w:hAnsi="Arial" w:cs="Arial"/>
          <w:lang w:val="fr-FR"/>
        </w:rPr>
      </w:pPr>
      <w:r w:rsidRPr="007375C1">
        <w:rPr>
          <w:rFonts w:ascii="Arial" w:hAnsi="Arial" w:cs="Arial"/>
          <w:lang w:val="fr-FR"/>
        </w:rPr>
        <w:t>In the negative control rats (batch T</w:t>
      </w:r>
      <w:r w:rsidRPr="007375C1">
        <w:rPr>
          <w:rFonts w:ascii="Arial" w:hAnsi="Arial" w:cs="Arial"/>
          <w:vertAlign w:val="subscript"/>
          <w:lang w:val="fr-FR"/>
        </w:rPr>
        <w:t>0</w:t>
      </w:r>
      <w:r w:rsidRPr="007375C1">
        <w:rPr>
          <w:rFonts w:ascii="Arial" w:hAnsi="Arial" w:cs="Arial"/>
          <w:lang w:val="fr-FR"/>
        </w:rPr>
        <w:t>, uninfected and unexposed), leukocyte parameters remained statistically stable throughout the experiment (p</w:t>
      </w:r>
      <w:r w:rsidR="00C66484">
        <w:rPr>
          <w:rFonts w:ascii="Arial" w:hAnsi="Arial" w:cs="Arial"/>
          <w:lang w:val="fr-FR"/>
        </w:rPr>
        <w:t xml:space="preserve"> </w:t>
      </w:r>
      <w:r w:rsidRPr="007375C1">
        <w:rPr>
          <w:rFonts w:ascii="Arial" w:hAnsi="Arial" w:cs="Arial"/>
          <w:lang w:val="fr-FR"/>
        </w:rPr>
        <w:t>&gt;</w:t>
      </w:r>
      <w:r w:rsidR="00C66484">
        <w:rPr>
          <w:rFonts w:ascii="Arial" w:hAnsi="Arial" w:cs="Arial"/>
          <w:lang w:val="fr-FR"/>
        </w:rPr>
        <w:t xml:space="preserve"> </w:t>
      </w:r>
      <w:r w:rsidRPr="007375C1">
        <w:rPr>
          <w:rFonts w:ascii="Arial" w:hAnsi="Arial" w:cs="Arial"/>
          <w:lang w:val="fr-FR"/>
        </w:rPr>
        <w:t>.05), as did serum CRP levels. These results reflect the absence of toxic-infectious stress and confirm the normal physiological state of the animals in this lot (Figure 2).</w:t>
      </w:r>
    </w:p>
    <w:p w14:paraId="26DAB9D1" w14:textId="77777777" w:rsidR="008E3E0C" w:rsidRPr="007375C1" w:rsidRDefault="008E3E0C" w:rsidP="008E3E0C">
      <w:pPr>
        <w:pStyle w:val="Body"/>
        <w:spacing w:after="0"/>
        <w:rPr>
          <w:rFonts w:ascii="Arial" w:hAnsi="Arial" w:cs="Arial"/>
          <w:lang w:val="fr-FR"/>
        </w:rPr>
      </w:pPr>
    </w:p>
    <w:p w14:paraId="30174D82" w14:textId="77777777" w:rsidR="007375C1" w:rsidRPr="007375C1" w:rsidRDefault="007375C1" w:rsidP="007375C1">
      <w:pPr>
        <w:pStyle w:val="Body"/>
        <w:rPr>
          <w:rFonts w:ascii="Arial" w:hAnsi="Arial" w:cs="Arial"/>
          <w:lang w:val="fr-FR"/>
        </w:rPr>
      </w:pPr>
      <w:r w:rsidRPr="007375C1">
        <w:rPr>
          <w:rFonts w:ascii="Arial" w:hAnsi="Arial" w:cs="Arial"/>
          <w:noProof/>
          <w:lang w:val="fr-FR" w:eastAsia="fr-FR"/>
        </w:rPr>
        <w:drawing>
          <wp:anchor distT="0" distB="0" distL="114300" distR="114300" simplePos="0" relativeHeight="251644416" behindDoc="0" locked="0" layoutInCell="1" allowOverlap="1" wp14:anchorId="025F455E" wp14:editId="1BF4CDE4">
            <wp:simplePos x="0" y="0"/>
            <wp:positionH relativeFrom="margin">
              <wp:posOffset>701040</wp:posOffset>
            </wp:positionH>
            <wp:positionV relativeFrom="paragraph">
              <wp:posOffset>19685</wp:posOffset>
            </wp:positionV>
            <wp:extent cx="4210050" cy="278171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9661" cy="2801275"/>
                    </a:xfrm>
                    <a:prstGeom prst="rect">
                      <a:avLst/>
                    </a:prstGeom>
                    <a:noFill/>
                  </pic:spPr>
                </pic:pic>
              </a:graphicData>
            </a:graphic>
            <wp14:sizeRelH relativeFrom="margin">
              <wp14:pctWidth>0</wp14:pctWidth>
            </wp14:sizeRelH>
            <wp14:sizeRelV relativeFrom="margin">
              <wp14:pctHeight>0</wp14:pctHeight>
            </wp14:sizeRelV>
          </wp:anchor>
        </w:drawing>
      </w:r>
    </w:p>
    <w:p w14:paraId="0905521E" w14:textId="77777777" w:rsidR="007375C1" w:rsidRPr="007375C1" w:rsidRDefault="007375C1" w:rsidP="007375C1">
      <w:pPr>
        <w:pStyle w:val="Body"/>
        <w:rPr>
          <w:rFonts w:ascii="Arial" w:hAnsi="Arial" w:cs="Arial"/>
          <w:lang w:val="fr-FR"/>
        </w:rPr>
      </w:pPr>
    </w:p>
    <w:p w14:paraId="2C2BECDE" w14:textId="77777777" w:rsidR="007375C1" w:rsidRPr="007375C1" w:rsidRDefault="007375C1" w:rsidP="007375C1">
      <w:pPr>
        <w:pStyle w:val="Body"/>
        <w:rPr>
          <w:rFonts w:ascii="Arial" w:hAnsi="Arial" w:cs="Arial"/>
          <w:lang w:val="fr-FR"/>
        </w:rPr>
      </w:pPr>
    </w:p>
    <w:p w14:paraId="2C2ABB52" w14:textId="77777777" w:rsidR="007375C1" w:rsidRPr="007375C1" w:rsidRDefault="007375C1" w:rsidP="007375C1">
      <w:pPr>
        <w:pStyle w:val="Body"/>
        <w:rPr>
          <w:rFonts w:ascii="Arial" w:hAnsi="Arial" w:cs="Arial"/>
          <w:lang w:val="fr-FR"/>
        </w:rPr>
      </w:pPr>
    </w:p>
    <w:p w14:paraId="7E60F4E1" w14:textId="77777777" w:rsidR="007375C1" w:rsidRPr="007375C1" w:rsidRDefault="007375C1" w:rsidP="007375C1">
      <w:pPr>
        <w:pStyle w:val="Body"/>
        <w:rPr>
          <w:rFonts w:ascii="Arial" w:hAnsi="Arial" w:cs="Arial"/>
          <w:lang w:val="fr-FR"/>
        </w:rPr>
      </w:pPr>
    </w:p>
    <w:p w14:paraId="689F4F80" w14:textId="77777777" w:rsidR="007375C1" w:rsidRPr="007375C1" w:rsidRDefault="007375C1" w:rsidP="007375C1">
      <w:pPr>
        <w:pStyle w:val="Body"/>
        <w:rPr>
          <w:rFonts w:ascii="Arial" w:hAnsi="Arial" w:cs="Arial"/>
          <w:lang w:val="fr-FR"/>
        </w:rPr>
      </w:pPr>
      <w:r w:rsidRPr="007375C1">
        <w:rPr>
          <w:rFonts w:ascii="Arial" w:hAnsi="Arial" w:cs="Arial"/>
          <w:lang w:val="fr-FR"/>
        </w:rPr>
        <w:tab/>
      </w:r>
    </w:p>
    <w:p w14:paraId="42B9D3C4" w14:textId="77777777" w:rsidR="007375C1" w:rsidRPr="007375C1" w:rsidRDefault="007375C1" w:rsidP="007375C1">
      <w:pPr>
        <w:pStyle w:val="Body"/>
        <w:rPr>
          <w:rFonts w:ascii="Arial" w:hAnsi="Arial" w:cs="Arial"/>
          <w:lang w:val="fr-FR"/>
        </w:rPr>
      </w:pPr>
    </w:p>
    <w:p w14:paraId="6DFDE01D" w14:textId="77777777" w:rsidR="007375C1" w:rsidRPr="007375C1" w:rsidRDefault="007375C1" w:rsidP="007375C1">
      <w:pPr>
        <w:pStyle w:val="Body"/>
        <w:rPr>
          <w:rFonts w:ascii="Arial" w:hAnsi="Arial" w:cs="Arial"/>
          <w:lang w:val="fr-FR"/>
        </w:rPr>
      </w:pPr>
    </w:p>
    <w:p w14:paraId="3F8BB78A" w14:textId="77777777" w:rsidR="007375C1" w:rsidRPr="007375C1" w:rsidRDefault="007375C1" w:rsidP="007375C1">
      <w:pPr>
        <w:pStyle w:val="Body"/>
        <w:rPr>
          <w:rFonts w:ascii="Arial" w:hAnsi="Arial" w:cs="Arial"/>
          <w:lang w:val="fr-FR"/>
        </w:rPr>
      </w:pPr>
    </w:p>
    <w:p w14:paraId="6E0CFE79" w14:textId="77777777" w:rsidR="007375C1" w:rsidRPr="007375C1" w:rsidRDefault="007375C1" w:rsidP="007375C1">
      <w:pPr>
        <w:pStyle w:val="Body"/>
        <w:rPr>
          <w:rFonts w:ascii="Arial" w:hAnsi="Arial" w:cs="Arial"/>
          <w:lang w:val="fr-FR"/>
        </w:rPr>
      </w:pPr>
    </w:p>
    <w:p w14:paraId="038B63E4" w14:textId="28C2577A" w:rsidR="007375C1" w:rsidRPr="007375C1" w:rsidRDefault="007375C1" w:rsidP="007375C1">
      <w:pPr>
        <w:pStyle w:val="Body"/>
        <w:spacing w:after="0"/>
        <w:rPr>
          <w:rFonts w:ascii="Arial" w:hAnsi="Arial" w:cs="Arial"/>
          <w:b/>
          <w:lang w:val="fr-FR"/>
        </w:rPr>
      </w:pPr>
      <w:r w:rsidRPr="007375C1">
        <w:rPr>
          <w:rFonts w:ascii="Arial" w:hAnsi="Arial" w:cs="Arial"/>
          <w:b/>
          <w:bCs/>
          <w:lang w:val="fr-FR"/>
        </w:rPr>
        <w:t xml:space="preserve">Figure </w:t>
      </w:r>
      <w:r w:rsidR="00835868" w:rsidRPr="007375C1">
        <w:rPr>
          <w:rFonts w:ascii="Arial" w:hAnsi="Arial" w:cs="Arial"/>
          <w:b/>
          <w:bCs/>
          <w:lang w:val="fr-FR"/>
        </w:rPr>
        <w:t>2</w:t>
      </w:r>
      <w:r w:rsidR="00835868" w:rsidRPr="007375C1">
        <w:rPr>
          <w:rFonts w:ascii="Arial" w:hAnsi="Arial" w:cs="Arial"/>
          <w:b/>
          <w:lang w:val="fr-FR"/>
        </w:rPr>
        <w:t xml:space="preserve"> :</w:t>
      </w:r>
      <w:r w:rsidRPr="007375C1">
        <w:rPr>
          <w:rFonts w:ascii="Arial" w:hAnsi="Arial" w:cs="Arial"/>
          <w:b/>
          <w:lang w:val="fr-FR"/>
        </w:rPr>
        <w:t xml:space="preserve"> </w:t>
      </w:r>
      <w:bookmarkStart w:id="0" w:name="_Hlk222579638"/>
      <w:r w:rsidRPr="007375C1">
        <w:rPr>
          <w:rFonts w:ascii="Arial" w:hAnsi="Arial" w:cs="Arial"/>
          <w:b/>
          <w:lang w:val="fr-FR"/>
        </w:rPr>
        <w:t>Histogram showing evolution in leukocyte and infl</w:t>
      </w:r>
      <w:r>
        <w:rPr>
          <w:rFonts w:ascii="Arial" w:hAnsi="Arial" w:cs="Arial"/>
          <w:b/>
          <w:lang w:val="fr-FR"/>
        </w:rPr>
        <w:t xml:space="preserve">ammatory parameters in negative </w:t>
      </w:r>
      <w:r w:rsidRPr="007375C1">
        <w:rPr>
          <w:rFonts w:ascii="Arial" w:hAnsi="Arial" w:cs="Arial"/>
          <w:b/>
          <w:lang w:val="fr-FR"/>
        </w:rPr>
        <w:t>control rats</w:t>
      </w:r>
      <w:bookmarkEnd w:id="0"/>
      <w:r w:rsidRPr="007375C1">
        <w:rPr>
          <w:rFonts w:ascii="Arial" w:hAnsi="Arial" w:cs="Arial"/>
          <w:b/>
          <w:lang w:val="fr-FR"/>
        </w:rPr>
        <w:t xml:space="preserve"> (batch T</w:t>
      </w:r>
      <w:r w:rsidRPr="007375C1">
        <w:rPr>
          <w:rFonts w:ascii="Arial" w:hAnsi="Arial" w:cs="Arial"/>
          <w:b/>
          <w:vertAlign w:val="subscript"/>
          <w:lang w:val="fr-FR"/>
        </w:rPr>
        <w:t>0</w:t>
      </w:r>
      <w:r w:rsidRPr="007375C1">
        <w:rPr>
          <w:rFonts w:ascii="Arial" w:hAnsi="Arial" w:cs="Arial"/>
          <w:b/>
          <w:lang w:val="fr-FR"/>
        </w:rPr>
        <w:t>).</w:t>
      </w:r>
    </w:p>
    <w:p w14:paraId="1583E617" w14:textId="56031618" w:rsidR="007375C1" w:rsidRPr="00835868" w:rsidRDefault="003958A6" w:rsidP="00C95C81">
      <w:pPr>
        <w:pStyle w:val="Body"/>
        <w:spacing w:after="0"/>
        <w:jc w:val="center"/>
        <w:rPr>
          <w:rFonts w:ascii="Arial" w:hAnsi="Arial" w:cs="Arial"/>
          <w:i/>
          <w:sz w:val="18"/>
          <w:szCs w:val="18"/>
          <w:lang w:val="fr-FR"/>
        </w:rPr>
      </w:pPr>
      <w:r w:rsidRPr="00835868">
        <w:rPr>
          <w:rFonts w:ascii="Arial" w:hAnsi="Arial" w:cs="Arial"/>
          <w:i/>
          <w:sz w:val="18"/>
          <w:szCs w:val="18"/>
          <w:lang w:val="fr-FR"/>
        </w:rPr>
        <w:t>WBC :</w:t>
      </w:r>
      <w:r w:rsidR="007375C1" w:rsidRPr="00835868">
        <w:rPr>
          <w:rFonts w:ascii="Arial" w:hAnsi="Arial" w:cs="Arial"/>
          <w:i/>
          <w:sz w:val="18"/>
          <w:szCs w:val="18"/>
          <w:lang w:val="fr-FR"/>
        </w:rPr>
        <w:t xml:space="preserve"> White blood </w:t>
      </w:r>
      <w:r w:rsidRPr="00835868">
        <w:rPr>
          <w:rFonts w:ascii="Arial" w:hAnsi="Arial" w:cs="Arial"/>
          <w:i/>
          <w:sz w:val="18"/>
          <w:szCs w:val="18"/>
          <w:lang w:val="fr-FR"/>
        </w:rPr>
        <w:t>cells ;</w:t>
      </w:r>
      <w:r w:rsidR="007375C1" w:rsidRPr="00835868">
        <w:rPr>
          <w:rFonts w:ascii="Arial" w:hAnsi="Arial" w:cs="Arial"/>
          <w:i/>
          <w:sz w:val="18"/>
          <w:szCs w:val="18"/>
          <w:lang w:val="fr-FR"/>
        </w:rPr>
        <w:t xml:space="preserve"> </w:t>
      </w:r>
      <w:r w:rsidRPr="00835868">
        <w:rPr>
          <w:rFonts w:ascii="Arial" w:hAnsi="Arial" w:cs="Arial"/>
          <w:i/>
          <w:sz w:val="18"/>
          <w:szCs w:val="18"/>
          <w:lang w:val="fr-FR"/>
        </w:rPr>
        <w:t>Neu :</w:t>
      </w:r>
      <w:r w:rsidR="007375C1" w:rsidRPr="00835868">
        <w:rPr>
          <w:rFonts w:ascii="Arial" w:hAnsi="Arial" w:cs="Arial"/>
          <w:i/>
          <w:sz w:val="18"/>
          <w:szCs w:val="18"/>
          <w:lang w:val="fr-FR"/>
        </w:rPr>
        <w:t xml:space="preserve"> </w:t>
      </w:r>
      <w:r w:rsidRPr="00835868">
        <w:rPr>
          <w:rFonts w:ascii="Arial" w:hAnsi="Arial" w:cs="Arial"/>
          <w:i/>
          <w:sz w:val="18"/>
          <w:szCs w:val="18"/>
          <w:lang w:val="fr-FR"/>
        </w:rPr>
        <w:t>Neutrophils ;</w:t>
      </w:r>
      <w:r w:rsidR="007375C1" w:rsidRPr="00835868">
        <w:rPr>
          <w:rFonts w:ascii="Arial" w:hAnsi="Arial" w:cs="Arial"/>
          <w:i/>
          <w:sz w:val="18"/>
          <w:szCs w:val="18"/>
          <w:lang w:val="fr-FR"/>
        </w:rPr>
        <w:t xml:space="preserve"> </w:t>
      </w:r>
      <w:r w:rsidRPr="00835868">
        <w:rPr>
          <w:rFonts w:ascii="Arial" w:hAnsi="Arial" w:cs="Arial"/>
          <w:i/>
          <w:sz w:val="18"/>
          <w:szCs w:val="18"/>
          <w:lang w:val="fr-FR"/>
        </w:rPr>
        <w:t>Mo :</w:t>
      </w:r>
      <w:r w:rsidR="007375C1" w:rsidRPr="00835868">
        <w:rPr>
          <w:rFonts w:ascii="Arial" w:hAnsi="Arial" w:cs="Arial"/>
          <w:i/>
          <w:sz w:val="18"/>
          <w:szCs w:val="18"/>
          <w:lang w:val="fr-FR"/>
        </w:rPr>
        <w:t xml:space="preserve"> </w:t>
      </w:r>
      <w:r w:rsidRPr="00835868">
        <w:rPr>
          <w:rFonts w:ascii="Arial" w:hAnsi="Arial" w:cs="Arial"/>
          <w:i/>
          <w:sz w:val="18"/>
          <w:szCs w:val="18"/>
          <w:lang w:val="fr-FR"/>
        </w:rPr>
        <w:t>Monocytes ;</w:t>
      </w:r>
      <w:r w:rsidR="007375C1" w:rsidRPr="00835868">
        <w:rPr>
          <w:rFonts w:ascii="Arial" w:hAnsi="Arial" w:cs="Arial"/>
          <w:i/>
          <w:sz w:val="18"/>
          <w:szCs w:val="18"/>
          <w:lang w:val="fr-FR"/>
        </w:rPr>
        <w:t xml:space="preserve"> </w:t>
      </w:r>
      <w:r w:rsidRPr="00835868">
        <w:rPr>
          <w:rFonts w:ascii="Arial" w:hAnsi="Arial" w:cs="Arial"/>
          <w:i/>
          <w:sz w:val="18"/>
          <w:szCs w:val="18"/>
          <w:lang w:val="fr-FR"/>
        </w:rPr>
        <w:t>CRP :</w:t>
      </w:r>
      <w:r w:rsidR="007375C1" w:rsidRPr="00835868">
        <w:rPr>
          <w:rFonts w:ascii="Arial" w:hAnsi="Arial" w:cs="Arial"/>
          <w:i/>
          <w:sz w:val="18"/>
          <w:szCs w:val="18"/>
          <w:lang w:val="fr-FR"/>
        </w:rPr>
        <w:t xml:space="preserve"> C-reactive protein</w:t>
      </w:r>
    </w:p>
    <w:p w14:paraId="37A044A0" w14:textId="51E77F49" w:rsidR="00C95C81" w:rsidRPr="00C95C81" w:rsidRDefault="00C95C81" w:rsidP="00C95C81">
      <w:pPr>
        <w:pStyle w:val="Body"/>
        <w:rPr>
          <w:rFonts w:ascii="Arial" w:hAnsi="Arial" w:cs="Arial"/>
          <w:lang w:val="fr-FR"/>
        </w:rPr>
      </w:pPr>
      <w:r w:rsidRPr="00C95C81">
        <w:rPr>
          <w:rFonts w:ascii="Arial" w:hAnsi="Arial" w:cs="Arial"/>
          <w:lang w:val="fr-FR"/>
        </w:rPr>
        <w:t>In positive controls (batches T</w:t>
      </w:r>
      <w:r w:rsidRPr="00C95C81">
        <w:rPr>
          <w:rFonts w:ascii="Arial" w:hAnsi="Arial" w:cs="Arial"/>
          <w:vertAlign w:val="subscript"/>
          <w:lang w:val="fr-FR"/>
        </w:rPr>
        <w:t>1</w:t>
      </w:r>
      <w:r w:rsidRPr="00C95C81">
        <w:rPr>
          <w:rFonts w:ascii="Arial" w:hAnsi="Arial" w:cs="Arial"/>
          <w:lang w:val="fr-FR"/>
        </w:rPr>
        <w:t xml:space="preserve"> and T</w:t>
      </w:r>
      <w:r w:rsidRPr="00C95C81">
        <w:rPr>
          <w:rFonts w:ascii="Arial" w:hAnsi="Arial" w:cs="Arial"/>
          <w:vertAlign w:val="subscript"/>
          <w:lang w:val="fr-FR"/>
        </w:rPr>
        <w:t>2</w:t>
      </w:r>
      <w:r w:rsidRPr="00C95C81">
        <w:rPr>
          <w:rFonts w:ascii="Arial" w:hAnsi="Arial" w:cs="Arial"/>
          <w:lang w:val="fr-FR"/>
        </w:rPr>
        <w:t xml:space="preserve">), infected with </w:t>
      </w:r>
      <w:r w:rsidRPr="00C95C81">
        <w:rPr>
          <w:rFonts w:ascii="Arial" w:hAnsi="Arial" w:cs="Arial"/>
          <w:i/>
          <w:iCs/>
          <w:lang w:val="fr-FR"/>
        </w:rPr>
        <w:t>E. coli</w:t>
      </w:r>
      <w:r w:rsidRPr="00C95C81">
        <w:rPr>
          <w:rFonts w:ascii="Arial" w:hAnsi="Arial" w:cs="Arial"/>
          <w:lang w:val="fr-FR"/>
        </w:rPr>
        <w:t xml:space="preserve"> and </w:t>
      </w:r>
      <w:r w:rsidRPr="00C95C81">
        <w:rPr>
          <w:rFonts w:ascii="Arial" w:hAnsi="Arial" w:cs="Arial"/>
          <w:i/>
          <w:iCs/>
          <w:lang w:val="fr-FR"/>
        </w:rPr>
        <w:t>C. albicans</w:t>
      </w:r>
      <w:r w:rsidRPr="00C95C81">
        <w:rPr>
          <w:rFonts w:ascii="Arial" w:hAnsi="Arial" w:cs="Arial"/>
          <w:lang w:val="fr-FR"/>
        </w:rPr>
        <w:t xml:space="preserve"> respectively and not exposed to toxins (lead, mercury, glyphosate), a moderate and non-significant increase in </w:t>
      </w:r>
      <w:r w:rsidRPr="00C95C81">
        <w:rPr>
          <w:rFonts w:ascii="Arial" w:hAnsi="Arial" w:cs="Arial"/>
          <w:lang w:val="fr-FR"/>
        </w:rPr>
        <w:lastRenderedPageBreak/>
        <w:t>CRP (</w:t>
      </w:r>
      <w:r w:rsidR="00C66484">
        <w:rPr>
          <w:rFonts w:ascii="Arial" w:hAnsi="Arial" w:cs="Arial"/>
          <w:lang w:val="fr-FR"/>
        </w:rPr>
        <w:t xml:space="preserve">P </w:t>
      </w:r>
      <w:r w:rsidRPr="00C95C81">
        <w:rPr>
          <w:rFonts w:ascii="Arial" w:hAnsi="Arial" w:cs="Arial"/>
          <w:lang w:val="fr-FR"/>
        </w:rPr>
        <w:t>&gt;</w:t>
      </w:r>
      <w:r w:rsidR="00C66484">
        <w:rPr>
          <w:rFonts w:ascii="Arial" w:hAnsi="Arial" w:cs="Arial"/>
          <w:lang w:val="fr-FR"/>
        </w:rPr>
        <w:t xml:space="preserve"> </w:t>
      </w:r>
      <w:r w:rsidRPr="00C95C81">
        <w:rPr>
          <w:rFonts w:ascii="Arial" w:hAnsi="Arial" w:cs="Arial"/>
          <w:lang w:val="fr-FR"/>
        </w:rPr>
        <w:t>.05) was observed, associated with significant hyperleukocytosis, mainly linked to an increase in neutrophils during the experiment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.05) (Figure 3). Monocyte levels remained relatively stable, without significant variation. These results show a moderate activation of the immune response, reflected by neutrophilic leukocytosis in response to infections without toxic stress for these animals of these two batches.</w:t>
      </w:r>
    </w:p>
    <w:p w14:paraId="1A75838C" w14:textId="77777777" w:rsidR="00C95C81" w:rsidRPr="00C95C81" w:rsidRDefault="00C95C81" w:rsidP="00C95C81">
      <w:pPr>
        <w:pStyle w:val="Body"/>
        <w:rPr>
          <w:rFonts w:ascii="Arial" w:hAnsi="Arial" w:cs="Arial"/>
          <w:lang w:val="fr-FR"/>
        </w:rPr>
      </w:pPr>
      <w:r w:rsidRPr="00C95C81">
        <w:rPr>
          <w:rFonts w:ascii="Arial" w:hAnsi="Arial" w:cs="Arial"/>
          <w:noProof/>
          <w:lang w:val="fr-FR" w:eastAsia="fr-FR"/>
        </w:rPr>
        <w:drawing>
          <wp:anchor distT="0" distB="0" distL="114300" distR="114300" simplePos="0" relativeHeight="251650560" behindDoc="0" locked="0" layoutInCell="1" allowOverlap="1" wp14:anchorId="198B53CA" wp14:editId="111A1A18">
            <wp:simplePos x="0" y="0"/>
            <wp:positionH relativeFrom="margin">
              <wp:posOffset>2529840</wp:posOffset>
            </wp:positionH>
            <wp:positionV relativeFrom="paragraph">
              <wp:posOffset>254000</wp:posOffset>
            </wp:positionV>
            <wp:extent cx="2666365" cy="25412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66572" cy="2541467"/>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47488" behindDoc="0" locked="0" layoutInCell="1" allowOverlap="1" wp14:anchorId="3167B68E" wp14:editId="72D32306">
            <wp:simplePos x="0" y="0"/>
            <wp:positionH relativeFrom="margin">
              <wp:posOffset>-22859</wp:posOffset>
            </wp:positionH>
            <wp:positionV relativeFrom="paragraph">
              <wp:posOffset>254000</wp:posOffset>
            </wp:positionV>
            <wp:extent cx="2571750" cy="25412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BEBA8EAE-BF5A-486C-A8C5-ECC9F3942E4B}">
                          <a14:imgProps xmlns:a14="http://schemas.microsoft.com/office/drawing/2010/main">
                            <a14:imgLayer r:embed="rId2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1750" cy="2541270"/>
                    </a:xfrm>
                    <a:prstGeom prst="rect">
                      <a:avLst/>
                    </a:prstGeom>
                    <a:noFill/>
                  </pic:spPr>
                </pic:pic>
              </a:graphicData>
            </a:graphic>
            <wp14:sizeRelH relativeFrom="margin">
              <wp14:pctWidth>0</wp14:pctWidth>
            </wp14:sizeRelH>
            <wp14:sizeRelV relativeFrom="margin">
              <wp14:pctHeight>0</wp14:pctHeight>
            </wp14:sizeRelV>
          </wp:anchor>
        </w:drawing>
      </w:r>
    </w:p>
    <w:p w14:paraId="2944566C" w14:textId="77777777" w:rsidR="00C95C81" w:rsidRPr="00C95C81" w:rsidRDefault="00C95C81" w:rsidP="00C95C81">
      <w:pPr>
        <w:pStyle w:val="Body"/>
        <w:rPr>
          <w:rFonts w:ascii="Arial" w:hAnsi="Arial" w:cs="Arial"/>
          <w:lang w:val="fr-FR"/>
        </w:rPr>
      </w:pPr>
    </w:p>
    <w:p w14:paraId="3DB4286E" w14:textId="77777777" w:rsidR="00C95C81" w:rsidRPr="00C95C81" w:rsidRDefault="00C95C81" w:rsidP="00C95C81">
      <w:pPr>
        <w:pStyle w:val="Body"/>
        <w:rPr>
          <w:rFonts w:ascii="Arial" w:hAnsi="Arial" w:cs="Arial"/>
          <w:lang w:val="fr-FR"/>
        </w:rPr>
      </w:pPr>
      <w:r w:rsidRPr="00C95C81">
        <w:rPr>
          <w:rFonts w:ascii="Arial" w:hAnsi="Arial" w:cs="Arial"/>
          <w:lang w:val="fr-FR"/>
        </w:rPr>
        <w:tab/>
      </w:r>
      <w:r w:rsidRPr="00C95C81">
        <w:rPr>
          <w:rFonts w:ascii="Arial" w:hAnsi="Arial" w:cs="Arial"/>
          <w:lang w:val="fr-FR"/>
        </w:rPr>
        <w:tab/>
      </w:r>
    </w:p>
    <w:p w14:paraId="437FCA78" w14:textId="77777777" w:rsidR="00C95C81" w:rsidRPr="00C95C81" w:rsidRDefault="00C95C81" w:rsidP="00C95C81">
      <w:pPr>
        <w:pStyle w:val="Body"/>
        <w:rPr>
          <w:rFonts w:ascii="Arial" w:hAnsi="Arial" w:cs="Arial"/>
          <w:lang w:val="fr-FR"/>
        </w:rPr>
      </w:pPr>
    </w:p>
    <w:p w14:paraId="18873483" w14:textId="77777777" w:rsidR="00C95C81" w:rsidRPr="00C95C81" w:rsidRDefault="00C95C81" w:rsidP="00C95C81">
      <w:pPr>
        <w:pStyle w:val="Body"/>
        <w:rPr>
          <w:rFonts w:ascii="Arial" w:hAnsi="Arial" w:cs="Arial"/>
          <w:lang w:val="fr-FR"/>
        </w:rPr>
      </w:pPr>
    </w:p>
    <w:p w14:paraId="15F6540B" w14:textId="77777777" w:rsidR="00C95C81" w:rsidRPr="00C95C81" w:rsidRDefault="00C95C81" w:rsidP="00C95C81">
      <w:pPr>
        <w:pStyle w:val="Body"/>
        <w:rPr>
          <w:rFonts w:ascii="Arial" w:hAnsi="Arial" w:cs="Arial"/>
          <w:lang w:val="fr-FR"/>
        </w:rPr>
      </w:pPr>
    </w:p>
    <w:p w14:paraId="2602E44B" w14:textId="77777777" w:rsidR="007375C1" w:rsidRPr="007375C1" w:rsidRDefault="007375C1" w:rsidP="007375C1">
      <w:pPr>
        <w:pStyle w:val="Body"/>
        <w:rPr>
          <w:rFonts w:ascii="Arial" w:hAnsi="Arial" w:cs="Arial"/>
          <w:lang w:val="fr-FR"/>
        </w:rPr>
      </w:pPr>
    </w:p>
    <w:p w14:paraId="57FCD0DC" w14:textId="77777777" w:rsidR="007375C1" w:rsidRPr="007375C1" w:rsidRDefault="007375C1" w:rsidP="007375C1">
      <w:pPr>
        <w:pStyle w:val="Body"/>
        <w:rPr>
          <w:rFonts w:ascii="Arial" w:hAnsi="Arial" w:cs="Arial"/>
          <w:lang w:val="fr-FR"/>
        </w:rPr>
      </w:pPr>
    </w:p>
    <w:p w14:paraId="341D996B" w14:textId="77777777" w:rsidR="007375C1" w:rsidRDefault="007375C1" w:rsidP="007375C1">
      <w:pPr>
        <w:pStyle w:val="Body"/>
        <w:rPr>
          <w:rFonts w:ascii="Arial" w:hAnsi="Arial" w:cs="Arial"/>
          <w:lang w:val="fr-FR"/>
        </w:rPr>
      </w:pPr>
    </w:p>
    <w:p w14:paraId="4AD28395" w14:textId="77777777" w:rsidR="006D7AEC" w:rsidRPr="007375C1" w:rsidRDefault="006D7AEC" w:rsidP="007375C1">
      <w:pPr>
        <w:pStyle w:val="Body"/>
        <w:rPr>
          <w:rFonts w:ascii="Arial" w:hAnsi="Arial" w:cs="Arial"/>
          <w:lang w:val="fr-FR"/>
        </w:rPr>
      </w:pPr>
    </w:p>
    <w:p w14:paraId="6E935C0F" w14:textId="77777777" w:rsidR="00C95C81" w:rsidRPr="00C95C81" w:rsidRDefault="00C95C81" w:rsidP="00C95C81">
      <w:pPr>
        <w:pStyle w:val="Body"/>
        <w:spacing w:after="0"/>
        <w:rPr>
          <w:rFonts w:ascii="Arial" w:hAnsi="Arial" w:cs="Arial"/>
          <w:b/>
          <w:bCs/>
          <w:iCs/>
          <w:lang w:val="fr-FR"/>
        </w:rPr>
      </w:pPr>
      <w:r w:rsidRPr="00C95C81">
        <w:rPr>
          <w:rFonts w:ascii="Arial" w:hAnsi="Arial" w:cs="Arial"/>
          <w:b/>
          <w:bCs/>
          <w:iCs/>
          <w:lang w:val="fr-FR"/>
        </w:rPr>
        <w:t xml:space="preserve">Figure </w:t>
      </w:r>
      <w:r w:rsidRPr="00C95C81">
        <w:rPr>
          <w:rFonts w:ascii="Arial" w:hAnsi="Arial" w:cs="Arial"/>
          <w:b/>
          <w:bCs/>
          <w:iCs/>
          <w:lang w:val="fr-FR"/>
        </w:rPr>
        <w:fldChar w:fldCharType="begin"/>
      </w:r>
      <w:r w:rsidRPr="00C95C81">
        <w:rPr>
          <w:rFonts w:ascii="Arial" w:hAnsi="Arial" w:cs="Arial"/>
          <w:b/>
          <w:bCs/>
          <w:iCs/>
          <w:lang w:val="fr-FR"/>
        </w:rPr>
        <w:instrText xml:space="preserve"> SEQ Figure \* ARABIC </w:instrText>
      </w:r>
      <w:r w:rsidRPr="00C95C81">
        <w:rPr>
          <w:rFonts w:ascii="Arial" w:hAnsi="Arial" w:cs="Arial"/>
          <w:b/>
          <w:bCs/>
          <w:iCs/>
          <w:lang w:val="fr-FR"/>
        </w:rPr>
        <w:fldChar w:fldCharType="separate"/>
      </w:r>
      <w:r w:rsidRPr="00C95C81">
        <w:rPr>
          <w:rFonts w:ascii="Arial" w:hAnsi="Arial" w:cs="Arial"/>
          <w:b/>
          <w:bCs/>
          <w:iCs/>
          <w:lang w:val="fr-FR"/>
        </w:rPr>
        <w:t>3</w:t>
      </w:r>
      <w:r w:rsidRPr="00C95C81">
        <w:rPr>
          <w:rFonts w:ascii="Arial" w:hAnsi="Arial" w:cs="Arial"/>
          <w:b/>
          <w:lang w:val="fr-FR"/>
        </w:rPr>
        <w:fldChar w:fldCharType="end"/>
      </w:r>
      <w:r w:rsidRPr="00C95C81">
        <w:rPr>
          <w:rFonts w:ascii="Arial" w:hAnsi="Arial" w:cs="Arial"/>
          <w:b/>
          <w:bCs/>
          <w:iCs/>
          <w:lang w:val="fr-FR"/>
        </w:rPr>
        <w:t xml:space="preserve"> : </w:t>
      </w:r>
      <w:r w:rsidRPr="00C95C81">
        <w:rPr>
          <w:rFonts w:ascii="Arial" w:hAnsi="Arial" w:cs="Arial"/>
          <w:b/>
          <w:iCs/>
          <w:lang w:val="fr-FR"/>
        </w:rPr>
        <w:t>Histogram showing evolution in leukocyte and inflammatory parameters in rats : batch T</w:t>
      </w:r>
      <w:r w:rsidRPr="00C95C81">
        <w:rPr>
          <w:rFonts w:ascii="Arial" w:hAnsi="Arial" w:cs="Arial"/>
          <w:b/>
          <w:iCs/>
          <w:vertAlign w:val="subscript"/>
          <w:lang w:val="fr-FR"/>
        </w:rPr>
        <w:t>1</w:t>
      </w:r>
      <w:r w:rsidRPr="00C95C81">
        <w:rPr>
          <w:rFonts w:ascii="Arial" w:hAnsi="Arial" w:cs="Arial"/>
          <w:b/>
          <w:iCs/>
          <w:lang w:val="fr-FR"/>
        </w:rPr>
        <w:t xml:space="preserve"> (Infected with </w:t>
      </w:r>
      <w:r w:rsidRPr="00C95C81">
        <w:rPr>
          <w:rFonts w:ascii="Arial" w:hAnsi="Arial" w:cs="Arial"/>
          <w:b/>
          <w:i/>
          <w:lang w:val="fr-FR"/>
        </w:rPr>
        <w:t>E. coli</w:t>
      </w:r>
      <w:r w:rsidRPr="00C95C81">
        <w:rPr>
          <w:rFonts w:ascii="Arial" w:hAnsi="Arial" w:cs="Arial"/>
          <w:b/>
          <w:iCs/>
          <w:lang w:val="fr-FR"/>
        </w:rPr>
        <w:t>) and batch T</w:t>
      </w:r>
      <w:r w:rsidRPr="00C95C81">
        <w:rPr>
          <w:rFonts w:ascii="Arial" w:hAnsi="Arial" w:cs="Arial"/>
          <w:b/>
          <w:iCs/>
          <w:vertAlign w:val="subscript"/>
          <w:lang w:val="fr-FR"/>
        </w:rPr>
        <w:t>2</w:t>
      </w:r>
      <w:r w:rsidRPr="00C95C81">
        <w:rPr>
          <w:rFonts w:ascii="Arial" w:hAnsi="Arial" w:cs="Arial"/>
          <w:b/>
          <w:iCs/>
          <w:lang w:val="fr-FR"/>
        </w:rPr>
        <w:t xml:space="preserve"> (Infected with </w:t>
      </w:r>
      <w:r w:rsidRPr="00C95C81">
        <w:rPr>
          <w:rFonts w:ascii="Arial" w:hAnsi="Arial" w:cs="Arial"/>
          <w:b/>
          <w:i/>
          <w:lang w:val="fr-FR"/>
        </w:rPr>
        <w:t>C. albicans</w:t>
      </w:r>
      <w:r w:rsidRPr="00C95C81">
        <w:rPr>
          <w:rFonts w:ascii="Arial" w:hAnsi="Arial" w:cs="Arial"/>
          <w:b/>
          <w:iCs/>
          <w:lang w:val="fr-FR"/>
        </w:rPr>
        <w:t>) unexposed.</w:t>
      </w:r>
    </w:p>
    <w:p w14:paraId="263FA283" w14:textId="5248A9C4" w:rsidR="00C95C81" w:rsidRPr="00C66484" w:rsidRDefault="003958A6" w:rsidP="00C95C81">
      <w:pPr>
        <w:pStyle w:val="Body"/>
        <w:spacing w:after="0"/>
        <w:jc w:val="center"/>
        <w:rPr>
          <w:rFonts w:ascii="Arial" w:hAnsi="Arial" w:cs="Arial"/>
          <w:i/>
          <w:sz w:val="18"/>
          <w:szCs w:val="18"/>
          <w:lang w:val="fr-FR"/>
        </w:rPr>
      </w:pPr>
      <w:r w:rsidRPr="00C66484">
        <w:rPr>
          <w:rFonts w:ascii="Arial" w:hAnsi="Arial" w:cs="Arial"/>
          <w:i/>
          <w:sz w:val="18"/>
          <w:szCs w:val="18"/>
          <w:lang w:val="fr-FR"/>
        </w:rPr>
        <w:t>WBC :</w:t>
      </w:r>
      <w:r w:rsidR="00C95C81" w:rsidRPr="00C66484">
        <w:rPr>
          <w:rFonts w:ascii="Arial" w:hAnsi="Arial" w:cs="Arial"/>
          <w:i/>
          <w:sz w:val="18"/>
          <w:szCs w:val="18"/>
          <w:lang w:val="fr-FR"/>
        </w:rPr>
        <w:t xml:space="preserve"> White blood </w:t>
      </w:r>
      <w:r w:rsidRPr="00C66484">
        <w:rPr>
          <w:rFonts w:ascii="Arial" w:hAnsi="Arial" w:cs="Arial"/>
          <w:i/>
          <w:sz w:val="18"/>
          <w:szCs w:val="18"/>
          <w:lang w:val="fr-FR"/>
        </w:rPr>
        <w:t>cells ;</w:t>
      </w:r>
      <w:r w:rsidR="00C95C81" w:rsidRPr="00C66484">
        <w:rPr>
          <w:rFonts w:ascii="Arial" w:hAnsi="Arial" w:cs="Arial"/>
          <w:i/>
          <w:sz w:val="18"/>
          <w:szCs w:val="18"/>
          <w:lang w:val="fr-FR"/>
        </w:rPr>
        <w:t xml:space="preserve"> </w:t>
      </w:r>
      <w:r w:rsidRPr="00C66484">
        <w:rPr>
          <w:rFonts w:ascii="Arial" w:hAnsi="Arial" w:cs="Arial"/>
          <w:i/>
          <w:sz w:val="18"/>
          <w:szCs w:val="18"/>
          <w:lang w:val="fr-FR"/>
        </w:rPr>
        <w:t>Neu :</w:t>
      </w:r>
      <w:r w:rsidR="00C95C81" w:rsidRPr="00C66484">
        <w:rPr>
          <w:rFonts w:ascii="Arial" w:hAnsi="Arial" w:cs="Arial"/>
          <w:i/>
          <w:sz w:val="18"/>
          <w:szCs w:val="18"/>
          <w:lang w:val="fr-FR"/>
        </w:rPr>
        <w:t xml:space="preserve"> </w:t>
      </w:r>
      <w:r w:rsidRPr="00C66484">
        <w:rPr>
          <w:rFonts w:ascii="Arial" w:hAnsi="Arial" w:cs="Arial"/>
          <w:i/>
          <w:sz w:val="18"/>
          <w:szCs w:val="18"/>
          <w:lang w:val="fr-FR"/>
        </w:rPr>
        <w:t>Neutrophils ;</w:t>
      </w:r>
      <w:r w:rsidR="00C95C81" w:rsidRPr="00C66484">
        <w:rPr>
          <w:rFonts w:ascii="Arial" w:hAnsi="Arial" w:cs="Arial"/>
          <w:i/>
          <w:sz w:val="18"/>
          <w:szCs w:val="18"/>
          <w:lang w:val="fr-FR"/>
        </w:rPr>
        <w:t xml:space="preserve"> </w:t>
      </w:r>
      <w:r w:rsidRPr="00C66484">
        <w:rPr>
          <w:rFonts w:ascii="Arial" w:hAnsi="Arial" w:cs="Arial"/>
          <w:i/>
          <w:sz w:val="18"/>
          <w:szCs w:val="18"/>
          <w:lang w:val="fr-FR"/>
        </w:rPr>
        <w:t>Mo :</w:t>
      </w:r>
      <w:r w:rsidR="00C95C81" w:rsidRPr="00C66484">
        <w:rPr>
          <w:rFonts w:ascii="Arial" w:hAnsi="Arial" w:cs="Arial"/>
          <w:i/>
          <w:sz w:val="18"/>
          <w:szCs w:val="18"/>
          <w:lang w:val="fr-FR"/>
        </w:rPr>
        <w:t xml:space="preserve"> Monocytes ; </w:t>
      </w:r>
      <w:r w:rsidRPr="00C66484">
        <w:rPr>
          <w:rFonts w:ascii="Arial" w:hAnsi="Arial" w:cs="Arial"/>
          <w:i/>
          <w:sz w:val="18"/>
          <w:szCs w:val="18"/>
          <w:lang w:val="fr-FR"/>
        </w:rPr>
        <w:t>CRP :</w:t>
      </w:r>
      <w:r w:rsidR="00C95C81" w:rsidRPr="00C66484">
        <w:rPr>
          <w:rFonts w:ascii="Arial" w:hAnsi="Arial" w:cs="Arial"/>
          <w:i/>
          <w:sz w:val="18"/>
          <w:szCs w:val="18"/>
          <w:lang w:val="fr-FR"/>
        </w:rPr>
        <w:t xml:space="preserve"> C-reactive protein</w:t>
      </w:r>
    </w:p>
    <w:p w14:paraId="69FA1866" w14:textId="77777777" w:rsidR="00C66484" w:rsidRDefault="00C66484" w:rsidP="008E3E0C">
      <w:pPr>
        <w:pStyle w:val="Body"/>
        <w:spacing w:after="0"/>
        <w:rPr>
          <w:rFonts w:ascii="Arial" w:hAnsi="Arial" w:cs="Arial"/>
          <w:lang w:val="fr-FR"/>
        </w:rPr>
      </w:pPr>
    </w:p>
    <w:p w14:paraId="269A0735" w14:textId="72221546" w:rsidR="00C95C81" w:rsidRPr="00C95C81" w:rsidRDefault="00C95C81" w:rsidP="008E3E0C">
      <w:pPr>
        <w:pStyle w:val="Body"/>
        <w:spacing w:after="0"/>
        <w:rPr>
          <w:rFonts w:ascii="Arial" w:hAnsi="Arial" w:cs="Arial"/>
          <w:lang w:val="fr-FR"/>
        </w:rPr>
      </w:pPr>
      <w:r w:rsidRPr="00C95C81">
        <w:rPr>
          <w:rFonts w:ascii="Arial" w:hAnsi="Arial" w:cs="Arial"/>
          <w:lang w:val="fr-FR"/>
        </w:rPr>
        <w:t>In animals from batches ACP</w:t>
      </w:r>
      <w:r w:rsidRPr="00C95C81">
        <w:rPr>
          <w:rFonts w:ascii="Arial" w:hAnsi="Arial" w:cs="Arial"/>
          <w:vertAlign w:val="subscript"/>
          <w:lang w:val="fr-FR"/>
        </w:rPr>
        <w:t>1</w:t>
      </w:r>
      <w:r w:rsidRPr="00C95C81">
        <w:rPr>
          <w:rFonts w:ascii="Arial" w:hAnsi="Arial" w:cs="Arial"/>
          <w:lang w:val="fr-FR"/>
        </w:rPr>
        <w:t xml:space="preserve"> and ACP</w:t>
      </w:r>
      <w:r w:rsidRPr="00C95C81">
        <w:rPr>
          <w:rFonts w:ascii="Arial" w:hAnsi="Arial" w:cs="Arial"/>
          <w:vertAlign w:val="subscript"/>
          <w:lang w:val="fr-FR"/>
        </w:rPr>
        <w:t>2</w:t>
      </w:r>
      <w:r w:rsidRPr="00C95C81">
        <w:rPr>
          <w:rFonts w:ascii="Arial" w:hAnsi="Arial" w:cs="Arial"/>
          <w:lang w:val="fr-FR"/>
        </w:rPr>
        <w:t xml:space="preserve">, exposed to lead acetate and then infected with </w:t>
      </w:r>
      <w:r w:rsidRPr="00262975">
        <w:rPr>
          <w:rFonts w:ascii="Arial" w:hAnsi="Arial" w:cs="Arial"/>
          <w:i/>
          <w:lang w:val="fr-FR"/>
        </w:rPr>
        <w:t>E. coli</w:t>
      </w:r>
      <w:r w:rsidRPr="00C95C81">
        <w:rPr>
          <w:rFonts w:ascii="Arial" w:hAnsi="Arial" w:cs="Arial"/>
          <w:lang w:val="fr-FR"/>
        </w:rPr>
        <w:t xml:space="preserve"> and </w:t>
      </w:r>
      <w:r w:rsidRPr="00262975">
        <w:rPr>
          <w:rFonts w:ascii="Arial" w:hAnsi="Arial" w:cs="Arial"/>
          <w:i/>
          <w:lang w:val="fr-FR"/>
        </w:rPr>
        <w:t>C. albicans</w:t>
      </w:r>
      <w:r w:rsidRPr="00C95C81">
        <w:rPr>
          <w:rFonts w:ascii="Arial" w:hAnsi="Arial" w:cs="Arial"/>
          <w:lang w:val="fr-FR"/>
        </w:rPr>
        <w:t>, respectively, a highly significant hyperleukocytosis (p≤0.001) was observed in both batches, with a marked increase in neutrophils only in animals infected with E. coli during the first week. This early response was followed by a sharp and significant drop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.05) in these same parameters, the number of white blood cells and neutrophils, while the serum CRP level increased gradually and very significantly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.01). Furthermore, during the experimental period, the monocyte level increased gradually and significantly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.05) (Figure 4).</w:t>
      </w:r>
    </w:p>
    <w:p w14:paraId="7E133F03" w14:textId="77777777" w:rsidR="00C95C81" w:rsidRPr="00C95C81" w:rsidRDefault="00C95C81" w:rsidP="008E3E0C">
      <w:pPr>
        <w:pStyle w:val="Body"/>
        <w:spacing w:after="0"/>
        <w:rPr>
          <w:rFonts w:ascii="Arial" w:hAnsi="Arial" w:cs="Arial"/>
          <w:lang w:val="fr-FR"/>
        </w:rPr>
      </w:pPr>
      <w:r w:rsidRPr="00C95C81">
        <w:rPr>
          <w:rFonts w:ascii="Arial" w:hAnsi="Arial" w:cs="Arial"/>
          <w:lang w:val="fr-FR"/>
        </w:rPr>
        <w:t>These results suggest that lead exposure leads to a gradual suppression of the leukocyte response, while enhancing systemic inflammation through an immunosuppressive effect, thereby increasing the rats' vulnerability to bacterial and fungal infections.</w:t>
      </w:r>
    </w:p>
    <w:p w14:paraId="505C6A72" w14:textId="15D29D98" w:rsidR="00C95C81" w:rsidRDefault="00C95C81" w:rsidP="00C95C81">
      <w:pPr>
        <w:pStyle w:val="Body"/>
        <w:rPr>
          <w:rFonts w:ascii="Arial" w:hAnsi="Arial" w:cs="Arial"/>
          <w:lang w:val="fr-FR"/>
        </w:rPr>
      </w:pPr>
    </w:p>
    <w:p w14:paraId="4BF47FB9" w14:textId="77777777" w:rsidR="00330611" w:rsidRDefault="00330611" w:rsidP="00C95C81">
      <w:pPr>
        <w:pStyle w:val="Body"/>
        <w:rPr>
          <w:rFonts w:ascii="Arial" w:hAnsi="Arial" w:cs="Arial"/>
          <w:lang w:val="fr-FR"/>
        </w:rPr>
      </w:pPr>
    </w:p>
    <w:p w14:paraId="1B9EB32D" w14:textId="77777777" w:rsidR="00C66484" w:rsidRDefault="00C66484" w:rsidP="00C95C81">
      <w:pPr>
        <w:pStyle w:val="Body"/>
        <w:rPr>
          <w:rFonts w:ascii="Arial" w:hAnsi="Arial" w:cs="Arial"/>
          <w:lang w:val="fr-FR"/>
        </w:rPr>
      </w:pPr>
    </w:p>
    <w:p w14:paraId="49A07C9E" w14:textId="77777777" w:rsidR="00C66484" w:rsidRDefault="00C66484" w:rsidP="00C95C81">
      <w:pPr>
        <w:pStyle w:val="Body"/>
        <w:rPr>
          <w:rFonts w:ascii="Arial" w:hAnsi="Arial" w:cs="Arial"/>
          <w:lang w:val="fr-FR"/>
        </w:rPr>
      </w:pPr>
    </w:p>
    <w:p w14:paraId="6E621F35" w14:textId="77777777" w:rsidR="00C66484" w:rsidRDefault="00C66484" w:rsidP="00C95C81">
      <w:pPr>
        <w:pStyle w:val="Body"/>
        <w:rPr>
          <w:rFonts w:ascii="Arial" w:hAnsi="Arial" w:cs="Arial"/>
          <w:lang w:val="fr-FR"/>
        </w:rPr>
      </w:pPr>
    </w:p>
    <w:p w14:paraId="2904DD8B" w14:textId="77777777" w:rsidR="00C66484" w:rsidRDefault="00C66484" w:rsidP="00C95C81">
      <w:pPr>
        <w:pStyle w:val="Body"/>
        <w:rPr>
          <w:rFonts w:ascii="Arial" w:hAnsi="Arial" w:cs="Arial"/>
        </w:rPr>
      </w:pPr>
    </w:p>
    <w:p w14:paraId="046C6FC2" w14:textId="77777777" w:rsidR="003D1280" w:rsidRDefault="00C95C81" w:rsidP="00441B6F">
      <w:pPr>
        <w:pStyle w:val="Body"/>
        <w:spacing w:after="0"/>
        <w:rPr>
          <w:rFonts w:ascii="Arial" w:hAnsi="Arial" w:cs="Arial"/>
        </w:rPr>
      </w:pPr>
      <w:r w:rsidRPr="00C95C81">
        <w:rPr>
          <w:rFonts w:ascii="Arial" w:hAnsi="Arial" w:cs="Arial"/>
          <w:noProof/>
          <w:lang w:val="fr-FR" w:eastAsia="fr-FR"/>
        </w:rPr>
        <w:lastRenderedPageBreak/>
        <w:drawing>
          <wp:anchor distT="0" distB="0" distL="114300" distR="114300" simplePos="0" relativeHeight="251658752" behindDoc="0" locked="0" layoutInCell="1" allowOverlap="1" wp14:anchorId="28F39B49" wp14:editId="24990DF9">
            <wp:simplePos x="0" y="0"/>
            <wp:positionH relativeFrom="margin">
              <wp:posOffset>2596515</wp:posOffset>
            </wp:positionH>
            <wp:positionV relativeFrom="paragraph">
              <wp:posOffset>25400</wp:posOffset>
            </wp:positionV>
            <wp:extent cx="2524125" cy="233319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5499" cy="2362196"/>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54656" behindDoc="0" locked="0" layoutInCell="1" allowOverlap="1" wp14:anchorId="1EB9C3C1" wp14:editId="579782BA">
            <wp:simplePos x="0" y="0"/>
            <wp:positionH relativeFrom="column">
              <wp:posOffset>43815</wp:posOffset>
            </wp:positionH>
            <wp:positionV relativeFrom="paragraph">
              <wp:posOffset>34926</wp:posOffset>
            </wp:positionV>
            <wp:extent cx="2552065" cy="23241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BEBA8EAE-BF5A-486C-A8C5-ECC9F3942E4B}">
                          <a14:imgProps xmlns:a14="http://schemas.microsoft.com/office/drawing/2010/main">
                            <a14:imgLayer r:embed="rId2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68252" cy="2338841"/>
                    </a:xfrm>
                    <a:prstGeom prst="rect">
                      <a:avLst/>
                    </a:prstGeom>
                    <a:noFill/>
                  </pic:spPr>
                </pic:pic>
              </a:graphicData>
            </a:graphic>
            <wp14:sizeRelH relativeFrom="margin">
              <wp14:pctWidth>0</wp14:pctWidth>
            </wp14:sizeRelH>
            <wp14:sizeRelV relativeFrom="margin">
              <wp14:pctHeight>0</wp14:pctHeight>
            </wp14:sizeRelV>
          </wp:anchor>
        </w:drawing>
      </w:r>
    </w:p>
    <w:p w14:paraId="4F081EDF" w14:textId="77777777" w:rsidR="003D1280" w:rsidRDefault="003D1280" w:rsidP="00441B6F">
      <w:pPr>
        <w:pStyle w:val="Body"/>
        <w:spacing w:after="0"/>
        <w:rPr>
          <w:rFonts w:ascii="Arial" w:hAnsi="Arial" w:cs="Arial"/>
        </w:rPr>
      </w:pPr>
    </w:p>
    <w:p w14:paraId="0595301A" w14:textId="77777777" w:rsidR="003D1280" w:rsidRDefault="003D1280" w:rsidP="00441B6F">
      <w:pPr>
        <w:pStyle w:val="Body"/>
        <w:spacing w:after="0"/>
        <w:rPr>
          <w:rFonts w:ascii="Arial" w:hAnsi="Arial" w:cs="Arial"/>
        </w:rPr>
      </w:pPr>
    </w:p>
    <w:p w14:paraId="4762F5D0" w14:textId="77777777" w:rsidR="003D1280" w:rsidRDefault="003D1280" w:rsidP="00441B6F">
      <w:pPr>
        <w:pStyle w:val="Body"/>
        <w:spacing w:after="0"/>
        <w:rPr>
          <w:rFonts w:ascii="Arial" w:hAnsi="Arial" w:cs="Arial"/>
        </w:rPr>
      </w:pPr>
    </w:p>
    <w:p w14:paraId="3A7D1863" w14:textId="77777777" w:rsidR="003D1280" w:rsidRDefault="003D1280" w:rsidP="00441B6F">
      <w:pPr>
        <w:pStyle w:val="Body"/>
        <w:spacing w:after="0"/>
        <w:rPr>
          <w:rFonts w:ascii="Arial" w:hAnsi="Arial" w:cs="Arial"/>
        </w:rPr>
      </w:pPr>
    </w:p>
    <w:p w14:paraId="6C1D500D" w14:textId="77777777" w:rsidR="003D1280" w:rsidRDefault="003D1280" w:rsidP="00441B6F">
      <w:pPr>
        <w:pStyle w:val="Body"/>
        <w:spacing w:after="0"/>
        <w:rPr>
          <w:rFonts w:ascii="Arial" w:hAnsi="Arial" w:cs="Arial"/>
        </w:rPr>
      </w:pPr>
    </w:p>
    <w:p w14:paraId="3B94E481" w14:textId="77777777" w:rsidR="003D1280" w:rsidRDefault="003D1280" w:rsidP="00441B6F">
      <w:pPr>
        <w:pStyle w:val="Body"/>
        <w:spacing w:after="0"/>
        <w:rPr>
          <w:rFonts w:ascii="Arial" w:hAnsi="Arial" w:cs="Arial"/>
        </w:rPr>
      </w:pPr>
    </w:p>
    <w:p w14:paraId="5A0F0459" w14:textId="77777777" w:rsidR="003D1280" w:rsidRDefault="003D1280" w:rsidP="00441B6F">
      <w:pPr>
        <w:pStyle w:val="Body"/>
        <w:spacing w:after="0"/>
        <w:rPr>
          <w:rFonts w:ascii="Arial" w:hAnsi="Arial" w:cs="Arial"/>
        </w:rPr>
      </w:pPr>
    </w:p>
    <w:p w14:paraId="0D26C239" w14:textId="77777777" w:rsidR="00C95C81" w:rsidRDefault="00C95C81" w:rsidP="00441B6F">
      <w:pPr>
        <w:pStyle w:val="Body"/>
        <w:spacing w:after="0"/>
        <w:rPr>
          <w:rFonts w:ascii="Arial" w:hAnsi="Arial" w:cs="Arial"/>
        </w:rPr>
      </w:pPr>
    </w:p>
    <w:p w14:paraId="22F5A9CC" w14:textId="77777777" w:rsidR="00C95C81" w:rsidRDefault="00C95C81" w:rsidP="00441B6F">
      <w:pPr>
        <w:pStyle w:val="Body"/>
        <w:spacing w:after="0"/>
        <w:rPr>
          <w:rFonts w:ascii="Arial" w:hAnsi="Arial" w:cs="Arial"/>
        </w:rPr>
      </w:pPr>
    </w:p>
    <w:p w14:paraId="457FCD94" w14:textId="77777777" w:rsidR="00C95C81" w:rsidRDefault="00C95C81" w:rsidP="00441B6F">
      <w:pPr>
        <w:pStyle w:val="Body"/>
        <w:spacing w:after="0"/>
        <w:rPr>
          <w:rFonts w:ascii="Arial" w:hAnsi="Arial" w:cs="Arial"/>
        </w:rPr>
      </w:pPr>
    </w:p>
    <w:p w14:paraId="52FE71C5" w14:textId="77777777" w:rsidR="00C95C81" w:rsidRDefault="00C95C81" w:rsidP="00441B6F">
      <w:pPr>
        <w:pStyle w:val="Body"/>
        <w:spacing w:after="0"/>
        <w:rPr>
          <w:rFonts w:ascii="Arial" w:hAnsi="Arial" w:cs="Arial"/>
        </w:rPr>
      </w:pPr>
    </w:p>
    <w:p w14:paraId="065F6597" w14:textId="77777777" w:rsidR="00C95C81" w:rsidRDefault="00C95C81" w:rsidP="00441B6F">
      <w:pPr>
        <w:pStyle w:val="Body"/>
        <w:spacing w:after="0"/>
        <w:rPr>
          <w:rFonts w:ascii="Arial" w:hAnsi="Arial" w:cs="Arial"/>
        </w:rPr>
      </w:pPr>
    </w:p>
    <w:p w14:paraId="14C90F3A" w14:textId="77777777" w:rsidR="00C95C81" w:rsidRDefault="00C95C81" w:rsidP="00441B6F">
      <w:pPr>
        <w:pStyle w:val="Body"/>
        <w:spacing w:after="0"/>
        <w:rPr>
          <w:rFonts w:ascii="Arial" w:hAnsi="Arial" w:cs="Arial"/>
        </w:rPr>
      </w:pPr>
    </w:p>
    <w:p w14:paraId="0059CE7C" w14:textId="77777777" w:rsidR="00C95C81" w:rsidRDefault="00C95C81" w:rsidP="00441B6F">
      <w:pPr>
        <w:pStyle w:val="Body"/>
        <w:spacing w:after="0"/>
        <w:rPr>
          <w:rFonts w:ascii="Arial" w:hAnsi="Arial" w:cs="Arial"/>
        </w:rPr>
      </w:pPr>
    </w:p>
    <w:p w14:paraId="1053172F" w14:textId="77777777" w:rsidR="00C95C81" w:rsidRDefault="00C95C81" w:rsidP="00441B6F">
      <w:pPr>
        <w:pStyle w:val="Body"/>
        <w:spacing w:after="0"/>
        <w:rPr>
          <w:rFonts w:ascii="Arial" w:hAnsi="Arial" w:cs="Arial"/>
        </w:rPr>
      </w:pPr>
    </w:p>
    <w:p w14:paraId="5EAD1906" w14:textId="77777777" w:rsidR="00C95C81" w:rsidRDefault="00C95C81" w:rsidP="00441B6F">
      <w:pPr>
        <w:pStyle w:val="Body"/>
        <w:spacing w:after="0"/>
        <w:rPr>
          <w:rFonts w:ascii="Arial" w:hAnsi="Arial" w:cs="Arial"/>
        </w:rPr>
      </w:pPr>
    </w:p>
    <w:p w14:paraId="31A5F72B" w14:textId="77777777" w:rsidR="00C95C81" w:rsidRPr="00C95C81" w:rsidRDefault="00C95C81" w:rsidP="00C95C81">
      <w:pPr>
        <w:pStyle w:val="Body"/>
        <w:spacing w:after="0"/>
        <w:rPr>
          <w:rFonts w:ascii="Arial" w:hAnsi="Arial" w:cs="Arial"/>
          <w:b/>
          <w:iCs/>
          <w:lang w:val="fr-FR"/>
        </w:rPr>
      </w:pPr>
      <w:r w:rsidRPr="00C95C81">
        <w:rPr>
          <w:rFonts w:ascii="Arial" w:hAnsi="Arial" w:cs="Arial"/>
          <w:b/>
          <w:bCs/>
          <w:iCs/>
          <w:lang w:val="fr-FR"/>
        </w:rPr>
        <w:t xml:space="preserve">Figure </w:t>
      </w:r>
      <w:r w:rsidRPr="00C95C81">
        <w:rPr>
          <w:rFonts w:ascii="Arial" w:hAnsi="Arial" w:cs="Arial"/>
          <w:b/>
          <w:bCs/>
          <w:iCs/>
          <w:lang w:val="fr-FR"/>
        </w:rPr>
        <w:fldChar w:fldCharType="begin"/>
      </w:r>
      <w:r w:rsidRPr="00C95C81">
        <w:rPr>
          <w:rFonts w:ascii="Arial" w:hAnsi="Arial" w:cs="Arial"/>
          <w:b/>
          <w:bCs/>
          <w:iCs/>
          <w:lang w:val="fr-FR"/>
        </w:rPr>
        <w:instrText xml:space="preserve"> SEQ Figure \* ARABIC </w:instrText>
      </w:r>
      <w:r w:rsidRPr="00C95C81">
        <w:rPr>
          <w:rFonts w:ascii="Arial" w:hAnsi="Arial" w:cs="Arial"/>
          <w:b/>
          <w:bCs/>
          <w:iCs/>
          <w:lang w:val="fr-FR"/>
        </w:rPr>
        <w:fldChar w:fldCharType="separate"/>
      </w:r>
      <w:r w:rsidRPr="00C95C81">
        <w:rPr>
          <w:rFonts w:ascii="Arial" w:hAnsi="Arial" w:cs="Arial"/>
          <w:b/>
          <w:bCs/>
          <w:iCs/>
          <w:lang w:val="fr-FR"/>
        </w:rPr>
        <w:t>4</w:t>
      </w:r>
      <w:r w:rsidRPr="00C95C81">
        <w:rPr>
          <w:rFonts w:ascii="Arial" w:hAnsi="Arial" w:cs="Arial"/>
          <w:b/>
        </w:rPr>
        <w:fldChar w:fldCharType="end"/>
      </w:r>
      <w:r w:rsidRPr="00C95C81">
        <w:rPr>
          <w:rFonts w:ascii="Arial" w:hAnsi="Arial" w:cs="Arial"/>
          <w:b/>
          <w:bCs/>
          <w:iCs/>
          <w:lang w:val="fr-FR"/>
        </w:rPr>
        <w:t xml:space="preserve"> :</w:t>
      </w:r>
      <w:r w:rsidRPr="00C95C81">
        <w:rPr>
          <w:rFonts w:ascii="Arial" w:hAnsi="Arial" w:cs="Arial"/>
          <w:b/>
          <w:iCs/>
          <w:lang w:val="fr-FR"/>
        </w:rPr>
        <w:t xml:space="preserve"> Histogram showing evolution in leukocyte and inflammatory parameters in rats (batches ACP</w:t>
      </w:r>
      <w:r w:rsidRPr="00C95C81">
        <w:rPr>
          <w:rFonts w:ascii="Arial" w:hAnsi="Arial" w:cs="Arial"/>
          <w:b/>
          <w:iCs/>
          <w:vertAlign w:val="subscript"/>
          <w:lang w:val="fr-FR"/>
        </w:rPr>
        <w:t xml:space="preserve">1 </w:t>
      </w:r>
      <w:r w:rsidRPr="00C95C81">
        <w:rPr>
          <w:rFonts w:ascii="Arial" w:hAnsi="Arial" w:cs="Arial"/>
          <w:b/>
          <w:iCs/>
          <w:lang w:val="fr-FR"/>
        </w:rPr>
        <w:t>et ACP</w:t>
      </w:r>
      <w:r w:rsidRPr="00C95C81">
        <w:rPr>
          <w:rFonts w:ascii="Arial" w:hAnsi="Arial" w:cs="Arial"/>
          <w:b/>
          <w:iCs/>
          <w:vertAlign w:val="subscript"/>
          <w:lang w:val="fr-FR"/>
        </w:rPr>
        <w:t>2</w:t>
      </w:r>
      <w:r w:rsidRPr="00C95C81">
        <w:rPr>
          <w:rFonts w:ascii="Arial" w:hAnsi="Arial" w:cs="Arial"/>
          <w:b/>
          <w:iCs/>
          <w:lang w:val="fr-FR"/>
        </w:rPr>
        <w:t>)</w:t>
      </w:r>
    </w:p>
    <w:p w14:paraId="4707FF91" w14:textId="77777777" w:rsidR="00C95C81" w:rsidRPr="00C66484" w:rsidRDefault="00C95C81" w:rsidP="00C95C81">
      <w:pPr>
        <w:pStyle w:val="Body"/>
        <w:jc w:val="center"/>
        <w:rPr>
          <w:rFonts w:ascii="Arial" w:hAnsi="Arial" w:cs="Arial"/>
          <w:i/>
          <w:sz w:val="18"/>
          <w:szCs w:val="18"/>
          <w:lang w:val="fr-FR"/>
        </w:rPr>
      </w:pPr>
      <w:proofErr w:type="gramStart"/>
      <w:r w:rsidRPr="00C66484">
        <w:rPr>
          <w:rFonts w:ascii="Arial" w:hAnsi="Arial" w:cs="Arial"/>
          <w:i/>
          <w:sz w:val="18"/>
          <w:szCs w:val="18"/>
          <w:lang w:val="fr-FR"/>
        </w:rPr>
        <w:t>WBC:</w:t>
      </w:r>
      <w:proofErr w:type="gramEnd"/>
      <w:r w:rsidRPr="00C66484">
        <w:rPr>
          <w:rFonts w:ascii="Arial" w:hAnsi="Arial" w:cs="Arial"/>
          <w:i/>
          <w:sz w:val="18"/>
          <w:szCs w:val="18"/>
          <w:lang w:val="fr-FR"/>
        </w:rPr>
        <w:t xml:space="preserve"> White blood cells; Neu: Neutrophils; Mo: Monocytes ; CRP: C-reactive protein</w:t>
      </w:r>
    </w:p>
    <w:p w14:paraId="18E43A71" w14:textId="77777777" w:rsidR="00C95C81" w:rsidRDefault="00C95C81" w:rsidP="00441B6F">
      <w:pPr>
        <w:pStyle w:val="Body"/>
        <w:spacing w:after="0"/>
        <w:rPr>
          <w:rFonts w:ascii="Arial" w:hAnsi="Arial" w:cs="Arial"/>
        </w:rPr>
      </w:pPr>
    </w:p>
    <w:p w14:paraId="06A2AF96" w14:textId="4A885324" w:rsidR="00C95C81" w:rsidRPr="00C95C81" w:rsidRDefault="00C95C81" w:rsidP="008E3E0C">
      <w:pPr>
        <w:pStyle w:val="Body"/>
        <w:spacing w:after="0"/>
        <w:rPr>
          <w:rFonts w:ascii="Arial" w:hAnsi="Arial" w:cs="Arial"/>
          <w:lang w:val="fr-FR"/>
        </w:rPr>
      </w:pPr>
      <w:r w:rsidRPr="00C95C81">
        <w:rPr>
          <w:rFonts w:ascii="Arial" w:hAnsi="Arial" w:cs="Arial"/>
          <w:lang w:val="fr-FR"/>
        </w:rPr>
        <w:t>In rats exposed to mercury (OME</w:t>
      </w:r>
      <w:r w:rsidRPr="00C95C81">
        <w:rPr>
          <w:rFonts w:ascii="Arial" w:hAnsi="Arial" w:cs="Arial"/>
          <w:vertAlign w:val="subscript"/>
          <w:lang w:val="fr-FR"/>
        </w:rPr>
        <w:t>1</w:t>
      </w:r>
      <w:r w:rsidRPr="00C95C81">
        <w:rPr>
          <w:rFonts w:ascii="Arial" w:hAnsi="Arial" w:cs="Arial"/>
          <w:lang w:val="fr-FR"/>
        </w:rPr>
        <w:t xml:space="preserve"> and OME</w:t>
      </w:r>
      <w:r w:rsidRPr="00C95C81">
        <w:rPr>
          <w:rFonts w:ascii="Arial" w:hAnsi="Arial" w:cs="Arial"/>
          <w:vertAlign w:val="subscript"/>
          <w:lang w:val="fr-FR"/>
        </w:rPr>
        <w:t>2</w:t>
      </w:r>
      <w:r w:rsidRPr="00C95C81">
        <w:rPr>
          <w:rFonts w:ascii="Arial" w:hAnsi="Arial" w:cs="Arial"/>
          <w:lang w:val="fr-FR"/>
        </w:rPr>
        <w:t xml:space="preserve"> batches) and infected with </w:t>
      </w:r>
      <w:r w:rsidRPr="00C95C81">
        <w:rPr>
          <w:rFonts w:ascii="Arial" w:hAnsi="Arial" w:cs="Arial"/>
          <w:i/>
          <w:iCs/>
          <w:lang w:val="fr-FR"/>
        </w:rPr>
        <w:t>E. coli</w:t>
      </w:r>
      <w:r w:rsidRPr="00C95C81">
        <w:rPr>
          <w:rFonts w:ascii="Arial" w:hAnsi="Arial" w:cs="Arial"/>
          <w:lang w:val="fr-FR"/>
        </w:rPr>
        <w:t xml:space="preserve"> and </w:t>
      </w:r>
      <w:r w:rsidRPr="00C95C81">
        <w:rPr>
          <w:rFonts w:ascii="Arial" w:hAnsi="Arial" w:cs="Arial"/>
          <w:i/>
          <w:iCs/>
          <w:lang w:val="fr-FR"/>
        </w:rPr>
        <w:t>C. albicans</w:t>
      </w:r>
      <w:r w:rsidRPr="00C95C81">
        <w:rPr>
          <w:rFonts w:ascii="Arial" w:hAnsi="Arial" w:cs="Arial"/>
          <w:lang w:val="fr-FR"/>
        </w:rPr>
        <w:t>, respectively, hyperleukocytosis was observed from the first few days in animals from both groups, with a neutrophilic predominance in the OME</w:t>
      </w:r>
      <w:r w:rsidRPr="00C66484">
        <w:rPr>
          <w:rFonts w:ascii="Arial" w:hAnsi="Arial" w:cs="Arial"/>
          <w:vertAlign w:val="subscript"/>
          <w:lang w:val="fr-FR"/>
        </w:rPr>
        <w:t>1</w:t>
      </w:r>
      <w:r w:rsidRPr="00C95C81">
        <w:rPr>
          <w:rFonts w:ascii="Arial" w:hAnsi="Arial" w:cs="Arial"/>
          <w:lang w:val="fr-FR"/>
        </w:rPr>
        <w:t xml:space="preserve"> group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.01). This early response was followed by a sharp and significant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.05) drop in these same parameters (white blood cell and neutrophil counts), while a gradual increase in monocytosis was observed in animals in both groups. At the same time, serum CRP levels rose very significantly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.01) (Figure 5).</w:t>
      </w:r>
    </w:p>
    <w:p w14:paraId="2A36B941" w14:textId="77777777" w:rsidR="00C95C81" w:rsidRDefault="00C95C81" w:rsidP="008E3E0C">
      <w:pPr>
        <w:pStyle w:val="Body"/>
        <w:spacing w:after="0"/>
        <w:rPr>
          <w:rFonts w:ascii="Arial" w:hAnsi="Arial" w:cs="Arial"/>
          <w:lang w:val="fr-FR"/>
        </w:rPr>
      </w:pPr>
      <w:r w:rsidRPr="00C95C81">
        <w:rPr>
          <w:rFonts w:ascii="Arial" w:hAnsi="Arial" w:cs="Arial"/>
          <w:lang w:val="fr-FR"/>
        </w:rPr>
        <w:t>These results reveal that exposure to mercury induces a disruption of the leukocyte profile and persistent systemic inflammation, reflecting an immunosuppressive effect that promotes the progression of bacterial and fungal infections.</w:t>
      </w:r>
    </w:p>
    <w:p w14:paraId="106DA917" w14:textId="77777777" w:rsidR="00AA177A" w:rsidRDefault="00AA177A" w:rsidP="008E3E0C">
      <w:pPr>
        <w:pStyle w:val="Body"/>
        <w:spacing w:after="0"/>
        <w:rPr>
          <w:rFonts w:ascii="Arial" w:hAnsi="Arial" w:cs="Arial"/>
          <w:lang w:val="fr-FR"/>
        </w:rPr>
      </w:pPr>
    </w:p>
    <w:p w14:paraId="59FC8CDA" w14:textId="77777777" w:rsidR="00C95C81" w:rsidRPr="00C95C81" w:rsidRDefault="008E3E0C" w:rsidP="00C95C81">
      <w:pPr>
        <w:pStyle w:val="Body"/>
        <w:rPr>
          <w:rFonts w:ascii="Arial" w:hAnsi="Arial" w:cs="Arial"/>
          <w:lang w:val="fr-FR"/>
        </w:rPr>
      </w:pPr>
      <w:r w:rsidRPr="00C95C81">
        <w:rPr>
          <w:rFonts w:ascii="Arial" w:hAnsi="Arial" w:cs="Arial"/>
          <w:noProof/>
          <w:lang w:val="fr-FR" w:eastAsia="fr-FR"/>
        </w:rPr>
        <w:drawing>
          <wp:anchor distT="0" distB="0" distL="114300" distR="114300" simplePos="0" relativeHeight="251673088" behindDoc="0" locked="0" layoutInCell="1" allowOverlap="1" wp14:anchorId="6A7EFB93" wp14:editId="248626B9">
            <wp:simplePos x="0" y="0"/>
            <wp:positionH relativeFrom="column">
              <wp:posOffset>2586990</wp:posOffset>
            </wp:positionH>
            <wp:positionV relativeFrom="paragraph">
              <wp:posOffset>13334</wp:posOffset>
            </wp:positionV>
            <wp:extent cx="2524125" cy="220027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BEBA8EAE-BF5A-486C-A8C5-ECC9F3942E4B}">
                          <a14:imgProps xmlns:a14="http://schemas.microsoft.com/office/drawing/2010/main">
                            <a14:imgLayer r:embed="rId2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24125" cy="2200275"/>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66944" behindDoc="0" locked="0" layoutInCell="1" allowOverlap="1" wp14:anchorId="49884566" wp14:editId="0BDB2AC2">
            <wp:simplePos x="0" y="0"/>
            <wp:positionH relativeFrom="column">
              <wp:posOffset>62865</wp:posOffset>
            </wp:positionH>
            <wp:positionV relativeFrom="paragraph">
              <wp:posOffset>13336</wp:posOffset>
            </wp:positionV>
            <wp:extent cx="2533015" cy="220980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BEBA8EAE-BF5A-486C-A8C5-ECC9F3942E4B}">
                          <a14:imgProps xmlns:a14="http://schemas.microsoft.com/office/drawing/2010/main">
                            <a14:imgLayer r:embed="rId3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33015" cy="2209800"/>
                    </a:xfrm>
                    <a:prstGeom prst="rect">
                      <a:avLst/>
                    </a:prstGeom>
                    <a:noFill/>
                  </pic:spPr>
                </pic:pic>
              </a:graphicData>
            </a:graphic>
            <wp14:sizeRelH relativeFrom="margin">
              <wp14:pctWidth>0</wp14:pctWidth>
            </wp14:sizeRelH>
            <wp14:sizeRelV relativeFrom="margin">
              <wp14:pctHeight>0</wp14:pctHeight>
            </wp14:sizeRelV>
          </wp:anchor>
        </w:drawing>
      </w:r>
    </w:p>
    <w:p w14:paraId="48B47B8F" w14:textId="77777777" w:rsidR="00C95C81" w:rsidRPr="00C95C81" w:rsidRDefault="00C95C81" w:rsidP="00C95C81">
      <w:pPr>
        <w:pStyle w:val="Body"/>
        <w:rPr>
          <w:rFonts w:ascii="Arial" w:hAnsi="Arial" w:cs="Arial"/>
          <w:lang w:val="fr-FR"/>
        </w:rPr>
      </w:pPr>
    </w:p>
    <w:p w14:paraId="4EF4FA29" w14:textId="77777777" w:rsidR="00C95C81" w:rsidRPr="00C95C81" w:rsidRDefault="00C95C81" w:rsidP="00C95C81">
      <w:pPr>
        <w:pStyle w:val="Body"/>
        <w:rPr>
          <w:rFonts w:ascii="Arial" w:hAnsi="Arial" w:cs="Arial"/>
          <w:lang w:val="fr-FR"/>
        </w:rPr>
      </w:pPr>
    </w:p>
    <w:p w14:paraId="272DCF3D" w14:textId="77777777" w:rsidR="00C95C81" w:rsidRPr="00C95C81" w:rsidRDefault="00C95C81" w:rsidP="00C95C81">
      <w:pPr>
        <w:pStyle w:val="Body"/>
        <w:rPr>
          <w:rFonts w:ascii="Arial" w:hAnsi="Arial" w:cs="Arial"/>
          <w:lang w:val="fr-FR"/>
        </w:rPr>
      </w:pPr>
    </w:p>
    <w:p w14:paraId="2374108F" w14:textId="77777777" w:rsidR="00C95C81" w:rsidRPr="00C95C81" w:rsidRDefault="00C95C81" w:rsidP="00C95C81">
      <w:pPr>
        <w:pStyle w:val="Body"/>
        <w:rPr>
          <w:rFonts w:ascii="Arial" w:hAnsi="Arial" w:cs="Arial"/>
          <w:lang w:val="fr-FR"/>
        </w:rPr>
      </w:pPr>
    </w:p>
    <w:p w14:paraId="36ABF6AC" w14:textId="77777777" w:rsidR="00C95C81" w:rsidRPr="00C95C81" w:rsidRDefault="00C95C81" w:rsidP="00C95C81">
      <w:pPr>
        <w:pStyle w:val="Body"/>
        <w:rPr>
          <w:rFonts w:ascii="Arial" w:hAnsi="Arial" w:cs="Arial"/>
          <w:lang w:val="fr-FR"/>
        </w:rPr>
      </w:pPr>
    </w:p>
    <w:p w14:paraId="7E22EB37" w14:textId="77777777" w:rsidR="00C95C81" w:rsidRPr="00C95C81" w:rsidRDefault="00C95C81" w:rsidP="00C95C81">
      <w:pPr>
        <w:pStyle w:val="Body"/>
        <w:rPr>
          <w:rFonts w:ascii="Arial" w:hAnsi="Arial" w:cs="Arial"/>
          <w:lang w:val="fr-FR"/>
        </w:rPr>
      </w:pPr>
    </w:p>
    <w:p w14:paraId="1CA688CE" w14:textId="77777777" w:rsidR="00C95C81" w:rsidRPr="00C95C81" w:rsidRDefault="00C95C81" w:rsidP="00C95C81">
      <w:pPr>
        <w:pStyle w:val="Body"/>
        <w:rPr>
          <w:rFonts w:ascii="Arial" w:hAnsi="Arial" w:cs="Arial"/>
          <w:lang w:val="fr-FR"/>
        </w:rPr>
      </w:pPr>
    </w:p>
    <w:p w14:paraId="3BDB0900" w14:textId="77777777" w:rsidR="008E3E0C" w:rsidRPr="008E3E0C" w:rsidRDefault="008E3E0C" w:rsidP="008E3E0C">
      <w:pPr>
        <w:pStyle w:val="Body"/>
        <w:spacing w:after="0"/>
        <w:rPr>
          <w:rFonts w:ascii="Arial" w:hAnsi="Arial" w:cs="Arial"/>
          <w:b/>
          <w:iCs/>
          <w:lang w:val="fr-FR"/>
        </w:rPr>
      </w:pPr>
      <w:r w:rsidRPr="008E3E0C">
        <w:rPr>
          <w:rFonts w:ascii="Arial" w:hAnsi="Arial" w:cs="Arial"/>
          <w:b/>
          <w:bCs/>
          <w:iCs/>
          <w:lang w:val="fr-FR"/>
        </w:rPr>
        <w:t xml:space="preserve">Figure </w:t>
      </w:r>
      <w:r w:rsidRPr="008E3E0C">
        <w:rPr>
          <w:rFonts w:ascii="Arial" w:hAnsi="Arial" w:cs="Arial"/>
          <w:b/>
          <w:bCs/>
          <w:iCs/>
          <w:lang w:val="fr-FR"/>
        </w:rPr>
        <w:fldChar w:fldCharType="begin"/>
      </w:r>
      <w:r w:rsidRPr="008E3E0C">
        <w:rPr>
          <w:rFonts w:ascii="Arial" w:hAnsi="Arial" w:cs="Arial"/>
          <w:b/>
          <w:bCs/>
          <w:iCs/>
          <w:lang w:val="fr-FR"/>
        </w:rPr>
        <w:instrText xml:space="preserve"> SEQ Figure \* ARABIC </w:instrText>
      </w:r>
      <w:r w:rsidRPr="008E3E0C">
        <w:rPr>
          <w:rFonts w:ascii="Arial" w:hAnsi="Arial" w:cs="Arial"/>
          <w:b/>
          <w:bCs/>
          <w:iCs/>
          <w:lang w:val="fr-FR"/>
        </w:rPr>
        <w:fldChar w:fldCharType="separate"/>
      </w:r>
      <w:r w:rsidRPr="008E3E0C">
        <w:rPr>
          <w:rFonts w:ascii="Arial" w:hAnsi="Arial" w:cs="Arial"/>
          <w:b/>
          <w:bCs/>
          <w:iCs/>
          <w:lang w:val="fr-FR"/>
        </w:rPr>
        <w:t>5</w:t>
      </w:r>
      <w:r w:rsidRPr="008E3E0C">
        <w:rPr>
          <w:rFonts w:ascii="Arial" w:hAnsi="Arial" w:cs="Arial"/>
          <w:b/>
          <w:lang w:val="fr-FR"/>
        </w:rPr>
        <w:fldChar w:fldCharType="end"/>
      </w:r>
      <w:r w:rsidRPr="008E3E0C">
        <w:rPr>
          <w:rFonts w:ascii="Arial" w:hAnsi="Arial" w:cs="Arial"/>
          <w:b/>
          <w:bCs/>
          <w:iCs/>
          <w:lang w:val="fr-FR"/>
        </w:rPr>
        <w:t xml:space="preserve"> : </w:t>
      </w:r>
      <w:r w:rsidRPr="008E3E0C">
        <w:rPr>
          <w:rFonts w:ascii="Arial" w:hAnsi="Arial" w:cs="Arial"/>
          <w:b/>
          <w:iCs/>
          <w:lang w:val="fr-FR"/>
        </w:rPr>
        <w:t>Histogram showing evolution in leukocyte and inflammatory parameters in rats (batches OME</w:t>
      </w:r>
      <w:r w:rsidRPr="008E3E0C">
        <w:rPr>
          <w:rFonts w:ascii="Arial" w:hAnsi="Arial" w:cs="Arial"/>
          <w:b/>
          <w:iCs/>
          <w:vertAlign w:val="subscript"/>
          <w:lang w:val="fr-FR"/>
        </w:rPr>
        <w:t>1</w:t>
      </w:r>
      <w:r w:rsidRPr="008E3E0C">
        <w:rPr>
          <w:rFonts w:ascii="Arial" w:hAnsi="Arial" w:cs="Arial"/>
          <w:b/>
          <w:iCs/>
          <w:lang w:val="fr-FR"/>
        </w:rPr>
        <w:t xml:space="preserve"> et OME</w:t>
      </w:r>
      <w:r w:rsidRPr="008E3E0C">
        <w:rPr>
          <w:rFonts w:ascii="Arial" w:hAnsi="Arial" w:cs="Arial"/>
          <w:b/>
          <w:iCs/>
          <w:vertAlign w:val="subscript"/>
          <w:lang w:val="fr-FR"/>
        </w:rPr>
        <w:t>2</w:t>
      </w:r>
      <w:r w:rsidRPr="008E3E0C">
        <w:rPr>
          <w:rFonts w:ascii="Arial" w:hAnsi="Arial" w:cs="Arial"/>
          <w:b/>
          <w:iCs/>
          <w:lang w:val="fr-FR"/>
        </w:rPr>
        <w:t>)</w:t>
      </w:r>
    </w:p>
    <w:p w14:paraId="5CF50763" w14:textId="77777777" w:rsidR="008E3E0C" w:rsidRPr="00C66484" w:rsidRDefault="008E3E0C" w:rsidP="008E3E0C">
      <w:pPr>
        <w:pStyle w:val="Body"/>
        <w:jc w:val="center"/>
        <w:rPr>
          <w:rFonts w:ascii="Arial" w:hAnsi="Arial" w:cs="Arial"/>
          <w:i/>
          <w:sz w:val="18"/>
          <w:szCs w:val="18"/>
          <w:lang w:val="fr-FR"/>
        </w:rPr>
      </w:pPr>
      <w:r w:rsidRPr="00C66484">
        <w:rPr>
          <w:rFonts w:ascii="Arial" w:hAnsi="Arial" w:cs="Arial"/>
          <w:i/>
          <w:sz w:val="18"/>
          <w:szCs w:val="18"/>
          <w:lang w:val="fr-FR"/>
        </w:rPr>
        <w:t>GB : Globules blancs ; Neu ; Neutrophiles ; Mo : Monocytes ; CRP : Protéine-C-réactive</w:t>
      </w:r>
    </w:p>
    <w:p w14:paraId="3F293842" w14:textId="2C9F3B75" w:rsidR="008E3E0C" w:rsidRPr="008E3E0C" w:rsidRDefault="008E3E0C" w:rsidP="008E3E0C">
      <w:pPr>
        <w:pStyle w:val="Body"/>
        <w:spacing w:after="0"/>
        <w:rPr>
          <w:rFonts w:ascii="Arial" w:hAnsi="Arial" w:cs="Arial"/>
          <w:lang w:val="fr-FR"/>
        </w:rPr>
      </w:pPr>
      <w:r w:rsidRPr="008E3E0C">
        <w:rPr>
          <w:rFonts w:ascii="Arial" w:hAnsi="Arial" w:cs="Arial"/>
          <w:lang w:val="fr-FR"/>
        </w:rPr>
        <w:lastRenderedPageBreak/>
        <w:t>Regarding animals exposed to glyphosate (batches GLY</w:t>
      </w:r>
      <w:r w:rsidRPr="008E3E0C">
        <w:rPr>
          <w:rFonts w:ascii="Arial" w:hAnsi="Arial" w:cs="Arial"/>
          <w:vertAlign w:val="subscript"/>
          <w:lang w:val="fr-FR"/>
        </w:rPr>
        <w:t>1</w:t>
      </w:r>
      <w:r w:rsidRPr="008E3E0C">
        <w:rPr>
          <w:rFonts w:ascii="Arial" w:hAnsi="Arial" w:cs="Arial"/>
          <w:lang w:val="fr-FR"/>
        </w:rPr>
        <w:t xml:space="preserve"> and GLY</w:t>
      </w:r>
      <w:r w:rsidRPr="008E3E0C">
        <w:rPr>
          <w:rFonts w:ascii="Arial" w:hAnsi="Arial" w:cs="Arial"/>
          <w:vertAlign w:val="subscript"/>
          <w:lang w:val="fr-FR"/>
        </w:rPr>
        <w:t>2</w:t>
      </w:r>
      <w:r w:rsidRPr="008E3E0C">
        <w:rPr>
          <w:rFonts w:ascii="Arial" w:hAnsi="Arial" w:cs="Arial"/>
          <w:lang w:val="fr-FR"/>
        </w:rPr>
        <w:t xml:space="preserve">) and infected with </w:t>
      </w:r>
      <w:r w:rsidRPr="008E3E0C">
        <w:rPr>
          <w:rFonts w:ascii="Arial" w:hAnsi="Arial" w:cs="Arial"/>
          <w:i/>
          <w:iCs/>
          <w:lang w:val="fr-FR"/>
        </w:rPr>
        <w:t>E. coli</w:t>
      </w:r>
      <w:r w:rsidRPr="008E3E0C">
        <w:rPr>
          <w:rFonts w:ascii="Arial" w:hAnsi="Arial" w:cs="Arial"/>
          <w:lang w:val="fr-FR"/>
        </w:rPr>
        <w:t xml:space="preserve"> and </w:t>
      </w:r>
      <w:r w:rsidRPr="008E3E0C">
        <w:rPr>
          <w:rFonts w:ascii="Arial" w:hAnsi="Arial" w:cs="Arial"/>
          <w:i/>
          <w:iCs/>
          <w:lang w:val="fr-FR"/>
        </w:rPr>
        <w:t>C. albicans</w:t>
      </w:r>
      <w:r w:rsidRPr="008E3E0C">
        <w:rPr>
          <w:rFonts w:ascii="Arial" w:hAnsi="Arial" w:cs="Arial"/>
          <w:lang w:val="fr-FR"/>
        </w:rPr>
        <w:t>, respectively, a very significant leukocytosis was observed in both batches, with a marked increase in neutrophils in batch GLY</w:t>
      </w:r>
      <w:r w:rsidRPr="008E3E0C">
        <w:rPr>
          <w:rFonts w:ascii="Arial" w:hAnsi="Arial" w:cs="Arial"/>
          <w:vertAlign w:val="subscript"/>
          <w:lang w:val="fr-FR"/>
        </w:rPr>
        <w:t>1</w:t>
      </w:r>
      <w:r w:rsidRPr="008E3E0C">
        <w:rPr>
          <w:rFonts w:ascii="Arial" w:hAnsi="Arial" w:cs="Arial"/>
          <w:lang w:val="fr-FR"/>
        </w:rPr>
        <w:t xml:space="preserve">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.001). In contrast, in animals from batch GLY</w:t>
      </w:r>
      <w:r w:rsidRPr="008E3E0C">
        <w:rPr>
          <w:rFonts w:ascii="Arial" w:hAnsi="Arial" w:cs="Arial"/>
          <w:vertAlign w:val="subscript"/>
          <w:lang w:val="fr-FR"/>
        </w:rPr>
        <w:t>2</w:t>
      </w:r>
      <w:r w:rsidRPr="008E3E0C">
        <w:rPr>
          <w:rFonts w:ascii="Arial" w:hAnsi="Arial" w:cs="Arial"/>
          <w:lang w:val="fr-FR"/>
        </w:rPr>
        <w:t>, a sharp and significant drop in neutrophils was observed (p &lt;</w:t>
      </w:r>
      <w:r w:rsidR="00F67E0D">
        <w:rPr>
          <w:rFonts w:ascii="Arial" w:hAnsi="Arial" w:cs="Arial"/>
          <w:lang w:val="fr-FR"/>
        </w:rPr>
        <w:t xml:space="preserve"> </w:t>
      </w:r>
      <w:r w:rsidRPr="008E3E0C">
        <w:rPr>
          <w:rFonts w:ascii="Arial" w:hAnsi="Arial" w:cs="Arial"/>
          <w:lang w:val="fr-FR"/>
        </w:rPr>
        <w:t>.05).</w:t>
      </w:r>
    </w:p>
    <w:p w14:paraId="2B6006E8" w14:textId="743A8E8B" w:rsidR="008E3E0C" w:rsidRPr="008E3E0C" w:rsidRDefault="008E3E0C" w:rsidP="008E3E0C">
      <w:pPr>
        <w:pStyle w:val="Body"/>
        <w:spacing w:after="0"/>
        <w:rPr>
          <w:rFonts w:ascii="Arial" w:hAnsi="Arial" w:cs="Arial"/>
          <w:lang w:val="fr-FR"/>
        </w:rPr>
      </w:pPr>
      <w:r w:rsidRPr="008E3E0C">
        <w:rPr>
          <w:rFonts w:ascii="Arial" w:hAnsi="Arial" w:cs="Arial"/>
          <w:lang w:val="fr-FR"/>
        </w:rPr>
        <w:t>Furthermore, animals from both lots showed a parallel, gradual and significant increase in monocyte levels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.05). This change was accompanied by a very significant increase in CRP levels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.0001) (Figure 6). These results suggest that exposure to glyphosate leads to a transient disruption of the leukocyte profile and persistent ineffective systemic inflammation, compromising the immune response and promoting the persistence of bacterial and fungal infections.</w:t>
      </w:r>
    </w:p>
    <w:p w14:paraId="1DF5BE56" w14:textId="77777777" w:rsidR="008E3E0C" w:rsidRPr="008E3E0C" w:rsidRDefault="008E3E0C" w:rsidP="008E3E0C">
      <w:pPr>
        <w:pStyle w:val="Body"/>
        <w:spacing w:after="0"/>
        <w:rPr>
          <w:rFonts w:ascii="Arial" w:hAnsi="Arial" w:cs="Arial"/>
          <w:lang w:val="fr-FR"/>
        </w:rPr>
      </w:pPr>
    </w:p>
    <w:p w14:paraId="7793AABA" w14:textId="77777777" w:rsidR="008E3E0C" w:rsidRPr="008E3E0C" w:rsidRDefault="008E3E0C" w:rsidP="008E3E0C">
      <w:pPr>
        <w:pStyle w:val="Body"/>
        <w:spacing w:after="0"/>
        <w:rPr>
          <w:rFonts w:ascii="Arial" w:hAnsi="Arial" w:cs="Arial"/>
          <w:lang w:val="fr-FR"/>
        </w:rPr>
      </w:pPr>
      <w:r w:rsidRPr="008E3E0C">
        <w:rPr>
          <w:rFonts w:ascii="Arial" w:hAnsi="Arial" w:cs="Arial"/>
          <w:noProof/>
          <w:lang w:val="fr-FR" w:eastAsia="fr-FR"/>
        </w:rPr>
        <w:drawing>
          <wp:anchor distT="0" distB="0" distL="114300" distR="114300" simplePos="0" relativeHeight="251681280" behindDoc="0" locked="0" layoutInCell="1" allowOverlap="1" wp14:anchorId="7203F9A3" wp14:editId="1D8CE604">
            <wp:simplePos x="0" y="0"/>
            <wp:positionH relativeFrom="margin">
              <wp:posOffset>2529840</wp:posOffset>
            </wp:positionH>
            <wp:positionV relativeFrom="paragraph">
              <wp:posOffset>38100</wp:posOffset>
            </wp:positionV>
            <wp:extent cx="2571750" cy="226695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1750" cy="2266950"/>
                    </a:xfrm>
                    <a:prstGeom prst="rect">
                      <a:avLst/>
                    </a:prstGeom>
                    <a:noFill/>
                  </pic:spPr>
                </pic:pic>
              </a:graphicData>
            </a:graphic>
            <wp14:sizeRelH relativeFrom="margin">
              <wp14:pctWidth>0</wp14:pctWidth>
            </wp14:sizeRelH>
            <wp14:sizeRelV relativeFrom="margin">
              <wp14:pctHeight>0</wp14:pctHeight>
            </wp14:sizeRelV>
          </wp:anchor>
        </w:drawing>
      </w:r>
      <w:r w:rsidRPr="008E3E0C">
        <w:rPr>
          <w:rFonts w:ascii="Arial" w:hAnsi="Arial" w:cs="Arial"/>
          <w:noProof/>
          <w:lang w:val="fr-FR" w:eastAsia="fr-FR"/>
        </w:rPr>
        <w:drawing>
          <wp:anchor distT="0" distB="0" distL="114300" distR="114300" simplePos="0" relativeHeight="251677184" behindDoc="0" locked="0" layoutInCell="1" allowOverlap="1" wp14:anchorId="4160EE69" wp14:editId="3EA70C82">
            <wp:simplePos x="0" y="0"/>
            <wp:positionH relativeFrom="column">
              <wp:posOffset>-3809</wp:posOffset>
            </wp:positionH>
            <wp:positionV relativeFrom="paragraph">
              <wp:posOffset>38100</wp:posOffset>
            </wp:positionV>
            <wp:extent cx="2552700" cy="227647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BEBA8EAE-BF5A-486C-A8C5-ECC9F3942E4B}">
                          <a14:imgProps xmlns:a14="http://schemas.microsoft.com/office/drawing/2010/main">
                            <a14:imgLayer r:embed="rId3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2700" cy="2276475"/>
                    </a:xfrm>
                    <a:prstGeom prst="rect">
                      <a:avLst/>
                    </a:prstGeom>
                    <a:noFill/>
                  </pic:spPr>
                </pic:pic>
              </a:graphicData>
            </a:graphic>
            <wp14:sizeRelH relativeFrom="margin">
              <wp14:pctWidth>0</wp14:pctWidth>
            </wp14:sizeRelH>
            <wp14:sizeRelV relativeFrom="margin">
              <wp14:pctHeight>0</wp14:pctHeight>
            </wp14:sizeRelV>
          </wp:anchor>
        </w:drawing>
      </w:r>
    </w:p>
    <w:p w14:paraId="77099854" w14:textId="77777777" w:rsidR="008E3E0C" w:rsidRPr="008E3E0C" w:rsidRDefault="008E3E0C" w:rsidP="008E3E0C">
      <w:pPr>
        <w:pStyle w:val="Body"/>
        <w:spacing w:after="0"/>
        <w:rPr>
          <w:rFonts w:ascii="Arial" w:hAnsi="Arial" w:cs="Arial"/>
          <w:lang w:val="fr-FR"/>
        </w:rPr>
      </w:pPr>
    </w:p>
    <w:p w14:paraId="4625CAF9" w14:textId="77777777" w:rsidR="008E3E0C" w:rsidRPr="008E3E0C" w:rsidRDefault="008E3E0C" w:rsidP="008E3E0C">
      <w:pPr>
        <w:pStyle w:val="Body"/>
        <w:spacing w:after="0"/>
        <w:rPr>
          <w:rFonts w:ascii="Arial" w:hAnsi="Arial" w:cs="Arial"/>
          <w:lang w:val="fr-FR"/>
        </w:rPr>
      </w:pPr>
    </w:p>
    <w:p w14:paraId="32E8810F" w14:textId="77777777" w:rsidR="008E3E0C" w:rsidRPr="008E3E0C" w:rsidRDefault="008E3E0C" w:rsidP="008E3E0C">
      <w:pPr>
        <w:pStyle w:val="Body"/>
        <w:spacing w:after="0"/>
        <w:rPr>
          <w:rFonts w:ascii="Arial" w:hAnsi="Arial" w:cs="Arial"/>
          <w:lang w:val="fr-FR"/>
        </w:rPr>
      </w:pPr>
    </w:p>
    <w:p w14:paraId="1CABE4AF" w14:textId="77777777" w:rsidR="008E3E0C" w:rsidRPr="008E3E0C" w:rsidRDefault="008E3E0C" w:rsidP="008E3E0C">
      <w:pPr>
        <w:pStyle w:val="Body"/>
        <w:spacing w:after="0"/>
        <w:rPr>
          <w:rFonts w:ascii="Arial" w:hAnsi="Arial" w:cs="Arial"/>
          <w:lang w:val="fr-FR"/>
        </w:rPr>
      </w:pPr>
    </w:p>
    <w:p w14:paraId="0970C4F3" w14:textId="77777777" w:rsidR="008E3E0C" w:rsidRPr="008E3E0C" w:rsidRDefault="008E3E0C" w:rsidP="008E3E0C">
      <w:pPr>
        <w:pStyle w:val="Body"/>
        <w:spacing w:after="0"/>
        <w:rPr>
          <w:rFonts w:ascii="Arial" w:hAnsi="Arial" w:cs="Arial"/>
          <w:lang w:val="fr-FR"/>
        </w:rPr>
      </w:pPr>
    </w:p>
    <w:p w14:paraId="46405AAB" w14:textId="77777777" w:rsidR="00C95C81" w:rsidRPr="00C95C81" w:rsidRDefault="00C95C81" w:rsidP="00C95C81">
      <w:pPr>
        <w:pStyle w:val="Body"/>
        <w:spacing w:after="0"/>
        <w:rPr>
          <w:rFonts w:ascii="Arial" w:hAnsi="Arial" w:cs="Arial"/>
          <w:lang w:val="fr-FR"/>
        </w:rPr>
      </w:pPr>
      <w:r w:rsidRPr="00C95C81">
        <w:rPr>
          <w:rFonts w:ascii="Arial" w:hAnsi="Arial" w:cs="Arial"/>
          <w:lang w:val="fr-FR"/>
        </w:rPr>
        <w:tab/>
      </w:r>
      <w:r w:rsidRPr="00C95C81">
        <w:rPr>
          <w:rFonts w:ascii="Arial" w:hAnsi="Arial" w:cs="Arial"/>
          <w:lang w:val="fr-FR"/>
        </w:rPr>
        <w:tab/>
      </w:r>
    </w:p>
    <w:p w14:paraId="2DE33B66" w14:textId="77777777" w:rsidR="00C95C81" w:rsidRPr="00C95C81" w:rsidRDefault="00C95C81" w:rsidP="00C95C81">
      <w:pPr>
        <w:pStyle w:val="Body"/>
        <w:spacing w:after="0"/>
        <w:rPr>
          <w:rFonts w:ascii="Arial" w:hAnsi="Arial" w:cs="Arial"/>
          <w:lang w:val="fr-FR"/>
        </w:rPr>
      </w:pPr>
    </w:p>
    <w:p w14:paraId="016A7367" w14:textId="77777777" w:rsidR="00C95C81" w:rsidRPr="00C95C81" w:rsidRDefault="00C95C81" w:rsidP="00C95C81">
      <w:pPr>
        <w:pStyle w:val="Body"/>
        <w:spacing w:after="0"/>
        <w:rPr>
          <w:rFonts w:ascii="Arial" w:hAnsi="Arial" w:cs="Arial"/>
          <w:lang w:val="fr-FR"/>
        </w:rPr>
      </w:pPr>
    </w:p>
    <w:p w14:paraId="6BD9E47F" w14:textId="77777777" w:rsidR="00C95C81" w:rsidRDefault="00C95C81" w:rsidP="00441B6F">
      <w:pPr>
        <w:pStyle w:val="Body"/>
        <w:spacing w:after="0"/>
        <w:rPr>
          <w:rFonts w:ascii="Arial" w:hAnsi="Arial" w:cs="Arial"/>
        </w:rPr>
      </w:pPr>
    </w:p>
    <w:p w14:paraId="211FD12E" w14:textId="77777777" w:rsidR="00C95C81" w:rsidRDefault="00C95C81" w:rsidP="00441B6F">
      <w:pPr>
        <w:pStyle w:val="Body"/>
        <w:spacing w:after="0"/>
        <w:rPr>
          <w:rFonts w:ascii="Arial" w:hAnsi="Arial" w:cs="Arial"/>
        </w:rPr>
      </w:pPr>
    </w:p>
    <w:p w14:paraId="5CA88616" w14:textId="77777777" w:rsidR="00C95C81" w:rsidRDefault="00C95C81" w:rsidP="00441B6F">
      <w:pPr>
        <w:pStyle w:val="Body"/>
        <w:spacing w:after="0"/>
        <w:rPr>
          <w:rFonts w:ascii="Arial" w:hAnsi="Arial" w:cs="Arial"/>
        </w:rPr>
      </w:pPr>
    </w:p>
    <w:p w14:paraId="482CD28F" w14:textId="77777777" w:rsidR="00C95C81" w:rsidRDefault="00C95C81" w:rsidP="00441B6F">
      <w:pPr>
        <w:pStyle w:val="Body"/>
        <w:spacing w:after="0"/>
        <w:rPr>
          <w:rFonts w:ascii="Arial" w:hAnsi="Arial" w:cs="Arial"/>
        </w:rPr>
      </w:pPr>
    </w:p>
    <w:p w14:paraId="7A96863F" w14:textId="77777777" w:rsidR="00C95C81" w:rsidRDefault="00C95C81" w:rsidP="00441B6F">
      <w:pPr>
        <w:pStyle w:val="Body"/>
        <w:spacing w:after="0"/>
        <w:rPr>
          <w:rFonts w:ascii="Arial" w:hAnsi="Arial" w:cs="Arial"/>
        </w:rPr>
      </w:pPr>
    </w:p>
    <w:p w14:paraId="7BA917F8" w14:textId="77777777" w:rsidR="00C95C81" w:rsidRDefault="00C95C81" w:rsidP="00441B6F">
      <w:pPr>
        <w:pStyle w:val="Body"/>
        <w:spacing w:after="0"/>
        <w:rPr>
          <w:rFonts w:ascii="Arial" w:hAnsi="Arial" w:cs="Arial"/>
        </w:rPr>
      </w:pPr>
    </w:p>
    <w:p w14:paraId="21097351" w14:textId="77777777" w:rsidR="00C95C81" w:rsidRDefault="00C95C81" w:rsidP="00441B6F">
      <w:pPr>
        <w:pStyle w:val="Body"/>
        <w:spacing w:after="0"/>
        <w:rPr>
          <w:rFonts w:ascii="Arial" w:hAnsi="Arial" w:cs="Arial"/>
        </w:rPr>
      </w:pPr>
    </w:p>
    <w:p w14:paraId="0299A566" w14:textId="77777777" w:rsidR="00C95C81" w:rsidRDefault="00C95C81" w:rsidP="00441B6F">
      <w:pPr>
        <w:pStyle w:val="Body"/>
        <w:spacing w:after="0"/>
        <w:rPr>
          <w:rFonts w:ascii="Arial" w:hAnsi="Arial" w:cs="Arial"/>
        </w:rPr>
      </w:pPr>
    </w:p>
    <w:p w14:paraId="5B6AEBA8" w14:textId="77777777" w:rsidR="008E3E0C" w:rsidRDefault="008E3E0C" w:rsidP="008E3E0C">
      <w:pPr>
        <w:pStyle w:val="Body"/>
        <w:spacing w:after="0"/>
        <w:rPr>
          <w:rFonts w:ascii="Arial" w:hAnsi="Arial" w:cs="Arial"/>
          <w:b/>
          <w:iCs/>
          <w:lang w:val="fr-FR"/>
        </w:rPr>
      </w:pPr>
      <w:r w:rsidRPr="008E3E0C">
        <w:rPr>
          <w:rFonts w:ascii="Arial" w:hAnsi="Arial" w:cs="Arial"/>
          <w:b/>
          <w:bCs/>
          <w:iCs/>
          <w:lang w:val="fr-FR"/>
        </w:rPr>
        <w:t xml:space="preserve">Figure </w:t>
      </w:r>
      <w:r w:rsidRPr="008E3E0C">
        <w:rPr>
          <w:rFonts w:ascii="Arial" w:hAnsi="Arial" w:cs="Arial"/>
          <w:b/>
          <w:bCs/>
          <w:iCs/>
          <w:lang w:val="fr-FR"/>
        </w:rPr>
        <w:fldChar w:fldCharType="begin"/>
      </w:r>
      <w:r w:rsidRPr="008E3E0C">
        <w:rPr>
          <w:rFonts w:ascii="Arial" w:hAnsi="Arial" w:cs="Arial"/>
          <w:b/>
          <w:bCs/>
          <w:iCs/>
          <w:lang w:val="fr-FR"/>
        </w:rPr>
        <w:instrText xml:space="preserve"> SEQ Figure \* ARABIC </w:instrText>
      </w:r>
      <w:r w:rsidRPr="008E3E0C">
        <w:rPr>
          <w:rFonts w:ascii="Arial" w:hAnsi="Arial" w:cs="Arial"/>
          <w:b/>
          <w:bCs/>
          <w:iCs/>
          <w:lang w:val="fr-FR"/>
        </w:rPr>
        <w:fldChar w:fldCharType="separate"/>
      </w:r>
      <w:r w:rsidRPr="008E3E0C">
        <w:rPr>
          <w:rFonts w:ascii="Arial" w:hAnsi="Arial" w:cs="Arial"/>
          <w:b/>
          <w:bCs/>
          <w:iCs/>
          <w:lang w:val="fr-FR"/>
        </w:rPr>
        <w:t>6</w:t>
      </w:r>
      <w:r w:rsidRPr="008E3E0C">
        <w:rPr>
          <w:rFonts w:ascii="Arial" w:hAnsi="Arial" w:cs="Arial"/>
          <w:b/>
        </w:rPr>
        <w:fldChar w:fldCharType="end"/>
      </w:r>
      <w:r w:rsidRPr="008E3E0C">
        <w:rPr>
          <w:rFonts w:ascii="Arial" w:hAnsi="Arial" w:cs="Arial"/>
          <w:b/>
          <w:bCs/>
          <w:iCs/>
          <w:lang w:val="fr-FR"/>
        </w:rPr>
        <w:t xml:space="preserve"> : </w:t>
      </w:r>
      <w:r w:rsidRPr="008E3E0C">
        <w:rPr>
          <w:rFonts w:ascii="Arial" w:hAnsi="Arial" w:cs="Arial"/>
          <w:b/>
          <w:iCs/>
          <w:lang w:val="fr-FR"/>
        </w:rPr>
        <w:t>Histogram showing evolution in leukocyte and inflammatory parameters in rats (batches GLY</w:t>
      </w:r>
      <w:r w:rsidRPr="008E3E0C">
        <w:rPr>
          <w:rFonts w:ascii="Arial" w:hAnsi="Arial" w:cs="Arial"/>
          <w:b/>
          <w:iCs/>
          <w:vertAlign w:val="subscript"/>
          <w:lang w:val="fr-FR"/>
        </w:rPr>
        <w:t>1</w:t>
      </w:r>
      <w:r w:rsidRPr="008E3E0C">
        <w:rPr>
          <w:rFonts w:ascii="Arial" w:hAnsi="Arial" w:cs="Arial"/>
          <w:b/>
          <w:iCs/>
          <w:lang w:val="fr-FR"/>
        </w:rPr>
        <w:t xml:space="preserve"> et GLY</w:t>
      </w:r>
      <w:r w:rsidRPr="008E3E0C">
        <w:rPr>
          <w:rFonts w:ascii="Arial" w:hAnsi="Arial" w:cs="Arial"/>
          <w:b/>
          <w:iCs/>
          <w:vertAlign w:val="subscript"/>
          <w:lang w:val="fr-FR"/>
        </w:rPr>
        <w:t>2</w:t>
      </w:r>
      <w:r w:rsidRPr="008E3E0C">
        <w:rPr>
          <w:rFonts w:ascii="Arial" w:hAnsi="Arial" w:cs="Arial"/>
          <w:b/>
          <w:iCs/>
          <w:lang w:val="fr-FR"/>
        </w:rPr>
        <w:t>)</w:t>
      </w:r>
    </w:p>
    <w:p w14:paraId="2FDF6F51" w14:textId="77777777" w:rsidR="008E3E0C" w:rsidRPr="00A214FE" w:rsidRDefault="008E3E0C" w:rsidP="008E3E0C">
      <w:pPr>
        <w:pStyle w:val="Body"/>
        <w:jc w:val="center"/>
        <w:rPr>
          <w:rFonts w:ascii="Arial" w:hAnsi="Arial" w:cs="Arial"/>
          <w:i/>
          <w:iCs/>
          <w:sz w:val="18"/>
          <w:szCs w:val="18"/>
          <w:lang w:val="fr-FR"/>
        </w:rPr>
      </w:pPr>
      <w:r w:rsidRPr="00A214FE">
        <w:rPr>
          <w:rFonts w:ascii="Arial" w:hAnsi="Arial" w:cs="Arial"/>
          <w:i/>
          <w:iCs/>
          <w:sz w:val="18"/>
          <w:szCs w:val="18"/>
          <w:lang w:val="fr-FR"/>
        </w:rPr>
        <w:t>GB : Globules blancs ; Neu ; Neutrophiles ; Mo : Monocytes ; CRP : Protéine-C-réactive</w:t>
      </w:r>
    </w:p>
    <w:p w14:paraId="29BE3465" w14:textId="6538FCEA" w:rsidR="00BC614F" w:rsidRPr="00A214FE" w:rsidRDefault="00A214FE" w:rsidP="00B63285">
      <w:pPr>
        <w:pStyle w:val="Body"/>
        <w:spacing w:after="0"/>
        <w:rPr>
          <w:rFonts w:ascii="Arial" w:hAnsi="Arial" w:cs="Arial"/>
          <w:b/>
          <w:bCs/>
          <w:iCs/>
          <w:u w:val="single"/>
          <w:lang w:val="fr-FR"/>
        </w:rPr>
      </w:pPr>
      <w:r w:rsidRPr="00A214FE">
        <w:rPr>
          <w:rFonts w:ascii="Arial" w:hAnsi="Arial" w:cs="Arial"/>
          <w:b/>
          <w:bCs/>
          <w:iCs/>
          <w:u w:val="single"/>
          <w:lang w:val="fr-FR"/>
        </w:rPr>
        <w:t>3.1.</w:t>
      </w:r>
      <w:r w:rsidR="00BC614F" w:rsidRPr="00A214FE">
        <w:rPr>
          <w:rFonts w:ascii="Arial" w:hAnsi="Arial" w:cs="Arial"/>
          <w:b/>
          <w:bCs/>
          <w:iCs/>
          <w:u w:val="single"/>
          <w:lang w:val="fr-FR"/>
        </w:rPr>
        <w:t>3    Influence of pollutants on pathogen susceptibility</w:t>
      </w:r>
    </w:p>
    <w:p w14:paraId="00ECC27D" w14:textId="2195293B" w:rsidR="00BC614F" w:rsidRPr="00BC614F" w:rsidRDefault="00BC614F" w:rsidP="00B63285">
      <w:pPr>
        <w:pStyle w:val="Body"/>
        <w:spacing w:after="0"/>
        <w:rPr>
          <w:rFonts w:ascii="Arial" w:hAnsi="Arial" w:cs="Arial"/>
          <w:bCs/>
          <w:iCs/>
          <w:lang w:val="fr-FR"/>
        </w:rPr>
      </w:pPr>
      <w:r w:rsidRPr="00BC614F">
        <w:rPr>
          <w:rFonts w:ascii="Arial" w:hAnsi="Arial" w:cs="Arial"/>
          <w:bCs/>
          <w:i/>
          <w:iCs/>
          <w:lang w:val="fr-FR"/>
        </w:rPr>
        <w:t>E. coli</w:t>
      </w:r>
      <w:r w:rsidRPr="00BC614F">
        <w:rPr>
          <w:rFonts w:ascii="Arial" w:hAnsi="Arial" w:cs="Arial"/>
          <w:bCs/>
          <w:iCs/>
          <w:lang w:val="fr-FR"/>
        </w:rPr>
        <w:t xml:space="preserve"> isolates from positive control rats (batch T</w:t>
      </w:r>
      <w:r w:rsidRPr="00BC614F">
        <w:rPr>
          <w:rFonts w:ascii="Arial" w:hAnsi="Arial" w:cs="Arial"/>
          <w:bCs/>
          <w:iCs/>
          <w:vertAlign w:val="subscript"/>
          <w:lang w:val="fr-FR"/>
        </w:rPr>
        <w:t>1</w:t>
      </w:r>
      <w:r w:rsidRPr="00BC614F">
        <w:rPr>
          <w:rFonts w:ascii="Arial" w:hAnsi="Arial" w:cs="Arial"/>
          <w:bCs/>
          <w:iCs/>
          <w:lang w:val="fr-FR"/>
        </w:rPr>
        <w:t xml:space="preserve">), which were not exposed to toxic agents, showed no significant variation in inhibition diameters for the three (3) classes of antibiotics </w:t>
      </w:r>
      <w:proofErr w:type="gramStart"/>
      <w:r w:rsidR="00262975" w:rsidRPr="00BC614F">
        <w:rPr>
          <w:rFonts w:ascii="Arial" w:hAnsi="Arial" w:cs="Arial"/>
          <w:bCs/>
          <w:iCs/>
          <w:lang w:val="fr-FR"/>
        </w:rPr>
        <w:t>tested:</w:t>
      </w:r>
      <w:proofErr w:type="gramEnd"/>
      <w:r w:rsidRPr="00BC614F">
        <w:rPr>
          <w:rFonts w:ascii="Arial" w:hAnsi="Arial" w:cs="Arial"/>
          <w:bCs/>
          <w:iCs/>
          <w:lang w:val="fr-FR"/>
        </w:rPr>
        <w:t xml:space="preserve"> beta-lactam (cefepime), aminoglycoside (amikacin), and fluoroquinolone (levofloxacin) (Table I). These results suggest that the antibiotic susceptibility profile (antibiogram) of these isolates remained stable in the context of infection without biological stress.</w:t>
      </w:r>
    </w:p>
    <w:p w14:paraId="15EDE6F1" w14:textId="77777777" w:rsidR="00BC614F" w:rsidRPr="00BC614F" w:rsidRDefault="00BC614F" w:rsidP="00B63285">
      <w:pPr>
        <w:pStyle w:val="Body"/>
        <w:spacing w:after="0"/>
        <w:rPr>
          <w:rFonts w:ascii="Arial" w:hAnsi="Arial" w:cs="Arial"/>
          <w:bCs/>
          <w:iCs/>
          <w:lang w:val="fr-FR"/>
        </w:rPr>
      </w:pPr>
      <w:r w:rsidRPr="00BC614F">
        <w:rPr>
          <w:rFonts w:ascii="Arial" w:hAnsi="Arial" w:cs="Arial"/>
          <w:bCs/>
          <w:iCs/>
          <w:lang w:val="fr-FR"/>
        </w:rPr>
        <w:t>Similarly, isolates from infected rats in batch GLY</w:t>
      </w:r>
      <w:r w:rsidRPr="00BC614F">
        <w:rPr>
          <w:rFonts w:ascii="Arial" w:hAnsi="Arial" w:cs="Arial"/>
          <w:bCs/>
          <w:iCs/>
          <w:vertAlign w:val="subscript"/>
          <w:lang w:val="fr-FR"/>
        </w:rPr>
        <w:t>1</w:t>
      </w:r>
      <w:r w:rsidRPr="00BC614F">
        <w:rPr>
          <w:rFonts w:ascii="Arial" w:hAnsi="Arial" w:cs="Arial"/>
          <w:bCs/>
          <w:iCs/>
          <w:lang w:val="fr-FR"/>
        </w:rPr>
        <w:t>, exposed to glyphosate, showed no significant variation in inhibition diameters (Table I). This suggests that, in this toxic-infectious model, exposure to glyphosate did not induce any change in the susceptibility profile of the isolates.</w:t>
      </w:r>
    </w:p>
    <w:p w14:paraId="62C16180" w14:textId="77777777" w:rsidR="00BC614F" w:rsidRDefault="00BC614F" w:rsidP="00B63285">
      <w:pPr>
        <w:pStyle w:val="Body"/>
        <w:spacing w:after="0"/>
        <w:rPr>
          <w:rFonts w:ascii="Arial" w:hAnsi="Arial" w:cs="Arial"/>
          <w:bCs/>
          <w:iCs/>
          <w:lang w:val="fr-FR"/>
        </w:rPr>
      </w:pPr>
      <w:r w:rsidRPr="00BC614F">
        <w:rPr>
          <w:rFonts w:ascii="Arial" w:hAnsi="Arial" w:cs="Arial"/>
          <w:bCs/>
          <w:iCs/>
          <w:lang w:val="fr-FR"/>
        </w:rPr>
        <w:t>In contrast, isolates from infected rats exposed to lead acetate (batch ACP</w:t>
      </w:r>
      <w:r w:rsidRPr="00BC614F">
        <w:rPr>
          <w:rFonts w:ascii="Arial" w:hAnsi="Arial" w:cs="Arial"/>
          <w:bCs/>
          <w:iCs/>
          <w:vertAlign w:val="subscript"/>
          <w:lang w:val="fr-FR"/>
        </w:rPr>
        <w:t>1</w:t>
      </w:r>
      <w:r w:rsidRPr="00BC614F">
        <w:rPr>
          <w:rFonts w:ascii="Arial" w:hAnsi="Arial" w:cs="Arial"/>
          <w:bCs/>
          <w:iCs/>
          <w:lang w:val="fr-FR"/>
        </w:rPr>
        <w:t>) and mercury oxide (batch OME</w:t>
      </w:r>
      <w:r w:rsidRPr="00BC614F">
        <w:rPr>
          <w:rFonts w:ascii="Arial" w:hAnsi="Arial" w:cs="Arial"/>
          <w:bCs/>
          <w:iCs/>
          <w:vertAlign w:val="subscript"/>
          <w:lang w:val="fr-FR"/>
        </w:rPr>
        <w:t>1</w:t>
      </w:r>
      <w:r w:rsidRPr="00BC614F">
        <w:rPr>
          <w:rFonts w:ascii="Arial" w:hAnsi="Arial" w:cs="Arial"/>
          <w:bCs/>
          <w:iCs/>
          <w:lang w:val="fr-FR"/>
        </w:rPr>
        <w:t xml:space="preserve">) showed intermediate susceptibility to beta-lactam (cefepime) and aminoglycoside (amikacin), as well as marked resistance to fluoroquinolone (levofloxacin) (Table I). These observations confirm that exposure to lead or mercury promotes an alteration in the sensitivity profile of </w:t>
      </w:r>
      <w:r w:rsidRPr="00BC614F">
        <w:rPr>
          <w:rFonts w:ascii="Arial" w:hAnsi="Arial" w:cs="Arial"/>
          <w:bCs/>
          <w:i/>
          <w:iCs/>
          <w:lang w:val="fr-FR"/>
        </w:rPr>
        <w:t>Escherichia coli</w:t>
      </w:r>
      <w:r w:rsidRPr="00BC614F">
        <w:rPr>
          <w:rFonts w:ascii="Arial" w:hAnsi="Arial" w:cs="Arial"/>
          <w:bCs/>
          <w:iCs/>
          <w:lang w:val="fr-FR"/>
        </w:rPr>
        <w:t xml:space="preserve"> isolates, reflecting the emergence of antibiotic-resistant phenotypes.</w:t>
      </w:r>
    </w:p>
    <w:p w14:paraId="2FC64873" w14:textId="77777777" w:rsidR="00B63285" w:rsidRDefault="00B63285" w:rsidP="00BC614F">
      <w:pPr>
        <w:pStyle w:val="Body"/>
        <w:rPr>
          <w:rFonts w:ascii="Arial" w:hAnsi="Arial" w:cs="Arial"/>
          <w:b/>
          <w:bCs/>
          <w:iCs/>
          <w:lang w:val="fr-FR"/>
        </w:rPr>
      </w:pPr>
    </w:p>
    <w:p w14:paraId="515175CA" w14:textId="77777777" w:rsidR="00A214FE" w:rsidRDefault="00A214FE" w:rsidP="00BC614F">
      <w:pPr>
        <w:pStyle w:val="Body"/>
        <w:rPr>
          <w:rFonts w:ascii="Arial" w:hAnsi="Arial" w:cs="Arial"/>
          <w:b/>
          <w:bCs/>
          <w:iCs/>
          <w:lang w:val="fr-FR"/>
        </w:rPr>
      </w:pPr>
    </w:p>
    <w:p w14:paraId="0906D395" w14:textId="1EAF84DD" w:rsidR="00BC614F" w:rsidRDefault="00BC614F" w:rsidP="00BC614F">
      <w:pPr>
        <w:pStyle w:val="Body"/>
        <w:rPr>
          <w:rFonts w:ascii="Arial" w:hAnsi="Arial" w:cs="Arial"/>
          <w:bCs/>
          <w:iCs/>
          <w:lang w:val="fr-FR"/>
        </w:rPr>
      </w:pPr>
      <w:r w:rsidRPr="00BC614F">
        <w:rPr>
          <w:rFonts w:ascii="Arial" w:hAnsi="Arial" w:cs="Arial"/>
          <w:b/>
          <w:bCs/>
          <w:iCs/>
          <w:lang w:val="fr-FR"/>
        </w:rPr>
        <w:lastRenderedPageBreak/>
        <w:t xml:space="preserve">Table </w:t>
      </w:r>
      <w:r w:rsidR="00806E6C">
        <w:rPr>
          <w:rFonts w:ascii="Arial" w:hAnsi="Arial" w:cs="Arial"/>
          <w:b/>
          <w:bCs/>
          <w:iCs/>
          <w:lang w:val="fr-FR"/>
        </w:rPr>
        <w:t>1</w:t>
      </w:r>
      <w:r w:rsidR="00806E6C" w:rsidRPr="00BC614F">
        <w:rPr>
          <w:rFonts w:ascii="Arial" w:hAnsi="Arial" w:cs="Arial"/>
          <w:b/>
          <w:bCs/>
          <w:iCs/>
          <w:lang w:val="fr-FR"/>
        </w:rPr>
        <w:t xml:space="preserve"> :</w:t>
      </w:r>
      <w:r w:rsidRPr="00BC614F">
        <w:rPr>
          <w:rFonts w:ascii="Arial" w:hAnsi="Arial" w:cs="Arial"/>
          <w:b/>
          <w:bCs/>
          <w:iCs/>
          <w:lang w:val="fr-FR"/>
        </w:rPr>
        <w:t xml:space="preserve"> Inhibition diameters (mm) of </w:t>
      </w:r>
      <w:r w:rsidRPr="00BC614F">
        <w:rPr>
          <w:rFonts w:ascii="Arial" w:hAnsi="Arial" w:cs="Arial"/>
          <w:b/>
          <w:bCs/>
          <w:i/>
          <w:iCs/>
          <w:lang w:val="fr-FR"/>
        </w:rPr>
        <w:t>Escherichia coli</w:t>
      </w:r>
      <w:r w:rsidRPr="00BC614F">
        <w:rPr>
          <w:rFonts w:ascii="Arial" w:hAnsi="Arial" w:cs="Arial"/>
          <w:b/>
          <w:bCs/>
          <w:iCs/>
          <w:lang w:val="fr-FR"/>
        </w:rPr>
        <w:t xml:space="preserve"> 4447/753 isolates after the experiment</w:t>
      </w:r>
    </w:p>
    <w:tbl>
      <w:tblPr>
        <w:tblpPr w:leftFromText="141" w:rightFromText="141" w:vertAnchor="text" w:horzAnchor="margin" w:tblpXSpec="center" w:tblpY="-27"/>
        <w:tblW w:w="6874" w:type="dxa"/>
        <w:tblLayout w:type="fixed"/>
        <w:tblCellMar>
          <w:left w:w="70" w:type="dxa"/>
          <w:right w:w="70" w:type="dxa"/>
        </w:tblCellMar>
        <w:tblLook w:val="04A0" w:firstRow="1" w:lastRow="0" w:firstColumn="1" w:lastColumn="0" w:noHBand="0" w:noVBand="1"/>
      </w:tblPr>
      <w:tblGrid>
        <w:gridCol w:w="1718"/>
        <w:gridCol w:w="1063"/>
        <w:gridCol w:w="833"/>
        <w:gridCol w:w="735"/>
        <w:gridCol w:w="709"/>
        <w:gridCol w:w="709"/>
        <w:gridCol w:w="1107"/>
      </w:tblGrid>
      <w:tr w:rsidR="00BC614F" w:rsidRPr="00BC614F" w14:paraId="32302484" w14:textId="77777777" w:rsidTr="00EE72B8">
        <w:trPr>
          <w:trHeight w:val="948"/>
        </w:trPr>
        <w:tc>
          <w:tcPr>
            <w:tcW w:w="1718" w:type="dxa"/>
            <w:tcBorders>
              <w:top w:val="single" w:sz="18" w:space="0" w:color="auto"/>
              <w:left w:val="nil"/>
              <w:bottom w:val="single" w:sz="12" w:space="0" w:color="000000"/>
              <w:right w:val="nil"/>
            </w:tcBorders>
            <w:noWrap/>
            <w:vAlign w:val="center"/>
            <w:hideMark/>
          </w:tcPr>
          <w:p w14:paraId="65EFC3A8" w14:textId="77777777" w:rsidR="00BC614F" w:rsidRPr="00BC614F" w:rsidRDefault="00BC614F" w:rsidP="00EE72B8">
            <w:pPr>
              <w:pStyle w:val="Body"/>
              <w:rPr>
                <w:rFonts w:ascii="Arial" w:hAnsi="Arial" w:cs="Arial"/>
                <w:b/>
                <w:bCs/>
                <w:iCs/>
                <w:lang w:val="fr-FR"/>
              </w:rPr>
            </w:pPr>
            <w:r w:rsidRPr="00BC614F">
              <w:rPr>
                <w:rFonts w:ascii="Arial" w:hAnsi="Arial" w:cs="Arial"/>
                <w:b/>
                <w:bCs/>
                <w:iCs/>
                <w:lang w:val="fr-FR"/>
              </w:rPr>
              <w:t>Antibiotic</w:t>
            </w:r>
          </w:p>
        </w:tc>
        <w:tc>
          <w:tcPr>
            <w:tcW w:w="1063" w:type="dxa"/>
            <w:tcBorders>
              <w:top w:val="single" w:sz="18" w:space="0" w:color="auto"/>
              <w:left w:val="nil"/>
              <w:bottom w:val="single" w:sz="12" w:space="0" w:color="000000"/>
              <w:right w:val="nil"/>
            </w:tcBorders>
            <w:vAlign w:val="center"/>
            <w:hideMark/>
          </w:tcPr>
          <w:p w14:paraId="3A31FDA4"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Initial profile (IP)</w:t>
            </w:r>
          </w:p>
        </w:tc>
        <w:tc>
          <w:tcPr>
            <w:tcW w:w="833" w:type="dxa"/>
            <w:tcBorders>
              <w:top w:val="single" w:sz="18" w:space="0" w:color="auto"/>
              <w:left w:val="nil"/>
              <w:bottom w:val="single" w:sz="12" w:space="0" w:color="000000"/>
              <w:right w:val="nil"/>
            </w:tcBorders>
            <w:noWrap/>
            <w:vAlign w:val="center"/>
            <w:hideMark/>
          </w:tcPr>
          <w:p w14:paraId="2ADC4EDA"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T</w:t>
            </w:r>
            <w:r w:rsidRPr="00BC614F">
              <w:rPr>
                <w:rFonts w:ascii="Arial" w:hAnsi="Arial" w:cs="Arial"/>
                <w:b/>
                <w:bCs/>
                <w:iCs/>
                <w:vertAlign w:val="subscript"/>
                <w:lang w:val="fr-FR"/>
              </w:rPr>
              <w:t>1</w:t>
            </w:r>
          </w:p>
        </w:tc>
        <w:tc>
          <w:tcPr>
            <w:tcW w:w="735" w:type="dxa"/>
            <w:tcBorders>
              <w:top w:val="single" w:sz="18" w:space="0" w:color="auto"/>
              <w:left w:val="nil"/>
              <w:bottom w:val="single" w:sz="12" w:space="0" w:color="000000"/>
              <w:right w:val="nil"/>
            </w:tcBorders>
            <w:noWrap/>
            <w:vAlign w:val="center"/>
            <w:hideMark/>
          </w:tcPr>
          <w:p w14:paraId="60C9C59A"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ACP</w:t>
            </w:r>
            <w:r w:rsidRPr="00BC614F">
              <w:rPr>
                <w:rFonts w:ascii="Arial" w:hAnsi="Arial" w:cs="Arial"/>
                <w:b/>
                <w:bCs/>
                <w:iCs/>
                <w:vertAlign w:val="subscript"/>
                <w:lang w:val="fr-FR"/>
              </w:rPr>
              <w:t>1</w:t>
            </w:r>
          </w:p>
        </w:tc>
        <w:tc>
          <w:tcPr>
            <w:tcW w:w="709" w:type="dxa"/>
            <w:tcBorders>
              <w:top w:val="single" w:sz="18" w:space="0" w:color="auto"/>
              <w:left w:val="nil"/>
              <w:right w:val="nil"/>
            </w:tcBorders>
            <w:noWrap/>
            <w:vAlign w:val="center"/>
            <w:hideMark/>
          </w:tcPr>
          <w:p w14:paraId="37AE9EEE"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OME</w:t>
            </w:r>
            <w:r w:rsidRPr="00BC614F">
              <w:rPr>
                <w:rFonts w:ascii="Arial" w:hAnsi="Arial" w:cs="Arial"/>
                <w:b/>
                <w:bCs/>
                <w:iCs/>
                <w:vertAlign w:val="subscript"/>
                <w:lang w:val="fr-FR"/>
              </w:rPr>
              <w:t>1</w:t>
            </w:r>
          </w:p>
        </w:tc>
        <w:tc>
          <w:tcPr>
            <w:tcW w:w="709" w:type="dxa"/>
            <w:tcBorders>
              <w:top w:val="single" w:sz="18" w:space="0" w:color="auto"/>
              <w:left w:val="nil"/>
              <w:bottom w:val="single" w:sz="12" w:space="0" w:color="000000"/>
              <w:right w:val="nil"/>
            </w:tcBorders>
            <w:vAlign w:val="center"/>
            <w:hideMark/>
          </w:tcPr>
          <w:p w14:paraId="4113DF36"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GY</w:t>
            </w:r>
            <w:r w:rsidRPr="00BC614F">
              <w:rPr>
                <w:rFonts w:ascii="Arial" w:hAnsi="Arial" w:cs="Arial"/>
                <w:b/>
                <w:bCs/>
                <w:iCs/>
                <w:vertAlign w:val="subscript"/>
                <w:lang w:val="fr-FR"/>
              </w:rPr>
              <w:t>1</w:t>
            </w:r>
          </w:p>
        </w:tc>
        <w:tc>
          <w:tcPr>
            <w:tcW w:w="1107" w:type="dxa"/>
            <w:tcBorders>
              <w:top w:val="single" w:sz="18" w:space="0" w:color="auto"/>
              <w:left w:val="nil"/>
              <w:bottom w:val="single" w:sz="12" w:space="0" w:color="000000"/>
              <w:right w:val="nil"/>
            </w:tcBorders>
            <w:vAlign w:val="center"/>
            <w:hideMark/>
          </w:tcPr>
          <w:p w14:paraId="3266F0C9"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Norms (CLSI, 2023)</w:t>
            </w:r>
          </w:p>
        </w:tc>
      </w:tr>
      <w:tr w:rsidR="00BC614F" w:rsidRPr="00EE72B8" w14:paraId="05A154AF" w14:textId="77777777" w:rsidTr="00EE72B8">
        <w:trPr>
          <w:trHeight w:val="192"/>
        </w:trPr>
        <w:tc>
          <w:tcPr>
            <w:tcW w:w="1718" w:type="dxa"/>
            <w:vMerge w:val="restart"/>
            <w:tcBorders>
              <w:top w:val="single" w:sz="8" w:space="0" w:color="auto"/>
              <w:left w:val="nil"/>
              <w:bottom w:val="single" w:sz="12" w:space="0" w:color="000000"/>
              <w:right w:val="nil"/>
            </w:tcBorders>
            <w:noWrap/>
            <w:vAlign w:val="center"/>
            <w:hideMark/>
          </w:tcPr>
          <w:p w14:paraId="7BF59917"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Aminoglycoside</w:t>
            </w:r>
          </w:p>
          <w:p w14:paraId="17FF0FF4"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 xml:space="preserve">(Amikacin) </w:t>
            </w:r>
          </w:p>
        </w:tc>
        <w:tc>
          <w:tcPr>
            <w:tcW w:w="1063" w:type="dxa"/>
            <w:vMerge w:val="restart"/>
            <w:tcBorders>
              <w:top w:val="single" w:sz="8" w:space="0" w:color="auto"/>
              <w:left w:val="nil"/>
              <w:bottom w:val="single" w:sz="12" w:space="0" w:color="000000"/>
              <w:right w:val="nil"/>
            </w:tcBorders>
            <w:noWrap/>
            <w:vAlign w:val="center"/>
            <w:hideMark/>
          </w:tcPr>
          <w:p w14:paraId="2F13BC36"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21</w:t>
            </w:r>
          </w:p>
        </w:tc>
        <w:tc>
          <w:tcPr>
            <w:tcW w:w="833" w:type="dxa"/>
            <w:vMerge w:val="restart"/>
            <w:tcBorders>
              <w:top w:val="single" w:sz="8" w:space="0" w:color="auto"/>
              <w:left w:val="nil"/>
              <w:bottom w:val="single" w:sz="12" w:space="0" w:color="000000"/>
              <w:right w:val="nil"/>
            </w:tcBorders>
            <w:noWrap/>
            <w:vAlign w:val="center"/>
            <w:hideMark/>
          </w:tcPr>
          <w:p w14:paraId="232842C7"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21.27±0.</w:t>
            </w:r>
            <w:r w:rsidR="00BC614F" w:rsidRPr="00EE72B8">
              <w:rPr>
                <w:rFonts w:ascii="Arial" w:hAnsi="Arial" w:cs="Arial"/>
                <w:bCs/>
                <w:iCs/>
                <w:lang w:val="fr-FR"/>
              </w:rPr>
              <w:t>15</w:t>
            </w:r>
          </w:p>
        </w:tc>
        <w:tc>
          <w:tcPr>
            <w:tcW w:w="735" w:type="dxa"/>
            <w:vMerge w:val="restart"/>
            <w:tcBorders>
              <w:top w:val="single" w:sz="8" w:space="0" w:color="auto"/>
              <w:left w:val="nil"/>
              <w:bottom w:val="single" w:sz="12" w:space="0" w:color="000000"/>
              <w:right w:val="nil"/>
            </w:tcBorders>
            <w:noWrap/>
            <w:vAlign w:val="center"/>
            <w:hideMark/>
          </w:tcPr>
          <w:p w14:paraId="5A9699FE"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17.78±0.</w:t>
            </w:r>
            <w:r w:rsidR="00BC614F" w:rsidRPr="00EE72B8">
              <w:rPr>
                <w:rFonts w:ascii="Arial" w:hAnsi="Arial" w:cs="Arial"/>
                <w:bCs/>
                <w:iCs/>
                <w:lang w:val="fr-FR"/>
              </w:rPr>
              <w:t>98</w:t>
            </w:r>
          </w:p>
        </w:tc>
        <w:tc>
          <w:tcPr>
            <w:tcW w:w="709" w:type="dxa"/>
            <w:vMerge w:val="restart"/>
            <w:tcBorders>
              <w:top w:val="single" w:sz="8" w:space="0" w:color="auto"/>
              <w:left w:val="nil"/>
              <w:bottom w:val="single" w:sz="12" w:space="0" w:color="000000"/>
              <w:right w:val="nil"/>
            </w:tcBorders>
            <w:noWrap/>
            <w:vAlign w:val="center"/>
            <w:hideMark/>
          </w:tcPr>
          <w:p w14:paraId="5E9E8CF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18.23±0.</w:t>
            </w:r>
            <w:r w:rsidR="00BC614F" w:rsidRPr="00EE72B8">
              <w:rPr>
                <w:rFonts w:ascii="Arial" w:hAnsi="Arial" w:cs="Arial"/>
                <w:bCs/>
                <w:iCs/>
                <w:lang w:val="fr-FR"/>
              </w:rPr>
              <w:t>60</w:t>
            </w:r>
          </w:p>
        </w:tc>
        <w:tc>
          <w:tcPr>
            <w:tcW w:w="709" w:type="dxa"/>
            <w:vMerge w:val="restart"/>
            <w:tcBorders>
              <w:top w:val="single" w:sz="8" w:space="0" w:color="auto"/>
              <w:left w:val="nil"/>
              <w:bottom w:val="single" w:sz="12" w:space="0" w:color="000000"/>
              <w:right w:val="nil"/>
            </w:tcBorders>
            <w:vAlign w:val="center"/>
            <w:hideMark/>
          </w:tcPr>
          <w:p w14:paraId="0393154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21.32±0.</w:t>
            </w:r>
            <w:r w:rsidR="00BC614F" w:rsidRPr="00EE72B8">
              <w:rPr>
                <w:rFonts w:ascii="Arial" w:hAnsi="Arial" w:cs="Arial"/>
                <w:bCs/>
                <w:iCs/>
                <w:lang w:val="fr-FR"/>
              </w:rPr>
              <w:t>06</w:t>
            </w:r>
          </w:p>
        </w:tc>
        <w:tc>
          <w:tcPr>
            <w:tcW w:w="1107" w:type="dxa"/>
            <w:tcBorders>
              <w:top w:val="nil"/>
              <w:left w:val="nil"/>
              <w:bottom w:val="nil"/>
              <w:right w:val="nil"/>
            </w:tcBorders>
            <w:vAlign w:val="center"/>
            <w:hideMark/>
          </w:tcPr>
          <w:p w14:paraId="3CA4496B"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20</w:t>
            </w:r>
          </w:p>
        </w:tc>
      </w:tr>
      <w:tr w:rsidR="00BC614F" w:rsidRPr="00EE72B8" w14:paraId="7DF9EFA0" w14:textId="77777777" w:rsidTr="00EE72B8">
        <w:trPr>
          <w:trHeight w:val="199"/>
        </w:trPr>
        <w:tc>
          <w:tcPr>
            <w:tcW w:w="1718" w:type="dxa"/>
            <w:vMerge/>
            <w:tcBorders>
              <w:top w:val="single" w:sz="8" w:space="0" w:color="auto"/>
              <w:left w:val="nil"/>
              <w:bottom w:val="single" w:sz="12" w:space="0" w:color="auto"/>
              <w:right w:val="nil"/>
            </w:tcBorders>
            <w:vAlign w:val="center"/>
            <w:hideMark/>
          </w:tcPr>
          <w:p w14:paraId="193A63A4" w14:textId="77777777" w:rsidR="00BC614F" w:rsidRPr="00EE72B8" w:rsidRDefault="00BC614F" w:rsidP="00EE72B8">
            <w:pPr>
              <w:pStyle w:val="Body"/>
              <w:spacing w:after="0"/>
              <w:rPr>
                <w:rFonts w:ascii="Arial" w:hAnsi="Arial" w:cs="Arial"/>
                <w:bCs/>
                <w:iCs/>
                <w:lang w:val="fr-FR"/>
              </w:rPr>
            </w:pPr>
          </w:p>
        </w:tc>
        <w:tc>
          <w:tcPr>
            <w:tcW w:w="1063" w:type="dxa"/>
            <w:vMerge/>
            <w:tcBorders>
              <w:top w:val="single" w:sz="8" w:space="0" w:color="auto"/>
              <w:left w:val="nil"/>
              <w:bottom w:val="single" w:sz="12" w:space="0" w:color="auto"/>
              <w:right w:val="nil"/>
            </w:tcBorders>
            <w:vAlign w:val="center"/>
            <w:hideMark/>
          </w:tcPr>
          <w:p w14:paraId="700D488B"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single" w:sz="8" w:space="0" w:color="auto"/>
              <w:left w:val="nil"/>
              <w:bottom w:val="single" w:sz="12" w:space="0" w:color="auto"/>
              <w:right w:val="nil"/>
            </w:tcBorders>
            <w:vAlign w:val="center"/>
            <w:hideMark/>
          </w:tcPr>
          <w:p w14:paraId="48A4DEA7"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single" w:sz="8" w:space="0" w:color="auto"/>
              <w:left w:val="nil"/>
              <w:bottom w:val="single" w:sz="12" w:space="0" w:color="auto"/>
              <w:right w:val="nil"/>
            </w:tcBorders>
            <w:vAlign w:val="center"/>
            <w:hideMark/>
          </w:tcPr>
          <w:p w14:paraId="77FE84B5"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single" w:sz="8" w:space="0" w:color="auto"/>
              <w:left w:val="nil"/>
              <w:bottom w:val="single" w:sz="12" w:space="0" w:color="auto"/>
              <w:right w:val="nil"/>
            </w:tcBorders>
            <w:vAlign w:val="center"/>
            <w:hideMark/>
          </w:tcPr>
          <w:p w14:paraId="7A35FE00"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single" w:sz="8" w:space="0" w:color="auto"/>
              <w:left w:val="nil"/>
              <w:bottom w:val="single" w:sz="12" w:space="0" w:color="auto"/>
              <w:right w:val="nil"/>
            </w:tcBorders>
            <w:vAlign w:val="center"/>
            <w:hideMark/>
          </w:tcPr>
          <w:p w14:paraId="045E35B9"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2" w:space="0" w:color="auto"/>
              <w:right w:val="nil"/>
            </w:tcBorders>
            <w:vAlign w:val="center"/>
            <w:hideMark/>
          </w:tcPr>
          <w:p w14:paraId="2D3FA717"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16</w:t>
            </w:r>
          </w:p>
        </w:tc>
      </w:tr>
      <w:tr w:rsidR="00BC614F" w:rsidRPr="00EE72B8" w14:paraId="3607C45A" w14:textId="77777777" w:rsidTr="00EE72B8">
        <w:trPr>
          <w:trHeight w:val="192"/>
        </w:trPr>
        <w:tc>
          <w:tcPr>
            <w:tcW w:w="1718" w:type="dxa"/>
            <w:vMerge w:val="restart"/>
            <w:tcBorders>
              <w:top w:val="nil"/>
              <w:left w:val="nil"/>
              <w:bottom w:val="single" w:sz="12" w:space="0" w:color="000000"/>
              <w:right w:val="nil"/>
            </w:tcBorders>
            <w:noWrap/>
            <w:vAlign w:val="center"/>
            <w:hideMark/>
          </w:tcPr>
          <w:p w14:paraId="786AB7E5"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 xml:space="preserve">Beta-lactam (Cefepime) </w:t>
            </w:r>
          </w:p>
        </w:tc>
        <w:tc>
          <w:tcPr>
            <w:tcW w:w="1063" w:type="dxa"/>
            <w:vMerge w:val="restart"/>
            <w:tcBorders>
              <w:top w:val="nil"/>
              <w:left w:val="nil"/>
              <w:bottom w:val="single" w:sz="12" w:space="0" w:color="000000"/>
              <w:right w:val="nil"/>
            </w:tcBorders>
            <w:noWrap/>
            <w:vAlign w:val="center"/>
            <w:hideMark/>
          </w:tcPr>
          <w:p w14:paraId="311DC640"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26</w:t>
            </w:r>
          </w:p>
        </w:tc>
        <w:tc>
          <w:tcPr>
            <w:tcW w:w="833" w:type="dxa"/>
            <w:vMerge w:val="restart"/>
            <w:tcBorders>
              <w:top w:val="nil"/>
              <w:left w:val="nil"/>
              <w:bottom w:val="single" w:sz="12" w:space="0" w:color="000000"/>
              <w:right w:val="nil"/>
            </w:tcBorders>
            <w:noWrap/>
            <w:vAlign w:val="center"/>
            <w:hideMark/>
          </w:tcPr>
          <w:p w14:paraId="5E4B5B0B"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26.67±0.</w:t>
            </w:r>
            <w:r w:rsidR="00BC614F" w:rsidRPr="00EE72B8">
              <w:rPr>
                <w:rFonts w:ascii="Arial" w:hAnsi="Arial" w:cs="Arial"/>
                <w:bCs/>
                <w:iCs/>
                <w:lang w:val="fr-FR"/>
              </w:rPr>
              <w:t>16</w:t>
            </w:r>
          </w:p>
        </w:tc>
        <w:tc>
          <w:tcPr>
            <w:tcW w:w="735" w:type="dxa"/>
            <w:vMerge w:val="restart"/>
            <w:tcBorders>
              <w:top w:val="nil"/>
              <w:left w:val="nil"/>
              <w:bottom w:val="single" w:sz="12" w:space="0" w:color="000000"/>
              <w:right w:val="nil"/>
            </w:tcBorders>
            <w:noWrap/>
            <w:vAlign w:val="center"/>
            <w:hideMark/>
          </w:tcPr>
          <w:p w14:paraId="0BF08E04"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21.09±0.</w:t>
            </w:r>
            <w:r w:rsidR="00BC614F" w:rsidRPr="00EE72B8">
              <w:rPr>
                <w:rFonts w:ascii="Arial" w:hAnsi="Arial" w:cs="Arial"/>
                <w:bCs/>
                <w:iCs/>
                <w:lang w:val="fr-FR"/>
              </w:rPr>
              <w:t>25</w:t>
            </w:r>
          </w:p>
        </w:tc>
        <w:tc>
          <w:tcPr>
            <w:tcW w:w="709" w:type="dxa"/>
            <w:vMerge w:val="restart"/>
            <w:tcBorders>
              <w:top w:val="nil"/>
              <w:left w:val="nil"/>
              <w:bottom w:val="single" w:sz="12" w:space="0" w:color="000000"/>
              <w:right w:val="nil"/>
            </w:tcBorders>
            <w:noWrap/>
            <w:vAlign w:val="center"/>
            <w:hideMark/>
          </w:tcPr>
          <w:p w14:paraId="2684DAD7"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22.17±0.</w:t>
            </w:r>
            <w:r w:rsidR="00BC614F" w:rsidRPr="00EE72B8">
              <w:rPr>
                <w:rFonts w:ascii="Arial" w:hAnsi="Arial" w:cs="Arial"/>
                <w:bCs/>
                <w:iCs/>
                <w:lang w:val="fr-FR"/>
              </w:rPr>
              <w:t>07</w:t>
            </w:r>
          </w:p>
        </w:tc>
        <w:tc>
          <w:tcPr>
            <w:tcW w:w="709" w:type="dxa"/>
            <w:vMerge w:val="restart"/>
            <w:tcBorders>
              <w:top w:val="nil"/>
              <w:left w:val="nil"/>
              <w:bottom w:val="single" w:sz="12" w:space="0" w:color="000000"/>
              <w:right w:val="nil"/>
            </w:tcBorders>
            <w:vAlign w:val="center"/>
            <w:hideMark/>
          </w:tcPr>
          <w:p w14:paraId="51CC241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26.15±0.</w:t>
            </w:r>
            <w:r w:rsidR="00BC614F" w:rsidRPr="00EE72B8">
              <w:rPr>
                <w:rFonts w:ascii="Arial" w:hAnsi="Arial" w:cs="Arial"/>
                <w:bCs/>
                <w:iCs/>
                <w:lang w:val="fr-FR"/>
              </w:rPr>
              <w:t>33</w:t>
            </w:r>
          </w:p>
        </w:tc>
        <w:tc>
          <w:tcPr>
            <w:tcW w:w="1107" w:type="dxa"/>
            <w:tcBorders>
              <w:top w:val="nil"/>
              <w:left w:val="nil"/>
              <w:bottom w:val="nil"/>
              <w:right w:val="nil"/>
            </w:tcBorders>
            <w:vAlign w:val="center"/>
            <w:hideMark/>
          </w:tcPr>
          <w:p w14:paraId="1F91C38D"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25</w:t>
            </w:r>
          </w:p>
        </w:tc>
      </w:tr>
      <w:tr w:rsidR="00BC614F" w:rsidRPr="00EE72B8" w14:paraId="7DA1855F" w14:textId="77777777" w:rsidTr="00EE72B8">
        <w:trPr>
          <w:trHeight w:val="199"/>
        </w:trPr>
        <w:tc>
          <w:tcPr>
            <w:tcW w:w="1718" w:type="dxa"/>
            <w:vMerge/>
            <w:tcBorders>
              <w:top w:val="nil"/>
              <w:left w:val="nil"/>
              <w:bottom w:val="single" w:sz="12" w:space="0" w:color="auto"/>
              <w:right w:val="nil"/>
            </w:tcBorders>
            <w:vAlign w:val="center"/>
            <w:hideMark/>
          </w:tcPr>
          <w:p w14:paraId="63047926" w14:textId="77777777" w:rsidR="00BC614F" w:rsidRPr="00EE72B8" w:rsidRDefault="00BC614F" w:rsidP="00EE72B8">
            <w:pPr>
              <w:pStyle w:val="Body"/>
              <w:spacing w:after="0"/>
              <w:rPr>
                <w:rFonts w:ascii="Arial" w:hAnsi="Arial" w:cs="Arial"/>
                <w:bCs/>
                <w:iCs/>
                <w:lang w:val="fr-FR"/>
              </w:rPr>
            </w:pPr>
          </w:p>
        </w:tc>
        <w:tc>
          <w:tcPr>
            <w:tcW w:w="1063" w:type="dxa"/>
            <w:vMerge/>
            <w:tcBorders>
              <w:top w:val="nil"/>
              <w:left w:val="nil"/>
              <w:bottom w:val="single" w:sz="12" w:space="0" w:color="auto"/>
              <w:right w:val="nil"/>
            </w:tcBorders>
            <w:vAlign w:val="center"/>
            <w:hideMark/>
          </w:tcPr>
          <w:p w14:paraId="3DA89972"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nil"/>
              <w:left w:val="nil"/>
              <w:bottom w:val="single" w:sz="12" w:space="0" w:color="auto"/>
              <w:right w:val="nil"/>
            </w:tcBorders>
            <w:vAlign w:val="center"/>
            <w:hideMark/>
          </w:tcPr>
          <w:p w14:paraId="081380CF"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nil"/>
              <w:left w:val="nil"/>
              <w:bottom w:val="single" w:sz="12" w:space="0" w:color="auto"/>
              <w:right w:val="nil"/>
            </w:tcBorders>
            <w:vAlign w:val="center"/>
            <w:hideMark/>
          </w:tcPr>
          <w:p w14:paraId="6F41493B"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2" w:space="0" w:color="auto"/>
              <w:right w:val="nil"/>
            </w:tcBorders>
            <w:vAlign w:val="center"/>
            <w:hideMark/>
          </w:tcPr>
          <w:p w14:paraId="36A359F0"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2" w:space="0" w:color="auto"/>
              <w:right w:val="nil"/>
            </w:tcBorders>
            <w:vAlign w:val="center"/>
            <w:hideMark/>
          </w:tcPr>
          <w:p w14:paraId="33BE2F9E"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2" w:space="0" w:color="auto"/>
              <w:right w:val="nil"/>
            </w:tcBorders>
            <w:vAlign w:val="center"/>
            <w:hideMark/>
          </w:tcPr>
          <w:p w14:paraId="22359BAA"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18</w:t>
            </w:r>
          </w:p>
        </w:tc>
      </w:tr>
      <w:tr w:rsidR="00BC614F" w:rsidRPr="00EE72B8" w14:paraId="4290E95D" w14:textId="77777777" w:rsidTr="00EE72B8">
        <w:trPr>
          <w:trHeight w:val="192"/>
        </w:trPr>
        <w:tc>
          <w:tcPr>
            <w:tcW w:w="1718" w:type="dxa"/>
            <w:vMerge w:val="restart"/>
            <w:tcBorders>
              <w:top w:val="nil"/>
              <w:left w:val="nil"/>
              <w:bottom w:val="single" w:sz="12" w:space="0" w:color="000000"/>
              <w:right w:val="nil"/>
            </w:tcBorders>
            <w:noWrap/>
            <w:vAlign w:val="center"/>
            <w:hideMark/>
          </w:tcPr>
          <w:p w14:paraId="38868BB1"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Fluoroquinolone (Levofloxacin)</w:t>
            </w:r>
          </w:p>
        </w:tc>
        <w:tc>
          <w:tcPr>
            <w:tcW w:w="1063" w:type="dxa"/>
            <w:vMerge w:val="restart"/>
            <w:tcBorders>
              <w:top w:val="nil"/>
              <w:left w:val="nil"/>
              <w:bottom w:val="single" w:sz="12" w:space="0" w:color="000000"/>
              <w:right w:val="nil"/>
            </w:tcBorders>
            <w:noWrap/>
            <w:vAlign w:val="center"/>
            <w:hideMark/>
          </w:tcPr>
          <w:p w14:paraId="1CA9DAA6"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21</w:t>
            </w:r>
          </w:p>
        </w:tc>
        <w:tc>
          <w:tcPr>
            <w:tcW w:w="833" w:type="dxa"/>
            <w:vMerge w:val="restart"/>
            <w:tcBorders>
              <w:top w:val="nil"/>
              <w:left w:val="nil"/>
              <w:bottom w:val="single" w:sz="12" w:space="0" w:color="000000"/>
              <w:right w:val="nil"/>
            </w:tcBorders>
            <w:noWrap/>
            <w:vAlign w:val="center"/>
            <w:hideMark/>
          </w:tcPr>
          <w:p w14:paraId="3B35C183"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24.18±0.</w:t>
            </w:r>
            <w:r w:rsidR="00BC614F" w:rsidRPr="00EE72B8">
              <w:rPr>
                <w:rFonts w:ascii="Arial" w:hAnsi="Arial" w:cs="Arial"/>
                <w:bCs/>
                <w:iCs/>
                <w:lang w:val="fr-FR"/>
              </w:rPr>
              <w:t>27</w:t>
            </w:r>
          </w:p>
        </w:tc>
        <w:tc>
          <w:tcPr>
            <w:tcW w:w="735" w:type="dxa"/>
            <w:vMerge w:val="restart"/>
            <w:tcBorders>
              <w:top w:val="nil"/>
              <w:left w:val="nil"/>
              <w:bottom w:val="single" w:sz="12" w:space="0" w:color="000000"/>
              <w:right w:val="nil"/>
            </w:tcBorders>
            <w:noWrap/>
            <w:vAlign w:val="center"/>
            <w:hideMark/>
          </w:tcPr>
          <w:p w14:paraId="184D82B4"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13.39±0.</w:t>
            </w:r>
            <w:r w:rsidR="00BC614F" w:rsidRPr="00EE72B8">
              <w:rPr>
                <w:rFonts w:ascii="Arial" w:hAnsi="Arial" w:cs="Arial"/>
                <w:bCs/>
                <w:iCs/>
                <w:lang w:val="fr-FR"/>
              </w:rPr>
              <w:t>19</w:t>
            </w:r>
          </w:p>
        </w:tc>
        <w:tc>
          <w:tcPr>
            <w:tcW w:w="709" w:type="dxa"/>
            <w:vMerge w:val="restart"/>
            <w:tcBorders>
              <w:top w:val="nil"/>
              <w:left w:val="nil"/>
              <w:bottom w:val="single" w:sz="12" w:space="0" w:color="000000"/>
              <w:right w:val="nil"/>
            </w:tcBorders>
            <w:noWrap/>
            <w:vAlign w:val="center"/>
            <w:hideMark/>
          </w:tcPr>
          <w:p w14:paraId="709BEB22"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12.20±0.</w:t>
            </w:r>
            <w:r w:rsidR="00BC614F" w:rsidRPr="00EE72B8">
              <w:rPr>
                <w:rFonts w:ascii="Arial" w:hAnsi="Arial" w:cs="Arial"/>
                <w:bCs/>
                <w:iCs/>
                <w:lang w:val="fr-FR"/>
              </w:rPr>
              <w:t>26</w:t>
            </w:r>
          </w:p>
        </w:tc>
        <w:tc>
          <w:tcPr>
            <w:tcW w:w="709" w:type="dxa"/>
            <w:vMerge w:val="restart"/>
            <w:tcBorders>
              <w:top w:val="nil"/>
              <w:left w:val="nil"/>
              <w:bottom w:val="single" w:sz="12" w:space="0" w:color="000000"/>
              <w:right w:val="nil"/>
            </w:tcBorders>
            <w:vAlign w:val="center"/>
            <w:hideMark/>
          </w:tcPr>
          <w:p w14:paraId="28987CF3"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21.39±0.</w:t>
            </w:r>
            <w:r w:rsidR="00BC614F" w:rsidRPr="00EE72B8">
              <w:rPr>
                <w:rFonts w:ascii="Arial" w:hAnsi="Arial" w:cs="Arial"/>
                <w:bCs/>
                <w:iCs/>
                <w:lang w:val="fr-FR"/>
              </w:rPr>
              <w:t>12</w:t>
            </w:r>
          </w:p>
        </w:tc>
        <w:tc>
          <w:tcPr>
            <w:tcW w:w="1107" w:type="dxa"/>
            <w:tcBorders>
              <w:top w:val="nil"/>
              <w:left w:val="nil"/>
              <w:bottom w:val="nil"/>
              <w:right w:val="nil"/>
            </w:tcBorders>
            <w:vAlign w:val="center"/>
            <w:hideMark/>
          </w:tcPr>
          <w:p w14:paraId="7CFE4B05"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21</w:t>
            </w:r>
          </w:p>
        </w:tc>
      </w:tr>
      <w:tr w:rsidR="00BC614F" w:rsidRPr="00EE72B8" w14:paraId="7B644CD7" w14:textId="77777777" w:rsidTr="00EE72B8">
        <w:trPr>
          <w:trHeight w:val="199"/>
        </w:trPr>
        <w:tc>
          <w:tcPr>
            <w:tcW w:w="1718" w:type="dxa"/>
            <w:vMerge/>
            <w:tcBorders>
              <w:top w:val="nil"/>
              <w:left w:val="nil"/>
              <w:bottom w:val="single" w:sz="18" w:space="0" w:color="auto"/>
              <w:right w:val="nil"/>
            </w:tcBorders>
            <w:vAlign w:val="center"/>
            <w:hideMark/>
          </w:tcPr>
          <w:p w14:paraId="4C557A03" w14:textId="77777777" w:rsidR="00BC614F" w:rsidRPr="00EE72B8" w:rsidRDefault="00BC614F" w:rsidP="00EE72B8">
            <w:pPr>
              <w:pStyle w:val="Body"/>
              <w:spacing w:after="0"/>
              <w:rPr>
                <w:rFonts w:ascii="Arial" w:hAnsi="Arial" w:cs="Arial"/>
                <w:bCs/>
                <w:iCs/>
                <w:lang w:val="fr-FR"/>
              </w:rPr>
            </w:pPr>
          </w:p>
        </w:tc>
        <w:tc>
          <w:tcPr>
            <w:tcW w:w="1063" w:type="dxa"/>
            <w:vMerge/>
            <w:tcBorders>
              <w:top w:val="nil"/>
              <w:left w:val="nil"/>
              <w:bottom w:val="single" w:sz="18" w:space="0" w:color="auto"/>
              <w:right w:val="nil"/>
            </w:tcBorders>
            <w:vAlign w:val="center"/>
            <w:hideMark/>
          </w:tcPr>
          <w:p w14:paraId="0636AE25"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nil"/>
              <w:left w:val="nil"/>
              <w:bottom w:val="single" w:sz="18" w:space="0" w:color="auto"/>
              <w:right w:val="nil"/>
            </w:tcBorders>
            <w:vAlign w:val="center"/>
            <w:hideMark/>
          </w:tcPr>
          <w:p w14:paraId="7AC367E0"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nil"/>
              <w:left w:val="nil"/>
              <w:bottom w:val="single" w:sz="18" w:space="0" w:color="auto"/>
              <w:right w:val="nil"/>
            </w:tcBorders>
            <w:vAlign w:val="center"/>
            <w:hideMark/>
          </w:tcPr>
          <w:p w14:paraId="3575038C"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8" w:space="0" w:color="auto"/>
              <w:right w:val="nil"/>
            </w:tcBorders>
            <w:vAlign w:val="center"/>
            <w:hideMark/>
          </w:tcPr>
          <w:p w14:paraId="6515DF69"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8" w:space="0" w:color="auto"/>
              <w:right w:val="nil"/>
            </w:tcBorders>
            <w:vAlign w:val="center"/>
            <w:hideMark/>
          </w:tcPr>
          <w:p w14:paraId="132898E9"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8" w:space="0" w:color="auto"/>
              <w:right w:val="nil"/>
            </w:tcBorders>
            <w:vAlign w:val="center"/>
            <w:hideMark/>
          </w:tcPr>
          <w:p w14:paraId="177EED5A"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16</w:t>
            </w:r>
          </w:p>
        </w:tc>
      </w:tr>
    </w:tbl>
    <w:p w14:paraId="51E4C852" w14:textId="77777777" w:rsidR="00EE72B8" w:rsidRDefault="00EE72B8" w:rsidP="00EE72B8">
      <w:pPr>
        <w:pStyle w:val="Body"/>
        <w:rPr>
          <w:rFonts w:ascii="Arial" w:hAnsi="Arial" w:cs="Arial"/>
          <w:bCs/>
          <w:iCs/>
          <w:lang w:val="fr-FR"/>
        </w:rPr>
      </w:pPr>
    </w:p>
    <w:p w14:paraId="50E5C123" w14:textId="77777777" w:rsidR="00EE72B8" w:rsidRDefault="00EE72B8" w:rsidP="00EE72B8">
      <w:pPr>
        <w:pStyle w:val="Body"/>
        <w:rPr>
          <w:rFonts w:ascii="Arial" w:hAnsi="Arial" w:cs="Arial"/>
          <w:bCs/>
          <w:iCs/>
          <w:lang w:val="fr-FR"/>
        </w:rPr>
      </w:pPr>
    </w:p>
    <w:p w14:paraId="192F4345" w14:textId="77777777" w:rsidR="00EE72B8" w:rsidRDefault="00EE72B8" w:rsidP="00EE72B8">
      <w:pPr>
        <w:pStyle w:val="Body"/>
        <w:rPr>
          <w:rFonts w:ascii="Arial" w:hAnsi="Arial" w:cs="Arial"/>
          <w:bCs/>
          <w:iCs/>
          <w:lang w:val="fr-FR"/>
        </w:rPr>
      </w:pPr>
    </w:p>
    <w:p w14:paraId="45346297" w14:textId="77777777" w:rsidR="00EE72B8" w:rsidRDefault="00EE72B8" w:rsidP="00EE72B8">
      <w:pPr>
        <w:pStyle w:val="Body"/>
        <w:rPr>
          <w:rFonts w:ascii="Arial" w:hAnsi="Arial" w:cs="Arial"/>
          <w:bCs/>
          <w:iCs/>
          <w:lang w:val="fr-FR"/>
        </w:rPr>
      </w:pPr>
    </w:p>
    <w:p w14:paraId="05B7215C" w14:textId="77777777" w:rsidR="00EE72B8" w:rsidRDefault="00EE72B8" w:rsidP="00EE72B8">
      <w:pPr>
        <w:pStyle w:val="Body"/>
        <w:rPr>
          <w:rFonts w:ascii="Arial" w:hAnsi="Arial" w:cs="Arial"/>
          <w:bCs/>
          <w:iCs/>
          <w:lang w:val="fr-FR"/>
        </w:rPr>
      </w:pPr>
    </w:p>
    <w:p w14:paraId="5D878C7A" w14:textId="77777777" w:rsidR="00EE72B8" w:rsidRPr="005511C6" w:rsidRDefault="00EE72B8" w:rsidP="005511C6">
      <w:pPr>
        <w:pStyle w:val="Body"/>
        <w:spacing w:after="0"/>
        <w:rPr>
          <w:rFonts w:ascii="Arial" w:hAnsi="Arial" w:cs="Arial"/>
          <w:bCs/>
          <w:i/>
          <w:iCs/>
          <w:lang w:val="fr-FR"/>
        </w:rPr>
      </w:pPr>
    </w:p>
    <w:p w14:paraId="34251E28" w14:textId="77777777" w:rsidR="005511C6" w:rsidRPr="005511C6" w:rsidRDefault="005511C6" w:rsidP="005511C6">
      <w:pPr>
        <w:pStyle w:val="Body"/>
        <w:spacing w:after="0"/>
        <w:ind w:firstLine="720"/>
        <w:rPr>
          <w:rFonts w:ascii="Arial" w:hAnsi="Arial" w:cs="Arial"/>
          <w:bCs/>
          <w:i/>
          <w:iCs/>
          <w:lang w:val="fr-FR"/>
        </w:rPr>
      </w:pPr>
      <w:r w:rsidRPr="005511C6">
        <w:rPr>
          <w:rFonts w:ascii="Arial" w:hAnsi="Arial" w:cs="Arial"/>
          <w:bCs/>
          <w:i/>
          <w:iCs/>
          <w:sz w:val="18"/>
          <w:szCs w:val="18"/>
          <w:lang w:val="fr-FR"/>
        </w:rPr>
        <w:t>S : Susceptible ; R : Resistant</w:t>
      </w:r>
      <w:r w:rsidRPr="005511C6">
        <w:rPr>
          <w:rFonts w:ascii="Arial" w:hAnsi="Arial" w:cs="Arial"/>
          <w:bCs/>
          <w:i/>
          <w:iCs/>
          <w:lang w:val="fr-FR"/>
        </w:rPr>
        <w:t>.</w:t>
      </w:r>
    </w:p>
    <w:p w14:paraId="0F02A559" w14:textId="77777777" w:rsidR="005511C6" w:rsidRDefault="005511C6" w:rsidP="00EE72B8">
      <w:pPr>
        <w:pStyle w:val="Body"/>
        <w:rPr>
          <w:rFonts w:ascii="Arial" w:hAnsi="Arial" w:cs="Arial"/>
          <w:bCs/>
          <w:iCs/>
          <w:lang w:val="fr-FR"/>
        </w:rPr>
      </w:pPr>
    </w:p>
    <w:p w14:paraId="738DFF60" w14:textId="77777777" w:rsidR="00EE72B8" w:rsidRPr="00EE72B8" w:rsidRDefault="00EE72B8" w:rsidP="00EE72B8">
      <w:pPr>
        <w:pStyle w:val="Body"/>
        <w:rPr>
          <w:rFonts w:ascii="Arial" w:hAnsi="Arial" w:cs="Arial"/>
          <w:bCs/>
          <w:iCs/>
          <w:lang w:val="fr-FR"/>
        </w:rPr>
      </w:pPr>
      <w:r w:rsidRPr="00EE72B8">
        <w:rPr>
          <w:rFonts w:ascii="Arial" w:hAnsi="Arial" w:cs="Arial"/>
          <w:bCs/>
          <w:iCs/>
          <w:lang w:val="fr-FR"/>
        </w:rPr>
        <w:t>As for the yeast isolates from batches T</w:t>
      </w:r>
      <w:r w:rsidRPr="00EE72B8">
        <w:rPr>
          <w:rFonts w:ascii="Arial" w:hAnsi="Arial" w:cs="Arial"/>
          <w:bCs/>
          <w:iCs/>
          <w:vertAlign w:val="subscript"/>
          <w:lang w:val="fr-FR"/>
        </w:rPr>
        <w:t>2</w:t>
      </w:r>
      <w:r w:rsidRPr="00EE72B8">
        <w:rPr>
          <w:rFonts w:ascii="Arial" w:hAnsi="Arial" w:cs="Arial"/>
          <w:bCs/>
          <w:iCs/>
          <w:lang w:val="fr-FR"/>
        </w:rPr>
        <w:t>, ACP</w:t>
      </w:r>
      <w:r w:rsidRPr="00EE72B8">
        <w:rPr>
          <w:rFonts w:ascii="Arial" w:hAnsi="Arial" w:cs="Arial"/>
          <w:bCs/>
          <w:iCs/>
          <w:vertAlign w:val="subscript"/>
          <w:lang w:val="fr-FR"/>
        </w:rPr>
        <w:t>2</w:t>
      </w:r>
      <w:r w:rsidRPr="00EE72B8">
        <w:rPr>
          <w:rFonts w:ascii="Arial" w:hAnsi="Arial" w:cs="Arial"/>
          <w:bCs/>
          <w:iCs/>
          <w:lang w:val="fr-FR"/>
        </w:rPr>
        <w:t>, OME</w:t>
      </w:r>
      <w:r w:rsidRPr="00EE72B8">
        <w:rPr>
          <w:rFonts w:ascii="Arial" w:hAnsi="Arial" w:cs="Arial"/>
          <w:bCs/>
          <w:iCs/>
          <w:vertAlign w:val="subscript"/>
          <w:lang w:val="fr-FR"/>
        </w:rPr>
        <w:t>2</w:t>
      </w:r>
      <w:r w:rsidRPr="00EE72B8">
        <w:rPr>
          <w:rFonts w:ascii="Arial" w:hAnsi="Arial" w:cs="Arial"/>
          <w:bCs/>
          <w:iCs/>
          <w:lang w:val="fr-FR"/>
        </w:rPr>
        <w:t>, and GLY</w:t>
      </w:r>
      <w:r w:rsidRPr="00EE72B8">
        <w:rPr>
          <w:rFonts w:ascii="Arial" w:hAnsi="Arial" w:cs="Arial"/>
          <w:bCs/>
          <w:iCs/>
          <w:vertAlign w:val="subscript"/>
          <w:lang w:val="fr-FR"/>
        </w:rPr>
        <w:t>2</w:t>
      </w:r>
      <w:r w:rsidRPr="00EE72B8">
        <w:rPr>
          <w:rFonts w:ascii="Arial" w:hAnsi="Arial" w:cs="Arial"/>
          <w:bCs/>
          <w:iCs/>
          <w:lang w:val="fr-FR"/>
        </w:rPr>
        <w:t xml:space="preserve"> infected with </w:t>
      </w:r>
      <w:r w:rsidRPr="00EE72B8">
        <w:rPr>
          <w:rFonts w:ascii="Arial" w:hAnsi="Arial" w:cs="Arial"/>
          <w:bCs/>
          <w:i/>
          <w:iCs/>
          <w:lang w:val="fr-FR"/>
        </w:rPr>
        <w:t>Candida albicans</w:t>
      </w:r>
      <w:r w:rsidRPr="00EE72B8">
        <w:rPr>
          <w:rFonts w:ascii="Arial" w:hAnsi="Arial" w:cs="Arial"/>
          <w:bCs/>
          <w:iCs/>
          <w:lang w:val="fr-FR"/>
        </w:rPr>
        <w:t>, no resistance to standard first-line antifungals (fluconazole, itraconazole, voriconazole, and amphotericin B) was observed. Minimum inhibitory concentrations (MICs) remained constant for all batches (Table II), indicating preserved susceptibility according to the criteria of the ATB FUNGUS 3 gallery. These results suggest that exposure to toxic agents did not alter the antifungal susceptibility profile of this yeast isolate (</w:t>
      </w:r>
      <w:r w:rsidRPr="00EE72B8">
        <w:rPr>
          <w:rFonts w:ascii="Arial" w:hAnsi="Arial" w:cs="Arial"/>
          <w:bCs/>
          <w:i/>
          <w:iCs/>
          <w:lang w:val="fr-FR"/>
        </w:rPr>
        <w:t>C. albicans</w:t>
      </w:r>
      <w:r w:rsidRPr="00EE72B8">
        <w:rPr>
          <w:rFonts w:ascii="Arial" w:hAnsi="Arial" w:cs="Arial"/>
          <w:bCs/>
          <w:iCs/>
          <w:lang w:val="fr-FR"/>
        </w:rPr>
        <w:t xml:space="preserve"> 0923). </w:t>
      </w:r>
    </w:p>
    <w:p w14:paraId="298B00FC" w14:textId="77777777" w:rsidR="008E3E0C" w:rsidRPr="008E3E0C" w:rsidRDefault="008E3E0C" w:rsidP="008E3E0C">
      <w:pPr>
        <w:pStyle w:val="Body"/>
        <w:spacing w:after="0"/>
        <w:rPr>
          <w:rFonts w:ascii="Arial" w:hAnsi="Arial" w:cs="Arial"/>
          <w:b/>
          <w:bCs/>
          <w:iCs/>
          <w:lang w:val="fr-FR"/>
        </w:rPr>
      </w:pPr>
    </w:p>
    <w:p w14:paraId="54B187CE" w14:textId="77777777" w:rsidR="00C95C81" w:rsidRPr="00B63285" w:rsidRDefault="00EE72B8" w:rsidP="00441B6F">
      <w:pPr>
        <w:pStyle w:val="Body"/>
        <w:spacing w:after="0"/>
        <w:rPr>
          <w:rFonts w:ascii="Arial" w:hAnsi="Arial" w:cs="Arial"/>
          <w:b/>
          <w:bCs/>
          <w:iCs/>
          <w:lang w:val="fr-FR"/>
        </w:rPr>
      </w:pPr>
      <w:r w:rsidRPr="00EE72B8">
        <w:rPr>
          <w:rFonts w:ascii="Arial" w:hAnsi="Arial" w:cs="Arial"/>
          <w:b/>
          <w:bCs/>
          <w:iCs/>
          <w:lang w:val="fr-FR"/>
        </w:rPr>
        <w:t xml:space="preserve">Table </w:t>
      </w:r>
      <w:r>
        <w:rPr>
          <w:rFonts w:ascii="Arial" w:hAnsi="Arial" w:cs="Arial"/>
          <w:b/>
          <w:bCs/>
          <w:iCs/>
          <w:lang w:val="fr-FR"/>
        </w:rPr>
        <w:t>2</w:t>
      </w:r>
      <w:r w:rsidRPr="00EE72B8">
        <w:rPr>
          <w:rFonts w:ascii="Arial" w:hAnsi="Arial" w:cs="Arial"/>
          <w:b/>
          <w:bCs/>
          <w:iCs/>
          <w:lang w:val="fr-FR"/>
        </w:rPr>
        <w:t xml:space="preserve"> : MIC of </w:t>
      </w:r>
      <w:r w:rsidRPr="00EE72B8">
        <w:rPr>
          <w:rFonts w:ascii="Arial" w:hAnsi="Arial" w:cs="Arial"/>
          <w:b/>
          <w:bCs/>
          <w:i/>
          <w:lang w:val="fr-FR"/>
        </w:rPr>
        <w:t>Candida albicans</w:t>
      </w:r>
      <w:r w:rsidRPr="00EE72B8">
        <w:rPr>
          <w:rFonts w:ascii="Arial" w:hAnsi="Arial" w:cs="Arial"/>
          <w:b/>
          <w:bCs/>
          <w:iCs/>
          <w:lang w:val="fr-FR"/>
        </w:rPr>
        <w:t xml:space="preserve"> 0923 isolates after exposure to pollutants</w:t>
      </w:r>
    </w:p>
    <w:p w14:paraId="39B3D5E2" w14:textId="77777777" w:rsidR="00C95C81" w:rsidRDefault="00C95C81" w:rsidP="00441B6F">
      <w:pPr>
        <w:pStyle w:val="Body"/>
        <w:spacing w:after="0"/>
        <w:rPr>
          <w:rFonts w:ascii="Arial" w:hAnsi="Arial" w:cs="Arial"/>
        </w:rPr>
      </w:pPr>
    </w:p>
    <w:tbl>
      <w:tblPr>
        <w:tblpPr w:leftFromText="141" w:rightFromText="141" w:vertAnchor="text" w:tblpX="568" w:tblpY="138"/>
        <w:tblW w:w="8586" w:type="dxa"/>
        <w:tblCellMar>
          <w:left w:w="70" w:type="dxa"/>
          <w:right w:w="70" w:type="dxa"/>
        </w:tblCellMar>
        <w:tblLook w:val="04A0" w:firstRow="1" w:lastRow="0" w:firstColumn="1" w:lastColumn="0" w:noHBand="0" w:noVBand="1"/>
      </w:tblPr>
      <w:tblGrid>
        <w:gridCol w:w="1771"/>
        <w:gridCol w:w="1247"/>
        <w:gridCol w:w="752"/>
        <w:gridCol w:w="813"/>
        <w:gridCol w:w="811"/>
        <w:gridCol w:w="696"/>
        <w:gridCol w:w="696"/>
        <w:gridCol w:w="887"/>
        <w:gridCol w:w="923"/>
      </w:tblGrid>
      <w:tr w:rsidR="005511C6" w:rsidRPr="00EE72B8" w14:paraId="39B43231" w14:textId="77777777" w:rsidTr="005511C6">
        <w:trPr>
          <w:gridAfter w:val="1"/>
          <w:wAfter w:w="923" w:type="dxa"/>
          <w:trHeight w:val="470"/>
        </w:trPr>
        <w:tc>
          <w:tcPr>
            <w:tcW w:w="1771" w:type="dxa"/>
            <w:vMerge w:val="restart"/>
            <w:tcBorders>
              <w:top w:val="single" w:sz="18" w:space="0" w:color="auto"/>
              <w:left w:val="nil"/>
              <w:bottom w:val="single" w:sz="4" w:space="0" w:color="000000"/>
              <w:right w:val="nil"/>
            </w:tcBorders>
            <w:noWrap/>
            <w:vAlign w:val="center"/>
            <w:hideMark/>
          </w:tcPr>
          <w:p w14:paraId="43211618" w14:textId="77777777" w:rsidR="00EE72B8" w:rsidRPr="00EE72B8" w:rsidRDefault="00EE72B8" w:rsidP="00EE72B8">
            <w:pPr>
              <w:pStyle w:val="Body"/>
              <w:rPr>
                <w:rFonts w:ascii="Arial" w:hAnsi="Arial" w:cs="Arial"/>
                <w:b/>
                <w:bCs/>
                <w:lang w:val="fr-FR"/>
              </w:rPr>
            </w:pPr>
            <w:r w:rsidRPr="00EE72B8">
              <w:rPr>
                <w:rFonts w:ascii="Arial" w:hAnsi="Arial" w:cs="Arial"/>
                <w:b/>
                <w:bCs/>
                <w:lang w:val="fr-FR"/>
              </w:rPr>
              <w:t>Antifungal</w:t>
            </w:r>
          </w:p>
        </w:tc>
        <w:tc>
          <w:tcPr>
            <w:tcW w:w="1247" w:type="dxa"/>
            <w:vMerge w:val="restart"/>
            <w:tcBorders>
              <w:top w:val="single" w:sz="18" w:space="0" w:color="auto"/>
              <w:left w:val="nil"/>
              <w:bottom w:val="single" w:sz="4" w:space="0" w:color="000000"/>
              <w:right w:val="nil"/>
            </w:tcBorders>
            <w:noWrap/>
            <w:vAlign w:val="center"/>
            <w:hideMark/>
          </w:tcPr>
          <w:p w14:paraId="67596C23"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ATB FUNGUS 3 Norms</w:t>
            </w:r>
          </w:p>
        </w:tc>
        <w:tc>
          <w:tcPr>
            <w:tcW w:w="748" w:type="dxa"/>
            <w:vMerge w:val="restart"/>
            <w:tcBorders>
              <w:top w:val="single" w:sz="18" w:space="0" w:color="auto"/>
              <w:left w:val="nil"/>
              <w:bottom w:val="single" w:sz="4" w:space="0" w:color="000000"/>
              <w:right w:val="nil"/>
            </w:tcBorders>
            <w:noWrap/>
            <w:vAlign w:val="center"/>
            <w:hideMark/>
          </w:tcPr>
          <w:p w14:paraId="6C965740"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Initial profile (PI)</w:t>
            </w:r>
          </w:p>
        </w:tc>
        <w:tc>
          <w:tcPr>
            <w:tcW w:w="813" w:type="dxa"/>
            <w:vMerge w:val="restart"/>
            <w:tcBorders>
              <w:top w:val="single" w:sz="18" w:space="0" w:color="auto"/>
              <w:left w:val="nil"/>
              <w:bottom w:val="single" w:sz="4" w:space="0" w:color="000000"/>
              <w:right w:val="nil"/>
            </w:tcBorders>
            <w:noWrap/>
            <w:vAlign w:val="center"/>
            <w:hideMark/>
          </w:tcPr>
          <w:p w14:paraId="5E9E189A"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T</w:t>
            </w:r>
            <w:r w:rsidRPr="00EE72B8">
              <w:rPr>
                <w:rFonts w:ascii="Arial" w:hAnsi="Arial" w:cs="Arial"/>
                <w:b/>
                <w:bCs/>
                <w:vertAlign w:val="subscript"/>
                <w:lang w:val="fr-FR"/>
              </w:rPr>
              <w:t>2</w:t>
            </w:r>
          </w:p>
        </w:tc>
        <w:tc>
          <w:tcPr>
            <w:tcW w:w="811" w:type="dxa"/>
            <w:vMerge w:val="restart"/>
            <w:tcBorders>
              <w:top w:val="single" w:sz="18" w:space="0" w:color="auto"/>
              <w:left w:val="nil"/>
              <w:bottom w:val="single" w:sz="4" w:space="0" w:color="000000"/>
              <w:right w:val="nil"/>
            </w:tcBorders>
            <w:noWrap/>
            <w:vAlign w:val="center"/>
            <w:hideMark/>
          </w:tcPr>
          <w:p w14:paraId="7222AA94"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ACP</w:t>
            </w:r>
            <w:r w:rsidRPr="00EE72B8">
              <w:rPr>
                <w:rFonts w:ascii="Arial" w:hAnsi="Arial" w:cs="Arial"/>
                <w:b/>
                <w:bCs/>
                <w:vertAlign w:val="subscript"/>
                <w:lang w:val="fr-FR"/>
              </w:rPr>
              <w:t>2</w:t>
            </w:r>
          </w:p>
        </w:tc>
        <w:tc>
          <w:tcPr>
            <w:tcW w:w="693" w:type="dxa"/>
            <w:vMerge w:val="restart"/>
            <w:tcBorders>
              <w:top w:val="single" w:sz="18" w:space="0" w:color="auto"/>
              <w:left w:val="nil"/>
              <w:bottom w:val="single" w:sz="4" w:space="0" w:color="000000"/>
              <w:right w:val="nil"/>
            </w:tcBorders>
            <w:noWrap/>
            <w:vAlign w:val="center"/>
            <w:hideMark/>
          </w:tcPr>
          <w:p w14:paraId="36F6D96A"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OME</w:t>
            </w:r>
            <w:r w:rsidRPr="00EE72B8">
              <w:rPr>
                <w:rFonts w:ascii="Arial" w:hAnsi="Arial" w:cs="Arial"/>
                <w:b/>
                <w:bCs/>
                <w:vertAlign w:val="subscript"/>
                <w:lang w:val="fr-FR"/>
              </w:rPr>
              <w:t>2</w:t>
            </w:r>
          </w:p>
        </w:tc>
        <w:tc>
          <w:tcPr>
            <w:tcW w:w="693" w:type="dxa"/>
            <w:vMerge w:val="restart"/>
            <w:tcBorders>
              <w:top w:val="single" w:sz="18" w:space="0" w:color="auto"/>
              <w:left w:val="nil"/>
              <w:bottom w:val="single" w:sz="4" w:space="0" w:color="000000"/>
              <w:right w:val="nil"/>
            </w:tcBorders>
            <w:noWrap/>
            <w:vAlign w:val="center"/>
            <w:hideMark/>
          </w:tcPr>
          <w:p w14:paraId="36FF95D8"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GLY</w:t>
            </w:r>
            <w:r w:rsidRPr="00EE72B8">
              <w:rPr>
                <w:rFonts w:ascii="Arial" w:hAnsi="Arial" w:cs="Arial"/>
                <w:b/>
                <w:bCs/>
                <w:vertAlign w:val="subscript"/>
                <w:lang w:val="fr-FR"/>
              </w:rPr>
              <w:t>2</w:t>
            </w:r>
          </w:p>
        </w:tc>
        <w:tc>
          <w:tcPr>
            <w:tcW w:w="887" w:type="dxa"/>
            <w:vMerge w:val="restart"/>
            <w:tcBorders>
              <w:top w:val="single" w:sz="18" w:space="0" w:color="auto"/>
              <w:left w:val="nil"/>
              <w:bottom w:val="single" w:sz="4" w:space="0" w:color="000000"/>
              <w:right w:val="nil"/>
            </w:tcBorders>
            <w:noWrap/>
            <w:vAlign w:val="center"/>
            <w:hideMark/>
          </w:tcPr>
          <w:p w14:paraId="06244D40"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Results</w:t>
            </w:r>
          </w:p>
        </w:tc>
      </w:tr>
      <w:tr w:rsidR="005511C6" w:rsidRPr="00EE72B8" w14:paraId="7B5D44AF" w14:textId="77777777" w:rsidTr="005511C6">
        <w:trPr>
          <w:trHeight w:val="27"/>
        </w:trPr>
        <w:tc>
          <w:tcPr>
            <w:tcW w:w="1771" w:type="dxa"/>
            <w:vMerge/>
            <w:tcBorders>
              <w:top w:val="single" w:sz="4" w:space="0" w:color="auto"/>
              <w:left w:val="nil"/>
              <w:bottom w:val="single" w:sz="18" w:space="0" w:color="auto"/>
              <w:right w:val="nil"/>
            </w:tcBorders>
            <w:vAlign w:val="center"/>
            <w:hideMark/>
          </w:tcPr>
          <w:p w14:paraId="50F66681" w14:textId="77777777" w:rsidR="00EE72B8" w:rsidRPr="00EE72B8" w:rsidRDefault="00EE72B8" w:rsidP="00EE72B8">
            <w:pPr>
              <w:pStyle w:val="Body"/>
              <w:rPr>
                <w:rFonts w:ascii="Arial" w:hAnsi="Arial" w:cs="Arial"/>
                <w:b/>
                <w:bCs/>
                <w:lang w:val="fr-FR"/>
              </w:rPr>
            </w:pPr>
          </w:p>
        </w:tc>
        <w:tc>
          <w:tcPr>
            <w:tcW w:w="1247" w:type="dxa"/>
            <w:vMerge/>
            <w:tcBorders>
              <w:top w:val="single" w:sz="4" w:space="0" w:color="auto"/>
              <w:left w:val="nil"/>
              <w:bottom w:val="single" w:sz="18" w:space="0" w:color="auto"/>
              <w:right w:val="nil"/>
            </w:tcBorders>
            <w:vAlign w:val="center"/>
            <w:hideMark/>
          </w:tcPr>
          <w:p w14:paraId="17C74180" w14:textId="77777777" w:rsidR="00EE72B8" w:rsidRPr="00EE72B8" w:rsidRDefault="00EE72B8" w:rsidP="005511C6">
            <w:pPr>
              <w:pStyle w:val="Body"/>
              <w:jc w:val="center"/>
              <w:rPr>
                <w:rFonts w:ascii="Arial" w:hAnsi="Arial" w:cs="Arial"/>
                <w:b/>
                <w:bCs/>
                <w:lang w:val="fr-FR"/>
              </w:rPr>
            </w:pPr>
          </w:p>
        </w:tc>
        <w:tc>
          <w:tcPr>
            <w:tcW w:w="748" w:type="dxa"/>
            <w:vMerge/>
            <w:tcBorders>
              <w:top w:val="single" w:sz="4" w:space="0" w:color="auto"/>
              <w:left w:val="nil"/>
              <w:bottom w:val="single" w:sz="18" w:space="0" w:color="auto"/>
              <w:right w:val="nil"/>
            </w:tcBorders>
            <w:vAlign w:val="center"/>
            <w:hideMark/>
          </w:tcPr>
          <w:p w14:paraId="52288EC9" w14:textId="77777777" w:rsidR="00EE72B8" w:rsidRPr="00EE72B8" w:rsidRDefault="00EE72B8" w:rsidP="005511C6">
            <w:pPr>
              <w:pStyle w:val="Body"/>
              <w:jc w:val="center"/>
              <w:rPr>
                <w:rFonts w:ascii="Arial" w:hAnsi="Arial" w:cs="Arial"/>
                <w:b/>
                <w:bCs/>
                <w:lang w:val="fr-FR"/>
              </w:rPr>
            </w:pPr>
          </w:p>
        </w:tc>
        <w:tc>
          <w:tcPr>
            <w:tcW w:w="813" w:type="dxa"/>
            <w:vMerge/>
            <w:tcBorders>
              <w:top w:val="single" w:sz="4" w:space="0" w:color="auto"/>
              <w:left w:val="nil"/>
              <w:bottom w:val="single" w:sz="18" w:space="0" w:color="auto"/>
              <w:right w:val="nil"/>
            </w:tcBorders>
            <w:vAlign w:val="center"/>
            <w:hideMark/>
          </w:tcPr>
          <w:p w14:paraId="78FA9334" w14:textId="77777777" w:rsidR="00EE72B8" w:rsidRPr="00EE72B8" w:rsidRDefault="00EE72B8" w:rsidP="005511C6">
            <w:pPr>
              <w:pStyle w:val="Body"/>
              <w:jc w:val="center"/>
              <w:rPr>
                <w:rFonts w:ascii="Arial" w:hAnsi="Arial" w:cs="Arial"/>
                <w:b/>
                <w:bCs/>
                <w:lang w:val="fr-FR"/>
              </w:rPr>
            </w:pPr>
          </w:p>
        </w:tc>
        <w:tc>
          <w:tcPr>
            <w:tcW w:w="811" w:type="dxa"/>
            <w:vMerge/>
            <w:tcBorders>
              <w:top w:val="single" w:sz="4" w:space="0" w:color="auto"/>
              <w:left w:val="nil"/>
              <w:bottom w:val="single" w:sz="18" w:space="0" w:color="auto"/>
              <w:right w:val="nil"/>
            </w:tcBorders>
            <w:vAlign w:val="center"/>
            <w:hideMark/>
          </w:tcPr>
          <w:p w14:paraId="3FEE1818" w14:textId="77777777" w:rsidR="00EE72B8" w:rsidRPr="00EE72B8" w:rsidRDefault="00EE72B8" w:rsidP="005511C6">
            <w:pPr>
              <w:pStyle w:val="Body"/>
              <w:jc w:val="center"/>
              <w:rPr>
                <w:rFonts w:ascii="Arial" w:hAnsi="Arial" w:cs="Arial"/>
                <w:b/>
                <w:bCs/>
                <w:lang w:val="fr-FR"/>
              </w:rPr>
            </w:pPr>
          </w:p>
        </w:tc>
        <w:tc>
          <w:tcPr>
            <w:tcW w:w="693" w:type="dxa"/>
            <w:vMerge/>
            <w:tcBorders>
              <w:top w:val="single" w:sz="4" w:space="0" w:color="auto"/>
              <w:left w:val="nil"/>
              <w:bottom w:val="single" w:sz="18" w:space="0" w:color="auto"/>
              <w:right w:val="nil"/>
            </w:tcBorders>
            <w:vAlign w:val="center"/>
            <w:hideMark/>
          </w:tcPr>
          <w:p w14:paraId="2C1F2145" w14:textId="77777777" w:rsidR="00EE72B8" w:rsidRPr="00EE72B8" w:rsidRDefault="00EE72B8" w:rsidP="005511C6">
            <w:pPr>
              <w:pStyle w:val="Body"/>
              <w:jc w:val="center"/>
              <w:rPr>
                <w:rFonts w:ascii="Arial" w:hAnsi="Arial" w:cs="Arial"/>
                <w:b/>
                <w:bCs/>
                <w:lang w:val="fr-FR"/>
              </w:rPr>
            </w:pPr>
          </w:p>
        </w:tc>
        <w:tc>
          <w:tcPr>
            <w:tcW w:w="693" w:type="dxa"/>
            <w:vMerge/>
            <w:tcBorders>
              <w:top w:val="single" w:sz="4" w:space="0" w:color="auto"/>
              <w:left w:val="nil"/>
              <w:bottom w:val="single" w:sz="18" w:space="0" w:color="auto"/>
              <w:right w:val="nil"/>
            </w:tcBorders>
            <w:vAlign w:val="center"/>
            <w:hideMark/>
          </w:tcPr>
          <w:p w14:paraId="414C11A8" w14:textId="77777777" w:rsidR="00EE72B8" w:rsidRPr="00EE72B8" w:rsidRDefault="00EE72B8" w:rsidP="005511C6">
            <w:pPr>
              <w:pStyle w:val="Body"/>
              <w:jc w:val="center"/>
              <w:rPr>
                <w:rFonts w:ascii="Arial" w:hAnsi="Arial" w:cs="Arial"/>
                <w:b/>
                <w:bCs/>
                <w:lang w:val="fr-FR"/>
              </w:rPr>
            </w:pPr>
          </w:p>
        </w:tc>
        <w:tc>
          <w:tcPr>
            <w:tcW w:w="887" w:type="dxa"/>
            <w:vMerge/>
            <w:tcBorders>
              <w:top w:val="single" w:sz="4" w:space="0" w:color="auto"/>
              <w:left w:val="nil"/>
              <w:bottom w:val="single" w:sz="18" w:space="0" w:color="auto"/>
              <w:right w:val="nil"/>
            </w:tcBorders>
            <w:vAlign w:val="center"/>
            <w:hideMark/>
          </w:tcPr>
          <w:p w14:paraId="1E4E3FB6" w14:textId="77777777" w:rsidR="00EE72B8" w:rsidRPr="00EE72B8" w:rsidRDefault="00EE72B8" w:rsidP="005511C6">
            <w:pPr>
              <w:pStyle w:val="Body"/>
              <w:jc w:val="center"/>
              <w:rPr>
                <w:rFonts w:ascii="Arial" w:hAnsi="Arial" w:cs="Arial"/>
                <w:b/>
                <w:bCs/>
                <w:lang w:val="fr-FR"/>
              </w:rPr>
            </w:pPr>
          </w:p>
        </w:tc>
        <w:tc>
          <w:tcPr>
            <w:tcW w:w="923" w:type="dxa"/>
            <w:tcBorders>
              <w:top w:val="nil"/>
              <w:left w:val="nil"/>
              <w:bottom w:val="nil"/>
              <w:right w:val="nil"/>
            </w:tcBorders>
            <w:noWrap/>
            <w:vAlign w:val="bottom"/>
            <w:hideMark/>
          </w:tcPr>
          <w:p w14:paraId="3AEEEF40" w14:textId="77777777" w:rsidR="00EE72B8" w:rsidRPr="00EE72B8" w:rsidRDefault="00EE72B8" w:rsidP="00EE72B8">
            <w:pPr>
              <w:pStyle w:val="Body"/>
              <w:rPr>
                <w:rFonts w:ascii="Arial" w:hAnsi="Arial" w:cs="Arial"/>
                <w:b/>
                <w:bCs/>
                <w:lang w:val="fr-FR"/>
              </w:rPr>
            </w:pPr>
          </w:p>
        </w:tc>
      </w:tr>
      <w:tr w:rsidR="005511C6" w:rsidRPr="00EE72B8" w14:paraId="49CEF11E" w14:textId="77777777" w:rsidTr="005511C6">
        <w:trPr>
          <w:trHeight w:val="137"/>
        </w:trPr>
        <w:tc>
          <w:tcPr>
            <w:tcW w:w="1771" w:type="dxa"/>
            <w:vMerge w:val="restart"/>
            <w:tcBorders>
              <w:top w:val="single" w:sz="18" w:space="0" w:color="auto"/>
              <w:left w:val="nil"/>
              <w:bottom w:val="single" w:sz="8" w:space="0" w:color="7F7F7F"/>
              <w:right w:val="nil"/>
            </w:tcBorders>
            <w:noWrap/>
            <w:vAlign w:val="center"/>
            <w:hideMark/>
          </w:tcPr>
          <w:p w14:paraId="4420F6FE"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Fluconazole</w:t>
            </w:r>
            <w:r w:rsidRPr="00EE72B8">
              <w:rPr>
                <w:rFonts w:ascii="Arial" w:hAnsi="Arial" w:cs="Arial"/>
                <w:lang w:val="fr-FR"/>
              </w:rPr>
              <w:t xml:space="preserve"> (FCA)</w:t>
            </w:r>
          </w:p>
        </w:tc>
        <w:tc>
          <w:tcPr>
            <w:tcW w:w="1247" w:type="dxa"/>
            <w:tcBorders>
              <w:top w:val="single" w:sz="18" w:space="0" w:color="auto"/>
              <w:left w:val="nil"/>
              <w:bottom w:val="nil"/>
              <w:right w:val="nil"/>
            </w:tcBorders>
            <w:noWrap/>
            <w:vAlign w:val="center"/>
            <w:hideMark/>
          </w:tcPr>
          <w:p w14:paraId="3FB04D35"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8 mg/L</w:t>
            </w:r>
          </w:p>
        </w:tc>
        <w:tc>
          <w:tcPr>
            <w:tcW w:w="748" w:type="dxa"/>
            <w:vMerge w:val="restart"/>
            <w:tcBorders>
              <w:top w:val="single" w:sz="18" w:space="0" w:color="auto"/>
              <w:left w:val="nil"/>
              <w:bottom w:val="single" w:sz="8" w:space="0" w:color="7F7F7F"/>
              <w:right w:val="nil"/>
            </w:tcBorders>
            <w:noWrap/>
            <w:vAlign w:val="center"/>
            <w:hideMark/>
          </w:tcPr>
          <w:p w14:paraId="698EC969"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13" w:type="dxa"/>
            <w:vMerge w:val="restart"/>
            <w:tcBorders>
              <w:top w:val="single" w:sz="18" w:space="0" w:color="auto"/>
              <w:left w:val="nil"/>
              <w:bottom w:val="single" w:sz="8" w:space="0" w:color="7F7F7F"/>
              <w:right w:val="nil"/>
            </w:tcBorders>
            <w:noWrap/>
            <w:vAlign w:val="center"/>
            <w:hideMark/>
          </w:tcPr>
          <w:p w14:paraId="25D1B536"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11" w:type="dxa"/>
            <w:vMerge w:val="restart"/>
            <w:tcBorders>
              <w:top w:val="single" w:sz="18" w:space="0" w:color="auto"/>
              <w:left w:val="nil"/>
              <w:bottom w:val="single" w:sz="8" w:space="0" w:color="7F7F7F"/>
              <w:right w:val="nil"/>
            </w:tcBorders>
            <w:noWrap/>
            <w:vAlign w:val="center"/>
            <w:hideMark/>
          </w:tcPr>
          <w:p w14:paraId="792199F4"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693" w:type="dxa"/>
            <w:vMerge w:val="restart"/>
            <w:tcBorders>
              <w:top w:val="single" w:sz="18" w:space="0" w:color="auto"/>
              <w:left w:val="nil"/>
              <w:bottom w:val="single" w:sz="8" w:space="0" w:color="7F7F7F"/>
              <w:right w:val="nil"/>
            </w:tcBorders>
            <w:noWrap/>
            <w:vAlign w:val="center"/>
            <w:hideMark/>
          </w:tcPr>
          <w:p w14:paraId="191C0E7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693" w:type="dxa"/>
            <w:vMerge w:val="restart"/>
            <w:tcBorders>
              <w:top w:val="single" w:sz="18" w:space="0" w:color="auto"/>
              <w:left w:val="nil"/>
              <w:bottom w:val="single" w:sz="8" w:space="0" w:color="7F7F7F"/>
              <w:right w:val="nil"/>
            </w:tcBorders>
            <w:noWrap/>
            <w:vAlign w:val="center"/>
            <w:hideMark/>
          </w:tcPr>
          <w:p w14:paraId="6463C990"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87" w:type="dxa"/>
            <w:vMerge w:val="restart"/>
            <w:tcBorders>
              <w:top w:val="single" w:sz="18" w:space="0" w:color="auto"/>
              <w:left w:val="nil"/>
              <w:bottom w:val="single" w:sz="4" w:space="0" w:color="000000"/>
              <w:right w:val="nil"/>
            </w:tcBorders>
            <w:noWrap/>
            <w:vAlign w:val="center"/>
            <w:hideMark/>
          </w:tcPr>
          <w:p w14:paraId="63388D73"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0B976373" w14:textId="77777777" w:rsidR="00EE72B8" w:rsidRPr="00EE72B8" w:rsidRDefault="00EE72B8" w:rsidP="00EE72B8">
            <w:pPr>
              <w:pStyle w:val="Body"/>
              <w:spacing w:after="0"/>
              <w:rPr>
                <w:rFonts w:ascii="Arial" w:hAnsi="Arial" w:cs="Arial"/>
                <w:lang w:val="fr-FR"/>
              </w:rPr>
            </w:pPr>
          </w:p>
        </w:tc>
      </w:tr>
      <w:tr w:rsidR="005511C6" w:rsidRPr="00EE72B8" w14:paraId="68BCD863" w14:textId="77777777" w:rsidTr="005511C6">
        <w:trPr>
          <w:trHeight w:val="110"/>
        </w:trPr>
        <w:tc>
          <w:tcPr>
            <w:tcW w:w="1771" w:type="dxa"/>
            <w:vMerge/>
            <w:tcBorders>
              <w:top w:val="nil"/>
              <w:left w:val="nil"/>
              <w:bottom w:val="single" w:sz="8" w:space="0" w:color="7F7F7F"/>
              <w:right w:val="nil"/>
            </w:tcBorders>
            <w:vAlign w:val="center"/>
            <w:hideMark/>
          </w:tcPr>
          <w:p w14:paraId="2304EA89"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single" w:sz="8" w:space="0" w:color="7F7F7F"/>
              <w:right w:val="nil"/>
            </w:tcBorders>
            <w:noWrap/>
            <w:vAlign w:val="center"/>
            <w:hideMark/>
          </w:tcPr>
          <w:p w14:paraId="0EA64D0F"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64 mg/L</w:t>
            </w:r>
          </w:p>
        </w:tc>
        <w:tc>
          <w:tcPr>
            <w:tcW w:w="748" w:type="dxa"/>
            <w:vMerge/>
            <w:tcBorders>
              <w:top w:val="nil"/>
              <w:left w:val="nil"/>
              <w:bottom w:val="single" w:sz="8" w:space="0" w:color="7F7F7F"/>
              <w:right w:val="nil"/>
            </w:tcBorders>
            <w:vAlign w:val="center"/>
            <w:hideMark/>
          </w:tcPr>
          <w:p w14:paraId="1CE6F046"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629C6D44"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2618C09E"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1EA22AFE"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4E581196" w14:textId="77777777" w:rsidR="00EE72B8" w:rsidRPr="00EE72B8" w:rsidRDefault="00EE72B8" w:rsidP="005511C6">
            <w:pPr>
              <w:pStyle w:val="Body"/>
              <w:spacing w:after="0"/>
              <w:jc w:val="center"/>
              <w:rPr>
                <w:rFonts w:ascii="Arial" w:hAnsi="Arial" w:cs="Arial"/>
                <w:lang w:val="fr-FR"/>
              </w:rPr>
            </w:pPr>
          </w:p>
        </w:tc>
        <w:tc>
          <w:tcPr>
            <w:tcW w:w="887" w:type="dxa"/>
            <w:vMerge/>
            <w:tcBorders>
              <w:top w:val="nil"/>
              <w:left w:val="nil"/>
              <w:bottom w:val="single" w:sz="4" w:space="0" w:color="000000"/>
              <w:right w:val="nil"/>
            </w:tcBorders>
            <w:vAlign w:val="center"/>
            <w:hideMark/>
          </w:tcPr>
          <w:p w14:paraId="23A793FE"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6EE52B59" w14:textId="77777777" w:rsidR="00EE72B8" w:rsidRPr="00EE72B8" w:rsidRDefault="00EE72B8" w:rsidP="00EE72B8">
            <w:pPr>
              <w:pStyle w:val="Body"/>
              <w:spacing w:after="0"/>
              <w:rPr>
                <w:rFonts w:ascii="Arial" w:hAnsi="Arial" w:cs="Arial"/>
                <w:lang w:val="fr-FR"/>
              </w:rPr>
            </w:pPr>
          </w:p>
        </w:tc>
      </w:tr>
      <w:tr w:rsidR="005511C6" w:rsidRPr="00EE72B8" w14:paraId="24DF3BF6" w14:textId="77777777" w:rsidTr="005511C6">
        <w:trPr>
          <w:trHeight w:val="137"/>
        </w:trPr>
        <w:tc>
          <w:tcPr>
            <w:tcW w:w="1771" w:type="dxa"/>
            <w:vMerge w:val="restart"/>
            <w:tcBorders>
              <w:top w:val="nil"/>
              <w:left w:val="nil"/>
              <w:bottom w:val="single" w:sz="8" w:space="0" w:color="7F7F7F"/>
              <w:right w:val="nil"/>
            </w:tcBorders>
            <w:noWrap/>
            <w:vAlign w:val="center"/>
            <w:hideMark/>
          </w:tcPr>
          <w:p w14:paraId="2FC62CE6"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 xml:space="preserve">Itraconazole </w:t>
            </w:r>
            <w:r w:rsidRPr="00EE72B8">
              <w:rPr>
                <w:rFonts w:ascii="Arial" w:hAnsi="Arial" w:cs="Arial"/>
                <w:lang w:val="fr-FR"/>
              </w:rPr>
              <w:t>(ITR)</w:t>
            </w:r>
          </w:p>
        </w:tc>
        <w:tc>
          <w:tcPr>
            <w:tcW w:w="1247" w:type="dxa"/>
            <w:tcBorders>
              <w:top w:val="nil"/>
              <w:left w:val="nil"/>
              <w:bottom w:val="nil"/>
              <w:right w:val="nil"/>
            </w:tcBorders>
            <w:noWrap/>
            <w:vAlign w:val="center"/>
            <w:hideMark/>
          </w:tcPr>
          <w:p w14:paraId="60B552B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S ≤ 0.</w:t>
            </w:r>
            <w:r w:rsidRPr="00EE72B8">
              <w:rPr>
                <w:rFonts w:ascii="Arial" w:hAnsi="Arial" w:cs="Arial"/>
                <w:lang w:val="fr-FR"/>
              </w:rPr>
              <w:t>12 mg/L</w:t>
            </w:r>
          </w:p>
        </w:tc>
        <w:tc>
          <w:tcPr>
            <w:tcW w:w="748" w:type="dxa"/>
            <w:vMerge w:val="restart"/>
            <w:tcBorders>
              <w:top w:val="nil"/>
              <w:left w:val="nil"/>
              <w:bottom w:val="single" w:sz="8" w:space="0" w:color="7F7F7F"/>
              <w:right w:val="nil"/>
            </w:tcBorders>
            <w:noWrap/>
            <w:vAlign w:val="center"/>
            <w:hideMark/>
          </w:tcPr>
          <w:p w14:paraId="2733042F"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13" w:type="dxa"/>
            <w:vMerge w:val="restart"/>
            <w:tcBorders>
              <w:top w:val="nil"/>
              <w:left w:val="nil"/>
              <w:bottom w:val="single" w:sz="8" w:space="0" w:color="7F7F7F"/>
              <w:right w:val="nil"/>
            </w:tcBorders>
            <w:noWrap/>
            <w:vAlign w:val="center"/>
            <w:hideMark/>
          </w:tcPr>
          <w:p w14:paraId="6B344069"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11" w:type="dxa"/>
            <w:vMerge w:val="restart"/>
            <w:tcBorders>
              <w:top w:val="nil"/>
              <w:left w:val="nil"/>
              <w:bottom w:val="single" w:sz="8" w:space="0" w:color="7F7F7F"/>
              <w:right w:val="nil"/>
            </w:tcBorders>
            <w:noWrap/>
            <w:vAlign w:val="center"/>
            <w:hideMark/>
          </w:tcPr>
          <w:p w14:paraId="4E97E4F8"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693" w:type="dxa"/>
            <w:vMerge w:val="restart"/>
            <w:tcBorders>
              <w:top w:val="nil"/>
              <w:left w:val="nil"/>
              <w:bottom w:val="single" w:sz="8" w:space="0" w:color="7F7F7F"/>
              <w:right w:val="nil"/>
            </w:tcBorders>
            <w:noWrap/>
            <w:vAlign w:val="center"/>
            <w:hideMark/>
          </w:tcPr>
          <w:p w14:paraId="3437DC6E"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693" w:type="dxa"/>
            <w:vMerge w:val="restart"/>
            <w:tcBorders>
              <w:top w:val="nil"/>
              <w:left w:val="nil"/>
              <w:bottom w:val="single" w:sz="8" w:space="0" w:color="7F7F7F"/>
              <w:right w:val="nil"/>
            </w:tcBorders>
            <w:noWrap/>
            <w:vAlign w:val="center"/>
            <w:hideMark/>
          </w:tcPr>
          <w:p w14:paraId="5E1035BC"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87" w:type="dxa"/>
            <w:vMerge w:val="restart"/>
            <w:tcBorders>
              <w:top w:val="nil"/>
              <w:left w:val="nil"/>
              <w:bottom w:val="nil"/>
              <w:right w:val="nil"/>
            </w:tcBorders>
            <w:noWrap/>
            <w:vAlign w:val="center"/>
            <w:hideMark/>
          </w:tcPr>
          <w:p w14:paraId="2EEA5BF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6FD6F76E" w14:textId="77777777" w:rsidR="00EE72B8" w:rsidRPr="00EE72B8" w:rsidRDefault="00EE72B8" w:rsidP="00EE72B8">
            <w:pPr>
              <w:pStyle w:val="Body"/>
              <w:spacing w:after="0"/>
              <w:rPr>
                <w:rFonts w:ascii="Arial" w:hAnsi="Arial" w:cs="Arial"/>
                <w:lang w:val="fr-FR"/>
              </w:rPr>
            </w:pPr>
          </w:p>
        </w:tc>
      </w:tr>
      <w:tr w:rsidR="005511C6" w:rsidRPr="00EE72B8" w14:paraId="152FD5EF" w14:textId="77777777" w:rsidTr="005511C6">
        <w:trPr>
          <w:trHeight w:val="23"/>
        </w:trPr>
        <w:tc>
          <w:tcPr>
            <w:tcW w:w="1771" w:type="dxa"/>
            <w:vMerge/>
            <w:tcBorders>
              <w:top w:val="nil"/>
              <w:left w:val="nil"/>
              <w:bottom w:val="single" w:sz="8" w:space="0" w:color="7F7F7F"/>
              <w:right w:val="nil"/>
            </w:tcBorders>
            <w:vAlign w:val="center"/>
            <w:hideMark/>
          </w:tcPr>
          <w:p w14:paraId="230C0FBB"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nil"/>
              <w:right w:val="nil"/>
            </w:tcBorders>
            <w:noWrap/>
            <w:vAlign w:val="center"/>
            <w:hideMark/>
          </w:tcPr>
          <w:p w14:paraId="20C437BA"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1 mg/L</w:t>
            </w:r>
          </w:p>
        </w:tc>
        <w:tc>
          <w:tcPr>
            <w:tcW w:w="748" w:type="dxa"/>
            <w:vMerge/>
            <w:tcBorders>
              <w:top w:val="nil"/>
              <w:left w:val="nil"/>
              <w:bottom w:val="single" w:sz="8" w:space="0" w:color="7F7F7F"/>
              <w:right w:val="nil"/>
            </w:tcBorders>
            <w:vAlign w:val="center"/>
            <w:hideMark/>
          </w:tcPr>
          <w:p w14:paraId="229A964A"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1F8465CF"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35427045"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50D9D823"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5045A515" w14:textId="77777777" w:rsidR="00EE72B8" w:rsidRPr="00EE72B8" w:rsidRDefault="00EE72B8" w:rsidP="005511C6">
            <w:pPr>
              <w:pStyle w:val="Body"/>
              <w:spacing w:after="0"/>
              <w:jc w:val="center"/>
              <w:rPr>
                <w:rFonts w:ascii="Arial" w:hAnsi="Arial" w:cs="Arial"/>
                <w:lang w:val="fr-FR"/>
              </w:rPr>
            </w:pPr>
          </w:p>
        </w:tc>
        <w:tc>
          <w:tcPr>
            <w:tcW w:w="887" w:type="dxa"/>
            <w:vMerge/>
            <w:tcBorders>
              <w:top w:val="nil"/>
              <w:left w:val="nil"/>
              <w:bottom w:val="nil"/>
              <w:right w:val="nil"/>
            </w:tcBorders>
            <w:vAlign w:val="center"/>
            <w:hideMark/>
          </w:tcPr>
          <w:p w14:paraId="1ADB05D3"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5F7B3868" w14:textId="77777777" w:rsidR="00EE72B8" w:rsidRPr="00EE72B8" w:rsidRDefault="00EE72B8" w:rsidP="00EE72B8">
            <w:pPr>
              <w:pStyle w:val="Body"/>
              <w:spacing w:after="0"/>
              <w:rPr>
                <w:rFonts w:ascii="Arial" w:hAnsi="Arial" w:cs="Arial"/>
                <w:lang w:val="fr-FR"/>
              </w:rPr>
            </w:pPr>
          </w:p>
        </w:tc>
      </w:tr>
      <w:tr w:rsidR="005511C6" w:rsidRPr="00EE72B8" w14:paraId="566F8039" w14:textId="77777777" w:rsidTr="005511C6">
        <w:trPr>
          <w:trHeight w:val="137"/>
        </w:trPr>
        <w:tc>
          <w:tcPr>
            <w:tcW w:w="1771" w:type="dxa"/>
            <w:vMerge w:val="restart"/>
            <w:tcBorders>
              <w:top w:val="nil"/>
              <w:left w:val="nil"/>
              <w:bottom w:val="single" w:sz="8" w:space="0" w:color="7F7F7F"/>
              <w:right w:val="nil"/>
            </w:tcBorders>
            <w:noWrap/>
            <w:vAlign w:val="center"/>
            <w:hideMark/>
          </w:tcPr>
          <w:p w14:paraId="672EF7BB"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Voriconazole</w:t>
            </w:r>
            <w:r w:rsidRPr="00EE72B8">
              <w:rPr>
                <w:rFonts w:ascii="Arial" w:hAnsi="Arial" w:cs="Arial"/>
                <w:lang w:val="fr-FR"/>
              </w:rPr>
              <w:t xml:space="preserve"> (VRC)</w:t>
            </w:r>
          </w:p>
        </w:tc>
        <w:tc>
          <w:tcPr>
            <w:tcW w:w="1247" w:type="dxa"/>
            <w:tcBorders>
              <w:top w:val="single" w:sz="8" w:space="0" w:color="7F7F7F"/>
              <w:left w:val="nil"/>
              <w:bottom w:val="nil"/>
              <w:right w:val="nil"/>
            </w:tcBorders>
            <w:noWrap/>
            <w:vAlign w:val="center"/>
            <w:hideMark/>
          </w:tcPr>
          <w:p w14:paraId="0FE2ACD5"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1 mg/L</w:t>
            </w:r>
          </w:p>
        </w:tc>
        <w:tc>
          <w:tcPr>
            <w:tcW w:w="748" w:type="dxa"/>
            <w:vMerge w:val="restart"/>
            <w:tcBorders>
              <w:top w:val="nil"/>
              <w:left w:val="nil"/>
              <w:bottom w:val="single" w:sz="8" w:space="0" w:color="7F7F7F"/>
              <w:right w:val="nil"/>
            </w:tcBorders>
            <w:noWrap/>
            <w:vAlign w:val="center"/>
            <w:hideMark/>
          </w:tcPr>
          <w:p w14:paraId="060D3070"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13" w:type="dxa"/>
            <w:vMerge w:val="restart"/>
            <w:tcBorders>
              <w:top w:val="nil"/>
              <w:left w:val="nil"/>
              <w:bottom w:val="single" w:sz="8" w:space="0" w:color="7F7F7F"/>
              <w:right w:val="nil"/>
            </w:tcBorders>
            <w:noWrap/>
            <w:vAlign w:val="center"/>
            <w:hideMark/>
          </w:tcPr>
          <w:p w14:paraId="4307EFFC"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11" w:type="dxa"/>
            <w:vMerge w:val="restart"/>
            <w:tcBorders>
              <w:top w:val="nil"/>
              <w:left w:val="nil"/>
              <w:bottom w:val="single" w:sz="8" w:space="0" w:color="7F7F7F"/>
              <w:right w:val="nil"/>
            </w:tcBorders>
            <w:noWrap/>
            <w:vAlign w:val="center"/>
            <w:hideMark/>
          </w:tcPr>
          <w:p w14:paraId="228E725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693" w:type="dxa"/>
            <w:vMerge w:val="restart"/>
            <w:tcBorders>
              <w:top w:val="nil"/>
              <w:left w:val="nil"/>
              <w:bottom w:val="single" w:sz="8" w:space="0" w:color="7F7F7F"/>
              <w:right w:val="nil"/>
            </w:tcBorders>
            <w:noWrap/>
            <w:vAlign w:val="center"/>
            <w:hideMark/>
          </w:tcPr>
          <w:p w14:paraId="4DC5144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693" w:type="dxa"/>
            <w:vMerge w:val="restart"/>
            <w:tcBorders>
              <w:top w:val="nil"/>
              <w:left w:val="nil"/>
              <w:bottom w:val="single" w:sz="8" w:space="0" w:color="7F7F7F"/>
              <w:right w:val="nil"/>
            </w:tcBorders>
            <w:noWrap/>
            <w:vAlign w:val="center"/>
            <w:hideMark/>
          </w:tcPr>
          <w:p w14:paraId="1CA7A2C4"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87" w:type="dxa"/>
            <w:vMerge w:val="restart"/>
            <w:tcBorders>
              <w:top w:val="single" w:sz="4" w:space="0" w:color="auto"/>
              <w:left w:val="nil"/>
              <w:bottom w:val="single" w:sz="4" w:space="0" w:color="000000"/>
              <w:right w:val="nil"/>
            </w:tcBorders>
            <w:noWrap/>
            <w:vAlign w:val="center"/>
            <w:hideMark/>
          </w:tcPr>
          <w:p w14:paraId="661BEACE"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580BC41D" w14:textId="77777777" w:rsidR="00EE72B8" w:rsidRPr="00EE72B8" w:rsidRDefault="00EE72B8" w:rsidP="00EE72B8">
            <w:pPr>
              <w:pStyle w:val="Body"/>
              <w:spacing w:after="0"/>
              <w:rPr>
                <w:rFonts w:ascii="Arial" w:hAnsi="Arial" w:cs="Arial"/>
                <w:lang w:val="fr-FR"/>
              </w:rPr>
            </w:pPr>
          </w:p>
        </w:tc>
      </w:tr>
      <w:tr w:rsidR="005511C6" w:rsidRPr="00EE72B8" w14:paraId="525532B3" w14:textId="77777777" w:rsidTr="005511C6">
        <w:trPr>
          <w:trHeight w:val="79"/>
        </w:trPr>
        <w:tc>
          <w:tcPr>
            <w:tcW w:w="1771" w:type="dxa"/>
            <w:vMerge/>
            <w:tcBorders>
              <w:top w:val="nil"/>
              <w:left w:val="nil"/>
              <w:bottom w:val="single" w:sz="8" w:space="0" w:color="7F7F7F"/>
              <w:right w:val="nil"/>
            </w:tcBorders>
            <w:vAlign w:val="center"/>
            <w:hideMark/>
          </w:tcPr>
          <w:p w14:paraId="0E96F5EF"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single" w:sz="8" w:space="0" w:color="7F7F7F"/>
              <w:right w:val="nil"/>
            </w:tcBorders>
            <w:noWrap/>
            <w:vAlign w:val="center"/>
            <w:hideMark/>
          </w:tcPr>
          <w:p w14:paraId="50658287"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4 mg/L</w:t>
            </w:r>
          </w:p>
        </w:tc>
        <w:tc>
          <w:tcPr>
            <w:tcW w:w="748" w:type="dxa"/>
            <w:vMerge/>
            <w:tcBorders>
              <w:top w:val="nil"/>
              <w:left w:val="nil"/>
              <w:bottom w:val="single" w:sz="8" w:space="0" w:color="7F7F7F"/>
              <w:right w:val="nil"/>
            </w:tcBorders>
            <w:vAlign w:val="center"/>
            <w:hideMark/>
          </w:tcPr>
          <w:p w14:paraId="614D516E"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6E39C160"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38BC669A"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2EB8FCFC"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09CE1DA0" w14:textId="77777777" w:rsidR="00EE72B8" w:rsidRPr="00EE72B8" w:rsidRDefault="00EE72B8" w:rsidP="005511C6">
            <w:pPr>
              <w:pStyle w:val="Body"/>
              <w:spacing w:after="0"/>
              <w:jc w:val="center"/>
              <w:rPr>
                <w:rFonts w:ascii="Arial" w:hAnsi="Arial" w:cs="Arial"/>
                <w:lang w:val="fr-FR"/>
              </w:rPr>
            </w:pPr>
          </w:p>
        </w:tc>
        <w:tc>
          <w:tcPr>
            <w:tcW w:w="887" w:type="dxa"/>
            <w:vMerge/>
            <w:tcBorders>
              <w:top w:val="single" w:sz="4" w:space="0" w:color="auto"/>
              <w:left w:val="nil"/>
              <w:bottom w:val="single" w:sz="4" w:space="0" w:color="000000"/>
              <w:right w:val="nil"/>
            </w:tcBorders>
            <w:vAlign w:val="center"/>
            <w:hideMark/>
          </w:tcPr>
          <w:p w14:paraId="435340F1"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6BEF31C5" w14:textId="77777777" w:rsidR="00EE72B8" w:rsidRPr="00EE72B8" w:rsidRDefault="00EE72B8" w:rsidP="00EE72B8">
            <w:pPr>
              <w:pStyle w:val="Body"/>
              <w:spacing w:after="0"/>
              <w:rPr>
                <w:rFonts w:ascii="Arial" w:hAnsi="Arial" w:cs="Arial"/>
                <w:lang w:val="fr-FR"/>
              </w:rPr>
            </w:pPr>
          </w:p>
        </w:tc>
      </w:tr>
      <w:tr w:rsidR="005511C6" w:rsidRPr="00EE72B8" w14:paraId="61D555BA" w14:textId="77777777" w:rsidTr="005511C6">
        <w:trPr>
          <w:trHeight w:val="137"/>
        </w:trPr>
        <w:tc>
          <w:tcPr>
            <w:tcW w:w="1771" w:type="dxa"/>
            <w:vMerge w:val="restart"/>
            <w:tcBorders>
              <w:top w:val="nil"/>
              <w:left w:val="nil"/>
              <w:bottom w:val="single" w:sz="12" w:space="0" w:color="000000"/>
              <w:right w:val="nil"/>
            </w:tcBorders>
            <w:noWrap/>
            <w:vAlign w:val="center"/>
            <w:hideMark/>
          </w:tcPr>
          <w:p w14:paraId="2986D8AB"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Amphotéricine</w:t>
            </w:r>
            <w:r w:rsidRPr="00EE72B8">
              <w:rPr>
                <w:rFonts w:ascii="Arial" w:hAnsi="Arial" w:cs="Arial"/>
                <w:lang w:val="fr-FR"/>
              </w:rPr>
              <w:t xml:space="preserve"> B (AMB)</w:t>
            </w:r>
          </w:p>
        </w:tc>
        <w:tc>
          <w:tcPr>
            <w:tcW w:w="1247" w:type="dxa"/>
            <w:tcBorders>
              <w:top w:val="nil"/>
              <w:left w:val="nil"/>
              <w:bottom w:val="nil"/>
              <w:right w:val="nil"/>
            </w:tcBorders>
            <w:noWrap/>
            <w:vAlign w:val="center"/>
            <w:hideMark/>
          </w:tcPr>
          <w:p w14:paraId="3532D13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mg/L</w:t>
            </w:r>
          </w:p>
        </w:tc>
        <w:tc>
          <w:tcPr>
            <w:tcW w:w="748" w:type="dxa"/>
            <w:vMerge w:val="restart"/>
            <w:tcBorders>
              <w:top w:val="nil"/>
              <w:left w:val="nil"/>
              <w:bottom w:val="single" w:sz="12" w:space="0" w:color="000000"/>
              <w:right w:val="nil"/>
            </w:tcBorders>
            <w:noWrap/>
            <w:vAlign w:val="center"/>
            <w:hideMark/>
          </w:tcPr>
          <w:p w14:paraId="7991148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13" w:type="dxa"/>
            <w:vMerge w:val="restart"/>
            <w:tcBorders>
              <w:top w:val="nil"/>
              <w:left w:val="nil"/>
              <w:bottom w:val="single" w:sz="12" w:space="0" w:color="000000"/>
              <w:right w:val="nil"/>
            </w:tcBorders>
            <w:noWrap/>
            <w:vAlign w:val="center"/>
            <w:hideMark/>
          </w:tcPr>
          <w:p w14:paraId="4DCE62C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11" w:type="dxa"/>
            <w:vMerge w:val="restart"/>
            <w:tcBorders>
              <w:top w:val="nil"/>
              <w:left w:val="nil"/>
              <w:bottom w:val="single" w:sz="12" w:space="0" w:color="000000"/>
              <w:right w:val="nil"/>
            </w:tcBorders>
            <w:noWrap/>
            <w:vAlign w:val="center"/>
            <w:hideMark/>
          </w:tcPr>
          <w:p w14:paraId="01B13CC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693" w:type="dxa"/>
            <w:vMerge w:val="restart"/>
            <w:tcBorders>
              <w:top w:val="nil"/>
              <w:left w:val="nil"/>
              <w:bottom w:val="single" w:sz="12" w:space="0" w:color="000000"/>
              <w:right w:val="nil"/>
            </w:tcBorders>
            <w:noWrap/>
            <w:vAlign w:val="center"/>
            <w:hideMark/>
          </w:tcPr>
          <w:p w14:paraId="07762E49"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693" w:type="dxa"/>
            <w:vMerge w:val="restart"/>
            <w:tcBorders>
              <w:top w:val="nil"/>
              <w:left w:val="nil"/>
              <w:bottom w:val="single" w:sz="12" w:space="0" w:color="000000"/>
              <w:right w:val="nil"/>
            </w:tcBorders>
            <w:noWrap/>
            <w:vAlign w:val="center"/>
            <w:hideMark/>
          </w:tcPr>
          <w:p w14:paraId="5BDA67A2"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87" w:type="dxa"/>
            <w:vMerge w:val="restart"/>
            <w:tcBorders>
              <w:top w:val="nil"/>
              <w:left w:val="nil"/>
              <w:bottom w:val="single" w:sz="4" w:space="0" w:color="000000"/>
              <w:right w:val="nil"/>
            </w:tcBorders>
            <w:noWrap/>
            <w:vAlign w:val="center"/>
            <w:hideMark/>
          </w:tcPr>
          <w:p w14:paraId="64C69CC3"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3278DD7A" w14:textId="77777777" w:rsidR="00EE72B8" w:rsidRPr="00EE72B8" w:rsidRDefault="00EE72B8" w:rsidP="00EE72B8">
            <w:pPr>
              <w:pStyle w:val="Body"/>
              <w:spacing w:after="0"/>
              <w:rPr>
                <w:rFonts w:ascii="Arial" w:hAnsi="Arial" w:cs="Arial"/>
                <w:lang w:val="fr-FR"/>
              </w:rPr>
            </w:pPr>
          </w:p>
        </w:tc>
      </w:tr>
      <w:tr w:rsidR="005511C6" w:rsidRPr="00EE72B8" w14:paraId="126B8DAE" w14:textId="77777777" w:rsidTr="005511C6">
        <w:trPr>
          <w:trHeight w:val="142"/>
        </w:trPr>
        <w:tc>
          <w:tcPr>
            <w:tcW w:w="1771" w:type="dxa"/>
            <w:vMerge/>
            <w:tcBorders>
              <w:top w:val="nil"/>
              <w:left w:val="nil"/>
              <w:bottom w:val="single" w:sz="18" w:space="0" w:color="auto"/>
              <w:right w:val="nil"/>
            </w:tcBorders>
            <w:vAlign w:val="center"/>
            <w:hideMark/>
          </w:tcPr>
          <w:p w14:paraId="5046BA8E" w14:textId="77777777" w:rsidR="00EE72B8" w:rsidRPr="00EE72B8" w:rsidRDefault="00EE72B8" w:rsidP="00EE72B8">
            <w:pPr>
              <w:pStyle w:val="Body"/>
              <w:rPr>
                <w:rFonts w:ascii="Arial" w:hAnsi="Arial" w:cs="Arial"/>
                <w:lang w:val="fr-FR"/>
              </w:rPr>
            </w:pPr>
          </w:p>
        </w:tc>
        <w:tc>
          <w:tcPr>
            <w:tcW w:w="1247" w:type="dxa"/>
            <w:tcBorders>
              <w:top w:val="nil"/>
              <w:left w:val="nil"/>
              <w:bottom w:val="single" w:sz="18" w:space="0" w:color="auto"/>
              <w:right w:val="nil"/>
            </w:tcBorders>
            <w:noWrap/>
            <w:vAlign w:val="center"/>
            <w:hideMark/>
          </w:tcPr>
          <w:p w14:paraId="446FA856" w14:textId="77777777" w:rsidR="00EE72B8" w:rsidRPr="00EE72B8" w:rsidRDefault="00EE72B8" w:rsidP="005511C6">
            <w:pPr>
              <w:pStyle w:val="Body"/>
              <w:jc w:val="center"/>
              <w:rPr>
                <w:rFonts w:ascii="Arial" w:hAnsi="Arial" w:cs="Arial"/>
                <w:lang w:val="fr-FR"/>
              </w:rPr>
            </w:pPr>
            <w:r w:rsidRPr="00EE72B8">
              <w:rPr>
                <w:rFonts w:ascii="Arial" w:hAnsi="Arial" w:cs="Arial"/>
                <w:lang w:val="fr-FR"/>
              </w:rPr>
              <w:t>R ≥ 2 mg/L</w:t>
            </w:r>
          </w:p>
        </w:tc>
        <w:tc>
          <w:tcPr>
            <w:tcW w:w="748" w:type="dxa"/>
            <w:vMerge/>
            <w:tcBorders>
              <w:top w:val="nil"/>
              <w:left w:val="nil"/>
              <w:bottom w:val="single" w:sz="18" w:space="0" w:color="auto"/>
              <w:right w:val="nil"/>
            </w:tcBorders>
            <w:vAlign w:val="center"/>
            <w:hideMark/>
          </w:tcPr>
          <w:p w14:paraId="0A99C16A" w14:textId="77777777" w:rsidR="00EE72B8" w:rsidRPr="00EE72B8" w:rsidRDefault="00EE72B8" w:rsidP="00EE72B8">
            <w:pPr>
              <w:pStyle w:val="Body"/>
              <w:rPr>
                <w:rFonts w:ascii="Arial" w:hAnsi="Arial" w:cs="Arial"/>
                <w:lang w:val="fr-FR"/>
              </w:rPr>
            </w:pPr>
          </w:p>
        </w:tc>
        <w:tc>
          <w:tcPr>
            <w:tcW w:w="813" w:type="dxa"/>
            <w:vMerge/>
            <w:tcBorders>
              <w:top w:val="nil"/>
              <w:left w:val="nil"/>
              <w:bottom w:val="single" w:sz="18" w:space="0" w:color="auto"/>
              <w:right w:val="nil"/>
            </w:tcBorders>
            <w:vAlign w:val="center"/>
            <w:hideMark/>
          </w:tcPr>
          <w:p w14:paraId="479DAEA3" w14:textId="77777777" w:rsidR="00EE72B8" w:rsidRPr="00EE72B8" w:rsidRDefault="00EE72B8" w:rsidP="00EE72B8">
            <w:pPr>
              <w:pStyle w:val="Body"/>
              <w:rPr>
                <w:rFonts w:ascii="Arial" w:hAnsi="Arial" w:cs="Arial"/>
                <w:lang w:val="fr-FR"/>
              </w:rPr>
            </w:pPr>
          </w:p>
        </w:tc>
        <w:tc>
          <w:tcPr>
            <w:tcW w:w="811" w:type="dxa"/>
            <w:vMerge/>
            <w:tcBorders>
              <w:top w:val="nil"/>
              <w:left w:val="nil"/>
              <w:bottom w:val="single" w:sz="18" w:space="0" w:color="auto"/>
              <w:right w:val="nil"/>
            </w:tcBorders>
            <w:vAlign w:val="center"/>
            <w:hideMark/>
          </w:tcPr>
          <w:p w14:paraId="074186B9" w14:textId="77777777" w:rsidR="00EE72B8" w:rsidRPr="00EE72B8" w:rsidRDefault="00EE72B8" w:rsidP="00EE72B8">
            <w:pPr>
              <w:pStyle w:val="Body"/>
              <w:rPr>
                <w:rFonts w:ascii="Arial" w:hAnsi="Arial" w:cs="Arial"/>
                <w:lang w:val="fr-FR"/>
              </w:rPr>
            </w:pPr>
          </w:p>
        </w:tc>
        <w:tc>
          <w:tcPr>
            <w:tcW w:w="693" w:type="dxa"/>
            <w:vMerge/>
            <w:tcBorders>
              <w:top w:val="nil"/>
              <w:left w:val="nil"/>
              <w:bottom w:val="single" w:sz="18" w:space="0" w:color="auto"/>
              <w:right w:val="nil"/>
            </w:tcBorders>
            <w:vAlign w:val="center"/>
            <w:hideMark/>
          </w:tcPr>
          <w:p w14:paraId="77DA2312" w14:textId="77777777" w:rsidR="00EE72B8" w:rsidRPr="00EE72B8" w:rsidRDefault="00EE72B8" w:rsidP="00EE72B8">
            <w:pPr>
              <w:pStyle w:val="Body"/>
              <w:rPr>
                <w:rFonts w:ascii="Arial" w:hAnsi="Arial" w:cs="Arial"/>
                <w:lang w:val="fr-FR"/>
              </w:rPr>
            </w:pPr>
          </w:p>
        </w:tc>
        <w:tc>
          <w:tcPr>
            <w:tcW w:w="693" w:type="dxa"/>
            <w:vMerge/>
            <w:tcBorders>
              <w:top w:val="nil"/>
              <w:left w:val="nil"/>
              <w:bottom w:val="single" w:sz="18" w:space="0" w:color="auto"/>
              <w:right w:val="nil"/>
            </w:tcBorders>
            <w:vAlign w:val="center"/>
            <w:hideMark/>
          </w:tcPr>
          <w:p w14:paraId="06806EC4" w14:textId="77777777" w:rsidR="00EE72B8" w:rsidRPr="00EE72B8" w:rsidRDefault="00EE72B8" w:rsidP="00EE72B8">
            <w:pPr>
              <w:pStyle w:val="Body"/>
              <w:rPr>
                <w:rFonts w:ascii="Arial" w:hAnsi="Arial" w:cs="Arial"/>
                <w:lang w:val="fr-FR"/>
              </w:rPr>
            </w:pPr>
          </w:p>
        </w:tc>
        <w:tc>
          <w:tcPr>
            <w:tcW w:w="887" w:type="dxa"/>
            <w:vMerge/>
            <w:tcBorders>
              <w:top w:val="nil"/>
              <w:left w:val="nil"/>
              <w:bottom w:val="single" w:sz="18" w:space="0" w:color="auto"/>
              <w:right w:val="nil"/>
            </w:tcBorders>
            <w:vAlign w:val="center"/>
            <w:hideMark/>
          </w:tcPr>
          <w:p w14:paraId="0826072F" w14:textId="77777777" w:rsidR="00EE72B8" w:rsidRPr="00EE72B8" w:rsidRDefault="00EE72B8" w:rsidP="00EE72B8">
            <w:pPr>
              <w:pStyle w:val="Body"/>
              <w:rPr>
                <w:rFonts w:ascii="Arial" w:hAnsi="Arial" w:cs="Arial"/>
                <w:lang w:val="fr-FR"/>
              </w:rPr>
            </w:pPr>
          </w:p>
        </w:tc>
        <w:tc>
          <w:tcPr>
            <w:tcW w:w="923" w:type="dxa"/>
            <w:vAlign w:val="center"/>
            <w:hideMark/>
          </w:tcPr>
          <w:p w14:paraId="35EE4F78" w14:textId="77777777" w:rsidR="00EE72B8" w:rsidRPr="00EE72B8" w:rsidRDefault="00EE72B8" w:rsidP="00EE72B8">
            <w:pPr>
              <w:pStyle w:val="Body"/>
              <w:rPr>
                <w:rFonts w:ascii="Arial" w:hAnsi="Arial" w:cs="Arial"/>
                <w:lang w:val="fr-FR"/>
              </w:rPr>
            </w:pPr>
          </w:p>
        </w:tc>
      </w:tr>
    </w:tbl>
    <w:p w14:paraId="4D4BE942" w14:textId="77777777" w:rsidR="00806E6C" w:rsidRDefault="005511C6" w:rsidP="005511C6">
      <w:pPr>
        <w:pStyle w:val="Body"/>
        <w:spacing w:after="0"/>
        <w:rPr>
          <w:rFonts w:ascii="Arial" w:hAnsi="Arial" w:cs="Arial"/>
        </w:rPr>
      </w:pPr>
      <w:r>
        <w:rPr>
          <w:rFonts w:ascii="Arial" w:hAnsi="Arial" w:cs="Arial"/>
        </w:rPr>
        <w:t xml:space="preserve">         </w:t>
      </w:r>
    </w:p>
    <w:p w14:paraId="498335AC" w14:textId="77777777" w:rsidR="00806E6C" w:rsidRDefault="00806E6C" w:rsidP="005511C6">
      <w:pPr>
        <w:pStyle w:val="Body"/>
        <w:spacing w:after="0"/>
        <w:rPr>
          <w:rFonts w:ascii="Arial" w:hAnsi="Arial" w:cs="Arial"/>
        </w:rPr>
      </w:pPr>
    </w:p>
    <w:p w14:paraId="093BD52F" w14:textId="77777777" w:rsidR="00806E6C" w:rsidRDefault="00806E6C" w:rsidP="005511C6">
      <w:pPr>
        <w:pStyle w:val="Body"/>
        <w:spacing w:after="0"/>
        <w:rPr>
          <w:rFonts w:ascii="Arial" w:hAnsi="Arial" w:cs="Arial"/>
        </w:rPr>
      </w:pPr>
    </w:p>
    <w:p w14:paraId="13A118E4" w14:textId="77777777" w:rsidR="00806E6C" w:rsidRDefault="00806E6C" w:rsidP="005511C6">
      <w:pPr>
        <w:pStyle w:val="Body"/>
        <w:spacing w:after="0"/>
        <w:rPr>
          <w:rFonts w:ascii="Arial" w:hAnsi="Arial" w:cs="Arial"/>
        </w:rPr>
      </w:pPr>
    </w:p>
    <w:p w14:paraId="0BED37B2" w14:textId="77777777" w:rsidR="00806E6C" w:rsidRDefault="00806E6C" w:rsidP="005511C6">
      <w:pPr>
        <w:pStyle w:val="Body"/>
        <w:spacing w:after="0"/>
        <w:rPr>
          <w:rFonts w:ascii="Arial" w:hAnsi="Arial" w:cs="Arial"/>
        </w:rPr>
      </w:pPr>
    </w:p>
    <w:p w14:paraId="0FDDCE35" w14:textId="77777777" w:rsidR="00806E6C" w:rsidRDefault="00806E6C" w:rsidP="005511C6">
      <w:pPr>
        <w:pStyle w:val="Body"/>
        <w:spacing w:after="0"/>
        <w:rPr>
          <w:rFonts w:ascii="Arial" w:hAnsi="Arial" w:cs="Arial"/>
        </w:rPr>
      </w:pPr>
    </w:p>
    <w:p w14:paraId="1CBA6D9E" w14:textId="77777777" w:rsidR="00806E6C" w:rsidRDefault="00806E6C" w:rsidP="005511C6">
      <w:pPr>
        <w:pStyle w:val="Body"/>
        <w:spacing w:after="0"/>
        <w:rPr>
          <w:rFonts w:ascii="Arial" w:hAnsi="Arial" w:cs="Arial"/>
        </w:rPr>
      </w:pPr>
    </w:p>
    <w:p w14:paraId="08B6C81E" w14:textId="77777777" w:rsidR="00806E6C" w:rsidRDefault="00806E6C" w:rsidP="005511C6">
      <w:pPr>
        <w:pStyle w:val="Body"/>
        <w:spacing w:after="0"/>
        <w:rPr>
          <w:rFonts w:ascii="Arial" w:hAnsi="Arial" w:cs="Arial"/>
        </w:rPr>
      </w:pPr>
    </w:p>
    <w:p w14:paraId="6839BD5E" w14:textId="77777777" w:rsidR="00806E6C" w:rsidRDefault="00806E6C" w:rsidP="005511C6">
      <w:pPr>
        <w:pStyle w:val="Body"/>
        <w:spacing w:after="0"/>
        <w:rPr>
          <w:rFonts w:ascii="Arial" w:hAnsi="Arial" w:cs="Arial"/>
        </w:rPr>
      </w:pPr>
    </w:p>
    <w:p w14:paraId="6FC5CFA4" w14:textId="77777777" w:rsidR="00806E6C" w:rsidRDefault="00806E6C" w:rsidP="005511C6">
      <w:pPr>
        <w:pStyle w:val="Body"/>
        <w:spacing w:after="0"/>
        <w:rPr>
          <w:rFonts w:ascii="Arial" w:hAnsi="Arial" w:cs="Arial"/>
        </w:rPr>
      </w:pPr>
    </w:p>
    <w:p w14:paraId="1B15F7CD" w14:textId="77777777" w:rsidR="00806E6C" w:rsidRDefault="00806E6C" w:rsidP="005511C6">
      <w:pPr>
        <w:pStyle w:val="Body"/>
        <w:spacing w:after="0"/>
        <w:rPr>
          <w:rFonts w:ascii="Arial" w:hAnsi="Arial" w:cs="Arial"/>
        </w:rPr>
      </w:pPr>
    </w:p>
    <w:p w14:paraId="545B8F25" w14:textId="77777777" w:rsidR="00806E6C" w:rsidRDefault="00806E6C" w:rsidP="005511C6">
      <w:pPr>
        <w:pStyle w:val="Body"/>
        <w:spacing w:after="0"/>
        <w:rPr>
          <w:rFonts w:ascii="Arial" w:hAnsi="Arial" w:cs="Arial"/>
        </w:rPr>
      </w:pPr>
    </w:p>
    <w:p w14:paraId="4F419352" w14:textId="77777777" w:rsidR="00806E6C" w:rsidRDefault="00806E6C" w:rsidP="005511C6">
      <w:pPr>
        <w:pStyle w:val="Body"/>
        <w:spacing w:after="0"/>
        <w:rPr>
          <w:rFonts w:ascii="Arial" w:hAnsi="Arial" w:cs="Arial"/>
        </w:rPr>
      </w:pPr>
    </w:p>
    <w:p w14:paraId="38C2BE30" w14:textId="77777777" w:rsidR="00806E6C" w:rsidRDefault="00806E6C" w:rsidP="005511C6">
      <w:pPr>
        <w:pStyle w:val="Body"/>
        <w:spacing w:after="0"/>
        <w:rPr>
          <w:rFonts w:ascii="Arial" w:hAnsi="Arial" w:cs="Arial"/>
        </w:rPr>
      </w:pPr>
    </w:p>
    <w:p w14:paraId="24DC6951" w14:textId="77777777" w:rsidR="00806E6C" w:rsidRDefault="00806E6C" w:rsidP="005511C6">
      <w:pPr>
        <w:pStyle w:val="Body"/>
        <w:spacing w:after="0"/>
        <w:rPr>
          <w:rFonts w:ascii="Arial" w:hAnsi="Arial" w:cs="Arial"/>
        </w:rPr>
      </w:pPr>
    </w:p>
    <w:p w14:paraId="62B22C9D" w14:textId="77777777" w:rsidR="00806E6C" w:rsidRDefault="00806E6C" w:rsidP="005511C6">
      <w:pPr>
        <w:pStyle w:val="Body"/>
        <w:spacing w:after="0"/>
        <w:rPr>
          <w:rFonts w:ascii="Arial" w:hAnsi="Arial" w:cs="Arial"/>
        </w:rPr>
      </w:pPr>
    </w:p>
    <w:p w14:paraId="432712F2" w14:textId="7501D76B" w:rsidR="005511C6" w:rsidRPr="005511C6" w:rsidRDefault="005511C6" w:rsidP="005511C6">
      <w:pPr>
        <w:pStyle w:val="Body"/>
        <w:spacing w:after="0"/>
        <w:rPr>
          <w:rFonts w:ascii="Arial" w:hAnsi="Arial" w:cs="Arial"/>
          <w:i/>
          <w:sz w:val="18"/>
          <w:szCs w:val="18"/>
          <w:lang w:val="fr-FR"/>
        </w:rPr>
      </w:pPr>
      <w:r w:rsidRPr="005511C6">
        <w:rPr>
          <w:rFonts w:ascii="Arial" w:hAnsi="Arial" w:cs="Arial"/>
          <w:i/>
          <w:sz w:val="18"/>
          <w:szCs w:val="18"/>
          <w:lang w:val="fr-FR"/>
        </w:rPr>
        <w:t>S : Susceptible ; R : Resistant</w:t>
      </w:r>
    </w:p>
    <w:p w14:paraId="4D0E935F" w14:textId="77777777" w:rsidR="00C95C81" w:rsidRDefault="00C95C81" w:rsidP="00441B6F">
      <w:pPr>
        <w:pStyle w:val="Body"/>
        <w:spacing w:after="0"/>
        <w:rPr>
          <w:rFonts w:ascii="Arial" w:hAnsi="Arial" w:cs="Arial"/>
        </w:rPr>
      </w:pPr>
    </w:p>
    <w:p w14:paraId="43388BF6" w14:textId="441E97D7" w:rsidR="005511C6" w:rsidRPr="005511C6" w:rsidRDefault="00806E6C" w:rsidP="00B63285">
      <w:pPr>
        <w:pStyle w:val="Body"/>
        <w:spacing w:after="0"/>
        <w:rPr>
          <w:rFonts w:ascii="Arial" w:hAnsi="Arial" w:cs="Arial"/>
          <w:b/>
          <w:bCs/>
          <w:lang w:val="fr-FR"/>
        </w:rPr>
      </w:pPr>
      <w:r>
        <w:rPr>
          <w:rFonts w:ascii="Arial" w:hAnsi="Arial" w:cs="Arial"/>
          <w:b/>
          <w:bCs/>
          <w:lang w:val="fr-FR"/>
        </w:rPr>
        <w:t xml:space="preserve">3.2 </w:t>
      </w:r>
      <w:r w:rsidR="005511C6" w:rsidRPr="005511C6">
        <w:rPr>
          <w:rFonts w:ascii="Arial" w:hAnsi="Arial" w:cs="Arial"/>
          <w:b/>
          <w:bCs/>
          <w:lang w:val="fr-FR"/>
        </w:rPr>
        <w:t>Discussion</w:t>
      </w:r>
    </w:p>
    <w:p w14:paraId="6B5E3E25"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The results of our study reveal a worrying correlation between environmental pollution, induction of severe ineffective inflammation and worsening of microbial infections, such as those caused by </w:t>
      </w:r>
      <w:r w:rsidRPr="005511C6">
        <w:rPr>
          <w:rFonts w:ascii="Arial" w:hAnsi="Arial" w:cs="Arial"/>
          <w:i/>
          <w:iCs/>
          <w:lang w:val="fr-FR"/>
        </w:rPr>
        <w:t>Escherichia coli</w:t>
      </w:r>
      <w:r w:rsidRPr="005511C6">
        <w:rPr>
          <w:rFonts w:ascii="Arial" w:hAnsi="Arial" w:cs="Arial"/>
          <w:lang w:val="fr-FR"/>
        </w:rPr>
        <w:t xml:space="preserve"> and </w:t>
      </w:r>
      <w:r w:rsidRPr="005511C6">
        <w:rPr>
          <w:rFonts w:ascii="Arial" w:hAnsi="Arial" w:cs="Arial"/>
          <w:i/>
          <w:iCs/>
          <w:lang w:val="fr-FR"/>
        </w:rPr>
        <w:t>Candida albicans</w:t>
      </w:r>
      <w:r w:rsidRPr="005511C6">
        <w:rPr>
          <w:rFonts w:ascii="Arial" w:hAnsi="Arial" w:cs="Arial"/>
          <w:lang w:val="fr-FR"/>
        </w:rPr>
        <w:t>.</w:t>
      </w:r>
    </w:p>
    <w:p w14:paraId="19831338"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Conducted on a murine model, this observation highlights the direct impact of environmental pollutants (lead, mercury, glyphosate) on infectious dynamics and immune response, with potential implications for human health and for public health. The clinical manifestations </w:t>
      </w:r>
      <w:r w:rsidRPr="005511C6">
        <w:rPr>
          <w:rFonts w:ascii="Arial" w:hAnsi="Arial" w:cs="Arial"/>
          <w:lang w:val="fr-FR"/>
        </w:rPr>
        <w:lastRenderedPageBreak/>
        <w:t>observed, associated with significant hematological and biochemical alterations, highlight a marked disruption of leukocyte and inflammatory functions.</w:t>
      </w:r>
    </w:p>
    <w:p w14:paraId="548515E5"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Thus, in rats infected with </w:t>
      </w:r>
      <w:r w:rsidRPr="005511C6">
        <w:rPr>
          <w:rFonts w:ascii="Arial" w:hAnsi="Arial" w:cs="Arial"/>
          <w:i/>
          <w:iCs/>
          <w:lang w:val="fr-FR"/>
        </w:rPr>
        <w:t>E. coli</w:t>
      </w:r>
      <w:r w:rsidRPr="005511C6">
        <w:rPr>
          <w:rFonts w:ascii="Arial" w:hAnsi="Arial" w:cs="Arial"/>
          <w:lang w:val="fr-FR"/>
        </w:rPr>
        <w:t xml:space="preserve"> and </w:t>
      </w:r>
      <w:r w:rsidRPr="005511C6">
        <w:rPr>
          <w:rFonts w:ascii="Arial" w:hAnsi="Arial" w:cs="Arial"/>
          <w:i/>
          <w:iCs/>
          <w:lang w:val="fr-FR"/>
        </w:rPr>
        <w:t>C. albicans</w:t>
      </w:r>
      <w:r w:rsidRPr="005511C6">
        <w:rPr>
          <w:rFonts w:ascii="Arial" w:hAnsi="Arial" w:cs="Arial"/>
          <w:lang w:val="fr-FR"/>
        </w:rPr>
        <w:t xml:space="preserve"> and not exposed to the studied toxins, hyperleukocytosis was observed, reflecting an effective immune response to the infectious proliferation. This hyperleukocytosis was accompanied by a moderate increase in C-reactive protein (CRP), an inflammatory marker, and gradual weight recovery. This profile can be explained by transient metabolic stress induced by immune activation, with secretion of pro-inflammatory cytokines (IL-1β, TNF-α, IL-6). These mediators, known to stimulate CRP production, temporarily alter energy metabolism and appetite (inflammatory anorexia), while promoting the eradication of pathogens (Hotamisligil, 2006 ; Semple </w:t>
      </w:r>
      <w:r w:rsidRPr="005511C6">
        <w:rPr>
          <w:rFonts w:ascii="Arial" w:hAnsi="Arial" w:cs="Arial"/>
          <w:i/>
          <w:iCs/>
          <w:lang w:val="fr-FR"/>
        </w:rPr>
        <w:t>et al.</w:t>
      </w:r>
      <w:r w:rsidRPr="005511C6">
        <w:rPr>
          <w:rFonts w:ascii="Arial" w:hAnsi="Arial" w:cs="Arial"/>
          <w:lang w:val="fr-FR"/>
        </w:rPr>
        <w:t xml:space="preserve">, 2011). These observations are consistent with those of Lytvynenko &amp; Makyeyeva (2021), who report hyperleukocytosis with marked neutrophilia during purulent peritonitis in rats, as well as those of Colette </w:t>
      </w:r>
      <w:r w:rsidRPr="005511C6">
        <w:rPr>
          <w:rFonts w:ascii="Arial" w:hAnsi="Arial" w:cs="Arial"/>
          <w:i/>
          <w:iCs/>
          <w:lang w:val="fr-FR"/>
        </w:rPr>
        <w:t>et al.</w:t>
      </w:r>
      <w:r w:rsidRPr="005511C6">
        <w:rPr>
          <w:rFonts w:ascii="Arial" w:hAnsi="Arial" w:cs="Arial"/>
          <w:lang w:val="fr-FR"/>
        </w:rPr>
        <w:t xml:space="preserve"> (2020), who describe weight recovery and gradual recovery after intraperitoneal inoculation of a microbial isolate over 90 days.</w:t>
      </w:r>
    </w:p>
    <w:p w14:paraId="10A5E822"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Conversely, in rats infected with either </w:t>
      </w:r>
      <w:r w:rsidRPr="005511C6">
        <w:rPr>
          <w:rFonts w:ascii="Arial" w:hAnsi="Arial" w:cs="Arial"/>
          <w:i/>
          <w:iCs/>
          <w:lang w:val="fr-FR"/>
        </w:rPr>
        <w:t>E. coli</w:t>
      </w:r>
      <w:r w:rsidRPr="005511C6">
        <w:rPr>
          <w:rFonts w:ascii="Arial" w:hAnsi="Arial" w:cs="Arial"/>
          <w:lang w:val="fr-FR"/>
        </w:rPr>
        <w:t xml:space="preserve"> or </w:t>
      </w:r>
      <w:r w:rsidRPr="005511C6">
        <w:rPr>
          <w:rFonts w:ascii="Arial" w:hAnsi="Arial" w:cs="Arial"/>
          <w:i/>
          <w:iCs/>
          <w:lang w:val="fr-FR"/>
        </w:rPr>
        <w:t>C. albicans</w:t>
      </w:r>
      <w:r w:rsidRPr="005511C6">
        <w:rPr>
          <w:rFonts w:ascii="Arial" w:hAnsi="Arial" w:cs="Arial"/>
          <w:lang w:val="fr-FR"/>
        </w:rPr>
        <w:t xml:space="preserve"> and exposed to lead, severe leukopenia secondary to transient hyperleukocytosis was observed, reflecting a collapse of the immune response. This immune suppression favored the persistence of a systemic inflammatory state, marked by excessive elevation of CRP, considerable weight loss, and a general deterioration in clinical condition. These results suggest that lead inhibits the effectiveness of the leukocyte response while exacerbating the production of pro-inflammatory mediators, amplifying the deleterious effects of infection. These findings align the work of Flora </w:t>
      </w:r>
      <w:r w:rsidRPr="005511C6">
        <w:rPr>
          <w:rFonts w:ascii="Arial" w:hAnsi="Arial" w:cs="Arial"/>
          <w:i/>
          <w:iCs/>
          <w:lang w:val="fr-FR"/>
        </w:rPr>
        <w:t>et al.</w:t>
      </w:r>
      <w:r w:rsidRPr="005511C6">
        <w:rPr>
          <w:rFonts w:ascii="Arial" w:hAnsi="Arial" w:cs="Arial"/>
          <w:lang w:val="fr-FR"/>
        </w:rPr>
        <w:t xml:space="preserve"> (2012), who showed that lead exposure induces major oxidative stress, impaired immune function, and increased acute phase proteins. The same applies of the work of López </w:t>
      </w:r>
      <w:r w:rsidRPr="005511C6">
        <w:rPr>
          <w:rFonts w:ascii="Arial" w:hAnsi="Arial" w:cs="Arial"/>
          <w:i/>
          <w:iCs/>
          <w:lang w:val="fr-FR"/>
        </w:rPr>
        <w:t>et al.</w:t>
      </w:r>
      <w:r w:rsidRPr="005511C6">
        <w:rPr>
          <w:rFonts w:ascii="Arial" w:hAnsi="Arial" w:cs="Arial"/>
          <w:lang w:val="fr-FR"/>
        </w:rPr>
        <w:t xml:space="preserve"> (2020), who report increased leukocyte apoptosis in workers chronically exposed to lead, increasing their vulnerability to infection.</w:t>
      </w:r>
    </w:p>
    <w:p w14:paraId="47C71015"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Similarly, exposure of infected rats (</w:t>
      </w:r>
      <w:r w:rsidRPr="005511C6">
        <w:rPr>
          <w:rFonts w:ascii="Arial" w:hAnsi="Arial" w:cs="Arial"/>
          <w:i/>
          <w:iCs/>
          <w:lang w:val="fr-FR"/>
        </w:rPr>
        <w:t>E. coli</w:t>
      </w:r>
      <w:r w:rsidRPr="005511C6">
        <w:rPr>
          <w:rFonts w:ascii="Arial" w:hAnsi="Arial" w:cs="Arial"/>
          <w:lang w:val="fr-FR"/>
        </w:rPr>
        <w:t xml:space="preserve"> or </w:t>
      </w:r>
      <w:r w:rsidRPr="005511C6">
        <w:rPr>
          <w:rFonts w:ascii="Arial" w:hAnsi="Arial" w:cs="Arial"/>
          <w:i/>
          <w:iCs/>
          <w:lang w:val="fr-FR"/>
        </w:rPr>
        <w:t>C. albicans)</w:t>
      </w:r>
      <w:r w:rsidRPr="005511C6">
        <w:rPr>
          <w:rFonts w:ascii="Arial" w:hAnsi="Arial" w:cs="Arial"/>
          <w:lang w:val="fr-FR"/>
        </w:rPr>
        <w:t xml:space="preserve"> to mercury led to very severe leukopenia, following transient hyperleukocytosis. This deep immune suppression resulted in persistent systemic inflammation, marked by excessive CRP elevation, significant weight loss, marked clinical deterioration, and several deaths. These results reflect an overall weakening of the immune response and impaired hematopoiesis, compromising the body's ability to effectively control infection. These results corroborate the findings of Vianna </w:t>
      </w:r>
      <w:r w:rsidRPr="005511C6">
        <w:rPr>
          <w:rFonts w:ascii="Arial" w:hAnsi="Arial" w:cs="Arial"/>
          <w:i/>
          <w:iCs/>
          <w:lang w:val="fr-FR"/>
        </w:rPr>
        <w:t>et al.</w:t>
      </w:r>
      <w:r w:rsidR="00B27903">
        <w:rPr>
          <w:rFonts w:ascii="Arial" w:hAnsi="Arial" w:cs="Arial"/>
          <w:lang w:val="fr-FR"/>
        </w:rPr>
        <w:t xml:space="preserve"> (2019), who </w:t>
      </w:r>
      <w:r w:rsidRPr="005511C6">
        <w:rPr>
          <w:rFonts w:ascii="Arial" w:hAnsi="Arial" w:cs="Arial"/>
          <w:lang w:val="fr-FR"/>
        </w:rPr>
        <w:t>t</w:t>
      </w:r>
      <w:r w:rsidR="00B27903">
        <w:rPr>
          <w:rFonts w:ascii="Arial" w:hAnsi="Arial" w:cs="Arial"/>
          <w:lang w:val="fr-FR"/>
        </w:rPr>
        <w:t>hrough a systematic review of 1,</w:t>
      </w:r>
      <w:r w:rsidRPr="005511C6">
        <w:rPr>
          <w:rFonts w:ascii="Arial" w:hAnsi="Arial" w:cs="Arial"/>
          <w:lang w:val="fr-FR"/>
        </w:rPr>
        <w:t xml:space="preserve">297 studies published between 1950 and 2018, showed that chronic exposure to mercury induced various hematological effects affecting all cell lines, with a predominance of anemia, leukopenia, and neutropenia, often associated with death. Similar results were reported by Winiarska </w:t>
      </w:r>
      <w:r w:rsidRPr="005511C6">
        <w:rPr>
          <w:rFonts w:ascii="Arial" w:hAnsi="Arial" w:cs="Arial"/>
          <w:i/>
          <w:iCs/>
          <w:lang w:val="fr-FR"/>
        </w:rPr>
        <w:t>et al.</w:t>
      </w:r>
      <w:r w:rsidRPr="005511C6">
        <w:rPr>
          <w:rFonts w:ascii="Arial" w:hAnsi="Arial" w:cs="Arial"/>
          <w:lang w:val="fr-FR"/>
        </w:rPr>
        <w:t xml:space="preserve"> (2020), describing a significant decrease in body weight, elevated inflammatory markers, and multivisceral lesions in rats exposed to mercury.</w:t>
      </w:r>
    </w:p>
    <w:p w14:paraId="3AC0C428"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Regarding exposure to glyphosate, rats infected with </w:t>
      </w:r>
      <w:r w:rsidRPr="005511C6">
        <w:rPr>
          <w:rFonts w:ascii="Arial" w:hAnsi="Arial" w:cs="Arial"/>
          <w:i/>
          <w:iCs/>
          <w:lang w:val="fr-FR"/>
        </w:rPr>
        <w:t>E. coli</w:t>
      </w:r>
      <w:r w:rsidRPr="005511C6">
        <w:rPr>
          <w:rFonts w:ascii="Arial" w:hAnsi="Arial" w:cs="Arial"/>
          <w:lang w:val="fr-FR"/>
        </w:rPr>
        <w:t xml:space="preserve"> or </w:t>
      </w:r>
      <w:r w:rsidRPr="005511C6">
        <w:rPr>
          <w:rFonts w:ascii="Arial" w:hAnsi="Arial" w:cs="Arial"/>
          <w:i/>
          <w:iCs/>
          <w:lang w:val="fr-FR"/>
        </w:rPr>
        <w:t>C. albicans</w:t>
      </w:r>
      <w:r w:rsidRPr="005511C6">
        <w:rPr>
          <w:rFonts w:ascii="Arial" w:hAnsi="Arial" w:cs="Arial"/>
          <w:lang w:val="fr-FR"/>
        </w:rPr>
        <w:t xml:space="preserve"> showed persistent leukocytosis, reflecting excessive and prolonged stimulation of the inflammatory response. This condition was accompanied by significantly elevated CRP levels, slight weight loss, and clinical impairment, suggesting the persistence of chronic inflammation. This profile can be explained by glyphosate's ability to disrupt oxidative metabolism, leading to excessive production of reactive oxygen species (ROS) which are responsible for cellular oxidative stress and persistent activation of the NF-κB (Nuclear Factor kappa-light-chain-enhancer of activated B cells) pathway. Abnormal activation of this pathway induces overexpression of pro-inflammatory cytokines (IL-6, TNF-α), maintaining a systemic inflammatory state (Marino </w:t>
      </w:r>
      <w:r w:rsidRPr="005511C6">
        <w:rPr>
          <w:rFonts w:ascii="Arial" w:hAnsi="Arial" w:cs="Arial"/>
          <w:i/>
          <w:iCs/>
          <w:lang w:val="fr-FR"/>
        </w:rPr>
        <w:t>et al.</w:t>
      </w:r>
      <w:r w:rsidRPr="005511C6">
        <w:rPr>
          <w:rFonts w:ascii="Arial" w:hAnsi="Arial" w:cs="Arial"/>
          <w:lang w:val="fr-FR"/>
        </w:rPr>
        <w:t xml:space="preserve">, </w:t>
      </w:r>
      <w:r w:rsidR="00B27903" w:rsidRPr="005511C6">
        <w:rPr>
          <w:rFonts w:ascii="Arial" w:hAnsi="Arial" w:cs="Arial"/>
          <w:lang w:val="fr-FR"/>
        </w:rPr>
        <w:t>2021 ;</w:t>
      </w:r>
      <w:r w:rsidRPr="005511C6">
        <w:rPr>
          <w:rFonts w:ascii="Arial" w:hAnsi="Arial" w:cs="Arial"/>
          <w:lang w:val="fr-FR"/>
        </w:rPr>
        <w:t xml:space="preserve"> Sikora </w:t>
      </w:r>
      <w:r w:rsidRPr="005511C6">
        <w:rPr>
          <w:rFonts w:ascii="Arial" w:hAnsi="Arial" w:cs="Arial"/>
          <w:i/>
          <w:iCs/>
          <w:lang w:val="fr-FR"/>
        </w:rPr>
        <w:t>et al.</w:t>
      </w:r>
      <w:r w:rsidRPr="005511C6">
        <w:rPr>
          <w:rFonts w:ascii="Arial" w:hAnsi="Arial" w:cs="Arial"/>
          <w:lang w:val="fr-FR"/>
        </w:rPr>
        <w:t xml:space="preserve">, 2023). Similar observations have been reported by Mao </w:t>
      </w:r>
      <w:r w:rsidRPr="005511C6">
        <w:rPr>
          <w:rFonts w:ascii="Arial" w:hAnsi="Arial" w:cs="Arial"/>
          <w:i/>
          <w:iCs/>
          <w:lang w:val="fr-FR"/>
        </w:rPr>
        <w:t>et al.</w:t>
      </w:r>
      <w:r w:rsidRPr="005511C6">
        <w:rPr>
          <w:rFonts w:ascii="Arial" w:hAnsi="Arial" w:cs="Arial"/>
          <w:lang w:val="fr-FR"/>
        </w:rPr>
        <w:t xml:space="preserve"> (2018) and Duforestel </w:t>
      </w:r>
      <w:r w:rsidRPr="005511C6">
        <w:rPr>
          <w:rFonts w:ascii="Arial" w:hAnsi="Arial" w:cs="Arial"/>
          <w:i/>
          <w:iCs/>
          <w:lang w:val="fr-FR"/>
        </w:rPr>
        <w:t>et al.</w:t>
      </w:r>
      <w:r w:rsidRPr="005511C6">
        <w:rPr>
          <w:rFonts w:ascii="Arial" w:hAnsi="Arial" w:cs="Arial"/>
          <w:lang w:val="fr-FR"/>
        </w:rPr>
        <w:t xml:space="preserve"> (2019), who report dysregulation of the NF-κB pathway by glyphosate. It is the same in the work of Yuhong </w:t>
      </w:r>
      <w:r w:rsidRPr="005511C6">
        <w:rPr>
          <w:rFonts w:ascii="Arial" w:hAnsi="Arial" w:cs="Arial"/>
          <w:i/>
          <w:iCs/>
          <w:lang w:val="fr-FR"/>
        </w:rPr>
        <w:t>et al.</w:t>
      </w:r>
      <w:r w:rsidRPr="005511C6">
        <w:rPr>
          <w:rFonts w:ascii="Arial" w:hAnsi="Arial" w:cs="Arial"/>
          <w:lang w:val="fr-FR"/>
        </w:rPr>
        <w:t xml:space="preserve"> (2022), which describes a disorganized innate immune response in infected rats.</w:t>
      </w:r>
    </w:p>
    <w:p w14:paraId="1031F3CC"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In addition to the alterations observed, </w:t>
      </w:r>
      <w:r w:rsidRPr="005511C6">
        <w:rPr>
          <w:rFonts w:ascii="Arial" w:hAnsi="Arial" w:cs="Arial"/>
          <w:i/>
          <w:iCs/>
          <w:lang w:val="fr-FR"/>
        </w:rPr>
        <w:t>in vivo</w:t>
      </w:r>
      <w:r w:rsidRPr="005511C6">
        <w:rPr>
          <w:rFonts w:ascii="Arial" w:hAnsi="Arial" w:cs="Arial"/>
          <w:lang w:val="fr-FR"/>
        </w:rPr>
        <w:t xml:space="preserve"> exposure to the toxic agents studied (lead, mercury, glyphosate) influenced the infectious dynamics by modifying the susceptibility of pathogens. Observations made on bacterial isolates not exposed to pollutants, particularly </w:t>
      </w:r>
      <w:r w:rsidRPr="005511C6">
        <w:rPr>
          <w:rFonts w:ascii="Arial" w:hAnsi="Arial" w:cs="Arial"/>
          <w:i/>
          <w:iCs/>
          <w:lang w:val="fr-FR"/>
        </w:rPr>
        <w:t>Escherichia coli</w:t>
      </w:r>
      <w:r w:rsidRPr="005511C6">
        <w:rPr>
          <w:rFonts w:ascii="Arial" w:hAnsi="Arial" w:cs="Arial"/>
          <w:lang w:val="fr-FR"/>
        </w:rPr>
        <w:t xml:space="preserve">, revealed an unchanged, stable susceptibility profile, regardless of the </w:t>
      </w:r>
      <w:r w:rsidRPr="005511C6">
        <w:rPr>
          <w:rFonts w:ascii="Arial" w:hAnsi="Arial" w:cs="Arial"/>
          <w:lang w:val="fr-FR"/>
        </w:rPr>
        <w:lastRenderedPageBreak/>
        <w:t xml:space="preserve">duration of infection. These pathogens remained sensitive to the three classes of antibiotics tested, in line with their initial profile. This reflects the absence of selective pressure and suggests that a pathogen's antibiotic susceptibility profile remains unchanged during reinfection. These results are in agreement with those of Hidad </w:t>
      </w:r>
      <w:r w:rsidRPr="005511C6">
        <w:rPr>
          <w:rFonts w:ascii="Arial" w:hAnsi="Arial" w:cs="Arial"/>
          <w:i/>
          <w:iCs/>
          <w:lang w:val="fr-FR"/>
        </w:rPr>
        <w:t>et al.</w:t>
      </w:r>
      <w:r w:rsidRPr="005511C6">
        <w:rPr>
          <w:rFonts w:ascii="Arial" w:hAnsi="Arial" w:cs="Arial"/>
          <w:lang w:val="fr-FR"/>
        </w:rPr>
        <w:t xml:space="preserve"> (2022), who showed that recurrence of the same </w:t>
      </w:r>
      <w:r w:rsidRPr="005511C6">
        <w:rPr>
          <w:rFonts w:ascii="Arial" w:hAnsi="Arial" w:cs="Arial"/>
          <w:i/>
          <w:iCs/>
          <w:lang w:val="fr-FR"/>
        </w:rPr>
        <w:t>E. coli</w:t>
      </w:r>
      <w:r w:rsidRPr="005511C6">
        <w:rPr>
          <w:rFonts w:ascii="Arial" w:hAnsi="Arial" w:cs="Arial"/>
          <w:lang w:val="fr-FR"/>
        </w:rPr>
        <w:t xml:space="preserve"> strain could occur more than 400 days after the index infection, with low antimicrobial resistance rates.</w:t>
      </w:r>
    </w:p>
    <w:p w14:paraId="6762949A"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In contrast, those from rats exposed to lead and mercury exhibited an altered profile, characterized by intermediate resistance to beta-lactams and aminoglycosides and marked resistance to fluoroquinolones. These results indicate that lead and mercury cause intoxication by disrupting host-microbe interactions and inducing adaptive mechanisms, exerting indirect selective pressure conducive to the emergence of less sensitive bacterial strains, independently of any antibiotic pressure. This phenomenon was also observed at the University of Geneva, where </w:t>
      </w:r>
      <w:r w:rsidRPr="00B27903">
        <w:rPr>
          <w:rFonts w:ascii="Arial" w:hAnsi="Arial" w:cs="Arial"/>
          <w:i/>
          <w:lang w:val="fr-FR"/>
        </w:rPr>
        <w:t>Pseudomonas aeruginosa</w:t>
      </w:r>
      <w:r w:rsidRPr="005511C6">
        <w:rPr>
          <w:rFonts w:ascii="Arial" w:hAnsi="Arial" w:cs="Arial"/>
          <w:lang w:val="fr-FR"/>
        </w:rPr>
        <w:t xml:space="preserve"> developed resistance to imipenem in the presence of metals particularly cobalt and cadmium, even at low concentrations (Anton, 2005 ; Danielle, 2011). The same applies to the work of Pal </w:t>
      </w:r>
      <w:r w:rsidRPr="005511C6">
        <w:rPr>
          <w:rFonts w:ascii="Arial" w:hAnsi="Arial" w:cs="Arial"/>
          <w:i/>
          <w:iCs/>
          <w:lang w:val="fr-FR"/>
        </w:rPr>
        <w:t>et al.</w:t>
      </w:r>
      <w:r w:rsidRPr="005511C6">
        <w:rPr>
          <w:rFonts w:ascii="Arial" w:hAnsi="Arial" w:cs="Arial"/>
          <w:lang w:val="fr-FR"/>
        </w:rPr>
        <w:t xml:space="preserve"> (2015), who showed that exposure to environmental pollutants, such as metals, promotes co-localization on plasmids of antibiotic and heavy metal resistance genes.</w:t>
      </w:r>
    </w:p>
    <w:p w14:paraId="4BEBBA53" w14:textId="77777777" w:rsidR="005511C6" w:rsidRPr="005511C6" w:rsidRDefault="005511C6" w:rsidP="00B63285">
      <w:pPr>
        <w:pStyle w:val="Body"/>
        <w:spacing w:after="0"/>
        <w:rPr>
          <w:rFonts w:ascii="Arial" w:hAnsi="Arial" w:cs="Arial"/>
          <w:lang w:val="fr-FR"/>
        </w:rPr>
      </w:pPr>
      <w:r w:rsidRPr="005511C6">
        <w:rPr>
          <w:rFonts w:ascii="Arial" w:hAnsi="Arial" w:cs="Arial"/>
          <w:lang w:val="fr-FR"/>
        </w:rPr>
        <w:t xml:space="preserve">Furthermore, bacterial isolates from rats exposed to glyphosate retained a susceptibility profile similar to that of the controls. They remained susceptible to the three classes of antibiotics tested. This stability suggests that, despite being an environmental pollutant, glyphosate does not exert selective pressure comparable to heavy metals and does not promote the co-selection of resistance genes. These results corroborate those of Pöppe </w:t>
      </w:r>
      <w:r w:rsidRPr="005511C6">
        <w:rPr>
          <w:rFonts w:ascii="Arial" w:hAnsi="Arial" w:cs="Arial"/>
          <w:i/>
          <w:iCs/>
          <w:lang w:val="fr-FR"/>
        </w:rPr>
        <w:t>et al.</w:t>
      </w:r>
      <w:r w:rsidRPr="005511C6">
        <w:rPr>
          <w:rFonts w:ascii="Arial" w:hAnsi="Arial" w:cs="Arial"/>
          <w:lang w:val="fr-FR"/>
        </w:rPr>
        <w:t xml:space="preserve"> (2020), who showed that </w:t>
      </w:r>
      <w:r w:rsidRPr="005511C6">
        <w:rPr>
          <w:rFonts w:ascii="Arial" w:hAnsi="Arial" w:cs="Arial"/>
          <w:i/>
          <w:iCs/>
          <w:lang w:val="fr-FR"/>
        </w:rPr>
        <w:t>Salmonella enterica</w:t>
      </w:r>
      <w:r w:rsidRPr="005511C6">
        <w:rPr>
          <w:rFonts w:ascii="Arial" w:hAnsi="Arial" w:cs="Arial"/>
          <w:lang w:val="fr-FR"/>
        </w:rPr>
        <w:t>, an enterobacterial species exposed to glyphosate, did not develop cross-resistance or permanent activation of tolerance or stress mechanisms.</w:t>
      </w:r>
    </w:p>
    <w:p w14:paraId="2D57EEF3" w14:textId="77777777" w:rsidR="00BC614F" w:rsidRPr="005511C6" w:rsidRDefault="005511C6" w:rsidP="00B63285">
      <w:pPr>
        <w:pStyle w:val="Body"/>
        <w:spacing w:after="0"/>
        <w:rPr>
          <w:rFonts w:ascii="Arial" w:hAnsi="Arial" w:cs="Arial"/>
          <w:lang w:val="fr-FR"/>
        </w:rPr>
      </w:pPr>
      <w:r w:rsidRPr="005511C6">
        <w:rPr>
          <w:rFonts w:ascii="Arial" w:hAnsi="Arial" w:cs="Arial"/>
          <w:lang w:val="fr-FR"/>
        </w:rPr>
        <w:t xml:space="preserve">As for yeast isolates, particularly </w:t>
      </w:r>
      <w:r w:rsidRPr="005511C6">
        <w:rPr>
          <w:rFonts w:ascii="Arial" w:hAnsi="Arial" w:cs="Arial"/>
          <w:i/>
          <w:iCs/>
          <w:lang w:val="fr-FR"/>
        </w:rPr>
        <w:t>Candida albicans</w:t>
      </w:r>
      <w:r w:rsidRPr="005511C6">
        <w:rPr>
          <w:rFonts w:ascii="Arial" w:hAnsi="Arial" w:cs="Arial"/>
          <w:lang w:val="fr-FR"/>
        </w:rPr>
        <w:t xml:space="preserve"> isolated from lead, mercury, and glyphosate exposure, no change in susceptibility to first-line antifungals was observed. Minimum inhibitory concentrations (MICs) remained unchanged compared to the initial profile. This suggests that this fungal isolate is less sensitive to the selective pressures exerted by these pollutants and does not develop tolerance or induced resistance, unlike bacteria. These observations are consistent with those of Hunsaker &amp; Franz (2019), who showed that </w:t>
      </w:r>
      <w:r w:rsidRPr="003958A6">
        <w:rPr>
          <w:rFonts w:ascii="Arial" w:hAnsi="Arial" w:cs="Arial"/>
          <w:i/>
          <w:iCs/>
          <w:lang w:val="fr-FR"/>
        </w:rPr>
        <w:t>C. albicans</w:t>
      </w:r>
      <w:r w:rsidRPr="005511C6">
        <w:rPr>
          <w:rFonts w:ascii="Arial" w:hAnsi="Arial" w:cs="Arial"/>
          <w:lang w:val="fr-FR"/>
        </w:rPr>
        <w:t>, although adapting its metal homeostasis in response to fluconazole, did not exhibit a loss of clinical susceptibility, with MICs remained stable despite these adaptations.</w:t>
      </w:r>
    </w:p>
    <w:p w14:paraId="2176B03A" w14:textId="77777777" w:rsidR="003D1280" w:rsidRPr="00FB3A86" w:rsidRDefault="003D1280" w:rsidP="00441B6F">
      <w:pPr>
        <w:pStyle w:val="Body"/>
        <w:spacing w:after="0"/>
        <w:rPr>
          <w:rFonts w:ascii="Arial" w:hAnsi="Arial" w:cs="Arial"/>
        </w:rPr>
      </w:pPr>
    </w:p>
    <w:p w14:paraId="615373A4" w14:textId="77777777" w:rsidR="003D1280"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17B5E7" w14:textId="77777777" w:rsidR="003958A6" w:rsidRDefault="003958A6" w:rsidP="00806E6C">
      <w:pPr>
        <w:pStyle w:val="Body"/>
        <w:spacing w:after="0"/>
        <w:rPr>
          <w:rFonts w:ascii="Arial" w:hAnsi="Arial" w:cs="Arial"/>
          <w:lang w:val="fr-FR"/>
        </w:rPr>
      </w:pPr>
    </w:p>
    <w:p w14:paraId="5A46F36B" w14:textId="795DD740" w:rsidR="005511C6" w:rsidRPr="005511C6" w:rsidRDefault="005511C6" w:rsidP="00806E6C">
      <w:pPr>
        <w:pStyle w:val="Body"/>
        <w:spacing w:after="0"/>
        <w:rPr>
          <w:rFonts w:ascii="Arial" w:hAnsi="Arial" w:cs="Arial"/>
          <w:lang w:val="fr-FR"/>
        </w:rPr>
      </w:pPr>
      <w:r>
        <w:rPr>
          <w:rFonts w:ascii="Arial" w:hAnsi="Arial" w:cs="Arial"/>
          <w:lang w:val="fr-FR"/>
        </w:rPr>
        <w:t>T</w:t>
      </w:r>
      <w:r w:rsidRPr="005511C6">
        <w:rPr>
          <w:rFonts w:ascii="Arial" w:hAnsi="Arial" w:cs="Arial"/>
          <w:lang w:val="fr-FR"/>
        </w:rPr>
        <w:t xml:space="preserve">his study highlights the exacerbating role of environmental pollution on immunity and microbial infectivity. The results show that exposure to lead and mercury resulted in severe leukopenia, hematopoietic dysregulation, and persistent and ineffective systemic inflammation, leading to severe immunosuppression and increased mortality. At the same time, bacterial isolates from these models revealed a shift towards antibiotic resistance profiles, confirming the role of heavy metals as inducers of selective pressures and catalysts of genetic co-selection mechanisms. Conversely, exposure to glyphosate, although associated with chronic ineffective inflammatory activation, did not alter the antimicrobial susceptibility of pathogens tested. The species </w:t>
      </w:r>
      <w:r w:rsidRPr="005511C6">
        <w:rPr>
          <w:rFonts w:ascii="Arial" w:hAnsi="Arial" w:cs="Arial"/>
          <w:i/>
          <w:iCs/>
          <w:lang w:val="fr-FR"/>
        </w:rPr>
        <w:t>Candida albicans</w:t>
      </w:r>
      <w:r w:rsidRPr="005511C6">
        <w:rPr>
          <w:rFonts w:ascii="Arial" w:hAnsi="Arial" w:cs="Arial"/>
          <w:lang w:val="fr-FR"/>
        </w:rPr>
        <w:t>, for its part, remained phenotypic stability with regard to antifungal agents.</w:t>
      </w:r>
    </w:p>
    <w:p w14:paraId="6EF5467B" w14:textId="77777777" w:rsidR="005511C6" w:rsidRPr="005511C6" w:rsidRDefault="005511C6" w:rsidP="00806E6C">
      <w:pPr>
        <w:pStyle w:val="Body"/>
        <w:spacing w:after="0"/>
        <w:rPr>
          <w:rFonts w:ascii="Arial" w:hAnsi="Arial" w:cs="Arial"/>
          <w:lang w:val="fr-FR"/>
        </w:rPr>
      </w:pPr>
      <w:r w:rsidRPr="005511C6">
        <w:rPr>
          <w:rFonts w:ascii="Arial" w:hAnsi="Arial" w:cs="Arial"/>
          <w:lang w:val="fr-FR"/>
        </w:rPr>
        <w:t>These results highlight the major health hazard posed by heavy metals, not only through their cytotoxic and immunotoxic effects, but also through their silent contribution to the emergence and spread of direct antibiotic resistance, and reinforce the need to consider environmental pollutants in an integrated approach to combating antibiotic resistance.</w:t>
      </w:r>
    </w:p>
    <w:p w14:paraId="5A22B665" w14:textId="77777777" w:rsidR="004F1612" w:rsidRDefault="004F1612" w:rsidP="00441B6F">
      <w:pPr>
        <w:pStyle w:val="AcknHead"/>
        <w:spacing w:after="0"/>
        <w:jc w:val="both"/>
        <w:rPr>
          <w:rFonts w:ascii="Arial" w:hAnsi="Arial" w:cs="Arial"/>
        </w:rPr>
      </w:pPr>
    </w:p>
    <w:p w14:paraId="060EB5ED" w14:textId="77777777" w:rsidR="005B6A2A" w:rsidRDefault="005B6A2A" w:rsidP="00441B6F">
      <w:pPr>
        <w:pStyle w:val="ReferHead"/>
        <w:spacing w:after="0"/>
        <w:jc w:val="both"/>
        <w:rPr>
          <w:rFonts w:ascii="Arial" w:hAnsi="Arial" w:cs="Arial"/>
          <w:b w:val="0"/>
          <w:caps w:val="0"/>
          <w:sz w:val="20"/>
        </w:rPr>
      </w:pPr>
    </w:p>
    <w:p w14:paraId="7D6607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32A123"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Dahal, R. H. &amp; Chaudhary, D. K. (2018). Microbial infections and antimicrobial resistance in Nepal : current trends and recommendations. The Open Microbiology Journal, 12, 230.</w:t>
      </w:r>
    </w:p>
    <w:p w14:paraId="595C9793" w14:textId="77777777" w:rsid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Mohsen, N. (2022). Global burden of bacterial antimicrobial resistance in 2019 : a systematic analysis, </w:t>
      </w:r>
      <w:r w:rsidRPr="00B63285">
        <w:rPr>
          <w:rFonts w:ascii="Arial" w:hAnsi="Arial" w:cs="Arial"/>
          <w:iCs/>
          <w:color w:val="222222"/>
          <w:shd w:val="clear" w:color="auto" w:fill="FFFFFF"/>
          <w:lang w:val="fr-FR" w:eastAsia="fr-FR"/>
        </w:rPr>
        <w:t>Lancet</w:t>
      </w:r>
      <w:r w:rsidRPr="00B63285">
        <w:rPr>
          <w:rFonts w:ascii="Arial" w:hAnsi="Arial" w:cs="Arial"/>
          <w:color w:val="222222"/>
          <w:shd w:val="clear" w:color="auto" w:fill="FFFFFF"/>
          <w:lang w:val="fr-FR" w:eastAsia="fr-FR"/>
        </w:rPr>
        <w:t>, 399, 629-655.</w:t>
      </w:r>
    </w:p>
    <w:p w14:paraId="502FD6C4" w14:textId="77777777" w:rsidR="00B63285" w:rsidRPr="00B63285" w:rsidRDefault="00470FD3"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FF"/>
          <w:u w:val="single"/>
          <w:lang w:val="fr-FR" w:eastAsia="fr-FR"/>
        </w:rPr>
        <w:t xml:space="preserve"> https://doi.org/10.1016/ S0140-6736(21)02724-0</w:t>
      </w:r>
    </w:p>
    <w:p w14:paraId="564EFA6A"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Bongomin, F., Gago, S., Oladele, R. O., &amp; Denning, D. W. (2017). Global and multi-national prevalence of fungal diseases estimate precision. </w:t>
      </w:r>
      <w:r w:rsidRPr="00B63285">
        <w:rPr>
          <w:rFonts w:ascii="Arial" w:hAnsi="Arial" w:cs="Arial"/>
          <w:iCs/>
          <w:color w:val="222222"/>
          <w:shd w:val="clear" w:color="auto" w:fill="FFFFFF"/>
          <w:lang w:val="fr-FR" w:eastAsia="fr-FR"/>
        </w:rPr>
        <w:t>Journal of fungi</w:t>
      </w:r>
      <w:r w:rsidRPr="00B63285">
        <w:rPr>
          <w:rFonts w:ascii="Arial" w:hAnsi="Arial" w:cs="Arial"/>
          <w:color w:val="222222"/>
          <w:shd w:val="clear" w:color="auto" w:fill="FFFFFF"/>
          <w:lang w:val="fr-FR" w:eastAsia="fr-FR"/>
        </w:rPr>
        <w:t>, 3(4), 1-57.</w:t>
      </w:r>
    </w:p>
    <w:p w14:paraId="2EE98CDA"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Fabienne, K. (2012). Les nouvelles menaces des maladies infectieuses émergentes. Rapport d ́information N°638, Sénat Session extraordinaire de 2011-2012, 233p</w:t>
      </w:r>
      <w:r w:rsidRPr="00B63285">
        <w:rPr>
          <w:rFonts w:ascii="Arial" w:hAnsi="Arial" w:cs="Arial"/>
          <w:color w:val="FF0000"/>
          <w:shd w:val="clear" w:color="auto" w:fill="FFFFFF"/>
          <w:lang w:val="fr-FR" w:eastAsia="fr-FR"/>
        </w:rPr>
        <w:t>.</w:t>
      </w:r>
      <w:r w:rsidR="00B63285">
        <w:rPr>
          <w:rFonts w:ascii="Arial" w:hAnsi="Arial" w:cs="Arial"/>
          <w:color w:val="FF0000"/>
          <w:shd w:val="clear" w:color="auto" w:fill="FFFFFF"/>
          <w:lang w:val="fr-FR" w:eastAsia="fr-FR"/>
        </w:rPr>
        <w:t xml:space="preserve"> </w:t>
      </w:r>
      <w:hyperlink r:id="rId36" w:history="1">
        <w:r w:rsidR="00B63285" w:rsidRPr="0002019A">
          <w:rPr>
            <w:rStyle w:val="Hyperlink"/>
            <w:rFonts w:ascii="Arial" w:hAnsi="Arial" w:cs="Arial"/>
            <w:shd w:val="clear" w:color="auto" w:fill="FFFFFF"/>
            <w:lang w:val="fr-FR" w:eastAsia="fr-FR"/>
          </w:rPr>
          <w:t>https://www.senat.fr/rap/r11-638/r11-638_mono.html</w:t>
        </w:r>
      </w:hyperlink>
    </w:p>
    <w:p w14:paraId="50CD4097"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Kainz, K., Bauer, M. A., Madeo, F. &amp; Carmona-Gutierrez, D. (2020). Fungal infections in humans : The silent crisis. </w:t>
      </w:r>
      <w:r w:rsidRPr="00B63285">
        <w:rPr>
          <w:rFonts w:ascii="Arial" w:hAnsi="Arial" w:cs="Arial"/>
          <w:iCs/>
          <w:color w:val="222222"/>
          <w:shd w:val="clear" w:color="auto" w:fill="FFFFFF"/>
          <w:lang w:val="fr-FR" w:eastAsia="fr-FR"/>
        </w:rPr>
        <w:t>Microbial Cell</w:t>
      </w:r>
      <w:r w:rsidRPr="00B63285">
        <w:rPr>
          <w:rFonts w:ascii="Arial" w:hAnsi="Arial" w:cs="Arial"/>
          <w:color w:val="222222"/>
          <w:shd w:val="clear" w:color="auto" w:fill="FFFFFF"/>
          <w:lang w:val="fr-FR" w:eastAsia="fr-FR"/>
        </w:rPr>
        <w:t>, 7, 143-145.</w:t>
      </w:r>
    </w:p>
    <w:p w14:paraId="6D33BFF0" w14:textId="77F5FEC1"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OMS (2022). Stratégie régionale actualisée pour l’action sur les déterminants environnementaux de la santé humaine dans la région Africaine 2022-2032. Rapport, Soixante-douzième session, Comité Régional de l’Afrique, République Togolaise, 11p.</w:t>
      </w:r>
      <w:r w:rsidR="004F1612">
        <w:t xml:space="preserve"> </w:t>
      </w:r>
      <w:hyperlink r:id="rId37" w:history="1">
        <w:r w:rsidR="004F1612" w:rsidRPr="00516688">
          <w:rPr>
            <w:rStyle w:val="Hyperlink"/>
            <w:rFonts w:ascii="Arial" w:hAnsi="Arial" w:cs="Arial"/>
            <w:lang w:val="fr-FR" w:eastAsia="fr-FR"/>
          </w:rPr>
          <w:t>https://www.afro.who.int/sites/default/files/2022-07/AFR-RC72-10%20Strat%C3%A9gie%20r%C3%A9gionale%20pour%20l%E2%80%99action%20sur%20les%20d%C3%A9terminants%20environnementaux%20de%20la%20sant%C3%A9%20humaine%20dans%20la%20R%C3%A9gion%20africaine%202022-2032.pdf</w:t>
        </w:r>
      </w:hyperlink>
    </w:p>
    <w:p w14:paraId="16657F5D" w14:textId="77777777" w:rsidR="004F1612"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Thurston, G. D., Kipen, H., Annesi-Maesano, I. (2017). A joint ERS/ATS policy statement : what constitutes an adverse health effect of air pollution ? An analytical framework. </w:t>
      </w:r>
      <w:r w:rsidRPr="00B63285">
        <w:rPr>
          <w:rFonts w:ascii="Arial" w:hAnsi="Arial" w:cs="Arial"/>
          <w:iCs/>
          <w:color w:val="222222"/>
          <w:shd w:val="clear" w:color="auto" w:fill="FFFFFF"/>
          <w:lang w:val="fr-FR" w:eastAsia="fr-FR"/>
        </w:rPr>
        <w:t>European Respiratory Journal</w:t>
      </w:r>
      <w:r w:rsidRPr="00B63285">
        <w:rPr>
          <w:rFonts w:ascii="Arial" w:hAnsi="Arial" w:cs="Arial"/>
          <w:color w:val="222222"/>
          <w:shd w:val="clear" w:color="auto" w:fill="FFFFFF"/>
          <w:lang w:val="fr-FR" w:eastAsia="fr-FR"/>
        </w:rPr>
        <w:t>, 49, 1600419.</w:t>
      </w:r>
    </w:p>
    <w:p w14:paraId="305680FB" w14:textId="2F050A86" w:rsidR="00B63285" w:rsidRPr="00B63285" w:rsidRDefault="00470FD3"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FF"/>
          <w:u w:val="single"/>
          <w:lang w:val="fr-FR" w:eastAsia="fr-FR"/>
        </w:rPr>
        <w:t xml:space="preserve">https://doi :10.1183/13993003.00419-2016  </w:t>
      </w:r>
    </w:p>
    <w:p w14:paraId="019EDF59"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Caroline, M., Sébastien, L., Bénédicte, J. &amp; Émeline, L. (2020). Métaux, pollution de l’air et santé, les mousses, des alliées originales en épidémiologie. Médecine/Sciences, 36, 376-81</w:t>
      </w:r>
    </w:p>
    <w:p w14:paraId="46EB1BB8"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 xml:space="preserve">OMS (2024). Pollution de l’air ambiant (extérieur). En ligne </w:t>
      </w:r>
      <w:hyperlink r:id="rId38" w:history="1">
        <w:r w:rsidRPr="00B63285">
          <w:rPr>
            <w:rFonts w:ascii="Arial" w:hAnsi="Arial" w:cs="Arial"/>
            <w:color w:val="0000FF"/>
            <w:u w:val="single"/>
            <w:lang w:val="fr-FR" w:eastAsia="fr-FR"/>
          </w:rPr>
          <w:t>https://www.who.int/fr/news-room/fact-sheets/detail/ambient-(outdoor)-air-quality-and-health</w:t>
        </w:r>
      </w:hyperlink>
    </w:p>
    <w:p w14:paraId="1F5EC07D" w14:textId="77777777" w:rsidR="004F1612" w:rsidRPr="004F1612"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Santé Publique France (SPF) (2021). Imprégnation de la population française par les métaux et métalloïdes. Programme national de biosurveillance, Esteban 2014-2016.  Synthèse/Etudes et Enquête, Saint</w:t>
      </w:r>
      <w:r w:rsidRPr="00B63285">
        <w:rPr>
          <w:rFonts w:ascii="Arial" w:hAnsi="Arial" w:cs="Arial"/>
          <w:color w:val="000000"/>
          <w:shd w:val="clear" w:color="auto" w:fill="FFFFFF"/>
          <w:lang w:val="fr-FR" w:eastAsia="fr-FR"/>
        </w:rPr>
        <w:noBreakHyphen/>
        <w:t>Maurice, France, 12p.</w:t>
      </w:r>
    </w:p>
    <w:p w14:paraId="5F03CA1B" w14:textId="15C047EE" w:rsidR="00B63285" w:rsidRPr="00B63285" w:rsidRDefault="001178F4"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39" w:history="1">
        <w:r w:rsidR="004F1612" w:rsidRPr="00516688">
          <w:rPr>
            <w:rStyle w:val="Hyperlink"/>
            <w:rFonts w:ascii="Arial" w:hAnsi="Arial" w:cs="Arial"/>
            <w:lang w:val="fr-FR" w:eastAsia="fr-FR"/>
          </w:rPr>
          <w:t>https://www.santepubliquefrance.fr/docs/impregnation-de-la-population-francaise-par-les-metaux-et-metalloides.-programme-national-de-biosurveillance.-esteban-2014-2016</w:t>
        </w:r>
      </w:hyperlink>
    </w:p>
    <w:p w14:paraId="2F6D5835" w14:textId="7F67F256"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Hamza, R., Sarmad, A. Q., Tuan, A. N., Muhammad, B. &amp; Hafiz, M. N. I. (2022). 20 - Microbial degradation of environmental pollutants. In Micro and Nano Technologies (Eds), Hafiz, M.N. Iqbal, M. B., Tuan A. N., Ghulam Y. (</w:t>
      </w:r>
      <w:r w:rsidRPr="00B63285">
        <w:rPr>
          <w:rFonts w:ascii="Arial" w:hAnsi="Arial" w:cs="Arial"/>
          <w:iCs/>
          <w:color w:val="222222"/>
          <w:shd w:val="clear" w:color="auto" w:fill="FFFFFF"/>
          <w:lang w:val="fr-FR" w:eastAsia="fr-FR"/>
        </w:rPr>
        <w:t>Elsevier</w:t>
      </w:r>
      <w:r w:rsidRPr="00B63285">
        <w:rPr>
          <w:rFonts w:ascii="Arial" w:hAnsi="Arial" w:cs="Arial"/>
          <w:color w:val="222222"/>
          <w:shd w:val="clear" w:color="auto" w:fill="FFFFFF"/>
          <w:lang w:val="fr-FR" w:eastAsia="fr-FR"/>
        </w:rPr>
        <w:t>, 509-528). Biodegradation and Biodeterioration At the Nanoscale.</w:t>
      </w:r>
    </w:p>
    <w:p w14:paraId="10DDC066"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Moustapha, K., Guillaume, Y. Y., Timothée, A. O., Amadou, D., Ange, N. G. K., Barthélemy, K. A. &amp; Joseph, A. D. (2025). Incidence of Lead and Mercury Biotoxicity in Rats with </w:t>
      </w:r>
      <w:r w:rsidRPr="00B63285">
        <w:rPr>
          <w:rFonts w:ascii="Arial" w:hAnsi="Arial" w:cs="Arial"/>
          <w:iCs/>
          <w:color w:val="222222"/>
          <w:shd w:val="clear" w:color="auto" w:fill="FFFFFF"/>
          <w:lang w:val="fr-FR" w:eastAsia="fr-FR"/>
        </w:rPr>
        <w:t>Escherichia coli</w:t>
      </w:r>
      <w:r w:rsidRPr="00B63285">
        <w:rPr>
          <w:rFonts w:ascii="Arial" w:hAnsi="Arial" w:cs="Arial"/>
          <w:color w:val="222222"/>
          <w:shd w:val="clear" w:color="auto" w:fill="FFFFFF"/>
          <w:lang w:val="fr-FR" w:eastAsia="fr-FR"/>
        </w:rPr>
        <w:t xml:space="preserve"> Infections. </w:t>
      </w:r>
      <w:r w:rsidRPr="00B63285">
        <w:rPr>
          <w:rFonts w:ascii="Arial" w:hAnsi="Arial" w:cs="Arial"/>
          <w:iCs/>
          <w:color w:val="222222"/>
          <w:shd w:val="clear" w:color="auto" w:fill="FFFFFF"/>
          <w:lang w:val="fr-FR" w:eastAsia="fr-FR"/>
        </w:rPr>
        <w:t>International Journal of Current Microbiology Appllied Sciences</w:t>
      </w:r>
      <w:r w:rsidRPr="00B63285">
        <w:rPr>
          <w:rFonts w:ascii="Arial" w:hAnsi="Arial" w:cs="Arial"/>
          <w:color w:val="222222"/>
          <w:shd w:val="clear" w:color="auto" w:fill="FFFFFF"/>
          <w:lang w:val="fr-FR" w:eastAsia="fr-FR"/>
        </w:rPr>
        <w:t>, 14(05), 170-180.</w:t>
      </w:r>
      <w:r w:rsidR="00B63285">
        <w:rPr>
          <w:rFonts w:ascii="Arial" w:hAnsi="Arial" w:cs="Arial"/>
          <w:color w:val="222222"/>
          <w:shd w:val="clear" w:color="auto" w:fill="FFFFFF"/>
          <w:lang w:val="fr-FR" w:eastAsia="fr-FR"/>
        </w:rPr>
        <w:t xml:space="preserve"> </w:t>
      </w:r>
      <w:r w:rsidRPr="00B63285">
        <w:rPr>
          <w:rFonts w:ascii="Arial" w:hAnsi="Arial" w:cs="Arial"/>
          <w:color w:val="0000FF"/>
          <w:u w:val="single"/>
          <w:lang w:val="fr-FR" w:eastAsia="fr-FR"/>
        </w:rPr>
        <w:t xml:space="preserve"> </w:t>
      </w:r>
      <w:hyperlink r:id="rId40" w:history="1">
        <w:r w:rsidRPr="00B63285">
          <w:rPr>
            <w:rFonts w:ascii="Arial" w:hAnsi="Arial" w:cs="Arial"/>
            <w:color w:val="0000FF"/>
            <w:u w:val="single"/>
            <w:lang w:val="fr-FR" w:eastAsia="fr-FR"/>
          </w:rPr>
          <w:t>https://doi.org/10.20546/ijcmas.2025.1405.017</w:t>
        </w:r>
      </w:hyperlink>
    </w:p>
    <w:p w14:paraId="262AC60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Ministère de l’Environnement et du Développement Durable (MEDD) (2018). La Politique Nationale de l’Environnement et du Développement Durable. Rapport, Abidjan, Côte d’Ivoire, 91p.</w:t>
      </w:r>
    </w:p>
    <w:p w14:paraId="51FC8EA7" w14:textId="77777777" w:rsidR="00B63285" w:rsidRPr="00B63285" w:rsidRDefault="001178F4"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1" w:history="1">
        <w:r w:rsidR="00B63285" w:rsidRPr="0002019A">
          <w:rPr>
            <w:rStyle w:val="Hyperlink"/>
            <w:rFonts w:ascii="Arial" w:hAnsi="Arial" w:cs="Arial"/>
            <w:lang w:val="fr-FR" w:eastAsia="fr-FR"/>
          </w:rPr>
          <w:t>https://environnement.gouv.ci/wp-content/uploads/2022/08/Politique-Nationale-de-lEnvironnement-et-du-Developpement-Durable-2018.pdf</w:t>
        </w:r>
      </w:hyperlink>
    </w:p>
    <w:p w14:paraId="60F983C5" w14:textId="77777777" w:rsid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Koffi, D., Bonouman, I. V., Touré, A. O., Kouadjo, F., N’Gou, M. B. R., Sylla, K.,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(2021). Estimates of serious fungal infection burden in Côte d’Ivoire and country health profile. </w:t>
      </w:r>
      <w:r w:rsidRPr="00B63285">
        <w:rPr>
          <w:rFonts w:ascii="Arial" w:hAnsi="Arial" w:cs="Arial"/>
          <w:iCs/>
          <w:color w:val="222222"/>
          <w:shd w:val="clear" w:color="auto" w:fill="FFFFFF"/>
          <w:lang w:val="fr-FR" w:eastAsia="fr-FR"/>
        </w:rPr>
        <w:t>Journal of Medical Mycology</w:t>
      </w:r>
      <w:r w:rsidRPr="00B63285">
        <w:rPr>
          <w:rFonts w:ascii="Arial" w:hAnsi="Arial" w:cs="Arial"/>
          <w:color w:val="222222"/>
          <w:shd w:val="clear" w:color="auto" w:fill="FFFFFF"/>
          <w:lang w:val="fr-FR" w:eastAsia="fr-FR"/>
        </w:rPr>
        <w:t>, 31(1), 101086.</w:t>
      </w:r>
      <w:bookmarkStart w:id="1" w:name="_Hlk223383925"/>
    </w:p>
    <w:bookmarkEnd w:id="1"/>
    <w:p w14:paraId="2C8B9008"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Kadiane, O. N. J., Koné, D., Oussou, K. R., Yapo, M. T., Karidioula, J. M., Tiéoulé, S. C.,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xml:space="preserve">. (2023). Prévalence des infections nosocomiales au Centre Hospitalier Universitaire (CHU) de Bouaké, Côte d'Ivoire. </w:t>
      </w:r>
      <w:r w:rsidRPr="00B63285">
        <w:rPr>
          <w:rFonts w:ascii="Arial" w:hAnsi="Arial" w:cs="Arial"/>
          <w:iCs/>
          <w:color w:val="222222"/>
          <w:shd w:val="clear" w:color="auto" w:fill="FFFFFF"/>
          <w:lang w:val="fr-FR" w:eastAsia="fr-FR"/>
        </w:rPr>
        <w:t>Revue africaine d’Anesthésiologie et de Médecine d’Urgence</w:t>
      </w:r>
      <w:r w:rsidRPr="00B63285">
        <w:rPr>
          <w:rFonts w:ascii="Arial" w:hAnsi="Arial" w:cs="Arial"/>
          <w:color w:val="222222"/>
          <w:shd w:val="clear" w:color="auto" w:fill="FFFFFF"/>
          <w:lang w:val="fr-FR" w:eastAsia="fr-FR"/>
        </w:rPr>
        <w:t>, 28 (2), 61-65.</w:t>
      </w:r>
    </w:p>
    <w:p w14:paraId="01214526"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Gbégbé, D. A., N’Zi, N. P., Monthaut, S., Allé, A. P. &amp; Angaman, D. M. (2023). Prévalence et écologie microbienne des infections des voies urinaires au CHR de Daloa (Côte d’Ivoire). </w:t>
      </w:r>
      <w:r w:rsidRPr="00B63285">
        <w:rPr>
          <w:rFonts w:ascii="Arial" w:hAnsi="Arial" w:cs="Arial"/>
          <w:iCs/>
          <w:color w:val="222222"/>
          <w:shd w:val="clear" w:color="auto" w:fill="FFFFFF"/>
          <w:lang w:val="fr-FR" w:eastAsia="fr-FR"/>
        </w:rPr>
        <w:t>Journal of Applied Biosciences</w:t>
      </w:r>
      <w:r w:rsidRPr="00B63285">
        <w:rPr>
          <w:rFonts w:ascii="Arial" w:hAnsi="Arial" w:cs="Arial"/>
          <w:color w:val="222222"/>
          <w:shd w:val="clear" w:color="auto" w:fill="FFFFFF"/>
          <w:lang w:val="fr-FR" w:eastAsia="fr-FR"/>
        </w:rPr>
        <w:t>, 192, 20319-20330.</w:t>
      </w:r>
    </w:p>
    <w:p w14:paraId="746665CB"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Conseil Canadien de Protection des Animaux (CCPA). (2020). Lignes directrices du CCPA : les rats, 119 p.</w:t>
      </w:r>
    </w:p>
    <w:p w14:paraId="175C1649" w14:textId="77777777" w:rsidR="00B63285" w:rsidRPr="00B63285" w:rsidRDefault="001178F4"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2" w:history="1">
        <w:r w:rsidR="00470FD3" w:rsidRPr="00B63285">
          <w:rPr>
            <w:rFonts w:ascii="Arial" w:hAnsi="Arial" w:cs="Arial"/>
            <w:color w:val="0070C0"/>
            <w:u w:val="single"/>
            <w:shd w:val="clear" w:color="auto" w:fill="FFFFFF"/>
            <w:lang w:val="fr-FR" w:eastAsia="fr-FR"/>
          </w:rPr>
          <w:t>https://ccac.ca/Documents/Normes/Lignes_directrices/Lignes_directrices_du_CCPA_sur_les_rats-Sept2022.pdf</w:t>
        </w:r>
      </w:hyperlink>
      <w:r w:rsidR="00470FD3" w:rsidRPr="00B63285">
        <w:rPr>
          <w:rFonts w:ascii="Arial" w:hAnsi="Arial" w:cs="Arial"/>
          <w:color w:val="0070C0"/>
          <w:shd w:val="clear" w:color="auto" w:fill="FFFFFF"/>
          <w:lang w:val="fr-FR" w:eastAsia="fr-FR"/>
        </w:rPr>
        <w:t xml:space="preserve"> </w:t>
      </w:r>
    </w:p>
    <w:p w14:paraId="42CF9F00"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Agence nationale de sécurité sanitaire de l'alimentation, de l'environnement et du travail (ANSES). (2023). Liste des Valeurs Toxicologiques de Référence (VTR) de l’ANSES. 7p.</w:t>
      </w:r>
      <w:r w:rsidRPr="00B63285">
        <w:rPr>
          <w:rFonts w:ascii="Arial" w:hAnsi="Arial" w:cs="Arial"/>
          <w:lang w:val="fr-FR" w:eastAsia="fr-FR"/>
        </w:rPr>
        <w:t xml:space="preserve"> </w:t>
      </w:r>
      <w:hyperlink r:id="rId43" w:history="1">
        <w:r w:rsidRPr="00B63285">
          <w:rPr>
            <w:rFonts w:ascii="Arial" w:hAnsi="Arial" w:cs="Arial"/>
            <w:color w:val="0000FF"/>
            <w:u w:val="single"/>
            <w:shd w:val="clear" w:color="auto" w:fill="FFFFFF"/>
            <w:lang w:val="fr-FR" w:eastAsia="fr-FR"/>
          </w:rPr>
          <w:t>https://www.anses.fr/fr/content/liste-des-valeurs-toxicologiques-de r%C3%A9f%C3%A9rence-vtr-de-l%E2%80%99anses</w:t>
        </w:r>
      </w:hyperlink>
    </w:p>
    <w:p w14:paraId="32138A7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Agency for Toxic Substances and Disease Registry (ATSDR). (2022). Toxicological profile for mercury. U.S Department of health and human services, 847p. </w:t>
      </w:r>
      <w:hyperlink r:id="rId44" w:history="1">
        <w:r w:rsidRPr="00B63285">
          <w:rPr>
            <w:rFonts w:ascii="Arial" w:hAnsi="Arial" w:cs="Arial"/>
            <w:color w:val="0000FF"/>
            <w:u w:val="single"/>
            <w:shd w:val="clear" w:color="auto" w:fill="FFFFFF"/>
            <w:lang w:val="fr-FR" w:eastAsia="fr-FR"/>
          </w:rPr>
          <w:t>https://www.atsdr.cdc.gov/ToxProfiles/tp46.pdf</w:t>
        </w:r>
      </w:hyperlink>
    </w:p>
    <w:p w14:paraId="32B47577"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 xml:space="preserve">Conseil Supérieur de la Santé (CSS) (2020). Formulations de glyphosate et contenant du glyphosate. Avis n° 9561, Bruxelles, Belgique, 62p. </w:t>
      </w:r>
    </w:p>
    <w:p w14:paraId="500B1578" w14:textId="77777777" w:rsidR="00B63285" w:rsidRPr="00B63285" w:rsidRDefault="00470FD3"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FF"/>
          <w:u w:val="single"/>
          <w:shd w:val="clear" w:color="auto" w:fill="FFFFFF"/>
          <w:lang w:val="fr-FR" w:eastAsia="fr-FR"/>
        </w:rPr>
        <w:t>https://www.hgr-css.be/fr/avis/9561/formulations-de-glyphosate-et-contenant-du-glyphosate ?</w:t>
      </w:r>
    </w:p>
    <w:p w14:paraId="5443821F" w14:textId="77777777" w:rsidR="00B63285" w:rsidRP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Cziek, A., Literak, I., &amp; Scheer, P. (2000). Survival of Escherichia coli O157 in faeces of experimentally infected rats and domestic pigeons. Letters in Applied Microbiology, 31(5), 349-352.</w:t>
      </w:r>
    </w:p>
    <w:p w14:paraId="3CE3BDD2"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Russell, C., &amp; Jones J., H. (1973). Effects of oral inoculation of Candida albicans in tetracyclinetreated rats. Journal of Medical Microbiology, 6, 275-279.</w:t>
      </w:r>
    </w:p>
    <w:p w14:paraId="07F603F9"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 xml:space="preserve">OCDE (2001). Ligne directrice de L’OCDE pour les essais de produits chimiques. En ligne </w:t>
      </w:r>
      <w:hyperlink r:id="rId45" w:history="1">
        <w:r w:rsidR="00B63285" w:rsidRPr="0002019A">
          <w:rPr>
            <w:rStyle w:val="Hyperlink"/>
            <w:rFonts w:ascii="Arial" w:hAnsi="Arial" w:cs="Arial"/>
            <w:lang w:val="fr-FR" w:eastAsia="fr-FR"/>
          </w:rPr>
          <w:t>https://www.oecd.org/fr/data/methods.html</w:t>
        </w:r>
      </w:hyperlink>
      <w:r w:rsidRPr="00B63285">
        <w:rPr>
          <w:rFonts w:ascii="Arial" w:hAnsi="Arial" w:cs="Arial"/>
          <w:color w:val="0000FF"/>
          <w:u w:val="single"/>
          <w:lang w:val="fr-FR" w:eastAsia="fr-FR"/>
        </w:rPr>
        <w:t>.</w:t>
      </w:r>
    </w:p>
    <w:p w14:paraId="04032367" w14:textId="77777777" w:rsid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Ghasemi, A., Jeddi, S. &amp; Kashfi, K. (2021). The laboratory rat : Age and body weight matter. </w:t>
      </w:r>
      <w:r w:rsidRPr="00B63285">
        <w:rPr>
          <w:rFonts w:ascii="Arial" w:hAnsi="Arial" w:cs="Arial"/>
          <w:iCs/>
          <w:color w:val="222222"/>
          <w:shd w:val="clear" w:color="auto" w:fill="FFFFFF"/>
          <w:lang w:val="fr-FR" w:eastAsia="fr-FR"/>
        </w:rPr>
        <w:t>EXCLI Journal</w:t>
      </w:r>
      <w:r w:rsidRPr="00B63285">
        <w:rPr>
          <w:rFonts w:ascii="Arial" w:hAnsi="Arial" w:cs="Arial"/>
          <w:color w:val="222222"/>
          <w:shd w:val="clear" w:color="auto" w:fill="FFFFFF"/>
          <w:lang w:val="fr-FR" w:eastAsia="fr-FR"/>
        </w:rPr>
        <w:t>, 20, 1431-1445.</w:t>
      </w:r>
    </w:p>
    <w:p w14:paraId="0771E5E3"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Vilchez, S., Reyes, D., Paniagua, M., Bucardo, F., Möllby, R., &amp; Weintraub, A. (2009). Prevalence of diarrhoeagenic Escherichia coli in children from Leon, Nicaragua. Journal of medical microbiology, 58(5), 630-637.</w:t>
      </w:r>
    </w:p>
    <w:p w14:paraId="378CE32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 xml:space="preserve">Société Française de Microbiologie (SFM) (2024). Détermination de la sensibilité aux antibiotiques. In : CA-SFM / EUCAST : Société Française de Microbiologie, Paris, France, 12-37. </w:t>
      </w:r>
    </w:p>
    <w:p w14:paraId="32F3E12F" w14:textId="77777777" w:rsidR="00B63285" w:rsidRPr="00B63285" w:rsidRDefault="001178F4"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6" w:history="1">
        <w:r w:rsidR="00B63285" w:rsidRPr="0002019A">
          <w:rPr>
            <w:rStyle w:val="Hyperlink"/>
            <w:rFonts w:ascii="Arial" w:hAnsi="Arial" w:cs="Arial"/>
            <w:shd w:val="clear" w:color="auto" w:fill="FFFFFF"/>
            <w:lang w:val="fr-FR" w:eastAsia="fr-FR"/>
          </w:rPr>
          <w:t>https://www.sfm-microbiologie.org/wp-content/uploads/2024/06/CASFM2024_V1.0.pdf</w:t>
        </w:r>
      </w:hyperlink>
    </w:p>
    <w:p w14:paraId="51128584"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Preeti, S., Sorabh, S., S., &amp; Divya, S. (2017). Evaluation of Candida species from clinical specimens by using CHROMagar. International Journal of Advanced Research, 5(2), 750-1755.</w:t>
      </w:r>
    </w:p>
    <w:p w14:paraId="4E98F0B2"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eastAsia="Calibri" w:hAnsi="Arial" w:cs="Arial"/>
          <w:bCs/>
          <w:shd w:val="clear" w:color="auto" w:fill="FFFFFF"/>
          <w:lang w:val="fr-FR"/>
        </w:rPr>
        <w:t>Clinical</w:t>
      </w:r>
      <w:r w:rsidRPr="00B63285">
        <w:rPr>
          <w:rFonts w:ascii="Arial" w:eastAsia="Calibri" w:hAnsi="Arial" w:cs="Arial"/>
          <w:shd w:val="clear" w:color="auto" w:fill="FFFFFF"/>
          <w:lang w:val="fr-FR"/>
        </w:rPr>
        <w:t> and </w:t>
      </w:r>
      <w:r w:rsidRPr="00B63285">
        <w:rPr>
          <w:rFonts w:ascii="Arial" w:eastAsia="Calibri" w:hAnsi="Arial" w:cs="Arial"/>
          <w:bCs/>
          <w:shd w:val="clear" w:color="auto" w:fill="FFFFFF"/>
          <w:lang w:val="fr-FR"/>
        </w:rPr>
        <w:t>Laboratory</w:t>
      </w:r>
      <w:r w:rsidRPr="00B63285">
        <w:rPr>
          <w:rFonts w:ascii="Arial" w:eastAsia="Calibri" w:hAnsi="Arial" w:cs="Arial"/>
          <w:shd w:val="clear" w:color="auto" w:fill="FFFFFF"/>
          <w:lang w:val="fr-FR"/>
        </w:rPr>
        <w:t xml:space="preserve"> Standards Institute (CLSI) (2023). </w:t>
      </w:r>
      <w:r w:rsidRPr="00B63285">
        <w:rPr>
          <w:rFonts w:ascii="Arial" w:hAnsi="Arial" w:cs="Arial"/>
          <w:shd w:val="clear" w:color="auto" w:fill="FFFFFF"/>
          <w:lang w:val="fr-FR" w:eastAsia="fr-FR"/>
        </w:rPr>
        <w:t xml:space="preserve">Antimicrobial Susceptibility Summary 2023. Clinical Microbiology, Department of Pathology and Laboratory Medicine, </w:t>
      </w:r>
      <w:r w:rsidRPr="00B63285">
        <w:rPr>
          <w:rFonts w:ascii="Arial" w:eastAsia="Calibri" w:hAnsi="Arial" w:cs="Arial"/>
          <w:shd w:val="clear" w:color="auto" w:fill="FFFFFF"/>
          <w:lang w:val="fr-FR"/>
        </w:rPr>
        <w:t>UCLA Health System, 50p</w:t>
      </w:r>
      <w:r w:rsidRPr="00B63285">
        <w:rPr>
          <w:rFonts w:ascii="Times New Roman" w:eastAsia="Calibri" w:hAnsi="Times New Roman"/>
          <w:sz w:val="24"/>
          <w:szCs w:val="24"/>
          <w:lang w:val="fr-FR"/>
        </w:rPr>
        <w:t>.</w:t>
      </w:r>
    </w:p>
    <w:p w14:paraId="5C56AB0A" w14:textId="77777777" w:rsidR="00B63285" w:rsidRPr="00B63285" w:rsidRDefault="001178F4"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7" w:history="1">
        <w:r w:rsidR="00470FD3" w:rsidRPr="00B63285">
          <w:rPr>
            <w:rFonts w:ascii="Arial" w:hAnsi="Arial" w:cs="Arial"/>
            <w:color w:val="0563C1"/>
            <w:u w:val="single"/>
            <w:shd w:val="clear" w:color="auto" w:fill="FFFFFF"/>
            <w:lang w:val="fr-FR" w:eastAsia="fr-FR"/>
          </w:rPr>
          <w:t>https://asp.mednet.ucla.edu/file/43239/2023_antibiogram_corrected.pdf</w:t>
        </w:r>
      </w:hyperlink>
    </w:p>
    <w:p w14:paraId="03EC7853" w14:textId="00451E8A" w:rsidR="00B63285" w:rsidRP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Hotamisligil, G. S. (2006). Inflammation and metabolic disorders, </w:t>
      </w:r>
      <w:r w:rsidRPr="00B63285">
        <w:rPr>
          <w:rFonts w:ascii="Arial" w:hAnsi="Arial" w:cs="Arial"/>
          <w:iCs/>
          <w:color w:val="222222"/>
          <w:shd w:val="clear" w:color="auto" w:fill="FFFFFF"/>
          <w:lang w:val="fr-FR" w:eastAsia="fr-FR"/>
        </w:rPr>
        <w:t>Nature</w:t>
      </w:r>
      <w:r w:rsidRPr="00B63285">
        <w:rPr>
          <w:rFonts w:ascii="Arial" w:hAnsi="Arial" w:cs="Arial"/>
          <w:color w:val="222222"/>
          <w:shd w:val="clear" w:color="auto" w:fill="FFFFFF"/>
          <w:lang w:val="fr-FR" w:eastAsia="fr-FR"/>
        </w:rPr>
        <w:t>, 14, 444(7121), 860- 867.</w:t>
      </w:r>
      <w:r w:rsidRPr="00B63285">
        <w:rPr>
          <w:rFonts w:ascii="Arial" w:hAnsi="Arial" w:cs="Arial"/>
          <w:color w:val="0000FF"/>
          <w:u w:val="single"/>
          <w:lang w:val="fr-FR" w:eastAsia="fr-FR"/>
        </w:rPr>
        <w:t xml:space="preserve"> </w:t>
      </w:r>
      <w:r w:rsidR="004F1612" w:rsidRPr="00B63285">
        <w:rPr>
          <w:rFonts w:ascii="Arial" w:hAnsi="Arial" w:cs="Arial"/>
          <w:color w:val="0000FF"/>
          <w:u w:val="single"/>
          <w:lang w:val="fr-FR" w:eastAsia="fr-FR"/>
        </w:rPr>
        <w:t>https://doi :</w:t>
      </w:r>
      <w:r w:rsidRPr="00B63285">
        <w:rPr>
          <w:rFonts w:ascii="Arial" w:hAnsi="Arial" w:cs="Arial"/>
          <w:color w:val="0000FF"/>
          <w:u w:val="single"/>
          <w:lang w:val="fr-FR" w:eastAsia="fr-FR"/>
        </w:rPr>
        <w:t xml:space="preserve"> 10.1038/nature05485</w:t>
      </w:r>
    </w:p>
    <w:p w14:paraId="21D0CBE4"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lastRenderedPageBreak/>
        <w:t>Semple, J. W., Italiano, J. E. &amp; Freedman, J. (2011). Platelets and the immune continuum</w:t>
      </w:r>
      <w:r w:rsidRPr="00B63285">
        <w:rPr>
          <w:rFonts w:ascii="Arial" w:hAnsi="Arial" w:cs="Arial"/>
          <w:i/>
          <w:iCs/>
          <w:color w:val="222222"/>
          <w:shd w:val="clear" w:color="auto" w:fill="FFFFFF"/>
          <w:lang w:val="fr-FR" w:eastAsia="fr-FR"/>
        </w:rPr>
        <w:t xml:space="preserve">, </w:t>
      </w:r>
      <w:r w:rsidRPr="00B63285">
        <w:rPr>
          <w:rFonts w:ascii="Arial" w:hAnsi="Arial" w:cs="Arial"/>
          <w:iCs/>
          <w:color w:val="222222"/>
          <w:shd w:val="clear" w:color="auto" w:fill="FFFFFF"/>
          <w:lang w:val="fr-FR" w:eastAsia="fr-FR"/>
        </w:rPr>
        <w:t>Nature Reviews Immunology</w:t>
      </w:r>
      <w:r w:rsidRPr="00B63285">
        <w:rPr>
          <w:rFonts w:ascii="Arial" w:hAnsi="Arial" w:cs="Arial"/>
          <w:color w:val="222222"/>
          <w:shd w:val="clear" w:color="auto" w:fill="FFFFFF"/>
          <w:lang w:val="fr-FR" w:eastAsia="fr-FR"/>
        </w:rPr>
        <w:t xml:space="preserve">, 11(4), 264-274. </w:t>
      </w:r>
    </w:p>
    <w:p w14:paraId="622AA518"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Lytvynenko, R. O. &amp; Makyeyeva, V. L. (2021). Hematological leukocytes ratio </w:t>
      </w:r>
      <w:proofErr w:type="gramStart"/>
      <w:r w:rsidRPr="00B63285">
        <w:rPr>
          <w:rFonts w:ascii="Arial" w:hAnsi="Arial" w:cs="Arial"/>
          <w:color w:val="222222"/>
          <w:shd w:val="clear" w:color="auto" w:fill="FFFFFF"/>
          <w:lang w:val="fr-FR" w:eastAsia="fr-FR"/>
        </w:rPr>
        <w:t>indices:</w:t>
      </w:r>
      <w:proofErr w:type="gramEnd"/>
      <w:r w:rsidRPr="00B63285">
        <w:rPr>
          <w:rFonts w:ascii="Arial" w:hAnsi="Arial" w:cs="Arial"/>
          <w:color w:val="222222"/>
          <w:shd w:val="clear" w:color="auto" w:fill="FFFFFF"/>
          <w:lang w:val="fr-FR" w:eastAsia="fr-FR"/>
        </w:rPr>
        <w:t xml:space="preserve"> predictors of acute purulent fecal peritonitis in nonlinear laboratory rats. </w:t>
      </w:r>
      <w:r w:rsidRPr="00B63285">
        <w:rPr>
          <w:rFonts w:ascii="Arial" w:hAnsi="Arial" w:cs="Arial"/>
          <w:iCs/>
          <w:color w:val="222222"/>
          <w:shd w:val="clear" w:color="auto" w:fill="FFFFFF"/>
          <w:lang w:val="fr-FR" w:eastAsia="fr-FR"/>
        </w:rPr>
        <w:t>Journal Advanced Biotechnology and Experimental Therapeutics</w:t>
      </w:r>
      <w:r w:rsidRPr="00B63285">
        <w:rPr>
          <w:rFonts w:ascii="Arial" w:hAnsi="Arial" w:cs="Arial"/>
          <w:color w:val="222222"/>
          <w:shd w:val="clear" w:color="auto" w:fill="FFFFFF"/>
          <w:lang w:val="fr-FR" w:eastAsia="fr-FR"/>
        </w:rPr>
        <w:t xml:space="preserve">, 4(2), 120-132. </w:t>
      </w:r>
      <w:hyperlink r:id="rId48" w:history="1">
        <w:r w:rsidRPr="00B63285">
          <w:rPr>
            <w:rFonts w:ascii="Arial" w:hAnsi="Arial" w:cs="Arial"/>
            <w:color w:val="0000FF"/>
            <w:u w:val="single"/>
            <w:shd w:val="clear" w:color="auto" w:fill="FFFFFF"/>
            <w:lang w:val="fr-FR" w:eastAsia="fr-FR"/>
          </w:rPr>
          <w:t>https://</w:t>
        </w:r>
        <w:r w:rsidRPr="00B63285">
          <w:rPr>
            <w:rFonts w:ascii="Arial" w:hAnsi="Arial" w:cs="Arial"/>
            <w:color w:val="0000FF"/>
            <w:u w:val="single"/>
            <w:lang w:val="fr-FR" w:eastAsia="fr-FR"/>
          </w:rPr>
          <w:t>doi:10.5455/jabet.2021.d113</w:t>
        </w:r>
      </w:hyperlink>
      <w:r w:rsidRPr="00B63285">
        <w:rPr>
          <w:rFonts w:ascii="Arial" w:hAnsi="Arial" w:cs="Arial"/>
          <w:color w:val="0000FF"/>
          <w:u w:val="single"/>
          <w:lang w:val="fr-FR" w:eastAsia="fr-FR"/>
        </w:rPr>
        <w:t xml:space="preserve"> </w:t>
      </w:r>
    </w:p>
    <w:p w14:paraId="190C7D90"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Colette, C., Magali, T., Matthieu, B., Jean-Loup B., Olivier F., Koussay D.,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xml:space="preserve">., (2020). Pathogenic </w:t>
      </w:r>
      <w:r w:rsidRPr="00B63285">
        <w:rPr>
          <w:rFonts w:ascii="Arial" w:hAnsi="Arial" w:cs="Arial"/>
          <w:iCs/>
          <w:color w:val="222222"/>
          <w:shd w:val="clear" w:color="auto" w:fill="FFFFFF"/>
          <w:lang w:val="fr-FR" w:eastAsia="fr-FR"/>
        </w:rPr>
        <w:t>Leptospira</w:t>
      </w:r>
      <w:r w:rsidRPr="00B63285">
        <w:rPr>
          <w:rFonts w:ascii="Arial" w:hAnsi="Arial" w:cs="Arial"/>
          <w:color w:val="222222"/>
          <w:shd w:val="clear" w:color="auto" w:fill="FFFFFF"/>
          <w:lang w:val="fr-FR" w:eastAsia="fr-FR"/>
        </w:rPr>
        <w:t xml:space="preserve"> and their animal reservoirs : testing host specificity through experimental infection. </w:t>
      </w:r>
      <w:r w:rsidRPr="00B63285">
        <w:rPr>
          <w:rFonts w:ascii="Arial" w:hAnsi="Arial" w:cs="Arial"/>
          <w:iCs/>
          <w:color w:val="222222"/>
          <w:shd w:val="clear" w:color="auto" w:fill="FFFFFF"/>
          <w:lang w:val="fr-FR" w:eastAsia="fr-FR"/>
        </w:rPr>
        <w:t>Scientific Reports</w:t>
      </w:r>
      <w:r w:rsidRPr="00B63285">
        <w:rPr>
          <w:rFonts w:ascii="Arial" w:hAnsi="Arial" w:cs="Arial"/>
          <w:color w:val="222222"/>
          <w:shd w:val="clear" w:color="auto" w:fill="FFFFFF"/>
          <w:lang w:val="fr-FR" w:eastAsia="fr-FR"/>
        </w:rPr>
        <w:t xml:space="preserve">, 10(1), 7239. </w:t>
      </w:r>
      <w:hyperlink r:id="rId49" w:history="1">
        <w:r w:rsidRPr="00B63285">
          <w:rPr>
            <w:rFonts w:ascii="Arial" w:hAnsi="Arial" w:cs="Arial"/>
            <w:color w:val="0000FF"/>
            <w:u w:val="single"/>
            <w:shd w:val="clear" w:color="auto" w:fill="FFFFFF"/>
            <w:lang w:val="fr-FR" w:eastAsia="fr-FR"/>
          </w:rPr>
          <w:t>https://doi.org/10.1038/s41598-020-64172-4</w:t>
        </w:r>
      </w:hyperlink>
    </w:p>
    <w:p w14:paraId="0F39A9C0" w14:textId="77777777" w:rsidR="009B4158"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Flora, G., Gupta, D. &amp; Tiwari, A. (2012). Toxicity of lead : a review with recent updates. </w:t>
      </w:r>
      <w:r w:rsidRPr="00B63285">
        <w:rPr>
          <w:rFonts w:ascii="Arial" w:hAnsi="Arial" w:cs="Arial"/>
          <w:iCs/>
          <w:color w:val="222222"/>
          <w:shd w:val="clear" w:color="auto" w:fill="FFFFFF"/>
          <w:lang w:val="fr-FR" w:eastAsia="fr-FR"/>
        </w:rPr>
        <w:t>Interdisciplinary toxicology</w:t>
      </w:r>
      <w:r w:rsidRPr="00B63285">
        <w:rPr>
          <w:rFonts w:ascii="Arial" w:hAnsi="Arial" w:cs="Arial"/>
          <w:color w:val="222222"/>
          <w:shd w:val="clear" w:color="auto" w:fill="FFFFFF"/>
          <w:lang w:val="fr-FR" w:eastAsia="fr-FR"/>
        </w:rPr>
        <w:t>, 5(2), 47.</w:t>
      </w:r>
    </w:p>
    <w:p w14:paraId="3231D336" w14:textId="77777777" w:rsidR="009B4158" w:rsidRPr="009B4158" w:rsidRDefault="00470FD3" w:rsidP="009B4158">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9B4158">
        <w:rPr>
          <w:rFonts w:ascii="Arial" w:hAnsi="Arial" w:cs="Arial"/>
          <w:color w:val="222222"/>
          <w:shd w:val="clear" w:color="auto" w:fill="FFFFFF"/>
          <w:lang w:val="fr-FR" w:eastAsia="fr-FR"/>
        </w:rPr>
        <w:t xml:space="preserve">López, V. N. C., Hernández, G., Maldonado, V. M., Calderón, S. J. V. (2020). Leukocyte apoptosis, TNF-α concentration and oxidative damage in leadexposed workers. </w:t>
      </w:r>
      <w:r w:rsidRPr="009B4158">
        <w:rPr>
          <w:rFonts w:ascii="Arial" w:hAnsi="Arial" w:cs="Arial"/>
          <w:iCs/>
          <w:color w:val="222222"/>
          <w:shd w:val="clear" w:color="auto" w:fill="FFFFFF"/>
          <w:lang w:val="fr-FR" w:eastAsia="fr-FR"/>
        </w:rPr>
        <w:t>Toxicology and Applied Pharmacology</w:t>
      </w:r>
      <w:r w:rsidRPr="009B4158">
        <w:rPr>
          <w:rFonts w:ascii="Arial" w:hAnsi="Arial" w:cs="Arial"/>
          <w:color w:val="222222"/>
          <w:shd w:val="clear" w:color="auto" w:fill="FFFFFF"/>
          <w:lang w:val="fr-FR" w:eastAsia="fr-FR"/>
        </w:rPr>
        <w:t xml:space="preserve">, 391, 114901. </w:t>
      </w:r>
      <w:hyperlink r:id="rId50" w:history="1">
        <w:r w:rsidR="009B4158" w:rsidRPr="0002019A">
          <w:rPr>
            <w:rStyle w:val="Hyperlink"/>
            <w:rFonts w:ascii="Arial" w:hAnsi="Arial" w:cs="Arial"/>
            <w:lang w:val="fr-FR" w:eastAsia="fr-FR"/>
          </w:rPr>
          <w:t>https://doi.org/10.1016/j.taap.2020.114901</w:t>
        </w:r>
      </w:hyperlink>
    </w:p>
    <w:p w14:paraId="3C809BC1" w14:textId="77777777" w:rsidR="009B4158"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9B4158">
        <w:rPr>
          <w:rFonts w:ascii="Arial" w:hAnsi="Arial" w:cs="Arial"/>
          <w:color w:val="222222"/>
          <w:shd w:val="clear" w:color="auto" w:fill="FFFFFF"/>
          <w:lang w:val="fr-FR" w:eastAsia="fr-FR"/>
        </w:rPr>
        <w:t xml:space="preserve">Vianna, A. D. S., Matos, E. P. D., Jesus, I. M. D., Asmus, C. I. R. F. &amp; Câmara, V. D. M. (2019). Human exposure to mercury and its hematological effects : a systematic review, </w:t>
      </w:r>
      <w:r w:rsidRPr="009B4158">
        <w:rPr>
          <w:rFonts w:ascii="Arial" w:hAnsi="Arial" w:cs="Arial"/>
          <w:iCs/>
          <w:color w:val="222222"/>
          <w:shd w:val="clear" w:color="auto" w:fill="FFFFFF"/>
          <w:lang w:val="fr-FR" w:eastAsia="fr-FR"/>
        </w:rPr>
        <w:t>Cadernos de saude publica</w:t>
      </w:r>
      <w:r w:rsidRPr="009B4158">
        <w:rPr>
          <w:rFonts w:ascii="Arial" w:hAnsi="Arial" w:cs="Arial"/>
          <w:color w:val="222222"/>
          <w:shd w:val="clear" w:color="auto" w:fill="FFFFFF"/>
          <w:lang w:val="fr-FR" w:eastAsia="fr-FR"/>
        </w:rPr>
        <w:t>, 35 (2), e00091618.</w:t>
      </w:r>
    </w:p>
    <w:p w14:paraId="2CE40C7D" w14:textId="77777777" w:rsidR="009B4158" w:rsidRPr="009B4158"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9B4158">
        <w:rPr>
          <w:rFonts w:ascii="Arial" w:hAnsi="Arial" w:cs="Arial"/>
          <w:color w:val="222222"/>
          <w:shd w:val="clear" w:color="auto" w:fill="FFFFFF"/>
          <w:lang w:val="fr-FR" w:eastAsia="fr-FR"/>
        </w:rPr>
        <w:t xml:space="preserve">Winiarska, M. A., Baranowska, W. E., Kwiecień, M., Grela, E. R., Szwajgier, D., Kwiatkowska, K., </w:t>
      </w:r>
      <w:r w:rsidRPr="009B4158">
        <w:rPr>
          <w:rFonts w:ascii="Arial" w:hAnsi="Arial" w:cs="Arial"/>
          <w:i/>
          <w:color w:val="222222"/>
          <w:shd w:val="clear" w:color="auto" w:fill="FFFFFF"/>
          <w:lang w:val="fr-FR" w:eastAsia="fr-FR"/>
        </w:rPr>
        <w:t>et al</w:t>
      </w:r>
      <w:r w:rsidRPr="009B4158">
        <w:rPr>
          <w:rFonts w:ascii="Arial" w:hAnsi="Arial" w:cs="Arial"/>
          <w:color w:val="222222"/>
          <w:shd w:val="clear" w:color="auto" w:fill="FFFFFF"/>
          <w:lang w:val="fr-FR" w:eastAsia="fr-FR"/>
        </w:rPr>
        <w:t xml:space="preserve">. (2020). The role of dietary antioxidants in the pathogenesis of neurodegenerative diseases and their impact on cerebral oxidoreductive balance. Nutrients, 12(2), 435. </w:t>
      </w:r>
      <w:r w:rsidRPr="009B4158">
        <w:rPr>
          <w:rFonts w:ascii="Arial" w:hAnsi="Arial" w:cs="Arial"/>
          <w:color w:val="0000FF"/>
          <w:u w:val="single"/>
          <w:lang w:val="fr-FR" w:eastAsia="fr-FR"/>
        </w:rPr>
        <w:t xml:space="preserve"> </w:t>
      </w:r>
      <w:hyperlink r:id="rId51" w:history="1">
        <w:r w:rsidRPr="009B4158">
          <w:rPr>
            <w:rFonts w:ascii="Arial" w:hAnsi="Arial" w:cs="Arial"/>
            <w:color w:val="0000FF"/>
            <w:u w:val="single"/>
            <w:lang w:val="fr-FR" w:eastAsia="fr-FR"/>
          </w:rPr>
          <w:t>https://doi:10.3390/nu12020435</w:t>
        </w:r>
      </w:hyperlink>
    </w:p>
    <w:p w14:paraId="43BFD4ED"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9B4158">
        <w:rPr>
          <w:rFonts w:ascii="Arial" w:hAnsi="Arial" w:cs="Arial"/>
          <w:color w:val="222222"/>
          <w:shd w:val="clear" w:color="auto" w:fill="FFFFFF"/>
          <w:lang w:val="fr-FR" w:eastAsia="fr-FR"/>
        </w:rPr>
        <w:t xml:space="preserve">Marino, M., Mele, E., Viggiano, A., Nori, S. L., Meccariello, R. &amp; Santoro, A. (2021) Pleiotropic Outcomes of Glyphosate Exposure : From Organ Damage to Effects on Inflammation, Cancer, Reproduction and Development. </w:t>
      </w:r>
      <w:r w:rsidRPr="009B4158">
        <w:rPr>
          <w:rFonts w:ascii="Arial" w:hAnsi="Arial" w:cs="Arial"/>
          <w:iCs/>
          <w:color w:val="222222"/>
          <w:shd w:val="clear" w:color="auto" w:fill="FFFFFF"/>
          <w:lang w:val="fr-FR" w:eastAsia="fr-FR"/>
        </w:rPr>
        <w:t>International Journal of Molecular Sciences</w:t>
      </w:r>
      <w:r w:rsidRPr="009B4158">
        <w:rPr>
          <w:rFonts w:ascii="Arial" w:hAnsi="Arial" w:cs="Arial"/>
          <w:color w:val="222222"/>
          <w:shd w:val="clear" w:color="auto" w:fill="FFFFFF"/>
          <w:lang w:val="fr-FR" w:eastAsia="fr-FR"/>
        </w:rPr>
        <w:t xml:space="preserve">, 22, 12606. </w:t>
      </w:r>
      <w:r w:rsidRPr="009B4158">
        <w:rPr>
          <w:rFonts w:ascii="Arial" w:hAnsi="Arial" w:cs="Arial"/>
          <w:color w:val="0000FF"/>
          <w:u w:val="single"/>
          <w:lang w:val="fr-FR" w:eastAsia="fr-FR"/>
        </w:rPr>
        <w:t>https://doi.org/10.3390/ ijms222212606</w:t>
      </w:r>
    </w:p>
    <w:p w14:paraId="09B49E35" w14:textId="77777777" w:rsidR="004F1612" w:rsidRDefault="00470FD3" w:rsidP="00AF2EAC">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Sikora, J., Jagielska, J., &amp; Kaszkowiak, K. (2023). The effect of low doses of glyphosate on reactive oxygen species production by human granulocytes. </w:t>
      </w:r>
      <w:r w:rsidRPr="00AF2EAC">
        <w:rPr>
          <w:rFonts w:ascii="Arial" w:hAnsi="Arial" w:cs="Arial"/>
          <w:iCs/>
          <w:color w:val="222222"/>
          <w:shd w:val="clear" w:color="auto" w:fill="FFFFFF"/>
          <w:lang w:val="fr-FR" w:eastAsia="fr-FR"/>
        </w:rPr>
        <w:t>European Journal of Biological Research</w:t>
      </w:r>
      <w:r w:rsidRPr="00AF2EAC">
        <w:rPr>
          <w:rFonts w:ascii="Arial" w:hAnsi="Arial" w:cs="Arial"/>
          <w:color w:val="222222"/>
          <w:shd w:val="clear" w:color="auto" w:fill="FFFFFF"/>
          <w:lang w:val="fr-FR" w:eastAsia="fr-FR"/>
        </w:rPr>
        <w:t>, 13(3), 161-172.</w:t>
      </w:r>
    </w:p>
    <w:p w14:paraId="315866CF" w14:textId="4F3EF454" w:rsidR="00AF2EAC" w:rsidRPr="00AF2EAC" w:rsidRDefault="001178F4"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2" w:history="1">
        <w:r w:rsidR="004F1612" w:rsidRPr="00516688">
          <w:rPr>
            <w:rStyle w:val="Hyperlink"/>
            <w:rFonts w:ascii="Arial" w:hAnsi="Arial" w:cs="Arial"/>
            <w:lang w:val="fr-FR" w:eastAsia="fr-FR"/>
          </w:rPr>
          <w:t>https://doi.org/10.5281/zenodo.8428575</w:t>
        </w:r>
      </w:hyperlink>
    </w:p>
    <w:p w14:paraId="276CDD74" w14:textId="77777777"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Mao, Q., Manservisi, F., Panzacchi, S., Mandrioli, D., Menghetti, I., Vornoli, A., </w:t>
      </w:r>
      <w:r w:rsidRPr="00AF2EAC">
        <w:rPr>
          <w:rFonts w:ascii="Arial" w:hAnsi="Arial" w:cs="Arial"/>
          <w:i/>
          <w:color w:val="222222"/>
          <w:shd w:val="clear" w:color="auto" w:fill="FFFFFF"/>
          <w:lang w:val="fr-FR" w:eastAsia="fr-FR"/>
        </w:rPr>
        <w:t>et al.</w:t>
      </w:r>
      <w:r w:rsidRPr="00AF2EAC">
        <w:rPr>
          <w:rFonts w:ascii="Arial" w:hAnsi="Arial" w:cs="Arial"/>
          <w:color w:val="222222"/>
          <w:shd w:val="clear" w:color="auto" w:fill="FFFFFF"/>
          <w:lang w:val="fr-FR" w:eastAsia="fr-FR"/>
        </w:rPr>
        <w:t xml:space="preserve"> (2018). The Ramazzini Institute 13-week pilot study on glyphosate and Roundup administered at human-equivalent dose to Sprague Dawley rats : effects on the microbiome. </w:t>
      </w:r>
      <w:r w:rsidRPr="00AF2EAC">
        <w:rPr>
          <w:rFonts w:ascii="Arial" w:hAnsi="Arial" w:cs="Arial"/>
          <w:iCs/>
          <w:color w:val="222222"/>
          <w:shd w:val="clear" w:color="auto" w:fill="FFFFFF"/>
          <w:lang w:val="fr-FR" w:eastAsia="fr-FR"/>
        </w:rPr>
        <w:t>Environmental Health</w:t>
      </w:r>
      <w:r w:rsidRPr="00AF2EAC">
        <w:rPr>
          <w:rFonts w:ascii="Arial" w:hAnsi="Arial" w:cs="Arial"/>
          <w:color w:val="222222"/>
          <w:shd w:val="clear" w:color="auto" w:fill="FFFFFF"/>
          <w:lang w:val="fr-FR" w:eastAsia="fr-FR"/>
        </w:rPr>
        <w:t>, 17, 1-12.</w:t>
      </w:r>
    </w:p>
    <w:p w14:paraId="4B7DBBFB" w14:textId="77777777" w:rsidR="004F1612" w:rsidRPr="004F1612"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000000"/>
          <w:shd w:val="clear" w:color="auto" w:fill="FFFFFF"/>
          <w:lang w:val="fr-FR" w:eastAsia="fr-FR"/>
        </w:rPr>
        <w:t xml:space="preserve">Duforestel, M., Nadaradjane, A., Bougras, C. G, Briand, J., Olivier, C., Frenel, </w:t>
      </w:r>
      <w:r w:rsidRPr="00AF2EAC">
        <w:rPr>
          <w:rFonts w:ascii="Arial" w:hAnsi="Arial" w:cs="Arial"/>
          <w:i/>
          <w:color w:val="000000"/>
          <w:shd w:val="clear" w:color="auto" w:fill="FFFFFF"/>
          <w:lang w:val="fr-FR" w:eastAsia="fr-FR"/>
        </w:rPr>
        <w:t>et al</w:t>
      </w:r>
      <w:r w:rsidRPr="00AF2EAC">
        <w:rPr>
          <w:rFonts w:ascii="Arial" w:hAnsi="Arial" w:cs="Arial"/>
          <w:color w:val="000000"/>
          <w:shd w:val="clear" w:color="auto" w:fill="FFFFFF"/>
          <w:lang w:val="fr-FR" w:eastAsia="fr-FR"/>
        </w:rPr>
        <w:t xml:space="preserve">., (2019). Glyphosate Primes Mammary Cells for Tumorigenesis by Reprogramming the Epigenome in a TET3-Dependent Manner. </w:t>
      </w:r>
      <w:r w:rsidRPr="00AF2EAC">
        <w:rPr>
          <w:rFonts w:ascii="Arial" w:hAnsi="Arial" w:cs="Arial"/>
          <w:iCs/>
          <w:color w:val="000000"/>
          <w:shd w:val="clear" w:color="auto" w:fill="FFFFFF"/>
          <w:lang w:val="fr-FR" w:eastAsia="fr-FR"/>
        </w:rPr>
        <w:t>Frontiers in Genetics</w:t>
      </w:r>
      <w:r w:rsidRPr="00AF2EAC">
        <w:rPr>
          <w:rFonts w:ascii="Arial" w:hAnsi="Arial" w:cs="Arial"/>
          <w:color w:val="000000"/>
          <w:shd w:val="clear" w:color="auto" w:fill="FFFFFF"/>
          <w:lang w:val="fr-FR" w:eastAsia="fr-FR"/>
        </w:rPr>
        <w:t>, 10, 1-14</w:t>
      </w:r>
      <w:r w:rsidRPr="00AF2EAC">
        <w:rPr>
          <w:rFonts w:ascii="Arial" w:hAnsi="Arial" w:cs="Arial"/>
          <w:color w:val="FF0000"/>
          <w:shd w:val="clear" w:color="auto" w:fill="FFFFFF"/>
          <w:lang w:val="fr-FR" w:eastAsia="fr-FR"/>
        </w:rPr>
        <w:t>.</w:t>
      </w:r>
    </w:p>
    <w:p w14:paraId="16788535" w14:textId="71F7B838" w:rsidR="00AF2EAC" w:rsidRPr="00AF2EAC" w:rsidRDefault="001178F4"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3" w:history="1">
        <w:r w:rsidR="004F1612" w:rsidRPr="00516688">
          <w:rPr>
            <w:rStyle w:val="Hyperlink"/>
            <w:rFonts w:ascii="Arial" w:hAnsi="Arial" w:cs="Arial"/>
            <w:shd w:val="clear" w:color="auto" w:fill="FFFFFF"/>
            <w:lang w:val="fr-FR" w:eastAsia="fr-FR"/>
          </w:rPr>
          <w:t>https://pmc.ncbi.nlm.nih.gov/articles/PMC6777643/</w:t>
        </w:r>
      </w:hyperlink>
    </w:p>
    <w:p w14:paraId="289B0278"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Yuhong, H., Fei, X., Yongkang, Q., Kai, X., Yunqiu, P., Jiawei, </w:t>
      </w:r>
      <w:r w:rsidRPr="00AF2EAC">
        <w:rPr>
          <w:rFonts w:ascii="Arial" w:hAnsi="Arial" w:cs="Arial"/>
          <w:i/>
          <w:color w:val="222222"/>
          <w:shd w:val="clear" w:color="auto" w:fill="FFFFFF"/>
          <w:lang w:val="fr-FR" w:eastAsia="fr-FR"/>
        </w:rPr>
        <w:t>et al</w:t>
      </w:r>
      <w:r w:rsidRPr="00AF2EAC">
        <w:rPr>
          <w:rFonts w:ascii="Arial" w:hAnsi="Arial" w:cs="Arial"/>
          <w:color w:val="222222"/>
          <w:shd w:val="clear" w:color="auto" w:fill="FFFFFF"/>
          <w:lang w:val="fr-FR" w:eastAsia="fr-FR"/>
        </w:rPr>
        <w:t xml:space="preserve">. (2022). Hematological effects of glyphosate in mice revealed by traditional toxicology and transcriptome sequencing, </w:t>
      </w:r>
      <w:r w:rsidRPr="00AF2EAC">
        <w:rPr>
          <w:rFonts w:ascii="Arial" w:hAnsi="Arial" w:cs="Arial"/>
          <w:iCs/>
          <w:color w:val="222222"/>
          <w:shd w:val="clear" w:color="auto" w:fill="FFFFFF"/>
          <w:lang w:val="fr-FR" w:eastAsia="fr-FR"/>
        </w:rPr>
        <w:t>Environmental Toxicology and Pharmacology</w:t>
      </w:r>
      <w:r w:rsidRPr="00AF2EAC">
        <w:rPr>
          <w:rFonts w:ascii="Arial" w:hAnsi="Arial" w:cs="Arial"/>
          <w:color w:val="222222"/>
          <w:shd w:val="clear" w:color="auto" w:fill="FFFFFF"/>
          <w:lang w:val="fr-FR" w:eastAsia="fr-FR"/>
        </w:rPr>
        <w:t>, 92, 103866.</w:t>
      </w:r>
      <w:r w:rsidR="00AF2EAC">
        <w:rPr>
          <w:rFonts w:ascii="Arial" w:hAnsi="Arial" w:cs="Arial"/>
          <w:color w:val="222222"/>
          <w:shd w:val="clear" w:color="auto" w:fill="FFFFFF"/>
          <w:lang w:val="fr-FR" w:eastAsia="fr-FR"/>
        </w:rPr>
        <w:t xml:space="preserve"> </w:t>
      </w:r>
      <w:hyperlink r:id="rId54" w:history="1">
        <w:r w:rsidR="00AF2EAC" w:rsidRPr="0002019A">
          <w:rPr>
            <w:rStyle w:val="Hyperlink"/>
            <w:rFonts w:ascii="Arial" w:hAnsi="Arial" w:cs="Arial"/>
            <w:lang w:val="fr-FR" w:eastAsia="fr-FR"/>
          </w:rPr>
          <w:t>https://doi.org/10.1016/j.etap.2022.103866</w:t>
        </w:r>
      </w:hyperlink>
      <w:r w:rsidRPr="00AF2EAC">
        <w:rPr>
          <w:rFonts w:ascii="Arial" w:hAnsi="Arial" w:cs="Arial"/>
          <w:color w:val="0000FF"/>
          <w:u w:val="single"/>
          <w:lang w:val="fr-FR" w:eastAsia="fr-FR"/>
        </w:rPr>
        <w:t>.</w:t>
      </w:r>
    </w:p>
    <w:p w14:paraId="5DBA829E" w14:textId="77777777"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Hidad, S., Van der Putten, B., Van Houdt, R., Schneeberger, C., Kuil, S. D. (2022). Recurrent E. coli Urinary Tract Infections in Nursing Homes : Insight in Sequence Types and Antibiotic Resistance Patterns. </w:t>
      </w:r>
      <w:r w:rsidRPr="00AF2EAC">
        <w:rPr>
          <w:rFonts w:ascii="Arial" w:hAnsi="Arial" w:cs="Arial"/>
          <w:iCs/>
          <w:color w:val="222222"/>
          <w:shd w:val="clear" w:color="auto" w:fill="FFFFFF"/>
          <w:lang w:val="fr-FR" w:eastAsia="fr-FR"/>
        </w:rPr>
        <w:t>Antibiotics</w:t>
      </w:r>
      <w:r w:rsidRPr="00AF2EAC">
        <w:rPr>
          <w:rFonts w:ascii="Arial" w:hAnsi="Arial" w:cs="Arial"/>
          <w:color w:val="222222"/>
          <w:shd w:val="clear" w:color="auto" w:fill="FFFFFF"/>
          <w:lang w:val="fr-FR" w:eastAsia="fr-FR"/>
        </w:rPr>
        <w:t xml:space="preserve">, 11, 1638. </w:t>
      </w:r>
    </w:p>
    <w:p w14:paraId="5731DD1C" w14:textId="77777777" w:rsidR="00AF2EAC" w:rsidRPr="00AF2EAC" w:rsidRDefault="00470FD3"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0000FF"/>
          <w:u w:val="single"/>
          <w:lang w:val="fr-FR" w:eastAsia="fr-FR"/>
        </w:rPr>
        <w:t xml:space="preserve"> </w:t>
      </w:r>
      <w:proofErr w:type="gramStart"/>
      <w:r w:rsidRPr="00AF2EAC">
        <w:rPr>
          <w:rFonts w:ascii="Arial" w:hAnsi="Arial" w:cs="Arial"/>
          <w:color w:val="0000FF"/>
          <w:u w:val="single"/>
          <w:lang w:val="fr-FR" w:eastAsia="fr-FR"/>
        </w:rPr>
        <w:t>https</w:t>
      </w:r>
      <w:proofErr w:type="gramEnd"/>
      <w:r w:rsidRPr="00AF2EAC">
        <w:rPr>
          <w:rFonts w:ascii="Arial" w:hAnsi="Arial" w:cs="Arial"/>
          <w:color w:val="0000FF"/>
          <w:u w:val="single"/>
          <w:lang w:val="fr-FR" w:eastAsia="fr-FR"/>
        </w:rPr>
        <w:t>:// doi.org/10.3390/antibiotics11111638</w:t>
      </w:r>
    </w:p>
    <w:p w14:paraId="2EFC62B9" w14:textId="77777777"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Anton, V. (2005). Résistance aux antibiotiques : les métaux lourds en question. Revue Médicale Suisse, p1820.</w:t>
      </w:r>
    </w:p>
    <w:p w14:paraId="23642E19" w14:textId="77777777" w:rsidR="00AF2EAC" w:rsidRPr="00AF2EAC" w:rsidRDefault="001178F4"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5" w:history="1">
        <w:r w:rsidR="00470FD3" w:rsidRPr="00AF2EAC">
          <w:rPr>
            <w:rFonts w:ascii="Arial" w:hAnsi="Arial" w:cs="Arial"/>
            <w:color w:val="0000FF"/>
            <w:u w:val="single"/>
            <w:lang w:val="fr-FR" w:eastAsia="fr-FR"/>
          </w:rPr>
          <w:t>https://www.revmed.ch/view/633807/4915382/RMS_27_1820.pdf</w:t>
        </w:r>
      </w:hyperlink>
    </w:p>
    <w:p w14:paraId="55493538"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000000"/>
          <w:shd w:val="clear" w:color="auto" w:fill="FFFFFF"/>
          <w:lang w:val="fr-FR" w:eastAsia="fr-FR"/>
        </w:rPr>
        <w:t xml:space="preserve">Danielle, C. (2011). Fiche technique : </w:t>
      </w:r>
      <w:r w:rsidRPr="00AF2EAC">
        <w:rPr>
          <w:rFonts w:ascii="Arial" w:hAnsi="Arial" w:cs="Arial"/>
          <w:i/>
          <w:color w:val="000000"/>
          <w:shd w:val="clear" w:color="auto" w:fill="FFFFFF"/>
          <w:lang w:val="fr-FR" w:eastAsia="fr-FR"/>
        </w:rPr>
        <w:t>Pseudomonas aeruginosa</w:t>
      </w:r>
      <w:r w:rsidRPr="00AF2EAC">
        <w:rPr>
          <w:rFonts w:ascii="Arial" w:hAnsi="Arial" w:cs="Arial"/>
          <w:color w:val="000000"/>
          <w:shd w:val="clear" w:color="auto" w:fill="FFFFFF"/>
          <w:lang w:val="fr-FR" w:eastAsia="fr-FR"/>
        </w:rPr>
        <w:t xml:space="preserve">. </w:t>
      </w:r>
      <w:r w:rsidRPr="00AF2EAC">
        <w:rPr>
          <w:rFonts w:ascii="Arial" w:eastAsia="Calibri" w:hAnsi="Arial" w:cs="Arial"/>
          <w:b/>
          <w:bCs/>
          <w:color w:val="000000"/>
          <w:lang w:val="fr-FR"/>
        </w:rPr>
        <w:t>Fiche technique Bactériologie</w:t>
      </w:r>
      <w:r w:rsidRPr="00AF2EAC">
        <w:rPr>
          <w:rFonts w:ascii="Arial" w:eastAsia="Calibri" w:hAnsi="Arial" w:cs="Arial"/>
          <w:color w:val="000000"/>
          <w:lang w:val="fr-FR"/>
        </w:rPr>
        <w:t xml:space="preserve">, </w:t>
      </w:r>
      <w:r w:rsidRPr="00AF2EAC">
        <w:rPr>
          <w:rFonts w:ascii="Arial" w:hAnsi="Arial" w:cs="Arial"/>
          <w:color w:val="000000"/>
          <w:shd w:val="clear" w:color="auto" w:fill="FFFFFF"/>
          <w:lang w:val="fr-FR" w:eastAsia="fr-FR"/>
        </w:rPr>
        <w:t>Centre Toulousain pour le Contrôle de qualité en Biologie clinique, Toulouse, France, 4p.</w:t>
      </w:r>
    </w:p>
    <w:p w14:paraId="748B91C3" w14:textId="77777777" w:rsidR="00AF2EAC" w:rsidRPr="00AF2EAC" w:rsidRDefault="001178F4"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6" w:history="1">
        <w:r w:rsidR="00AF2EAC" w:rsidRPr="0002019A">
          <w:rPr>
            <w:rStyle w:val="Hyperlink"/>
            <w:rFonts w:ascii="Arial" w:hAnsi="Arial" w:cs="Arial"/>
            <w:shd w:val="clear" w:color="auto" w:fill="FFFFFF"/>
            <w:lang w:val="fr-FR" w:eastAsia="fr-FR"/>
          </w:rPr>
          <w:t>https://www.ctcb.com/documentation/Fiches%20techniques%20BAC/Pseudomonas%20aeruginosa%20(Edition%202011).pdf</w:t>
        </w:r>
      </w:hyperlink>
    </w:p>
    <w:p w14:paraId="2963DFAD" w14:textId="77777777"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Pal, C., Bengtsson, P. J., Kristiansson, E. &amp; Larsson, D. J. (2015). Co-occurrence of resistance genes to antibiotics, biocides and metals reveals novel insights into their co-selection potential, </w:t>
      </w:r>
      <w:r w:rsidRPr="00AF2EAC">
        <w:rPr>
          <w:rFonts w:ascii="Arial" w:hAnsi="Arial" w:cs="Arial"/>
          <w:iCs/>
          <w:color w:val="222222"/>
          <w:shd w:val="clear" w:color="auto" w:fill="FFFFFF"/>
          <w:lang w:val="fr-FR" w:eastAsia="fr-FR"/>
        </w:rPr>
        <w:t>BMC genomics</w:t>
      </w:r>
      <w:r w:rsidRPr="00AF2EAC">
        <w:rPr>
          <w:rFonts w:ascii="Arial" w:hAnsi="Arial" w:cs="Arial"/>
          <w:color w:val="222222"/>
          <w:shd w:val="clear" w:color="auto" w:fill="FFFFFF"/>
          <w:lang w:val="fr-FR" w:eastAsia="fr-FR"/>
        </w:rPr>
        <w:t>, 16, 1-14.</w:t>
      </w:r>
    </w:p>
    <w:p w14:paraId="7788B0CF"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Pöppe, J., Bote, K., Ramesh, A., Murugaiyan, J., Kuropka, B., Kühl, </w:t>
      </w:r>
      <w:r w:rsidRPr="00AF2EAC">
        <w:rPr>
          <w:rFonts w:ascii="Arial" w:hAnsi="Arial" w:cs="Arial"/>
          <w:i/>
          <w:color w:val="222222"/>
          <w:shd w:val="clear" w:color="auto" w:fill="FFFFFF"/>
          <w:lang w:val="fr-FR" w:eastAsia="fr-FR"/>
        </w:rPr>
        <w:t>et al.</w:t>
      </w:r>
      <w:r w:rsidRPr="00AF2EAC">
        <w:rPr>
          <w:rFonts w:ascii="Arial" w:hAnsi="Arial" w:cs="Arial"/>
          <w:color w:val="222222"/>
          <w:shd w:val="clear" w:color="auto" w:fill="FFFFFF"/>
          <w:lang w:val="fr-FR" w:eastAsia="fr-FR"/>
        </w:rPr>
        <w:t xml:space="preserve"> (2020). Selection for resistance to a glyphosate-containing herbicide in Salmonella enterica does not result in a sustained activation of the tolerance response or increased cross-tolerance and cross-resistance to clinically important antibiotics. </w:t>
      </w:r>
      <w:r w:rsidRPr="00AF2EAC">
        <w:rPr>
          <w:rFonts w:ascii="Arial" w:hAnsi="Arial" w:cs="Arial"/>
          <w:iCs/>
          <w:color w:val="222222"/>
          <w:shd w:val="clear" w:color="auto" w:fill="FFFFFF"/>
          <w:lang w:val="fr-FR" w:eastAsia="fr-FR"/>
        </w:rPr>
        <w:t>Applied and Environmental Microbiology</w:t>
      </w:r>
      <w:r w:rsidRPr="00AF2EAC">
        <w:rPr>
          <w:rFonts w:ascii="Arial" w:hAnsi="Arial" w:cs="Arial"/>
          <w:color w:val="222222"/>
          <w:shd w:val="clear" w:color="auto" w:fill="FFFFFF"/>
          <w:lang w:val="fr-FR" w:eastAsia="fr-FR"/>
        </w:rPr>
        <w:t xml:space="preserve">, 86 : e01204-20. </w:t>
      </w:r>
      <w:hyperlink r:id="rId57" w:history="1">
        <w:r w:rsidRPr="00AF2EAC">
          <w:rPr>
            <w:rFonts w:ascii="Arial" w:hAnsi="Arial" w:cs="Arial"/>
            <w:color w:val="0000FF"/>
            <w:u w:val="single"/>
            <w:shd w:val="clear" w:color="auto" w:fill="FFFFFF"/>
            <w:lang w:val="fr-FR" w:eastAsia="fr-FR"/>
          </w:rPr>
          <w:t>https://doi.org/10.1128/AEM.01204- 2</w:t>
        </w:r>
      </w:hyperlink>
    </w:p>
    <w:p w14:paraId="51F3E18B" w14:textId="77777777" w:rsidR="00470FD3"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Hunsaker, E. W. &amp; Franz, K. J. (2019). </w:t>
      </w:r>
      <w:r w:rsidRPr="00AF2EAC">
        <w:rPr>
          <w:rFonts w:ascii="Arial" w:hAnsi="Arial" w:cs="Arial"/>
          <w:iCs/>
          <w:color w:val="222222"/>
          <w:shd w:val="clear" w:color="auto" w:fill="FFFFFF"/>
          <w:lang w:val="fr-FR" w:eastAsia="fr-FR"/>
        </w:rPr>
        <w:t>Candida albicans</w:t>
      </w:r>
      <w:r w:rsidRPr="00AF2EAC">
        <w:rPr>
          <w:rFonts w:ascii="Arial" w:hAnsi="Arial" w:cs="Arial"/>
          <w:color w:val="222222"/>
          <w:shd w:val="clear" w:color="auto" w:fill="FFFFFF"/>
          <w:lang w:val="fr-FR" w:eastAsia="fr-FR"/>
        </w:rPr>
        <w:t xml:space="preserve"> reprioritizes metal handling during fluconazole stress. </w:t>
      </w:r>
      <w:r w:rsidRPr="00AF2EAC">
        <w:rPr>
          <w:rFonts w:ascii="Arial" w:hAnsi="Arial" w:cs="Arial"/>
          <w:iCs/>
          <w:color w:val="222222"/>
          <w:shd w:val="clear" w:color="auto" w:fill="FFFFFF"/>
          <w:lang w:val="fr-FR" w:eastAsia="fr-FR"/>
        </w:rPr>
        <w:t>Metallomics</w:t>
      </w:r>
      <w:r w:rsidRPr="00AF2EAC">
        <w:rPr>
          <w:rFonts w:ascii="Arial" w:hAnsi="Arial" w:cs="Arial"/>
          <w:color w:val="222222"/>
          <w:shd w:val="clear" w:color="auto" w:fill="FFFFFF"/>
          <w:lang w:val="fr-FR" w:eastAsia="fr-FR"/>
        </w:rPr>
        <w:t>, 11(12), 2020-2032.</w:t>
      </w:r>
    </w:p>
    <w:p w14:paraId="14208484" w14:textId="77777777" w:rsidR="004D4277" w:rsidRPr="00470FD3" w:rsidRDefault="004D4277" w:rsidP="00470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FF"/>
          <w:u w:val="single"/>
          <w:lang w:val="fr-FR" w:eastAsia="fr-FR"/>
        </w:rPr>
        <w:sectPr w:rsidR="004D4277" w:rsidRPr="00470FD3" w:rsidSect="00085FC6">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p>
    <w:p w14:paraId="3E886876" w14:textId="77777777" w:rsidR="00B01FCD" w:rsidRPr="00FB3A86" w:rsidRDefault="00B01FCD" w:rsidP="00441B6F">
      <w:pPr>
        <w:pStyle w:val="Appendix"/>
        <w:spacing w:after="0"/>
        <w:jc w:val="both"/>
        <w:rPr>
          <w:rFonts w:ascii="Arial" w:hAnsi="Arial" w:cs="Arial"/>
          <w:b w:val="0"/>
        </w:rPr>
      </w:pPr>
      <w:bookmarkStart w:id="2" w:name="_GoBack"/>
      <w:bookmarkEnd w:id="2"/>
    </w:p>
    <w:sectPr w:rsidR="00B01FCD" w:rsidRPr="00FB3A86" w:rsidSect="00085F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40859" w14:textId="77777777" w:rsidR="001178F4" w:rsidRDefault="001178F4" w:rsidP="00C37E61">
      <w:r>
        <w:separator/>
      </w:r>
    </w:p>
  </w:endnote>
  <w:endnote w:type="continuationSeparator" w:id="0">
    <w:p w14:paraId="0C4723EB" w14:textId="77777777" w:rsidR="001178F4" w:rsidRDefault="001178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466C1" w14:textId="77777777" w:rsidR="00D928A3" w:rsidRDefault="00D9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3616" w14:textId="0E94F1AF" w:rsidR="002B6854" w:rsidRPr="00AD2CCB" w:rsidRDefault="002B6854" w:rsidP="00AD2CCB">
    <w:pPr>
      <w:pStyle w:val="Footer"/>
    </w:pPr>
    <w:r w:rsidRPr="00AD2CC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FD6" w14:textId="77777777" w:rsidR="002B6854" w:rsidRDefault="002B6854">
    <w:pPr>
      <w:pStyle w:val="Footer"/>
      <w:rPr>
        <w:rFonts w:ascii="Arial" w:hAnsi="Arial" w:cs="Arial"/>
        <w:sz w:val="16"/>
      </w:rPr>
    </w:pPr>
  </w:p>
  <w:p w14:paraId="3EA8CE37" w14:textId="77777777" w:rsidR="002B6854" w:rsidRDefault="002B685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CFBDF2B" w14:textId="77777777" w:rsidR="002B6854" w:rsidRDefault="002B6854">
    <w:pPr>
      <w:pStyle w:val="Footer"/>
      <w:rPr>
        <w:rFonts w:ascii="Arial" w:hAnsi="Arial" w:cs="Arial"/>
        <w:sz w:val="16"/>
      </w:rPr>
    </w:pPr>
  </w:p>
  <w:p w14:paraId="15AD6C36" w14:textId="0B3D8405" w:rsidR="002B6854" w:rsidRPr="009E048A" w:rsidRDefault="002B6854">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7C1E" w14:textId="77777777" w:rsidR="002B6854" w:rsidRPr="00C37E61" w:rsidRDefault="002B685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45C03" w14:textId="77777777" w:rsidR="001178F4" w:rsidRDefault="001178F4" w:rsidP="00C37E61">
      <w:r>
        <w:separator/>
      </w:r>
    </w:p>
  </w:footnote>
  <w:footnote w:type="continuationSeparator" w:id="0">
    <w:p w14:paraId="0ED7B18D" w14:textId="77777777" w:rsidR="001178F4" w:rsidRDefault="001178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B3B9" w14:textId="4067FBF7" w:rsidR="00D928A3" w:rsidRDefault="00D928A3">
    <w:pPr>
      <w:pStyle w:val="Header"/>
    </w:pPr>
    <w:r>
      <w:rPr>
        <w:noProof/>
      </w:rPr>
      <w:pict w14:anchorId="5F97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A57" w14:textId="548572C3" w:rsidR="00D928A3" w:rsidRDefault="00D928A3">
    <w:pPr>
      <w:pStyle w:val="Header"/>
    </w:pPr>
    <w:r>
      <w:rPr>
        <w:noProof/>
      </w:rPr>
      <w:pict w14:anchorId="0A4A0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6468" w14:textId="057D7722" w:rsidR="002B6854" w:rsidRPr="00296529" w:rsidRDefault="00D928A3" w:rsidP="00296529">
    <w:pPr>
      <w:ind w:left="2160"/>
      <w:jc w:val="center"/>
      <w:rPr>
        <w:rFonts w:ascii="Times New Roman" w:eastAsia="Calibri" w:hAnsi="Times New Roman"/>
        <w:i/>
        <w:sz w:val="18"/>
        <w:szCs w:val="22"/>
      </w:rPr>
    </w:pPr>
    <w:r>
      <w:rPr>
        <w:noProof/>
      </w:rPr>
      <w:pict w14:anchorId="08321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E59CE3" w14:textId="77777777" w:rsidR="002B6854" w:rsidRPr="00296529" w:rsidRDefault="002B685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C05F4B" w14:textId="77777777" w:rsidR="002B6854" w:rsidRPr="00296529" w:rsidRDefault="002B685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4BC9D" w14:textId="77777777" w:rsidR="002B6854" w:rsidRPr="00296529" w:rsidRDefault="002B685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94C107" w14:textId="77777777" w:rsidR="002B6854" w:rsidRDefault="002B685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BE1C43" w14:textId="77777777" w:rsidR="002B6854" w:rsidRDefault="002B685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4EED56" w14:textId="77777777" w:rsidR="002B6854" w:rsidRDefault="002B685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EED3" w14:textId="189E9F9E" w:rsidR="00D928A3" w:rsidRDefault="00D928A3">
    <w:pPr>
      <w:pStyle w:val="Header"/>
    </w:pPr>
    <w:r>
      <w:rPr>
        <w:noProof/>
      </w:rPr>
      <w:pict w14:anchorId="265EA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95003" w14:textId="4839CFBD" w:rsidR="00D928A3" w:rsidRDefault="00D928A3">
    <w:pPr>
      <w:pStyle w:val="Header"/>
    </w:pPr>
    <w:r>
      <w:rPr>
        <w:noProof/>
      </w:rPr>
      <w:pict w14:anchorId="4720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211" w14:textId="763E1D6D" w:rsidR="00D928A3" w:rsidRDefault="00D928A3">
    <w:pPr>
      <w:pStyle w:val="Header"/>
    </w:pPr>
    <w:r>
      <w:rPr>
        <w:noProof/>
      </w:rPr>
      <w:pict w14:anchorId="55DF6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C77D3"/>
    <w:multiLevelType w:val="hybridMultilevel"/>
    <w:tmpl w:val="65BA21FE"/>
    <w:lvl w:ilvl="0" w:tplc="B770C9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E074EF"/>
    <w:multiLevelType w:val="hybridMultilevel"/>
    <w:tmpl w:val="D40C666C"/>
    <w:lvl w:ilvl="0" w:tplc="FBEC11B6">
      <w:start w:val="923"/>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5FC6"/>
    <w:rsid w:val="0009354C"/>
    <w:rsid w:val="000A47FA"/>
    <w:rsid w:val="000A65D3"/>
    <w:rsid w:val="000B1E33"/>
    <w:rsid w:val="000D689F"/>
    <w:rsid w:val="000E7B7B"/>
    <w:rsid w:val="000E7D62"/>
    <w:rsid w:val="00103357"/>
    <w:rsid w:val="001178F4"/>
    <w:rsid w:val="00123C9F"/>
    <w:rsid w:val="00126190"/>
    <w:rsid w:val="00130F17"/>
    <w:rsid w:val="001320BF"/>
    <w:rsid w:val="00151652"/>
    <w:rsid w:val="001542BD"/>
    <w:rsid w:val="00163BC4"/>
    <w:rsid w:val="00191062"/>
    <w:rsid w:val="00192B72"/>
    <w:rsid w:val="00195B55"/>
    <w:rsid w:val="001A29D8"/>
    <w:rsid w:val="001A5CAA"/>
    <w:rsid w:val="001B0427"/>
    <w:rsid w:val="001B238B"/>
    <w:rsid w:val="001D3A51"/>
    <w:rsid w:val="001E10D2"/>
    <w:rsid w:val="001E25B4"/>
    <w:rsid w:val="001E44FE"/>
    <w:rsid w:val="00200595"/>
    <w:rsid w:val="00204835"/>
    <w:rsid w:val="00223885"/>
    <w:rsid w:val="00231920"/>
    <w:rsid w:val="0023195C"/>
    <w:rsid w:val="0024282C"/>
    <w:rsid w:val="00245E9D"/>
    <w:rsid w:val="002460DC"/>
    <w:rsid w:val="00250985"/>
    <w:rsid w:val="00251D6E"/>
    <w:rsid w:val="002556F6"/>
    <w:rsid w:val="00262975"/>
    <w:rsid w:val="00283105"/>
    <w:rsid w:val="00284C4C"/>
    <w:rsid w:val="00287E68"/>
    <w:rsid w:val="00296529"/>
    <w:rsid w:val="002A4EDB"/>
    <w:rsid w:val="002B27FB"/>
    <w:rsid w:val="002B6854"/>
    <w:rsid w:val="002B685A"/>
    <w:rsid w:val="002C57D2"/>
    <w:rsid w:val="002E0D56"/>
    <w:rsid w:val="00315186"/>
    <w:rsid w:val="00330611"/>
    <w:rsid w:val="0033343E"/>
    <w:rsid w:val="003512C2"/>
    <w:rsid w:val="00371FB6"/>
    <w:rsid w:val="003763C1"/>
    <w:rsid w:val="00376BBE"/>
    <w:rsid w:val="00382823"/>
    <w:rsid w:val="0039224F"/>
    <w:rsid w:val="003958A6"/>
    <w:rsid w:val="003A43A4"/>
    <w:rsid w:val="003A7E18"/>
    <w:rsid w:val="003C4C86"/>
    <w:rsid w:val="003C6258"/>
    <w:rsid w:val="003D1280"/>
    <w:rsid w:val="003E2904"/>
    <w:rsid w:val="00401927"/>
    <w:rsid w:val="0041027F"/>
    <w:rsid w:val="00412475"/>
    <w:rsid w:val="00423789"/>
    <w:rsid w:val="00440F43"/>
    <w:rsid w:val="00441B6F"/>
    <w:rsid w:val="00446221"/>
    <w:rsid w:val="00450E62"/>
    <w:rsid w:val="004539DB"/>
    <w:rsid w:val="00470FD3"/>
    <w:rsid w:val="00471A80"/>
    <w:rsid w:val="004D1A61"/>
    <w:rsid w:val="004D305E"/>
    <w:rsid w:val="004D4277"/>
    <w:rsid w:val="004E3B30"/>
    <w:rsid w:val="004F1612"/>
    <w:rsid w:val="00502516"/>
    <w:rsid w:val="00505F06"/>
    <w:rsid w:val="00506828"/>
    <w:rsid w:val="0053056E"/>
    <w:rsid w:val="005511C6"/>
    <w:rsid w:val="00554FDA"/>
    <w:rsid w:val="005B6A2A"/>
    <w:rsid w:val="005C784C"/>
    <w:rsid w:val="005D17F6"/>
    <w:rsid w:val="005E5539"/>
    <w:rsid w:val="00602BF5"/>
    <w:rsid w:val="006144DB"/>
    <w:rsid w:val="00617FDD"/>
    <w:rsid w:val="00633614"/>
    <w:rsid w:val="00633F68"/>
    <w:rsid w:val="00636EB2"/>
    <w:rsid w:val="006375B8"/>
    <w:rsid w:val="0064732E"/>
    <w:rsid w:val="0066510A"/>
    <w:rsid w:val="00673F9F"/>
    <w:rsid w:val="0067784A"/>
    <w:rsid w:val="00686953"/>
    <w:rsid w:val="00687DEA"/>
    <w:rsid w:val="00687E67"/>
    <w:rsid w:val="006967F7"/>
    <w:rsid w:val="006A250C"/>
    <w:rsid w:val="006B21D3"/>
    <w:rsid w:val="006B57D0"/>
    <w:rsid w:val="006C0A0E"/>
    <w:rsid w:val="006D30FF"/>
    <w:rsid w:val="006D6940"/>
    <w:rsid w:val="006D7AEC"/>
    <w:rsid w:val="006F11EC"/>
    <w:rsid w:val="0070082C"/>
    <w:rsid w:val="00714862"/>
    <w:rsid w:val="007302CF"/>
    <w:rsid w:val="007350F8"/>
    <w:rsid w:val="007369E6"/>
    <w:rsid w:val="007375C1"/>
    <w:rsid w:val="00746E59"/>
    <w:rsid w:val="00754C9A"/>
    <w:rsid w:val="0075599A"/>
    <w:rsid w:val="00761D52"/>
    <w:rsid w:val="0077749E"/>
    <w:rsid w:val="00790ADA"/>
    <w:rsid w:val="007D2288"/>
    <w:rsid w:val="007E088F"/>
    <w:rsid w:val="007F7B32"/>
    <w:rsid w:val="00804BC2"/>
    <w:rsid w:val="00806E6C"/>
    <w:rsid w:val="00812630"/>
    <w:rsid w:val="0081431A"/>
    <w:rsid w:val="0083216F"/>
    <w:rsid w:val="00835868"/>
    <w:rsid w:val="00860000"/>
    <w:rsid w:val="00863BD3"/>
    <w:rsid w:val="008641ED"/>
    <w:rsid w:val="00866D66"/>
    <w:rsid w:val="008671C6"/>
    <w:rsid w:val="00875803"/>
    <w:rsid w:val="00892B5C"/>
    <w:rsid w:val="008B2B96"/>
    <w:rsid w:val="008B459E"/>
    <w:rsid w:val="008C0A90"/>
    <w:rsid w:val="008C744E"/>
    <w:rsid w:val="008E13AE"/>
    <w:rsid w:val="008E1506"/>
    <w:rsid w:val="008E3E0C"/>
    <w:rsid w:val="008E710C"/>
    <w:rsid w:val="008F69D6"/>
    <w:rsid w:val="00902823"/>
    <w:rsid w:val="00915CA6"/>
    <w:rsid w:val="00927834"/>
    <w:rsid w:val="009500A6"/>
    <w:rsid w:val="00957C18"/>
    <w:rsid w:val="009659BA"/>
    <w:rsid w:val="00983040"/>
    <w:rsid w:val="009B3FB9"/>
    <w:rsid w:val="009B4158"/>
    <w:rsid w:val="009C2465"/>
    <w:rsid w:val="009D35A0"/>
    <w:rsid w:val="009D7EB7"/>
    <w:rsid w:val="009E048A"/>
    <w:rsid w:val="009E08E9"/>
    <w:rsid w:val="009E3DB9"/>
    <w:rsid w:val="009E6E35"/>
    <w:rsid w:val="009F0EDA"/>
    <w:rsid w:val="00A03B96"/>
    <w:rsid w:val="00A05B19"/>
    <w:rsid w:val="00A1134E"/>
    <w:rsid w:val="00A214FE"/>
    <w:rsid w:val="00A24E7E"/>
    <w:rsid w:val="00A258C3"/>
    <w:rsid w:val="00A347C0"/>
    <w:rsid w:val="00A51431"/>
    <w:rsid w:val="00A539AD"/>
    <w:rsid w:val="00A541E0"/>
    <w:rsid w:val="00A94063"/>
    <w:rsid w:val="00AA177A"/>
    <w:rsid w:val="00AA6219"/>
    <w:rsid w:val="00AA74E0"/>
    <w:rsid w:val="00AB703F"/>
    <w:rsid w:val="00AC6BB8"/>
    <w:rsid w:val="00AD2CCB"/>
    <w:rsid w:val="00AE008F"/>
    <w:rsid w:val="00AF2EAC"/>
    <w:rsid w:val="00B01FCD"/>
    <w:rsid w:val="00B1776C"/>
    <w:rsid w:val="00B27903"/>
    <w:rsid w:val="00B52583"/>
    <w:rsid w:val="00B52896"/>
    <w:rsid w:val="00B63285"/>
    <w:rsid w:val="00B95236"/>
    <w:rsid w:val="00B96BD9"/>
    <w:rsid w:val="00BA1B01"/>
    <w:rsid w:val="00BA2641"/>
    <w:rsid w:val="00BB37AA"/>
    <w:rsid w:val="00BC53A0"/>
    <w:rsid w:val="00BC614F"/>
    <w:rsid w:val="00BD1A5B"/>
    <w:rsid w:val="00BD449D"/>
    <w:rsid w:val="00BE62AD"/>
    <w:rsid w:val="00BF121F"/>
    <w:rsid w:val="00BF1F80"/>
    <w:rsid w:val="00BF3E02"/>
    <w:rsid w:val="00C166EF"/>
    <w:rsid w:val="00C17EB0"/>
    <w:rsid w:val="00C20194"/>
    <w:rsid w:val="00C27F5F"/>
    <w:rsid w:val="00C30A0F"/>
    <w:rsid w:val="00C37E61"/>
    <w:rsid w:val="00C45525"/>
    <w:rsid w:val="00C66484"/>
    <w:rsid w:val="00C70F1B"/>
    <w:rsid w:val="00C71A47"/>
    <w:rsid w:val="00C7464C"/>
    <w:rsid w:val="00C85588"/>
    <w:rsid w:val="00C9035B"/>
    <w:rsid w:val="00C95C81"/>
    <w:rsid w:val="00CD6755"/>
    <w:rsid w:val="00CD6856"/>
    <w:rsid w:val="00CE0089"/>
    <w:rsid w:val="00CE7236"/>
    <w:rsid w:val="00CE793C"/>
    <w:rsid w:val="00CF193C"/>
    <w:rsid w:val="00D173F1"/>
    <w:rsid w:val="00D65490"/>
    <w:rsid w:val="00D74CB0"/>
    <w:rsid w:val="00D8295D"/>
    <w:rsid w:val="00D928A3"/>
    <w:rsid w:val="00DC2A65"/>
    <w:rsid w:val="00DE15F0"/>
    <w:rsid w:val="00DE3FA8"/>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1AC5"/>
    <w:rsid w:val="00EE52CB"/>
    <w:rsid w:val="00EE72B8"/>
    <w:rsid w:val="00EF581D"/>
    <w:rsid w:val="00EF7FD8"/>
    <w:rsid w:val="00F06F59"/>
    <w:rsid w:val="00F17988"/>
    <w:rsid w:val="00F469F0"/>
    <w:rsid w:val="00F53273"/>
    <w:rsid w:val="00F67E0D"/>
    <w:rsid w:val="00F755E4"/>
    <w:rsid w:val="00F77D02"/>
    <w:rsid w:val="00FB3A86"/>
    <w:rsid w:val="00FD25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FB8F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3285"/>
    <w:pPr>
      <w:ind w:left="720"/>
      <w:contextualSpacing/>
    </w:pPr>
  </w:style>
  <w:style w:type="character" w:customStyle="1" w:styleId="UnresolvedMention1">
    <w:name w:val="Unresolved Mention1"/>
    <w:basedOn w:val="DefaultParagraphFont"/>
    <w:uiPriority w:val="99"/>
    <w:semiHidden/>
    <w:unhideWhenUsed/>
    <w:rsid w:val="004F1612"/>
    <w:rPr>
      <w:color w:val="605E5C"/>
      <w:shd w:val="clear" w:color="auto" w:fill="E1DFDD"/>
    </w:rPr>
  </w:style>
  <w:style w:type="character" w:styleId="UnresolvedMention">
    <w:name w:val="Unresolved Mention"/>
    <w:basedOn w:val="DefaultParagraphFont"/>
    <w:uiPriority w:val="99"/>
    <w:semiHidden/>
    <w:unhideWhenUsed/>
    <w:rsid w:val="00AD2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776574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hyperlink" Target="https://www.santepubliquefrance.fr/docs/impregnation-de-la-population-francaise-par-les-metaux-et-metalloides.-programme-national-de-biosurveillance.-esteban-2014-2016" TargetMode="External"/><Relationship Id="rId21" Type="http://schemas.microsoft.com/office/2007/relationships/hdphoto" Target="media/hdphoto4.wdp"/><Relationship Id="rId34" Type="http://schemas.openxmlformats.org/officeDocument/2006/relationships/image" Target="media/image11.png"/><Relationship Id="rId42" Type="http://schemas.openxmlformats.org/officeDocument/2006/relationships/hyperlink" Target="https://ccac.ca/Documents/Normes/Lignes_directrices/Lignes_directrices_du_CCPA_sur_les_rats-Sept2022.pdf" TargetMode="External"/><Relationship Id="rId47" Type="http://schemas.openxmlformats.org/officeDocument/2006/relationships/hyperlink" Target="https://asp.mednet.ucla.edu/file/43239/2023_antibiogram_corrected.pdf" TargetMode="External"/><Relationship Id="rId50" Type="http://schemas.openxmlformats.org/officeDocument/2006/relationships/hyperlink" Target="https://doi.org/10.1016/j.taap.2020.114901" TargetMode="External"/><Relationship Id="rId55" Type="http://schemas.openxmlformats.org/officeDocument/2006/relationships/hyperlink" Target="https://www.revmed.ch/view/633807/4915382/RMS_27_182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microsoft.com/office/2007/relationships/hdphoto" Target="media/hdphoto8.wdp"/><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www.afro.who.int/sites/default/files/2022-07/AFR-RC72-10%20Strat%C3%A9gie%20r%C3%A9gionale%20pour%20l%E2%80%99action%20sur%20les%20d%C3%A9terminants%20environnementaux%20de%20la%20sant%C3%A9%20humaine%20dans%20la%20R%C3%A9gion%20africaine%202022-2032.pdf" TargetMode="External"/><Relationship Id="rId40" Type="http://schemas.openxmlformats.org/officeDocument/2006/relationships/hyperlink" Target="https://doi.org/10.20546/ijcmas.2025.1405.017" TargetMode="External"/><Relationship Id="rId45" Type="http://schemas.openxmlformats.org/officeDocument/2006/relationships/hyperlink" Target="https://www.oecd.org/fr/data/methods.html" TargetMode="External"/><Relationship Id="rId53" Type="http://schemas.openxmlformats.org/officeDocument/2006/relationships/hyperlink" Target="https://pmc.ncbi.nlm.nih.gov/articles/PMC6777643/"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microsoft.com/office/2007/relationships/hdphoto" Target="media/hdphoto3.wdp"/><Relationship Id="rId14" Type="http://schemas.openxmlformats.org/officeDocument/2006/relationships/image" Target="media/image1.png"/><Relationship Id="rId22" Type="http://schemas.openxmlformats.org/officeDocument/2006/relationships/image" Target="media/image5.png"/><Relationship Id="rId27" Type="http://schemas.microsoft.com/office/2007/relationships/hdphoto" Target="media/hdphoto7.wdp"/><Relationship Id="rId30" Type="http://schemas.openxmlformats.org/officeDocument/2006/relationships/image" Target="media/image9.png"/><Relationship Id="rId35" Type="http://schemas.microsoft.com/office/2007/relationships/hdphoto" Target="media/hdphoto11.wdp"/><Relationship Id="rId43" Type="http://schemas.openxmlformats.org/officeDocument/2006/relationships/hyperlink" Target="https://www.anses.fr/fr/content/liste-des-valeurs-toxicologiques-de%20r%C3%A9f%C3%A9rence-vtr-de-l%E2%80%99anses" TargetMode="External"/><Relationship Id="rId48" Type="http://schemas.openxmlformats.org/officeDocument/2006/relationships/hyperlink" Target="https://doi:10.5455/jabet.2021.d113" TargetMode="External"/><Relationship Id="rId56" Type="http://schemas.openxmlformats.org/officeDocument/2006/relationships/hyperlink" Target="https://www.ctcb.com/documentation/Fiches%20techniques%20BAC/Pseudomonas%20aeruginosa%20(Edition%202011).pdf" TargetMode="External"/><Relationship Id="rId8" Type="http://schemas.openxmlformats.org/officeDocument/2006/relationships/header" Target="header1.xml"/><Relationship Id="rId51" Type="http://schemas.openxmlformats.org/officeDocument/2006/relationships/hyperlink" Target="https://doi:10.3390/nu12020435"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2.wdp"/><Relationship Id="rId25" Type="http://schemas.microsoft.com/office/2007/relationships/hdphoto" Target="media/hdphoto6.wdp"/><Relationship Id="rId33" Type="http://schemas.microsoft.com/office/2007/relationships/hdphoto" Target="media/hdphoto10.wdp"/><Relationship Id="rId38" Type="http://schemas.openxmlformats.org/officeDocument/2006/relationships/hyperlink" Target="https://www.who.int/fr/news-room/fact-sheets/detail/ambient-(outdoor)-air-quality-and-health" TargetMode="External"/><Relationship Id="rId46" Type="http://schemas.openxmlformats.org/officeDocument/2006/relationships/hyperlink" Target="https://www.sfm-microbiologie.org/wp-content/uploads/2024/06/CASFM2024_V1.0.pdf" TargetMode="External"/><Relationship Id="rId59" Type="http://schemas.openxmlformats.org/officeDocument/2006/relationships/header" Target="header5.xml"/><Relationship Id="rId20" Type="http://schemas.openxmlformats.org/officeDocument/2006/relationships/image" Target="media/image4.png"/><Relationship Id="rId41" Type="http://schemas.openxmlformats.org/officeDocument/2006/relationships/hyperlink" Target="https://environnement.gouv.ci/wp-content/uploads/2022/08/Politique-Nationale-de-lEnvironnement-et-du-Developpement-Durable-2018.pdf" TargetMode="External"/><Relationship Id="rId54" Type="http://schemas.openxmlformats.org/officeDocument/2006/relationships/hyperlink" Target="https://doi.org/10.1016/j.etap.2022.10386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microsoft.com/office/2007/relationships/hdphoto" Target="media/hdphoto5.wdp"/><Relationship Id="rId28" Type="http://schemas.openxmlformats.org/officeDocument/2006/relationships/image" Target="media/image8.png"/><Relationship Id="rId36" Type="http://schemas.openxmlformats.org/officeDocument/2006/relationships/hyperlink" Target="https://www.senat.fr/rap/r11-638/r11-638_mono.html" TargetMode="External"/><Relationship Id="rId49" Type="http://schemas.openxmlformats.org/officeDocument/2006/relationships/hyperlink" Target="https://doi.org/10.1038/s41598-020-64172-4" TargetMode="External"/><Relationship Id="rId57" Type="http://schemas.openxmlformats.org/officeDocument/2006/relationships/hyperlink" Target="https://doi.org/10.1128/AEM.01204-%202" TargetMode="External"/><Relationship Id="rId10" Type="http://schemas.openxmlformats.org/officeDocument/2006/relationships/footer" Target="footer1.xml"/><Relationship Id="rId31" Type="http://schemas.microsoft.com/office/2007/relationships/hdphoto" Target="media/hdphoto9.wdp"/><Relationship Id="rId44" Type="http://schemas.openxmlformats.org/officeDocument/2006/relationships/hyperlink" Target="https://www.atsdr.cdc.gov/ToxProfiles/tp46.pdf" TargetMode="External"/><Relationship Id="rId52" Type="http://schemas.openxmlformats.org/officeDocument/2006/relationships/hyperlink" Target="https://doi.org/10.5281/zenodo.8428575"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E30C-6A64-42E9-ADCE-4680387D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194</TotalTime>
  <Pages>16</Pages>
  <Words>7283</Words>
  <Characters>41514</Characters>
  <Application>Microsoft Office Word</Application>
  <DocSecurity>0</DocSecurity>
  <Lines>345</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48700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27</cp:revision>
  <cp:lastPrinted>1999-07-06T11:00:00Z</cp:lastPrinted>
  <dcterms:created xsi:type="dcterms:W3CDTF">2026-03-04T14:44:00Z</dcterms:created>
  <dcterms:modified xsi:type="dcterms:W3CDTF">2026-03-06T11:29:00Z</dcterms:modified>
</cp:coreProperties>
</file>