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32BC6" w14:textId="68530E70" w:rsidR="00453D9F" w:rsidRDefault="00453D9F" w:rsidP="00E6745E">
      <w:pPr>
        <w:spacing w:after="0"/>
        <w:jc w:val="center"/>
        <w:rPr>
          <w:rFonts w:ascii="Arial" w:hAnsi="Arial" w:cs="Arial"/>
          <w:b/>
          <w:bCs/>
          <w:sz w:val="36"/>
          <w:szCs w:val="32"/>
        </w:rPr>
      </w:pPr>
      <w:r>
        <w:rPr>
          <w:rFonts w:ascii="Times New Roman" w:hAnsi="Times New Roman" w:cs="Times New Roman"/>
          <w:sz w:val="20"/>
        </w:rPr>
        <w:t>Original Research Article</w:t>
      </w:r>
    </w:p>
    <w:p w14:paraId="0E6E8FAB" w14:textId="552FDC4C" w:rsidR="00542A78" w:rsidRPr="0025216F" w:rsidRDefault="00542A78" w:rsidP="00E6745E">
      <w:pPr>
        <w:spacing w:after="0"/>
        <w:jc w:val="center"/>
        <w:rPr>
          <w:rFonts w:ascii="Arial" w:hAnsi="Arial" w:cs="Arial"/>
          <w:b/>
          <w:bCs/>
          <w:sz w:val="36"/>
          <w:szCs w:val="32"/>
        </w:rPr>
      </w:pPr>
      <w:r w:rsidRPr="0025216F">
        <w:rPr>
          <w:rFonts w:ascii="Arial" w:hAnsi="Arial" w:cs="Arial"/>
          <w:b/>
          <w:bCs/>
          <w:sz w:val="36"/>
          <w:szCs w:val="32"/>
        </w:rPr>
        <w:t>Energy Budgeting of Organic Integrated Farming System Under Irrigated Ecology</w:t>
      </w:r>
    </w:p>
    <w:p w14:paraId="52338EDE" w14:textId="3301AD1F" w:rsidR="00075E96" w:rsidRPr="0025216F" w:rsidRDefault="00075E96" w:rsidP="00075E96">
      <w:pPr>
        <w:spacing w:before="240" w:after="0"/>
        <w:jc w:val="both"/>
        <w:rPr>
          <w:rFonts w:ascii="Arial" w:hAnsi="Arial" w:cs="Arial"/>
          <w:b/>
          <w:bCs/>
          <w:sz w:val="24"/>
          <w:szCs w:val="22"/>
        </w:rPr>
      </w:pPr>
      <w:r w:rsidRPr="0025216F">
        <w:rPr>
          <w:rFonts w:ascii="Arial" w:hAnsi="Arial" w:cs="Arial"/>
          <w:noProof/>
        </w:rPr>
        <mc:AlternateContent>
          <mc:Choice Requires="wps">
            <w:drawing>
              <wp:inline distT="0" distB="0" distL="0" distR="0" wp14:anchorId="1EFCCD5E" wp14:editId="20924D16">
                <wp:extent cx="5724000" cy="635"/>
                <wp:effectExtent l="0" t="0" r="29210" b="37465"/>
                <wp:docPr id="5245210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0DDC99" id="_x0000_t32" coordsize="21600,21600" o:spt="32" o:oned="t" path="m,l21600,21600e" filled="f">
                <v:path arrowok="t" fillok="f" o:connecttype="none"/>
                <o:lock v:ext="edit" shapetype="t"/>
              </v:shapetype>
              <v:shape id="Straight Arrow Connector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5uw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cv1+9K8s4&#10;ExV9N2/XGR+qS6onDp81DiIZteRAYLo+7NC5OFSkZS4EpwcOiRhUl4RU1+G9sTbP1joxRvYfy3WZ&#10;MxitaZI3xTF1h50lcYK0HvmbafwWRnh0TUbrNTSfZjuAsc92rG7drE4SJG0fVwdsznu6qBbnl2nO&#10;u5YW5Nd7zn75I7Y/A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AVPFS5uwEAAFkDAAAOAAAAAAAAAAAAAAAAAC4CAABkcnMvZTJvRG9j&#10;LnhtbFBLAQItABQABgAIAAAAIQDv4rxE1gAAAAIBAAAPAAAAAAAAAAAAAAAAABUEAABkcnMvZG93&#10;bnJldi54bWxQSwUGAAAAAAQABADzAAAAGAUAAAAA&#10;" strokeweight="1.5pt">
                <w10:anchorlock/>
              </v:shape>
            </w:pict>
          </mc:Fallback>
        </mc:AlternateContent>
      </w:r>
    </w:p>
    <w:p w14:paraId="697652B9" w14:textId="7237BD37" w:rsidR="00542A78" w:rsidRPr="0025216F" w:rsidRDefault="00075E96" w:rsidP="00075E96">
      <w:pPr>
        <w:spacing w:before="240" w:after="0"/>
        <w:jc w:val="both"/>
        <w:rPr>
          <w:rFonts w:ascii="Arial" w:hAnsi="Arial" w:cs="Arial"/>
          <w:b/>
          <w:bCs/>
        </w:rPr>
      </w:pPr>
      <w:r w:rsidRPr="0025216F">
        <w:rPr>
          <w:rFonts w:ascii="Arial" w:hAnsi="Arial" w:cs="Arial"/>
          <w:b/>
          <w:bCs/>
        </w:rPr>
        <w:t>ABSTRACT</w:t>
      </w:r>
    </w:p>
    <w:p w14:paraId="7B506E34" w14:textId="77777777"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Efficient energy utilization is critical for enhancing the productivity and sustainability of agricultural systems, particularly within integrated organic frameworks. This study, conducted during 2023-24 at Dr. </w:t>
      </w:r>
      <w:proofErr w:type="spellStart"/>
      <w:r w:rsidRPr="0025216F">
        <w:rPr>
          <w:rFonts w:ascii="Arial" w:hAnsi="Arial" w:cs="Arial"/>
          <w:sz w:val="20"/>
          <w:szCs w:val="18"/>
        </w:rPr>
        <w:t>Panjabrao</w:t>
      </w:r>
      <w:proofErr w:type="spellEnd"/>
      <w:r w:rsidRPr="0025216F">
        <w:rPr>
          <w:rFonts w:ascii="Arial" w:hAnsi="Arial" w:cs="Arial"/>
          <w:sz w:val="20"/>
          <w:szCs w:val="18"/>
        </w:rPr>
        <w:t xml:space="preserve"> Deshmukh Krishi Vidyapeeth, Akola, evaluated the energy dynamics of an Integrated Organic Farming System (IOFS) comprising five interdependent components: crops, vegetables, livestock, vermicomposting and a nutritional garden. System inputs and outputs were quantified and converted into energy equivalents to compute key thermodynamic indices. Results revealed significant variations in energy dynamics across the module. The livestock component demanded the highest energy input (58,987.12 MJ) due to substantial feed requirements, followed by vegetables (3,733.06 MJ) and crops (2,019.88 MJ). Livestock also yielded the highest total energy output (42,910.20 MJ), followed by crops (24,823.93 MJ) and vegetables (7,840.92 MJ). Despite lower absolute energy outputs, the crop component demonstrated the highest energy use efficiency (12.39), net energy gain (22,804.05 MJ) and energy profitability (11.29). In contrast, the livestock and nutritional garden components exhibited negative net energy gains (-16,076.92 MJ and -50.13 MJ, respectively), reflecting higher relative energy consumption. Energy productivity peaked in the vermicomposting unit (1.21 kg MJ</w:t>
      </w:r>
      <w:r w:rsidRPr="0025216F">
        <w:rPr>
          <w:rFonts w:ascii="Cambria Math" w:hAnsi="Cambria Math" w:cs="Cambria Math"/>
          <w:sz w:val="20"/>
          <w:szCs w:val="18"/>
        </w:rPr>
        <w:t>⁻</w:t>
      </w:r>
      <w:r w:rsidRPr="0025216F">
        <w:rPr>
          <w:rFonts w:ascii="Arial" w:hAnsi="Arial" w:cs="Arial"/>
          <w:sz w:val="20"/>
          <w:szCs w:val="18"/>
        </w:rPr>
        <w:t xml:space="preserve">¹). Across all components, renewable energy constituted the dominant share, underscoring the system's reduced reliance on non-renewable sources. </w:t>
      </w:r>
    </w:p>
    <w:p w14:paraId="50E90A1B" w14:textId="2775EC2A" w:rsidR="00075E96" w:rsidRPr="0025216F" w:rsidRDefault="00542A78" w:rsidP="00075E96">
      <w:pPr>
        <w:spacing w:before="240" w:after="0" w:line="360" w:lineRule="auto"/>
        <w:jc w:val="both"/>
        <w:rPr>
          <w:rFonts w:ascii="Arial" w:hAnsi="Arial" w:cs="Arial"/>
          <w:i/>
          <w:iCs/>
        </w:rPr>
        <w:sectPr w:rsidR="00075E96" w:rsidRPr="0025216F" w:rsidSect="00542A78">
          <w:headerReference w:type="even" r:id="rId7"/>
          <w:headerReference w:type="default" r:id="rId8"/>
          <w:footerReference w:type="even" r:id="rId9"/>
          <w:footerReference w:type="default" r:id="rId10"/>
          <w:headerReference w:type="first" r:id="rId11"/>
          <w:footerReference w:type="first" r:id="rId12"/>
          <w:pgSz w:w="11910" w:h="16840"/>
          <w:pgMar w:top="1360" w:right="1417" w:bottom="280" w:left="1417" w:header="720" w:footer="720" w:gutter="0"/>
          <w:cols w:space="720"/>
        </w:sectPr>
      </w:pPr>
      <w:r w:rsidRPr="0025216F">
        <w:rPr>
          <w:rFonts w:ascii="Arial" w:hAnsi="Arial" w:cs="Arial"/>
          <w:b/>
          <w:i/>
          <w:iCs/>
        </w:rPr>
        <w:t xml:space="preserve">Keywords: </w:t>
      </w:r>
      <w:r w:rsidRPr="0025216F">
        <w:rPr>
          <w:rFonts w:ascii="Arial" w:hAnsi="Arial" w:cs="Arial"/>
          <w:i/>
          <w:iCs/>
        </w:rPr>
        <w:t>Integrated organic farming system, Energy use efficiency, Net energy gain, Resource recycling, Agricultural sustainability et</w:t>
      </w:r>
      <w:r w:rsidR="00075E96" w:rsidRPr="0025216F">
        <w:rPr>
          <w:rFonts w:ascii="Arial" w:hAnsi="Arial" w:cs="Arial"/>
          <w:i/>
          <w:iCs/>
        </w:rPr>
        <w:t>c.</w:t>
      </w:r>
    </w:p>
    <w:p w14:paraId="3B9B0B24" w14:textId="665E18E0" w:rsidR="00542A78" w:rsidRPr="0025216F" w:rsidRDefault="00075E96" w:rsidP="00075E96">
      <w:pPr>
        <w:tabs>
          <w:tab w:val="left" w:pos="2196"/>
        </w:tabs>
        <w:rPr>
          <w:rFonts w:ascii="Arial" w:hAnsi="Arial" w:cs="Arial"/>
          <w:b/>
          <w:bCs/>
        </w:rPr>
      </w:pPr>
      <w:r w:rsidRPr="0025216F">
        <w:rPr>
          <w:rFonts w:ascii="Arial" w:hAnsi="Arial" w:cs="Arial"/>
          <w:b/>
          <w:bCs/>
        </w:rPr>
        <w:lastRenderedPageBreak/>
        <w:t>INTRODUCTION</w:t>
      </w:r>
    </w:p>
    <w:p w14:paraId="25965D63" w14:textId="6CA75DD6"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Energy is a fundamental driver of agricultural production, influencing system productivity, resource-use efficiency and long-term sustainability (Pimentel and Pimentel, 2008; Fluck, 1992). Agricultural systems depend on both direct energy sources such as human </w:t>
      </w:r>
      <w:proofErr w:type="spellStart"/>
      <w:r w:rsidRPr="0025216F">
        <w:rPr>
          <w:rFonts w:ascii="Arial" w:hAnsi="Arial" w:cs="Arial"/>
          <w:sz w:val="20"/>
          <w:szCs w:val="18"/>
        </w:rPr>
        <w:t>labour</w:t>
      </w:r>
      <w:proofErr w:type="spellEnd"/>
      <w:r w:rsidRPr="0025216F">
        <w:rPr>
          <w:rFonts w:ascii="Arial" w:hAnsi="Arial" w:cs="Arial"/>
          <w:sz w:val="20"/>
          <w:szCs w:val="18"/>
        </w:rPr>
        <w:t>, fuel and electricity and indirect energy embodied in inputs like seeds, manures and farm machinery (Singh et al., 2002; Ozkan et al., 2004</w:t>
      </w:r>
      <w:r w:rsidR="00767B92">
        <w:rPr>
          <w:rFonts w:ascii="Arial" w:hAnsi="Arial" w:cs="Arial"/>
          <w:sz w:val="20"/>
          <w:szCs w:val="18"/>
        </w:rPr>
        <w:t>a</w:t>
      </w:r>
      <w:r w:rsidRPr="0025216F">
        <w:rPr>
          <w:rFonts w:ascii="Arial" w:hAnsi="Arial" w:cs="Arial"/>
          <w:sz w:val="20"/>
          <w:szCs w:val="18"/>
        </w:rPr>
        <w:t>). In recent years, increasing concerns over resource depletion, rising input costs and environmental degradation have highlighted the need to evaluate how efficiently energy is utilized in farming systems (</w:t>
      </w:r>
      <w:r w:rsidR="00C32D5C" w:rsidRPr="0025216F">
        <w:rPr>
          <w:rFonts w:ascii="Arial" w:hAnsi="Arial" w:cs="Arial"/>
          <w:sz w:val="20"/>
          <w:szCs w:val="18"/>
        </w:rPr>
        <w:t>Han</w:t>
      </w:r>
      <w:r w:rsidRPr="0025216F">
        <w:rPr>
          <w:rFonts w:ascii="Arial" w:hAnsi="Arial" w:cs="Arial"/>
          <w:sz w:val="20"/>
          <w:szCs w:val="18"/>
        </w:rPr>
        <w:t xml:space="preserve"> et al., 20</w:t>
      </w:r>
      <w:r w:rsidR="00C32D5C" w:rsidRPr="0025216F">
        <w:rPr>
          <w:rFonts w:ascii="Arial" w:hAnsi="Arial" w:cs="Arial"/>
          <w:sz w:val="20"/>
          <w:szCs w:val="18"/>
        </w:rPr>
        <w:t>24</w:t>
      </w:r>
      <w:r w:rsidRPr="0025216F">
        <w:rPr>
          <w:rFonts w:ascii="Arial" w:hAnsi="Arial" w:cs="Arial"/>
          <w:sz w:val="20"/>
          <w:szCs w:val="18"/>
        </w:rPr>
        <w:t>). Therefore, the proper assessment of energy from agriculture systems is important to achieve affordable and clean energy (Goal 7), decent work and economic growth (Goal 8), responsible consumption and production (Goal 12) and climate action (Goal 13) (UN, 2026).  Energy budgeting, which systematically quantifies energy inputs and outputs, has become a crucial tool for evaluating the performance and sustainability of agricultural production systems. (Pimentel and Pimentel, 2008; Iswarya et al., 2024).</w:t>
      </w:r>
    </w:p>
    <w:p w14:paraId="7E2636CD" w14:textId="77777777"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Integrated Farming Systems (IFS) have emerged as efficient production models that enhance resource utilization through the integration of multiple farm enterprises, including crops, livestock and allied components (Edwards et al., 1993). From an energy perspective, IFS operate through internal cycling of biomass and nutrients, where the by-products of one component serve as inputs for another, thereby improving system efficiency. For instance, crop residues are used as livestock feed, while animal waste is recycled as organic manure, reducing dependence on external inputs and associated energy costs (Paramesh et al., 2021; </w:t>
      </w:r>
      <w:proofErr w:type="spellStart"/>
      <w:r w:rsidRPr="0025216F">
        <w:rPr>
          <w:rFonts w:ascii="Arial" w:hAnsi="Arial" w:cs="Arial"/>
          <w:sz w:val="20"/>
          <w:szCs w:val="18"/>
        </w:rPr>
        <w:t>Sammauria</w:t>
      </w:r>
      <w:proofErr w:type="spellEnd"/>
      <w:r w:rsidRPr="0025216F">
        <w:rPr>
          <w:rFonts w:ascii="Arial" w:hAnsi="Arial" w:cs="Arial"/>
          <w:sz w:val="20"/>
          <w:szCs w:val="18"/>
        </w:rPr>
        <w:t xml:space="preserve"> et al., 2025). Such interlinkages improve energy flow within the system and enhance overall energy use efficiency by minimizing losses and maximizing resource conversion.</w:t>
      </w:r>
    </w:p>
    <w:p w14:paraId="05A8235A" w14:textId="77777777"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Parallel to this, organic farming has gained prominence as an environmentally sound approach that emphasizes the use of renewable resources, biological nutrient cycling and ecological balance (Lampkin, 1990; </w:t>
      </w:r>
      <w:proofErr w:type="spellStart"/>
      <w:r w:rsidRPr="0025216F">
        <w:rPr>
          <w:rFonts w:ascii="Arial" w:hAnsi="Arial" w:cs="Arial"/>
          <w:sz w:val="20"/>
          <w:szCs w:val="18"/>
        </w:rPr>
        <w:t>Reganold</w:t>
      </w:r>
      <w:proofErr w:type="spellEnd"/>
      <w:r w:rsidRPr="0025216F">
        <w:rPr>
          <w:rFonts w:ascii="Arial" w:hAnsi="Arial" w:cs="Arial"/>
          <w:sz w:val="20"/>
          <w:szCs w:val="18"/>
        </w:rPr>
        <w:t xml:space="preserve"> and Wachter, 2016). Organic production systems avoid synthetic fertilizers and pesticides, instead relying on organic inputs such as farmyard manure, compost and biofertilizers, along with practices like crop rotation and biological pest management (IFOAM, 2014; Meshram et al., 2026). These practices significantly reduce the indirect energy associated with the manufacture and transport of chemical inputs, while improving soil biological activity and nutrient cycling (Dalgaard et al., 2001; Gomiero et al., 2011). Recent studies have indicated that organic systems can reduce external energy consumption and enhance sustainability without compromising productivity (Iswarya et al., 2024; </w:t>
      </w:r>
      <w:proofErr w:type="spellStart"/>
      <w:r w:rsidRPr="0025216F">
        <w:rPr>
          <w:rFonts w:ascii="Arial" w:hAnsi="Arial" w:cs="Arial"/>
          <w:sz w:val="20"/>
          <w:szCs w:val="18"/>
        </w:rPr>
        <w:t>Bocean</w:t>
      </w:r>
      <w:proofErr w:type="spellEnd"/>
      <w:r w:rsidRPr="0025216F">
        <w:rPr>
          <w:rFonts w:ascii="Arial" w:hAnsi="Arial" w:cs="Arial"/>
          <w:sz w:val="20"/>
          <w:szCs w:val="18"/>
        </w:rPr>
        <w:t xml:space="preserve"> et al., 2025)</w:t>
      </w:r>
    </w:p>
    <w:p w14:paraId="49C35E89" w14:textId="15A44BE3" w:rsidR="00542A78" w:rsidRPr="0025216F" w:rsidRDefault="00542A78" w:rsidP="00075E96">
      <w:pPr>
        <w:spacing w:before="240" w:after="0" w:line="360" w:lineRule="auto"/>
        <w:jc w:val="both"/>
        <w:rPr>
          <w:rFonts w:ascii="Arial" w:hAnsi="Arial" w:cs="Arial"/>
          <w:sz w:val="20"/>
          <w:szCs w:val="18"/>
        </w:rPr>
      </w:pPr>
      <w:r w:rsidRPr="0025216F">
        <w:rPr>
          <w:rFonts w:ascii="Arial" w:hAnsi="Arial" w:cs="Arial"/>
          <w:sz w:val="20"/>
          <w:szCs w:val="18"/>
        </w:rPr>
        <w:tab/>
        <w:t>The integration of IFS principles with organic farming practices leads to the development of an Integrated Organic Farming System (IOFS), which represents a holistic and resource-efficient approach to agriculture (Kumar et al., 2012). IOFS strengthens internal energy dynamics by maximizing on-farm resource recycling and minimizing reliance on external inputs (</w:t>
      </w:r>
      <w:proofErr w:type="spellStart"/>
      <w:r w:rsidRPr="0025216F">
        <w:rPr>
          <w:rFonts w:ascii="Arial" w:hAnsi="Arial" w:cs="Arial"/>
          <w:sz w:val="20"/>
          <w:szCs w:val="18"/>
        </w:rPr>
        <w:t>Laye</w:t>
      </w:r>
      <w:r w:rsidR="00837861">
        <w:rPr>
          <w:rFonts w:ascii="Arial" w:hAnsi="Arial" w:cs="Arial"/>
          <w:sz w:val="20"/>
          <w:szCs w:val="18"/>
        </w:rPr>
        <w:t>k</w:t>
      </w:r>
      <w:proofErr w:type="spellEnd"/>
      <w:r w:rsidRPr="0025216F">
        <w:rPr>
          <w:rFonts w:ascii="Arial" w:hAnsi="Arial" w:cs="Arial"/>
          <w:sz w:val="20"/>
          <w:szCs w:val="18"/>
        </w:rPr>
        <w:t xml:space="preserve"> et al., 2023). The interconnected structure of crops, livestock and other enterprises facilitates efficient utilization of biomass, improves nutrient cycling and enhances system resilience (Ramana et al., 202</w:t>
      </w:r>
      <w:r w:rsidR="00837861">
        <w:rPr>
          <w:rFonts w:ascii="Arial" w:hAnsi="Arial" w:cs="Arial"/>
          <w:sz w:val="20"/>
          <w:szCs w:val="18"/>
        </w:rPr>
        <w:t>4</w:t>
      </w:r>
      <w:r w:rsidRPr="0025216F">
        <w:rPr>
          <w:rFonts w:ascii="Arial" w:hAnsi="Arial" w:cs="Arial"/>
          <w:sz w:val="20"/>
          <w:szCs w:val="18"/>
        </w:rPr>
        <w:t xml:space="preserve">). As a result, IOFS has the </w:t>
      </w:r>
      <w:r w:rsidRPr="0025216F">
        <w:rPr>
          <w:rFonts w:ascii="Arial" w:hAnsi="Arial" w:cs="Arial"/>
          <w:sz w:val="20"/>
          <w:szCs w:val="18"/>
        </w:rPr>
        <w:lastRenderedPageBreak/>
        <w:t>potential to achieve higher energy efficiency and sustainability through effective management of available resources (Babu et al., 2023).</w:t>
      </w:r>
    </w:p>
    <w:p w14:paraId="7A675094" w14:textId="2F911A36"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In such complex and diversified systems, energy analysis becomes essential to understand how different components contribute to overall system performance (Fluck, 1992; Ozkan et al., 2004</w:t>
      </w:r>
      <w:r w:rsidR="00767B92">
        <w:rPr>
          <w:rFonts w:ascii="Arial" w:hAnsi="Arial" w:cs="Arial"/>
          <w:sz w:val="20"/>
          <w:szCs w:val="18"/>
        </w:rPr>
        <w:t>a</w:t>
      </w:r>
      <w:r w:rsidRPr="0025216F">
        <w:rPr>
          <w:rFonts w:ascii="Arial" w:hAnsi="Arial" w:cs="Arial"/>
          <w:sz w:val="20"/>
          <w:szCs w:val="18"/>
        </w:rPr>
        <w:t>). Energy budgeting provides a quantitative framework to evaluate total energy input, energy output and key indices such as energy use efficiency, net energy return and energy productivity (Pimentel and Pimentel, 2008; Singh et al., 2002). These indicators are crucial for identifying efficient resource-use patterns and optimizing system performance (Dalgaard et al., 2001). Despite the recognized potential of IOFS, detailed and location-specific studies focusing on its energy dynamics remain limited.</w:t>
      </w:r>
    </w:p>
    <w:p w14:paraId="35575CF7" w14:textId="34DF6D0D" w:rsidR="00542A78" w:rsidRPr="0025216F" w:rsidRDefault="00542A78" w:rsidP="00075E96">
      <w:pPr>
        <w:spacing w:before="240" w:after="0" w:line="360" w:lineRule="auto"/>
        <w:ind w:firstLine="720"/>
        <w:jc w:val="both"/>
        <w:rPr>
          <w:rFonts w:ascii="Arial" w:hAnsi="Arial" w:cs="Arial"/>
          <w:sz w:val="20"/>
          <w:szCs w:val="18"/>
        </w:rPr>
      </w:pPr>
      <w:r w:rsidRPr="0025216F">
        <w:rPr>
          <w:rFonts w:ascii="Arial" w:hAnsi="Arial" w:cs="Arial"/>
          <w:sz w:val="20"/>
          <w:szCs w:val="18"/>
        </w:rPr>
        <w:t>Therefore, a systematic assessment of energy budgeting in an Integrated Organic Farming System module is necessary to quantify its efficiency and understand its functional dynamics. The present study aims to evaluate the energy inputs, outputs and overall energy efficiency of an IOFS module, with particular emphasis on sustainability and resource-use optimization.</w:t>
      </w:r>
    </w:p>
    <w:p w14:paraId="73963449" w14:textId="1FBA37A7" w:rsidR="00542A78" w:rsidRPr="0025216F" w:rsidRDefault="00075E96" w:rsidP="00075E96">
      <w:pPr>
        <w:spacing w:before="240" w:after="0" w:line="360" w:lineRule="auto"/>
        <w:jc w:val="both"/>
        <w:rPr>
          <w:rFonts w:ascii="Arial" w:hAnsi="Arial" w:cs="Arial"/>
          <w:b/>
          <w:bCs/>
        </w:rPr>
      </w:pPr>
      <w:r w:rsidRPr="0025216F">
        <w:rPr>
          <w:rFonts w:ascii="Arial" w:hAnsi="Arial" w:cs="Arial"/>
          <w:b/>
          <w:bCs/>
        </w:rPr>
        <w:t>MATERIAL AND METHOD</w:t>
      </w:r>
    </w:p>
    <w:p w14:paraId="07C86032" w14:textId="77777777" w:rsidR="001E42C4" w:rsidRDefault="00542A78" w:rsidP="001E42C4">
      <w:pPr>
        <w:spacing w:after="0" w:line="360" w:lineRule="auto"/>
        <w:ind w:firstLine="720"/>
        <w:jc w:val="both"/>
        <w:rPr>
          <w:rFonts w:ascii="Arial" w:hAnsi="Arial" w:cs="Arial"/>
          <w:sz w:val="20"/>
          <w:szCs w:val="18"/>
        </w:rPr>
      </w:pPr>
      <w:r w:rsidRPr="0025216F">
        <w:rPr>
          <w:rFonts w:ascii="Arial" w:hAnsi="Arial" w:cs="Arial"/>
          <w:sz w:val="20"/>
          <w:szCs w:val="18"/>
        </w:rPr>
        <w:t>A field experiment was conducted during 2023</w:t>
      </w:r>
      <w:r w:rsidR="00B4521E" w:rsidRPr="0025216F">
        <w:rPr>
          <w:rFonts w:ascii="Arial" w:hAnsi="Arial" w:cs="Arial"/>
          <w:sz w:val="20"/>
          <w:szCs w:val="18"/>
        </w:rPr>
        <w:t>-</w:t>
      </w:r>
      <w:r w:rsidRPr="0025216F">
        <w:rPr>
          <w:rFonts w:ascii="Arial" w:hAnsi="Arial" w:cs="Arial"/>
          <w:sz w:val="20"/>
          <w:szCs w:val="18"/>
        </w:rPr>
        <w:t xml:space="preserve">24 at the research farm of the Department of Agronomy, Centre for Organic Agriculture Research and Training, Dr. </w:t>
      </w:r>
      <w:proofErr w:type="spellStart"/>
      <w:r w:rsidRPr="0025216F">
        <w:rPr>
          <w:rFonts w:ascii="Arial" w:hAnsi="Arial" w:cs="Arial"/>
          <w:sz w:val="20"/>
          <w:szCs w:val="18"/>
        </w:rPr>
        <w:t>Panjabrao</w:t>
      </w:r>
      <w:proofErr w:type="spellEnd"/>
      <w:r w:rsidRPr="0025216F">
        <w:rPr>
          <w:rFonts w:ascii="Arial" w:hAnsi="Arial" w:cs="Arial"/>
          <w:sz w:val="20"/>
          <w:szCs w:val="18"/>
        </w:rPr>
        <w:t xml:space="preserve"> Deshmukh Krishi Vidyapeeth, Akola, Maharashtra, India, to evaluate the energy dynamics of a location-specific Integrated Organic Farming System (IOFS) under irrigated conditions of the Vidarbha region, where detailed and location-specific studies on energy dynamics of such systems remain limited. A one-acre (0.40 ha) IOFS model was designed and implemented by integrating five functional components, namely crop (0.20 ha), vegetable (0.10 ha), livestock (0.05 ha), vermicomposting unit (0.02 ha) and a nutritional garden (0.03 ha), forming a biologically linked and resource-recycling production system. The structural configuration of the model was based on an appraisal of existing farming practices commonly followed by small and marginal farmers of the region to ensure its practical relevance and adaptability. The crop component comprised two cropping systems: Cropping System</w:t>
      </w:r>
      <w:r w:rsidR="00890E9C" w:rsidRPr="0025216F">
        <w:rPr>
          <w:rFonts w:ascii="Arial" w:hAnsi="Arial" w:cs="Arial"/>
          <w:sz w:val="20"/>
          <w:szCs w:val="18"/>
        </w:rPr>
        <w:t xml:space="preserve">- </w:t>
      </w:r>
      <w:r w:rsidRPr="0025216F">
        <w:rPr>
          <w:rFonts w:ascii="Arial" w:hAnsi="Arial" w:cs="Arial"/>
          <w:sz w:val="20"/>
          <w:szCs w:val="18"/>
        </w:rPr>
        <w:t xml:space="preserve">I included cotton + </w:t>
      </w:r>
      <w:proofErr w:type="spellStart"/>
      <w:r w:rsidRPr="0025216F">
        <w:rPr>
          <w:rFonts w:ascii="Arial" w:hAnsi="Arial" w:cs="Arial"/>
          <w:sz w:val="20"/>
          <w:szCs w:val="18"/>
        </w:rPr>
        <w:t>blackgram</w:t>
      </w:r>
      <w:proofErr w:type="spellEnd"/>
      <w:r w:rsidRPr="0025216F">
        <w:rPr>
          <w:rFonts w:ascii="Arial" w:hAnsi="Arial" w:cs="Arial"/>
          <w:sz w:val="20"/>
          <w:szCs w:val="18"/>
        </w:rPr>
        <w:t xml:space="preserve"> (2:1) intercropping during </w:t>
      </w:r>
      <w:r w:rsidRPr="0025216F">
        <w:rPr>
          <w:rFonts w:ascii="Arial" w:hAnsi="Arial" w:cs="Arial"/>
          <w:i/>
          <w:iCs/>
          <w:sz w:val="20"/>
          <w:szCs w:val="18"/>
        </w:rPr>
        <w:t>kharif</w:t>
      </w:r>
      <w:r w:rsidRPr="0025216F">
        <w:rPr>
          <w:rFonts w:ascii="Arial" w:hAnsi="Arial" w:cs="Arial"/>
          <w:sz w:val="20"/>
          <w:szCs w:val="18"/>
        </w:rPr>
        <w:t xml:space="preserve"> followed by summer sesame, while Cropping System</w:t>
      </w:r>
      <w:r w:rsidR="00890E9C" w:rsidRPr="0025216F">
        <w:rPr>
          <w:rFonts w:ascii="Arial" w:hAnsi="Arial" w:cs="Arial"/>
          <w:sz w:val="20"/>
          <w:szCs w:val="18"/>
        </w:rPr>
        <w:t xml:space="preserve">- </w:t>
      </w:r>
      <w:r w:rsidRPr="0025216F">
        <w:rPr>
          <w:rFonts w:ascii="Arial" w:hAnsi="Arial" w:cs="Arial"/>
          <w:sz w:val="20"/>
          <w:szCs w:val="18"/>
        </w:rPr>
        <w:t xml:space="preserve">II consisted of sole soybean during </w:t>
      </w:r>
      <w:r w:rsidRPr="0025216F">
        <w:rPr>
          <w:rFonts w:ascii="Arial" w:hAnsi="Arial" w:cs="Arial"/>
          <w:i/>
          <w:iCs/>
          <w:sz w:val="20"/>
          <w:szCs w:val="18"/>
        </w:rPr>
        <w:t>kharif</w:t>
      </w:r>
      <w:r w:rsidRPr="0025216F">
        <w:rPr>
          <w:rFonts w:ascii="Arial" w:hAnsi="Arial" w:cs="Arial"/>
          <w:sz w:val="20"/>
          <w:szCs w:val="18"/>
        </w:rPr>
        <w:t xml:space="preserve"> followed by chickpea intercropped with coriander (2:1) and chickpea intercropped with ajwain (2:1) during </w:t>
      </w:r>
      <w:r w:rsidRPr="0025216F">
        <w:rPr>
          <w:rFonts w:ascii="Arial" w:hAnsi="Arial" w:cs="Arial"/>
          <w:i/>
          <w:iCs/>
          <w:sz w:val="20"/>
          <w:szCs w:val="18"/>
        </w:rPr>
        <w:t>rabi</w:t>
      </w:r>
      <w:r w:rsidRPr="0025216F">
        <w:rPr>
          <w:rFonts w:ascii="Arial" w:hAnsi="Arial" w:cs="Arial"/>
          <w:sz w:val="20"/>
          <w:szCs w:val="18"/>
        </w:rPr>
        <w:t xml:space="preserve">. The vegetable component included a range of seasonal vegetables cultivated throughout the year under organic management practices, while the livestock component comprised two Sahiwal cows supported by on-farm green fodder production through Napier grass. The vermicomposting unit consisted of four </w:t>
      </w:r>
      <w:proofErr w:type="spellStart"/>
      <w:r w:rsidRPr="0025216F">
        <w:rPr>
          <w:rFonts w:ascii="Arial" w:hAnsi="Arial" w:cs="Arial"/>
          <w:sz w:val="20"/>
          <w:szCs w:val="18"/>
        </w:rPr>
        <w:t>vermibeds</w:t>
      </w:r>
      <w:proofErr w:type="spellEnd"/>
      <w:r w:rsidRPr="0025216F">
        <w:rPr>
          <w:rFonts w:ascii="Arial" w:hAnsi="Arial" w:cs="Arial"/>
          <w:sz w:val="20"/>
          <w:szCs w:val="18"/>
        </w:rPr>
        <w:t xml:space="preserve"> utilized for recycling crop residues and livestock waste into nutrient-rich compost, and the nutritional garden was developed with seasonal vegetables to ensure household nutritional security. All components were functionally integrated to facilitate efficient recycling of biomass and nutrients, thereby enhancing system sustainability and overall energy use efficiency.</w:t>
      </w:r>
    </w:p>
    <w:p w14:paraId="45BE33AF" w14:textId="77777777" w:rsidR="001E42C4"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Climatically, the region is characterized by three distinct cropping periods, namely the </w:t>
      </w:r>
      <w:r w:rsidRPr="0025216F">
        <w:rPr>
          <w:rFonts w:ascii="Arial" w:hAnsi="Arial" w:cs="Arial"/>
          <w:i/>
          <w:sz w:val="20"/>
          <w:szCs w:val="18"/>
        </w:rPr>
        <w:t xml:space="preserve">kharif </w:t>
      </w:r>
      <w:r w:rsidRPr="0025216F">
        <w:rPr>
          <w:rFonts w:ascii="Arial" w:hAnsi="Arial" w:cs="Arial"/>
          <w:sz w:val="20"/>
          <w:szCs w:val="18"/>
        </w:rPr>
        <w:t xml:space="preserve">season (June to October), </w:t>
      </w:r>
      <w:r w:rsidRPr="0025216F">
        <w:rPr>
          <w:rFonts w:ascii="Arial" w:hAnsi="Arial" w:cs="Arial"/>
          <w:i/>
          <w:sz w:val="20"/>
          <w:szCs w:val="18"/>
        </w:rPr>
        <w:t xml:space="preserve">rabi </w:t>
      </w:r>
      <w:r w:rsidRPr="0025216F">
        <w:rPr>
          <w:rFonts w:ascii="Arial" w:hAnsi="Arial" w:cs="Arial"/>
          <w:sz w:val="20"/>
          <w:szCs w:val="18"/>
        </w:rPr>
        <w:t xml:space="preserve">season (November to February) and summer season (March to May), </w:t>
      </w:r>
      <w:r w:rsidRPr="0025216F">
        <w:rPr>
          <w:rFonts w:ascii="Arial" w:hAnsi="Arial" w:cs="Arial"/>
          <w:sz w:val="20"/>
          <w:szCs w:val="18"/>
        </w:rPr>
        <w:lastRenderedPageBreak/>
        <w:t xml:space="preserve">which directed the temporal arrangement of system components. The experimental field possessed </w:t>
      </w:r>
      <w:r w:rsidR="00890E9C" w:rsidRPr="0025216F">
        <w:rPr>
          <w:rFonts w:ascii="Arial" w:hAnsi="Arial" w:cs="Arial"/>
          <w:sz w:val="20"/>
          <w:szCs w:val="18"/>
        </w:rPr>
        <w:t>clay</w:t>
      </w:r>
      <w:r w:rsidRPr="0025216F">
        <w:rPr>
          <w:rFonts w:ascii="Arial" w:hAnsi="Arial" w:cs="Arial"/>
          <w:sz w:val="20"/>
          <w:szCs w:val="18"/>
        </w:rPr>
        <w:t xml:space="preserve"> loam soil texture and was geographically situated at 20°42′ N latitude and 77°02′ E longitude. The investigation focused on a comprehensive quantification of energy flows within the system, including estimation of total energy inputs and outputs, assessment of energy use efficiency, calculation of net energy balance and evaluation of multiple derived energy indicators across individual components as well as the integrated system. </w:t>
      </w:r>
    </w:p>
    <w:p w14:paraId="754D0403" w14:textId="77777777" w:rsidR="001E42C4" w:rsidRDefault="00542A78" w:rsidP="001E42C4">
      <w:pPr>
        <w:spacing w:before="240" w:after="0" w:line="360" w:lineRule="auto"/>
        <w:jc w:val="both"/>
        <w:rPr>
          <w:rFonts w:ascii="Arial" w:hAnsi="Arial" w:cs="Arial"/>
          <w:sz w:val="20"/>
          <w:szCs w:val="18"/>
        </w:rPr>
      </w:pPr>
      <w:r w:rsidRPr="0025216F">
        <w:rPr>
          <w:rFonts w:ascii="Arial" w:hAnsi="Arial" w:cs="Arial"/>
          <w:b/>
          <w:bCs/>
          <w:sz w:val="20"/>
          <w:szCs w:val="18"/>
        </w:rPr>
        <w:t>The energy performance of the system was evaluated using standard indices, calculated as follows:</w:t>
      </w:r>
    </w:p>
    <w:p w14:paraId="2030B02F" w14:textId="77777777" w:rsidR="001E42C4"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t>Energy use efficiency (EUE) was calculated as the ratio of total energy output (TEₒᵤ</w:t>
      </w:r>
      <w:r w:rsidRPr="0025216F">
        <w:rPr>
          <w:rFonts w:ascii="Cambria Math" w:hAnsi="Cambria Math" w:cs="Cambria Math"/>
          <w:sz w:val="20"/>
          <w:szCs w:val="18"/>
        </w:rPr>
        <w:t>ₜ</w:t>
      </w:r>
      <w:r w:rsidRPr="0025216F">
        <w:rPr>
          <w:rFonts w:ascii="Arial" w:hAnsi="Arial" w:cs="Arial"/>
          <w:sz w:val="20"/>
          <w:szCs w:val="18"/>
        </w:rPr>
        <w:t>) to total energy input (TEᵢ</w:t>
      </w:r>
      <w:r w:rsidRPr="0025216F">
        <w:rPr>
          <w:rFonts w:ascii="Cambria Math" w:hAnsi="Cambria Math" w:cs="Cambria Math"/>
          <w:sz w:val="20"/>
          <w:szCs w:val="18"/>
        </w:rPr>
        <w:t>ₙ</w:t>
      </w:r>
      <w:r w:rsidRPr="0025216F">
        <w:rPr>
          <w:rFonts w:ascii="Arial" w:hAnsi="Arial" w:cs="Arial"/>
          <w:sz w:val="20"/>
          <w:szCs w:val="18"/>
        </w:rPr>
        <w:t>) [EUE = TEₒᵤ</w:t>
      </w:r>
      <w:r w:rsidRPr="0025216F">
        <w:rPr>
          <w:rFonts w:ascii="Cambria Math" w:hAnsi="Cambria Math" w:cs="Cambria Math"/>
          <w:sz w:val="20"/>
          <w:szCs w:val="18"/>
        </w:rPr>
        <w:t>ₜ</w:t>
      </w:r>
      <w:r w:rsidRPr="0025216F">
        <w:rPr>
          <w:rFonts w:ascii="Arial" w:hAnsi="Arial" w:cs="Arial"/>
          <w:sz w:val="20"/>
          <w:szCs w:val="18"/>
        </w:rPr>
        <w:t xml:space="preserve"> / TEᵢ</w:t>
      </w:r>
      <w:r w:rsidRPr="0025216F">
        <w:rPr>
          <w:rFonts w:ascii="Cambria Math" w:hAnsi="Cambria Math" w:cs="Cambria Math"/>
          <w:sz w:val="20"/>
          <w:szCs w:val="18"/>
        </w:rPr>
        <w:t>ₙ</w:t>
      </w:r>
      <w:r w:rsidRPr="0025216F">
        <w:rPr>
          <w:rFonts w:ascii="Arial" w:hAnsi="Arial" w:cs="Arial"/>
          <w:sz w:val="20"/>
          <w:szCs w:val="18"/>
        </w:rPr>
        <w:t>]. Net energy gain (NEG) was obtained as the difference between total energy output and total energy input [NEG = TEₒᵤ</w:t>
      </w:r>
      <w:r w:rsidRPr="0025216F">
        <w:rPr>
          <w:rFonts w:ascii="Cambria Math" w:hAnsi="Cambria Math" w:cs="Cambria Math"/>
          <w:sz w:val="20"/>
          <w:szCs w:val="18"/>
        </w:rPr>
        <w:t>ₜ</w:t>
      </w:r>
      <w:r w:rsidRPr="0025216F">
        <w:rPr>
          <w:rFonts w:ascii="Arial" w:hAnsi="Arial" w:cs="Arial"/>
          <w:sz w:val="20"/>
          <w:szCs w:val="18"/>
        </w:rPr>
        <w:t xml:space="preserve"> − TEᵢ</w:t>
      </w:r>
      <w:r w:rsidRPr="0025216F">
        <w:rPr>
          <w:rFonts w:ascii="Cambria Math" w:hAnsi="Cambria Math" w:cs="Cambria Math"/>
          <w:sz w:val="20"/>
          <w:szCs w:val="18"/>
        </w:rPr>
        <w:t>ₙ</w:t>
      </w:r>
      <w:r w:rsidRPr="0025216F">
        <w:rPr>
          <w:rFonts w:ascii="Arial" w:hAnsi="Arial" w:cs="Arial"/>
          <w:sz w:val="20"/>
          <w:szCs w:val="18"/>
        </w:rPr>
        <w:t>]. Energy productivity was calculated as the ratio of Seed cotton equivalent yield (SCEY (kg)) to the total energy input (MJ) [Energy productivity = SCEY (kg)/ TEᵢ</w:t>
      </w:r>
      <w:r w:rsidRPr="0025216F">
        <w:rPr>
          <w:rFonts w:ascii="Cambria Math" w:hAnsi="Cambria Math" w:cs="Cambria Math"/>
          <w:sz w:val="20"/>
          <w:szCs w:val="18"/>
        </w:rPr>
        <w:t>ₙ</w:t>
      </w:r>
      <w:r w:rsidRPr="0025216F">
        <w:rPr>
          <w:rFonts w:ascii="Arial" w:hAnsi="Arial" w:cs="Arial"/>
          <w:sz w:val="20"/>
          <w:szCs w:val="18"/>
        </w:rPr>
        <w:t>]. Energy profitability (EP) was computed as the ratio of net energy gain to total energy input [EP = NEG / TEᵢ</w:t>
      </w:r>
      <w:r w:rsidRPr="0025216F">
        <w:rPr>
          <w:rFonts w:ascii="Cambria Math" w:hAnsi="Cambria Math" w:cs="Cambria Math"/>
          <w:sz w:val="20"/>
          <w:szCs w:val="18"/>
        </w:rPr>
        <w:t>ₙ</w:t>
      </w:r>
      <w:r w:rsidRPr="0025216F">
        <w:rPr>
          <w:rFonts w:ascii="Arial" w:hAnsi="Arial" w:cs="Arial"/>
          <w:sz w:val="20"/>
          <w:szCs w:val="18"/>
        </w:rPr>
        <w:t xml:space="preserve">]. Direct energy (DE) included the sum of energy from human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fuel and electricity [DE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 Fuel+ Electricity], whereas indirect energy (IE) comprised the embodied energy of inputs such as seeds, feed, fertilizers, chemicals, machinery and irrigation water [IE = Seed + Feed + Fertilizers + Chemicals + Machinery + Water]. Renewable energy (RE) consisted of energy derived from human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organic fertilizers, biopesticides and feed [RE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 Organic Fertilizers + biopesticides + Feed], while non-renewable energy (NRE) included contributions from fuel, electricity, seeds, fertilizers, chemicals and machinery [NRE = Fuel + Electricity + Seed + Fertilizers + Chemicals + Machinery]. Human energy profitability (HEP) was determined as the ratio of total energy output to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energy input [HEP = Total Energy Output / </w:t>
      </w:r>
      <w:proofErr w:type="spellStart"/>
      <w:r w:rsidRPr="0025216F">
        <w:rPr>
          <w:rFonts w:ascii="Arial" w:hAnsi="Arial" w:cs="Arial"/>
          <w:sz w:val="20"/>
          <w:szCs w:val="18"/>
        </w:rPr>
        <w:t>Labour</w:t>
      </w:r>
      <w:proofErr w:type="spellEnd"/>
      <w:r w:rsidRPr="0025216F">
        <w:rPr>
          <w:rFonts w:ascii="Arial" w:hAnsi="Arial" w:cs="Arial"/>
          <w:sz w:val="20"/>
          <w:szCs w:val="18"/>
        </w:rPr>
        <w:t xml:space="preserve"> Energy Input].</w:t>
      </w:r>
    </w:p>
    <w:p w14:paraId="6611807B" w14:textId="5BECA2DC" w:rsidR="00B4521E" w:rsidRPr="0025216F" w:rsidRDefault="00542A78" w:rsidP="001E42C4">
      <w:pPr>
        <w:spacing w:before="240" w:after="0" w:line="360" w:lineRule="auto"/>
        <w:ind w:firstLine="720"/>
        <w:jc w:val="both"/>
        <w:rPr>
          <w:rFonts w:ascii="Arial" w:hAnsi="Arial" w:cs="Arial"/>
          <w:sz w:val="20"/>
          <w:szCs w:val="18"/>
        </w:rPr>
      </w:pPr>
      <w:r w:rsidRPr="0025216F">
        <w:rPr>
          <w:rFonts w:ascii="Arial" w:hAnsi="Arial" w:cs="Arial"/>
          <w:sz w:val="20"/>
          <w:szCs w:val="18"/>
        </w:rPr>
        <w:t xml:space="preserve">All input variables, including human </w:t>
      </w:r>
      <w:proofErr w:type="spellStart"/>
      <w:r w:rsidRPr="0025216F">
        <w:rPr>
          <w:rFonts w:ascii="Arial" w:hAnsi="Arial" w:cs="Arial"/>
          <w:sz w:val="20"/>
          <w:szCs w:val="18"/>
        </w:rPr>
        <w:t>labour</w:t>
      </w:r>
      <w:proofErr w:type="spellEnd"/>
      <w:r w:rsidRPr="0025216F">
        <w:rPr>
          <w:rFonts w:ascii="Arial" w:hAnsi="Arial" w:cs="Arial"/>
          <w:sz w:val="20"/>
          <w:szCs w:val="18"/>
        </w:rPr>
        <w:t>, fuel, electricity, manure, feed, seed, biofertilizers, biopesticides, machinery use and irrigation water, along with system outputs such as grains (main produce), vegetables, milk, manure, and other primary as well as secondary products of the IOFS module, were initially quantified in their respective physical units and subsequently transformed into energy equivalents (MJ) using standardized conversion coefficients reported in (Table 1). These energy equivalents were then utilized for computing various energy indices. The energy contribution from green fodder crops was estimated on the basis of their dry matter yield rather than fresh biomass. Different categories of farm machinery were used for operations such as land preparation, irrigation, harvesting, threshing and transportation; therefore, the associated energy was apportioned based on their effective utilization. The machinery energy was calculated using the concept of distributed weight, derived as: machinery weight divided by the product of its economic lifespan, number of days in a year (365 or 366 in a leap year) and average daily operating hours (8 hrs.), following the approach described by Soni et al. (2013).</w:t>
      </w:r>
    </w:p>
    <w:p w14:paraId="261DA0AB" w14:textId="77777777" w:rsidR="001E42C4" w:rsidRDefault="001E42C4" w:rsidP="0025216F">
      <w:pPr>
        <w:spacing w:after="0" w:line="360" w:lineRule="auto"/>
        <w:jc w:val="both"/>
        <w:rPr>
          <w:rFonts w:ascii="Arial" w:hAnsi="Arial" w:cs="Arial"/>
          <w:sz w:val="20"/>
          <w:szCs w:val="18"/>
        </w:rPr>
      </w:pPr>
    </w:p>
    <w:p w14:paraId="5A3F4724" w14:textId="77777777" w:rsidR="001E42C4" w:rsidRDefault="001E42C4" w:rsidP="0025216F">
      <w:pPr>
        <w:spacing w:after="0" w:line="360" w:lineRule="auto"/>
        <w:jc w:val="both"/>
        <w:rPr>
          <w:rFonts w:ascii="Arial" w:hAnsi="Arial" w:cs="Arial"/>
          <w:b/>
          <w:bCs/>
          <w:sz w:val="20"/>
        </w:rPr>
      </w:pPr>
    </w:p>
    <w:p w14:paraId="355FE88A" w14:textId="77777777" w:rsidR="001E42C4" w:rsidRDefault="001E42C4" w:rsidP="0025216F">
      <w:pPr>
        <w:spacing w:after="0" w:line="360" w:lineRule="auto"/>
        <w:jc w:val="both"/>
        <w:rPr>
          <w:rFonts w:ascii="Arial" w:hAnsi="Arial" w:cs="Arial"/>
          <w:b/>
          <w:bCs/>
          <w:sz w:val="20"/>
        </w:rPr>
      </w:pPr>
    </w:p>
    <w:p w14:paraId="790FD938" w14:textId="48991FA5" w:rsidR="0025216F" w:rsidRPr="0025216F" w:rsidRDefault="0025216F" w:rsidP="0025216F">
      <w:pPr>
        <w:spacing w:after="0" w:line="360" w:lineRule="auto"/>
        <w:jc w:val="both"/>
        <w:rPr>
          <w:rFonts w:ascii="Arial" w:hAnsi="Arial" w:cs="Arial"/>
          <w:b/>
          <w:bCs/>
          <w:sz w:val="20"/>
        </w:rPr>
      </w:pPr>
      <w:r w:rsidRPr="0025216F">
        <w:rPr>
          <w:rFonts w:ascii="Arial" w:hAnsi="Arial" w:cs="Arial"/>
          <w:b/>
          <w:bCs/>
          <w:sz w:val="20"/>
        </w:rPr>
        <w:lastRenderedPageBreak/>
        <w:t>Table 1. Energy equivalents of inputs and outputs used in the study</w:t>
      </w:r>
    </w:p>
    <w:tbl>
      <w:tblPr>
        <w:tblStyle w:val="TableGrid"/>
        <w:tblW w:w="0" w:type="auto"/>
        <w:tblLook w:val="04A0" w:firstRow="1" w:lastRow="0" w:firstColumn="1" w:lastColumn="0" w:noHBand="0" w:noVBand="1"/>
      </w:tblPr>
      <w:tblGrid>
        <w:gridCol w:w="571"/>
        <w:gridCol w:w="4919"/>
        <w:gridCol w:w="1283"/>
        <w:gridCol w:w="2243"/>
      </w:tblGrid>
      <w:tr w:rsidR="0025216F" w:rsidRPr="0025216F" w14:paraId="58B0B751" w14:textId="77777777" w:rsidTr="001E42C4">
        <w:trPr>
          <w:trHeight w:val="20"/>
        </w:trPr>
        <w:tc>
          <w:tcPr>
            <w:tcW w:w="571" w:type="dxa"/>
            <w:vAlign w:val="center"/>
          </w:tcPr>
          <w:p w14:paraId="1518A55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Sr. No.</w:t>
            </w:r>
          </w:p>
        </w:tc>
        <w:tc>
          <w:tcPr>
            <w:tcW w:w="4919" w:type="dxa"/>
            <w:vAlign w:val="center"/>
          </w:tcPr>
          <w:p w14:paraId="6D8B9B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Particulars</w:t>
            </w:r>
          </w:p>
        </w:tc>
        <w:tc>
          <w:tcPr>
            <w:tcW w:w="1283" w:type="dxa"/>
            <w:vAlign w:val="center"/>
          </w:tcPr>
          <w:p w14:paraId="1FD38DA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 xml:space="preserve">Energy equivalent      </w:t>
            </w:r>
            <w:proofErr w:type="gramStart"/>
            <w:r w:rsidRPr="0025216F">
              <w:rPr>
                <w:rFonts w:ascii="Arial" w:eastAsia="Times New Roman" w:hAnsi="Arial" w:cs="Arial"/>
                <w:b/>
                <w:bCs/>
                <w:color w:val="000000"/>
                <w:kern w:val="0"/>
                <w:sz w:val="20"/>
                <w:lang w:val="en-IN" w:eastAsia="en-IN" w:bidi="mr-IN"/>
                <w14:ligatures w14:val="none"/>
              </w:rPr>
              <w:t xml:space="preserve">   (</w:t>
            </w:r>
            <w:proofErr w:type="gramEnd"/>
            <w:r w:rsidRPr="0025216F">
              <w:rPr>
                <w:rFonts w:ascii="Arial" w:eastAsia="Times New Roman" w:hAnsi="Arial" w:cs="Arial"/>
                <w:b/>
                <w:bCs/>
                <w:color w:val="000000"/>
                <w:kern w:val="0"/>
                <w:sz w:val="20"/>
                <w:lang w:val="en-IN" w:eastAsia="en-IN" w:bidi="mr-IN"/>
                <w14:ligatures w14:val="none"/>
              </w:rPr>
              <w:t>MJ unit</w:t>
            </w:r>
            <w:r w:rsidRPr="0025216F">
              <w:rPr>
                <w:rFonts w:ascii="Cambria Math" w:eastAsia="Times New Roman" w:hAnsi="Cambria Math" w:cs="Cambria Math"/>
                <w:b/>
                <w:bCs/>
                <w:color w:val="000000"/>
                <w:kern w:val="0"/>
                <w:sz w:val="20"/>
                <w:lang w:val="en-IN" w:eastAsia="en-IN" w:bidi="mr-IN"/>
                <w14:ligatures w14:val="none"/>
              </w:rPr>
              <w:t>⁻</w:t>
            </w:r>
            <w:r w:rsidRPr="0025216F">
              <w:rPr>
                <w:rFonts w:ascii="Arial" w:eastAsia="Times New Roman" w:hAnsi="Arial" w:cs="Arial"/>
                <w:b/>
                <w:bCs/>
                <w:color w:val="000000"/>
                <w:kern w:val="0"/>
                <w:sz w:val="20"/>
                <w:lang w:val="en-IN" w:eastAsia="en-IN" w:bidi="mr-IN"/>
                <w14:ligatures w14:val="none"/>
              </w:rPr>
              <w:t>¹)</w:t>
            </w:r>
          </w:p>
        </w:tc>
        <w:tc>
          <w:tcPr>
            <w:tcW w:w="2243" w:type="dxa"/>
            <w:vAlign w:val="center"/>
          </w:tcPr>
          <w:p w14:paraId="11ED53B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b/>
                <w:bCs/>
                <w:color w:val="000000"/>
                <w:kern w:val="0"/>
                <w:sz w:val="20"/>
                <w:lang w:val="en-IN" w:eastAsia="en-IN" w:bidi="mr-IN"/>
                <w14:ligatures w14:val="none"/>
              </w:rPr>
              <w:t>Reference</w:t>
            </w:r>
          </w:p>
        </w:tc>
      </w:tr>
      <w:tr w:rsidR="0025216F" w:rsidRPr="0025216F" w14:paraId="4EEC33D6" w14:textId="77777777" w:rsidTr="001E42C4">
        <w:trPr>
          <w:trHeight w:val="20"/>
        </w:trPr>
        <w:tc>
          <w:tcPr>
            <w:tcW w:w="9016" w:type="dxa"/>
            <w:gridSpan w:val="4"/>
            <w:vAlign w:val="center"/>
          </w:tcPr>
          <w:p w14:paraId="0E758E99" w14:textId="77777777" w:rsidR="0025216F" w:rsidRPr="0025216F" w:rsidRDefault="0025216F" w:rsidP="00C66921">
            <w:pPr>
              <w:pStyle w:val="ListParagraph"/>
              <w:numPr>
                <w:ilvl w:val="0"/>
                <w:numId w:val="1"/>
              </w:numPr>
              <w:spacing w:line="240" w:lineRule="exact"/>
              <w:rPr>
                <w:rFonts w:ascii="Arial" w:hAnsi="Arial" w:cs="Arial"/>
                <w:b/>
                <w:bCs/>
                <w:sz w:val="20"/>
              </w:rPr>
            </w:pPr>
            <w:r w:rsidRPr="0025216F">
              <w:rPr>
                <w:rFonts w:ascii="Arial" w:hAnsi="Arial" w:cs="Arial"/>
                <w:b/>
                <w:bCs/>
                <w:sz w:val="20"/>
              </w:rPr>
              <w:t>Inputs</w:t>
            </w:r>
          </w:p>
        </w:tc>
      </w:tr>
      <w:tr w:rsidR="0025216F" w:rsidRPr="0025216F" w14:paraId="787EB4E9" w14:textId="77777777" w:rsidTr="001E42C4">
        <w:trPr>
          <w:trHeight w:val="20"/>
        </w:trPr>
        <w:tc>
          <w:tcPr>
            <w:tcW w:w="571" w:type="dxa"/>
            <w:vAlign w:val="center"/>
          </w:tcPr>
          <w:p w14:paraId="568D71A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w:t>
            </w:r>
          </w:p>
        </w:tc>
        <w:tc>
          <w:tcPr>
            <w:tcW w:w="4919" w:type="dxa"/>
            <w:vAlign w:val="center"/>
          </w:tcPr>
          <w:p w14:paraId="0B4F115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Male labour (man-hour)</w:t>
            </w:r>
          </w:p>
        </w:tc>
        <w:tc>
          <w:tcPr>
            <w:tcW w:w="1283" w:type="dxa"/>
            <w:vAlign w:val="center"/>
          </w:tcPr>
          <w:p w14:paraId="73598E2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1.96</w:t>
            </w:r>
          </w:p>
        </w:tc>
        <w:tc>
          <w:tcPr>
            <w:tcW w:w="2243" w:type="dxa"/>
            <w:vAlign w:val="center"/>
          </w:tcPr>
          <w:p w14:paraId="4DB01E1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4EA9CA21" w14:textId="77777777" w:rsidTr="001E42C4">
        <w:trPr>
          <w:trHeight w:val="20"/>
        </w:trPr>
        <w:tc>
          <w:tcPr>
            <w:tcW w:w="571" w:type="dxa"/>
            <w:vAlign w:val="center"/>
          </w:tcPr>
          <w:p w14:paraId="2FEF521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w:t>
            </w:r>
          </w:p>
        </w:tc>
        <w:tc>
          <w:tcPr>
            <w:tcW w:w="4919" w:type="dxa"/>
            <w:vAlign w:val="center"/>
          </w:tcPr>
          <w:p w14:paraId="0B2C471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Female labour (woman-hour)</w:t>
            </w:r>
          </w:p>
        </w:tc>
        <w:tc>
          <w:tcPr>
            <w:tcW w:w="1283" w:type="dxa"/>
            <w:vAlign w:val="center"/>
          </w:tcPr>
          <w:p w14:paraId="3CB0334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1.57</w:t>
            </w:r>
          </w:p>
        </w:tc>
        <w:tc>
          <w:tcPr>
            <w:tcW w:w="2243" w:type="dxa"/>
            <w:vAlign w:val="center"/>
          </w:tcPr>
          <w:p w14:paraId="4EAC9A5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3A80D0AC" w14:textId="77777777" w:rsidTr="001E42C4">
        <w:trPr>
          <w:trHeight w:val="20"/>
        </w:trPr>
        <w:tc>
          <w:tcPr>
            <w:tcW w:w="571" w:type="dxa"/>
            <w:vAlign w:val="center"/>
          </w:tcPr>
          <w:p w14:paraId="62BC3B9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w:t>
            </w:r>
          </w:p>
        </w:tc>
        <w:tc>
          <w:tcPr>
            <w:tcW w:w="4919" w:type="dxa"/>
            <w:vAlign w:val="center"/>
          </w:tcPr>
          <w:p w14:paraId="6A47D7E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Diesel (L)</w:t>
            </w:r>
          </w:p>
        </w:tc>
        <w:tc>
          <w:tcPr>
            <w:tcW w:w="1283" w:type="dxa"/>
            <w:vAlign w:val="center"/>
          </w:tcPr>
          <w:p w14:paraId="6132283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56.31</w:t>
            </w:r>
          </w:p>
        </w:tc>
        <w:tc>
          <w:tcPr>
            <w:tcW w:w="2243" w:type="dxa"/>
            <w:vAlign w:val="center"/>
          </w:tcPr>
          <w:p w14:paraId="5C3D660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E96D66D" w14:textId="77777777" w:rsidTr="001E42C4">
        <w:trPr>
          <w:trHeight w:val="20"/>
        </w:trPr>
        <w:tc>
          <w:tcPr>
            <w:tcW w:w="571" w:type="dxa"/>
            <w:vAlign w:val="center"/>
          </w:tcPr>
          <w:p w14:paraId="7AD2290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4</w:t>
            </w:r>
          </w:p>
        </w:tc>
        <w:tc>
          <w:tcPr>
            <w:tcW w:w="4919" w:type="dxa"/>
            <w:vAlign w:val="center"/>
          </w:tcPr>
          <w:p w14:paraId="6B7DDE5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Electricity (kWh)</w:t>
            </w:r>
          </w:p>
        </w:tc>
        <w:tc>
          <w:tcPr>
            <w:tcW w:w="1283" w:type="dxa"/>
            <w:vAlign w:val="center"/>
          </w:tcPr>
          <w:p w14:paraId="56C8A5B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11.93</w:t>
            </w:r>
          </w:p>
        </w:tc>
        <w:tc>
          <w:tcPr>
            <w:tcW w:w="2243" w:type="dxa"/>
            <w:vAlign w:val="center"/>
          </w:tcPr>
          <w:p w14:paraId="6A8A817F" w14:textId="6BC7BADF"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Ozkan et al. (2004</w:t>
            </w:r>
            <w:r w:rsidR="00767B92">
              <w:rPr>
                <w:rFonts w:ascii="Arial" w:eastAsia="Times New Roman" w:hAnsi="Arial" w:cs="Arial"/>
                <w:color w:val="000000"/>
                <w:kern w:val="0"/>
                <w:sz w:val="20"/>
                <w:lang w:val="en-IN" w:eastAsia="en-IN" w:bidi="mr-IN"/>
                <w14:ligatures w14:val="none"/>
              </w:rPr>
              <w:t>b</w:t>
            </w:r>
            <w:r w:rsidRPr="0025216F">
              <w:rPr>
                <w:rFonts w:ascii="Arial" w:eastAsia="Times New Roman" w:hAnsi="Arial" w:cs="Arial"/>
                <w:color w:val="000000"/>
                <w:kern w:val="0"/>
                <w:sz w:val="20"/>
                <w:lang w:val="en-IN" w:eastAsia="en-IN" w:bidi="mr-IN"/>
                <w14:ligatures w14:val="none"/>
              </w:rPr>
              <w:t>)</w:t>
            </w:r>
          </w:p>
        </w:tc>
      </w:tr>
      <w:tr w:rsidR="0025216F" w:rsidRPr="0025216F" w14:paraId="701E282A" w14:textId="77777777" w:rsidTr="001E42C4">
        <w:trPr>
          <w:trHeight w:val="20"/>
        </w:trPr>
        <w:tc>
          <w:tcPr>
            <w:tcW w:w="571" w:type="dxa"/>
            <w:vAlign w:val="center"/>
          </w:tcPr>
          <w:p w14:paraId="5BAD060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w:t>
            </w:r>
          </w:p>
        </w:tc>
        <w:tc>
          <w:tcPr>
            <w:tcW w:w="4919" w:type="dxa"/>
            <w:vAlign w:val="center"/>
          </w:tcPr>
          <w:p w14:paraId="17CC88F1"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Tractor (kg)</w:t>
            </w:r>
          </w:p>
        </w:tc>
        <w:tc>
          <w:tcPr>
            <w:tcW w:w="1283" w:type="dxa"/>
            <w:vAlign w:val="center"/>
          </w:tcPr>
          <w:p w14:paraId="1CAE55F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40.49</w:t>
            </w:r>
          </w:p>
        </w:tc>
        <w:tc>
          <w:tcPr>
            <w:tcW w:w="2243" w:type="dxa"/>
            <w:vAlign w:val="center"/>
          </w:tcPr>
          <w:p w14:paraId="6724214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4E952072" w14:textId="77777777" w:rsidTr="001E42C4">
        <w:trPr>
          <w:trHeight w:val="20"/>
        </w:trPr>
        <w:tc>
          <w:tcPr>
            <w:tcW w:w="571" w:type="dxa"/>
            <w:vAlign w:val="center"/>
          </w:tcPr>
          <w:p w14:paraId="4FF7BF0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6</w:t>
            </w:r>
          </w:p>
        </w:tc>
        <w:tc>
          <w:tcPr>
            <w:tcW w:w="4919" w:type="dxa"/>
            <w:vAlign w:val="center"/>
          </w:tcPr>
          <w:p w14:paraId="6E676AF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Harrow (kg)</w:t>
            </w:r>
          </w:p>
        </w:tc>
        <w:tc>
          <w:tcPr>
            <w:tcW w:w="1283" w:type="dxa"/>
            <w:vAlign w:val="center"/>
          </w:tcPr>
          <w:p w14:paraId="1080861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14.58</w:t>
            </w:r>
          </w:p>
        </w:tc>
        <w:tc>
          <w:tcPr>
            <w:tcW w:w="2243" w:type="dxa"/>
            <w:vAlign w:val="center"/>
          </w:tcPr>
          <w:p w14:paraId="2DA5D97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3DBEE390" w14:textId="77777777" w:rsidTr="001E42C4">
        <w:trPr>
          <w:trHeight w:val="20"/>
        </w:trPr>
        <w:tc>
          <w:tcPr>
            <w:tcW w:w="571" w:type="dxa"/>
            <w:vAlign w:val="center"/>
          </w:tcPr>
          <w:p w14:paraId="4A0A8A4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7</w:t>
            </w:r>
          </w:p>
        </w:tc>
        <w:tc>
          <w:tcPr>
            <w:tcW w:w="4919" w:type="dxa"/>
            <w:vAlign w:val="center"/>
          </w:tcPr>
          <w:p w14:paraId="1168CAD3"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Rotavator (kg)</w:t>
            </w:r>
          </w:p>
        </w:tc>
        <w:tc>
          <w:tcPr>
            <w:tcW w:w="1283" w:type="dxa"/>
            <w:vAlign w:val="center"/>
          </w:tcPr>
          <w:p w14:paraId="7C39B71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19.44</w:t>
            </w:r>
          </w:p>
        </w:tc>
        <w:tc>
          <w:tcPr>
            <w:tcW w:w="2243" w:type="dxa"/>
            <w:vAlign w:val="center"/>
          </w:tcPr>
          <w:p w14:paraId="4D33227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7E01ADD9" w14:textId="77777777" w:rsidTr="001E42C4">
        <w:trPr>
          <w:trHeight w:val="20"/>
        </w:trPr>
        <w:tc>
          <w:tcPr>
            <w:tcW w:w="571" w:type="dxa"/>
            <w:vAlign w:val="center"/>
          </w:tcPr>
          <w:p w14:paraId="5F2CD01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8</w:t>
            </w:r>
          </w:p>
        </w:tc>
        <w:tc>
          <w:tcPr>
            <w:tcW w:w="4919" w:type="dxa"/>
            <w:vAlign w:val="center"/>
          </w:tcPr>
          <w:p w14:paraId="55381F2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Electric motor (kg)</w:t>
            </w:r>
          </w:p>
        </w:tc>
        <w:tc>
          <w:tcPr>
            <w:tcW w:w="1283" w:type="dxa"/>
            <w:vAlign w:val="center"/>
          </w:tcPr>
          <w:p w14:paraId="6511083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0.53</w:t>
            </w:r>
          </w:p>
        </w:tc>
        <w:tc>
          <w:tcPr>
            <w:tcW w:w="2243" w:type="dxa"/>
            <w:vAlign w:val="center"/>
          </w:tcPr>
          <w:p w14:paraId="5975246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B0F3F68" w14:textId="77777777" w:rsidTr="001E42C4">
        <w:trPr>
          <w:trHeight w:val="20"/>
        </w:trPr>
        <w:tc>
          <w:tcPr>
            <w:tcW w:w="571" w:type="dxa"/>
            <w:vAlign w:val="center"/>
          </w:tcPr>
          <w:p w14:paraId="21774D6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9</w:t>
            </w:r>
          </w:p>
        </w:tc>
        <w:tc>
          <w:tcPr>
            <w:tcW w:w="4919" w:type="dxa"/>
            <w:vAlign w:val="center"/>
          </w:tcPr>
          <w:p w14:paraId="78E12DB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Vermicompost (kg)</w:t>
            </w:r>
          </w:p>
        </w:tc>
        <w:tc>
          <w:tcPr>
            <w:tcW w:w="1283" w:type="dxa"/>
            <w:vAlign w:val="center"/>
          </w:tcPr>
          <w:p w14:paraId="71A4131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0.5</w:t>
            </w:r>
          </w:p>
        </w:tc>
        <w:tc>
          <w:tcPr>
            <w:tcW w:w="2243" w:type="dxa"/>
            <w:vAlign w:val="center"/>
          </w:tcPr>
          <w:p w14:paraId="3E7CF6A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Mandal et al. (2002)</w:t>
            </w:r>
          </w:p>
        </w:tc>
      </w:tr>
      <w:tr w:rsidR="0025216F" w:rsidRPr="0025216F" w14:paraId="2DD0B7FF" w14:textId="77777777" w:rsidTr="001E42C4">
        <w:trPr>
          <w:trHeight w:val="20"/>
        </w:trPr>
        <w:tc>
          <w:tcPr>
            <w:tcW w:w="571" w:type="dxa"/>
            <w:vAlign w:val="center"/>
          </w:tcPr>
          <w:p w14:paraId="7300515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4919" w:type="dxa"/>
            <w:vAlign w:val="center"/>
          </w:tcPr>
          <w:p w14:paraId="6E3D91A1"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Biofertilizers (kg)</w:t>
            </w:r>
          </w:p>
        </w:tc>
        <w:tc>
          <w:tcPr>
            <w:tcW w:w="1283" w:type="dxa"/>
            <w:vAlign w:val="center"/>
          </w:tcPr>
          <w:p w14:paraId="4B08C6A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2243" w:type="dxa"/>
            <w:vAlign w:val="center"/>
          </w:tcPr>
          <w:p w14:paraId="2AB99D35"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55F5ED4F" w14:textId="77777777" w:rsidTr="001E42C4">
        <w:trPr>
          <w:trHeight w:val="20"/>
        </w:trPr>
        <w:tc>
          <w:tcPr>
            <w:tcW w:w="571" w:type="dxa"/>
            <w:vAlign w:val="center"/>
          </w:tcPr>
          <w:p w14:paraId="3B2F7EE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w:t>
            </w:r>
          </w:p>
        </w:tc>
        <w:tc>
          <w:tcPr>
            <w:tcW w:w="4919" w:type="dxa"/>
            <w:vAlign w:val="center"/>
          </w:tcPr>
          <w:p w14:paraId="2823AEB8"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Beejamrut</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7BF2A40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0.03</w:t>
            </w:r>
          </w:p>
        </w:tc>
        <w:tc>
          <w:tcPr>
            <w:tcW w:w="2243" w:type="dxa"/>
            <w:vAlign w:val="center"/>
          </w:tcPr>
          <w:p w14:paraId="268BA2E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based on </w:t>
            </w: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0AA5AF61" w14:textId="77777777" w:rsidTr="001E42C4">
        <w:trPr>
          <w:trHeight w:val="20"/>
        </w:trPr>
        <w:tc>
          <w:tcPr>
            <w:tcW w:w="571" w:type="dxa"/>
            <w:vAlign w:val="center"/>
          </w:tcPr>
          <w:p w14:paraId="569DC4A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12</w:t>
            </w:r>
          </w:p>
        </w:tc>
        <w:tc>
          <w:tcPr>
            <w:tcW w:w="4919" w:type="dxa"/>
            <w:vAlign w:val="center"/>
          </w:tcPr>
          <w:p w14:paraId="7D8EAD35"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Jeevamrut</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6597C95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0.03</w:t>
            </w:r>
          </w:p>
        </w:tc>
        <w:tc>
          <w:tcPr>
            <w:tcW w:w="2243" w:type="dxa"/>
            <w:vAlign w:val="center"/>
          </w:tcPr>
          <w:p w14:paraId="0B139E1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based on </w:t>
            </w: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1872C24F" w14:textId="77777777" w:rsidTr="001E42C4">
        <w:trPr>
          <w:trHeight w:val="20"/>
        </w:trPr>
        <w:tc>
          <w:tcPr>
            <w:tcW w:w="571" w:type="dxa"/>
            <w:vAlign w:val="center"/>
          </w:tcPr>
          <w:p w14:paraId="1145E4D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13</w:t>
            </w:r>
          </w:p>
        </w:tc>
        <w:tc>
          <w:tcPr>
            <w:tcW w:w="4919" w:type="dxa"/>
            <w:vAlign w:val="center"/>
          </w:tcPr>
          <w:p w14:paraId="41690CAF" w14:textId="77777777" w:rsidR="0025216F" w:rsidRPr="0025216F" w:rsidRDefault="0025216F" w:rsidP="00C66921">
            <w:pPr>
              <w:spacing w:line="240" w:lineRule="exact"/>
              <w:jc w:val="both"/>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Vermiwash</w:t>
            </w:r>
            <w:proofErr w:type="spellEnd"/>
            <w:r w:rsidRPr="0025216F">
              <w:rPr>
                <w:rFonts w:ascii="Arial" w:eastAsia="Times New Roman" w:hAnsi="Arial" w:cs="Arial"/>
                <w:color w:val="000000"/>
                <w:kern w:val="0"/>
                <w:sz w:val="20"/>
                <w:lang w:val="en-IN" w:eastAsia="en-IN" w:bidi="mr-IN"/>
                <w14:ligatures w14:val="none"/>
              </w:rPr>
              <w:t xml:space="preserve"> (L)</w:t>
            </w:r>
          </w:p>
        </w:tc>
        <w:tc>
          <w:tcPr>
            <w:tcW w:w="1283" w:type="dxa"/>
            <w:vAlign w:val="center"/>
          </w:tcPr>
          <w:p w14:paraId="761863B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20B69B5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Estimated (no standard reference available)</w:t>
            </w:r>
          </w:p>
        </w:tc>
      </w:tr>
      <w:tr w:rsidR="0025216F" w:rsidRPr="0025216F" w14:paraId="16922CEA" w14:textId="77777777" w:rsidTr="001E42C4">
        <w:trPr>
          <w:trHeight w:val="20"/>
        </w:trPr>
        <w:tc>
          <w:tcPr>
            <w:tcW w:w="571" w:type="dxa"/>
            <w:vAlign w:val="center"/>
          </w:tcPr>
          <w:p w14:paraId="059518C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w:t>
            </w:r>
          </w:p>
        </w:tc>
        <w:tc>
          <w:tcPr>
            <w:tcW w:w="4919" w:type="dxa"/>
            <w:vAlign w:val="center"/>
          </w:tcPr>
          <w:p w14:paraId="43E4807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Biopesticides (kg or L)</w:t>
            </w:r>
          </w:p>
        </w:tc>
        <w:tc>
          <w:tcPr>
            <w:tcW w:w="1283" w:type="dxa"/>
            <w:vAlign w:val="center"/>
          </w:tcPr>
          <w:p w14:paraId="3020CD2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756AA03D"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4B22A846" w14:textId="77777777" w:rsidTr="001E42C4">
        <w:trPr>
          <w:trHeight w:val="20"/>
        </w:trPr>
        <w:tc>
          <w:tcPr>
            <w:tcW w:w="571" w:type="dxa"/>
            <w:vAlign w:val="center"/>
          </w:tcPr>
          <w:p w14:paraId="00D1BE1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15</w:t>
            </w:r>
          </w:p>
        </w:tc>
        <w:tc>
          <w:tcPr>
            <w:tcW w:w="4919" w:type="dxa"/>
            <w:vAlign w:val="center"/>
          </w:tcPr>
          <w:p w14:paraId="09762AD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NSKE (kg or L)</w:t>
            </w:r>
          </w:p>
        </w:tc>
        <w:tc>
          <w:tcPr>
            <w:tcW w:w="1283" w:type="dxa"/>
            <w:vAlign w:val="center"/>
          </w:tcPr>
          <w:p w14:paraId="1556FDB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w:t>
            </w:r>
          </w:p>
        </w:tc>
        <w:tc>
          <w:tcPr>
            <w:tcW w:w="2243" w:type="dxa"/>
            <w:vAlign w:val="center"/>
          </w:tcPr>
          <w:p w14:paraId="4550E309"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31EF0568" w14:textId="77777777" w:rsidTr="001E42C4">
        <w:trPr>
          <w:trHeight w:val="20"/>
        </w:trPr>
        <w:tc>
          <w:tcPr>
            <w:tcW w:w="571" w:type="dxa"/>
            <w:vAlign w:val="center"/>
          </w:tcPr>
          <w:p w14:paraId="0B9E590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4919" w:type="dxa"/>
            <w:vAlign w:val="center"/>
          </w:tcPr>
          <w:p w14:paraId="54CB167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Trichoderma (kg)</w:t>
            </w:r>
          </w:p>
        </w:tc>
        <w:tc>
          <w:tcPr>
            <w:tcW w:w="1283" w:type="dxa"/>
            <w:vAlign w:val="center"/>
          </w:tcPr>
          <w:p w14:paraId="0E29F62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0.1</w:t>
            </w:r>
          </w:p>
        </w:tc>
        <w:tc>
          <w:tcPr>
            <w:tcW w:w="2243" w:type="dxa"/>
            <w:vAlign w:val="center"/>
          </w:tcPr>
          <w:p w14:paraId="7AD3FF1D" w14:textId="77777777" w:rsidR="0025216F" w:rsidRPr="0025216F" w:rsidRDefault="0025216F" w:rsidP="00C66921">
            <w:pPr>
              <w:spacing w:line="240" w:lineRule="exact"/>
              <w:jc w:val="center"/>
              <w:rPr>
                <w:rFonts w:ascii="Arial" w:hAnsi="Arial" w:cs="Arial"/>
                <w:sz w:val="20"/>
              </w:rPr>
            </w:pPr>
            <w:proofErr w:type="spellStart"/>
            <w:r w:rsidRPr="0025216F">
              <w:rPr>
                <w:rFonts w:ascii="Arial" w:eastAsia="Times New Roman" w:hAnsi="Arial" w:cs="Arial"/>
                <w:color w:val="000000"/>
                <w:kern w:val="0"/>
                <w:sz w:val="20"/>
                <w:lang w:val="en-IN" w:eastAsia="en-IN" w:bidi="mr-IN"/>
                <w14:ligatures w14:val="none"/>
              </w:rPr>
              <w:t>Devasenapathy</w:t>
            </w:r>
            <w:proofErr w:type="spellEnd"/>
            <w:r w:rsidRPr="0025216F">
              <w:rPr>
                <w:rFonts w:ascii="Arial" w:eastAsia="Times New Roman" w:hAnsi="Arial" w:cs="Arial"/>
                <w:color w:val="000000"/>
                <w:kern w:val="0"/>
                <w:sz w:val="20"/>
                <w:lang w:val="en-IN" w:eastAsia="en-IN" w:bidi="mr-IN"/>
                <w14:ligatures w14:val="none"/>
              </w:rPr>
              <w:t xml:space="preserve"> et al. (2009)</w:t>
            </w:r>
          </w:p>
        </w:tc>
      </w:tr>
      <w:tr w:rsidR="0025216F" w:rsidRPr="0025216F" w14:paraId="2B7785E9" w14:textId="77777777" w:rsidTr="001E42C4">
        <w:trPr>
          <w:trHeight w:val="20"/>
        </w:trPr>
        <w:tc>
          <w:tcPr>
            <w:tcW w:w="571" w:type="dxa"/>
            <w:vAlign w:val="center"/>
          </w:tcPr>
          <w:p w14:paraId="39AF22A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17</w:t>
            </w:r>
          </w:p>
        </w:tc>
        <w:tc>
          <w:tcPr>
            <w:tcW w:w="4919" w:type="dxa"/>
            <w:vAlign w:val="center"/>
          </w:tcPr>
          <w:p w14:paraId="0ED1192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Seed cotton (kg)</w:t>
            </w:r>
          </w:p>
        </w:tc>
        <w:tc>
          <w:tcPr>
            <w:tcW w:w="1283" w:type="dxa"/>
            <w:vAlign w:val="center"/>
          </w:tcPr>
          <w:p w14:paraId="06BF387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11.8</w:t>
            </w:r>
          </w:p>
        </w:tc>
        <w:tc>
          <w:tcPr>
            <w:tcW w:w="2243" w:type="dxa"/>
            <w:vAlign w:val="center"/>
          </w:tcPr>
          <w:p w14:paraId="70E5659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0B55A385" w14:textId="77777777" w:rsidTr="001E42C4">
        <w:trPr>
          <w:trHeight w:val="20"/>
        </w:trPr>
        <w:tc>
          <w:tcPr>
            <w:tcW w:w="571" w:type="dxa"/>
            <w:vAlign w:val="center"/>
          </w:tcPr>
          <w:p w14:paraId="235901B4"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4919" w:type="dxa"/>
            <w:vAlign w:val="center"/>
          </w:tcPr>
          <w:p w14:paraId="28A329DD"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Chickpea/</w:t>
            </w:r>
            <w:proofErr w:type="spellStart"/>
            <w:r w:rsidRPr="0025216F">
              <w:rPr>
                <w:rFonts w:ascii="Arial" w:eastAsia="Times New Roman" w:hAnsi="Arial" w:cs="Arial"/>
                <w:color w:val="000000"/>
                <w:kern w:val="0"/>
                <w:sz w:val="20"/>
                <w:lang w:val="en-IN" w:eastAsia="en-IN" w:bidi="mr-IN"/>
                <w14:ligatures w14:val="none"/>
              </w:rPr>
              <w:t>Blackgram</w:t>
            </w:r>
            <w:proofErr w:type="spellEnd"/>
            <w:r w:rsidRPr="0025216F">
              <w:rPr>
                <w:rFonts w:ascii="Arial" w:eastAsia="Times New Roman" w:hAnsi="Arial" w:cs="Arial"/>
                <w:color w:val="000000"/>
                <w:kern w:val="0"/>
                <w:sz w:val="20"/>
                <w:lang w:val="en-IN" w:eastAsia="en-IN" w:bidi="mr-IN"/>
                <w14:ligatures w14:val="none"/>
              </w:rPr>
              <w:t xml:space="preserve"> seed (kg)</w:t>
            </w:r>
          </w:p>
        </w:tc>
        <w:tc>
          <w:tcPr>
            <w:tcW w:w="1283" w:type="dxa"/>
            <w:vAlign w:val="center"/>
          </w:tcPr>
          <w:p w14:paraId="1689C41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14.7</w:t>
            </w:r>
          </w:p>
        </w:tc>
        <w:tc>
          <w:tcPr>
            <w:tcW w:w="2243" w:type="dxa"/>
            <w:vAlign w:val="center"/>
          </w:tcPr>
          <w:p w14:paraId="3E34D17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6E4EFE9A" w14:textId="77777777" w:rsidTr="001E42C4">
        <w:trPr>
          <w:trHeight w:val="20"/>
        </w:trPr>
        <w:tc>
          <w:tcPr>
            <w:tcW w:w="571" w:type="dxa"/>
            <w:vAlign w:val="center"/>
          </w:tcPr>
          <w:p w14:paraId="6F6EE98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19</w:t>
            </w:r>
          </w:p>
        </w:tc>
        <w:tc>
          <w:tcPr>
            <w:tcW w:w="4919" w:type="dxa"/>
            <w:vAlign w:val="center"/>
          </w:tcPr>
          <w:p w14:paraId="0D00B895"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Soybean/Cotton/Sesamum/Coriander/Ajwain seed (kg)</w:t>
            </w:r>
          </w:p>
        </w:tc>
        <w:tc>
          <w:tcPr>
            <w:tcW w:w="1283" w:type="dxa"/>
            <w:vAlign w:val="center"/>
          </w:tcPr>
          <w:p w14:paraId="6FB5E0F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2243" w:type="dxa"/>
            <w:vAlign w:val="center"/>
          </w:tcPr>
          <w:p w14:paraId="2F83CCA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120F2325" w14:textId="77777777" w:rsidTr="001E42C4">
        <w:trPr>
          <w:trHeight w:val="20"/>
        </w:trPr>
        <w:tc>
          <w:tcPr>
            <w:tcW w:w="571" w:type="dxa"/>
            <w:vAlign w:val="center"/>
          </w:tcPr>
          <w:p w14:paraId="678A554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20</w:t>
            </w:r>
          </w:p>
        </w:tc>
        <w:tc>
          <w:tcPr>
            <w:tcW w:w="4919" w:type="dxa"/>
            <w:vAlign w:val="center"/>
          </w:tcPr>
          <w:p w14:paraId="40F65E08"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Vegetable seeds (general) (kg)</w:t>
            </w:r>
          </w:p>
        </w:tc>
        <w:tc>
          <w:tcPr>
            <w:tcW w:w="1283" w:type="dxa"/>
            <w:vAlign w:val="center"/>
          </w:tcPr>
          <w:p w14:paraId="46823F8F"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0.8</w:t>
            </w:r>
          </w:p>
        </w:tc>
        <w:tc>
          <w:tcPr>
            <w:tcW w:w="2243" w:type="dxa"/>
            <w:vAlign w:val="center"/>
          </w:tcPr>
          <w:p w14:paraId="0DCD24F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Tuti et al. (2012)</w:t>
            </w:r>
          </w:p>
        </w:tc>
      </w:tr>
      <w:tr w:rsidR="0025216F" w:rsidRPr="0025216F" w14:paraId="6A3FC9EC" w14:textId="77777777" w:rsidTr="001E42C4">
        <w:trPr>
          <w:trHeight w:val="20"/>
        </w:trPr>
        <w:tc>
          <w:tcPr>
            <w:tcW w:w="571" w:type="dxa"/>
            <w:vAlign w:val="center"/>
          </w:tcPr>
          <w:p w14:paraId="69C4040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21</w:t>
            </w:r>
          </w:p>
        </w:tc>
        <w:tc>
          <w:tcPr>
            <w:tcW w:w="4919" w:type="dxa"/>
            <w:vAlign w:val="center"/>
          </w:tcPr>
          <w:p w14:paraId="1FDA71B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Turmeric rhizome (kg)</w:t>
            </w:r>
          </w:p>
        </w:tc>
        <w:tc>
          <w:tcPr>
            <w:tcW w:w="1283" w:type="dxa"/>
            <w:vAlign w:val="center"/>
          </w:tcPr>
          <w:p w14:paraId="1A49E4D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3.6</w:t>
            </w:r>
          </w:p>
        </w:tc>
        <w:tc>
          <w:tcPr>
            <w:tcW w:w="2243" w:type="dxa"/>
            <w:vAlign w:val="center"/>
          </w:tcPr>
          <w:p w14:paraId="1FDC875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569419CC" w14:textId="77777777" w:rsidTr="001E42C4">
        <w:trPr>
          <w:trHeight w:val="20"/>
        </w:trPr>
        <w:tc>
          <w:tcPr>
            <w:tcW w:w="571" w:type="dxa"/>
            <w:vAlign w:val="center"/>
          </w:tcPr>
          <w:p w14:paraId="2C3255F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22</w:t>
            </w:r>
          </w:p>
        </w:tc>
        <w:tc>
          <w:tcPr>
            <w:tcW w:w="4919" w:type="dxa"/>
            <w:vAlign w:val="center"/>
          </w:tcPr>
          <w:p w14:paraId="2219193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Onion seed (kg)</w:t>
            </w:r>
          </w:p>
        </w:tc>
        <w:tc>
          <w:tcPr>
            <w:tcW w:w="1283" w:type="dxa"/>
            <w:vAlign w:val="center"/>
          </w:tcPr>
          <w:p w14:paraId="37E9DC3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2243" w:type="dxa"/>
            <w:vAlign w:val="center"/>
          </w:tcPr>
          <w:p w14:paraId="21B2773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563DF59E" w14:textId="77777777" w:rsidTr="001E42C4">
        <w:trPr>
          <w:trHeight w:val="20"/>
        </w:trPr>
        <w:tc>
          <w:tcPr>
            <w:tcW w:w="571" w:type="dxa"/>
            <w:vAlign w:val="center"/>
          </w:tcPr>
          <w:p w14:paraId="0AAE966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23</w:t>
            </w:r>
          </w:p>
        </w:tc>
        <w:tc>
          <w:tcPr>
            <w:tcW w:w="4919" w:type="dxa"/>
            <w:vAlign w:val="center"/>
          </w:tcPr>
          <w:p w14:paraId="66CBD6F6"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Green fodder (kg)</w:t>
            </w:r>
          </w:p>
        </w:tc>
        <w:tc>
          <w:tcPr>
            <w:tcW w:w="1283" w:type="dxa"/>
            <w:vAlign w:val="center"/>
          </w:tcPr>
          <w:p w14:paraId="35027F6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8.6</w:t>
            </w:r>
          </w:p>
        </w:tc>
        <w:tc>
          <w:tcPr>
            <w:tcW w:w="2243" w:type="dxa"/>
            <w:vAlign w:val="center"/>
          </w:tcPr>
          <w:p w14:paraId="3BDE325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6D23034B" w14:textId="77777777" w:rsidTr="001E42C4">
        <w:trPr>
          <w:trHeight w:val="20"/>
        </w:trPr>
        <w:tc>
          <w:tcPr>
            <w:tcW w:w="571" w:type="dxa"/>
            <w:vAlign w:val="center"/>
          </w:tcPr>
          <w:p w14:paraId="2204893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24</w:t>
            </w:r>
          </w:p>
        </w:tc>
        <w:tc>
          <w:tcPr>
            <w:tcW w:w="4919" w:type="dxa"/>
            <w:vAlign w:val="center"/>
          </w:tcPr>
          <w:p w14:paraId="2310BC27"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Dry fodder (kg)</w:t>
            </w:r>
          </w:p>
        </w:tc>
        <w:tc>
          <w:tcPr>
            <w:tcW w:w="1283" w:type="dxa"/>
            <w:vAlign w:val="center"/>
          </w:tcPr>
          <w:p w14:paraId="540EEE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5.26</w:t>
            </w:r>
          </w:p>
        </w:tc>
        <w:tc>
          <w:tcPr>
            <w:tcW w:w="2243" w:type="dxa"/>
            <w:vAlign w:val="center"/>
          </w:tcPr>
          <w:p w14:paraId="5BDA9F6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C542EBC" w14:textId="77777777" w:rsidTr="001E42C4">
        <w:trPr>
          <w:trHeight w:val="20"/>
        </w:trPr>
        <w:tc>
          <w:tcPr>
            <w:tcW w:w="571" w:type="dxa"/>
            <w:vAlign w:val="center"/>
          </w:tcPr>
          <w:p w14:paraId="7342474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4919" w:type="dxa"/>
            <w:vAlign w:val="center"/>
          </w:tcPr>
          <w:p w14:paraId="50B4A849"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Concentrates (kg)</w:t>
            </w:r>
          </w:p>
        </w:tc>
        <w:tc>
          <w:tcPr>
            <w:tcW w:w="1283" w:type="dxa"/>
            <w:vAlign w:val="center"/>
          </w:tcPr>
          <w:p w14:paraId="3DA8D55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6.3</w:t>
            </w:r>
          </w:p>
        </w:tc>
        <w:tc>
          <w:tcPr>
            <w:tcW w:w="2243" w:type="dxa"/>
            <w:vAlign w:val="center"/>
          </w:tcPr>
          <w:p w14:paraId="110DDFED"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2626D7E1" w14:textId="77777777" w:rsidTr="001E42C4">
        <w:trPr>
          <w:trHeight w:val="20"/>
        </w:trPr>
        <w:tc>
          <w:tcPr>
            <w:tcW w:w="571" w:type="dxa"/>
            <w:vAlign w:val="center"/>
          </w:tcPr>
          <w:p w14:paraId="2491BF82"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26</w:t>
            </w:r>
          </w:p>
        </w:tc>
        <w:tc>
          <w:tcPr>
            <w:tcW w:w="4919" w:type="dxa"/>
            <w:vAlign w:val="center"/>
          </w:tcPr>
          <w:p w14:paraId="066CB692"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Water (m³)</w:t>
            </w:r>
          </w:p>
        </w:tc>
        <w:tc>
          <w:tcPr>
            <w:tcW w:w="1283" w:type="dxa"/>
            <w:vAlign w:val="center"/>
          </w:tcPr>
          <w:p w14:paraId="13A4B87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1.02</w:t>
            </w:r>
          </w:p>
        </w:tc>
        <w:tc>
          <w:tcPr>
            <w:tcW w:w="2243" w:type="dxa"/>
            <w:vAlign w:val="center"/>
          </w:tcPr>
          <w:p w14:paraId="3144596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Tuti et al. (2012)</w:t>
            </w:r>
          </w:p>
        </w:tc>
      </w:tr>
      <w:tr w:rsidR="0025216F" w:rsidRPr="0025216F" w14:paraId="5962CB07" w14:textId="77777777" w:rsidTr="001E42C4">
        <w:trPr>
          <w:trHeight w:val="20"/>
        </w:trPr>
        <w:tc>
          <w:tcPr>
            <w:tcW w:w="571" w:type="dxa"/>
            <w:vAlign w:val="center"/>
          </w:tcPr>
          <w:p w14:paraId="3B349833"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27</w:t>
            </w:r>
          </w:p>
        </w:tc>
        <w:tc>
          <w:tcPr>
            <w:tcW w:w="4919" w:type="dxa"/>
            <w:vAlign w:val="center"/>
          </w:tcPr>
          <w:p w14:paraId="6BBF9E9D"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Napier rooted slips (kg)</w:t>
            </w:r>
          </w:p>
        </w:tc>
        <w:tc>
          <w:tcPr>
            <w:tcW w:w="1283" w:type="dxa"/>
            <w:vAlign w:val="center"/>
          </w:tcPr>
          <w:p w14:paraId="3134CED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25</w:t>
            </w:r>
          </w:p>
        </w:tc>
        <w:tc>
          <w:tcPr>
            <w:tcW w:w="2243" w:type="dxa"/>
            <w:vAlign w:val="center"/>
          </w:tcPr>
          <w:p w14:paraId="51EF036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0C35F7CA" w14:textId="77777777" w:rsidTr="001E42C4">
        <w:trPr>
          <w:trHeight w:val="20"/>
        </w:trPr>
        <w:tc>
          <w:tcPr>
            <w:tcW w:w="571" w:type="dxa"/>
            <w:vAlign w:val="center"/>
          </w:tcPr>
          <w:p w14:paraId="3E13BD5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28</w:t>
            </w:r>
          </w:p>
        </w:tc>
        <w:tc>
          <w:tcPr>
            <w:tcW w:w="4919" w:type="dxa"/>
            <w:vAlign w:val="center"/>
          </w:tcPr>
          <w:p w14:paraId="165448E4"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Okra seed (kg)</w:t>
            </w:r>
          </w:p>
        </w:tc>
        <w:tc>
          <w:tcPr>
            <w:tcW w:w="1283" w:type="dxa"/>
            <w:vAlign w:val="center"/>
          </w:tcPr>
          <w:p w14:paraId="3A7D1DD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1.6</w:t>
            </w:r>
          </w:p>
        </w:tc>
        <w:tc>
          <w:tcPr>
            <w:tcW w:w="2243" w:type="dxa"/>
            <w:vAlign w:val="center"/>
          </w:tcPr>
          <w:p w14:paraId="6CEE476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0FFAE01E" w14:textId="77777777" w:rsidTr="001E42C4">
        <w:trPr>
          <w:trHeight w:val="20"/>
        </w:trPr>
        <w:tc>
          <w:tcPr>
            <w:tcW w:w="9016" w:type="dxa"/>
            <w:gridSpan w:val="4"/>
            <w:vAlign w:val="center"/>
          </w:tcPr>
          <w:p w14:paraId="0D6FAADF" w14:textId="77777777" w:rsidR="0025216F" w:rsidRPr="0025216F" w:rsidRDefault="0025216F" w:rsidP="00C66921">
            <w:pPr>
              <w:pStyle w:val="ListParagraph"/>
              <w:numPr>
                <w:ilvl w:val="0"/>
                <w:numId w:val="1"/>
              </w:numPr>
              <w:spacing w:line="240" w:lineRule="exact"/>
              <w:jc w:val="both"/>
              <w:rPr>
                <w:rFonts w:ascii="Arial" w:hAnsi="Arial" w:cs="Arial"/>
                <w:b/>
                <w:bCs/>
                <w:sz w:val="20"/>
              </w:rPr>
            </w:pPr>
            <w:r w:rsidRPr="0025216F">
              <w:rPr>
                <w:rFonts w:ascii="Arial" w:hAnsi="Arial" w:cs="Arial"/>
                <w:b/>
                <w:bCs/>
                <w:sz w:val="20"/>
              </w:rPr>
              <w:t>Output</w:t>
            </w:r>
          </w:p>
        </w:tc>
      </w:tr>
      <w:tr w:rsidR="0025216F" w:rsidRPr="0025216F" w14:paraId="4D704658" w14:textId="77777777" w:rsidTr="001E42C4">
        <w:trPr>
          <w:trHeight w:val="20"/>
        </w:trPr>
        <w:tc>
          <w:tcPr>
            <w:tcW w:w="571" w:type="dxa"/>
            <w:vAlign w:val="center"/>
          </w:tcPr>
          <w:p w14:paraId="26748DB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lastRenderedPageBreak/>
              <w:t>29</w:t>
            </w:r>
          </w:p>
        </w:tc>
        <w:tc>
          <w:tcPr>
            <w:tcW w:w="4919" w:type="dxa"/>
            <w:vAlign w:val="center"/>
          </w:tcPr>
          <w:p w14:paraId="606E0690"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Cotton stalk/Soybean straw/Sesamum stalk (kg)</w:t>
            </w:r>
          </w:p>
        </w:tc>
        <w:tc>
          <w:tcPr>
            <w:tcW w:w="1283" w:type="dxa"/>
            <w:vAlign w:val="center"/>
          </w:tcPr>
          <w:p w14:paraId="77FEB506"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2243" w:type="dxa"/>
            <w:vAlign w:val="center"/>
          </w:tcPr>
          <w:p w14:paraId="0173AAE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783FBCE9" w14:textId="77777777" w:rsidTr="001E42C4">
        <w:trPr>
          <w:trHeight w:val="20"/>
        </w:trPr>
        <w:tc>
          <w:tcPr>
            <w:tcW w:w="571" w:type="dxa"/>
            <w:vAlign w:val="center"/>
          </w:tcPr>
          <w:p w14:paraId="6747836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30</w:t>
            </w:r>
          </w:p>
        </w:tc>
        <w:tc>
          <w:tcPr>
            <w:tcW w:w="4919" w:type="dxa"/>
            <w:vAlign w:val="center"/>
          </w:tcPr>
          <w:p w14:paraId="3D89A94A"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Chickpea/</w:t>
            </w:r>
            <w:proofErr w:type="spellStart"/>
            <w:r w:rsidRPr="0025216F">
              <w:rPr>
                <w:rFonts w:ascii="Arial" w:eastAsia="Times New Roman" w:hAnsi="Arial" w:cs="Arial"/>
                <w:color w:val="000000"/>
                <w:kern w:val="0"/>
                <w:sz w:val="20"/>
                <w:lang w:val="en-IN" w:eastAsia="en-IN" w:bidi="mr-IN"/>
                <w14:ligatures w14:val="none"/>
              </w:rPr>
              <w:t>Blackgram</w:t>
            </w:r>
            <w:proofErr w:type="spellEnd"/>
            <w:r w:rsidRPr="0025216F">
              <w:rPr>
                <w:rFonts w:ascii="Arial" w:eastAsia="Times New Roman" w:hAnsi="Arial" w:cs="Arial"/>
                <w:color w:val="000000"/>
                <w:kern w:val="0"/>
                <w:sz w:val="20"/>
                <w:lang w:val="en-IN" w:eastAsia="en-IN" w:bidi="mr-IN"/>
                <w14:ligatures w14:val="none"/>
              </w:rPr>
              <w:t>/Coriander/</w:t>
            </w:r>
            <w:proofErr w:type="spellStart"/>
            <w:r w:rsidRPr="0025216F">
              <w:rPr>
                <w:rFonts w:ascii="Arial" w:eastAsia="Times New Roman" w:hAnsi="Arial" w:cs="Arial"/>
                <w:color w:val="000000"/>
                <w:kern w:val="0"/>
                <w:sz w:val="20"/>
                <w:lang w:val="en-IN" w:eastAsia="en-IN" w:bidi="mr-IN"/>
                <w14:ligatures w14:val="none"/>
              </w:rPr>
              <w:t>Ajwain</w:t>
            </w:r>
            <w:proofErr w:type="spellEnd"/>
            <w:r w:rsidRPr="0025216F">
              <w:rPr>
                <w:rFonts w:ascii="Arial" w:eastAsia="Times New Roman" w:hAnsi="Arial" w:cs="Arial"/>
                <w:color w:val="000000"/>
                <w:kern w:val="0"/>
                <w:sz w:val="20"/>
                <w:lang w:val="en-IN" w:eastAsia="en-IN" w:bidi="mr-IN"/>
                <w14:ligatures w14:val="none"/>
              </w:rPr>
              <w:t xml:space="preserve"> straw (kg)</w:t>
            </w:r>
          </w:p>
        </w:tc>
        <w:tc>
          <w:tcPr>
            <w:tcW w:w="1283" w:type="dxa"/>
            <w:vAlign w:val="center"/>
          </w:tcPr>
          <w:p w14:paraId="65305AAA"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12.5</w:t>
            </w:r>
          </w:p>
        </w:tc>
        <w:tc>
          <w:tcPr>
            <w:tcW w:w="2243" w:type="dxa"/>
            <w:vAlign w:val="center"/>
          </w:tcPr>
          <w:p w14:paraId="0B13235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6F7E81FC" w14:textId="77777777" w:rsidTr="001E42C4">
        <w:trPr>
          <w:trHeight w:val="20"/>
        </w:trPr>
        <w:tc>
          <w:tcPr>
            <w:tcW w:w="571" w:type="dxa"/>
            <w:vAlign w:val="center"/>
          </w:tcPr>
          <w:p w14:paraId="403F1D9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31</w:t>
            </w:r>
          </w:p>
        </w:tc>
        <w:tc>
          <w:tcPr>
            <w:tcW w:w="4919" w:type="dxa"/>
            <w:vAlign w:val="center"/>
          </w:tcPr>
          <w:p w14:paraId="505F403C"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Vegetable by-products (kg)</w:t>
            </w:r>
          </w:p>
        </w:tc>
        <w:tc>
          <w:tcPr>
            <w:tcW w:w="1283" w:type="dxa"/>
            <w:vAlign w:val="center"/>
          </w:tcPr>
          <w:p w14:paraId="71302CD7"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10</w:t>
            </w:r>
          </w:p>
        </w:tc>
        <w:tc>
          <w:tcPr>
            <w:tcW w:w="2243" w:type="dxa"/>
            <w:vAlign w:val="center"/>
          </w:tcPr>
          <w:p w14:paraId="6035154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Gopalan et al. (1971)</w:t>
            </w:r>
          </w:p>
        </w:tc>
      </w:tr>
      <w:tr w:rsidR="0025216F" w:rsidRPr="0025216F" w14:paraId="2967D700" w14:textId="77777777" w:rsidTr="001E42C4">
        <w:trPr>
          <w:trHeight w:val="20"/>
        </w:trPr>
        <w:tc>
          <w:tcPr>
            <w:tcW w:w="571" w:type="dxa"/>
            <w:vAlign w:val="center"/>
          </w:tcPr>
          <w:p w14:paraId="634D9309"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32</w:t>
            </w:r>
          </w:p>
        </w:tc>
        <w:tc>
          <w:tcPr>
            <w:tcW w:w="4919" w:type="dxa"/>
            <w:vAlign w:val="center"/>
          </w:tcPr>
          <w:p w14:paraId="320EAF17"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Milk (L)</w:t>
            </w:r>
          </w:p>
        </w:tc>
        <w:tc>
          <w:tcPr>
            <w:tcW w:w="1283" w:type="dxa"/>
            <w:vAlign w:val="center"/>
          </w:tcPr>
          <w:p w14:paraId="785FD1A1"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3.25</w:t>
            </w:r>
          </w:p>
        </w:tc>
        <w:tc>
          <w:tcPr>
            <w:tcW w:w="2243" w:type="dxa"/>
            <w:vAlign w:val="center"/>
          </w:tcPr>
          <w:p w14:paraId="0EFA0A3F" w14:textId="417CCF1A"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w:t>
            </w:r>
          </w:p>
        </w:tc>
      </w:tr>
      <w:tr w:rsidR="0025216F" w:rsidRPr="0025216F" w14:paraId="20FEEA69" w14:textId="77777777" w:rsidTr="001E42C4">
        <w:trPr>
          <w:trHeight w:val="20"/>
        </w:trPr>
        <w:tc>
          <w:tcPr>
            <w:tcW w:w="571" w:type="dxa"/>
            <w:vAlign w:val="center"/>
          </w:tcPr>
          <w:p w14:paraId="0FAFD2C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33</w:t>
            </w:r>
          </w:p>
        </w:tc>
        <w:tc>
          <w:tcPr>
            <w:tcW w:w="4919" w:type="dxa"/>
            <w:vAlign w:val="center"/>
          </w:tcPr>
          <w:p w14:paraId="6734C89E"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Cow dung (kg)</w:t>
            </w:r>
          </w:p>
        </w:tc>
        <w:tc>
          <w:tcPr>
            <w:tcW w:w="1283" w:type="dxa"/>
            <w:vAlign w:val="center"/>
          </w:tcPr>
          <w:p w14:paraId="6F01506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w:t>
            </w:r>
          </w:p>
        </w:tc>
        <w:tc>
          <w:tcPr>
            <w:tcW w:w="2243" w:type="dxa"/>
            <w:vAlign w:val="center"/>
          </w:tcPr>
          <w:p w14:paraId="20776F8B"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r w:rsidR="0025216F" w:rsidRPr="0025216F" w14:paraId="50E9CA24" w14:textId="77777777" w:rsidTr="001E42C4">
        <w:trPr>
          <w:trHeight w:val="20"/>
        </w:trPr>
        <w:tc>
          <w:tcPr>
            <w:tcW w:w="571" w:type="dxa"/>
            <w:vAlign w:val="center"/>
          </w:tcPr>
          <w:p w14:paraId="6E73797C"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34</w:t>
            </w:r>
          </w:p>
        </w:tc>
        <w:tc>
          <w:tcPr>
            <w:tcW w:w="4919" w:type="dxa"/>
            <w:vAlign w:val="center"/>
          </w:tcPr>
          <w:p w14:paraId="5F0884DA"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Cow urine (L)</w:t>
            </w:r>
          </w:p>
        </w:tc>
        <w:tc>
          <w:tcPr>
            <w:tcW w:w="1283" w:type="dxa"/>
            <w:vAlign w:val="center"/>
          </w:tcPr>
          <w:p w14:paraId="64DD944E"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0.34</w:t>
            </w:r>
          </w:p>
        </w:tc>
        <w:tc>
          <w:tcPr>
            <w:tcW w:w="2243" w:type="dxa"/>
            <w:vAlign w:val="center"/>
          </w:tcPr>
          <w:p w14:paraId="238F70DE" w14:textId="294675D2"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 xml:space="preserve">Estimated </w:t>
            </w:r>
          </w:p>
        </w:tc>
      </w:tr>
      <w:tr w:rsidR="0025216F" w:rsidRPr="0025216F" w14:paraId="284481E6" w14:textId="77777777" w:rsidTr="001E42C4">
        <w:trPr>
          <w:trHeight w:val="20"/>
        </w:trPr>
        <w:tc>
          <w:tcPr>
            <w:tcW w:w="571" w:type="dxa"/>
            <w:vAlign w:val="center"/>
          </w:tcPr>
          <w:p w14:paraId="33FCAA95"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35</w:t>
            </w:r>
          </w:p>
        </w:tc>
        <w:tc>
          <w:tcPr>
            <w:tcW w:w="4919" w:type="dxa"/>
            <w:vAlign w:val="center"/>
          </w:tcPr>
          <w:p w14:paraId="7F28F85B" w14:textId="77777777" w:rsidR="0025216F" w:rsidRPr="0025216F" w:rsidRDefault="0025216F" w:rsidP="00C66921">
            <w:pPr>
              <w:spacing w:line="240" w:lineRule="exact"/>
              <w:jc w:val="both"/>
              <w:rPr>
                <w:rFonts w:ascii="Arial" w:hAnsi="Arial" w:cs="Arial"/>
                <w:sz w:val="20"/>
              </w:rPr>
            </w:pPr>
            <w:r w:rsidRPr="0025216F">
              <w:rPr>
                <w:rFonts w:ascii="Arial" w:eastAsia="Times New Roman" w:hAnsi="Arial" w:cs="Arial"/>
                <w:color w:val="000000"/>
                <w:kern w:val="0"/>
                <w:sz w:val="20"/>
                <w:lang w:val="en-IN" w:eastAsia="en-IN" w:bidi="mr-IN"/>
                <w14:ligatures w14:val="none"/>
              </w:rPr>
              <w:t>Dried fodder (kg)</w:t>
            </w:r>
          </w:p>
        </w:tc>
        <w:tc>
          <w:tcPr>
            <w:tcW w:w="1283" w:type="dxa"/>
            <w:vAlign w:val="center"/>
          </w:tcPr>
          <w:p w14:paraId="61CCC048"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18</w:t>
            </w:r>
          </w:p>
        </w:tc>
        <w:tc>
          <w:tcPr>
            <w:tcW w:w="2243" w:type="dxa"/>
            <w:vAlign w:val="center"/>
          </w:tcPr>
          <w:p w14:paraId="06F96280" w14:textId="77777777" w:rsidR="0025216F" w:rsidRPr="0025216F" w:rsidRDefault="0025216F" w:rsidP="00C66921">
            <w:pPr>
              <w:spacing w:line="240" w:lineRule="exact"/>
              <w:jc w:val="center"/>
              <w:rPr>
                <w:rFonts w:ascii="Arial" w:hAnsi="Arial" w:cs="Arial"/>
                <w:sz w:val="20"/>
              </w:rPr>
            </w:pPr>
            <w:r w:rsidRPr="0025216F">
              <w:rPr>
                <w:rFonts w:ascii="Arial" w:eastAsia="Times New Roman" w:hAnsi="Arial" w:cs="Arial"/>
                <w:color w:val="000000"/>
                <w:kern w:val="0"/>
                <w:sz w:val="20"/>
                <w:lang w:val="en-IN" w:eastAsia="en-IN" w:bidi="mr-IN"/>
                <w14:ligatures w14:val="none"/>
              </w:rPr>
              <w:t>Singh and Mittal (1992)</w:t>
            </w:r>
          </w:p>
        </w:tc>
      </w:tr>
    </w:tbl>
    <w:p w14:paraId="2F4E1939" w14:textId="0DF0D05D" w:rsidR="00B4521E" w:rsidRPr="001E42C4" w:rsidRDefault="001E42C4" w:rsidP="001E42C4">
      <w:pPr>
        <w:spacing w:before="240" w:after="0" w:line="360" w:lineRule="auto"/>
        <w:jc w:val="both"/>
        <w:rPr>
          <w:rFonts w:ascii="Arial" w:hAnsi="Arial" w:cs="Arial"/>
          <w:b/>
        </w:rPr>
      </w:pPr>
      <w:r w:rsidRPr="001E42C4">
        <w:rPr>
          <w:rFonts w:ascii="Arial" w:hAnsi="Arial" w:cs="Arial"/>
          <w:b/>
        </w:rPr>
        <w:t>RESULT AND DISCUSSION</w:t>
      </w:r>
    </w:p>
    <w:p w14:paraId="49EEF194"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Energy budgeting is crucial for designing an environmentally clean production system. The results revealed substantial variation in energy dynamics among different components of the system. (Table 2).</w:t>
      </w:r>
    </w:p>
    <w:p w14:paraId="72F5A1B5" w14:textId="1070941E" w:rsidR="00542A78" w:rsidRP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The total energy input was found to be highest in the livestock component (58987.12 MJ), followed by vegetable (3733.06 MJ), crop (2019.88 MJ), vermicompost unit (896.64 MJ) and nutritional garden (489.57 MJ). Similarly, the total energy output was recorded maximum in crop component (24823.93 MJ), followed by livestock (42910.20 MJ), vegetable (7840.92 MJ), vermicompost (1896.98 MJ), while the lowest output was observed in the nutritional garden (439.45 MJ). </w:t>
      </w:r>
    </w:p>
    <w:p w14:paraId="365EFE93" w14:textId="77777777" w:rsidR="001E42C4" w:rsidRDefault="00F24071" w:rsidP="001E42C4">
      <w:pPr>
        <w:spacing w:after="0" w:line="360" w:lineRule="auto"/>
        <w:ind w:firstLine="720"/>
        <w:jc w:val="both"/>
        <w:rPr>
          <w:rFonts w:ascii="Arial" w:hAnsi="Arial" w:cs="Arial"/>
          <w:sz w:val="20"/>
        </w:rPr>
      </w:pPr>
      <w:r w:rsidRPr="001E42C4">
        <w:rPr>
          <w:rFonts w:ascii="Arial" w:hAnsi="Arial" w:cs="Arial"/>
          <w:sz w:val="20"/>
        </w:rPr>
        <w:t>The higher energy input in livestock was primarily attributed to the large quantity of feed energy involved, which constituted a major share of indirect energy input. Babu et al. (2023) demonstrated that inclusion of livestock components had led to exceedingly energy-intensive systems compared to other production systems.</w:t>
      </w:r>
    </w:p>
    <w:p w14:paraId="77C1E59F" w14:textId="75591B66" w:rsidR="00B4521E" w:rsidRPr="001E42C4" w:rsidRDefault="00B4521E" w:rsidP="001E42C4">
      <w:pPr>
        <w:spacing w:after="0" w:line="360" w:lineRule="auto"/>
        <w:jc w:val="both"/>
        <w:rPr>
          <w:rFonts w:ascii="Arial" w:hAnsi="Arial" w:cs="Arial"/>
          <w:sz w:val="20"/>
        </w:rPr>
      </w:pPr>
      <w:r w:rsidRPr="001E42C4">
        <w:rPr>
          <w:rFonts w:ascii="Arial" w:hAnsi="Arial" w:cs="Arial"/>
          <w:b/>
          <w:bCs/>
          <w:sz w:val="20"/>
        </w:rPr>
        <w:t>Table</w:t>
      </w:r>
      <w:r w:rsidR="004C77CC" w:rsidRPr="001E42C4">
        <w:rPr>
          <w:rFonts w:ascii="Arial" w:hAnsi="Arial" w:cs="Arial"/>
          <w:b/>
          <w:bCs/>
          <w:sz w:val="20"/>
        </w:rPr>
        <w:t xml:space="preserve"> </w:t>
      </w:r>
      <w:r w:rsidRPr="001E42C4">
        <w:rPr>
          <w:rFonts w:ascii="Arial" w:hAnsi="Arial" w:cs="Arial"/>
          <w:b/>
          <w:bCs/>
          <w:sz w:val="20"/>
        </w:rPr>
        <w:t>2</w:t>
      </w:r>
      <w:r w:rsidR="004C77CC" w:rsidRPr="001E42C4">
        <w:rPr>
          <w:rFonts w:ascii="Arial" w:hAnsi="Arial" w:cs="Arial"/>
          <w:b/>
          <w:bCs/>
          <w:sz w:val="20"/>
        </w:rPr>
        <w:t>.</w:t>
      </w:r>
      <w:r w:rsidRPr="001E42C4">
        <w:rPr>
          <w:rFonts w:ascii="Arial" w:hAnsi="Arial" w:cs="Arial"/>
          <w:b/>
          <w:bCs/>
          <w:sz w:val="20"/>
        </w:rPr>
        <w:t xml:space="preserve"> Energy input output relationship and indices of an integrated organic farming system module</w:t>
      </w:r>
    </w:p>
    <w:tbl>
      <w:tblPr>
        <w:tblW w:w="5000" w:type="pct"/>
        <w:tblLayout w:type="fixed"/>
        <w:tblLook w:val="04A0" w:firstRow="1" w:lastRow="0" w:firstColumn="1" w:lastColumn="0" w:noHBand="0" w:noVBand="1"/>
      </w:tblPr>
      <w:tblGrid>
        <w:gridCol w:w="3114"/>
        <w:gridCol w:w="1138"/>
        <w:gridCol w:w="1190"/>
        <w:gridCol w:w="1190"/>
        <w:gridCol w:w="1190"/>
        <w:gridCol w:w="1194"/>
      </w:tblGrid>
      <w:tr w:rsidR="00B4521E" w:rsidRPr="001E42C4" w14:paraId="67AC29CF" w14:textId="77777777" w:rsidTr="001E42C4">
        <w:trPr>
          <w:trHeight w:val="20"/>
        </w:trPr>
        <w:tc>
          <w:tcPr>
            <w:tcW w:w="1727" w:type="pct"/>
            <w:vMerge w:val="restart"/>
            <w:tcBorders>
              <w:top w:val="single" w:sz="4" w:space="0" w:color="auto"/>
              <w:left w:val="single" w:sz="4" w:space="0" w:color="auto"/>
              <w:bottom w:val="single" w:sz="4" w:space="0" w:color="auto"/>
              <w:right w:val="single" w:sz="4" w:space="0" w:color="auto"/>
            </w:tcBorders>
            <w:noWrap/>
            <w:vAlign w:val="center"/>
            <w:hideMark/>
          </w:tcPr>
          <w:p w14:paraId="6492EDA9"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Energy indices (MJ)</w:t>
            </w:r>
          </w:p>
        </w:tc>
        <w:tc>
          <w:tcPr>
            <w:tcW w:w="3273" w:type="pct"/>
            <w:gridSpan w:val="5"/>
            <w:tcBorders>
              <w:top w:val="single" w:sz="4" w:space="0" w:color="auto"/>
              <w:left w:val="nil"/>
              <w:bottom w:val="single" w:sz="4" w:space="0" w:color="auto"/>
              <w:right w:val="single" w:sz="4" w:space="0" w:color="auto"/>
            </w:tcBorders>
            <w:noWrap/>
            <w:vAlign w:val="center"/>
            <w:hideMark/>
          </w:tcPr>
          <w:p w14:paraId="73B4519F"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2023</w:t>
            </w:r>
          </w:p>
        </w:tc>
      </w:tr>
      <w:tr w:rsidR="00B4521E" w:rsidRPr="001E42C4" w14:paraId="69DB81BC" w14:textId="77777777" w:rsidTr="001E42C4">
        <w:trPr>
          <w:trHeight w:val="20"/>
        </w:trPr>
        <w:tc>
          <w:tcPr>
            <w:tcW w:w="1727" w:type="pct"/>
            <w:vMerge/>
            <w:tcBorders>
              <w:top w:val="single" w:sz="4" w:space="0" w:color="auto"/>
              <w:left w:val="single" w:sz="4" w:space="0" w:color="auto"/>
              <w:bottom w:val="single" w:sz="4" w:space="0" w:color="auto"/>
              <w:right w:val="single" w:sz="4" w:space="0" w:color="auto"/>
            </w:tcBorders>
            <w:vAlign w:val="center"/>
            <w:hideMark/>
          </w:tcPr>
          <w:p w14:paraId="52CCDD83" w14:textId="77777777" w:rsidR="00B4521E" w:rsidRPr="001E42C4" w:rsidRDefault="00B4521E" w:rsidP="00E6745E">
            <w:pPr>
              <w:spacing w:after="0" w:line="240" w:lineRule="exact"/>
              <w:ind w:left="-113" w:right="-113"/>
              <w:rPr>
                <w:rFonts w:ascii="Arial" w:eastAsia="Times New Roman" w:hAnsi="Arial" w:cs="Arial"/>
                <w:b/>
                <w:bCs/>
                <w:color w:val="000000"/>
                <w:kern w:val="0"/>
                <w:sz w:val="20"/>
                <w:lang w:val="en-IN" w:eastAsia="en-IN" w:bidi="mr-IN"/>
                <w14:ligatures w14:val="none"/>
              </w:rPr>
            </w:pPr>
          </w:p>
        </w:tc>
        <w:tc>
          <w:tcPr>
            <w:tcW w:w="631" w:type="pct"/>
            <w:tcBorders>
              <w:top w:val="nil"/>
              <w:left w:val="nil"/>
              <w:bottom w:val="single" w:sz="4" w:space="0" w:color="auto"/>
              <w:right w:val="single" w:sz="4" w:space="0" w:color="auto"/>
            </w:tcBorders>
            <w:noWrap/>
            <w:vAlign w:val="center"/>
            <w:hideMark/>
          </w:tcPr>
          <w:p w14:paraId="185AD956"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Crop</w:t>
            </w:r>
          </w:p>
        </w:tc>
        <w:tc>
          <w:tcPr>
            <w:tcW w:w="660" w:type="pct"/>
            <w:tcBorders>
              <w:top w:val="nil"/>
              <w:left w:val="nil"/>
              <w:bottom w:val="single" w:sz="4" w:space="0" w:color="auto"/>
              <w:right w:val="single" w:sz="4" w:space="0" w:color="auto"/>
            </w:tcBorders>
            <w:noWrap/>
            <w:vAlign w:val="center"/>
            <w:hideMark/>
          </w:tcPr>
          <w:p w14:paraId="70507D8C"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Vegetable</w:t>
            </w:r>
          </w:p>
        </w:tc>
        <w:tc>
          <w:tcPr>
            <w:tcW w:w="660" w:type="pct"/>
            <w:tcBorders>
              <w:top w:val="nil"/>
              <w:left w:val="nil"/>
              <w:bottom w:val="single" w:sz="4" w:space="0" w:color="auto"/>
              <w:right w:val="single" w:sz="4" w:space="0" w:color="auto"/>
            </w:tcBorders>
            <w:noWrap/>
            <w:vAlign w:val="center"/>
            <w:hideMark/>
          </w:tcPr>
          <w:p w14:paraId="5AED64BC"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Livestock</w:t>
            </w:r>
          </w:p>
        </w:tc>
        <w:tc>
          <w:tcPr>
            <w:tcW w:w="660" w:type="pct"/>
            <w:tcBorders>
              <w:top w:val="nil"/>
              <w:left w:val="nil"/>
              <w:bottom w:val="single" w:sz="4" w:space="0" w:color="auto"/>
              <w:right w:val="single" w:sz="4" w:space="0" w:color="auto"/>
            </w:tcBorders>
            <w:noWrap/>
            <w:vAlign w:val="center"/>
            <w:hideMark/>
          </w:tcPr>
          <w:p w14:paraId="603E6A52"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Vermi- compost</w:t>
            </w:r>
          </w:p>
        </w:tc>
        <w:tc>
          <w:tcPr>
            <w:tcW w:w="662" w:type="pct"/>
            <w:tcBorders>
              <w:top w:val="nil"/>
              <w:left w:val="nil"/>
              <w:bottom w:val="single" w:sz="4" w:space="0" w:color="auto"/>
              <w:right w:val="single" w:sz="4" w:space="0" w:color="auto"/>
            </w:tcBorders>
            <w:vAlign w:val="center"/>
            <w:hideMark/>
          </w:tcPr>
          <w:p w14:paraId="5581A674" w14:textId="77777777" w:rsidR="00B4521E" w:rsidRPr="001E42C4" w:rsidRDefault="00B4521E" w:rsidP="00E6745E">
            <w:pPr>
              <w:spacing w:after="0" w:line="240" w:lineRule="exact"/>
              <w:ind w:left="-113" w:right="-113"/>
              <w:jc w:val="center"/>
              <w:rPr>
                <w:rFonts w:ascii="Arial" w:eastAsia="Times New Roman" w:hAnsi="Arial" w:cs="Arial"/>
                <w:b/>
                <w:bCs/>
                <w:color w:val="000000"/>
                <w:kern w:val="0"/>
                <w:sz w:val="20"/>
                <w:lang w:val="en-IN" w:eastAsia="en-IN" w:bidi="mr-IN"/>
                <w14:ligatures w14:val="none"/>
              </w:rPr>
            </w:pPr>
            <w:r w:rsidRPr="001E42C4">
              <w:rPr>
                <w:rFonts w:ascii="Arial" w:eastAsia="Times New Roman" w:hAnsi="Arial" w:cs="Arial"/>
                <w:b/>
                <w:bCs/>
                <w:color w:val="000000"/>
                <w:kern w:val="0"/>
                <w:sz w:val="20"/>
                <w:lang w:val="en-IN" w:eastAsia="en-IN" w:bidi="mr-IN"/>
                <w14:ligatures w14:val="none"/>
              </w:rPr>
              <w:t>Nutritional Garden</w:t>
            </w:r>
          </w:p>
        </w:tc>
      </w:tr>
      <w:tr w:rsidR="00B4521E" w:rsidRPr="001E42C4" w14:paraId="2D29B0E7"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250D0215"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input (MJ)</w:t>
            </w:r>
          </w:p>
        </w:tc>
        <w:tc>
          <w:tcPr>
            <w:tcW w:w="631" w:type="pct"/>
            <w:tcBorders>
              <w:top w:val="nil"/>
              <w:left w:val="nil"/>
              <w:bottom w:val="single" w:sz="4" w:space="0" w:color="auto"/>
              <w:right w:val="single" w:sz="4" w:space="0" w:color="auto"/>
            </w:tcBorders>
            <w:noWrap/>
            <w:vAlign w:val="center"/>
            <w:hideMark/>
          </w:tcPr>
          <w:p w14:paraId="7F15B1F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2019.88</w:t>
            </w:r>
          </w:p>
        </w:tc>
        <w:tc>
          <w:tcPr>
            <w:tcW w:w="660" w:type="pct"/>
            <w:tcBorders>
              <w:top w:val="nil"/>
              <w:left w:val="nil"/>
              <w:bottom w:val="single" w:sz="4" w:space="0" w:color="auto"/>
              <w:right w:val="single" w:sz="4" w:space="0" w:color="auto"/>
            </w:tcBorders>
            <w:noWrap/>
            <w:vAlign w:val="center"/>
            <w:hideMark/>
          </w:tcPr>
          <w:p w14:paraId="7E598F3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3733.06</w:t>
            </w:r>
          </w:p>
        </w:tc>
        <w:tc>
          <w:tcPr>
            <w:tcW w:w="660" w:type="pct"/>
            <w:tcBorders>
              <w:top w:val="nil"/>
              <w:left w:val="nil"/>
              <w:bottom w:val="single" w:sz="4" w:space="0" w:color="auto"/>
              <w:right w:val="single" w:sz="4" w:space="0" w:color="auto"/>
            </w:tcBorders>
            <w:noWrap/>
            <w:vAlign w:val="center"/>
            <w:hideMark/>
          </w:tcPr>
          <w:p w14:paraId="4CD7672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58987.12</w:t>
            </w:r>
          </w:p>
        </w:tc>
        <w:tc>
          <w:tcPr>
            <w:tcW w:w="660" w:type="pct"/>
            <w:tcBorders>
              <w:top w:val="nil"/>
              <w:left w:val="nil"/>
              <w:bottom w:val="single" w:sz="4" w:space="0" w:color="auto"/>
              <w:right w:val="single" w:sz="4" w:space="0" w:color="auto"/>
            </w:tcBorders>
            <w:noWrap/>
            <w:vAlign w:val="center"/>
            <w:hideMark/>
          </w:tcPr>
          <w:p w14:paraId="7E9E067B"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896.64</w:t>
            </w:r>
          </w:p>
        </w:tc>
        <w:tc>
          <w:tcPr>
            <w:tcW w:w="662" w:type="pct"/>
            <w:tcBorders>
              <w:top w:val="nil"/>
              <w:left w:val="nil"/>
              <w:bottom w:val="single" w:sz="4" w:space="0" w:color="auto"/>
              <w:right w:val="single" w:sz="4" w:space="0" w:color="auto"/>
            </w:tcBorders>
            <w:noWrap/>
            <w:vAlign w:val="center"/>
            <w:hideMark/>
          </w:tcPr>
          <w:p w14:paraId="0F6B946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489.57</w:t>
            </w:r>
          </w:p>
        </w:tc>
      </w:tr>
      <w:tr w:rsidR="00B4521E" w:rsidRPr="001E42C4" w14:paraId="38674BC5"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33745434"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output (MJ)</w:t>
            </w:r>
          </w:p>
        </w:tc>
        <w:tc>
          <w:tcPr>
            <w:tcW w:w="631" w:type="pct"/>
            <w:tcBorders>
              <w:top w:val="nil"/>
              <w:left w:val="nil"/>
              <w:bottom w:val="single" w:sz="4" w:space="0" w:color="auto"/>
              <w:right w:val="single" w:sz="4" w:space="0" w:color="auto"/>
            </w:tcBorders>
            <w:noWrap/>
            <w:vAlign w:val="center"/>
            <w:hideMark/>
          </w:tcPr>
          <w:p w14:paraId="10CF10E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24823.93</w:t>
            </w:r>
          </w:p>
        </w:tc>
        <w:tc>
          <w:tcPr>
            <w:tcW w:w="660" w:type="pct"/>
            <w:tcBorders>
              <w:top w:val="nil"/>
              <w:left w:val="nil"/>
              <w:bottom w:val="single" w:sz="4" w:space="0" w:color="auto"/>
              <w:right w:val="single" w:sz="4" w:space="0" w:color="auto"/>
            </w:tcBorders>
            <w:noWrap/>
            <w:vAlign w:val="center"/>
            <w:hideMark/>
          </w:tcPr>
          <w:p w14:paraId="72C848B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7840.92</w:t>
            </w:r>
          </w:p>
        </w:tc>
        <w:tc>
          <w:tcPr>
            <w:tcW w:w="660" w:type="pct"/>
            <w:tcBorders>
              <w:top w:val="nil"/>
              <w:left w:val="nil"/>
              <w:bottom w:val="single" w:sz="4" w:space="0" w:color="auto"/>
              <w:right w:val="single" w:sz="4" w:space="0" w:color="auto"/>
            </w:tcBorders>
            <w:noWrap/>
            <w:vAlign w:val="center"/>
            <w:hideMark/>
          </w:tcPr>
          <w:p w14:paraId="089B0D7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42910.20</w:t>
            </w:r>
          </w:p>
        </w:tc>
        <w:tc>
          <w:tcPr>
            <w:tcW w:w="660" w:type="pct"/>
            <w:tcBorders>
              <w:top w:val="nil"/>
              <w:left w:val="nil"/>
              <w:bottom w:val="single" w:sz="4" w:space="0" w:color="auto"/>
              <w:right w:val="single" w:sz="4" w:space="0" w:color="auto"/>
            </w:tcBorders>
            <w:noWrap/>
            <w:vAlign w:val="center"/>
            <w:hideMark/>
          </w:tcPr>
          <w:p w14:paraId="3F607ED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1896.98</w:t>
            </w:r>
          </w:p>
        </w:tc>
        <w:tc>
          <w:tcPr>
            <w:tcW w:w="662" w:type="pct"/>
            <w:tcBorders>
              <w:top w:val="nil"/>
              <w:left w:val="nil"/>
              <w:bottom w:val="single" w:sz="4" w:space="0" w:color="auto"/>
              <w:right w:val="single" w:sz="4" w:space="0" w:color="auto"/>
            </w:tcBorders>
            <w:noWrap/>
            <w:vAlign w:val="center"/>
            <w:hideMark/>
          </w:tcPr>
          <w:p w14:paraId="73EF24E5"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439.45</w:t>
            </w:r>
          </w:p>
        </w:tc>
      </w:tr>
      <w:tr w:rsidR="00B4521E" w:rsidRPr="001E42C4" w14:paraId="76596624"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6DD291AA"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TE output main (MJ)</w:t>
            </w:r>
          </w:p>
        </w:tc>
        <w:tc>
          <w:tcPr>
            <w:tcW w:w="631" w:type="pct"/>
            <w:tcBorders>
              <w:top w:val="nil"/>
              <w:left w:val="nil"/>
              <w:bottom w:val="single" w:sz="4" w:space="0" w:color="auto"/>
              <w:right w:val="single" w:sz="4" w:space="0" w:color="auto"/>
            </w:tcBorders>
            <w:noWrap/>
            <w:vAlign w:val="center"/>
            <w:hideMark/>
          </w:tcPr>
          <w:p w14:paraId="422B237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9544.19</w:t>
            </w:r>
          </w:p>
        </w:tc>
        <w:tc>
          <w:tcPr>
            <w:tcW w:w="660" w:type="pct"/>
            <w:tcBorders>
              <w:top w:val="nil"/>
              <w:left w:val="nil"/>
              <w:bottom w:val="single" w:sz="4" w:space="0" w:color="auto"/>
              <w:right w:val="single" w:sz="4" w:space="0" w:color="auto"/>
            </w:tcBorders>
            <w:noWrap/>
            <w:vAlign w:val="center"/>
            <w:hideMark/>
          </w:tcPr>
          <w:p w14:paraId="0BFB631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2623.92</w:t>
            </w:r>
          </w:p>
        </w:tc>
        <w:tc>
          <w:tcPr>
            <w:tcW w:w="660" w:type="pct"/>
            <w:tcBorders>
              <w:top w:val="nil"/>
              <w:left w:val="nil"/>
              <w:bottom w:val="single" w:sz="4" w:space="0" w:color="auto"/>
              <w:right w:val="single" w:sz="4" w:space="0" w:color="auto"/>
            </w:tcBorders>
            <w:noWrap/>
            <w:vAlign w:val="center"/>
            <w:hideMark/>
          </w:tcPr>
          <w:p w14:paraId="46165129"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41171.83</w:t>
            </w:r>
          </w:p>
        </w:tc>
        <w:tc>
          <w:tcPr>
            <w:tcW w:w="660" w:type="pct"/>
            <w:tcBorders>
              <w:top w:val="nil"/>
              <w:left w:val="nil"/>
              <w:bottom w:val="single" w:sz="4" w:space="0" w:color="auto"/>
              <w:right w:val="single" w:sz="4" w:space="0" w:color="auto"/>
            </w:tcBorders>
            <w:noWrap/>
            <w:vAlign w:val="center"/>
            <w:hideMark/>
          </w:tcPr>
          <w:p w14:paraId="613474E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1857.00</w:t>
            </w:r>
          </w:p>
        </w:tc>
        <w:tc>
          <w:tcPr>
            <w:tcW w:w="662" w:type="pct"/>
            <w:tcBorders>
              <w:top w:val="nil"/>
              <w:left w:val="nil"/>
              <w:bottom w:val="single" w:sz="4" w:space="0" w:color="auto"/>
              <w:right w:val="single" w:sz="4" w:space="0" w:color="auto"/>
            </w:tcBorders>
            <w:noWrap/>
            <w:vAlign w:val="center"/>
            <w:hideMark/>
          </w:tcPr>
          <w:p w14:paraId="34748D3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439.45</w:t>
            </w:r>
          </w:p>
        </w:tc>
      </w:tr>
      <w:tr w:rsidR="00B4521E" w:rsidRPr="001E42C4" w14:paraId="364E8749"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5EB06F02" w14:textId="36E7CF9B"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 xml:space="preserve">Energy use efficiency </w:t>
            </w:r>
            <w:proofErr w:type="gramStart"/>
            <w:r w:rsidRPr="001E42C4">
              <w:rPr>
                <w:rFonts w:ascii="Arial" w:eastAsia="Times New Roman" w:hAnsi="Arial" w:cs="Arial"/>
                <w:color w:val="000000"/>
                <w:kern w:val="0"/>
                <w:sz w:val="20"/>
                <w:lang w:val="en-IN" w:eastAsia="en-IN" w:bidi="mr-IN"/>
                <w14:ligatures w14:val="none"/>
              </w:rPr>
              <w:t>ratio(</w:t>
            </w:r>
            <w:proofErr w:type="gramEnd"/>
            <w:r w:rsidRPr="001E42C4">
              <w:rPr>
                <w:rFonts w:ascii="Arial" w:eastAsia="Times New Roman" w:hAnsi="Arial" w:cs="Arial"/>
                <w:color w:val="000000"/>
                <w:kern w:val="0"/>
                <w:sz w:val="20"/>
                <w:lang w:val="en-IN" w:eastAsia="en-IN" w:bidi="mr-IN"/>
                <w14:ligatures w14:val="none"/>
              </w:rPr>
              <w:t>EUE)</w:t>
            </w:r>
          </w:p>
        </w:tc>
        <w:tc>
          <w:tcPr>
            <w:tcW w:w="631" w:type="pct"/>
            <w:tcBorders>
              <w:top w:val="nil"/>
              <w:left w:val="nil"/>
              <w:bottom w:val="single" w:sz="4" w:space="0" w:color="auto"/>
              <w:right w:val="single" w:sz="4" w:space="0" w:color="auto"/>
            </w:tcBorders>
            <w:noWrap/>
            <w:vAlign w:val="center"/>
            <w:hideMark/>
          </w:tcPr>
          <w:p w14:paraId="319F8A5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12.39</w:t>
            </w:r>
          </w:p>
        </w:tc>
        <w:tc>
          <w:tcPr>
            <w:tcW w:w="660" w:type="pct"/>
            <w:tcBorders>
              <w:top w:val="nil"/>
              <w:left w:val="nil"/>
              <w:bottom w:val="single" w:sz="4" w:space="0" w:color="auto"/>
              <w:right w:val="single" w:sz="4" w:space="0" w:color="auto"/>
            </w:tcBorders>
            <w:noWrap/>
            <w:vAlign w:val="center"/>
            <w:hideMark/>
          </w:tcPr>
          <w:p w14:paraId="508B646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2.10</w:t>
            </w:r>
          </w:p>
        </w:tc>
        <w:tc>
          <w:tcPr>
            <w:tcW w:w="660" w:type="pct"/>
            <w:tcBorders>
              <w:top w:val="nil"/>
              <w:left w:val="nil"/>
              <w:bottom w:val="single" w:sz="4" w:space="0" w:color="auto"/>
              <w:right w:val="single" w:sz="4" w:space="0" w:color="auto"/>
            </w:tcBorders>
            <w:noWrap/>
            <w:vAlign w:val="center"/>
            <w:hideMark/>
          </w:tcPr>
          <w:p w14:paraId="0E96B43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0.73</w:t>
            </w:r>
          </w:p>
        </w:tc>
        <w:tc>
          <w:tcPr>
            <w:tcW w:w="660" w:type="pct"/>
            <w:tcBorders>
              <w:top w:val="nil"/>
              <w:left w:val="nil"/>
              <w:bottom w:val="single" w:sz="4" w:space="0" w:color="auto"/>
              <w:right w:val="single" w:sz="4" w:space="0" w:color="auto"/>
            </w:tcBorders>
            <w:noWrap/>
            <w:vAlign w:val="center"/>
            <w:hideMark/>
          </w:tcPr>
          <w:p w14:paraId="468D10D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2.12</w:t>
            </w:r>
          </w:p>
        </w:tc>
        <w:tc>
          <w:tcPr>
            <w:tcW w:w="662" w:type="pct"/>
            <w:tcBorders>
              <w:top w:val="nil"/>
              <w:left w:val="nil"/>
              <w:bottom w:val="single" w:sz="4" w:space="0" w:color="auto"/>
              <w:right w:val="single" w:sz="4" w:space="0" w:color="auto"/>
            </w:tcBorders>
            <w:noWrap/>
            <w:vAlign w:val="center"/>
            <w:hideMark/>
          </w:tcPr>
          <w:p w14:paraId="2CCC57B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0.90</w:t>
            </w:r>
          </w:p>
        </w:tc>
      </w:tr>
      <w:tr w:rsidR="00B4521E" w:rsidRPr="001E42C4" w14:paraId="167D27CF"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7DA8DA00"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Net energy gain (NEG)</w:t>
            </w:r>
          </w:p>
        </w:tc>
        <w:tc>
          <w:tcPr>
            <w:tcW w:w="631" w:type="pct"/>
            <w:tcBorders>
              <w:top w:val="nil"/>
              <w:left w:val="nil"/>
              <w:bottom w:val="single" w:sz="4" w:space="0" w:color="auto"/>
              <w:right w:val="single" w:sz="4" w:space="0" w:color="auto"/>
            </w:tcBorders>
            <w:noWrap/>
            <w:vAlign w:val="center"/>
            <w:hideMark/>
          </w:tcPr>
          <w:p w14:paraId="51C0341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22804.05</w:t>
            </w:r>
          </w:p>
        </w:tc>
        <w:tc>
          <w:tcPr>
            <w:tcW w:w="660" w:type="pct"/>
            <w:tcBorders>
              <w:top w:val="nil"/>
              <w:left w:val="nil"/>
              <w:bottom w:val="single" w:sz="4" w:space="0" w:color="auto"/>
              <w:right w:val="single" w:sz="4" w:space="0" w:color="auto"/>
            </w:tcBorders>
            <w:noWrap/>
            <w:vAlign w:val="center"/>
            <w:hideMark/>
          </w:tcPr>
          <w:p w14:paraId="559AA35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4107.86</w:t>
            </w:r>
          </w:p>
        </w:tc>
        <w:tc>
          <w:tcPr>
            <w:tcW w:w="660" w:type="pct"/>
            <w:tcBorders>
              <w:top w:val="nil"/>
              <w:left w:val="nil"/>
              <w:bottom w:val="single" w:sz="4" w:space="0" w:color="auto"/>
              <w:right w:val="single" w:sz="4" w:space="0" w:color="auto"/>
            </w:tcBorders>
            <w:noWrap/>
            <w:vAlign w:val="center"/>
            <w:hideMark/>
          </w:tcPr>
          <w:p w14:paraId="2878B2F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-16076.92</w:t>
            </w:r>
          </w:p>
        </w:tc>
        <w:tc>
          <w:tcPr>
            <w:tcW w:w="660" w:type="pct"/>
            <w:tcBorders>
              <w:top w:val="nil"/>
              <w:left w:val="nil"/>
              <w:bottom w:val="single" w:sz="4" w:space="0" w:color="auto"/>
              <w:right w:val="single" w:sz="4" w:space="0" w:color="auto"/>
            </w:tcBorders>
            <w:noWrap/>
            <w:vAlign w:val="center"/>
            <w:hideMark/>
          </w:tcPr>
          <w:p w14:paraId="3976ABB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1000.34</w:t>
            </w:r>
          </w:p>
        </w:tc>
        <w:tc>
          <w:tcPr>
            <w:tcW w:w="662" w:type="pct"/>
            <w:tcBorders>
              <w:top w:val="nil"/>
              <w:left w:val="nil"/>
              <w:bottom w:val="single" w:sz="4" w:space="0" w:color="auto"/>
              <w:right w:val="single" w:sz="4" w:space="0" w:color="auto"/>
            </w:tcBorders>
            <w:noWrap/>
            <w:vAlign w:val="center"/>
            <w:hideMark/>
          </w:tcPr>
          <w:p w14:paraId="18A53F6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-50.13</w:t>
            </w:r>
          </w:p>
        </w:tc>
      </w:tr>
      <w:tr w:rsidR="00B4521E" w:rsidRPr="001E42C4" w14:paraId="241A341D"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5A6CF32F"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Energy productivity (kg MJ</w:t>
            </w:r>
            <w:r w:rsidRPr="001E42C4">
              <w:rPr>
                <w:rFonts w:ascii="Arial" w:eastAsia="Times New Roman" w:hAnsi="Arial" w:cs="Arial"/>
                <w:color w:val="000000"/>
                <w:kern w:val="0"/>
                <w:sz w:val="20"/>
                <w:vertAlign w:val="superscript"/>
                <w:lang w:val="en-IN" w:eastAsia="en-IN" w:bidi="mr-IN"/>
                <w14:ligatures w14:val="none"/>
              </w:rPr>
              <w:t>-1</w:t>
            </w:r>
            <w:r w:rsidRPr="001E42C4">
              <w:rPr>
                <w:rFonts w:ascii="Arial" w:eastAsia="Times New Roman" w:hAnsi="Arial" w:cs="Arial"/>
                <w:color w:val="000000"/>
                <w:kern w:val="0"/>
                <w:sz w:val="20"/>
                <w:lang w:val="en-IN" w:eastAsia="en-IN" w:bidi="mr-IN"/>
                <w14:ligatures w14:val="none"/>
              </w:rPr>
              <w:t>)</w:t>
            </w:r>
          </w:p>
        </w:tc>
        <w:tc>
          <w:tcPr>
            <w:tcW w:w="631" w:type="pct"/>
            <w:tcBorders>
              <w:top w:val="nil"/>
              <w:left w:val="nil"/>
              <w:bottom w:val="single" w:sz="4" w:space="0" w:color="auto"/>
              <w:right w:val="single" w:sz="4" w:space="0" w:color="auto"/>
            </w:tcBorders>
            <w:noWrap/>
            <w:vAlign w:val="center"/>
            <w:hideMark/>
          </w:tcPr>
          <w:p w14:paraId="20BA3AC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0.29</w:t>
            </w:r>
          </w:p>
        </w:tc>
        <w:tc>
          <w:tcPr>
            <w:tcW w:w="660" w:type="pct"/>
            <w:tcBorders>
              <w:top w:val="nil"/>
              <w:left w:val="nil"/>
              <w:bottom w:val="single" w:sz="4" w:space="0" w:color="auto"/>
              <w:right w:val="single" w:sz="4" w:space="0" w:color="auto"/>
            </w:tcBorders>
            <w:noWrap/>
            <w:vAlign w:val="center"/>
            <w:hideMark/>
          </w:tcPr>
          <w:p w14:paraId="236CA81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0.41</w:t>
            </w:r>
          </w:p>
        </w:tc>
        <w:tc>
          <w:tcPr>
            <w:tcW w:w="660" w:type="pct"/>
            <w:tcBorders>
              <w:top w:val="nil"/>
              <w:left w:val="nil"/>
              <w:bottom w:val="single" w:sz="4" w:space="0" w:color="auto"/>
              <w:right w:val="single" w:sz="4" w:space="0" w:color="auto"/>
            </w:tcBorders>
            <w:noWrap/>
            <w:vAlign w:val="center"/>
            <w:hideMark/>
          </w:tcPr>
          <w:p w14:paraId="1A78AFF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0.07</w:t>
            </w:r>
          </w:p>
        </w:tc>
        <w:tc>
          <w:tcPr>
            <w:tcW w:w="660" w:type="pct"/>
            <w:tcBorders>
              <w:top w:val="nil"/>
              <w:left w:val="nil"/>
              <w:bottom w:val="single" w:sz="4" w:space="0" w:color="auto"/>
              <w:right w:val="single" w:sz="4" w:space="0" w:color="auto"/>
            </w:tcBorders>
            <w:noWrap/>
            <w:vAlign w:val="center"/>
            <w:hideMark/>
          </w:tcPr>
          <w:p w14:paraId="2302EF5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1.21</w:t>
            </w:r>
          </w:p>
        </w:tc>
        <w:tc>
          <w:tcPr>
            <w:tcW w:w="662" w:type="pct"/>
            <w:tcBorders>
              <w:top w:val="nil"/>
              <w:left w:val="nil"/>
              <w:bottom w:val="single" w:sz="4" w:space="0" w:color="auto"/>
              <w:right w:val="single" w:sz="4" w:space="0" w:color="auto"/>
            </w:tcBorders>
            <w:noWrap/>
            <w:vAlign w:val="center"/>
            <w:hideMark/>
          </w:tcPr>
          <w:p w14:paraId="42A3E1C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0.54</w:t>
            </w:r>
          </w:p>
        </w:tc>
      </w:tr>
      <w:tr w:rsidR="00B4521E" w:rsidRPr="001E42C4" w14:paraId="7AA47C15"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1C4E10AF"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Energy profitability (EP)</w:t>
            </w:r>
          </w:p>
        </w:tc>
        <w:tc>
          <w:tcPr>
            <w:tcW w:w="631" w:type="pct"/>
            <w:tcBorders>
              <w:top w:val="nil"/>
              <w:left w:val="nil"/>
              <w:bottom w:val="single" w:sz="4" w:space="0" w:color="auto"/>
              <w:right w:val="single" w:sz="4" w:space="0" w:color="auto"/>
            </w:tcBorders>
            <w:noWrap/>
            <w:vAlign w:val="center"/>
            <w:hideMark/>
          </w:tcPr>
          <w:p w14:paraId="79E2BC5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11.29</w:t>
            </w:r>
          </w:p>
        </w:tc>
        <w:tc>
          <w:tcPr>
            <w:tcW w:w="660" w:type="pct"/>
            <w:tcBorders>
              <w:top w:val="nil"/>
              <w:left w:val="nil"/>
              <w:bottom w:val="single" w:sz="4" w:space="0" w:color="auto"/>
              <w:right w:val="single" w:sz="4" w:space="0" w:color="auto"/>
            </w:tcBorders>
            <w:noWrap/>
            <w:vAlign w:val="center"/>
            <w:hideMark/>
          </w:tcPr>
          <w:p w14:paraId="0A618E90"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1.10</w:t>
            </w:r>
          </w:p>
        </w:tc>
        <w:tc>
          <w:tcPr>
            <w:tcW w:w="660" w:type="pct"/>
            <w:tcBorders>
              <w:top w:val="nil"/>
              <w:left w:val="nil"/>
              <w:bottom w:val="single" w:sz="4" w:space="0" w:color="auto"/>
              <w:right w:val="single" w:sz="4" w:space="0" w:color="auto"/>
            </w:tcBorders>
            <w:noWrap/>
            <w:vAlign w:val="center"/>
            <w:hideMark/>
          </w:tcPr>
          <w:p w14:paraId="5BA6DC2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-0.27</w:t>
            </w:r>
          </w:p>
        </w:tc>
        <w:tc>
          <w:tcPr>
            <w:tcW w:w="660" w:type="pct"/>
            <w:tcBorders>
              <w:top w:val="nil"/>
              <w:left w:val="nil"/>
              <w:bottom w:val="single" w:sz="4" w:space="0" w:color="auto"/>
              <w:right w:val="single" w:sz="4" w:space="0" w:color="auto"/>
            </w:tcBorders>
            <w:noWrap/>
            <w:vAlign w:val="center"/>
            <w:hideMark/>
          </w:tcPr>
          <w:p w14:paraId="2B5822E7"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w:t>
            </w:r>
          </w:p>
        </w:tc>
        <w:tc>
          <w:tcPr>
            <w:tcW w:w="662" w:type="pct"/>
            <w:tcBorders>
              <w:top w:val="nil"/>
              <w:left w:val="nil"/>
              <w:bottom w:val="single" w:sz="4" w:space="0" w:color="auto"/>
              <w:right w:val="single" w:sz="4" w:space="0" w:color="auto"/>
            </w:tcBorders>
            <w:noWrap/>
            <w:vAlign w:val="center"/>
            <w:hideMark/>
          </w:tcPr>
          <w:p w14:paraId="6F3FB8E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-0.10</w:t>
            </w:r>
          </w:p>
        </w:tc>
      </w:tr>
      <w:tr w:rsidR="00B4521E" w:rsidRPr="001E42C4" w14:paraId="4EB11DC5"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133924A6"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Direct energy (DE)</w:t>
            </w:r>
          </w:p>
        </w:tc>
        <w:tc>
          <w:tcPr>
            <w:tcW w:w="631" w:type="pct"/>
            <w:tcBorders>
              <w:top w:val="nil"/>
              <w:left w:val="nil"/>
              <w:bottom w:val="single" w:sz="4" w:space="0" w:color="auto"/>
              <w:right w:val="single" w:sz="4" w:space="0" w:color="auto"/>
            </w:tcBorders>
            <w:noWrap/>
            <w:vAlign w:val="center"/>
            <w:hideMark/>
          </w:tcPr>
          <w:p w14:paraId="123FA0E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1082.87</w:t>
            </w:r>
          </w:p>
        </w:tc>
        <w:tc>
          <w:tcPr>
            <w:tcW w:w="660" w:type="pct"/>
            <w:tcBorders>
              <w:top w:val="nil"/>
              <w:left w:val="nil"/>
              <w:bottom w:val="single" w:sz="4" w:space="0" w:color="auto"/>
              <w:right w:val="single" w:sz="4" w:space="0" w:color="auto"/>
            </w:tcBorders>
            <w:noWrap/>
            <w:vAlign w:val="center"/>
            <w:hideMark/>
          </w:tcPr>
          <w:p w14:paraId="2E0C013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1358.15</w:t>
            </w:r>
          </w:p>
        </w:tc>
        <w:tc>
          <w:tcPr>
            <w:tcW w:w="660" w:type="pct"/>
            <w:tcBorders>
              <w:top w:val="nil"/>
              <w:left w:val="nil"/>
              <w:bottom w:val="single" w:sz="4" w:space="0" w:color="auto"/>
              <w:right w:val="single" w:sz="4" w:space="0" w:color="auto"/>
            </w:tcBorders>
            <w:noWrap/>
            <w:vAlign w:val="center"/>
            <w:hideMark/>
          </w:tcPr>
          <w:p w14:paraId="1D97E2F7"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2754.51</w:t>
            </w:r>
          </w:p>
        </w:tc>
        <w:tc>
          <w:tcPr>
            <w:tcW w:w="660" w:type="pct"/>
            <w:tcBorders>
              <w:top w:val="nil"/>
              <w:left w:val="nil"/>
              <w:bottom w:val="single" w:sz="4" w:space="0" w:color="auto"/>
              <w:right w:val="single" w:sz="4" w:space="0" w:color="auto"/>
            </w:tcBorders>
            <w:noWrap/>
            <w:vAlign w:val="center"/>
            <w:hideMark/>
          </w:tcPr>
          <w:p w14:paraId="66EAEFD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784.04</w:t>
            </w:r>
          </w:p>
        </w:tc>
        <w:tc>
          <w:tcPr>
            <w:tcW w:w="662" w:type="pct"/>
            <w:tcBorders>
              <w:top w:val="nil"/>
              <w:left w:val="nil"/>
              <w:bottom w:val="single" w:sz="4" w:space="0" w:color="auto"/>
              <w:right w:val="single" w:sz="4" w:space="0" w:color="auto"/>
            </w:tcBorders>
            <w:noWrap/>
            <w:vAlign w:val="center"/>
            <w:hideMark/>
          </w:tcPr>
          <w:p w14:paraId="5E005B08"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234.24</w:t>
            </w:r>
          </w:p>
        </w:tc>
      </w:tr>
      <w:tr w:rsidR="00B4521E" w:rsidRPr="001E42C4" w14:paraId="5A7AF233"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7BCFDC90"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Indirect energy (IE)</w:t>
            </w:r>
          </w:p>
        </w:tc>
        <w:tc>
          <w:tcPr>
            <w:tcW w:w="631" w:type="pct"/>
            <w:tcBorders>
              <w:top w:val="nil"/>
              <w:left w:val="nil"/>
              <w:bottom w:val="single" w:sz="4" w:space="0" w:color="auto"/>
              <w:right w:val="single" w:sz="4" w:space="0" w:color="auto"/>
            </w:tcBorders>
            <w:noWrap/>
            <w:vAlign w:val="center"/>
            <w:hideMark/>
          </w:tcPr>
          <w:p w14:paraId="704D83E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937.01</w:t>
            </w:r>
          </w:p>
        </w:tc>
        <w:tc>
          <w:tcPr>
            <w:tcW w:w="660" w:type="pct"/>
            <w:tcBorders>
              <w:top w:val="nil"/>
              <w:left w:val="nil"/>
              <w:bottom w:val="single" w:sz="4" w:space="0" w:color="auto"/>
              <w:right w:val="single" w:sz="4" w:space="0" w:color="auto"/>
            </w:tcBorders>
            <w:noWrap/>
            <w:vAlign w:val="center"/>
            <w:hideMark/>
          </w:tcPr>
          <w:p w14:paraId="68C973C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2374.91</w:t>
            </w:r>
          </w:p>
        </w:tc>
        <w:tc>
          <w:tcPr>
            <w:tcW w:w="660" w:type="pct"/>
            <w:tcBorders>
              <w:top w:val="nil"/>
              <w:left w:val="nil"/>
              <w:bottom w:val="single" w:sz="4" w:space="0" w:color="auto"/>
              <w:right w:val="single" w:sz="4" w:space="0" w:color="auto"/>
            </w:tcBorders>
            <w:noWrap/>
            <w:vAlign w:val="center"/>
            <w:hideMark/>
          </w:tcPr>
          <w:p w14:paraId="136C85A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56232.39</w:t>
            </w:r>
          </w:p>
        </w:tc>
        <w:tc>
          <w:tcPr>
            <w:tcW w:w="660" w:type="pct"/>
            <w:tcBorders>
              <w:top w:val="nil"/>
              <w:left w:val="nil"/>
              <w:bottom w:val="single" w:sz="4" w:space="0" w:color="auto"/>
              <w:right w:val="single" w:sz="4" w:space="0" w:color="auto"/>
            </w:tcBorders>
            <w:noWrap/>
            <w:vAlign w:val="center"/>
            <w:hideMark/>
          </w:tcPr>
          <w:p w14:paraId="4550D72C"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112.60</w:t>
            </w:r>
          </w:p>
        </w:tc>
        <w:tc>
          <w:tcPr>
            <w:tcW w:w="662" w:type="pct"/>
            <w:tcBorders>
              <w:top w:val="nil"/>
              <w:left w:val="nil"/>
              <w:bottom w:val="single" w:sz="4" w:space="0" w:color="auto"/>
              <w:right w:val="single" w:sz="4" w:space="0" w:color="auto"/>
            </w:tcBorders>
            <w:noWrap/>
            <w:vAlign w:val="center"/>
            <w:hideMark/>
          </w:tcPr>
          <w:p w14:paraId="495B9BF5"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255.34</w:t>
            </w:r>
          </w:p>
        </w:tc>
      </w:tr>
      <w:tr w:rsidR="00B4521E" w:rsidRPr="001E42C4" w14:paraId="0B1B9029"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39AA7375"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Renewable energy (RE)</w:t>
            </w:r>
          </w:p>
        </w:tc>
        <w:tc>
          <w:tcPr>
            <w:tcW w:w="631" w:type="pct"/>
            <w:tcBorders>
              <w:top w:val="nil"/>
              <w:left w:val="nil"/>
              <w:bottom w:val="single" w:sz="4" w:space="0" w:color="auto"/>
              <w:right w:val="single" w:sz="4" w:space="0" w:color="auto"/>
            </w:tcBorders>
            <w:noWrap/>
            <w:vAlign w:val="center"/>
            <w:hideMark/>
          </w:tcPr>
          <w:p w14:paraId="5B1C1CA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1116.23</w:t>
            </w:r>
          </w:p>
        </w:tc>
        <w:tc>
          <w:tcPr>
            <w:tcW w:w="660" w:type="pct"/>
            <w:tcBorders>
              <w:top w:val="nil"/>
              <w:left w:val="nil"/>
              <w:bottom w:val="single" w:sz="4" w:space="0" w:color="auto"/>
              <w:right w:val="single" w:sz="4" w:space="0" w:color="auto"/>
            </w:tcBorders>
            <w:noWrap/>
            <w:vAlign w:val="center"/>
            <w:hideMark/>
          </w:tcPr>
          <w:p w14:paraId="60851C7F"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2949.52</w:t>
            </w:r>
          </w:p>
        </w:tc>
        <w:tc>
          <w:tcPr>
            <w:tcW w:w="660" w:type="pct"/>
            <w:tcBorders>
              <w:top w:val="nil"/>
              <w:left w:val="nil"/>
              <w:bottom w:val="single" w:sz="4" w:space="0" w:color="auto"/>
              <w:right w:val="single" w:sz="4" w:space="0" w:color="auto"/>
            </w:tcBorders>
            <w:noWrap/>
            <w:vAlign w:val="center"/>
            <w:hideMark/>
          </w:tcPr>
          <w:p w14:paraId="6DA31371"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58196.65</w:t>
            </w:r>
          </w:p>
        </w:tc>
        <w:tc>
          <w:tcPr>
            <w:tcW w:w="660" w:type="pct"/>
            <w:tcBorders>
              <w:top w:val="nil"/>
              <w:left w:val="nil"/>
              <w:bottom w:val="single" w:sz="4" w:space="0" w:color="auto"/>
              <w:right w:val="single" w:sz="4" w:space="0" w:color="auto"/>
            </w:tcBorders>
            <w:noWrap/>
            <w:vAlign w:val="center"/>
            <w:hideMark/>
          </w:tcPr>
          <w:p w14:paraId="242DD80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854.64</w:t>
            </w:r>
          </w:p>
        </w:tc>
        <w:tc>
          <w:tcPr>
            <w:tcW w:w="662" w:type="pct"/>
            <w:tcBorders>
              <w:top w:val="nil"/>
              <w:left w:val="nil"/>
              <w:bottom w:val="single" w:sz="4" w:space="0" w:color="auto"/>
              <w:right w:val="single" w:sz="4" w:space="0" w:color="auto"/>
            </w:tcBorders>
            <w:noWrap/>
            <w:vAlign w:val="center"/>
            <w:hideMark/>
          </w:tcPr>
          <w:p w14:paraId="0DC64A4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322.15</w:t>
            </w:r>
          </w:p>
        </w:tc>
      </w:tr>
      <w:tr w:rsidR="00B4521E" w:rsidRPr="001E42C4" w14:paraId="3FC66F67"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3B7621A1"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Non-renewable energy (NRE)</w:t>
            </w:r>
          </w:p>
        </w:tc>
        <w:tc>
          <w:tcPr>
            <w:tcW w:w="631" w:type="pct"/>
            <w:tcBorders>
              <w:top w:val="nil"/>
              <w:left w:val="nil"/>
              <w:bottom w:val="single" w:sz="4" w:space="0" w:color="auto"/>
              <w:right w:val="single" w:sz="4" w:space="0" w:color="auto"/>
            </w:tcBorders>
            <w:noWrap/>
            <w:vAlign w:val="center"/>
            <w:hideMark/>
          </w:tcPr>
          <w:p w14:paraId="3DF4E1D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592.48</w:t>
            </w:r>
          </w:p>
        </w:tc>
        <w:tc>
          <w:tcPr>
            <w:tcW w:w="660" w:type="pct"/>
            <w:tcBorders>
              <w:top w:val="nil"/>
              <w:left w:val="nil"/>
              <w:bottom w:val="single" w:sz="4" w:space="0" w:color="auto"/>
              <w:right w:val="single" w:sz="4" w:space="0" w:color="auto"/>
            </w:tcBorders>
            <w:noWrap/>
            <w:vAlign w:val="center"/>
            <w:hideMark/>
          </w:tcPr>
          <w:p w14:paraId="7688284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783.54</w:t>
            </w:r>
          </w:p>
        </w:tc>
        <w:tc>
          <w:tcPr>
            <w:tcW w:w="660" w:type="pct"/>
            <w:tcBorders>
              <w:top w:val="nil"/>
              <w:left w:val="nil"/>
              <w:bottom w:val="single" w:sz="4" w:space="0" w:color="auto"/>
              <w:right w:val="single" w:sz="4" w:space="0" w:color="auto"/>
            </w:tcBorders>
            <w:noWrap/>
            <w:vAlign w:val="center"/>
            <w:hideMark/>
          </w:tcPr>
          <w:p w14:paraId="607F0B34"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790.25</w:t>
            </w:r>
          </w:p>
        </w:tc>
        <w:tc>
          <w:tcPr>
            <w:tcW w:w="660" w:type="pct"/>
            <w:tcBorders>
              <w:top w:val="nil"/>
              <w:left w:val="nil"/>
              <w:bottom w:val="single" w:sz="4" w:space="0" w:color="auto"/>
              <w:right w:val="single" w:sz="4" w:space="0" w:color="auto"/>
            </w:tcBorders>
            <w:noWrap/>
            <w:vAlign w:val="center"/>
            <w:hideMark/>
          </w:tcPr>
          <w:p w14:paraId="04DDC633"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42.00</w:t>
            </w:r>
          </w:p>
        </w:tc>
        <w:tc>
          <w:tcPr>
            <w:tcW w:w="662" w:type="pct"/>
            <w:tcBorders>
              <w:top w:val="nil"/>
              <w:left w:val="nil"/>
              <w:bottom w:val="single" w:sz="4" w:space="0" w:color="auto"/>
              <w:right w:val="single" w:sz="4" w:space="0" w:color="auto"/>
            </w:tcBorders>
            <w:noWrap/>
            <w:vAlign w:val="center"/>
            <w:hideMark/>
          </w:tcPr>
          <w:p w14:paraId="4B09531D"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167.42</w:t>
            </w:r>
          </w:p>
        </w:tc>
      </w:tr>
      <w:tr w:rsidR="00B4521E" w:rsidRPr="001E42C4" w14:paraId="7D14036E" w14:textId="77777777" w:rsidTr="001E42C4">
        <w:trPr>
          <w:trHeight w:val="20"/>
        </w:trPr>
        <w:tc>
          <w:tcPr>
            <w:tcW w:w="1727" w:type="pct"/>
            <w:tcBorders>
              <w:top w:val="nil"/>
              <w:left w:val="single" w:sz="4" w:space="0" w:color="auto"/>
              <w:bottom w:val="single" w:sz="4" w:space="0" w:color="auto"/>
              <w:right w:val="single" w:sz="4" w:space="0" w:color="auto"/>
            </w:tcBorders>
            <w:noWrap/>
            <w:vAlign w:val="center"/>
            <w:hideMark/>
          </w:tcPr>
          <w:p w14:paraId="3AACA387" w14:textId="77777777" w:rsidR="00B4521E" w:rsidRPr="001E42C4" w:rsidRDefault="00B4521E" w:rsidP="00E6745E">
            <w:pPr>
              <w:spacing w:after="0" w:line="240" w:lineRule="exact"/>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Human energy profitability (HEP)</w:t>
            </w:r>
          </w:p>
        </w:tc>
        <w:tc>
          <w:tcPr>
            <w:tcW w:w="631" w:type="pct"/>
            <w:tcBorders>
              <w:top w:val="nil"/>
              <w:left w:val="nil"/>
              <w:bottom w:val="single" w:sz="4" w:space="0" w:color="auto"/>
              <w:right w:val="single" w:sz="4" w:space="0" w:color="auto"/>
            </w:tcBorders>
            <w:noWrap/>
            <w:vAlign w:val="center"/>
            <w:hideMark/>
          </w:tcPr>
          <w:p w14:paraId="0C0A351B"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53.32</w:t>
            </w:r>
          </w:p>
        </w:tc>
        <w:tc>
          <w:tcPr>
            <w:tcW w:w="660" w:type="pct"/>
            <w:tcBorders>
              <w:top w:val="nil"/>
              <w:left w:val="nil"/>
              <w:bottom w:val="single" w:sz="4" w:space="0" w:color="auto"/>
              <w:right w:val="single" w:sz="4" w:space="0" w:color="auto"/>
            </w:tcBorders>
            <w:noWrap/>
            <w:vAlign w:val="center"/>
            <w:hideMark/>
          </w:tcPr>
          <w:p w14:paraId="7EA41616"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9.02</w:t>
            </w:r>
          </w:p>
        </w:tc>
        <w:tc>
          <w:tcPr>
            <w:tcW w:w="660" w:type="pct"/>
            <w:tcBorders>
              <w:top w:val="nil"/>
              <w:left w:val="nil"/>
              <w:bottom w:val="single" w:sz="4" w:space="0" w:color="auto"/>
              <w:right w:val="single" w:sz="4" w:space="0" w:color="auto"/>
            </w:tcBorders>
            <w:noWrap/>
            <w:vAlign w:val="center"/>
            <w:hideMark/>
          </w:tcPr>
          <w:p w14:paraId="77F03C8E"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21.70</w:t>
            </w:r>
          </w:p>
        </w:tc>
        <w:tc>
          <w:tcPr>
            <w:tcW w:w="660" w:type="pct"/>
            <w:tcBorders>
              <w:top w:val="nil"/>
              <w:left w:val="nil"/>
              <w:bottom w:val="single" w:sz="4" w:space="0" w:color="auto"/>
              <w:right w:val="single" w:sz="4" w:space="0" w:color="auto"/>
            </w:tcBorders>
            <w:noWrap/>
            <w:vAlign w:val="center"/>
            <w:hideMark/>
          </w:tcPr>
          <w:p w14:paraId="56500972"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2.52</w:t>
            </w:r>
          </w:p>
        </w:tc>
        <w:tc>
          <w:tcPr>
            <w:tcW w:w="662" w:type="pct"/>
            <w:tcBorders>
              <w:top w:val="nil"/>
              <w:left w:val="nil"/>
              <w:bottom w:val="single" w:sz="4" w:space="0" w:color="auto"/>
              <w:right w:val="single" w:sz="4" w:space="0" w:color="auto"/>
            </w:tcBorders>
            <w:noWrap/>
            <w:vAlign w:val="center"/>
            <w:hideMark/>
          </w:tcPr>
          <w:p w14:paraId="57874FFA" w14:textId="77777777" w:rsidR="00B4521E" w:rsidRPr="001E42C4" w:rsidRDefault="00B4521E" w:rsidP="00E6745E">
            <w:pPr>
              <w:spacing w:after="0" w:line="240" w:lineRule="exact"/>
              <w:ind w:left="-113" w:right="-113"/>
              <w:jc w:val="center"/>
              <w:rPr>
                <w:rFonts w:ascii="Arial" w:eastAsia="Times New Roman" w:hAnsi="Arial" w:cs="Arial"/>
                <w:color w:val="000000"/>
                <w:kern w:val="0"/>
                <w:sz w:val="20"/>
                <w:lang w:val="en-IN" w:eastAsia="en-IN" w:bidi="mr-IN"/>
                <w14:ligatures w14:val="none"/>
              </w:rPr>
            </w:pPr>
            <w:r w:rsidRPr="001E42C4">
              <w:rPr>
                <w:rFonts w:ascii="Arial" w:eastAsia="Times New Roman" w:hAnsi="Arial" w:cs="Arial"/>
                <w:color w:val="000000"/>
                <w:kern w:val="0"/>
                <w:sz w:val="20"/>
                <w:lang w:val="en-IN" w:eastAsia="en-IN" w:bidi="mr-IN"/>
                <w14:ligatures w14:val="none"/>
              </w:rPr>
              <w:t>4.52</w:t>
            </w:r>
          </w:p>
        </w:tc>
      </w:tr>
    </w:tbl>
    <w:p w14:paraId="3347D126" w14:textId="7637C994" w:rsidR="00D07AEC" w:rsidRPr="001E42C4" w:rsidRDefault="00B4521E" w:rsidP="00401F7A">
      <w:pPr>
        <w:spacing w:before="240" w:after="0" w:line="360" w:lineRule="auto"/>
        <w:ind w:firstLine="720"/>
        <w:jc w:val="both"/>
        <w:rPr>
          <w:rFonts w:ascii="Arial" w:hAnsi="Arial" w:cs="Arial"/>
          <w:sz w:val="20"/>
        </w:rPr>
      </w:pPr>
      <w:r w:rsidRPr="001E42C4">
        <w:rPr>
          <w:rFonts w:ascii="Arial" w:hAnsi="Arial" w:cs="Arial"/>
          <w:sz w:val="20"/>
        </w:rPr>
        <w:t xml:space="preserve">The energy use efficiency ratio (EUE) exhibited considerable variation among components, with the highest value recorded in crop component (12.39), followed by vermicompost (2.12) and vegetable (2.10). In contrast, livestock (0.73) and nutritional garden (0.90) showed lower energy </w:t>
      </w:r>
      <w:r w:rsidRPr="001E42C4">
        <w:rPr>
          <w:rFonts w:ascii="Arial" w:hAnsi="Arial" w:cs="Arial"/>
          <w:sz w:val="20"/>
        </w:rPr>
        <w:lastRenderedPageBreak/>
        <w:t xml:space="preserve">efficiency. This disparity can be attributed to the lower efficiency of livestock systems, primarily due to the substantial energy required for the maintenance of animal muscle, tissues and bones (Taki et al. 2012). </w:t>
      </w:r>
      <w:proofErr w:type="spellStart"/>
      <w:r w:rsidRPr="001E42C4">
        <w:rPr>
          <w:rFonts w:ascii="Arial" w:hAnsi="Arial" w:cs="Arial"/>
          <w:sz w:val="20"/>
        </w:rPr>
        <w:t>Bayskar</w:t>
      </w:r>
      <w:proofErr w:type="spellEnd"/>
      <w:r w:rsidRPr="001E42C4">
        <w:rPr>
          <w:rFonts w:ascii="Arial" w:hAnsi="Arial" w:cs="Arial"/>
          <w:sz w:val="20"/>
        </w:rPr>
        <w:t xml:space="preserve"> et al. (2026) </w:t>
      </w:r>
      <w:r w:rsidR="00401F7A" w:rsidRPr="001E42C4">
        <w:rPr>
          <w:rFonts w:ascii="Arial" w:hAnsi="Arial" w:cs="Arial"/>
          <w:sz w:val="20"/>
        </w:rPr>
        <w:t>reported that</w:t>
      </w:r>
      <w:r w:rsidRPr="001E42C4">
        <w:rPr>
          <w:rFonts w:ascii="Arial" w:hAnsi="Arial" w:cs="Arial"/>
          <w:sz w:val="20"/>
        </w:rPr>
        <w:t xml:space="preserve"> the lowest EER was recorded in livestock (1.03) compared with other components of the rainfed integrated farming system in the western plateau and hills of India.</w:t>
      </w:r>
    </w:p>
    <w:p w14:paraId="3CCB89BA"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 The net energy gain (NEG) was maximum in crop component (22804.05 MJ), followed by vegetable (4107.86 MJ) and vermicompost (1000.34 MJ), indicating their positive contribution towards system energy balance. However, livestock (-16076.92 MJ) and nutritional garden (-50.13 MJ) recorded negative net energy gain, suggesting that these components are energy-intensive and less efficient in terms of energy output. The negative energy balance in livestock can be attributed to inefficient feed conversion and higher maintenance energy requirements, which is in agreement with earlier findings of Wilkinson (2011), who highlighted that significant portions of feed energy are lost to basic metabolic maintenance rather than product yield, resulting in inherently poor feed conversion ratios. This systemic energy inefficiency is further corroborated by Dhanapala et al. (2023), who demonstrated through energy auditing that livestock components in diversified agricultural systems consistently exhibit higher comparative energy losses than crop components. Additionally, Smith et al. (2014) noted that these elevated feed conversion ratios and baseline energy requirements in animal production are the primary drivers of lower net energy efficiency within integrated and organic farming frameworks.</w:t>
      </w:r>
    </w:p>
    <w:p w14:paraId="4DA9CC7D"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Energy productivity was highest in vermicompost unit (1.21 kg MJ</w:t>
      </w:r>
      <w:r w:rsidRPr="001E42C4">
        <w:rPr>
          <w:rFonts w:ascii="Cambria Math" w:hAnsi="Cambria Math" w:cs="Cambria Math"/>
          <w:sz w:val="20"/>
        </w:rPr>
        <w:t>⁻</w:t>
      </w:r>
      <w:r w:rsidRPr="001E42C4">
        <w:rPr>
          <w:rFonts w:ascii="Arial" w:hAnsi="Arial" w:cs="Arial"/>
          <w:sz w:val="20"/>
        </w:rPr>
        <w:t>¹), followed by nutritional garden (0.54 kg MJ</w:t>
      </w:r>
      <w:r w:rsidRPr="001E42C4">
        <w:rPr>
          <w:rFonts w:ascii="Cambria Math" w:hAnsi="Cambria Math" w:cs="Cambria Math"/>
          <w:sz w:val="20"/>
        </w:rPr>
        <w:t>⁻</w:t>
      </w:r>
      <w:r w:rsidRPr="001E42C4">
        <w:rPr>
          <w:rFonts w:ascii="Arial" w:hAnsi="Arial" w:cs="Arial"/>
          <w:sz w:val="20"/>
        </w:rPr>
        <w:t>¹), vegetable (0.41 kg MJ</w:t>
      </w:r>
      <w:r w:rsidRPr="001E42C4">
        <w:rPr>
          <w:rFonts w:ascii="Cambria Math" w:hAnsi="Cambria Math" w:cs="Cambria Math"/>
          <w:sz w:val="20"/>
        </w:rPr>
        <w:t>⁻</w:t>
      </w:r>
      <w:r w:rsidRPr="001E42C4">
        <w:rPr>
          <w:rFonts w:ascii="Arial" w:hAnsi="Arial" w:cs="Arial"/>
          <w:sz w:val="20"/>
        </w:rPr>
        <w:t>¹) and crop (0.29 kg MJ</w:t>
      </w:r>
      <w:r w:rsidRPr="001E42C4">
        <w:rPr>
          <w:rFonts w:ascii="Cambria Math" w:hAnsi="Cambria Math" w:cs="Cambria Math"/>
          <w:sz w:val="20"/>
        </w:rPr>
        <w:t>⁻</w:t>
      </w:r>
      <w:r w:rsidRPr="001E42C4">
        <w:rPr>
          <w:rFonts w:ascii="Arial" w:hAnsi="Arial" w:cs="Arial"/>
          <w:sz w:val="20"/>
        </w:rPr>
        <w:t>¹), while the lowest was recorded in livestock</w:t>
      </w:r>
      <w:r w:rsidR="00401F7A" w:rsidRPr="001E42C4">
        <w:rPr>
          <w:rFonts w:ascii="Arial" w:hAnsi="Arial" w:cs="Arial"/>
          <w:sz w:val="20"/>
        </w:rPr>
        <w:t xml:space="preserve"> component</w:t>
      </w:r>
      <w:r w:rsidRPr="001E42C4">
        <w:rPr>
          <w:rFonts w:ascii="Arial" w:hAnsi="Arial" w:cs="Arial"/>
          <w:sz w:val="20"/>
        </w:rPr>
        <w:t xml:space="preserve"> (0.07 kg MJ</w:t>
      </w:r>
      <w:r w:rsidRPr="001E42C4">
        <w:rPr>
          <w:rFonts w:ascii="Cambria Math" w:hAnsi="Cambria Math" w:cs="Cambria Math"/>
          <w:sz w:val="20"/>
        </w:rPr>
        <w:t>⁻</w:t>
      </w:r>
      <w:r w:rsidRPr="001E42C4">
        <w:rPr>
          <w:rFonts w:ascii="Arial" w:hAnsi="Arial" w:cs="Arial"/>
          <w:sz w:val="20"/>
        </w:rPr>
        <w:t>¹). This indicates that organic recycling units such as vermicomposting are more efficient in converting energy into biomass output compared to livestock enterprises. This stark contrast is driven by the fact that vermicomposting relies on low-energy biological mechanisms</w:t>
      </w:r>
      <w:r w:rsidR="00401F7A" w:rsidRPr="001E42C4">
        <w:rPr>
          <w:rFonts w:ascii="Arial" w:hAnsi="Arial" w:cs="Arial"/>
          <w:sz w:val="20"/>
        </w:rPr>
        <w:t xml:space="preserve"> </w:t>
      </w:r>
      <w:r w:rsidRPr="001E42C4">
        <w:rPr>
          <w:rFonts w:ascii="Arial" w:hAnsi="Arial" w:cs="Arial"/>
          <w:sz w:val="20"/>
        </w:rPr>
        <w:t>utilizing earthworms and microbes to upcycle organic waste</w:t>
      </w:r>
      <w:r w:rsidR="00401F7A" w:rsidRPr="001E42C4">
        <w:rPr>
          <w:rFonts w:ascii="Arial" w:hAnsi="Arial" w:cs="Arial"/>
          <w:sz w:val="20"/>
        </w:rPr>
        <w:t xml:space="preserve"> </w:t>
      </w:r>
      <w:r w:rsidRPr="001E42C4">
        <w:rPr>
          <w:rFonts w:ascii="Arial" w:hAnsi="Arial" w:cs="Arial"/>
          <w:sz w:val="20"/>
        </w:rPr>
        <w:t>which drastically minimizes the need for external, energy-intensive inputs (Mohite et al., 2024). In contrast, livestock rearing is inherently energy-demanding, requiring substantial direct and indirect energy investments for prolonged fodder cultivation, concentrate feeds, and daily metabolic maintenance (Kumar et al., 2023). Consequently, integrating organic recycling units is increasingly recognized as a vital strategy to buffer the heavy energy footprint of animal husbandry and elevate the overall eco-efficiency of mixed farming models (Fatima et al., 2023).</w:t>
      </w:r>
    </w:p>
    <w:p w14:paraId="7AC23DEF"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Energy profitability (EP) also followed a similar trend, with highest value in crop component (11.29), followed by vermicompost (1.12) and vegetable (1.10), whereas livestock (-0.27) and nutritional garden (-0.10) showed negative profitability. This further confirms that crop-based and recycling components are more energy efficient and economically viable within the IOFS module. These finding are in agreement with the study conducted by Fatima et al., 2023). </w:t>
      </w:r>
    </w:p>
    <w:p w14:paraId="0C064763" w14:textId="77777777" w:rsidR="001E42C4" w:rsidRDefault="00B4521E" w:rsidP="001E42C4">
      <w:pPr>
        <w:spacing w:before="240" w:after="0" w:line="360" w:lineRule="auto"/>
        <w:ind w:firstLine="720"/>
        <w:jc w:val="both"/>
        <w:rPr>
          <w:rFonts w:ascii="Arial" w:hAnsi="Arial" w:cs="Arial"/>
          <w:sz w:val="20"/>
        </w:rPr>
      </w:pPr>
      <w:r w:rsidRPr="001E42C4">
        <w:rPr>
          <w:rFonts w:ascii="Arial" w:hAnsi="Arial" w:cs="Arial"/>
          <w:sz w:val="20"/>
        </w:rPr>
        <w:t xml:space="preserve">Analysis of energy forms indicated that indirect energy dominated in livestock (56232.39 MJ), mainly due to feed inputs, whereas direct energy was comparatively higher in vegetable (1358.15 MJ) and crop (1082.87 MJ) components due to </w:t>
      </w:r>
      <w:proofErr w:type="spellStart"/>
      <w:r w:rsidRPr="001E42C4">
        <w:rPr>
          <w:rFonts w:ascii="Arial" w:hAnsi="Arial" w:cs="Arial"/>
          <w:sz w:val="20"/>
        </w:rPr>
        <w:t>labour</w:t>
      </w:r>
      <w:proofErr w:type="spellEnd"/>
      <w:r w:rsidRPr="001E42C4">
        <w:rPr>
          <w:rFonts w:ascii="Arial" w:hAnsi="Arial" w:cs="Arial"/>
          <w:sz w:val="20"/>
        </w:rPr>
        <w:t xml:space="preserve"> and operational activities. Renewable energy </w:t>
      </w:r>
      <w:r w:rsidRPr="001E42C4">
        <w:rPr>
          <w:rFonts w:ascii="Arial" w:hAnsi="Arial" w:cs="Arial"/>
          <w:sz w:val="20"/>
        </w:rPr>
        <w:lastRenderedPageBreak/>
        <w:t xml:space="preserve">constituted the major share in livestock (58196.65 MJ) and vegetable (2949.52 MJ) components, highlighting the role of organic inputs and biological processes in the system. In contrast, non-renewable energy use was relatively low across all components, indicating the sustainability advantage of IOFS. Similar observations regarding higher renewable energy share in integrated systems were also reported by Kumar et al., 2019 and </w:t>
      </w:r>
      <w:proofErr w:type="spellStart"/>
      <w:r w:rsidRPr="001E42C4">
        <w:rPr>
          <w:rFonts w:ascii="Arial" w:hAnsi="Arial" w:cs="Arial"/>
          <w:sz w:val="20"/>
        </w:rPr>
        <w:t>Sammauria</w:t>
      </w:r>
      <w:proofErr w:type="spellEnd"/>
      <w:r w:rsidRPr="001E42C4">
        <w:rPr>
          <w:rFonts w:ascii="Arial" w:hAnsi="Arial" w:cs="Arial"/>
          <w:sz w:val="20"/>
        </w:rPr>
        <w:t xml:space="preserve"> </w:t>
      </w:r>
      <w:r w:rsidR="00401F7A" w:rsidRPr="001E42C4">
        <w:rPr>
          <w:rFonts w:ascii="Arial" w:hAnsi="Arial" w:cs="Arial"/>
          <w:sz w:val="20"/>
        </w:rPr>
        <w:t>e</w:t>
      </w:r>
      <w:r w:rsidRPr="001E42C4">
        <w:rPr>
          <w:rFonts w:ascii="Arial" w:hAnsi="Arial" w:cs="Arial"/>
          <w:sz w:val="20"/>
        </w:rPr>
        <w:t>t al., 2025.</w:t>
      </w:r>
    </w:p>
    <w:p w14:paraId="57B41ADF" w14:textId="77777777" w:rsidR="00DB0309" w:rsidRDefault="00B4521E" w:rsidP="00DB0309">
      <w:pPr>
        <w:spacing w:before="240" w:after="0" w:line="360" w:lineRule="auto"/>
        <w:ind w:firstLine="720"/>
        <w:jc w:val="both"/>
        <w:rPr>
          <w:rFonts w:ascii="Arial" w:hAnsi="Arial" w:cs="Arial"/>
          <w:sz w:val="20"/>
        </w:rPr>
      </w:pPr>
      <w:r w:rsidRPr="001E42C4">
        <w:rPr>
          <w:rFonts w:ascii="Arial" w:hAnsi="Arial" w:cs="Arial"/>
          <w:sz w:val="20"/>
        </w:rPr>
        <w:t xml:space="preserve">The present study revealed that crop and vermicompost components were the most energy-efficient within the integrated system, whereas livestock and nutritional garden components were relatively less efficient due to higher energy consumption and lower output. However, despite lower energy efficiency, livestock plays a crucial role in nutrient recycling and system sustainability, which enhances the overall resilience of the integrated </w:t>
      </w:r>
      <w:r w:rsidR="00401F7A" w:rsidRPr="001E42C4">
        <w:rPr>
          <w:rFonts w:ascii="Arial" w:hAnsi="Arial" w:cs="Arial"/>
          <w:sz w:val="20"/>
        </w:rPr>
        <w:t xml:space="preserve">organic </w:t>
      </w:r>
      <w:r w:rsidRPr="001E42C4">
        <w:rPr>
          <w:rFonts w:ascii="Arial" w:hAnsi="Arial" w:cs="Arial"/>
          <w:sz w:val="20"/>
        </w:rPr>
        <w:t>farming system.</w:t>
      </w:r>
    </w:p>
    <w:p w14:paraId="581D0F7E" w14:textId="603B22D4" w:rsidR="00D23144" w:rsidRPr="00DB0309" w:rsidRDefault="00D23144" w:rsidP="00DB0309">
      <w:pPr>
        <w:spacing w:before="240" w:after="0" w:line="360" w:lineRule="auto"/>
        <w:jc w:val="both"/>
        <w:rPr>
          <w:rFonts w:ascii="Arial" w:hAnsi="Arial" w:cs="Arial"/>
          <w:sz w:val="20"/>
        </w:rPr>
      </w:pPr>
      <w:r w:rsidRPr="00D23144">
        <w:rPr>
          <w:rFonts w:ascii="Arial" w:hAnsi="Arial" w:cs="Arial"/>
          <w:b/>
          <w:bCs/>
          <w:szCs w:val="22"/>
        </w:rPr>
        <w:t>CONCLUSION</w:t>
      </w:r>
    </w:p>
    <w:p w14:paraId="60F36BEF" w14:textId="77777777" w:rsidR="00DB0309" w:rsidRDefault="00DB0309" w:rsidP="00DB0309">
      <w:pPr>
        <w:spacing w:before="240" w:after="0" w:line="360" w:lineRule="auto"/>
        <w:ind w:firstLine="720"/>
        <w:jc w:val="both"/>
        <w:rPr>
          <w:rFonts w:ascii="Arial" w:hAnsi="Arial" w:cs="Arial"/>
          <w:sz w:val="20"/>
          <w:lang w:val="en-IN"/>
        </w:rPr>
      </w:pPr>
      <w:r w:rsidRPr="00DB0309">
        <w:rPr>
          <w:rFonts w:ascii="Arial" w:hAnsi="Arial" w:cs="Arial"/>
          <w:sz w:val="20"/>
          <w:lang w:val="en-IN"/>
        </w:rPr>
        <w:t>The integrated organic farming system (IOFS) proved to be a highly efficient and ecologically sustainable production model, demonstrating superior energy use efficiency, positive energy returns and enhanced resource-use optimization across its components. Crop and vermicompost enterprises were the key drivers of system performance, delivering high energy productivity and profitability, while livestock contributed critically to internal nutrient cycling and system resilience despite its lower energy efficiency. The dominance of renewable energy inputs and minimal reliance on non-renewable sources further reinforce the environmental sustainability of the system. Overall, IOFS represents a robust and sustainable farming strategy with strong potential to enhance energy efficiency, resource recycling and long-term agricultural sustainability.</w:t>
      </w:r>
    </w:p>
    <w:p w14:paraId="09975080" w14:textId="77777777" w:rsidR="00340EAD" w:rsidRPr="00A605A1" w:rsidRDefault="00340EAD" w:rsidP="00340EAD">
      <w:pPr>
        <w:pStyle w:val="ReferHead"/>
        <w:spacing w:after="0"/>
        <w:jc w:val="both"/>
        <w:rPr>
          <w:rFonts w:ascii="Arial" w:hAnsi="Arial" w:cs="Arial"/>
          <w:bCs/>
          <w:sz w:val="20"/>
          <w:szCs w:val="18"/>
        </w:rPr>
      </w:pPr>
      <w:bookmarkStart w:id="0" w:name="_GoBack"/>
      <w:bookmarkEnd w:id="0"/>
    </w:p>
    <w:p w14:paraId="35253D9B" w14:textId="77777777" w:rsidR="007F1F36" w:rsidRDefault="00340EAD" w:rsidP="007F1F36">
      <w:pPr>
        <w:pStyle w:val="ReferHead"/>
        <w:spacing w:after="0"/>
        <w:jc w:val="both"/>
        <w:rPr>
          <w:rFonts w:ascii="Arial" w:hAnsi="Arial" w:cs="Arial"/>
          <w:bCs/>
        </w:rPr>
      </w:pPr>
      <w:r>
        <w:rPr>
          <w:rFonts w:ascii="Arial" w:hAnsi="Arial" w:cs="Arial"/>
          <w:bCs/>
        </w:rPr>
        <w:t>CoNSENT</w:t>
      </w:r>
    </w:p>
    <w:p w14:paraId="7BE98C67" w14:textId="5C514732" w:rsidR="00340EAD" w:rsidRPr="007F1F36" w:rsidRDefault="00BA331E" w:rsidP="007F1F36">
      <w:pPr>
        <w:pStyle w:val="ReferHead"/>
        <w:spacing w:before="240" w:after="0"/>
        <w:jc w:val="both"/>
        <w:rPr>
          <w:rFonts w:ascii="Arial" w:hAnsi="Arial" w:cs="Arial"/>
          <w:bCs/>
        </w:rPr>
      </w:pPr>
      <w:r w:rsidRPr="00BA331E">
        <w:rPr>
          <w:rFonts w:ascii="Arial" w:hAnsi="Arial" w:cs="Arial"/>
          <w:b w:val="0"/>
        </w:rPr>
        <w:t>N</w:t>
      </w:r>
      <w:r w:rsidRPr="00BA331E">
        <w:rPr>
          <w:rFonts w:ascii="Arial" w:hAnsi="Arial" w:cs="Arial"/>
          <w:b w:val="0"/>
          <w:caps w:val="0"/>
        </w:rPr>
        <w:t>ot applicable</w:t>
      </w:r>
    </w:p>
    <w:p w14:paraId="146C43FE" w14:textId="5A02A883" w:rsidR="00B4521E" w:rsidRPr="00340EAD" w:rsidRDefault="00340EAD" w:rsidP="00BA331E">
      <w:pPr>
        <w:spacing w:before="240" w:after="0" w:line="360" w:lineRule="auto"/>
        <w:jc w:val="both"/>
        <w:rPr>
          <w:rFonts w:ascii="Arial" w:hAnsi="Arial" w:cs="Arial"/>
          <w:b/>
          <w:bCs/>
          <w:szCs w:val="22"/>
          <w:lang w:val="en-IN"/>
        </w:rPr>
      </w:pPr>
      <w:r w:rsidRPr="00340EAD">
        <w:rPr>
          <w:rFonts w:ascii="Arial" w:hAnsi="Arial" w:cs="Arial"/>
          <w:b/>
          <w:bCs/>
          <w:szCs w:val="22"/>
          <w:lang w:val="en-IN"/>
        </w:rPr>
        <w:t>REFERENCES</w:t>
      </w:r>
    </w:p>
    <w:p w14:paraId="1C68DEB7"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Babu, S., Rathore, S. S., Singh, V. K., Singh, R., eds. (2023). Integrated organic farming systems: Approach for efficient food production and environmental sustainability. Lausanne: Frontiers Media SA. </w:t>
      </w:r>
      <w:proofErr w:type="spellStart"/>
      <w:r w:rsidRPr="00340EAD">
        <w:rPr>
          <w:rFonts w:ascii="Arial" w:hAnsi="Arial" w:cs="Arial"/>
          <w:sz w:val="20"/>
        </w:rPr>
        <w:t>doi</w:t>
      </w:r>
      <w:proofErr w:type="spellEnd"/>
      <w:r w:rsidRPr="00340EAD">
        <w:rPr>
          <w:rFonts w:ascii="Arial" w:hAnsi="Arial" w:cs="Arial"/>
          <w:sz w:val="20"/>
        </w:rPr>
        <w:t>: 10.3389/978-2-8325-3651-3.</w:t>
      </w:r>
    </w:p>
    <w:p w14:paraId="7E34D5FD" w14:textId="5602FF72"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Bayskar</w:t>
      </w:r>
      <w:proofErr w:type="spellEnd"/>
      <w:r w:rsidRPr="00340EAD">
        <w:rPr>
          <w:rFonts w:ascii="Arial" w:hAnsi="Arial" w:cs="Arial"/>
          <w:sz w:val="20"/>
        </w:rPr>
        <w:t xml:space="preserve">, A. S., </w:t>
      </w:r>
      <w:proofErr w:type="spellStart"/>
      <w:r w:rsidRPr="00340EAD">
        <w:rPr>
          <w:rFonts w:ascii="Arial" w:hAnsi="Arial" w:cs="Arial"/>
          <w:sz w:val="20"/>
        </w:rPr>
        <w:t>Chorey</w:t>
      </w:r>
      <w:proofErr w:type="spellEnd"/>
      <w:r w:rsidRPr="00340EAD">
        <w:rPr>
          <w:rFonts w:ascii="Arial" w:hAnsi="Arial" w:cs="Arial"/>
          <w:sz w:val="20"/>
        </w:rPr>
        <w:t xml:space="preserve"> A.B., </w:t>
      </w:r>
      <w:proofErr w:type="spellStart"/>
      <w:r w:rsidRPr="00340EAD">
        <w:rPr>
          <w:rFonts w:ascii="Arial" w:hAnsi="Arial" w:cs="Arial"/>
          <w:sz w:val="20"/>
        </w:rPr>
        <w:t>Ganvir</w:t>
      </w:r>
      <w:proofErr w:type="spellEnd"/>
      <w:r w:rsidRPr="00340EAD">
        <w:rPr>
          <w:rFonts w:ascii="Arial" w:hAnsi="Arial" w:cs="Arial"/>
          <w:sz w:val="20"/>
        </w:rPr>
        <w:t xml:space="preserve">, M.M., Deshmukh, J.P., </w:t>
      </w:r>
      <w:proofErr w:type="spellStart"/>
      <w:r w:rsidRPr="00340EAD">
        <w:rPr>
          <w:rFonts w:ascii="Arial" w:hAnsi="Arial" w:cs="Arial"/>
          <w:sz w:val="20"/>
        </w:rPr>
        <w:t>Paslawar</w:t>
      </w:r>
      <w:proofErr w:type="spellEnd"/>
      <w:r w:rsidRPr="00340EAD">
        <w:rPr>
          <w:rFonts w:ascii="Arial" w:hAnsi="Arial" w:cs="Arial"/>
          <w:sz w:val="20"/>
        </w:rPr>
        <w:t xml:space="preserve">, A.N., Chavan, S.D., </w:t>
      </w:r>
      <w:proofErr w:type="spellStart"/>
      <w:r w:rsidRPr="00340EAD">
        <w:rPr>
          <w:rFonts w:ascii="Arial" w:hAnsi="Arial" w:cs="Arial"/>
          <w:sz w:val="20"/>
        </w:rPr>
        <w:t>Patode</w:t>
      </w:r>
      <w:proofErr w:type="spellEnd"/>
      <w:r w:rsidRPr="00340EAD">
        <w:rPr>
          <w:rFonts w:ascii="Arial" w:hAnsi="Arial" w:cs="Arial"/>
          <w:sz w:val="20"/>
        </w:rPr>
        <w:t xml:space="preserve">, R.S., and </w:t>
      </w:r>
      <w:proofErr w:type="spellStart"/>
      <w:r w:rsidRPr="00340EAD">
        <w:rPr>
          <w:rFonts w:ascii="Arial" w:hAnsi="Arial" w:cs="Arial"/>
          <w:sz w:val="20"/>
        </w:rPr>
        <w:t>Mitkar</w:t>
      </w:r>
      <w:proofErr w:type="spellEnd"/>
      <w:r w:rsidRPr="00340EAD">
        <w:rPr>
          <w:rFonts w:ascii="Arial" w:hAnsi="Arial" w:cs="Arial"/>
          <w:sz w:val="20"/>
        </w:rPr>
        <w:t xml:space="preserve">, G.V. </w:t>
      </w:r>
      <w:r w:rsidR="00AD7A90" w:rsidRPr="00340EAD">
        <w:rPr>
          <w:rFonts w:ascii="Arial" w:hAnsi="Arial" w:cs="Arial"/>
          <w:sz w:val="20"/>
        </w:rPr>
        <w:t>(</w:t>
      </w:r>
      <w:r w:rsidRPr="00340EAD">
        <w:rPr>
          <w:rFonts w:ascii="Arial" w:hAnsi="Arial" w:cs="Arial"/>
          <w:sz w:val="20"/>
        </w:rPr>
        <w:t>2026</w:t>
      </w:r>
      <w:r w:rsidR="00AD7A90" w:rsidRPr="00340EAD">
        <w:rPr>
          <w:rFonts w:ascii="Arial" w:hAnsi="Arial" w:cs="Arial"/>
          <w:sz w:val="20"/>
        </w:rPr>
        <w:t>)</w:t>
      </w:r>
      <w:r w:rsidRPr="00340EAD">
        <w:rPr>
          <w:rFonts w:ascii="Arial" w:hAnsi="Arial" w:cs="Arial"/>
          <w:sz w:val="20"/>
        </w:rPr>
        <w:t>. “Energy Budgeting of Rainfed Integrated Farming Systems in the Western Plateau and Hills of India”. Journal of Experimental Agriculture International 48 (1):1–9. https://doi.org/10.9734/jeai/2026/v48i13976.</w:t>
      </w:r>
    </w:p>
    <w:p w14:paraId="4C023E00"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Bocean</w:t>
      </w:r>
      <w:proofErr w:type="spellEnd"/>
      <w:r w:rsidRPr="00340EAD">
        <w:rPr>
          <w:rFonts w:ascii="Arial" w:hAnsi="Arial" w:cs="Arial"/>
          <w:sz w:val="20"/>
        </w:rPr>
        <w:t xml:space="preserve">, C. G. (2025). The role of organic farming in reducing greenhouse gas emissions from agriculture in the European Union. </w:t>
      </w:r>
      <w:r w:rsidRPr="00340EAD">
        <w:rPr>
          <w:rFonts w:ascii="Arial" w:hAnsi="Arial" w:cs="Arial"/>
          <w:i/>
          <w:iCs/>
          <w:sz w:val="20"/>
        </w:rPr>
        <w:t>Agronomy</w:t>
      </w:r>
      <w:r w:rsidRPr="00340EAD">
        <w:rPr>
          <w:rFonts w:ascii="Arial" w:hAnsi="Arial" w:cs="Arial"/>
          <w:sz w:val="20"/>
        </w:rPr>
        <w:t xml:space="preserve">, </w:t>
      </w:r>
      <w:r w:rsidRPr="00340EAD">
        <w:rPr>
          <w:rFonts w:ascii="Arial" w:hAnsi="Arial" w:cs="Arial"/>
          <w:i/>
          <w:iCs/>
          <w:sz w:val="20"/>
        </w:rPr>
        <w:t>15</w:t>
      </w:r>
      <w:r w:rsidRPr="00340EAD">
        <w:rPr>
          <w:rFonts w:ascii="Arial" w:hAnsi="Arial" w:cs="Arial"/>
          <w:sz w:val="20"/>
        </w:rPr>
        <w:t xml:space="preserve">(1), 198. </w:t>
      </w:r>
      <w:hyperlink r:id="rId13" w:tgtFrame="_blank" w:history="1">
        <w:r w:rsidRPr="00340EAD">
          <w:rPr>
            <w:rStyle w:val="Hyperlink"/>
            <w:rFonts w:ascii="Arial" w:hAnsi="Arial" w:cs="Arial"/>
            <w:sz w:val="20"/>
          </w:rPr>
          <w:t>https://doi.org/10.3390/agronomy15010198</w:t>
        </w:r>
      </w:hyperlink>
    </w:p>
    <w:p w14:paraId="0D115FD8"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Dalgaard, T., Halberg, N., &amp; Porter, J. R. (2001). A model for fossil energy use in Danish agriculture used to compare organic and conventional farming. </w:t>
      </w:r>
      <w:r w:rsidRPr="00340EAD">
        <w:rPr>
          <w:rFonts w:ascii="Arial" w:hAnsi="Arial" w:cs="Arial"/>
          <w:i/>
          <w:iCs/>
          <w:sz w:val="20"/>
          <w:lang w:val="en-IN"/>
        </w:rPr>
        <w:t>Agriculture, Ecosystems &amp; Environment, 87</w:t>
      </w:r>
      <w:r w:rsidRPr="00340EAD">
        <w:rPr>
          <w:rFonts w:ascii="Arial" w:hAnsi="Arial" w:cs="Arial"/>
          <w:sz w:val="20"/>
          <w:lang w:val="en-IN"/>
        </w:rPr>
        <w:t xml:space="preserve">(1), 51-65. </w:t>
      </w:r>
      <w:hyperlink r:id="rId14" w:tgtFrame="_blank" w:history="1">
        <w:r w:rsidRPr="00340EAD">
          <w:rPr>
            <w:rStyle w:val="Hyperlink"/>
            <w:rFonts w:ascii="Arial" w:hAnsi="Arial" w:cs="Arial"/>
            <w:sz w:val="20"/>
            <w:lang w:val="en-IN"/>
          </w:rPr>
          <w:t>https://doi.org/10.1016/S0167-8809(00)00297-8</w:t>
        </w:r>
      </w:hyperlink>
    </w:p>
    <w:p w14:paraId="6E968CC6"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lastRenderedPageBreak/>
        <w:t>Devasenapathy</w:t>
      </w:r>
      <w:proofErr w:type="spellEnd"/>
      <w:r w:rsidRPr="00340EAD">
        <w:rPr>
          <w:rFonts w:ascii="Arial" w:hAnsi="Arial" w:cs="Arial"/>
          <w:sz w:val="20"/>
          <w:lang w:val="en-IN"/>
        </w:rPr>
        <w:t xml:space="preserve">, P., Senthilkumar, G., &amp; Shanmugam, P. M. (2009). </w:t>
      </w:r>
      <w:r w:rsidRPr="00340EAD">
        <w:rPr>
          <w:rFonts w:ascii="Arial" w:hAnsi="Arial" w:cs="Arial"/>
          <w:i/>
          <w:iCs/>
          <w:sz w:val="20"/>
          <w:lang w:val="en-IN"/>
        </w:rPr>
        <w:t>Energy management in crop production</w:t>
      </w:r>
      <w:r w:rsidRPr="00340EAD">
        <w:rPr>
          <w:rFonts w:ascii="Arial" w:hAnsi="Arial" w:cs="Arial"/>
          <w:sz w:val="20"/>
          <w:lang w:val="en-IN"/>
        </w:rPr>
        <w:t>. Indian Journal of Agronomy, 54(1), 80-90.</w:t>
      </w:r>
    </w:p>
    <w:p w14:paraId="20A387AF" w14:textId="5DC82DD8"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Dhanapala, S., </w:t>
      </w:r>
      <w:proofErr w:type="spellStart"/>
      <w:r w:rsidRPr="00340EAD">
        <w:rPr>
          <w:rFonts w:ascii="Arial" w:hAnsi="Arial" w:cs="Arial"/>
          <w:sz w:val="20"/>
          <w:lang w:val="en-IN"/>
        </w:rPr>
        <w:t>Nilmalgoda</w:t>
      </w:r>
      <w:proofErr w:type="spellEnd"/>
      <w:r w:rsidRPr="00340EAD">
        <w:rPr>
          <w:rFonts w:ascii="Arial" w:hAnsi="Arial" w:cs="Arial"/>
          <w:sz w:val="20"/>
          <w:lang w:val="en-IN"/>
        </w:rPr>
        <w:t xml:space="preserve">, H., Gunathilake, M. B., Rathnayake, U., &amp; </w:t>
      </w:r>
      <w:proofErr w:type="spellStart"/>
      <w:r w:rsidRPr="00340EAD">
        <w:rPr>
          <w:rFonts w:ascii="Arial" w:hAnsi="Arial" w:cs="Arial"/>
          <w:sz w:val="20"/>
          <w:lang w:val="en-IN"/>
        </w:rPr>
        <w:t>Wimalasiri</w:t>
      </w:r>
      <w:proofErr w:type="spellEnd"/>
      <w:r w:rsidRPr="00340EAD">
        <w:rPr>
          <w:rFonts w:ascii="Arial" w:hAnsi="Arial" w:cs="Arial"/>
          <w:sz w:val="20"/>
          <w:lang w:val="en-IN"/>
        </w:rPr>
        <w:t>, E. M. (2023). Energy Balance Assessment in Agricultural Systems; An Approach to</w:t>
      </w:r>
      <w:r w:rsidR="00AD7A90" w:rsidRPr="00340EAD">
        <w:rPr>
          <w:rFonts w:ascii="Arial" w:hAnsi="Arial" w:cs="Arial"/>
          <w:sz w:val="20"/>
          <w:lang w:val="en-IN"/>
        </w:rPr>
        <w:t xml:space="preserve"> </w:t>
      </w:r>
      <w:r w:rsidRPr="00340EAD">
        <w:rPr>
          <w:rFonts w:ascii="Arial" w:hAnsi="Arial" w:cs="Arial"/>
          <w:sz w:val="20"/>
          <w:lang w:val="en-IN"/>
        </w:rPr>
        <w:t xml:space="preserve">Diversification. </w:t>
      </w:r>
      <w:proofErr w:type="spellStart"/>
      <w:r w:rsidRPr="00340EAD">
        <w:rPr>
          <w:rFonts w:ascii="Arial" w:hAnsi="Arial" w:cs="Arial"/>
          <w:i/>
          <w:iCs/>
          <w:sz w:val="20"/>
          <w:lang w:val="en-IN"/>
        </w:rPr>
        <w:t>AgriEngineering</w:t>
      </w:r>
      <w:proofErr w:type="spellEnd"/>
      <w:r w:rsidRPr="00340EAD">
        <w:rPr>
          <w:rFonts w:ascii="Arial" w:hAnsi="Arial" w:cs="Arial"/>
          <w:sz w:val="20"/>
          <w:lang w:val="en-IN"/>
        </w:rPr>
        <w:t xml:space="preserve">, </w:t>
      </w:r>
      <w:r w:rsidRPr="00340EAD">
        <w:rPr>
          <w:rFonts w:ascii="Arial" w:hAnsi="Arial" w:cs="Arial"/>
          <w:i/>
          <w:iCs/>
          <w:sz w:val="20"/>
          <w:lang w:val="en-IN"/>
        </w:rPr>
        <w:t>5</w:t>
      </w:r>
      <w:r w:rsidRPr="00340EAD">
        <w:rPr>
          <w:rFonts w:ascii="Arial" w:hAnsi="Arial" w:cs="Arial"/>
          <w:sz w:val="20"/>
          <w:lang w:val="en-IN"/>
        </w:rPr>
        <w:t>, 950–964.</w:t>
      </w:r>
      <w:r w:rsidR="00AD7A90" w:rsidRPr="00340EAD">
        <w:rPr>
          <w:rFonts w:ascii="Arial" w:hAnsi="Arial" w:cs="Arial"/>
          <w:sz w:val="20"/>
          <w:lang w:val="en-IN"/>
        </w:rPr>
        <w:t xml:space="preserve"> </w:t>
      </w:r>
      <w:hyperlink r:id="rId15" w:history="1">
        <w:r w:rsidR="00AD7A90" w:rsidRPr="00340EAD">
          <w:rPr>
            <w:rStyle w:val="Hyperlink"/>
            <w:rFonts w:ascii="Arial" w:hAnsi="Arial" w:cs="Arial"/>
            <w:sz w:val="20"/>
            <w:lang w:val="en-IN"/>
          </w:rPr>
          <w:t>https://doi.org/10.3390/agriengineering5020059</w:t>
        </w:r>
      </w:hyperlink>
      <w:r w:rsidRPr="00340EAD">
        <w:rPr>
          <w:rFonts w:ascii="Arial" w:hAnsi="Arial" w:cs="Arial"/>
          <w:sz w:val="20"/>
          <w:lang w:val="en-IN"/>
        </w:rPr>
        <w:t xml:space="preserve"> Cited by: 10</w:t>
      </w:r>
    </w:p>
    <w:p w14:paraId="3C9912E0"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Edwards, C. A., Grove, T. L., Harwood, R. R., &amp; Colfer, C. J. P. (1993). The role of agroecology and integrated farming systems in agricultural sustainability. </w:t>
      </w:r>
      <w:r w:rsidRPr="00340EAD">
        <w:rPr>
          <w:rFonts w:ascii="Arial" w:hAnsi="Arial" w:cs="Arial"/>
          <w:i/>
          <w:iCs/>
          <w:sz w:val="20"/>
          <w:lang w:val="en-IN"/>
        </w:rPr>
        <w:t>Agriculture, Ecosystems &amp; Environment, 46</w:t>
      </w:r>
      <w:r w:rsidRPr="00340EAD">
        <w:rPr>
          <w:rFonts w:ascii="Arial" w:hAnsi="Arial" w:cs="Arial"/>
          <w:sz w:val="20"/>
          <w:lang w:val="en-IN"/>
        </w:rPr>
        <w:t>(1-4), 99-121.</w:t>
      </w:r>
    </w:p>
    <w:p w14:paraId="5775EE18" w14:textId="5E1B6DA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Fatima</w:t>
      </w:r>
      <w:r w:rsidR="00AD7A90" w:rsidRPr="00340EAD">
        <w:rPr>
          <w:rFonts w:ascii="Arial" w:hAnsi="Arial" w:cs="Arial"/>
          <w:sz w:val="20"/>
        </w:rPr>
        <w:t>.</w:t>
      </w:r>
      <w:r w:rsidRPr="00340EAD">
        <w:rPr>
          <w:rFonts w:ascii="Arial" w:hAnsi="Arial" w:cs="Arial"/>
          <w:sz w:val="20"/>
        </w:rPr>
        <w:t xml:space="preserve"> A</w:t>
      </w:r>
      <w:r w:rsidR="00AD7A90" w:rsidRPr="00340EAD">
        <w:rPr>
          <w:rFonts w:ascii="Arial" w:hAnsi="Arial" w:cs="Arial"/>
          <w:sz w:val="20"/>
        </w:rPr>
        <w:t>.</w:t>
      </w:r>
      <w:r w:rsidRPr="00340EAD">
        <w:rPr>
          <w:rFonts w:ascii="Arial" w:hAnsi="Arial" w:cs="Arial"/>
          <w:sz w:val="20"/>
        </w:rPr>
        <w:t>, Singh</w:t>
      </w:r>
      <w:r w:rsidR="00AD7A90" w:rsidRPr="00340EAD">
        <w:rPr>
          <w:rFonts w:ascii="Arial" w:hAnsi="Arial" w:cs="Arial"/>
          <w:sz w:val="20"/>
        </w:rPr>
        <w:t>,</w:t>
      </w:r>
      <w:r w:rsidRPr="00340EAD">
        <w:rPr>
          <w:rFonts w:ascii="Arial" w:hAnsi="Arial" w:cs="Arial"/>
          <w:sz w:val="20"/>
        </w:rPr>
        <w:t xml:space="preserve"> V</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w:t>
      </w:r>
      <w:r w:rsidRPr="00340EAD">
        <w:rPr>
          <w:rFonts w:ascii="Arial" w:hAnsi="Arial" w:cs="Arial"/>
          <w:sz w:val="20"/>
        </w:rPr>
        <w:t>, Babu</w:t>
      </w:r>
      <w:r w:rsidR="00AD7A90" w:rsidRPr="00340EAD">
        <w:rPr>
          <w:rFonts w:ascii="Arial" w:hAnsi="Arial" w:cs="Arial"/>
          <w:sz w:val="20"/>
        </w:rPr>
        <w:t>,</w:t>
      </w:r>
      <w:r w:rsidRPr="00340EAD">
        <w:rPr>
          <w:rFonts w:ascii="Arial" w:hAnsi="Arial" w:cs="Arial"/>
          <w:sz w:val="20"/>
        </w:rPr>
        <w:t xml:space="preserve"> S</w:t>
      </w:r>
      <w:r w:rsidR="00AD7A90" w:rsidRPr="00340EAD">
        <w:rPr>
          <w:rFonts w:ascii="Arial" w:hAnsi="Arial" w:cs="Arial"/>
          <w:sz w:val="20"/>
        </w:rPr>
        <w:t>.</w:t>
      </w:r>
      <w:r w:rsidRPr="00340EAD">
        <w:rPr>
          <w:rFonts w:ascii="Arial" w:hAnsi="Arial" w:cs="Arial"/>
          <w:sz w:val="20"/>
        </w:rPr>
        <w:t>, Singh</w:t>
      </w:r>
      <w:r w:rsidR="00AD7A90" w:rsidRPr="00340EAD">
        <w:rPr>
          <w:rFonts w:ascii="Arial" w:hAnsi="Arial" w:cs="Arial"/>
          <w:sz w:val="20"/>
        </w:rPr>
        <w:t>,</w:t>
      </w:r>
      <w:r w:rsidRPr="00340EAD">
        <w:rPr>
          <w:rFonts w:ascii="Arial" w:hAnsi="Arial" w:cs="Arial"/>
          <w:sz w:val="20"/>
        </w:rPr>
        <w:t xml:space="preserve"> R</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 xml:space="preserve"> </w:t>
      </w:r>
      <w:r w:rsidRPr="00340EAD">
        <w:rPr>
          <w:rFonts w:ascii="Arial" w:hAnsi="Arial" w:cs="Arial"/>
          <w:sz w:val="20"/>
        </w:rPr>
        <w:t>Upadhyay</w:t>
      </w:r>
      <w:r w:rsidR="00AD7A90" w:rsidRPr="00340EAD">
        <w:rPr>
          <w:rFonts w:ascii="Arial" w:hAnsi="Arial" w:cs="Arial"/>
          <w:sz w:val="20"/>
        </w:rPr>
        <w:t>,</w:t>
      </w:r>
      <w:r w:rsidRPr="00340EAD">
        <w:rPr>
          <w:rFonts w:ascii="Arial" w:hAnsi="Arial" w:cs="Arial"/>
          <w:sz w:val="20"/>
        </w:rPr>
        <w:t xml:space="preserve"> P</w:t>
      </w:r>
      <w:r w:rsidR="00AD7A90" w:rsidRPr="00340EAD">
        <w:rPr>
          <w:rFonts w:ascii="Arial" w:hAnsi="Arial" w:cs="Arial"/>
          <w:sz w:val="20"/>
        </w:rPr>
        <w:t xml:space="preserve">. </w:t>
      </w:r>
      <w:r w:rsidRPr="00340EAD">
        <w:rPr>
          <w:rFonts w:ascii="Arial" w:hAnsi="Arial" w:cs="Arial"/>
          <w:sz w:val="20"/>
        </w:rPr>
        <w:t>K</w:t>
      </w:r>
      <w:r w:rsidR="00AD7A90" w:rsidRPr="00340EAD">
        <w:rPr>
          <w:rFonts w:ascii="Arial" w:hAnsi="Arial" w:cs="Arial"/>
          <w:sz w:val="20"/>
        </w:rPr>
        <w:t>.</w:t>
      </w:r>
      <w:r w:rsidRPr="00340EAD">
        <w:rPr>
          <w:rFonts w:ascii="Arial" w:hAnsi="Arial" w:cs="Arial"/>
          <w:sz w:val="20"/>
        </w:rPr>
        <w:t>, Rathore</w:t>
      </w:r>
      <w:r w:rsidR="00AD7A90" w:rsidRPr="00340EAD">
        <w:rPr>
          <w:rFonts w:ascii="Arial" w:hAnsi="Arial" w:cs="Arial"/>
          <w:sz w:val="20"/>
        </w:rPr>
        <w:t>,</w:t>
      </w:r>
      <w:r w:rsidRPr="00340EAD">
        <w:rPr>
          <w:rFonts w:ascii="Arial" w:hAnsi="Arial" w:cs="Arial"/>
          <w:sz w:val="20"/>
        </w:rPr>
        <w:t xml:space="preserve"> S</w:t>
      </w:r>
      <w:r w:rsidR="00AD7A90" w:rsidRPr="00340EAD">
        <w:rPr>
          <w:rFonts w:ascii="Arial" w:hAnsi="Arial" w:cs="Arial"/>
          <w:sz w:val="20"/>
        </w:rPr>
        <w:t xml:space="preserve">. </w:t>
      </w:r>
      <w:r w:rsidRPr="00340EAD">
        <w:rPr>
          <w:rFonts w:ascii="Arial" w:hAnsi="Arial" w:cs="Arial"/>
          <w:sz w:val="20"/>
        </w:rPr>
        <w:t>S</w:t>
      </w:r>
      <w:r w:rsidR="00AD7A90" w:rsidRPr="00340EAD">
        <w:rPr>
          <w:rFonts w:ascii="Arial" w:hAnsi="Arial" w:cs="Arial"/>
          <w:sz w:val="20"/>
        </w:rPr>
        <w:t>.</w:t>
      </w:r>
      <w:r w:rsidRPr="00340EAD">
        <w:rPr>
          <w:rFonts w:ascii="Arial" w:hAnsi="Arial" w:cs="Arial"/>
          <w:sz w:val="20"/>
        </w:rPr>
        <w:t>, Kumar</w:t>
      </w:r>
      <w:r w:rsidR="00AD7A90" w:rsidRPr="00340EAD">
        <w:rPr>
          <w:rFonts w:ascii="Arial" w:hAnsi="Arial" w:cs="Arial"/>
          <w:sz w:val="20"/>
        </w:rPr>
        <w:t>,</w:t>
      </w:r>
      <w:r w:rsidRPr="00340EAD">
        <w:rPr>
          <w:rFonts w:ascii="Arial" w:hAnsi="Arial" w:cs="Arial"/>
          <w:sz w:val="20"/>
        </w:rPr>
        <w:t xml:space="preserve"> B</w:t>
      </w:r>
      <w:r w:rsidR="00AD7A90" w:rsidRPr="00340EAD">
        <w:rPr>
          <w:rFonts w:ascii="Arial" w:hAnsi="Arial" w:cs="Arial"/>
          <w:sz w:val="20"/>
        </w:rPr>
        <w:t>.</w:t>
      </w:r>
      <w:r w:rsidRPr="00340EAD">
        <w:rPr>
          <w:rFonts w:ascii="Arial" w:hAnsi="Arial" w:cs="Arial"/>
          <w:sz w:val="20"/>
        </w:rPr>
        <w:t>, Hasanain Mand Parween H</w:t>
      </w:r>
      <w:r w:rsidR="00AD7A90" w:rsidRPr="00340EAD">
        <w:rPr>
          <w:rFonts w:ascii="Arial" w:hAnsi="Arial" w:cs="Arial"/>
          <w:sz w:val="20"/>
        </w:rPr>
        <w:t>.</w:t>
      </w:r>
      <w:r w:rsidRPr="00340EAD">
        <w:rPr>
          <w:rFonts w:ascii="Arial" w:hAnsi="Arial" w:cs="Arial"/>
          <w:sz w:val="20"/>
        </w:rPr>
        <w:t xml:space="preserve"> (2023</w:t>
      </w:r>
      <w:r w:rsidR="00AD7A90" w:rsidRPr="00340EAD">
        <w:rPr>
          <w:rFonts w:ascii="Arial" w:hAnsi="Arial" w:cs="Arial"/>
          <w:sz w:val="20"/>
        </w:rPr>
        <w:t>).</w:t>
      </w:r>
      <w:r w:rsidRPr="00340EAD">
        <w:rPr>
          <w:rFonts w:ascii="Arial" w:hAnsi="Arial" w:cs="Arial"/>
          <w:i/>
          <w:iCs/>
          <w:sz w:val="20"/>
        </w:rPr>
        <w:t xml:space="preserve"> Food production potential and environmental sustainability of different integrated farming system models in northwest India</w:t>
      </w:r>
      <w:r w:rsidRPr="00340EAD">
        <w:rPr>
          <w:rFonts w:ascii="Arial" w:hAnsi="Arial" w:cs="Arial"/>
          <w:sz w:val="20"/>
        </w:rPr>
        <w:t xml:space="preserve">. Front. Sustain. Food Syst. 7:959464. </w:t>
      </w:r>
      <w:hyperlink r:id="rId16" w:history="1">
        <w:r w:rsidRPr="00340EAD">
          <w:rPr>
            <w:rStyle w:val="Hyperlink"/>
            <w:rFonts w:ascii="Arial" w:hAnsi="Arial" w:cs="Arial"/>
            <w:sz w:val="20"/>
          </w:rPr>
          <w:t>https://doi.org/10.3389/fsufs.2023.959464</w:t>
        </w:r>
      </w:hyperlink>
    </w:p>
    <w:p w14:paraId="623BFCF0"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Fluck, R.C. (1992) Energy in Farm Production. In: Fluck, R.C., Ed., Energy in World Agriculture, 6</w:t>
      </w:r>
      <w:r w:rsidRPr="00340EAD">
        <w:rPr>
          <w:rFonts w:ascii="Arial" w:hAnsi="Arial" w:cs="Arial"/>
          <w:sz w:val="20"/>
          <w:vertAlign w:val="superscript"/>
        </w:rPr>
        <w:t>th</w:t>
      </w:r>
      <w:r w:rsidRPr="00340EAD">
        <w:rPr>
          <w:rFonts w:ascii="Arial" w:hAnsi="Arial" w:cs="Arial"/>
          <w:sz w:val="20"/>
        </w:rPr>
        <w:t xml:space="preserve"> Edition, Elsevier, New York, 218-267.</w:t>
      </w:r>
    </w:p>
    <w:p w14:paraId="32636472"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Gomiero, T., Pimentel, D., &amp; Paoletti, M. G. (2011). Environmental impact of different agricultural management practices: Conventional vs. organic agriculture. </w:t>
      </w:r>
      <w:r w:rsidRPr="00340EAD">
        <w:rPr>
          <w:rFonts w:ascii="Arial" w:hAnsi="Arial" w:cs="Arial"/>
          <w:i/>
          <w:iCs/>
          <w:sz w:val="20"/>
          <w:lang w:val="en-IN"/>
        </w:rPr>
        <w:t>Critical Reviews in Plant Sciences, 30</w:t>
      </w:r>
      <w:r w:rsidRPr="00340EAD">
        <w:rPr>
          <w:rFonts w:ascii="Arial" w:hAnsi="Arial" w:cs="Arial"/>
          <w:sz w:val="20"/>
          <w:lang w:val="en-IN"/>
        </w:rPr>
        <w:t xml:space="preserve">(1-2), 95-124. </w:t>
      </w:r>
      <w:hyperlink r:id="rId17" w:history="1">
        <w:r w:rsidRPr="00340EAD">
          <w:rPr>
            <w:rStyle w:val="Hyperlink"/>
            <w:rFonts w:ascii="Arial" w:hAnsi="Arial" w:cs="Arial"/>
            <w:sz w:val="20"/>
            <w:lang w:val="en-IN"/>
          </w:rPr>
          <w:t>https://doi.org/10.1080/07352689.2011.554355</w:t>
        </w:r>
      </w:hyperlink>
    </w:p>
    <w:p w14:paraId="2A113A6A"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Gopalan, C., Rama Sastri, B. V., &amp; Balasubramanian, S. C. (1971). </w:t>
      </w:r>
      <w:r w:rsidRPr="00340EAD">
        <w:rPr>
          <w:rFonts w:ascii="Arial" w:hAnsi="Arial" w:cs="Arial"/>
          <w:i/>
          <w:iCs/>
          <w:sz w:val="20"/>
          <w:lang w:val="en-IN"/>
        </w:rPr>
        <w:t>Nutritive value of Indian foods</w:t>
      </w:r>
      <w:r w:rsidRPr="00340EAD">
        <w:rPr>
          <w:rFonts w:ascii="Arial" w:hAnsi="Arial" w:cs="Arial"/>
          <w:sz w:val="20"/>
          <w:lang w:val="en-IN"/>
        </w:rPr>
        <w:t>. National Institute of Nutrition, ICMR, Hyderabad.</w:t>
      </w:r>
    </w:p>
    <w:p w14:paraId="77407FAF" w14:textId="0658982D" w:rsidR="00C13CFC" w:rsidRPr="00340EAD" w:rsidRDefault="00C13CFC"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Han, F., Ren, A., Liu, J., Yu, L., Jia, F., Hou, H., &amp; Liu, Y. (2024). Towards Sustainable Industry: A Comprehensive Review of Energy–Economy–Environment System Analysis and Future Trends. </w:t>
      </w:r>
      <w:r w:rsidRPr="00340EAD">
        <w:rPr>
          <w:rFonts w:ascii="Arial" w:hAnsi="Arial" w:cs="Arial"/>
          <w:i/>
          <w:iCs/>
          <w:sz w:val="20"/>
        </w:rPr>
        <w:t>Sustainability</w:t>
      </w:r>
      <w:r w:rsidRPr="00340EAD">
        <w:rPr>
          <w:rFonts w:ascii="Arial" w:hAnsi="Arial" w:cs="Arial"/>
          <w:sz w:val="20"/>
        </w:rPr>
        <w:t xml:space="preserve">, </w:t>
      </w:r>
      <w:r w:rsidRPr="00340EAD">
        <w:rPr>
          <w:rFonts w:ascii="Arial" w:hAnsi="Arial" w:cs="Arial"/>
          <w:i/>
          <w:iCs/>
          <w:sz w:val="20"/>
        </w:rPr>
        <w:t>16</w:t>
      </w:r>
      <w:r w:rsidRPr="00340EAD">
        <w:rPr>
          <w:rFonts w:ascii="Arial" w:hAnsi="Arial" w:cs="Arial"/>
          <w:sz w:val="20"/>
        </w:rPr>
        <w:t xml:space="preserve">(12), 5085. </w:t>
      </w:r>
      <w:hyperlink r:id="rId18" w:tgtFrame="_blank" w:history="1">
        <w:r w:rsidRPr="00340EAD">
          <w:rPr>
            <w:rStyle w:val="Hyperlink"/>
            <w:rFonts w:ascii="Arial" w:hAnsi="Arial" w:cs="Arial"/>
            <w:sz w:val="20"/>
          </w:rPr>
          <w:t>https://doi.org/10.3390/su16125085</w:t>
        </w:r>
      </w:hyperlink>
    </w:p>
    <w:p w14:paraId="71FAB58B"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IFOAM. (2014). </w:t>
      </w:r>
      <w:r w:rsidRPr="00340EAD">
        <w:rPr>
          <w:rFonts w:ascii="Arial" w:hAnsi="Arial" w:cs="Arial"/>
          <w:i/>
          <w:iCs/>
          <w:sz w:val="20"/>
          <w:lang w:val="en-IN"/>
        </w:rPr>
        <w:t>The IFOAM norms for organic production and processing</w:t>
      </w:r>
      <w:r w:rsidRPr="00340EAD">
        <w:rPr>
          <w:rFonts w:ascii="Arial" w:hAnsi="Arial" w:cs="Arial"/>
          <w:sz w:val="20"/>
          <w:lang w:val="en-IN"/>
        </w:rPr>
        <w:t>. International Federation of Organic Agriculture Movements.</w:t>
      </w:r>
    </w:p>
    <w:p w14:paraId="3A1388D0"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lang w:val="en-IN"/>
        </w:rPr>
        <w:t xml:space="preserve">Iswarya, S., Shanmugam, P. M., Somasundaram, E., Chitdeshwari, T., &amp; Suganthy, M. (2024). Energy Budgeting and Efficiency Analysis of Organic Cotton: A DEA Approach. </w:t>
      </w:r>
      <w:r w:rsidRPr="00340EAD">
        <w:rPr>
          <w:rFonts w:ascii="Arial" w:hAnsi="Arial" w:cs="Arial"/>
          <w:i/>
          <w:iCs/>
          <w:sz w:val="20"/>
          <w:lang w:val="en-IN"/>
        </w:rPr>
        <w:t>Indian Journal of Agricultural Research, 58</w:t>
      </w:r>
      <w:r w:rsidRPr="00340EAD">
        <w:rPr>
          <w:rFonts w:ascii="Arial" w:hAnsi="Arial" w:cs="Arial"/>
          <w:sz w:val="20"/>
          <w:lang w:val="en-IN"/>
        </w:rPr>
        <w:t xml:space="preserve">(3), 389-397. </w:t>
      </w:r>
      <w:hyperlink r:id="rId19" w:tgtFrame="_blank" w:history="1">
        <w:r w:rsidRPr="00340EAD">
          <w:rPr>
            <w:rStyle w:val="Hyperlink"/>
            <w:rFonts w:ascii="Arial" w:hAnsi="Arial" w:cs="Arial"/>
            <w:sz w:val="20"/>
            <w:lang w:val="en-IN"/>
          </w:rPr>
          <w:t>https://doi.org/10.18805/IJARe.A-6121</w:t>
        </w:r>
      </w:hyperlink>
    </w:p>
    <w:p w14:paraId="1A745C05" w14:textId="008BC72C" w:rsidR="00616049" w:rsidRPr="00340EAD" w:rsidRDefault="00BE053C" w:rsidP="00E6745E">
      <w:pPr>
        <w:spacing w:after="0" w:line="360" w:lineRule="auto"/>
        <w:ind w:left="720" w:hanging="720"/>
        <w:jc w:val="both"/>
        <w:rPr>
          <w:rFonts w:ascii="Arial" w:hAnsi="Arial" w:cs="Arial"/>
          <w:sz w:val="20"/>
          <w:lang w:val="en-IN"/>
        </w:rPr>
      </w:pPr>
      <w:r w:rsidRPr="00340EAD">
        <w:rPr>
          <w:rFonts w:ascii="Arial" w:hAnsi="Arial" w:cs="Arial"/>
          <w:sz w:val="20"/>
        </w:rPr>
        <w:t>Kumar, S., Kumar, R., &amp; Dey, A.</w:t>
      </w:r>
      <w:r w:rsidR="00616049" w:rsidRPr="00340EAD">
        <w:rPr>
          <w:rFonts w:ascii="Arial" w:hAnsi="Arial" w:cs="Arial"/>
          <w:sz w:val="20"/>
        </w:rPr>
        <w:t xml:space="preserve"> (2019). Energy budgeting of crop-livestock-poultry integrated farming system in irrigated ecologies of eastern India. </w:t>
      </w:r>
      <w:r w:rsidR="00616049" w:rsidRPr="00340EAD">
        <w:rPr>
          <w:rFonts w:ascii="Arial" w:hAnsi="Arial" w:cs="Arial"/>
          <w:i/>
          <w:iCs/>
          <w:sz w:val="20"/>
        </w:rPr>
        <w:t>The Indian Journal of Agricultural Sciences</w:t>
      </w:r>
      <w:r w:rsidR="00616049" w:rsidRPr="00340EAD">
        <w:rPr>
          <w:rFonts w:ascii="Arial" w:hAnsi="Arial" w:cs="Arial"/>
          <w:sz w:val="20"/>
        </w:rPr>
        <w:t>, </w:t>
      </w:r>
      <w:r w:rsidR="00616049" w:rsidRPr="00340EAD">
        <w:rPr>
          <w:rFonts w:ascii="Arial" w:hAnsi="Arial" w:cs="Arial"/>
          <w:i/>
          <w:iCs/>
          <w:sz w:val="20"/>
        </w:rPr>
        <w:t>89</w:t>
      </w:r>
      <w:r w:rsidR="00616049" w:rsidRPr="00340EAD">
        <w:rPr>
          <w:rFonts w:ascii="Arial" w:hAnsi="Arial" w:cs="Arial"/>
          <w:sz w:val="20"/>
        </w:rPr>
        <w:t>(6), 1017–1022. </w:t>
      </w:r>
      <w:hyperlink r:id="rId20" w:history="1">
        <w:r w:rsidR="00616049" w:rsidRPr="00340EAD">
          <w:rPr>
            <w:rStyle w:val="Hyperlink"/>
            <w:rFonts w:ascii="Arial" w:hAnsi="Arial" w:cs="Arial"/>
            <w:sz w:val="20"/>
          </w:rPr>
          <w:t>https://doi.org/10.56093/ijas.v89i6.90826</w:t>
        </w:r>
      </w:hyperlink>
    </w:p>
    <w:p w14:paraId="7CFAF817"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Kumar, S., Subash, N., Shivani, S., Singh, S. S., &amp; Dey, A. (2012). Evaluation of different components under integrated farming system (IFS) for small and marginal farmers under semi-humid climatic environment erratum. </w:t>
      </w:r>
      <w:r w:rsidRPr="00340EAD">
        <w:rPr>
          <w:rFonts w:ascii="Arial" w:hAnsi="Arial" w:cs="Arial"/>
          <w:i/>
          <w:iCs/>
          <w:sz w:val="20"/>
        </w:rPr>
        <w:t>Experimental Agriculture</w:t>
      </w:r>
      <w:r w:rsidRPr="00340EAD">
        <w:rPr>
          <w:rFonts w:ascii="Arial" w:hAnsi="Arial" w:cs="Arial"/>
          <w:sz w:val="20"/>
        </w:rPr>
        <w:t xml:space="preserve">, </w:t>
      </w:r>
      <w:r w:rsidRPr="00340EAD">
        <w:rPr>
          <w:rFonts w:ascii="Arial" w:hAnsi="Arial" w:cs="Arial"/>
          <w:i/>
          <w:iCs/>
          <w:sz w:val="20"/>
        </w:rPr>
        <w:t>48</w:t>
      </w:r>
      <w:r w:rsidRPr="00340EAD">
        <w:rPr>
          <w:rFonts w:ascii="Arial" w:hAnsi="Arial" w:cs="Arial"/>
          <w:sz w:val="20"/>
        </w:rPr>
        <w:t xml:space="preserve">, 471–471. </w:t>
      </w:r>
      <w:hyperlink r:id="rId21" w:tgtFrame="_blank" w:history="1">
        <w:r w:rsidRPr="00340EAD">
          <w:rPr>
            <w:rStyle w:val="Hyperlink"/>
            <w:rFonts w:ascii="Arial" w:hAnsi="Arial" w:cs="Arial"/>
            <w:sz w:val="20"/>
          </w:rPr>
          <w:t>https://doi.org/10.1017/s0014479712000154</w:t>
        </w:r>
      </w:hyperlink>
    </w:p>
    <w:p w14:paraId="430C871C"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Lampkin, N. (1990). </w:t>
      </w:r>
      <w:r w:rsidRPr="00340EAD">
        <w:rPr>
          <w:rFonts w:ascii="Arial" w:hAnsi="Arial" w:cs="Arial"/>
          <w:i/>
          <w:iCs/>
          <w:sz w:val="20"/>
          <w:lang w:val="en-IN"/>
        </w:rPr>
        <w:t>Organic farming</w:t>
      </w:r>
      <w:r w:rsidRPr="00340EAD">
        <w:rPr>
          <w:rFonts w:ascii="Arial" w:hAnsi="Arial" w:cs="Arial"/>
          <w:sz w:val="20"/>
          <w:lang w:val="en-IN"/>
        </w:rPr>
        <w:t>. Farming Press Books.</w:t>
      </w:r>
    </w:p>
    <w:p w14:paraId="52A827A5" w14:textId="3E49A918"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t>Layek</w:t>
      </w:r>
      <w:proofErr w:type="spellEnd"/>
      <w:r w:rsidRPr="00340EAD">
        <w:rPr>
          <w:rFonts w:ascii="Arial" w:hAnsi="Arial" w:cs="Arial"/>
          <w:sz w:val="20"/>
          <w:lang w:val="en-IN"/>
        </w:rPr>
        <w:t xml:space="preserve"> J, Das A, Ansari MA, Mishra VK, Rangappa K, Ravisankar N, Patra S, </w:t>
      </w:r>
      <w:proofErr w:type="spellStart"/>
      <w:r w:rsidRPr="00340EAD">
        <w:rPr>
          <w:rFonts w:ascii="Arial" w:hAnsi="Arial" w:cs="Arial"/>
          <w:sz w:val="20"/>
          <w:lang w:val="en-IN"/>
        </w:rPr>
        <w:t>Baiswar</w:t>
      </w:r>
      <w:proofErr w:type="spellEnd"/>
      <w:r w:rsidRPr="00340EAD">
        <w:rPr>
          <w:rFonts w:ascii="Arial" w:hAnsi="Arial" w:cs="Arial"/>
          <w:sz w:val="20"/>
          <w:lang w:val="en-IN"/>
        </w:rPr>
        <w:t xml:space="preserve"> P, Ramesh T, Hazarika S, Panwar AS, Devi S, Ansari MH and Paramanik B</w:t>
      </w:r>
      <w:r w:rsidR="00E74270" w:rsidRPr="00340EAD">
        <w:rPr>
          <w:rFonts w:ascii="Arial" w:hAnsi="Arial" w:cs="Arial"/>
          <w:sz w:val="20"/>
          <w:lang w:val="en-IN"/>
        </w:rPr>
        <w:t>.</w:t>
      </w:r>
      <w:r w:rsidRPr="00340EAD">
        <w:rPr>
          <w:rFonts w:ascii="Arial" w:hAnsi="Arial" w:cs="Arial"/>
          <w:sz w:val="20"/>
          <w:lang w:val="en-IN"/>
        </w:rPr>
        <w:t xml:space="preserve"> (2023)</w:t>
      </w:r>
      <w:r w:rsidR="00E74270" w:rsidRPr="00340EAD">
        <w:rPr>
          <w:rFonts w:ascii="Arial" w:hAnsi="Arial" w:cs="Arial"/>
          <w:sz w:val="20"/>
          <w:lang w:val="en-IN"/>
        </w:rPr>
        <w:t>.</w:t>
      </w:r>
      <w:r w:rsidRPr="00340EAD">
        <w:rPr>
          <w:rFonts w:ascii="Arial" w:hAnsi="Arial" w:cs="Arial"/>
          <w:sz w:val="20"/>
          <w:lang w:val="en-IN"/>
        </w:rPr>
        <w:t xml:space="preserve"> An integrated organic farming system: innovations for farm diversification, sustainability, and livelihood improvement of hill farmers. Front. Sustain. Food Syst. 7:1151113. </w:t>
      </w:r>
      <w:proofErr w:type="spellStart"/>
      <w:r w:rsidRPr="00340EAD">
        <w:rPr>
          <w:rFonts w:ascii="Arial" w:hAnsi="Arial" w:cs="Arial"/>
          <w:sz w:val="20"/>
          <w:lang w:val="en-IN"/>
        </w:rPr>
        <w:t>doi</w:t>
      </w:r>
      <w:proofErr w:type="spellEnd"/>
      <w:r w:rsidRPr="00340EAD">
        <w:rPr>
          <w:rFonts w:ascii="Arial" w:hAnsi="Arial" w:cs="Arial"/>
          <w:sz w:val="20"/>
          <w:lang w:val="en-IN"/>
        </w:rPr>
        <w:t>: 10.3389/fsufs.2023.1151113</w:t>
      </w:r>
    </w:p>
    <w:p w14:paraId="1805C30E"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lastRenderedPageBreak/>
        <w:t xml:space="preserve">Mandal, K. G., Saha, K. P., Ghosh, P. K., Hati, K. M., &amp; Bandyopadhyay, K. K. (2002). </w:t>
      </w:r>
      <w:r w:rsidRPr="00340EAD">
        <w:rPr>
          <w:rFonts w:ascii="Arial" w:hAnsi="Arial" w:cs="Arial"/>
          <w:i/>
          <w:iCs/>
          <w:sz w:val="20"/>
          <w:lang w:val="en-IN"/>
        </w:rPr>
        <w:t>Bioenergy and economic analysis of soybean-based crop production systems in central India</w:t>
      </w:r>
      <w:r w:rsidRPr="00340EAD">
        <w:rPr>
          <w:rFonts w:ascii="Arial" w:hAnsi="Arial" w:cs="Arial"/>
          <w:sz w:val="20"/>
          <w:lang w:val="en-IN"/>
        </w:rPr>
        <w:t>. Biomass and Bioenergy.</w:t>
      </w:r>
    </w:p>
    <w:p w14:paraId="3018A8F5"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Meshram, S., Mansor, H. B., &amp; Adhikari, T. B. (2026). Recent advances in organic agriculture: innovations, challenges, and opportunities. </w:t>
      </w:r>
      <w:r w:rsidRPr="00340EAD">
        <w:rPr>
          <w:rFonts w:ascii="Arial" w:hAnsi="Arial" w:cs="Arial"/>
          <w:i/>
          <w:iCs/>
          <w:sz w:val="20"/>
          <w:lang w:val="en-IN"/>
        </w:rPr>
        <w:t>Frontiers in Plant Science, 16</w:t>
      </w:r>
      <w:r w:rsidRPr="00340EAD">
        <w:rPr>
          <w:rFonts w:ascii="Arial" w:hAnsi="Arial" w:cs="Arial"/>
          <w:sz w:val="20"/>
          <w:lang w:val="en-IN"/>
        </w:rPr>
        <w:t xml:space="preserve">, 1681928. </w:t>
      </w:r>
      <w:hyperlink r:id="rId22" w:tgtFrame="_blank" w:history="1">
        <w:r w:rsidRPr="00340EAD">
          <w:rPr>
            <w:rStyle w:val="Hyperlink"/>
            <w:rFonts w:ascii="Arial" w:hAnsi="Arial" w:cs="Arial"/>
            <w:sz w:val="20"/>
            <w:lang w:val="en-IN"/>
          </w:rPr>
          <w:t>https://doi.org/10.3389/fpls.2025.1681928</w:t>
        </w:r>
      </w:hyperlink>
    </w:p>
    <w:p w14:paraId="3D1693AC" w14:textId="64F92BBD"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Mohite, D.D., Chavan, S.S., Jadhav, V.S. </w:t>
      </w:r>
      <w:r w:rsidRPr="00340EAD">
        <w:rPr>
          <w:rFonts w:ascii="Arial" w:hAnsi="Arial" w:cs="Arial"/>
          <w:i/>
          <w:iCs/>
          <w:sz w:val="20"/>
        </w:rPr>
        <w:t>et al.</w:t>
      </w:r>
      <w:r w:rsidR="00E74270" w:rsidRPr="00340EAD">
        <w:rPr>
          <w:rFonts w:ascii="Arial" w:hAnsi="Arial" w:cs="Arial"/>
          <w:i/>
          <w:iCs/>
          <w:sz w:val="20"/>
        </w:rPr>
        <w:t xml:space="preserve"> </w:t>
      </w:r>
      <w:r w:rsidR="00E74270" w:rsidRPr="00340EAD">
        <w:rPr>
          <w:rFonts w:ascii="Arial" w:hAnsi="Arial" w:cs="Arial"/>
          <w:sz w:val="20"/>
        </w:rPr>
        <w:t>(2024).</w:t>
      </w:r>
      <w:r w:rsidRPr="00340EAD">
        <w:rPr>
          <w:rFonts w:ascii="Arial" w:hAnsi="Arial" w:cs="Arial"/>
          <w:sz w:val="20"/>
        </w:rPr>
        <w:t> Vermicomposting: a holistic approach for sustainable crop production, nutrient-rich bio fertilizer, and environmental restoration. </w:t>
      </w:r>
      <w:proofErr w:type="spellStart"/>
      <w:r w:rsidRPr="00340EAD">
        <w:rPr>
          <w:rFonts w:ascii="Arial" w:hAnsi="Arial" w:cs="Arial"/>
          <w:i/>
          <w:iCs/>
          <w:sz w:val="20"/>
        </w:rPr>
        <w:t>Discov</w:t>
      </w:r>
      <w:proofErr w:type="spellEnd"/>
      <w:r w:rsidRPr="00340EAD">
        <w:rPr>
          <w:rFonts w:ascii="Arial" w:hAnsi="Arial" w:cs="Arial"/>
          <w:i/>
          <w:iCs/>
          <w:sz w:val="20"/>
        </w:rPr>
        <w:t xml:space="preserve"> Sustain</w:t>
      </w:r>
      <w:r w:rsidRPr="00340EAD">
        <w:rPr>
          <w:rFonts w:ascii="Arial" w:hAnsi="Arial" w:cs="Arial"/>
          <w:sz w:val="20"/>
        </w:rPr>
        <w:t> </w:t>
      </w:r>
      <w:r w:rsidRPr="00340EAD">
        <w:rPr>
          <w:rFonts w:ascii="Arial" w:hAnsi="Arial" w:cs="Arial"/>
          <w:b/>
          <w:bCs/>
          <w:sz w:val="20"/>
        </w:rPr>
        <w:t>5</w:t>
      </w:r>
      <w:r w:rsidRPr="00340EAD">
        <w:rPr>
          <w:rFonts w:ascii="Arial" w:hAnsi="Arial" w:cs="Arial"/>
          <w:sz w:val="20"/>
        </w:rPr>
        <w:t>, 60</w:t>
      </w:r>
      <w:r w:rsidR="00E74270" w:rsidRPr="00340EAD">
        <w:rPr>
          <w:rFonts w:ascii="Arial" w:hAnsi="Arial" w:cs="Arial"/>
          <w:sz w:val="20"/>
        </w:rPr>
        <w:t xml:space="preserve">. </w:t>
      </w:r>
      <w:hyperlink r:id="rId23" w:history="1">
        <w:r w:rsidRPr="00340EAD">
          <w:rPr>
            <w:rStyle w:val="Hyperlink"/>
            <w:rFonts w:ascii="Arial" w:hAnsi="Arial" w:cs="Arial"/>
            <w:sz w:val="20"/>
          </w:rPr>
          <w:t>https://doi.org/10.1007/s43621-024-00245-y</w:t>
        </w:r>
      </w:hyperlink>
    </w:p>
    <w:p w14:paraId="262C1111" w14:textId="6D1859A9" w:rsidR="00616049" w:rsidRPr="00340EAD" w:rsidRDefault="00616049" w:rsidP="00E6745E">
      <w:pPr>
        <w:spacing w:after="0" w:line="360" w:lineRule="auto"/>
        <w:ind w:left="720" w:hanging="720"/>
        <w:jc w:val="both"/>
        <w:rPr>
          <w:rFonts w:ascii="Arial" w:hAnsi="Arial" w:cs="Arial"/>
          <w:sz w:val="20"/>
        </w:rPr>
      </w:pPr>
      <w:proofErr w:type="spellStart"/>
      <w:r w:rsidRPr="00340EAD">
        <w:rPr>
          <w:rFonts w:ascii="Arial" w:hAnsi="Arial" w:cs="Arial"/>
          <w:sz w:val="20"/>
        </w:rPr>
        <w:t>Ozkan</w:t>
      </w:r>
      <w:proofErr w:type="spellEnd"/>
      <w:r w:rsidRPr="00340EAD">
        <w:rPr>
          <w:rFonts w:ascii="Arial" w:hAnsi="Arial" w:cs="Arial"/>
          <w:sz w:val="20"/>
        </w:rPr>
        <w:t xml:space="preserve"> B, </w:t>
      </w:r>
      <w:proofErr w:type="spellStart"/>
      <w:r w:rsidRPr="00340EAD">
        <w:rPr>
          <w:rFonts w:ascii="Arial" w:hAnsi="Arial" w:cs="Arial"/>
          <w:sz w:val="20"/>
        </w:rPr>
        <w:t>Akcaoz</w:t>
      </w:r>
      <w:proofErr w:type="spellEnd"/>
      <w:r w:rsidRPr="00340EAD">
        <w:rPr>
          <w:rFonts w:ascii="Arial" w:hAnsi="Arial" w:cs="Arial"/>
          <w:sz w:val="20"/>
        </w:rPr>
        <w:t xml:space="preserve"> H and Karadeniz F. </w:t>
      </w:r>
      <w:r w:rsidR="00E74270" w:rsidRPr="00340EAD">
        <w:rPr>
          <w:rFonts w:ascii="Arial" w:hAnsi="Arial" w:cs="Arial"/>
          <w:sz w:val="20"/>
        </w:rPr>
        <w:t>(</w:t>
      </w:r>
      <w:r w:rsidRPr="00340EAD">
        <w:rPr>
          <w:rFonts w:ascii="Arial" w:hAnsi="Arial" w:cs="Arial"/>
          <w:sz w:val="20"/>
        </w:rPr>
        <w:t>2004</w:t>
      </w:r>
      <w:r w:rsidR="00767B92">
        <w:rPr>
          <w:rFonts w:ascii="Arial" w:hAnsi="Arial" w:cs="Arial"/>
          <w:sz w:val="20"/>
        </w:rPr>
        <w:t>a</w:t>
      </w:r>
      <w:r w:rsidR="00E74270" w:rsidRPr="00340EAD">
        <w:rPr>
          <w:rFonts w:ascii="Arial" w:hAnsi="Arial" w:cs="Arial"/>
          <w:sz w:val="20"/>
        </w:rPr>
        <w:t>)</w:t>
      </w:r>
      <w:r w:rsidRPr="00340EAD">
        <w:rPr>
          <w:rFonts w:ascii="Arial" w:hAnsi="Arial" w:cs="Arial"/>
          <w:sz w:val="20"/>
        </w:rPr>
        <w:t xml:space="preserve">. Energy requirement and economic analysis of citrus production in Turkey. Energy Conversion and Management 45: 1821–30. </w:t>
      </w:r>
    </w:p>
    <w:p w14:paraId="03977C04" w14:textId="5A349DA8" w:rsidR="00616049" w:rsidRPr="00340EAD" w:rsidRDefault="00616049" w:rsidP="00E6745E">
      <w:pPr>
        <w:spacing w:after="0" w:line="360" w:lineRule="auto"/>
        <w:ind w:left="720" w:hanging="720"/>
        <w:jc w:val="both"/>
        <w:rPr>
          <w:rFonts w:ascii="Arial" w:hAnsi="Arial" w:cs="Arial"/>
          <w:sz w:val="20"/>
        </w:rPr>
      </w:pPr>
      <w:proofErr w:type="spellStart"/>
      <w:r w:rsidRPr="00340EAD">
        <w:rPr>
          <w:rFonts w:ascii="Arial" w:hAnsi="Arial" w:cs="Arial"/>
          <w:sz w:val="20"/>
        </w:rPr>
        <w:t>Ozkan</w:t>
      </w:r>
      <w:proofErr w:type="spellEnd"/>
      <w:r w:rsidRPr="00340EAD">
        <w:rPr>
          <w:rFonts w:ascii="Arial" w:hAnsi="Arial" w:cs="Arial"/>
          <w:sz w:val="20"/>
        </w:rPr>
        <w:t xml:space="preserve"> B, </w:t>
      </w:r>
      <w:proofErr w:type="spellStart"/>
      <w:r w:rsidRPr="00340EAD">
        <w:rPr>
          <w:rFonts w:ascii="Arial" w:hAnsi="Arial" w:cs="Arial"/>
          <w:sz w:val="20"/>
        </w:rPr>
        <w:t>Kurklu</w:t>
      </w:r>
      <w:proofErr w:type="spellEnd"/>
      <w:r w:rsidRPr="00340EAD">
        <w:rPr>
          <w:rFonts w:ascii="Arial" w:hAnsi="Arial" w:cs="Arial"/>
          <w:sz w:val="20"/>
        </w:rPr>
        <w:t xml:space="preserve"> A and </w:t>
      </w:r>
      <w:proofErr w:type="spellStart"/>
      <w:r w:rsidRPr="00340EAD">
        <w:rPr>
          <w:rFonts w:ascii="Arial" w:hAnsi="Arial" w:cs="Arial"/>
          <w:sz w:val="20"/>
        </w:rPr>
        <w:t>Akcaoz</w:t>
      </w:r>
      <w:proofErr w:type="spellEnd"/>
      <w:r w:rsidRPr="00340EAD">
        <w:rPr>
          <w:rFonts w:ascii="Arial" w:hAnsi="Arial" w:cs="Arial"/>
          <w:sz w:val="20"/>
        </w:rPr>
        <w:t xml:space="preserve"> H. </w:t>
      </w:r>
      <w:r w:rsidR="00E74270" w:rsidRPr="00340EAD">
        <w:rPr>
          <w:rFonts w:ascii="Arial" w:hAnsi="Arial" w:cs="Arial"/>
          <w:sz w:val="20"/>
        </w:rPr>
        <w:t>(</w:t>
      </w:r>
      <w:r w:rsidRPr="00340EAD">
        <w:rPr>
          <w:rFonts w:ascii="Arial" w:hAnsi="Arial" w:cs="Arial"/>
          <w:sz w:val="20"/>
        </w:rPr>
        <w:t>2004</w:t>
      </w:r>
      <w:r w:rsidR="00767B92">
        <w:rPr>
          <w:rFonts w:ascii="Arial" w:hAnsi="Arial" w:cs="Arial"/>
          <w:sz w:val="20"/>
        </w:rPr>
        <w:t>b</w:t>
      </w:r>
      <w:r w:rsidR="00E74270" w:rsidRPr="00340EAD">
        <w:rPr>
          <w:rFonts w:ascii="Arial" w:hAnsi="Arial" w:cs="Arial"/>
          <w:sz w:val="20"/>
        </w:rPr>
        <w:t>)</w:t>
      </w:r>
      <w:r w:rsidRPr="00340EAD">
        <w:rPr>
          <w:rFonts w:ascii="Arial" w:hAnsi="Arial" w:cs="Arial"/>
          <w:sz w:val="20"/>
        </w:rPr>
        <w:t>. An input–output energy analysis in greenhouse vegetable production: a case study for Antalya region of Turkey. Biomass and Bioenergy 26: 89–95.</w:t>
      </w:r>
    </w:p>
    <w:p w14:paraId="657D59D3"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Paramesh, V., Chakurkar, E. B., Bhagat, T., Sreekanth, G. B., Kumar, H. B. C., Rajkumar, S., </w:t>
      </w:r>
      <w:proofErr w:type="spellStart"/>
      <w:r w:rsidRPr="00340EAD">
        <w:rPr>
          <w:rFonts w:ascii="Arial" w:hAnsi="Arial" w:cs="Arial"/>
          <w:sz w:val="20"/>
        </w:rPr>
        <w:t>Gokuldas</w:t>
      </w:r>
      <w:proofErr w:type="spellEnd"/>
      <w:r w:rsidRPr="00340EAD">
        <w:rPr>
          <w:rFonts w:ascii="Arial" w:hAnsi="Arial" w:cs="Arial"/>
          <w:sz w:val="20"/>
        </w:rPr>
        <w:t xml:space="preserve">, P. P., Mahajan, G. R., Manohara, K. K., &amp; Ravisankar, N. (2021). Impact of integrated farming system on residue recycling, nutrient budgeting and soil health. </w:t>
      </w:r>
      <w:r w:rsidRPr="00340EAD">
        <w:rPr>
          <w:rFonts w:ascii="Arial" w:hAnsi="Arial" w:cs="Arial"/>
          <w:i/>
          <w:iCs/>
          <w:sz w:val="20"/>
        </w:rPr>
        <w:t>The Indian Journal of Agricultural Sciences</w:t>
      </w:r>
      <w:r w:rsidRPr="00340EAD">
        <w:rPr>
          <w:rFonts w:ascii="Arial" w:hAnsi="Arial" w:cs="Arial"/>
          <w:sz w:val="20"/>
        </w:rPr>
        <w:t xml:space="preserve">, </w:t>
      </w:r>
      <w:r w:rsidRPr="00340EAD">
        <w:rPr>
          <w:rFonts w:ascii="Arial" w:hAnsi="Arial" w:cs="Arial"/>
          <w:i/>
          <w:iCs/>
          <w:sz w:val="20"/>
        </w:rPr>
        <w:t>91</w:t>
      </w:r>
      <w:r w:rsidRPr="00340EAD">
        <w:rPr>
          <w:rFonts w:ascii="Arial" w:hAnsi="Arial" w:cs="Arial"/>
          <w:sz w:val="20"/>
        </w:rPr>
        <w:t xml:space="preserve">(1). </w:t>
      </w:r>
      <w:hyperlink r:id="rId24" w:tgtFrame="_blank" w:history="1">
        <w:r w:rsidRPr="00340EAD">
          <w:rPr>
            <w:rStyle w:val="Hyperlink"/>
            <w:rFonts w:ascii="Arial" w:hAnsi="Arial" w:cs="Arial"/>
            <w:sz w:val="20"/>
          </w:rPr>
          <w:t>https://doi.org/10.56093/ijas.v91i1.110923</w:t>
        </w:r>
      </w:hyperlink>
    </w:p>
    <w:p w14:paraId="14EBF295"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Pimentel, D., &amp; Pimentel, M. H. (2008). </w:t>
      </w:r>
      <w:r w:rsidRPr="00340EAD">
        <w:rPr>
          <w:rFonts w:ascii="Arial" w:hAnsi="Arial" w:cs="Arial"/>
          <w:i/>
          <w:iCs/>
          <w:sz w:val="20"/>
          <w:lang w:val="en-IN"/>
        </w:rPr>
        <w:t>Food, energy, and society</w:t>
      </w:r>
      <w:r w:rsidRPr="00340EAD">
        <w:rPr>
          <w:rFonts w:ascii="Arial" w:hAnsi="Arial" w:cs="Arial"/>
          <w:sz w:val="20"/>
          <w:lang w:val="en-IN"/>
        </w:rPr>
        <w:t xml:space="preserve"> (3rd ed.). CRC Press.</w:t>
      </w:r>
    </w:p>
    <w:p w14:paraId="3AC60C6E"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Ramana, M. V., Kumari, C. P., </w:t>
      </w:r>
      <w:proofErr w:type="spellStart"/>
      <w:r w:rsidRPr="00340EAD">
        <w:rPr>
          <w:rFonts w:ascii="Arial" w:hAnsi="Arial" w:cs="Arial"/>
          <w:sz w:val="20"/>
        </w:rPr>
        <w:t>Goverdhan</w:t>
      </w:r>
      <w:proofErr w:type="spellEnd"/>
      <w:r w:rsidRPr="00340EAD">
        <w:rPr>
          <w:rFonts w:ascii="Arial" w:hAnsi="Arial" w:cs="Arial"/>
          <w:sz w:val="20"/>
        </w:rPr>
        <w:t xml:space="preserve">, M., Sridevi, S., Reddy, G. K., Suresh, K., Chandra, M. S., Karthik, R., Kumar, M. S., &amp; Shankar, N. R. (2024). Crop + horticulture + livestock IFS model for ensuring food and livelihood security with improving profitability, employment, and climate resilience: a </w:t>
      </w:r>
      <w:proofErr w:type="gramStart"/>
      <w:r w:rsidRPr="00340EAD">
        <w:rPr>
          <w:rFonts w:ascii="Arial" w:hAnsi="Arial" w:cs="Arial"/>
          <w:sz w:val="20"/>
        </w:rPr>
        <w:t>long term</w:t>
      </w:r>
      <w:proofErr w:type="gramEnd"/>
      <w:r w:rsidRPr="00340EAD">
        <w:rPr>
          <w:rFonts w:ascii="Arial" w:hAnsi="Arial" w:cs="Arial"/>
          <w:sz w:val="20"/>
        </w:rPr>
        <w:t xml:space="preserve"> study in Telangana, India. </w:t>
      </w:r>
      <w:r w:rsidRPr="00340EAD">
        <w:rPr>
          <w:rFonts w:ascii="Arial" w:hAnsi="Arial" w:cs="Arial"/>
          <w:i/>
          <w:iCs/>
          <w:sz w:val="20"/>
        </w:rPr>
        <w:t>Environment, Development and Sustainability</w:t>
      </w:r>
      <w:r w:rsidRPr="00340EAD">
        <w:rPr>
          <w:rFonts w:ascii="Arial" w:hAnsi="Arial" w:cs="Arial"/>
          <w:sz w:val="20"/>
        </w:rPr>
        <w:t xml:space="preserve">. </w:t>
      </w:r>
      <w:hyperlink r:id="rId25" w:tgtFrame="_blank" w:history="1">
        <w:r w:rsidRPr="00340EAD">
          <w:rPr>
            <w:rStyle w:val="Hyperlink"/>
            <w:rFonts w:ascii="Arial" w:hAnsi="Arial" w:cs="Arial"/>
            <w:sz w:val="20"/>
          </w:rPr>
          <w:t>https://doi.org/10.1007/s10668-024-04906-w</w:t>
        </w:r>
      </w:hyperlink>
    </w:p>
    <w:p w14:paraId="5AD7AAAE"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lang w:val="en-IN"/>
        </w:rPr>
        <w:t>Reganold</w:t>
      </w:r>
      <w:proofErr w:type="spellEnd"/>
      <w:r w:rsidRPr="00340EAD">
        <w:rPr>
          <w:rFonts w:ascii="Arial" w:hAnsi="Arial" w:cs="Arial"/>
          <w:sz w:val="20"/>
          <w:lang w:val="en-IN"/>
        </w:rPr>
        <w:t xml:space="preserve">, J. P., &amp; Wachter, J. M. (2016). Organic agriculture in the twenty-first century. </w:t>
      </w:r>
      <w:r w:rsidRPr="00340EAD">
        <w:rPr>
          <w:rFonts w:ascii="Arial" w:hAnsi="Arial" w:cs="Arial"/>
          <w:i/>
          <w:iCs/>
          <w:sz w:val="20"/>
          <w:lang w:val="en-IN"/>
        </w:rPr>
        <w:t>Nature Plants, 2</w:t>
      </w:r>
      <w:r w:rsidRPr="00340EAD">
        <w:rPr>
          <w:rFonts w:ascii="Arial" w:hAnsi="Arial" w:cs="Arial"/>
          <w:sz w:val="20"/>
          <w:lang w:val="en-IN"/>
        </w:rPr>
        <w:t xml:space="preserve">(2), 1-8. </w:t>
      </w:r>
      <w:hyperlink r:id="rId26" w:tgtFrame="_blank" w:history="1">
        <w:r w:rsidRPr="00340EAD">
          <w:rPr>
            <w:rStyle w:val="Hyperlink"/>
            <w:rFonts w:ascii="Arial" w:hAnsi="Arial" w:cs="Arial"/>
            <w:sz w:val="20"/>
            <w:lang w:val="en-IN"/>
          </w:rPr>
          <w:t>https://doi.org/10.1038/nplants.2015.221</w:t>
        </w:r>
      </w:hyperlink>
    </w:p>
    <w:p w14:paraId="1EBBC36F"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Regar, J. K., Misra, A. K., Sahoo, J., Thakur, R., Kumar, R. A., et al. (2025). Energy Budgeting of Dairy based Integrated Farming System under Indian Scenario. </w:t>
      </w:r>
      <w:r w:rsidRPr="00340EAD">
        <w:rPr>
          <w:rFonts w:ascii="Arial" w:hAnsi="Arial" w:cs="Arial"/>
          <w:i/>
          <w:iCs/>
          <w:sz w:val="20"/>
          <w:lang w:val="en-IN"/>
        </w:rPr>
        <w:t>Journal of Veterinary Medicine and Research, 12</w:t>
      </w:r>
      <w:r w:rsidRPr="00340EAD">
        <w:rPr>
          <w:rFonts w:ascii="Arial" w:hAnsi="Arial" w:cs="Arial"/>
          <w:sz w:val="20"/>
          <w:lang w:val="en-IN"/>
        </w:rPr>
        <w:t>(2), 1281.</w:t>
      </w:r>
    </w:p>
    <w:p w14:paraId="24453438" w14:textId="77777777" w:rsidR="00616049" w:rsidRPr="00340EAD" w:rsidRDefault="00616049" w:rsidP="00E6745E">
      <w:pPr>
        <w:spacing w:after="0" w:line="360" w:lineRule="auto"/>
        <w:ind w:left="720" w:hanging="720"/>
        <w:jc w:val="both"/>
        <w:rPr>
          <w:rFonts w:ascii="Arial" w:hAnsi="Arial" w:cs="Arial"/>
          <w:sz w:val="20"/>
          <w:lang w:val="en-IN"/>
        </w:rPr>
      </w:pPr>
      <w:proofErr w:type="spellStart"/>
      <w:r w:rsidRPr="00340EAD">
        <w:rPr>
          <w:rFonts w:ascii="Arial" w:hAnsi="Arial" w:cs="Arial"/>
          <w:sz w:val="20"/>
        </w:rPr>
        <w:t>Sammauria</w:t>
      </w:r>
      <w:proofErr w:type="spellEnd"/>
      <w:r w:rsidRPr="00340EAD">
        <w:rPr>
          <w:rFonts w:ascii="Arial" w:hAnsi="Arial" w:cs="Arial"/>
          <w:sz w:val="20"/>
        </w:rPr>
        <w:t xml:space="preserve">, R., Singh, H., Yadav, M. R., Singh, P., Meena, O. P., Gupta, K. C., &amp; Kumar, R. (2025). Assessment of environmental impact, energetics and productivity of small-farm integrated farming system model under irrigated situation of semi-arid ecosystem of India. </w:t>
      </w:r>
      <w:r w:rsidRPr="00340EAD">
        <w:rPr>
          <w:rFonts w:ascii="Arial" w:hAnsi="Arial" w:cs="Arial"/>
          <w:i/>
          <w:iCs/>
          <w:sz w:val="20"/>
        </w:rPr>
        <w:t>Indian Journal of Agricultural Sciences</w:t>
      </w:r>
      <w:r w:rsidRPr="00340EAD">
        <w:rPr>
          <w:rFonts w:ascii="Arial" w:hAnsi="Arial" w:cs="Arial"/>
          <w:sz w:val="20"/>
        </w:rPr>
        <w:t xml:space="preserve">, </w:t>
      </w:r>
      <w:r w:rsidRPr="00340EAD">
        <w:rPr>
          <w:rFonts w:ascii="Arial" w:hAnsi="Arial" w:cs="Arial"/>
          <w:i/>
          <w:iCs/>
          <w:sz w:val="20"/>
        </w:rPr>
        <w:t>95</w:t>
      </w:r>
      <w:r w:rsidRPr="00340EAD">
        <w:rPr>
          <w:rFonts w:ascii="Arial" w:hAnsi="Arial" w:cs="Arial"/>
          <w:sz w:val="20"/>
        </w:rPr>
        <w:t xml:space="preserve">(3), 255–259. </w:t>
      </w:r>
      <w:hyperlink r:id="rId27" w:tgtFrame="_blank" w:history="1">
        <w:r w:rsidRPr="00340EAD">
          <w:rPr>
            <w:rStyle w:val="Hyperlink"/>
            <w:rFonts w:ascii="Arial" w:hAnsi="Arial" w:cs="Arial"/>
            <w:sz w:val="20"/>
          </w:rPr>
          <w:t>https://doi.org/10.56093/ijas.v95i3.163177</w:t>
        </w:r>
      </w:hyperlink>
    </w:p>
    <w:p w14:paraId="0DF11958" w14:textId="729A6CD3"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rPr>
        <w:t xml:space="preserve">Singh S and Mittal J P. </w:t>
      </w:r>
      <w:r w:rsidR="00E74270" w:rsidRPr="00340EAD">
        <w:rPr>
          <w:rFonts w:ascii="Arial" w:hAnsi="Arial" w:cs="Arial"/>
          <w:sz w:val="20"/>
        </w:rPr>
        <w:t>(</w:t>
      </w:r>
      <w:r w:rsidRPr="00340EAD">
        <w:rPr>
          <w:rFonts w:ascii="Arial" w:hAnsi="Arial" w:cs="Arial"/>
          <w:sz w:val="20"/>
        </w:rPr>
        <w:t>1992</w:t>
      </w:r>
      <w:r w:rsidR="00E74270" w:rsidRPr="00340EAD">
        <w:rPr>
          <w:rFonts w:ascii="Arial" w:hAnsi="Arial" w:cs="Arial"/>
          <w:sz w:val="20"/>
        </w:rPr>
        <w:t>)</w:t>
      </w:r>
      <w:r w:rsidRPr="00340EAD">
        <w:rPr>
          <w:rFonts w:ascii="Arial" w:hAnsi="Arial" w:cs="Arial"/>
          <w:sz w:val="20"/>
        </w:rPr>
        <w:t>. Energy in Production Agriculture, pp 6–12. Mittal Publications, New Delhi, India.</w:t>
      </w:r>
    </w:p>
    <w:p w14:paraId="75660601"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Singh, H., Mishra, D., &amp; Nahar, N. M. (2002). Energy use pattern in production agriculture of a typical village in arid zone, India—part I. </w:t>
      </w:r>
      <w:r w:rsidRPr="00340EAD">
        <w:rPr>
          <w:rFonts w:ascii="Arial" w:hAnsi="Arial" w:cs="Arial"/>
          <w:i/>
          <w:iCs/>
          <w:sz w:val="20"/>
          <w:lang w:val="en-IN"/>
        </w:rPr>
        <w:t>Energy Conversion and Management, 43</w:t>
      </w:r>
      <w:r w:rsidRPr="00340EAD">
        <w:rPr>
          <w:rFonts w:ascii="Arial" w:hAnsi="Arial" w:cs="Arial"/>
          <w:sz w:val="20"/>
          <w:lang w:val="en-IN"/>
        </w:rPr>
        <w:t>(16), 2275-2286.</w:t>
      </w:r>
    </w:p>
    <w:p w14:paraId="660147AD"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Singh, S. and Mittal, J.P. (1992) Energy in Production Agriculture. Mittal Publications, New Delhi.</w:t>
      </w:r>
    </w:p>
    <w:p w14:paraId="3E31BA66"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Smith, L. G., Williams, A. G., &amp; Pearce, B. D. (2014). The energy efficiency of organic agriculture: A review. </w:t>
      </w:r>
      <w:r w:rsidRPr="00340EAD">
        <w:rPr>
          <w:rFonts w:ascii="Arial" w:hAnsi="Arial" w:cs="Arial"/>
          <w:i/>
          <w:iCs/>
          <w:sz w:val="20"/>
          <w:lang w:val="en-IN"/>
        </w:rPr>
        <w:t>Renewable Agriculture and Food Systems</w:t>
      </w:r>
      <w:r w:rsidRPr="00340EAD">
        <w:rPr>
          <w:rFonts w:ascii="Arial" w:hAnsi="Arial" w:cs="Arial"/>
          <w:sz w:val="20"/>
          <w:lang w:val="en-IN"/>
        </w:rPr>
        <w:t xml:space="preserve">, </w:t>
      </w:r>
      <w:r w:rsidRPr="00340EAD">
        <w:rPr>
          <w:rFonts w:ascii="Arial" w:hAnsi="Arial" w:cs="Arial"/>
          <w:i/>
          <w:iCs/>
          <w:sz w:val="20"/>
          <w:lang w:val="en-IN"/>
        </w:rPr>
        <w:t>30</w:t>
      </w:r>
      <w:r w:rsidRPr="00340EAD">
        <w:rPr>
          <w:rFonts w:ascii="Arial" w:hAnsi="Arial" w:cs="Arial"/>
          <w:sz w:val="20"/>
          <w:lang w:val="en-IN"/>
        </w:rPr>
        <w:t xml:space="preserve">, 280–301. </w:t>
      </w:r>
      <w:hyperlink r:id="rId28" w:tgtFrame="_blank" w:history="1">
        <w:r w:rsidRPr="00340EAD">
          <w:rPr>
            <w:rStyle w:val="Hyperlink"/>
            <w:rFonts w:ascii="Arial" w:hAnsi="Arial" w:cs="Arial"/>
            <w:sz w:val="20"/>
            <w:lang w:val="en-IN"/>
          </w:rPr>
          <w:t>https://doi.org/10.1017/s1742170513000471</w:t>
        </w:r>
      </w:hyperlink>
      <w:r w:rsidRPr="00340EAD">
        <w:rPr>
          <w:rFonts w:ascii="Arial" w:hAnsi="Arial" w:cs="Arial"/>
          <w:sz w:val="20"/>
          <w:lang w:val="en-IN"/>
        </w:rPr>
        <w:t xml:space="preserve"> Cited by: 208</w:t>
      </w:r>
    </w:p>
    <w:p w14:paraId="14C8B173" w14:textId="77777777"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lastRenderedPageBreak/>
        <w:t xml:space="preserve">Soni, P., </w:t>
      </w:r>
      <w:proofErr w:type="spellStart"/>
      <w:r w:rsidRPr="00340EAD">
        <w:rPr>
          <w:rFonts w:ascii="Arial" w:hAnsi="Arial" w:cs="Arial"/>
          <w:sz w:val="20"/>
        </w:rPr>
        <w:t>Taewichit</w:t>
      </w:r>
      <w:proofErr w:type="spellEnd"/>
      <w:r w:rsidRPr="00340EAD">
        <w:rPr>
          <w:rFonts w:ascii="Arial" w:hAnsi="Arial" w:cs="Arial"/>
          <w:sz w:val="20"/>
        </w:rPr>
        <w:t xml:space="preserve">, C., &amp; </w:t>
      </w:r>
      <w:proofErr w:type="spellStart"/>
      <w:r w:rsidRPr="00340EAD">
        <w:rPr>
          <w:rFonts w:ascii="Arial" w:hAnsi="Arial" w:cs="Arial"/>
          <w:sz w:val="20"/>
        </w:rPr>
        <w:t>Salokhe</w:t>
      </w:r>
      <w:proofErr w:type="spellEnd"/>
      <w:r w:rsidRPr="00340EAD">
        <w:rPr>
          <w:rFonts w:ascii="Arial" w:hAnsi="Arial" w:cs="Arial"/>
          <w:sz w:val="20"/>
        </w:rPr>
        <w:t xml:space="preserve">, V. M. (2013). Energy consumption and CO2 emissions in rainfed agricultural production systems of Northeast Thailand. </w:t>
      </w:r>
      <w:r w:rsidRPr="00340EAD">
        <w:rPr>
          <w:rFonts w:ascii="Arial" w:hAnsi="Arial" w:cs="Arial"/>
          <w:i/>
          <w:iCs/>
          <w:sz w:val="20"/>
        </w:rPr>
        <w:t>Agricultural Systems</w:t>
      </w:r>
      <w:r w:rsidRPr="00340EAD">
        <w:rPr>
          <w:rFonts w:ascii="Arial" w:hAnsi="Arial" w:cs="Arial"/>
          <w:sz w:val="20"/>
        </w:rPr>
        <w:t xml:space="preserve">, 116, 25-36. </w:t>
      </w:r>
      <w:hyperlink r:id="rId29" w:tgtFrame="_blank" w:history="1">
        <w:r w:rsidRPr="00340EAD">
          <w:rPr>
            <w:rStyle w:val="Hyperlink"/>
            <w:rFonts w:ascii="Arial" w:hAnsi="Arial" w:cs="Arial"/>
            <w:sz w:val="20"/>
          </w:rPr>
          <w:t>https://doi.org/10.1016/j.agsy.2012.12.006</w:t>
        </w:r>
      </w:hyperlink>
    </w:p>
    <w:p w14:paraId="724C4CCF" w14:textId="26654843"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 xml:space="preserve">Tuti M D, Vedprakash B M, Pandey R, Bhattacharyya D, Mahanta J K, Bisht M K, Mina B L, Kumar N, Bhatt J C and </w:t>
      </w:r>
      <w:proofErr w:type="spellStart"/>
      <w:r w:rsidRPr="00340EAD">
        <w:rPr>
          <w:rFonts w:ascii="Arial" w:hAnsi="Arial" w:cs="Arial"/>
          <w:sz w:val="20"/>
        </w:rPr>
        <w:t>Srivastva</w:t>
      </w:r>
      <w:proofErr w:type="spellEnd"/>
      <w:r w:rsidRPr="00340EAD">
        <w:rPr>
          <w:rFonts w:ascii="Arial" w:hAnsi="Arial" w:cs="Arial"/>
          <w:sz w:val="20"/>
        </w:rPr>
        <w:t xml:space="preserve"> </w:t>
      </w:r>
      <w:proofErr w:type="gramStart"/>
      <w:r w:rsidRPr="00340EAD">
        <w:rPr>
          <w:rFonts w:ascii="Arial" w:hAnsi="Arial" w:cs="Arial"/>
          <w:sz w:val="20"/>
        </w:rPr>
        <w:t>A</w:t>
      </w:r>
      <w:proofErr w:type="gramEnd"/>
      <w:r w:rsidRPr="00340EAD">
        <w:rPr>
          <w:rFonts w:ascii="Arial" w:hAnsi="Arial" w:cs="Arial"/>
          <w:sz w:val="20"/>
        </w:rPr>
        <w:t xml:space="preserve"> K. </w:t>
      </w:r>
      <w:r w:rsidR="00E74270" w:rsidRPr="00340EAD">
        <w:rPr>
          <w:rFonts w:ascii="Arial" w:hAnsi="Arial" w:cs="Arial"/>
          <w:sz w:val="20"/>
        </w:rPr>
        <w:t>(</w:t>
      </w:r>
      <w:r w:rsidRPr="00340EAD">
        <w:rPr>
          <w:rFonts w:ascii="Arial" w:hAnsi="Arial" w:cs="Arial"/>
          <w:sz w:val="20"/>
        </w:rPr>
        <w:t>2012</w:t>
      </w:r>
      <w:r w:rsidR="00E74270" w:rsidRPr="00340EAD">
        <w:rPr>
          <w:rFonts w:ascii="Arial" w:hAnsi="Arial" w:cs="Arial"/>
          <w:sz w:val="20"/>
        </w:rPr>
        <w:t>)</w:t>
      </w:r>
      <w:r w:rsidRPr="00340EAD">
        <w:rPr>
          <w:rFonts w:ascii="Arial" w:hAnsi="Arial" w:cs="Arial"/>
          <w:sz w:val="20"/>
        </w:rPr>
        <w:t xml:space="preserve">. Energy budgeting of </w:t>
      </w:r>
      <w:proofErr w:type="spellStart"/>
      <w:r w:rsidRPr="00340EAD">
        <w:rPr>
          <w:rFonts w:ascii="Arial" w:hAnsi="Arial" w:cs="Arial"/>
          <w:sz w:val="20"/>
        </w:rPr>
        <w:t>colocasia</w:t>
      </w:r>
      <w:proofErr w:type="spellEnd"/>
      <w:r w:rsidRPr="00340EAD">
        <w:rPr>
          <w:rFonts w:ascii="Arial" w:hAnsi="Arial" w:cs="Arial"/>
          <w:sz w:val="20"/>
        </w:rPr>
        <w:t>-based cropping systems in the Indian sub-Himalayas. Energy 45: 986–93.</w:t>
      </w:r>
    </w:p>
    <w:p w14:paraId="742B9EB4" w14:textId="5904C92B" w:rsidR="00616049" w:rsidRPr="00340EAD" w:rsidRDefault="00616049" w:rsidP="00E6745E">
      <w:pPr>
        <w:spacing w:after="0" w:line="360" w:lineRule="auto"/>
        <w:ind w:left="720" w:hanging="720"/>
        <w:jc w:val="both"/>
        <w:rPr>
          <w:rFonts w:ascii="Arial" w:hAnsi="Arial" w:cs="Arial"/>
          <w:sz w:val="20"/>
        </w:rPr>
      </w:pPr>
      <w:r w:rsidRPr="00340EAD">
        <w:rPr>
          <w:rFonts w:ascii="Arial" w:hAnsi="Arial" w:cs="Arial"/>
          <w:sz w:val="20"/>
        </w:rPr>
        <w:t>United Nations</w:t>
      </w:r>
      <w:r w:rsidR="00E74270" w:rsidRPr="00340EAD">
        <w:rPr>
          <w:rFonts w:ascii="Arial" w:hAnsi="Arial" w:cs="Arial"/>
          <w:sz w:val="20"/>
        </w:rPr>
        <w:t>.</w:t>
      </w:r>
      <w:r w:rsidRPr="00340EAD">
        <w:rPr>
          <w:rFonts w:ascii="Arial" w:hAnsi="Arial" w:cs="Arial"/>
          <w:sz w:val="20"/>
        </w:rPr>
        <w:t xml:space="preserve"> The 17 Goals. Available online: </w:t>
      </w:r>
      <w:hyperlink r:id="rId30" w:tgtFrame="_blank" w:history="1">
        <w:r w:rsidRPr="00340EAD">
          <w:rPr>
            <w:rStyle w:val="Hyperlink"/>
            <w:rFonts w:ascii="Arial" w:hAnsi="Arial" w:cs="Arial"/>
            <w:sz w:val="20"/>
          </w:rPr>
          <w:t>https://sdgs.un.org/goals</w:t>
        </w:r>
      </w:hyperlink>
      <w:r w:rsidRPr="00340EAD">
        <w:rPr>
          <w:rFonts w:ascii="Arial" w:hAnsi="Arial" w:cs="Arial"/>
          <w:sz w:val="20"/>
        </w:rPr>
        <w:t xml:space="preserve"> (accessed on 27 April, 2026).</w:t>
      </w:r>
    </w:p>
    <w:p w14:paraId="487442D2" w14:textId="77777777" w:rsidR="00616049" w:rsidRPr="00340EAD" w:rsidRDefault="00616049" w:rsidP="00E6745E">
      <w:pPr>
        <w:spacing w:after="0" w:line="360" w:lineRule="auto"/>
        <w:ind w:left="720" w:hanging="720"/>
        <w:jc w:val="both"/>
        <w:rPr>
          <w:rFonts w:ascii="Arial" w:hAnsi="Arial" w:cs="Arial"/>
          <w:sz w:val="20"/>
          <w:lang w:val="en-IN"/>
        </w:rPr>
      </w:pPr>
      <w:r w:rsidRPr="00340EAD">
        <w:rPr>
          <w:rFonts w:ascii="Arial" w:hAnsi="Arial" w:cs="Arial"/>
          <w:sz w:val="20"/>
          <w:lang w:val="en-IN"/>
        </w:rPr>
        <w:t xml:space="preserve">Wilkinson, J. M. (2011). Re-defining efficiency of feed use by livestock. </w:t>
      </w:r>
      <w:r w:rsidRPr="00340EAD">
        <w:rPr>
          <w:rFonts w:ascii="Arial" w:hAnsi="Arial" w:cs="Arial"/>
          <w:i/>
          <w:iCs/>
          <w:sz w:val="20"/>
          <w:lang w:val="en-IN"/>
        </w:rPr>
        <w:t>Animal</w:t>
      </w:r>
      <w:r w:rsidRPr="00340EAD">
        <w:rPr>
          <w:rFonts w:ascii="Arial" w:hAnsi="Arial" w:cs="Arial"/>
          <w:sz w:val="20"/>
          <w:lang w:val="en-IN"/>
        </w:rPr>
        <w:t xml:space="preserve">, </w:t>
      </w:r>
      <w:r w:rsidRPr="00340EAD">
        <w:rPr>
          <w:rFonts w:ascii="Arial" w:hAnsi="Arial" w:cs="Arial"/>
          <w:i/>
          <w:iCs/>
          <w:sz w:val="20"/>
          <w:lang w:val="en-IN"/>
        </w:rPr>
        <w:t>5</w:t>
      </w:r>
      <w:r w:rsidRPr="00340EAD">
        <w:rPr>
          <w:rFonts w:ascii="Arial" w:hAnsi="Arial" w:cs="Arial"/>
          <w:sz w:val="20"/>
          <w:lang w:val="en-IN"/>
        </w:rPr>
        <w:t xml:space="preserve">, 1014–1022. </w:t>
      </w:r>
      <w:hyperlink r:id="rId31" w:tgtFrame="_blank" w:history="1">
        <w:r w:rsidRPr="00340EAD">
          <w:rPr>
            <w:rStyle w:val="Hyperlink"/>
            <w:rFonts w:ascii="Arial" w:hAnsi="Arial" w:cs="Arial"/>
            <w:sz w:val="20"/>
            <w:lang w:val="en-IN"/>
          </w:rPr>
          <w:t>https://doi.org/10.1017/s175173111100005x</w:t>
        </w:r>
      </w:hyperlink>
    </w:p>
    <w:p w14:paraId="6164ECE8" w14:textId="77777777" w:rsidR="00913EF3" w:rsidRPr="00340EAD" w:rsidRDefault="00913EF3" w:rsidP="00E6745E">
      <w:pPr>
        <w:spacing w:after="0" w:line="360" w:lineRule="auto"/>
        <w:ind w:left="720" w:hanging="720"/>
        <w:jc w:val="both"/>
        <w:rPr>
          <w:rFonts w:ascii="Arial" w:hAnsi="Arial" w:cs="Arial"/>
          <w:sz w:val="20"/>
          <w:lang w:val="en-IN"/>
        </w:rPr>
      </w:pPr>
    </w:p>
    <w:p w14:paraId="62747DEE" w14:textId="77777777" w:rsidR="00B4521E" w:rsidRPr="00340EAD" w:rsidRDefault="00B4521E" w:rsidP="00E6745E">
      <w:pPr>
        <w:spacing w:after="0" w:line="360" w:lineRule="auto"/>
        <w:jc w:val="both"/>
        <w:rPr>
          <w:rFonts w:ascii="Arial" w:hAnsi="Arial" w:cs="Arial"/>
          <w:sz w:val="20"/>
        </w:rPr>
      </w:pPr>
    </w:p>
    <w:sectPr w:rsidR="00B4521E" w:rsidRPr="00340EAD">
      <w:headerReference w:type="even" r:id="rId32"/>
      <w:headerReference w:type="default" r:id="rId33"/>
      <w:head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9AD2" w14:textId="77777777" w:rsidR="007F0083" w:rsidRDefault="007F0083" w:rsidP="00F24071">
      <w:pPr>
        <w:spacing w:after="0" w:line="240" w:lineRule="auto"/>
      </w:pPr>
      <w:r>
        <w:separator/>
      </w:r>
    </w:p>
  </w:endnote>
  <w:endnote w:type="continuationSeparator" w:id="0">
    <w:p w14:paraId="61269CF6" w14:textId="77777777" w:rsidR="007F0083" w:rsidRDefault="007F0083" w:rsidP="00F2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8F2D" w14:textId="77777777" w:rsidR="00E40954" w:rsidRDefault="00E4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0A13" w14:textId="77777777" w:rsidR="00E40954" w:rsidRDefault="00E40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7276" w14:textId="77777777" w:rsidR="00E40954" w:rsidRDefault="00E40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F50F1" w14:textId="77777777" w:rsidR="007F0083" w:rsidRDefault="007F0083" w:rsidP="00F24071">
      <w:pPr>
        <w:spacing w:after="0" w:line="240" w:lineRule="auto"/>
      </w:pPr>
      <w:r>
        <w:separator/>
      </w:r>
    </w:p>
  </w:footnote>
  <w:footnote w:type="continuationSeparator" w:id="0">
    <w:p w14:paraId="3A90AE09" w14:textId="77777777" w:rsidR="007F0083" w:rsidRDefault="007F0083" w:rsidP="00F2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5A58" w14:textId="640E34D7" w:rsidR="00E40954" w:rsidRDefault="00E40954">
    <w:pPr>
      <w:pStyle w:val="Header"/>
    </w:pPr>
    <w:r>
      <w:rPr>
        <w:noProof/>
      </w:rPr>
      <w:pict w14:anchorId="72528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0E59" w14:textId="2FD40362" w:rsidR="00E40954" w:rsidRDefault="00E40954">
    <w:pPr>
      <w:pStyle w:val="Header"/>
    </w:pPr>
    <w:r>
      <w:rPr>
        <w:noProof/>
      </w:rPr>
      <w:pict w14:anchorId="031AA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DD63" w14:textId="72F64D73" w:rsidR="00E40954" w:rsidRDefault="00E40954">
    <w:pPr>
      <w:pStyle w:val="Header"/>
    </w:pPr>
    <w:r>
      <w:rPr>
        <w:noProof/>
      </w:rPr>
      <w:pict w14:anchorId="15E7A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6415" w14:textId="5B37D464" w:rsidR="00E40954" w:rsidRDefault="00E40954">
    <w:pPr>
      <w:pStyle w:val="Header"/>
    </w:pPr>
    <w:r>
      <w:rPr>
        <w:noProof/>
      </w:rPr>
      <w:pict w14:anchorId="3A61F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1066" w14:textId="06E7580C" w:rsidR="00F24071" w:rsidRDefault="00E40954">
    <w:pPr>
      <w:pStyle w:val="Header"/>
    </w:pPr>
    <w:r>
      <w:rPr>
        <w:noProof/>
      </w:rPr>
      <w:pict w14:anchorId="4D2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494E" w14:textId="617DFB98" w:rsidR="00E40954" w:rsidRDefault="00E40954">
    <w:pPr>
      <w:pStyle w:val="Header"/>
    </w:pPr>
    <w:r>
      <w:rPr>
        <w:noProof/>
      </w:rPr>
      <w:pict w14:anchorId="7D0FC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722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B66E8"/>
    <w:multiLevelType w:val="hybridMultilevel"/>
    <w:tmpl w:val="624441EE"/>
    <w:lvl w:ilvl="0" w:tplc="62E096B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8"/>
    <w:rsid w:val="00075E96"/>
    <w:rsid w:val="0012648E"/>
    <w:rsid w:val="001761B7"/>
    <w:rsid w:val="001E42C4"/>
    <w:rsid w:val="0025216F"/>
    <w:rsid w:val="00280B2D"/>
    <w:rsid w:val="00303FED"/>
    <w:rsid w:val="00340EAD"/>
    <w:rsid w:val="003436B1"/>
    <w:rsid w:val="003948AD"/>
    <w:rsid w:val="003C44A3"/>
    <w:rsid w:val="003D3FFC"/>
    <w:rsid w:val="00401F7A"/>
    <w:rsid w:val="00453D9F"/>
    <w:rsid w:val="004A5BEA"/>
    <w:rsid w:val="004C77CC"/>
    <w:rsid w:val="00501175"/>
    <w:rsid w:val="0052760E"/>
    <w:rsid w:val="00542A78"/>
    <w:rsid w:val="00543A7E"/>
    <w:rsid w:val="005A37A0"/>
    <w:rsid w:val="00616049"/>
    <w:rsid w:val="00767B92"/>
    <w:rsid w:val="0078721A"/>
    <w:rsid w:val="007A4919"/>
    <w:rsid w:val="007A54D5"/>
    <w:rsid w:val="007F0083"/>
    <w:rsid w:val="007F1F36"/>
    <w:rsid w:val="00837861"/>
    <w:rsid w:val="00882366"/>
    <w:rsid w:val="00890E9C"/>
    <w:rsid w:val="00913EF3"/>
    <w:rsid w:val="00954F13"/>
    <w:rsid w:val="009800DF"/>
    <w:rsid w:val="009866C8"/>
    <w:rsid w:val="00991F96"/>
    <w:rsid w:val="009C7B07"/>
    <w:rsid w:val="009D222D"/>
    <w:rsid w:val="00A561E0"/>
    <w:rsid w:val="00A605A1"/>
    <w:rsid w:val="00A71FC5"/>
    <w:rsid w:val="00A93BB7"/>
    <w:rsid w:val="00AD7A90"/>
    <w:rsid w:val="00AF2EFA"/>
    <w:rsid w:val="00B00486"/>
    <w:rsid w:val="00B068A9"/>
    <w:rsid w:val="00B4521E"/>
    <w:rsid w:val="00BA331E"/>
    <w:rsid w:val="00BE053C"/>
    <w:rsid w:val="00C13CFC"/>
    <w:rsid w:val="00C32D5C"/>
    <w:rsid w:val="00C66921"/>
    <w:rsid w:val="00CA545F"/>
    <w:rsid w:val="00CE4509"/>
    <w:rsid w:val="00D07AEC"/>
    <w:rsid w:val="00D20122"/>
    <w:rsid w:val="00D23144"/>
    <w:rsid w:val="00D749F3"/>
    <w:rsid w:val="00DA2B8B"/>
    <w:rsid w:val="00DB0309"/>
    <w:rsid w:val="00DC03D1"/>
    <w:rsid w:val="00DD198F"/>
    <w:rsid w:val="00E40954"/>
    <w:rsid w:val="00E61335"/>
    <w:rsid w:val="00E6745E"/>
    <w:rsid w:val="00E74270"/>
    <w:rsid w:val="00F14058"/>
    <w:rsid w:val="00F24071"/>
    <w:rsid w:val="00F70D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173237"/>
  <w15:chartTrackingRefBased/>
  <w15:docId w15:val="{16282D03-572F-4D39-B755-BCDCBA83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78"/>
    <w:rPr>
      <w:rFonts w:eastAsiaTheme="majorEastAsia" w:cstheme="majorBidi"/>
      <w:color w:val="272727" w:themeColor="text1" w:themeTint="D8"/>
    </w:rPr>
  </w:style>
  <w:style w:type="paragraph" w:styleId="Title">
    <w:name w:val="Title"/>
    <w:basedOn w:val="Normal"/>
    <w:next w:val="Normal"/>
    <w:link w:val="TitleChar"/>
    <w:uiPriority w:val="10"/>
    <w:qFormat/>
    <w:rsid w:val="00542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78"/>
    <w:pPr>
      <w:spacing w:before="160"/>
      <w:jc w:val="center"/>
    </w:pPr>
    <w:rPr>
      <w:i/>
      <w:iCs/>
      <w:color w:val="404040" w:themeColor="text1" w:themeTint="BF"/>
    </w:rPr>
  </w:style>
  <w:style w:type="character" w:customStyle="1" w:styleId="QuoteChar">
    <w:name w:val="Quote Char"/>
    <w:basedOn w:val="DefaultParagraphFont"/>
    <w:link w:val="Quote"/>
    <w:uiPriority w:val="29"/>
    <w:rsid w:val="00542A78"/>
    <w:rPr>
      <w:i/>
      <w:iCs/>
      <w:color w:val="404040" w:themeColor="text1" w:themeTint="BF"/>
    </w:rPr>
  </w:style>
  <w:style w:type="paragraph" w:styleId="ListParagraph">
    <w:name w:val="List Paragraph"/>
    <w:basedOn w:val="Normal"/>
    <w:uiPriority w:val="34"/>
    <w:qFormat/>
    <w:rsid w:val="00542A78"/>
    <w:pPr>
      <w:ind w:left="720"/>
      <w:contextualSpacing/>
    </w:pPr>
  </w:style>
  <w:style w:type="character" w:styleId="IntenseEmphasis">
    <w:name w:val="Intense Emphasis"/>
    <w:basedOn w:val="DefaultParagraphFont"/>
    <w:uiPriority w:val="21"/>
    <w:qFormat/>
    <w:rsid w:val="00542A78"/>
    <w:rPr>
      <w:i/>
      <w:iCs/>
      <w:color w:val="2F5496" w:themeColor="accent1" w:themeShade="BF"/>
    </w:rPr>
  </w:style>
  <w:style w:type="paragraph" w:styleId="IntenseQuote">
    <w:name w:val="Intense Quote"/>
    <w:basedOn w:val="Normal"/>
    <w:next w:val="Normal"/>
    <w:link w:val="IntenseQuoteChar"/>
    <w:uiPriority w:val="30"/>
    <w:qFormat/>
    <w:rsid w:val="00542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78"/>
    <w:rPr>
      <w:i/>
      <w:iCs/>
      <w:color w:val="2F5496" w:themeColor="accent1" w:themeShade="BF"/>
    </w:rPr>
  </w:style>
  <w:style w:type="character" w:styleId="IntenseReference">
    <w:name w:val="Intense Reference"/>
    <w:basedOn w:val="DefaultParagraphFont"/>
    <w:uiPriority w:val="32"/>
    <w:qFormat/>
    <w:rsid w:val="00542A78"/>
    <w:rPr>
      <w:b/>
      <w:bCs/>
      <w:smallCaps/>
      <w:color w:val="2F5496" w:themeColor="accent1" w:themeShade="BF"/>
      <w:spacing w:val="5"/>
    </w:rPr>
  </w:style>
  <w:style w:type="character" w:styleId="CommentReference">
    <w:name w:val="annotation reference"/>
    <w:basedOn w:val="DefaultParagraphFont"/>
    <w:uiPriority w:val="99"/>
    <w:semiHidden/>
    <w:unhideWhenUsed/>
    <w:rsid w:val="00542A78"/>
    <w:rPr>
      <w:sz w:val="16"/>
      <w:szCs w:val="16"/>
    </w:rPr>
  </w:style>
  <w:style w:type="paragraph" w:styleId="CommentText">
    <w:name w:val="annotation text"/>
    <w:basedOn w:val="Normal"/>
    <w:link w:val="CommentTextChar"/>
    <w:uiPriority w:val="99"/>
    <w:unhideWhenUsed/>
    <w:rsid w:val="00542A78"/>
    <w:pPr>
      <w:widowControl w:val="0"/>
      <w:autoSpaceDE w:val="0"/>
      <w:autoSpaceDN w:val="0"/>
      <w:spacing w:after="0" w:line="240" w:lineRule="auto"/>
    </w:pPr>
    <w:rPr>
      <w:rFonts w:ascii="Times New Roman" w:eastAsia="Times New Roman" w:hAnsi="Times New Roman" w:cs="Times New Roman"/>
      <w:kern w:val="0"/>
      <w:sz w:val="20"/>
      <w14:ligatures w14:val="none"/>
    </w:rPr>
  </w:style>
  <w:style w:type="character" w:customStyle="1" w:styleId="CommentTextChar">
    <w:name w:val="Comment Text Char"/>
    <w:basedOn w:val="DefaultParagraphFont"/>
    <w:link w:val="CommentText"/>
    <w:uiPriority w:val="99"/>
    <w:rsid w:val="00542A78"/>
    <w:rPr>
      <w:rFonts w:ascii="Times New Roman" w:eastAsia="Times New Roman" w:hAnsi="Times New Roman" w:cs="Times New Roman"/>
      <w:kern w:val="0"/>
      <w:sz w:val="20"/>
      <w14:ligatures w14:val="none"/>
    </w:rPr>
  </w:style>
  <w:style w:type="character" w:styleId="Hyperlink">
    <w:name w:val="Hyperlink"/>
    <w:basedOn w:val="DefaultParagraphFont"/>
    <w:uiPriority w:val="99"/>
    <w:unhideWhenUsed/>
    <w:rsid w:val="00542A78"/>
    <w:rPr>
      <w:color w:val="0563C1" w:themeColor="hyperlink"/>
      <w:u w:val="single"/>
    </w:rPr>
  </w:style>
  <w:style w:type="character" w:styleId="UnresolvedMention">
    <w:name w:val="Unresolved Mention"/>
    <w:basedOn w:val="DefaultParagraphFont"/>
    <w:uiPriority w:val="99"/>
    <w:semiHidden/>
    <w:unhideWhenUsed/>
    <w:rsid w:val="00542A7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2A78"/>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42A78"/>
    <w:rPr>
      <w:rFonts w:ascii="Times New Roman" w:eastAsia="Times New Roman" w:hAnsi="Times New Roman" w:cs="Times New Roman"/>
      <w:b/>
      <w:bCs/>
      <w:kern w:val="0"/>
      <w:sz w:val="20"/>
      <w14:ligatures w14:val="none"/>
    </w:rPr>
  </w:style>
  <w:style w:type="paragraph" w:styleId="BodyText">
    <w:name w:val="Body Text"/>
    <w:basedOn w:val="Normal"/>
    <w:link w:val="BodyTextChar"/>
    <w:uiPriority w:val="99"/>
    <w:semiHidden/>
    <w:unhideWhenUsed/>
    <w:rsid w:val="00542A78"/>
    <w:pPr>
      <w:spacing w:after="120"/>
    </w:pPr>
  </w:style>
  <w:style w:type="character" w:customStyle="1" w:styleId="BodyTextChar">
    <w:name w:val="Body Text Char"/>
    <w:basedOn w:val="DefaultParagraphFont"/>
    <w:link w:val="BodyText"/>
    <w:uiPriority w:val="99"/>
    <w:semiHidden/>
    <w:rsid w:val="00542A78"/>
  </w:style>
  <w:style w:type="paragraph" w:styleId="Header">
    <w:name w:val="header"/>
    <w:basedOn w:val="Normal"/>
    <w:link w:val="HeaderChar"/>
    <w:uiPriority w:val="99"/>
    <w:unhideWhenUsed/>
    <w:rsid w:val="00F24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071"/>
  </w:style>
  <w:style w:type="paragraph" w:styleId="Footer">
    <w:name w:val="footer"/>
    <w:basedOn w:val="Normal"/>
    <w:link w:val="FooterChar"/>
    <w:uiPriority w:val="99"/>
    <w:unhideWhenUsed/>
    <w:rsid w:val="00F24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71"/>
  </w:style>
  <w:style w:type="table" w:styleId="TableGrid">
    <w:name w:val="Table Grid"/>
    <w:basedOn w:val="TableNormal"/>
    <w:uiPriority w:val="39"/>
    <w:rsid w:val="0025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340EAD"/>
    <w:pPr>
      <w:keepNext/>
      <w:spacing w:after="240" w:line="240" w:lineRule="auto"/>
    </w:pPr>
    <w:rPr>
      <w:rFonts w:ascii="Helvetica" w:eastAsia="Times New Roman" w:hAnsi="Helvetica" w:cs="Times New Roman"/>
      <w:b/>
      <w:cap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5010198" TargetMode="External"/><Relationship Id="rId18" Type="http://schemas.openxmlformats.org/officeDocument/2006/relationships/hyperlink" Target="https://doi.org/10.3390/su16125085" TargetMode="External"/><Relationship Id="rId26" Type="http://schemas.openxmlformats.org/officeDocument/2006/relationships/hyperlink" Target="https://doi.org/10.1038/nplants.2015.221" TargetMode="External"/><Relationship Id="rId3" Type="http://schemas.openxmlformats.org/officeDocument/2006/relationships/settings" Target="settings.xml"/><Relationship Id="rId21" Type="http://schemas.openxmlformats.org/officeDocument/2006/relationships/hyperlink" Target="https://doi.org/10.1017/s0014479712000154" TargetMode="External"/><Relationship Id="rId34"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80/07352689.2011.554355" TargetMode="External"/><Relationship Id="rId25" Type="http://schemas.openxmlformats.org/officeDocument/2006/relationships/hyperlink" Target="https://www.google.com/search?q=https://doi.org/10.1007/s10668-024-04906-w"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doi.org/10.3389/fsufs.2023.959464" TargetMode="External"/><Relationship Id="rId20" Type="http://schemas.openxmlformats.org/officeDocument/2006/relationships/hyperlink" Target="https://doi.org/10.56093/ijas.v89i6.90826" TargetMode="External"/><Relationship Id="rId29" Type="http://schemas.openxmlformats.org/officeDocument/2006/relationships/hyperlink" Target="https://doi.org/10.1016/j.agsy.2012.1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google.com/search?q=https://doi.org/10.56093/ijas.v91i1.110923"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doi.org/10.3390/agriengineering5020059" TargetMode="External"/><Relationship Id="rId23" Type="http://schemas.openxmlformats.org/officeDocument/2006/relationships/hyperlink" Target="https://doi.org/10.1007/s43621-024-00245-y" TargetMode="External"/><Relationship Id="rId28" Type="http://schemas.openxmlformats.org/officeDocument/2006/relationships/hyperlink" Target="https://doi.org/10.1017/s1742170513000471"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google.com/search?q=https://doi.org/10.18805/IJARe.A-6121" TargetMode="External"/><Relationship Id="rId31" Type="http://schemas.openxmlformats.org/officeDocument/2006/relationships/hyperlink" Target="https://www.google.com/search?q=https://doi.org/10.1017/s175173111100005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S0167-8809(00)00297-8" TargetMode="External"/><Relationship Id="rId22" Type="http://schemas.openxmlformats.org/officeDocument/2006/relationships/hyperlink" Target="https://doi.org/10.3389/fpls.2025.1681928" TargetMode="External"/><Relationship Id="rId27" Type="http://schemas.openxmlformats.org/officeDocument/2006/relationships/hyperlink" Target="https://www.google.com/search?q=https://doi.org/10.56093/ijas.v95i3.163177" TargetMode="External"/><Relationship Id="rId30" Type="http://schemas.openxmlformats.org/officeDocument/2006/relationships/hyperlink" Target="https://sdgs.un.org/goals"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mitkar</dc:creator>
  <cp:keywords/>
  <dc:description/>
  <cp:lastModifiedBy>SDI 1084</cp:lastModifiedBy>
  <cp:revision>46</cp:revision>
  <dcterms:created xsi:type="dcterms:W3CDTF">2026-04-06T16:09:00Z</dcterms:created>
  <dcterms:modified xsi:type="dcterms:W3CDTF">2026-04-09T11:54:00Z</dcterms:modified>
</cp:coreProperties>
</file>