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06FFA" w14:textId="77777777" w:rsidR="00754C9A" w:rsidRDefault="00957AD3" w:rsidP="00C973B7">
      <w:pPr>
        <w:pStyle w:val="Title"/>
        <w:spacing w:after="0"/>
        <w:rPr>
          <w:rFonts w:ascii="Arial" w:hAnsi="Arial" w:cs="Arial"/>
        </w:rPr>
      </w:pPr>
      <w:r w:rsidRPr="00957AD3">
        <w:rPr>
          <w:rFonts w:ascii="Arial" w:hAnsi="Arial" w:cs="Arial"/>
        </w:rPr>
        <w:t xml:space="preserve">Uric Acid Level and Prevalence of Gout in Pregnant Women in </w:t>
      </w:r>
      <w:proofErr w:type="spellStart"/>
      <w:r w:rsidRPr="00957AD3">
        <w:rPr>
          <w:rFonts w:ascii="Arial" w:hAnsi="Arial" w:cs="Arial"/>
        </w:rPr>
        <w:t>Katsina</w:t>
      </w:r>
      <w:proofErr w:type="spellEnd"/>
      <w:r w:rsidRPr="00957AD3">
        <w:rPr>
          <w:rFonts w:ascii="Arial" w:hAnsi="Arial" w:cs="Arial"/>
        </w:rPr>
        <w:t xml:space="preserve"> State</w:t>
      </w:r>
    </w:p>
    <w:p w14:paraId="0484A7EF" w14:textId="77777777" w:rsidR="00163BC4" w:rsidRPr="00163BC4" w:rsidRDefault="00163BC4" w:rsidP="00441B6F">
      <w:pPr>
        <w:pStyle w:val="Author"/>
        <w:spacing w:line="240" w:lineRule="auto"/>
        <w:rPr>
          <w:rFonts w:ascii="Arial" w:hAnsi="Arial" w:cs="Arial"/>
          <w:bCs/>
          <w:iCs/>
          <w:kern w:val="28"/>
          <w:sz w:val="36"/>
        </w:rPr>
      </w:pPr>
    </w:p>
    <w:p w14:paraId="702B34B1" w14:textId="77777777" w:rsidR="00A258C3" w:rsidRPr="00790ADA" w:rsidRDefault="00A258C3" w:rsidP="00441B6F">
      <w:pPr>
        <w:pStyle w:val="Author"/>
        <w:spacing w:line="240" w:lineRule="auto"/>
        <w:jc w:val="both"/>
        <w:rPr>
          <w:rFonts w:ascii="Arial" w:hAnsi="Arial" w:cs="Arial"/>
          <w:sz w:val="36"/>
        </w:rPr>
      </w:pPr>
    </w:p>
    <w:p w14:paraId="02C4BCF7" w14:textId="77777777" w:rsidR="002C57D2" w:rsidRPr="00FB3A86" w:rsidRDefault="002C57D2" w:rsidP="00441B6F">
      <w:pPr>
        <w:pStyle w:val="Affiliation"/>
        <w:spacing w:after="0" w:line="240" w:lineRule="auto"/>
        <w:jc w:val="both"/>
        <w:rPr>
          <w:rFonts w:ascii="Arial" w:hAnsi="Arial" w:cs="Arial"/>
        </w:rPr>
      </w:pPr>
    </w:p>
    <w:p w14:paraId="5091F0A0" w14:textId="77777777" w:rsidR="00B01FCD" w:rsidRPr="00FB3A86" w:rsidRDefault="00C83EBC" w:rsidP="00441B6F">
      <w:pPr>
        <w:pStyle w:val="Copyright"/>
        <w:spacing w:after="0" w:line="240" w:lineRule="auto"/>
        <w:jc w:val="both"/>
        <w:rPr>
          <w:rFonts w:ascii="Arial" w:hAnsi="Arial" w:cs="Arial"/>
        </w:rPr>
        <w:sectPr w:rsidR="00B01FCD" w:rsidRPr="00FB3A86" w:rsidSect="00D538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72959F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C8FA01" w14:textId="77777777" w:rsidR="00B01FCD" w:rsidRDefault="00B01FCD" w:rsidP="00205A41">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2BB4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3601679" w14:textId="77777777" w:rsidTr="001E44FE">
        <w:tc>
          <w:tcPr>
            <w:tcW w:w="9576" w:type="dxa"/>
            <w:shd w:val="clear" w:color="auto" w:fill="F2F2F2"/>
          </w:tcPr>
          <w:p w14:paraId="6DBC79A5" w14:textId="77777777" w:rsidR="00957AD3" w:rsidRPr="00BA1B01" w:rsidRDefault="00957AD3" w:rsidP="00957AD3">
            <w:pPr>
              <w:pStyle w:val="Body"/>
              <w:spacing w:after="0"/>
              <w:rPr>
                <w:rFonts w:ascii="Arial" w:eastAsia="Calibri" w:hAnsi="Arial" w:cs="Arial"/>
                <w:szCs w:val="22"/>
              </w:rPr>
            </w:pPr>
            <w:r w:rsidRPr="00957AD3">
              <w:rPr>
                <w:rFonts w:ascii="Arial" w:eastAsia="Calibri" w:hAnsi="Arial" w:cs="Arial"/>
                <w:szCs w:val="22"/>
              </w:rPr>
              <w:t xml:space="preserve">Uric acid is the principal end-product of purine metabolism in man and the primary biochemical requirement for the development of clinical gout is hyperuricemia. Prevalence of gout in women who are in their reproductive age is rare and only a few studies were carried out previously to investigate hyperuricemia in pregnancy. In this study, serum uric acid level was studied in 300 pregnant women attending </w:t>
            </w:r>
            <w:proofErr w:type="spellStart"/>
            <w:r w:rsidRPr="00957AD3">
              <w:rPr>
                <w:rFonts w:ascii="Arial" w:eastAsia="Calibri" w:hAnsi="Arial" w:cs="Arial"/>
                <w:szCs w:val="22"/>
              </w:rPr>
              <w:t>Turai</w:t>
            </w:r>
            <w:proofErr w:type="spellEnd"/>
            <w:r w:rsidRPr="00957AD3">
              <w:rPr>
                <w:rFonts w:ascii="Arial" w:eastAsia="Calibri" w:hAnsi="Arial" w:cs="Arial"/>
                <w:szCs w:val="22"/>
              </w:rPr>
              <w:t xml:space="preserve"> </w:t>
            </w:r>
            <w:proofErr w:type="spellStart"/>
            <w:r w:rsidRPr="00957AD3">
              <w:rPr>
                <w:rFonts w:ascii="Arial" w:eastAsia="Calibri" w:hAnsi="Arial" w:cs="Arial"/>
                <w:szCs w:val="22"/>
              </w:rPr>
              <w:t>Yar’adua</w:t>
            </w:r>
            <w:proofErr w:type="spellEnd"/>
            <w:r w:rsidRPr="00957AD3">
              <w:rPr>
                <w:rFonts w:ascii="Arial" w:eastAsia="Calibri" w:hAnsi="Arial" w:cs="Arial"/>
                <w:szCs w:val="22"/>
              </w:rPr>
              <w:t xml:space="preserve"> Women and Children Hospital </w:t>
            </w:r>
            <w:proofErr w:type="spellStart"/>
            <w:r w:rsidRPr="00957AD3">
              <w:rPr>
                <w:rFonts w:ascii="Arial" w:eastAsia="Calibri" w:hAnsi="Arial" w:cs="Arial"/>
                <w:szCs w:val="22"/>
              </w:rPr>
              <w:t>Katsina</w:t>
            </w:r>
            <w:proofErr w:type="spellEnd"/>
            <w:r w:rsidRPr="00957AD3">
              <w:rPr>
                <w:rFonts w:ascii="Arial" w:eastAsia="Calibri" w:hAnsi="Arial" w:cs="Arial"/>
                <w:szCs w:val="22"/>
              </w:rPr>
              <w:t xml:space="preserve">. The blood glucose level of the women was also determined to check for gestational diabetes and whether there </w:t>
            </w:r>
            <w:proofErr w:type="gramStart"/>
            <w:r w:rsidRPr="00957AD3">
              <w:rPr>
                <w:rFonts w:ascii="Arial" w:eastAsia="Calibri" w:hAnsi="Arial" w:cs="Arial"/>
                <w:szCs w:val="22"/>
              </w:rPr>
              <w:t>exist</w:t>
            </w:r>
            <w:proofErr w:type="gramEnd"/>
            <w:r w:rsidRPr="00957AD3">
              <w:rPr>
                <w:rFonts w:ascii="Arial" w:eastAsia="Calibri" w:hAnsi="Arial" w:cs="Arial"/>
                <w:szCs w:val="22"/>
              </w:rPr>
              <w:t xml:space="preserve"> any correlation between blood glucose level and serum urate level. All the women recruited for this study were confirmed to be apparently healthy and were not previously diagnosed with diabetes or gouty arthritis. The results of the study obtained revealed that pregnancy is associated hyperuricemia.  An average of 344.23±27.24aµmol/L for 1st trimester, 394.22±12.14aµmol/L for 2nd trimester and 455.40±11.52b µmol/L for 3rd trimester serum uric acid level was observed in pregnant women compared to the standard reference range of 380µmol/L for women. Increased serum uric acid level was observed with increased age of pregnancy; </w:t>
            </w:r>
            <w:proofErr w:type="gramStart"/>
            <w:r w:rsidRPr="00957AD3">
              <w:rPr>
                <w:rFonts w:ascii="Arial" w:eastAsia="Calibri" w:hAnsi="Arial" w:cs="Arial"/>
                <w:szCs w:val="22"/>
              </w:rPr>
              <w:t>thus</w:t>
            </w:r>
            <w:proofErr w:type="gramEnd"/>
            <w:r w:rsidRPr="00957AD3">
              <w:rPr>
                <w:rFonts w:ascii="Arial" w:eastAsia="Calibri" w:hAnsi="Arial" w:cs="Arial"/>
                <w:szCs w:val="22"/>
              </w:rPr>
              <w:t xml:space="preserve"> highest serum urate levels was observed in the third trimester as compared to the first and second trimesters. No correlation was observed between age of pregnant women and serum urate level or blood glucose level. However, slight correlation was observed between blood glucose level and serum uric acid level in most pregnant women with high blood glucose level suggesting a link between hyperglycemia and hyperuricemia. Findings from this study indicate that women diagnosed with gouty arthritis may risk experiencing gout flares when they are pregnant, particularly in their third trimester.  Similarly, diabetic women may likely experience hyperuricemia and possibly gestational gouty arthritis during their pregnancy.</w:t>
            </w:r>
          </w:p>
          <w:p w14:paraId="729398F6" w14:textId="77777777" w:rsidR="00505F06" w:rsidRPr="00BA1B01" w:rsidRDefault="00505F06" w:rsidP="00441B6F">
            <w:pPr>
              <w:pStyle w:val="Body"/>
              <w:spacing w:after="0"/>
              <w:rPr>
                <w:rFonts w:ascii="Arial" w:eastAsia="Calibri" w:hAnsi="Arial" w:cs="Arial"/>
                <w:szCs w:val="22"/>
              </w:rPr>
            </w:pPr>
          </w:p>
        </w:tc>
      </w:tr>
    </w:tbl>
    <w:p w14:paraId="384AD23C" w14:textId="77777777" w:rsidR="00636EB2" w:rsidRDefault="00636EB2" w:rsidP="00441B6F">
      <w:pPr>
        <w:pStyle w:val="Body"/>
        <w:spacing w:after="0"/>
        <w:rPr>
          <w:rFonts w:ascii="Arial" w:hAnsi="Arial" w:cs="Arial"/>
          <w:i/>
        </w:rPr>
      </w:pPr>
    </w:p>
    <w:p w14:paraId="29701D11" w14:textId="77777777" w:rsidR="00790ADA" w:rsidRDefault="00A24E7E" w:rsidP="00957AD3">
      <w:pPr>
        <w:pStyle w:val="Body"/>
        <w:spacing w:after="0"/>
        <w:rPr>
          <w:rFonts w:ascii="Arial" w:hAnsi="Arial" w:cs="Arial"/>
          <w:i/>
        </w:rPr>
      </w:pPr>
      <w:r>
        <w:rPr>
          <w:rFonts w:ascii="Arial" w:hAnsi="Arial" w:cs="Arial"/>
          <w:i/>
        </w:rPr>
        <w:t xml:space="preserve">Keywords: </w:t>
      </w:r>
      <w:r w:rsidR="00957AD3" w:rsidRPr="00957AD3">
        <w:rPr>
          <w:rFonts w:ascii="Arial" w:hAnsi="Arial" w:cs="Arial"/>
          <w:i/>
        </w:rPr>
        <w:t xml:space="preserve">Uric acid, gout, hyperuricemia, pregnancy, arthritis </w:t>
      </w:r>
    </w:p>
    <w:p w14:paraId="4D17E3C6" w14:textId="77777777" w:rsidR="00505F06" w:rsidRPr="00A24E7E" w:rsidRDefault="00505F06" w:rsidP="00441B6F">
      <w:pPr>
        <w:pStyle w:val="Body"/>
        <w:spacing w:after="0"/>
        <w:rPr>
          <w:rFonts w:ascii="Arial" w:hAnsi="Arial" w:cs="Arial"/>
          <w:i/>
        </w:rPr>
      </w:pPr>
    </w:p>
    <w:p w14:paraId="288A1187" w14:textId="77777777" w:rsidR="007F7B32" w:rsidRDefault="00902823" w:rsidP="00957AD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CF1F6A" w14:textId="77777777" w:rsidR="00790ADA" w:rsidRPr="00FB3A86" w:rsidRDefault="00790ADA" w:rsidP="00441B6F">
      <w:pPr>
        <w:pStyle w:val="AbstHead"/>
        <w:spacing w:after="0"/>
        <w:jc w:val="both"/>
        <w:rPr>
          <w:rFonts w:ascii="Arial" w:hAnsi="Arial" w:cs="Arial"/>
        </w:rPr>
      </w:pPr>
    </w:p>
    <w:p w14:paraId="4BF50843" w14:textId="77777777" w:rsidR="00957AD3" w:rsidRPr="00957AD3" w:rsidRDefault="00957AD3" w:rsidP="00957AD3">
      <w:pPr>
        <w:pStyle w:val="Body"/>
        <w:rPr>
          <w:rFonts w:ascii="Arial" w:hAnsi="Arial" w:cs="Arial"/>
        </w:rPr>
      </w:pPr>
      <w:r w:rsidRPr="00957AD3">
        <w:rPr>
          <w:rFonts w:ascii="Arial" w:hAnsi="Arial" w:cs="Arial"/>
        </w:rPr>
        <w:t xml:space="preserve">Uric acid is the final product of purine metabolism produced through the action of the xanthine oxidase enzyme (Lieu </w:t>
      </w:r>
      <w:r w:rsidRPr="00205A41">
        <w:rPr>
          <w:rFonts w:ascii="Arial" w:hAnsi="Arial" w:cs="Arial"/>
          <w:i/>
          <w:iCs/>
        </w:rPr>
        <w:t>et al</w:t>
      </w:r>
      <w:r w:rsidRPr="00957AD3">
        <w:rPr>
          <w:rFonts w:ascii="Arial" w:hAnsi="Arial" w:cs="Arial"/>
        </w:rPr>
        <w:t xml:space="preserve">., 2024).  </w:t>
      </w:r>
      <w:proofErr w:type="gramStart"/>
      <w:r w:rsidRPr="00957AD3">
        <w:rPr>
          <w:rFonts w:ascii="Arial" w:hAnsi="Arial" w:cs="Arial"/>
        </w:rPr>
        <w:t>It  has</w:t>
      </w:r>
      <w:proofErr w:type="gramEnd"/>
      <w:r w:rsidRPr="00957AD3">
        <w:rPr>
          <w:rFonts w:ascii="Arial" w:hAnsi="Arial" w:cs="Arial"/>
        </w:rPr>
        <w:t xml:space="preserve"> been reported that normal serum uric acid levels is protective against oxidative stress and DNA damage (</w:t>
      </w:r>
      <w:proofErr w:type="spellStart"/>
      <w:r w:rsidRPr="00957AD3">
        <w:rPr>
          <w:rFonts w:ascii="Arial" w:hAnsi="Arial" w:cs="Arial"/>
        </w:rPr>
        <w:t>Zhai</w:t>
      </w:r>
      <w:proofErr w:type="spellEnd"/>
      <w:r w:rsidRPr="00957AD3">
        <w:rPr>
          <w:rFonts w:ascii="Arial" w:hAnsi="Arial" w:cs="Arial"/>
        </w:rPr>
        <w:t xml:space="preserve"> and Lang, 2024). Documented evidences have revealed that hyperuricemia is not only common in developed countries but also increasing in low and medium-income countries (</w:t>
      </w:r>
      <w:r w:rsidR="00851B63" w:rsidRPr="00851B63">
        <w:rPr>
          <w:rFonts w:ascii="Arial" w:hAnsi="Arial" w:cs="Arial"/>
          <w:shd w:val="clear" w:color="auto" w:fill="FFFFFF"/>
        </w:rPr>
        <w:t>Nguyen</w:t>
      </w:r>
      <w:r w:rsidRPr="00957AD3">
        <w:rPr>
          <w:rFonts w:ascii="Arial" w:hAnsi="Arial" w:cs="Arial"/>
        </w:rPr>
        <w:t xml:space="preserve"> </w:t>
      </w:r>
      <w:r w:rsidRPr="00205A41">
        <w:rPr>
          <w:rFonts w:ascii="Arial" w:hAnsi="Arial" w:cs="Arial"/>
          <w:i/>
          <w:iCs/>
        </w:rPr>
        <w:t>et al</w:t>
      </w:r>
      <w:r w:rsidRPr="00957AD3">
        <w:rPr>
          <w:rFonts w:ascii="Arial" w:hAnsi="Arial" w:cs="Arial"/>
        </w:rPr>
        <w:t xml:space="preserve">., 2024). Preeclampsia, renal failure, severe dehydration, acute fatty liver of pregnancy, toxins and alcoholism are the main causes of hyperuricemia (Horta-Baas </w:t>
      </w:r>
      <w:r w:rsidRPr="00205A41">
        <w:rPr>
          <w:rFonts w:ascii="Arial" w:hAnsi="Arial" w:cs="Arial"/>
          <w:i/>
          <w:iCs/>
        </w:rPr>
        <w:t>et al</w:t>
      </w:r>
      <w:r w:rsidRPr="00957AD3">
        <w:rPr>
          <w:rFonts w:ascii="Arial" w:hAnsi="Arial" w:cs="Arial"/>
        </w:rPr>
        <w:t>., 2017).</w:t>
      </w:r>
    </w:p>
    <w:p w14:paraId="124ADB9E" w14:textId="53A637A7" w:rsidR="00957AD3" w:rsidRPr="00957AD3" w:rsidRDefault="00957AD3" w:rsidP="00957AD3">
      <w:pPr>
        <w:pStyle w:val="Body"/>
        <w:rPr>
          <w:rFonts w:ascii="Arial" w:hAnsi="Arial" w:cs="Arial"/>
        </w:rPr>
      </w:pPr>
      <w:r w:rsidRPr="00957AD3">
        <w:rPr>
          <w:rFonts w:ascii="Arial" w:hAnsi="Arial" w:cs="Arial"/>
        </w:rPr>
        <w:t xml:space="preserve"> Hyperuricemia is the principal biochemical prerequisite for the development of clinical gout. In addition to causing gout, hyperuricemia is also an independent risk factor for myocardial infarction and stroke (</w:t>
      </w:r>
      <w:proofErr w:type="spellStart"/>
      <w:r w:rsidRPr="00957AD3">
        <w:rPr>
          <w:rFonts w:ascii="Arial" w:hAnsi="Arial" w:cs="Arial"/>
        </w:rPr>
        <w:t>Talpur</w:t>
      </w:r>
      <w:proofErr w:type="spellEnd"/>
      <w:r w:rsidRPr="00957AD3">
        <w:rPr>
          <w:rFonts w:ascii="Arial" w:hAnsi="Arial" w:cs="Arial"/>
        </w:rPr>
        <w:t xml:space="preserve"> </w:t>
      </w:r>
      <w:r w:rsidRPr="00205A41">
        <w:rPr>
          <w:rFonts w:ascii="Arial" w:hAnsi="Arial" w:cs="Arial"/>
          <w:i/>
          <w:iCs/>
        </w:rPr>
        <w:t>et al</w:t>
      </w:r>
      <w:r w:rsidRPr="00957AD3">
        <w:rPr>
          <w:rFonts w:ascii="Arial" w:hAnsi="Arial" w:cs="Arial"/>
        </w:rPr>
        <w:t xml:space="preserve">., 2023).  Reports have shown that hyperuricemia is a prerequisite, but in its own is not sufficient for the onset of gouty arthritis. Along with the </w:t>
      </w:r>
      <w:proofErr w:type="spellStart"/>
      <w:proofErr w:type="gramStart"/>
      <w:r w:rsidRPr="00957AD3">
        <w:rPr>
          <w:rFonts w:ascii="Arial" w:hAnsi="Arial" w:cs="Arial"/>
        </w:rPr>
        <w:t>hyperuricemia,risk</w:t>
      </w:r>
      <w:proofErr w:type="spellEnd"/>
      <w:proofErr w:type="gramEnd"/>
      <w:r w:rsidRPr="00957AD3">
        <w:rPr>
          <w:rFonts w:ascii="Arial" w:hAnsi="Arial" w:cs="Arial"/>
        </w:rPr>
        <w:t xml:space="preserve"> factors such as genetic predisposition, obesity, use of diuretics, surgeries and chronic renal insufficiency have been associated with its onset (Horta-Baas </w:t>
      </w:r>
      <w:r w:rsidRPr="00205A41">
        <w:rPr>
          <w:rFonts w:ascii="Arial" w:hAnsi="Arial" w:cs="Arial"/>
          <w:i/>
          <w:iCs/>
        </w:rPr>
        <w:t>et al</w:t>
      </w:r>
      <w:r w:rsidRPr="00957AD3">
        <w:rPr>
          <w:rFonts w:ascii="Arial" w:hAnsi="Arial" w:cs="Arial"/>
        </w:rPr>
        <w:t xml:space="preserve">., 2017). </w:t>
      </w:r>
    </w:p>
    <w:p w14:paraId="5CD7F7BD" w14:textId="77777777" w:rsidR="00957AD3" w:rsidRPr="00957AD3" w:rsidRDefault="00957AD3" w:rsidP="00957AD3">
      <w:pPr>
        <w:pStyle w:val="Body"/>
        <w:rPr>
          <w:rFonts w:ascii="Arial" w:hAnsi="Arial" w:cs="Arial"/>
        </w:rPr>
      </w:pPr>
      <w:r w:rsidRPr="00957AD3">
        <w:rPr>
          <w:rFonts w:ascii="Arial" w:hAnsi="Arial" w:cs="Arial"/>
        </w:rPr>
        <w:t xml:space="preserve">Gout is a crystal induced arthritis characterized by recurrent, paroxysmal acute inflammatory attacks that typically affect a single peripheral joint and are followed by complete remission. The condition results from deposition of monosodium urate </w:t>
      </w:r>
      <w:r w:rsidRPr="00957AD3">
        <w:rPr>
          <w:rFonts w:ascii="Arial" w:hAnsi="Arial" w:cs="Arial"/>
        </w:rPr>
        <w:lastRenderedPageBreak/>
        <w:t>crystals in and around joints when body fluids become supersaturated with urate; it occurs more frequently in men than in women (</w:t>
      </w:r>
      <w:proofErr w:type="spellStart"/>
      <w:r w:rsidRPr="00957AD3">
        <w:rPr>
          <w:rFonts w:ascii="Arial" w:hAnsi="Arial" w:cs="Arial"/>
        </w:rPr>
        <w:t>Dalbeth</w:t>
      </w:r>
      <w:proofErr w:type="spellEnd"/>
      <w:r w:rsidRPr="00957AD3">
        <w:rPr>
          <w:rFonts w:ascii="Arial" w:hAnsi="Arial" w:cs="Arial"/>
        </w:rPr>
        <w:t xml:space="preserve"> </w:t>
      </w:r>
      <w:r w:rsidRPr="00205A41">
        <w:rPr>
          <w:rFonts w:ascii="Arial" w:hAnsi="Arial" w:cs="Arial"/>
          <w:i/>
          <w:iCs/>
        </w:rPr>
        <w:t>et al</w:t>
      </w:r>
      <w:r w:rsidRPr="00957AD3">
        <w:rPr>
          <w:rFonts w:ascii="Arial" w:hAnsi="Arial" w:cs="Arial"/>
        </w:rPr>
        <w:t>., 2021).</w:t>
      </w:r>
    </w:p>
    <w:p w14:paraId="64480877" w14:textId="77777777" w:rsidR="00957AD3" w:rsidRPr="00957AD3" w:rsidRDefault="00957AD3" w:rsidP="00957AD3">
      <w:pPr>
        <w:pStyle w:val="Body"/>
        <w:rPr>
          <w:rFonts w:ascii="Arial" w:hAnsi="Arial" w:cs="Arial"/>
        </w:rPr>
      </w:pPr>
      <w:r w:rsidRPr="00957AD3">
        <w:rPr>
          <w:rFonts w:ascii="Arial" w:hAnsi="Arial" w:cs="Arial"/>
        </w:rPr>
        <w:t>Occurrence of gout in women who are in their reproductive age is rare (</w:t>
      </w:r>
      <w:proofErr w:type="spellStart"/>
      <w:r w:rsidRPr="00957AD3">
        <w:rPr>
          <w:rFonts w:ascii="Arial" w:hAnsi="Arial" w:cs="Arial"/>
        </w:rPr>
        <w:t>Kurshid</w:t>
      </w:r>
      <w:proofErr w:type="spellEnd"/>
      <w:r w:rsidRPr="00957AD3">
        <w:rPr>
          <w:rFonts w:ascii="Arial" w:hAnsi="Arial" w:cs="Arial"/>
        </w:rPr>
        <w:t xml:space="preserve"> </w:t>
      </w:r>
      <w:r w:rsidRPr="00205A41">
        <w:rPr>
          <w:rFonts w:ascii="Arial" w:hAnsi="Arial" w:cs="Arial"/>
          <w:i/>
          <w:iCs/>
        </w:rPr>
        <w:t>et al</w:t>
      </w:r>
      <w:r w:rsidRPr="00957AD3">
        <w:rPr>
          <w:rFonts w:ascii="Arial" w:hAnsi="Arial" w:cs="Arial"/>
        </w:rPr>
        <w:t xml:space="preserve">., 2020), and only a few case studies were carried out to investigate the occurrence of gout in pregnancy (Horta-Baas </w:t>
      </w:r>
      <w:r w:rsidRPr="00205A41">
        <w:rPr>
          <w:rFonts w:ascii="Arial" w:hAnsi="Arial" w:cs="Arial"/>
          <w:i/>
          <w:iCs/>
        </w:rPr>
        <w:t>et al</w:t>
      </w:r>
      <w:r w:rsidRPr="00957AD3">
        <w:rPr>
          <w:rFonts w:ascii="Arial" w:hAnsi="Arial" w:cs="Arial"/>
        </w:rPr>
        <w:t xml:space="preserve">., 2017; </w:t>
      </w:r>
      <w:proofErr w:type="spellStart"/>
      <w:r w:rsidRPr="00957AD3">
        <w:rPr>
          <w:rFonts w:ascii="Arial" w:hAnsi="Arial" w:cs="Arial"/>
        </w:rPr>
        <w:t>Kurshid</w:t>
      </w:r>
      <w:proofErr w:type="spellEnd"/>
      <w:r w:rsidRPr="00957AD3">
        <w:rPr>
          <w:rFonts w:ascii="Arial" w:hAnsi="Arial" w:cs="Arial"/>
        </w:rPr>
        <w:t xml:space="preserve"> </w:t>
      </w:r>
      <w:r w:rsidRPr="00205A41">
        <w:rPr>
          <w:rFonts w:ascii="Arial" w:hAnsi="Arial" w:cs="Arial"/>
          <w:i/>
          <w:iCs/>
        </w:rPr>
        <w:t>et al</w:t>
      </w:r>
      <w:r w:rsidRPr="00957AD3">
        <w:rPr>
          <w:rFonts w:ascii="Arial" w:hAnsi="Arial" w:cs="Arial"/>
        </w:rPr>
        <w:t xml:space="preserve">., 2020; Pierre </w:t>
      </w:r>
      <w:r w:rsidRPr="00205A41">
        <w:rPr>
          <w:rFonts w:ascii="Arial" w:hAnsi="Arial" w:cs="Arial"/>
          <w:i/>
          <w:iCs/>
        </w:rPr>
        <w:t>et al</w:t>
      </w:r>
      <w:r w:rsidRPr="00957AD3">
        <w:rPr>
          <w:rFonts w:ascii="Arial" w:hAnsi="Arial" w:cs="Arial"/>
        </w:rPr>
        <w:t xml:space="preserve">., 2020; Amar </w:t>
      </w:r>
      <w:r w:rsidRPr="00205A41">
        <w:rPr>
          <w:rFonts w:ascii="Arial" w:hAnsi="Arial" w:cs="Arial"/>
          <w:i/>
          <w:iCs/>
        </w:rPr>
        <w:t>et al</w:t>
      </w:r>
      <w:r w:rsidRPr="00957AD3">
        <w:rPr>
          <w:rFonts w:ascii="Arial" w:hAnsi="Arial" w:cs="Arial"/>
        </w:rPr>
        <w:t>., 2024</w:t>
      </w:r>
      <w:proofErr w:type="gramStart"/>
      <w:r w:rsidRPr="00957AD3">
        <w:rPr>
          <w:rFonts w:ascii="Arial" w:hAnsi="Arial" w:cs="Arial"/>
        </w:rPr>
        <w:t>) .</w:t>
      </w:r>
      <w:proofErr w:type="gramEnd"/>
      <w:r w:rsidRPr="00957AD3">
        <w:rPr>
          <w:rFonts w:ascii="Arial" w:hAnsi="Arial" w:cs="Arial"/>
        </w:rPr>
        <w:t xml:space="preserve"> The observed </w:t>
      </w:r>
      <w:proofErr w:type="gramStart"/>
      <w:r w:rsidRPr="00957AD3">
        <w:rPr>
          <w:rFonts w:ascii="Arial" w:hAnsi="Arial" w:cs="Arial"/>
        </w:rPr>
        <w:t>rarity  might</w:t>
      </w:r>
      <w:proofErr w:type="gramEnd"/>
      <w:r w:rsidRPr="00957AD3">
        <w:rPr>
          <w:rFonts w:ascii="Arial" w:hAnsi="Arial" w:cs="Arial"/>
        </w:rPr>
        <w:t xml:space="preserve"> be explained by the uricosuric effects of estrogen (van Veen </w:t>
      </w:r>
      <w:r w:rsidRPr="00205A41">
        <w:rPr>
          <w:rFonts w:ascii="Arial" w:hAnsi="Arial" w:cs="Arial"/>
          <w:i/>
          <w:iCs/>
        </w:rPr>
        <w:t>et al</w:t>
      </w:r>
      <w:r w:rsidRPr="00957AD3">
        <w:rPr>
          <w:rFonts w:ascii="Arial" w:hAnsi="Arial" w:cs="Arial"/>
        </w:rPr>
        <w:t xml:space="preserve">., 2015; Pierre </w:t>
      </w:r>
      <w:r w:rsidRPr="00205A41">
        <w:rPr>
          <w:rFonts w:ascii="Arial" w:hAnsi="Arial" w:cs="Arial"/>
          <w:i/>
          <w:iCs/>
        </w:rPr>
        <w:t>et al</w:t>
      </w:r>
      <w:r w:rsidRPr="00957AD3">
        <w:rPr>
          <w:rFonts w:ascii="Arial" w:hAnsi="Arial" w:cs="Arial"/>
        </w:rPr>
        <w:t xml:space="preserve">., 2020). As such, increased estrogen levels during pregnancy might protect women from acute gout flares (Amar </w:t>
      </w:r>
      <w:r w:rsidRPr="00205A41">
        <w:rPr>
          <w:rFonts w:ascii="Arial" w:hAnsi="Arial" w:cs="Arial"/>
          <w:i/>
          <w:iCs/>
        </w:rPr>
        <w:t>et al</w:t>
      </w:r>
      <w:r w:rsidRPr="00957AD3">
        <w:rPr>
          <w:rFonts w:ascii="Arial" w:hAnsi="Arial" w:cs="Arial"/>
        </w:rPr>
        <w:t xml:space="preserve">., 2024). Clinically, gout occurring during pregnancy or a maternal history of gout has been associated with adverse maternal and neonatal outcomes, including pulmonary embolism, and congenital anomalies in the new-born and gestational diabetes </w:t>
      </w:r>
      <w:proofErr w:type="gramStart"/>
      <w:r w:rsidRPr="00957AD3">
        <w:rPr>
          <w:rFonts w:ascii="Arial" w:hAnsi="Arial" w:cs="Arial"/>
        </w:rPr>
        <w:t>mellitus  (</w:t>
      </w:r>
      <w:proofErr w:type="gramEnd"/>
      <w:r w:rsidRPr="00957AD3">
        <w:rPr>
          <w:rFonts w:ascii="Arial" w:hAnsi="Arial" w:cs="Arial"/>
        </w:rPr>
        <w:t xml:space="preserve">Amar </w:t>
      </w:r>
      <w:r w:rsidRPr="00205A41">
        <w:rPr>
          <w:rFonts w:ascii="Arial" w:hAnsi="Arial" w:cs="Arial"/>
          <w:i/>
          <w:iCs/>
        </w:rPr>
        <w:t>et al</w:t>
      </w:r>
      <w:r w:rsidRPr="00957AD3">
        <w:rPr>
          <w:rFonts w:ascii="Arial" w:hAnsi="Arial" w:cs="Arial"/>
        </w:rPr>
        <w:t>., 2024).</w:t>
      </w:r>
    </w:p>
    <w:p w14:paraId="3A79B245" w14:textId="77777777" w:rsidR="00957AD3" w:rsidRPr="00957AD3" w:rsidRDefault="00957AD3" w:rsidP="00957AD3">
      <w:pPr>
        <w:pStyle w:val="Body"/>
        <w:rPr>
          <w:rFonts w:ascii="Arial" w:hAnsi="Arial" w:cs="Arial"/>
        </w:rPr>
      </w:pPr>
      <w:r w:rsidRPr="00957AD3">
        <w:rPr>
          <w:rFonts w:ascii="Arial" w:hAnsi="Arial" w:cs="Arial"/>
        </w:rPr>
        <w:t>Gestational Diabetes Mellitus (GDM) is a fairly common metabolic disorder in pregnant women (</w:t>
      </w:r>
      <w:proofErr w:type="spellStart"/>
      <w:r w:rsidRPr="00957AD3">
        <w:rPr>
          <w:rFonts w:ascii="Arial" w:hAnsi="Arial" w:cs="Arial"/>
        </w:rPr>
        <w:t>Tankasali</w:t>
      </w:r>
      <w:proofErr w:type="spellEnd"/>
      <w:r w:rsidRPr="00957AD3">
        <w:rPr>
          <w:rFonts w:ascii="Arial" w:hAnsi="Arial" w:cs="Arial"/>
        </w:rPr>
        <w:t xml:space="preserve"> </w:t>
      </w:r>
      <w:r w:rsidRPr="00205A41">
        <w:rPr>
          <w:rFonts w:ascii="Arial" w:hAnsi="Arial" w:cs="Arial"/>
          <w:i/>
          <w:iCs/>
        </w:rPr>
        <w:t>et al</w:t>
      </w:r>
      <w:r w:rsidRPr="00957AD3">
        <w:rPr>
          <w:rFonts w:ascii="Arial" w:hAnsi="Arial" w:cs="Arial"/>
        </w:rPr>
        <w:t>., 2025). Gestational diabetes mellitus (GDM) results from a combination of insufficient insulin secretion and reduced tissue insulin sensitivity, resembling the pathophysiology of type 2 diabetes. Various studies have investigated the elevation of serum uric acid levels in p</w:t>
      </w:r>
      <w:r w:rsidR="00982C10">
        <w:rPr>
          <w:rFonts w:ascii="Arial" w:hAnsi="Arial" w:cs="Arial"/>
        </w:rPr>
        <w:t xml:space="preserve">regnancy </w:t>
      </w:r>
      <w:r w:rsidRPr="00957AD3">
        <w:rPr>
          <w:rFonts w:ascii="Arial" w:hAnsi="Arial" w:cs="Arial"/>
        </w:rPr>
        <w:t xml:space="preserve">as a potential risk factor for the development of type II diabetes and have </w:t>
      </w:r>
      <w:proofErr w:type="gramStart"/>
      <w:r w:rsidRPr="00957AD3">
        <w:rPr>
          <w:rFonts w:ascii="Arial" w:hAnsi="Arial" w:cs="Arial"/>
        </w:rPr>
        <w:t>established  a</w:t>
      </w:r>
      <w:proofErr w:type="gramEnd"/>
      <w:r w:rsidRPr="00957AD3">
        <w:rPr>
          <w:rFonts w:ascii="Arial" w:hAnsi="Arial" w:cs="Arial"/>
        </w:rPr>
        <w:t xml:space="preserve"> link between  uric acid levels along with GDM (Ismail </w:t>
      </w:r>
      <w:r w:rsidRPr="00205A41">
        <w:rPr>
          <w:rFonts w:ascii="Arial" w:hAnsi="Arial" w:cs="Arial"/>
          <w:i/>
          <w:iCs/>
        </w:rPr>
        <w:t>et al</w:t>
      </w:r>
      <w:r w:rsidRPr="00957AD3">
        <w:rPr>
          <w:rFonts w:ascii="Arial" w:hAnsi="Arial" w:cs="Arial"/>
        </w:rPr>
        <w:t xml:space="preserve">., 2019; Amar </w:t>
      </w:r>
      <w:r w:rsidRPr="00205A41">
        <w:rPr>
          <w:rFonts w:ascii="Arial" w:hAnsi="Arial" w:cs="Arial"/>
          <w:i/>
          <w:iCs/>
        </w:rPr>
        <w:t>et al</w:t>
      </w:r>
      <w:r w:rsidRPr="00957AD3">
        <w:rPr>
          <w:rFonts w:ascii="Arial" w:hAnsi="Arial" w:cs="Arial"/>
        </w:rPr>
        <w:t xml:space="preserve">., 2024; </w:t>
      </w:r>
      <w:proofErr w:type="spellStart"/>
      <w:r w:rsidRPr="00957AD3">
        <w:rPr>
          <w:rFonts w:ascii="Arial" w:hAnsi="Arial" w:cs="Arial"/>
        </w:rPr>
        <w:t>Xilifu</w:t>
      </w:r>
      <w:proofErr w:type="spellEnd"/>
      <w:r w:rsidRPr="00957AD3">
        <w:rPr>
          <w:rFonts w:ascii="Arial" w:hAnsi="Arial" w:cs="Arial"/>
        </w:rPr>
        <w:t xml:space="preserve"> </w:t>
      </w:r>
      <w:r w:rsidRPr="00205A41">
        <w:rPr>
          <w:rFonts w:ascii="Arial" w:hAnsi="Arial" w:cs="Arial"/>
          <w:i/>
          <w:iCs/>
        </w:rPr>
        <w:t>et al</w:t>
      </w:r>
      <w:r w:rsidRPr="00957AD3">
        <w:rPr>
          <w:rFonts w:ascii="Arial" w:hAnsi="Arial" w:cs="Arial"/>
        </w:rPr>
        <w:t xml:space="preserve">., 2024; Patil and Bhattacharya, 2025; </w:t>
      </w:r>
      <w:proofErr w:type="spellStart"/>
      <w:r w:rsidRPr="00957AD3">
        <w:rPr>
          <w:rFonts w:ascii="Arial" w:hAnsi="Arial" w:cs="Arial"/>
        </w:rPr>
        <w:t>Tankasali</w:t>
      </w:r>
      <w:proofErr w:type="spellEnd"/>
      <w:r w:rsidRPr="00957AD3">
        <w:rPr>
          <w:rFonts w:ascii="Arial" w:hAnsi="Arial" w:cs="Arial"/>
        </w:rPr>
        <w:t xml:space="preserve"> </w:t>
      </w:r>
      <w:r w:rsidRPr="00205A41">
        <w:rPr>
          <w:rFonts w:ascii="Arial" w:hAnsi="Arial" w:cs="Arial"/>
          <w:i/>
          <w:iCs/>
        </w:rPr>
        <w:t>et al</w:t>
      </w:r>
      <w:r w:rsidRPr="00957AD3">
        <w:rPr>
          <w:rFonts w:ascii="Arial" w:hAnsi="Arial" w:cs="Arial"/>
        </w:rPr>
        <w:t xml:space="preserve">., 2025). Elevated serum uric acid levels can contribute to insulin resistance by inhibiting the insulin-mediated release of endothelial nitric oxide and directly impacting the adipocytes (Balasubramanian </w:t>
      </w:r>
      <w:r w:rsidRPr="00205A41">
        <w:rPr>
          <w:rFonts w:ascii="Arial" w:hAnsi="Arial" w:cs="Arial"/>
          <w:i/>
          <w:iCs/>
        </w:rPr>
        <w:t>et al</w:t>
      </w:r>
      <w:r w:rsidRPr="00957AD3">
        <w:rPr>
          <w:rFonts w:ascii="Arial" w:hAnsi="Arial" w:cs="Arial"/>
        </w:rPr>
        <w:t xml:space="preserve">., 2025). Pregnancies affected by GDM are associated with a higher risk of perinatal complications for both the mother and the baby (Balasubramanian </w:t>
      </w:r>
      <w:r w:rsidRPr="00205A41">
        <w:rPr>
          <w:rFonts w:ascii="Arial" w:hAnsi="Arial" w:cs="Arial"/>
          <w:i/>
          <w:iCs/>
        </w:rPr>
        <w:t>et al</w:t>
      </w:r>
      <w:r w:rsidRPr="00957AD3">
        <w:rPr>
          <w:rFonts w:ascii="Arial" w:hAnsi="Arial" w:cs="Arial"/>
        </w:rPr>
        <w:t>., 2025). Beyond doubling the maternal risks of hypertensive disorders, polyhydramnios and subsequent type 2 diabetes, GDM exerts intergenerational effects: in utero exposure programs offspring toward lifelong obesity, insulin resistance and cardiovascular disease (</w:t>
      </w:r>
      <w:proofErr w:type="spellStart"/>
      <w:r w:rsidRPr="00957AD3">
        <w:rPr>
          <w:rFonts w:ascii="Arial" w:hAnsi="Arial" w:cs="Arial"/>
        </w:rPr>
        <w:t>Abdollahi</w:t>
      </w:r>
      <w:proofErr w:type="spellEnd"/>
      <w:r w:rsidRPr="00957AD3">
        <w:rPr>
          <w:rFonts w:ascii="Arial" w:hAnsi="Arial" w:cs="Arial"/>
        </w:rPr>
        <w:t xml:space="preserve"> </w:t>
      </w:r>
      <w:r w:rsidRPr="00205A41">
        <w:rPr>
          <w:rFonts w:ascii="Arial" w:hAnsi="Arial" w:cs="Arial"/>
          <w:i/>
          <w:iCs/>
        </w:rPr>
        <w:t>et al</w:t>
      </w:r>
      <w:r w:rsidRPr="00957AD3">
        <w:rPr>
          <w:rFonts w:ascii="Arial" w:hAnsi="Arial" w:cs="Arial"/>
        </w:rPr>
        <w:t xml:space="preserve">., 2021; </w:t>
      </w:r>
      <w:proofErr w:type="spellStart"/>
      <w:r w:rsidRPr="00957AD3">
        <w:rPr>
          <w:rFonts w:ascii="Arial" w:hAnsi="Arial" w:cs="Arial"/>
        </w:rPr>
        <w:t>Abdollahi</w:t>
      </w:r>
      <w:proofErr w:type="spellEnd"/>
      <w:r w:rsidRPr="00957AD3">
        <w:rPr>
          <w:rFonts w:ascii="Arial" w:hAnsi="Arial" w:cs="Arial"/>
        </w:rPr>
        <w:t xml:space="preserve"> </w:t>
      </w:r>
      <w:r w:rsidRPr="00205A41">
        <w:rPr>
          <w:rFonts w:ascii="Arial" w:hAnsi="Arial" w:cs="Arial"/>
          <w:i/>
          <w:iCs/>
        </w:rPr>
        <w:t>et al</w:t>
      </w:r>
      <w:r w:rsidRPr="00957AD3">
        <w:rPr>
          <w:rFonts w:ascii="Arial" w:hAnsi="Arial" w:cs="Arial"/>
        </w:rPr>
        <w:t xml:space="preserve">., 2024; </w:t>
      </w:r>
      <w:proofErr w:type="spellStart"/>
      <w:r w:rsidRPr="00957AD3">
        <w:rPr>
          <w:rFonts w:ascii="Arial" w:hAnsi="Arial" w:cs="Arial"/>
        </w:rPr>
        <w:t>Ahmadishoar</w:t>
      </w:r>
      <w:proofErr w:type="spellEnd"/>
      <w:r w:rsidRPr="00957AD3">
        <w:rPr>
          <w:rFonts w:ascii="Arial" w:hAnsi="Arial" w:cs="Arial"/>
        </w:rPr>
        <w:t xml:space="preserve"> </w:t>
      </w:r>
      <w:r w:rsidRPr="00205A41">
        <w:rPr>
          <w:rFonts w:ascii="Arial" w:hAnsi="Arial" w:cs="Arial"/>
          <w:i/>
          <w:iCs/>
        </w:rPr>
        <w:t>et al</w:t>
      </w:r>
      <w:r w:rsidRPr="00957AD3">
        <w:rPr>
          <w:rFonts w:ascii="Arial" w:hAnsi="Arial" w:cs="Arial"/>
        </w:rPr>
        <w:t>., 2025).</w:t>
      </w:r>
    </w:p>
    <w:p w14:paraId="69B8D043" w14:textId="77777777" w:rsidR="00790ADA" w:rsidRPr="00FB3A86" w:rsidRDefault="00957AD3" w:rsidP="00205A41">
      <w:pPr>
        <w:pStyle w:val="Body"/>
        <w:rPr>
          <w:rFonts w:ascii="Arial" w:hAnsi="Arial" w:cs="Arial"/>
        </w:rPr>
      </w:pPr>
      <w:r w:rsidRPr="00957AD3">
        <w:rPr>
          <w:rFonts w:ascii="Arial" w:hAnsi="Arial" w:cs="Arial"/>
        </w:rPr>
        <w:t xml:space="preserve">The rationale of our study was to determine the prevalence of gout and gestational diabetes </w:t>
      </w:r>
      <w:proofErr w:type="gramStart"/>
      <w:r w:rsidRPr="00957AD3">
        <w:rPr>
          <w:rFonts w:ascii="Arial" w:hAnsi="Arial" w:cs="Arial"/>
        </w:rPr>
        <w:t>mellitus  in</w:t>
      </w:r>
      <w:proofErr w:type="gramEnd"/>
      <w:r w:rsidRPr="00957AD3">
        <w:rPr>
          <w:rFonts w:ascii="Arial" w:hAnsi="Arial" w:cs="Arial"/>
        </w:rPr>
        <w:t xml:space="preserve"> pregnant population with a high serum uric acid level.  Availability of evidence from </w:t>
      </w:r>
      <w:proofErr w:type="spellStart"/>
      <w:r w:rsidRPr="00957AD3">
        <w:rPr>
          <w:rFonts w:ascii="Arial" w:hAnsi="Arial" w:cs="Arial"/>
        </w:rPr>
        <w:t>Katsina</w:t>
      </w:r>
      <w:proofErr w:type="spellEnd"/>
      <w:r w:rsidRPr="00957AD3">
        <w:rPr>
          <w:rFonts w:ascii="Arial" w:hAnsi="Arial" w:cs="Arial"/>
        </w:rPr>
        <w:t xml:space="preserve"> state north-west Nigeria is limited in this regard. The results obtained from the research is essential for informed decision-making, policy formulation, and the development of targeted intervention.</w:t>
      </w:r>
    </w:p>
    <w:p w14:paraId="721A9A51" w14:textId="77777777" w:rsidR="00790ADA" w:rsidRPr="00FB3A86" w:rsidRDefault="00902823" w:rsidP="00957AD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9EF88F" w14:textId="77777777" w:rsidR="00957AD3" w:rsidRPr="00205A41" w:rsidRDefault="00205A41" w:rsidP="00957AD3">
      <w:pPr>
        <w:pStyle w:val="Body"/>
        <w:rPr>
          <w:rFonts w:ascii="Arial" w:hAnsi="Arial" w:cs="Arial"/>
          <w:b/>
          <w:bCs/>
          <w:sz w:val="22"/>
          <w:szCs w:val="22"/>
        </w:rPr>
      </w:pPr>
      <w:r w:rsidRPr="00205A41">
        <w:rPr>
          <w:rFonts w:ascii="Arial" w:hAnsi="Arial" w:cs="Arial"/>
          <w:b/>
          <w:bCs/>
          <w:sz w:val="22"/>
          <w:szCs w:val="22"/>
        </w:rPr>
        <w:t xml:space="preserve">2.1 </w:t>
      </w:r>
      <w:r w:rsidR="00957AD3" w:rsidRPr="00205A41">
        <w:rPr>
          <w:rFonts w:ascii="Arial" w:hAnsi="Arial" w:cs="Arial"/>
          <w:b/>
          <w:bCs/>
          <w:sz w:val="22"/>
          <w:szCs w:val="22"/>
        </w:rPr>
        <w:t>Research Design and Study Population</w:t>
      </w:r>
      <w:r w:rsidR="00957AD3" w:rsidRPr="00205A41">
        <w:rPr>
          <w:rFonts w:ascii="Arial" w:hAnsi="Arial" w:cs="Arial"/>
          <w:b/>
          <w:bCs/>
          <w:sz w:val="22"/>
          <w:szCs w:val="22"/>
        </w:rPr>
        <w:tab/>
      </w:r>
    </w:p>
    <w:p w14:paraId="4AB2456A" w14:textId="77777777" w:rsidR="00957AD3" w:rsidRPr="00957AD3" w:rsidRDefault="00957AD3" w:rsidP="00957AD3">
      <w:pPr>
        <w:pStyle w:val="Body"/>
        <w:rPr>
          <w:rFonts w:ascii="Arial" w:hAnsi="Arial" w:cs="Arial"/>
        </w:rPr>
      </w:pPr>
      <w:r w:rsidRPr="00957AD3">
        <w:rPr>
          <w:rFonts w:ascii="Arial" w:hAnsi="Arial" w:cs="Arial"/>
        </w:rPr>
        <w:t xml:space="preserve">A total of three (300) pregnant women attending antenatal care at maternity ward of </w:t>
      </w:r>
      <w:proofErr w:type="spellStart"/>
      <w:r w:rsidRPr="00957AD3">
        <w:rPr>
          <w:rFonts w:ascii="Arial" w:hAnsi="Arial" w:cs="Arial"/>
        </w:rPr>
        <w:t>Turai</w:t>
      </w:r>
      <w:proofErr w:type="spellEnd"/>
      <w:r w:rsidRPr="00957AD3">
        <w:rPr>
          <w:rFonts w:ascii="Arial" w:hAnsi="Arial" w:cs="Arial"/>
        </w:rPr>
        <w:t xml:space="preserve"> </w:t>
      </w:r>
      <w:proofErr w:type="spellStart"/>
      <w:r w:rsidRPr="00957AD3">
        <w:rPr>
          <w:rFonts w:ascii="Arial" w:hAnsi="Arial" w:cs="Arial"/>
        </w:rPr>
        <w:t>Yar’adua</w:t>
      </w:r>
      <w:proofErr w:type="spellEnd"/>
      <w:r w:rsidRPr="00957AD3">
        <w:rPr>
          <w:rFonts w:ascii="Arial" w:hAnsi="Arial" w:cs="Arial"/>
        </w:rPr>
        <w:t xml:space="preserve"> Maternal and Children Hospital </w:t>
      </w:r>
      <w:proofErr w:type="spellStart"/>
      <w:r w:rsidRPr="00957AD3">
        <w:rPr>
          <w:rFonts w:ascii="Arial" w:hAnsi="Arial" w:cs="Arial"/>
        </w:rPr>
        <w:t>Katsina</w:t>
      </w:r>
      <w:proofErr w:type="spellEnd"/>
      <w:r w:rsidRPr="00957AD3">
        <w:rPr>
          <w:rFonts w:ascii="Arial" w:hAnsi="Arial" w:cs="Arial"/>
        </w:rPr>
        <w:t xml:space="preserve"> were studied in this research work. All the subjects were diagnosed for complain on any form of illness and screened for </w:t>
      </w:r>
      <w:proofErr w:type="spellStart"/>
      <w:r w:rsidRPr="00957AD3">
        <w:rPr>
          <w:rFonts w:ascii="Arial" w:hAnsi="Arial" w:cs="Arial"/>
        </w:rPr>
        <w:t>oedema</w:t>
      </w:r>
      <w:proofErr w:type="spellEnd"/>
      <w:r w:rsidRPr="00957AD3">
        <w:rPr>
          <w:rFonts w:ascii="Arial" w:hAnsi="Arial" w:cs="Arial"/>
        </w:rPr>
        <w:t xml:space="preserve"> and gestational diabetes prior to blood sample collection. The serum uric acid level, blood glucose level, and bilateral pitting </w:t>
      </w:r>
      <w:proofErr w:type="spellStart"/>
      <w:r w:rsidRPr="00957AD3">
        <w:rPr>
          <w:rFonts w:ascii="Arial" w:hAnsi="Arial" w:cs="Arial"/>
        </w:rPr>
        <w:t>oedema</w:t>
      </w:r>
      <w:proofErr w:type="spellEnd"/>
      <w:r w:rsidRPr="00957AD3">
        <w:rPr>
          <w:rFonts w:ascii="Arial" w:hAnsi="Arial" w:cs="Arial"/>
        </w:rPr>
        <w:t xml:space="preserve"> were monitored in the 1</w:t>
      </w:r>
      <w:r w:rsidRPr="00957AD3">
        <w:rPr>
          <w:rFonts w:ascii="Arial" w:hAnsi="Arial" w:cs="Arial"/>
          <w:vertAlign w:val="superscript"/>
        </w:rPr>
        <w:t>st</w:t>
      </w:r>
      <w:r w:rsidRPr="00957AD3">
        <w:rPr>
          <w:rFonts w:ascii="Arial" w:hAnsi="Arial" w:cs="Arial"/>
        </w:rPr>
        <w:t>, 2</w:t>
      </w:r>
      <w:r w:rsidRPr="00957AD3">
        <w:rPr>
          <w:rFonts w:ascii="Arial" w:hAnsi="Arial" w:cs="Arial"/>
          <w:vertAlign w:val="superscript"/>
        </w:rPr>
        <w:t>nd</w:t>
      </w:r>
      <w:r w:rsidRPr="00957AD3">
        <w:rPr>
          <w:rFonts w:ascii="Arial" w:hAnsi="Arial" w:cs="Arial"/>
        </w:rPr>
        <w:t xml:space="preserve"> and 3rd trimesters of the pregnant women.</w:t>
      </w:r>
    </w:p>
    <w:p w14:paraId="341DC794" w14:textId="77777777" w:rsidR="00957AD3" w:rsidRPr="00205A41" w:rsidRDefault="00205A41" w:rsidP="00957AD3">
      <w:pPr>
        <w:pStyle w:val="Body"/>
        <w:rPr>
          <w:rFonts w:ascii="Arial" w:hAnsi="Arial" w:cs="Arial"/>
          <w:b/>
          <w:bCs/>
          <w:sz w:val="22"/>
          <w:szCs w:val="22"/>
        </w:rPr>
      </w:pPr>
      <w:r w:rsidRPr="00205A41">
        <w:rPr>
          <w:rFonts w:ascii="Arial" w:hAnsi="Arial" w:cs="Arial"/>
          <w:b/>
          <w:bCs/>
          <w:sz w:val="22"/>
          <w:szCs w:val="22"/>
        </w:rPr>
        <w:t xml:space="preserve">2.2 </w:t>
      </w:r>
      <w:r w:rsidR="00957AD3" w:rsidRPr="00205A41">
        <w:rPr>
          <w:rFonts w:ascii="Arial" w:hAnsi="Arial" w:cs="Arial"/>
          <w:b/>
          <w:bCs/>
          <w:sz w:val="22"/>
          <w:szCs w:val="22"/>
        </w:rPr>
        <w:t>Collection and handling of blood samples</w:t>
      </w:r>
    </w:p>
    <w:p w14:paraId="757E566C" w14:textId="77777777" w:rsidR="00957AD3" w:rsidRPr="00957AD3" w:rsidRDefault="00957AD3" w:rsidP="00957AD3">
      <w:pPr>
        <w:pStyle w:val="Body"/>
        <w:rPr>
          <w:rFonts w:ascii="Arial" w:hAnsi="Arial" w:cs="Arial"/>
        </w:rPr>
      </w:pPr>
      <w:r w:rsidRPr="00957AD3">
        <w:rPr>
          <w:rFonts w:ascii="Arial" w:hAnsi="Arial" w:cs="Arial"/>
        </w:rPr>
        <w:t>The blood sample collection was carefully carried out by phlebotomists following the standard procedures of National Committee for Clinical Laboratory Standards (1991). The samples were collected in the non-fasting state by venipuncture from the median cubital vein in the antecubital fossa of the forearm, using sterile syringes and needles</w:t>
      </w:r>
    </w:p>
    <w:p w14:paraId="0AC66F63" w14:textId="77777777" w:rsidR="00957AD3" w:rsidRPr="00205A41" w:rsidRDefault="00205A41" w:rsidP="00957AD3">
      <w:pPr>
        <w:pStyle w:val="Body"/>
        <w:rPr>
          <w:rFonts w:ascii="Arial" w:hAnsi="Arial" w:cs="Arial"/>
          <w:b/>
          <w:bCs/>
          <w:sz w:val="22"/>
          <w:szCs w:val="22"/>
        </w:rPr>
      </w:pPr>
      <w:r w:rsidRPr="00205A41">
        <w:rPr>
          <w:rFonts w:ascii="Arial" w:hAnsi="Arial" w:cs="Arial"/>
          <w:b/>
          <w:bCs/>
          <w:sz w:val="22"/>
          <w:szCs w:val="22"/>
        </w:rPr>
        <w:t xml:space="preserve">2.3 </w:t>
      </w:r>
      <w:r w:rsidR="00957AD3" w:rsidRPr="00205A41">
        <w:rPr>
          <w:rFonts w:ascii="Arial" w:hAnsi="Arial" w:cs="Arial"/>
          <w:b/>
          <w:bCs/>
          <w:sz w:val="22"/>
          <w:szCs w:val="22"/>
        </w:rPr>
        <w:t>Serum uric acid level test</w:t>
      </w:r>
    </w:p>
    <w:p w14:paraId="79ABF012" w14:textId="77777777" w:rsidR="00957AD3" w:rsidRPr="00957AD3" w:rsidRDefault="00957AD3" w:rsidP="00205A41">
      <w:pPr>
        <w:pStyle w:val="Body"/>
        <w:rPr>
          <w:rFonts w:ascii="Arial" w:hAnsi="Arial" w:cs="Arial"/>
        </w:rPr>
      </w:pPr>
      <w:r w:rsidRPr="00957AD3">
        <w:rPr>
          <w:rFonts w:ascii="Arial" w:hAnsi="Arial" w:cs="Arial"/>
        </w:rPr>
        <w:t>Serum uric acid level was determined by modified Caraway Method (1955) (</w:t>
      </w:r>
      <w:proofErr w:type="spellStart"/>
      <w:r w:rsidRPr="00957AD3">
        <w:rPr>
          <w:rFonts w:ascii="Arial" w:hAnsi="Arial" w:cs="Arial"/>
        </w:rPr>
        <w:t>Randox</w:t>
      </w:r>
      <w:proofErr w:type="spellEnd"/>
      <w:r w:rsidRPr="00957AD3">
        <w:rPr>
          <w:rFonts w:ascii="Arial" w:hAnsi="Arial" w:cs="Arial"/>
        </w:rPr>
        <w:t xml:space="preserve"> kit). The principle of this technique is that uric acid is converted by uricase to allantoin and hydrogen peroxide, which under catalytic influence of peroxidase, oxidizes 3,5 </w:t>
      </w:r>
      <w:proofErr w:type="spellStart"/>
      <w:r w:rsidRPr="00957AD3">
        <w:rPr>
          <w:rFonts w:ascii="Arial" w:hAnsi="Arial" w:cs="Arial"/>
        </w:rPr>
        <w:t>dichloro</w:t>
      </w:r>
      <w:proofErr w:type="spellEnd"/>
      <w:r w:rsidRPr="00957AD3">
        <w:rPr>
          <w:rFonts w:ascii="Arial" w:hAnsi="Arial" w:cs="Arial"/>
        </w:rPr>
        <w:t xml:space="preserve"> -2-hydroxybenzenesulfonic acid and 4-aminophenazone to form a red-violet quinonimine compound complex which can be measured Colorimeter at 520nm.</w:t>
      </w:r>
    </w:p>
    <w:p w14:paraId="5425CAD7" w14:textId="77777777" w:rsidR="00957AD3" w:rsidRPr="00205A41" w:rsidRDefault="00205A41" w:rsidP="00957AD3">
      <w:pPr>
        <w:pStyle w:val="Body"/>
        <w:rPr>
          <w:rFonts w:ascii="Arial" w:hAnsi="Arial" w:cs="Arial"/>
          <w:b/>
          <w:bCs/>
          <w:sz w:val="22"/>
          <w:szCs w:val="22"/>
        </w:rPr>
      </w:pPr>
      <w:r w:rsidRPr="00205A41">
        <w:rPr>
          <w:rFonts w:ascii="Arial" w:hAnsi="Arial" w:cs="Arial"/>
          <w:b/>
          <w:bCs/>
          <w:sz w:val="22"/>
          <w:szCs w:val="22"/>
        </w:rPr>
        <w:t xml:space="preserve">2.4 </w:t>
      </w:r>
      <w:r w:rsidR="00957AD3" w:rsidRPr="00205A41">
        <w:rPr>
          <w:rFonts w:ascii="Arial" w:hAnsi="Arial" w:cs="Arial"/>
          <w:b/>
          <w:bCs/>
          <w:sz w:val="22"/>
          <w:szCs w:val="22"/>
        </w:rPr>
        <w:t>Blood glucose test</w:t>
      </w:r>
    </w:p>
    <w:p w14:paraId="48E36DF3" w14:textId="77777777" w:rsidR="00957AD3" w:rsidRPr="00957AD3" w:rsidRDefault="00957AD3" w:rsidP="00957AD3">
      <w:pPr>
        <w:pStyle w:val="Body"/>
        <w:rPr>
          <w:rFonts w:ascii="Arial" w:hAnsi="Arial" w:cs="Arial"/>
        </w:rPr>
      </w:pPr>
      <w:r w:rsidRPr="00957AD3">
        <w:rPr>
          <w:rFonts w:ascii="Arial" w:hAnsi="Arial" w:cs="Arial"/>
        </w:rPr>
        <w:t xml:space="preserve">The Glucometer (one touch blood glucose monitoring meter and test strips) were used for the assay. This method is based on the reaction of glucose and oxygen in the presence of glucose oxidase (GOD) to yield gluconic acid and hydrogen peroxide. The hydrogen peroxide formed subsequently reacts under catalysis of peroxidase (POD), with phenol and 4 </w:t>
      </w:r>
      <w:proofErr w:type="spellStart"/>
      <w:r w:rsidRPr="00957AD3">
        <w:rPr>
          <w:rFonts w:ascii="Arial" w:hAnsi="Arial" w:cs="Arial"/>
        </w:rPr>
        <w:t>aminophenazone</w:t>
      </w:r>
      <w:proofErr w:type="spellEnd"/>
      <w:r w:rsidRPr="00957AD3">
        <w:rPr>
          <w:rFonts w:ascii="Arial" w:hAnsi="Arial" w:cs="Arial"/>
        </w:rPr>
        <w:t xml:space="preserve"> to form a red-violet quinonimine dye as indicator. The intensity of the </w:t>
      </w:r>
      <w:proofErr w:type="spellStart"/>
      <w:r w:rsidRPr="00957AD3">
        <w:rPr>
          <w:rFonts w:ascii="Arial" w:hAnsi="Arial" w:cs="Arial"/>
        </w:rPr>
        <w:t>colour</w:t>
      </w:r>
      <w:proofErr w:type="spellEnd"/>
      <w:r w:rsidRPr="00957AD3">
        <w:rPr>
          <w:rFonts w:ascii="Arial" w:hAnsi="Arial" w:cs="Arial"/>
        </w:rPr>
        <w:t xml:space="preserve"> is proportional to the glucose concentration in the sample was read from the one touch glucometer. Random blood sample of the pregnant women was analyzed with the glucometer and the results obtained were recorded.</w:t>
      </w:r>
    </w:p>
    <w:p w14:paraId="57FDE6EE" w14:textId="77777777" w:rsidR="00957AD3" w:rsidRPr="00205A41" w:rsidRDefault="00205A41" w:rsidP="00205A41">
      <w:pPr>
        <w:pStyle w:val="Body"/>
        <w:jc w:val="left"/>
        <w:rPr>
          <w:rFonts w:ascii="Arial" w:hAnsi="Arial" w:cs="Arial"/>
          <w:b/>
          <w:bCs/>
          <w:sz w:val="22"/>
          <w:szCs w:val="22"/>
        </w:rPr>
      </w:pPr>
      <w:r w:rsidRPr="00205A41">
        <w:rPr>
          <w:rFonts w:ascii="Arial" w:hAnsi="Arial" w:cs="Arial"/>
          <w:b/>
          <w:bCs/>
          <w:sz w:val="22"/>
          <w:szCs w:val="22"/>
        </w:rPr>
        <w:lastRenderedPageBreak/>
        <w:t xml:space="preserve">2.5 </w:t>
      </w:r>
      <w:proofErr w:type="spellStart"/>
      <w:r w:rsidRPr="00205A41">
        <w:rPr>
          <w:rFonts w:ascii="Arial" w:hAnsi="Arial" w:cs="Arial"/>
          <w:b/>
          <w:bCs/>
          <w:sz w:val="22"/>
          <w:szCs w:val="22"/>
        </w:rPr>
        <w:t>Oedema</w:t>
      </w:r>
      <w:proofErr w:type="spellEnd"/>
      <w:r w:rsidR="00957AD3" w:rsidRPr="00205A41">
        <w:rPr>
          <w:rFonts w:ascii="Arial" w:hAnsi="Arial" w:cs="Arial"/>
          <w:b/>
          <w:bCs/>
          <w:sz w:val="22"/>
          <w:szCs w:val="22"/>
        </w:rPr>
        <w:t xml:space="preserve"> screening</w:t>
      </w:r>
    </w:p>
    <w:p w14:paraId="429128A1" w14:textId="77777777" w:rsidR="00957AD3" w:rsidRPr="00957AD3" w:rsidRDefault="00957AD3" w:rsidP="00957AD3">
      <w:pPr>
        <w:pStyle w:val="Body"/>
        <w:rPr>
          <w:rFonts w:ascii="Arial" w:hAnsi="Arial" w:cs="Arial"/>
        </w:rPr>
      </w:pPr>
      <w:proofErr w:type="spellStart"/>
      <w:r w:rsidRPr="00957AD3">
        <w:rPr>
          <w:rFonts w:ascii="Arial" w:hAnsi="Arial" w:cs="Arial"/>
        </w:rPr>
        <w:t>Oedema</w:t>
      </w:r>
      <w:proofErr w:type="spellEnd"/>
      <w:r w:rsidRPr="00957AD3">
        <w:rPr>
          <w:rFonts w:ascii="Arial" w:hAnsi="Arial" w:cs="Arial"/>
        </w:rPr>
        <w:t xml:space="preserve"> was screened typically by bilateral pitting checking. The feet of the pregnant women were pressed for 5 seconds and then released to check for pitting. Any pitting that lasted longer than 5 seconds before it disappeared was recorded positive.</w:t>
      </w:r>
    </w:p>
    <w:p w14:paraId="55D07F1B" w14:textId="77777777" w:rsidR="00957AD3" w:rsidRPr="00205A41" w:rsidRDefault="00205A41" w:rsidP="00957AD3">
      <w:pPr>
        <w:pStyle w:val="Body"/>
        <w:rPr>
          <w:rFonts w:ascii="Arial" w:hAnsi="Arial" w:cs="Arial"/>
          <w:b/>
          <w:bCs/>
          <w:sz w:val="22"/>
          <w:szCs w:val="22"/>
        </w:rPr>
      </w:pPr>
      <w:r w:rsidRPr="00205A41">
        <w:rPr>
          <w:rFonts w:ascii="Arial" w:hAnsi="Arial" w:cs="Arial"/>
          <w:b/>
          <w:bCs/>
          <w:sz w:val="22"/>
          <w:szCs w:val="22"/>
        </w:rPr>
        <w:t xml:space="preserve">2.6 </w:t>
      </w:r>
      <w:r w:rsidR="00957AD3" w:rsidRPr="00205A41">
        <w:rPr>
          <w:rFonts w:ascii="Arial" w:hAnsi="Arial" w:cs="Arial"/>
          <w:b/>
          <w:bCs/>
          <w:sz w:val="22"/>
          <w:szCs w:val="22"/>
        </w:rPr>
        <w:t>Statistical analysis</w:t>
      </w:r>
    </w:p>
    <w:p w14:paraId="3AA907C0" w14:textId="77777777" w:rsidR="00790ADA" w:rsidRDefault="00957AD3" w:rsidP="007E005C">
      <w:pPr>
        <w:pStyle w:val="Body"/>
        <w:spacing w:after="0"/>
        <w:rPr>
          <w:rFonts w:ascii="Arial" w:hAnsi="Arial" w:cs="Arial"/>
        </w:rPr>
      </w:pPr>
      <w:r w:rsidRPr="00957AD3">
        <w:rPr>
          <w:rFonts w:ascii="Arial" w:hAnsi="Arial" w:cs="Arial"/>
        </w:rPr>
        <w:t xml:space="preserve">SPPSS tool was used in this study. The mean and standard deviation of the serum uric acid level, random blood glucose level, and aged were computed. Correlation studies were carried out using the Duncan Test function of the SPPS </w:t>
      </w:r>
    </w:p>
    <w:p w14:paraId="019B1B88" w14:textId="77777777" w:rsidR="002E0D56" w:rsidRDefault="002E0D56" w:rsidP="00441B6F">
      <w:pPr>
        <w:pStyle w:val="Body"/>
        <w:spacing w:after="0"/>
        <w:rPr>
          <w:rFonts w:ascii="Arial" w:hAnsi="Arial" w:cs="Arial"/>
        </w:rPr>
      </w:pPr>
    </w:p>
    <w:p w14:paraId="367BEE86" w14:textId="77777777" w:rsidR="00790ADA" w:rsidRPr="00FB3A86" w:rsidRDefault="00790ADA" w:rsidP="00441B6F">
      <w:pPr>
        <w:pStyle w:val="Body"/>
        <w:spacing w:after="0"/>
        <w:rPr>
          <w:rFonts w:ascii="Arial" w:hAnsi="Arial" w:cs="Arial"/>
        </w:rPr>
      </w:pPr>
    </w:p>
    <w:p w14:paraId="4B7A54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F38804" w14:textId="77777777" w:rsidR="00790ADA" w:rsidRPr="00FB3A86" w:rsidRDefault="00790ADA" w:rsidP="00441B6F">
      <w:pPr>
        <w:pStyle w:val="Head1"/>
        <w:spacing w:after="0"/>
        <w:jc w:val="both"/>
        <w:rPr>
          <w:rFonts w:ascii="Arial" w:hAnsi="Arial" w:cs="Arial"/>
        </w:rPr>
      </w:pPr>
    </w:p>
    <w:p w14:paraId="26B607E0" w14:textId="77777777" w:rsidR="00A654C5" w:rsidRDefault="00A654C5" w:rsidP="00441B6F">
      <w:pPr>
        <w:pStyle w:val="Body"/>
        <w:spacing w:after="0"/>
        <w:rPr>
          <w:rFonts w:ascii="Arial" w:hAnsi="Arial" w:cs="Arial"/>
        </w:rPr>
      </w:pPr>
      <w:r w:rsidRPr="00A654C5">
        <w:rPr>
          <w:rFonts w:ascii="Arial" w:hAnsi="Arial" w:cs="Arial"/>
        </w:rPr>
        <w:t xml:space="preserve">The results of this study were presented in Table 1 and 2 and Figure 1 and 3.  The average years of the subjects, uric acid level in (µmol/L), average blood sugar level in (mmol/L) and presence or absence of </w:t>
      </w:r>
      <w:proofErr w:type="spellStart"/>
      <w:r w:rsidRPr="00A654C5">
        <w:rPr>
          <w:rFonts w:ascii="Arial" w:hAnsi="Arial" w:cs="Arial"/>
        </w:rPr>
        <w:t>oedema</w:t>
      </w:r>
      <w:proofErr w:type="spellEnd"/>
      <w:r w:rsidRPr="00A654C5">
        <w:rPr>
          <w:rFonts w:ascii="Arial" w:hAnsi="Arial" w:cs="Arial"/>
        </w:rPr>
        <w:t xml:space="preserve"> with respect to each trimes</w:t>
      </w:r>
      <w:r w:rsidR="00462C7A">
        <w:rPr>
          <w:rFonts w:ascii="Arial" w:hAnsi="Arial" w:cs="Arial"/>
        </w:rPr>
        <w:t xml:space="preserve">ter. An average of 344.23 </w:t>
      </w:r>
      <w:r w:rsidRPr="00A654C5">
        <w:rPr>
          <w:rFonts w:ascii="Arial" w:hAnsi="Arial" w:cs="Arial"/>
        </w:rPr>
        <w:t xml:space="preserve">µmol/L </w:t>
      </w:r>
      <w:r w:rsidR="00462C7A">
        <w:rPr>
          <w:rFonts w:ascii="Arial" w:hAnsi="Arial" w:cs="Arial"/>
        </w:rPr>
        <w:t xml:space="preserve">for 1st trimester, 394.22 </w:t>
      </w:r>
      <w:r w:rsidRPr="00A654C5">
        <w:rPr>
          <w:rFonts w:ascii="Arial" w:hAnsi="Arial" w:cs="Arial"/>
        </w:rPr>
        <w:t xml:space="preserve">µmol/L for </w:t>
      </w:r>
      <w:r w:rsidR="00462C7A">
        <w:rPr>
          <w:rFonts w:ascii="Arial" w:hAnsi="Arial" w:cs="Arial"/>
        </w:rPr>
        <w:t xml:space="preserve">2nd trimester and 455.40 </w:t>
      </w:r>
      <w:r w:rsidRPr="00A654C5">
        <w:rPr>
          <w:rFonts w:ascii="Arial" w:hAnsi="Arial" w:cs="Arial"/>
        </w:rPr>
        <w:t>µmol/L for 3rd trimester serum uric acid level was observed in the pregnant women compared to the standard reference range with upper limit of serum urate level of 380</w:t>
      </w:r>
      <w:r w:rsidR="00462C7A">
        <w:rPr>
          <w:rFonts w:ascii="Arial" w:hAnsi="Arial" w:cs="Arial"/>
        </w:rPr>
        <w:t xml:space="preserve"> </w:t>
      </w:r>
      <w:r w:rsidRPr="00A654C5">
        <w:rPr>
          <w:rFonts w:ascii="Arial" w:hAnsi="Arial" w:cs="Arial"/>
        </w:rPr>
        <w:t xml:space="preserve">µmol/L for women. Elevation in serum uric acid levels was observed with increased in the age of pregnancy with the third trimester having the highest average as compared to the first and second trimesters. No correlation was observed between age of pregnant women and serum urate level or blood glucose level Table 2. Based on Duncan test, there is positive correlation between trimester and uric acid (P&lt;0.05). However, the strength of the correlation (trimester versus uric acid) was weak (0.242). There is no correlation between Trimester and blood sugar level (P&lt;0.04).  There was a weak negative correlation between Uric acid and blood sugar level (P&lt;0.09); </w:t>
      </w:r>
    </w:p>
    <w:p w14:paraId="3058F11F" w14:textId="77777777" w:rsidR="00205A41" w:rsidRDefault="00205A41" w:rsidP="00441B6F">
      <w:pPr>
        <w:pStyle w:val="Body"/>
        <w:spacing w:after="0"/>
        <w:rPr>
          <w:rFonts w:ascii="Arial" w:hAnsi="Arial" w:cs="Arial"/>
        </w:rPr>
      </w:pPr>
    </w:p>
    <w:p w14:paraId="5F26F672" w14:textId="77777777" w:rsidR="00A654C5" w:rsidRPr="003F46D4" w:rsidRDefault="00A654C5" w:rsidP="00A654C5">
      <w:pPr>
        <w:pStyle w:val="Caption"/>
        <w:spacing w:after="0"/>
        <w:jc w:val="both"/>
        <w:rPr>
          <w:rFonts w:asciiTheme="minorBidi" w:hAnsiTheme="minorBidi" w:cstheme="minorBidi"/>
          <w:b w:val="0"/>
          <w:color w:val="000000"/>
          <w:sz w:val="20"/>
          <w:szCs w:val="20"/>
        </w:rPr>
      </w:pPr>
      <w:bookmarkStart w:id="0" w:name="_Toc450603046"/>
      <w:r w:rsidRPr="003F46D4">
        <w:rPr>
          <w:rFonts w:asciiTheme="minorBidi" w:hAnsiTheme="minorBidi" w:cstheme="minorBidi"/>
          <w:color w:val="000000"/>
          <w:sz w:val="20"/>
          <w:szCs w:val="20"/>
        </w:rPr>
        <w:t xml:space="preserve">Table 1: Levels of Uric Acid and Blood Sugar in the Corresponding Trimesters of the Pregnant Subjects </w:t>
      </w:r>
      <w:bookmarkEnd w:id="0"/>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630"/>
        <w:gridCol w:w="1440"/>
        <w:gridCol w:w="2070"/>
        <w:gridCol w:w="1350"/>
        <w:gridCol w:w="1656"/>
      </w:tblGrid>
      <w:tr w:rsidR="00A654C5" w:rsidRPr="003F46D4" w14:paraId="7663D5CC" w14:textId="77777777" w:rsidTr="00A654C5">
        <w:trPr>
          <w:trHeight w:val="521"/>
        </w:trPr>
        <w:tc>
          <w:tcPr>
            <w:tcW w:w="1440" w:type="dxa"/>
            <w:tcBorders>
              <w:top w:val="single" w:sz="4" w:space="0" w:color="000000"/>
              <w:left w:val="nil"/>
              <w:bottom w:val="single" w:sz="4" w:space="0" w:color="000000"/>
              <w:right w:val="single" w:sz="4" w:space="0" w:color="FFFFFF"/>
            </w:tcBorders>
          </w:tcPr>
          <w:p w14:paraId="74C9587D" w14:textId="77777777" w:rsidR="00A654C5" w:rsidRPr="003F46D4" w:rsidRDefault="00A654C5">
            <w:pPr>
              <w:rPr>
                <w:rFonts w:asciiTheme="minorBidi" w:hAnsiTheme="minorBidi" w:cstheme="minorBidi"/>
                <w:lang w:val="en-GB"/>
              </w:rPr>
            </w:pPr>
            <w:r w:rsidRPr="003F46D4">
              <w:rPr>
                <w:rFonts w:asciiTheme="minorBidi" w:hAnsiTheme="minorBidi" w:cstheme="minorBidi"/>
              </w:rPr>
              <w:t>Trimester</w:t>
            </w:r>
          </w:p>
          <w:p w14:paraId="6B54B4E2" w14:textId="77777777" w:rsidR="00A654C5" w:rsidRPr="003F46D4" w:rsidRDefault="00A654C5">
            <w:pPr>
              <w:rPr>
                <w:rFonts w:asciiTheme="minorBidi" w:hAnsiTheme="minorBidi" w:cstheme="minorBidi"/>
                <w:lang w:val="en-GB"/>
              </w:rPr>
            </w:pPr>
          </w:p>
        </w:tc>
        <w:tc>
          <w:tcPr>
            <w:tcW w:w="630" w:type="dxa"/>
            <w:tcBorders>
              <w:top w:val="single" w:sz="4" w:space="0" w:color="000000"/>
              <w:left w:val="nil"/>
              <w:bottom w:val="single" w:sz="4" w:space="0" w:color="000000"/>
              <w:right w:val="single" w:sz="4" w:space="0" w:color="FFFFFF"/>
            </w:tcBorders>
          </w:tcPr>
          <w:p w14:paraId="2BAC3D83" w14:textId="77777777" w:rsidR="00A654C5" w:rsidRPr="003F46D4" w:rsidRDefault="00A654C5">
            <w:pPr>
              <w:rPr>
                <w:rFonts w:asciiTheme="minorBidi" w:hAnsiTheme="minorBidi" w:cstheme="minorBidi"/>
                <w:lang w:val="en-GB"/>
              </w:rPr>
            </w:pPr>
            <w:r w:rsidRPr="003F46D4">
              <w:rPr>
                <w:rFonts w:asciiTheme="minorBidi" w:hAnsiTheme="minorBidi" w:cstheme="minorBidi"/>
              </w:rPr>
              <w:t>N</w:t>
            </w:r>
          </w:p>
          <w:p w14:paraId="09C0845D" w14:textId="77777777" w:rsidR="00A654C5" w:rsidRPr="003F46D4" w:rsidRDefault="00A654C5">
            <w:pPr>
              <w:rPr>
                <w:rFonts w:asciiTheme="minorBidi" w:hAnsiTheme="minorBidi" w:cstheme="minorBidi"/>
                <w:lang w:val="en-GB"/>
              </w:rPr>
            </w:pPr>
          </w:p>
        </w:tc>
        <w:tc>
          <w:tcPr>
            <w:tcW w:w="1440" w:type="dxa"/>
            <w:tcBorders>
              <w:top w:val="single" w:sz="4" w:space="0" w:color="000000"/>
              <w:left w:val="single" w:sz="4" w:space="0" w:color="FFFFFF"/>
              <w:bottom w:val="single" w:sz="4" w:space="0" w:color="000000"/>
              <w:right w:val="nil"/>
            </w:tcBorders>
          </w:tcPr>
          <w:p w14:paraId="39A298FC" w14:textId="77777777" w:rsidR="00A654C5" w:rsidRPr="003F46D4" w:rsidRDefault="00A654C5">
            <w:pPr>
              <w:rPr>
                <w:rFonts w:asciiTheme="minorBidi" w:hAnsiTheme="minorBidi" w:cstheme="minorBidi"/>
                <w:lang w:val="en-GB"/>
              </w:rPr>
            </w:pPr>
            <w:r w:rsidRPr="003F46D4">
              <w:rPr>
                <w:rFonts w:asciiTheme="minorBidi" w:hAnsiTheme="minorBidi" w:cstheme="minorBidi"/>
              </w:rPr>
              <w:t>Average Age (Years)</w:t>
            </w:r>
          </w:p>
          <w:p w14:paraId="2DD3D40A" w14:textId="77777777" w:rsidR="00A654C5" w:rsidRPr="003F46D4" w:rsidRDefault="00A654C5">
            <w:pPr>
              <w:rPr>
                <w:rFonts w:asciiTheme="minorBidi" w:hAnsiTheme="minorBidi" w:cstheme="minorBidi"/>
                <w:lang w:val="en-GB"/>
              </w:rPr>
            </w:pPr>
          </w:p>
        </w:tc>
        <w:tc>
          <w:tcPr>
            <w:tcW w:w="2070" w:type="dxa"/>
            <w:tcBorders>
              <w:top w:val="single" w:sz="4" w:space="0" w:color="000000"/>
              <w:left w:val="single" w:sz="4" w:space="0" w:color="FFFFFF"/>
              <w:bottom w:val="single" w:sz="4" w:space="0" w:color="000000"/>
              <w:right w:val="nil"/>
            </w:tcBorders>
          </w:tcPr>
          <w:p w14:paraId="327A4AF7" w14:textId="77777777" w:rsidR="00A654C5" w:rsidRPr="003F46D4" w:rsidRDefault="00A654C5">
            <w:pPr>
              <w:rPr>
                <w:rFonts w:asciiTheme="minorBidi" w:hAnsiTheme="minorBidi" w:cstheme="minorBidi"/>
                <w:lang w:val="en-GB"/>
              </w:rPr>
            </w:pPr>
            <w:r w:rsidRPr="003F46D4">
              <w:rPr>
                <w:rFonts w:asciiTheme="minorBidi" w:hAnsiTheme="minorBidi" w:cstheme="minorBidi"/>
              </w:rPr>
              <w:t xml:space="preserve">Uric Acid </w:t>
            </w:r>
          </w:p>
          <w:p w14:paraId="189ABC93" w14:textId="77777777" w:rsidR="00A654C5" w:rsidRPr="003F46D4" w:rsidRDefault="00A654C5">
            <w:pPr>
              <w:rPr>
                <w:rFonts w:asciiTheme="minorBidi" w:hAnsiTheme="minorBidi" w:cstheme="minorBidi"/>
              </w:rPr>
            </w:pPr>
            <w:r w:rsidRPr="003F46D4">
              <w:rPr>
                <w:rFonts w:asciiTheme="minorBidi" w:hAnsiTheme="minorBidi" w:cstheme="minorBidi"/>
              </w:rPr>
              <w:t>(µmol/L)</w:t>
            </w:r>
          </w:p>
          <w:p w14:paraId="03411AE3" w14:textId="77777777" w:rsidR="00A654C5" w:rsidRPr="003F46D4" w:rsidRDefault="00A654C5">
            <w:pPr>
              <w:rPr>
                <w:rFonts w:asciiTheme="minorBidi" w:hAnsiTheme="minorBidi" w:cstheme="minorBidi"/>
                <w:lang w:val="en-GB"/>
              </w:rPr>
            </w:pPr>
          </w:p>
        </w:tc>
        <w:tc>
          <w:tcPr>
            <w:tcW w:w="1350" w:type="dxa"/>
            <w:tcBorders>
              <w:top w:val="single" w:sz="4" w:space="0" w:color="000000"/>
              <w:left w:val="single" w:sz="4" w:space="0" w:color="FFFFFF"/>
              <w:bottom w:val="single" w:sz="4" w:space="0" w:color="000000"/>
              <w:right w:val="nil"/>
            </w:tcBorders>
          </w:tcPr>
          <w:p w14:paraId="73B134E1" w14:textId="77777777" w:rsidR="00A654C5" w:rsidRPr="003F46D4" w:rsidRDefault="00A654C5">
            <w:pPr>
              <w:rPr>
                <w:rFonts w:asciiTheme="minorBidi" w:hAnsiTheme="minorBidi" w:cstheme="minorBidi"/>
                <w:lang w:val="en-GB"/>
              </w:rPr>
            </w:pPr>
            <w:r w:rsidRPr="003F46D4">
              <w:rPr>
                <w:rFonts w:asciiTheme="minorBidi" w:hAnsiTheme="minorBidi" w:cstheme="minorBidi"/>
              </w:rPr>
              <w:t xml:space="preserve">Blood Sugar </w:t>
            </w:r>
          </w:p>
          <w:p w14:paraId="70468157" w14:textId="77777777" w:rsidR="00A654C5" w:rsidRPr="003F46D4" w:rsidRDefault="00A654C5">
            <w:pPr>
              <w:rPr>
                <w:rFonts w:asciiTheme="minorBidi" w:hAnsiTheme="minorBidi" w:cstheme="minorBidi"/>
              </w:rPr>
            </w:pPr>
            <w:r w:rsidRPr="003F46D4">
              <w:rPr>
                <w:rFonts w:asciiTheme="minorBidi" w:hAnsiTheme="minorBidi" w:cstheme="minorBidi"/>
              </w:rPr>
              <w:t>(mmol/L)</w:t>
            </w:r>
          </w:p>
          <w:p w14:paraId="5BDCE336" w14:textId="77777777" w:rsidR="00A654C5" w:rsidRPr="003F46D4" w:rsidRDefault="00A654C5">
            <w:pPr>
              <w:rPr>
                <w:rFonts w:asciiTheme="minorBidi" w:hAnsiTheme="minorBidi" w:cstheme="minorBidi"/>
                <w:lang w:val="en-GB"/>
              </w:rPr>
            </w:pPr>
          </w:p>
        </w:tc>
        <w:tc>
          <w:tcPr>
            <w:tcW w:w="1656" w:type="dxa"/>
            <w:tcBorders>
              <w:top w:val="single" w:sz="4" w:space="0" w:color="000000"/>
              <w:left w:val="single" w:sz="4" w:space="0" w:color="FFFFFF"/>
              <w:bottom w:val="single" w:sz="4" w:space="0" w:color="000000"/>
              <w:right w:val="nil"/>
            </w:tcBorders>
          </w:tcPr>
          <w:p w14:paraId="44056B27" w14:textId="77777777" w:rsidR="00A654C5" w:rsidRPr="003F46D4" w:rsidRDefault="00A654C5">
            <w:pPr>
              <w:rPr>
                <w:rFonts w:asciiTheme="minorBidi" w:hAnsiTheme="minorBidi" w:cstheme="minorBidi"/>
                <w:lang w:val="en-GB"/>
              </w:rPr>
            </w:pPr>
            <w:proofErr w:type="spellStart"/>
            <w:r w:rsidRPr="003F46D4">
              <w:rPr>
                <w:rFonts w:asciiTheme="minorBidi" w:hAnsiTheme="minorBidi" w:cstheme="minorBidi"/>
              </w:rPr>
              <w:t>Oedema</w:t>
            </w:r>
            <w:proofErr w:type="spellEnd"/>
            <w:r w:rsidRPr="003F46D4">
              <w:rPr>
                <w:rFonts w:asciiTheme="minorBidi" w:hAnsiTheme="minorBidi" w:cstheme="minorBidi"/>
              </w:rPr>
              <w:t xml:space="preserve"> (No=1) (Yes= 2)</w:t>
            </w:r>
          </w:p>
          <w:p w14:paraId="1EEC9D86" w14:textId="77777777" w:rsidR="00A654C5" w:rsidRPr="003F46D4" w:rsidRDefault="00A654C5">
            <w:pPr>
              <w:rPr>
                <w:rFonts w:asciiTheme="minorBidi" w:hAnsiTheme="minorBidi" w:cstheme="minorBidi"/>
                <w:lang w:val="en-GB"/>
              </w:rPr>
            </w:pPr>
          </w:p>
        </w:tc>
      </w:tr>
      <w:tr w:rsidR="00A654C5" w:rsidRPr="003F46D4" w14:paraId="1D0DD340" w14:textId="77777777" w:rsidTr="00A654C5">
        <w:trPr>
          <w:trHeight w:val="899"/>
        </w:trPr>
        <w:tc>
          <w:tcPr>
            <w:tcW w:w="1440" w:type="dxa"/>
            <w:tcBorders>
              <w:top w:val="single" w:sz="4" w:space="0" w:color="000000"/>
              <w:left w:val="nil"/>
              <w:bottom w:val="single" w:sz="4" w:space="0" w:color="FFFFFF"/>
              <w:right w:val="single" w:sz="4" w:space="0" w:color="FFFFFF"/>
            </w:tcBorders>
          </w:tcPr>
          <w:p w14:paraId="6F0DF52F" w14:textId="77777777" w:rsidR="00A654C5" w:rsidRPr="003F46D4" w:rsidRDefault="00A654C5">
            <w:pPr>
              <w:jc w:val="both"/>
              <w:rPr>
                <w:rFonts w:asciiTheme="minorBidi" w:hAnsiTheme="minorBidi" w:cstheme="minorBidi"/>
                <w:lang w:val="en-GB"/>
              </w:rPr>
            </w:pPr>
          </w:p>
          <w:p w14:paraId="0583F281" w14:textId="77777777" w:rsidR="00A654C5" w:rsidRPr="003F46D4" w:rsidRDefault="00A654C5">
            <w:pPr>
              <w:jc w:val="both"/>
              <w:rPr>
                <w:rFonts w:asciiTheme="minorBidi" w:hAnsiTheme="minorBidi" w:cstheme="minorBidi"/>
              </w:rPr>
            </w:pPr>
            <w:r w:rsidRPr="003F46D4">
              <w:rPr>
                <w:rFonts w:asciiTheme="minorBidi" w:hAnsiTheme="minorBidi" w:cstheme="minorBidi"/>
              </w:rPr>
              <w:t>1</w:t>
            </w:r>
            <w:r w:rsidRPr="003F46D4">
              <w:rPr>
                <w:rFonts w:asciiTheme="minorBidi" w:hAnsiTheme="minorBidi" w:cstheme="minorBidi"/>
                <w:vertAlign w:val="superscript"/>
              </w:rPr>
              <w:t>st</w:t>
            </w:r>
            <w:r w:rsidRPr="003F46D4">
              <w:rPr>
                <w:rFonts w:asciiTheme="minorBidi" w:hAnsiTheme="minorBidi" w:cstheme="minorBidi"/>
              </w:rPr>
              <w:t xml:space="preserve"> Trimester</w:t>
            </w:r>
          </w:p>
          <w:p w14:paraId="31FAFE07" w14:textId="77777777" w:rsidR="00A654C5" w:rsidRPr="003F46D4" w:rsidRDefault="00A654C5">
            <w:pPr>
              <w:jc w:val="both"/>
              <w:rPr>
                <w:rFonts w:asciiTheme="minorBidi" w:hAnsiTheme="minorBidi" w:cstheme="minorBidi"/>
              </w:rPr>
            </w:pPr>
          </w:p>
          <w:p w14:paraId="04F0311B" w14:textId="77777777" w:rsidR="00A654C5" w:rsidRPr="003F46D4" w:rsidRDefault="00A654C5">
            <w:pPr>
              <w:jc w:val="both"/>
              <w:rPr>
                <w:rFonts w:asciiTheme="minorBidi" w:hAnsiTheme="minorBidi" w:cstheme="minorBidi"/>
                <w:lang w:val="en-GB"/>
              </w:rPr>
            </w:pPr>
          </w:p>
        </w:tc>
        <w:tc>
          <w:tcPr>
            <w:tcW w:w="630" w:type="dxa"/>
            <w:tcBorders>
              <w:top w:val="single" w:sz="4" w:space="0" w:color="000000"/>
              <w:left w:val="nil"/>
              <w:bottom w:val="single" w:sz="4" w:space="0" w:color="FFFFFF"/>
              <w:right w:val="single" w:sz="4" w:space="0" w:color="FFFFFF"/>
            </w:tcBorders>
          </w:tcPr>
          <w:p w14:paraId="0D989521" w14:textId="77777777" w:rsidR="00A654C5" w:rsidRPr="003F46D4" w:rsidRDefault="00A654C5">
            <w:pPr>
              <w:rPr>
                <w:rFonts w:asciiTheme="minorBidi" w:hAnsiTheme="minorBidi" w:cstheme="minorBidi"/>
                <w:lang w:val="en-GB"/>
              </w:rPr>
            </w:pPr>
          </w:p>
          <w:p w14:paraId="319DCEEF" w14:textId="77777777" w:rsidR="00A654C5" w:rsidRPr="003F46D4" w:rsidRDefault="00A654C5">
            <w:pPr>
              <w:rPr>
                <w:rFonts w:asciiTheme="minorBidi" w:hAnsiTheme="minorBidi" w:cstheme="minorBidi"/>
              </w:rPr>
            </w:pPr>
            <w:r w:rsidRPr="003F46D4">
              <w:rPr>
                <w:rFonts w:asciiTheme="minorBidi" w:hAnsiTheme="minorBidi" w:cstheme="minorBidi"/>
              </w:rPr>
              <w:t>21</w:t>
            </w:r>
          </w:p>
          <w:p w14:paraId="0E18664B" w14:textId="77777777" w:rsidR="00A654C5" w:rsidRPr="003F46D4" w:rsidRDefault="00A654C5">
            <w:pPr>
              <w:rPr>
                <w:rFonts w:asciiTheme="minorBidi" w:hAnsiTheme="minorBidi" w:cstheme="minorBidi"/>
              </w:rPr>
            </w:pPr>
          </w:p>
          <w:p w14:paraId="5918F8F3" w14:textId="77777777" w:rsidR="00A654C5" w:rsidRPr="003F46D4" w:rsidRDefault="00A654C5">
            <w:pPr>
              <w:jc w:val="both"/>
              <w:rPr>
                <w:rFonts w:asciiTheme="minorBidi" w:hAnsiTheme="minorBidi" w:cstheme="minorBidi"/>
                <w:lang w:val="en-GB"/>
              </w:rPr>
            </w:pPr>
          </w:p>
        </w:tc>
        <w:tc>
          <w:tcPr>
            <w:tcW w:w="1440" w:type="dxa"/>
            <w:tcBorders>
              <w:top w:val="single" w:sz="4" w:space="0" w:color="000000"/>
              <w:left w:val="single" w:sz="4" w:space="0" w:color="FFFFFF"/>
              <w:bottom w:val="single" w:sz="4" w:space="0" w:color="FFFFFF"/>
              <w:right w:val="nil"/>
            </w:tcBorders>
          </w:tcPr>
          <w:p w14:paraId="2E137AD7" w14:textId="77777777" w:rsidR="00A654C5" w:rsidRPr="003F46D4" w:rsidRDefault="00A654C5">
            <w:pPr>
              <w:jc w:val="both"/>
              <w:rPr>
                <w:rFonts w:asciiTheme="minorBidi" w:hAnsiTheme="minorBidi" w:cstheme="minorBidi"/>
                <w:lang w:val="en-GB"/>
              </w:rPr>
            </w:pPr>
          </w:p>
          <w:p w14:paraId="3C5C478C" w14:textId="77777777" w:rsidR="00A654C5" w:rsidRPr="003F46D4" w:rsidRDefault="00A654C5">
            <w:pPr>
              <w:jc w:val="both"/>
              <w:rPr>
                <w:rFonts w:asciiTheme="minorBidi" w:hAnsiTheme="minorBidi" w:cstheme="minorBidi"/>
              </w:rPr>
            </w:pPr>
            <w:r w:rsidRPr="003F46D4">
              <w:rPr>
                <w:rFonts w:asciiTheme="minorBidi" w:hAnsiTheme="minorBidi" w:cstheme="minorBidi"/>
              </w:rPr>
              <w:t>23.95</w:t>
            </w:r>
            <w:r w:rsidR="00205A41" w:rsidRPr="003F46D4">
              <w:rPr>
                <w:rFonts w:asciiTheme="minorBidi" w:hAnsiTheme="minorBidi" w:cstheme="minorBidi"/>
              </w:rPr>
              <w:t xml:space="preserve"> </w:t>
            </w:r>
            <w:r w:rsidRPr="003F46D4">
              <w:rPr>
                <w:rFonts w:asciiTheme="minorBidi" w:hAnsiTheme="minorBidi" w:cstheme="minorBidi"/>
              </w:rPr>
              <w:t>±</w:t>
            </w:r>
            <w:r w:rsidR="00205A41" w:rsidRPr="003F46D4">
              <w:rPr>
                <w:rFonts w:asciiTheme="minorBidi" w:hAnsiTheme="minorBidi" w:cstheme="minorBidi"/>
              </w:rPr>
              <w:t xml:space="preserve"> </w:t>
            </w:r>
            <w:r w:rsidRPr="003F46D4">
              <w:rPr>
                <w:rFonts w:asciiTheme="minorBidi" w:hAnsiTheme="minorBidi" w:cstheme="minorBidi"/>
              </w:rPr>
              <w:t>1.08</w:t>
            </w:r>
            <w:r w:rsidRPr="003F46D4">
              <w:rPr>
                <w:rFonts w:asciiTheme="minorBidi" w:hAnsiTheme="minorBidi" w:cstheme="minorBidi"/>
                <w:vertAlign w:val="superscript"/>
              </w:rPr>
              <w:t>a</w:t>
            </w:r>
          </w:p>
          <w:p w14:paraId="3B319D9A" w14:textId="77777777" w:rsidR="00A654C5" w:rsidRPr="003F46D4" w:rsidRDefault="00A654C5">
            <w:pPr>
              <w:jc w:val="both"/>
              <w:rPr>
                <w:rFonts w:asciiTheme="minorBidi" w:hAnsiTheme="minorBidi" w:cstheme="minorBidi"/>
              </w:rPr>
            </w:pPr>
          </w:p>
          <w:p w14:paraId="7977EB51" w14:textId="77777777" w:rsidR="00A654C5" w:rsidRPr="003F46D4" w:rsidRDefault="00A654C5">
            <w:pPr>
              <w:jc w:val="both"/>
              <w:rPr>
                <w:rFonts w:asciiTheme="minorBidi" w:hAnsiTheme="minorBidi" w:cstheme="minorBidi"/>
                <w:lang w:val="en-GB"/>
              </w:rPr>
            </w:pPr>
          </w:p>
        </w:tc>
        <w:tc>
          <w:tcPr>
            <w:tcW w:w="2070" w:type="dxa"/>
            <w:tcBorders>
              <w:top w:val="single" w:sz="4" w:space="0" w:color="000000"/>
              <w:left w:val="single" w:sz="4" w:space="0" w:color="FFFFFF"/>
              <w:bottom w:val="single" w:sz="4" w:space="0" w:color="FFFFFF"/>
              <w:right w:val="nil"/>
            </w:tcBorders>
          </w:tcPr>
          <w:p w14:paraId="088B827B" w14:textId="77777777" w:rsidR="00A654C5" w:rsidRPr="003F46D4" w:rsidRDefault="00A654C5">
            <w:pPr>
              <w:jc w:val="both"/>
              <w:rPr>
                <w:rFonts w:asciiTheme="minorBidi" w:hAnsiTheme="minorBidi" w:cstheme="minorBidi"/>
                <w:lang w:val="en-GB"/>
              </w:rPr>
            </w:pPr>
          </w:p>
          <w:p w14:paraId="6B196C7E" w14:textId="77777777" w:rsidR="00A654C5" w:rsidRPr="003F46D4" w:rsidRDefault="00A654C5">
            <w:pPr>
              <w:jc w:val="both"/>
              <w:rPr>
                <w:rFonts w:asciiTheme="minorBidi" w:hAnsiTheme="minorBidi" w:cstheme="minorBidi"/>
              </w:rPr>
            </w:pPr>
            <w:r w:rsidRPr="003F46D4">
              <w:rPr>
                <w:rFonts w:asciiTheme="minorBidi" w:hAnsiTheme="minorBidi" w:cstheme="minorBidi"/>
              </w:rPr>
              <w:t>344.23</w:t>
            </w:r>
            <w:r w:rsidR="00205A41" w:rsidRPr="003F46D4">
              <w:rPr>
                <w:rFonts w:asciiTheme="minorBidi" w:hAnsiTheme="minorBidi" w:cstheme="minorBidi"/>
              </w:rPr>
              <w:t xml:space="preserve"> </w:t>
            </w:r>
            <w:r w:rsidRPr="003F46D4">
              <w:rPr>
                <w:rFonts w:asciiTheme="minorBidi" w:hAnsiTheme="minorBidi" w:cstheme="minorBidi"/>
              </w:rPr>
              <w:t>±</w:t>
            </w:r>
            <w:r w:rsidR="00205A41" w:rsidRPr="003F46D4">
              <w:rPr>
                <w:rFonts w:asciiTheme="minorBidi" w:hAnsiTheme="minorBidi" w:cstheme="minorBidi"/>
              </w:rPr>
              <w:t xml:space="preserve"> </w:t>
            </w:r>
            <w:r w:rsidRPr="003F46D4">
              <w:rPr>
                <w:rFonts w:asciiTheme="minorBidi" w:hAnsiTheme="minorBidi" w:cstheme="minorBidi"/>
              </w:rPr>
              <w:t>27.24</w:t>
            </w:r>
            <w:r w:rsidRPr="003F46D4">
              <w:rPr>
                <w:rFonts w:asciiTheme="minorBidi" w:hAnsiTheme="minorBidi" w:cstheme="minorBidi"/>
                <w:vertAlign w:val="superscript"/>
              </w:rPr>
              <w:t>a</w:t>
            </w:r>
          </w:p>
          <w:p w14:paraId="49640660" w14:textId="77777777" w:rsidR="00A654C5" w:rsidRPr="003F46D4" w:rsidRDefault="00A654C5">
            <w:pPr>
              <w:jc w:val="both"/>
              <w:rPr>
                <w:rFonts w:asciiTheme="minorBidi" w:hAnsiTheme="minorBidi" w:cstheme="minorBidi"/>
              </w:rPr>
            </w:pPr>
          </w:p>
          <w:p w14:paraId="1D555A3B" w14:textId="77777777" w:rsidR="00A654C5" w:rsidRPr="003F46D4" w:rsidRDefault="00A654C5">
            <w:pPr>
              <w:jc w:val="both"/>
              <w:rPr>
                <w:rFonts w:asciiTheme="minorBidi" w:hAnsiTheme="minorBidi" w:cstheme="minorBidi"/>
                <w:lang w:val="en-GB"/>
              </w:rPr>
            </w:pPr>
          </w:p>
        </w:tc>
        <w:tc>
          <w:tcPr>
            <w:tcW w:w="1350" w:type="dxa"/>
            <w:tcBorders>
              <w:top w:val="single" w:sz="4" w:space="0" w:color="000000"/>
              <w:left w:val="single" w:sz="4" w:space="0" w:color="FFFFFF"/>
              <w:bottom w:val="single" w:sz="4" w:space="0" w:color="FFFFFF"/>
              <w:right w:val="nil"/>
            </w:tcBorders>
          </w:tcPr>
          <w:p w14:paraId="6E735C9A" w14:textId="77777777" w:rsidR="00A654C5" w:rsidRPr="003F46D4" w:rsidRDefault="00A654C5">
            <w:pPr>
              <w:jc w:val="both"/>
              <w:rPr>
                <w:rFonts w:asciiTheme="minorBidi" w:hAnsiTheme="minorBidi" w:cstheme="minorBidi"/>
                <w:lang w:val="en-GB"/>
              </w:rPr>
            </w:pPr>
          </w:p>
          <w:p w14:paraId="5AB4719C" w14:textId="77777777" w:rsidR="00A654C5" w:rsidRPr="003F46D4" w:rsidRDefault="00A654C5">
            <w:pPr>
              <w:jc w:val="both"/>
              <w:rPr>
                <w:rFonts w:asciiTheme="minorBidi" w:hAnsiTheme="minorBidi" w:cstheme="minorBidi"/>
              </w:rPr>
            </w:pPr>
            <w:r w:rsidRPr="003F46D4">
              <w:rPr>
                <w:rFonts w:asciiTheme="minorBidi" w:hAnsiTheme="minorBidi" w:cstheme="minorBidi"/>
              </w:rPr>
              <w:t>6.01</w:t>
            </w:r>
            <w:r w:rsidR="00205A41" w:rsidRPr="003F46D4">
              <w:rPr>
                <w:rFonts w:asciiTheme="minorBidi" w:hAnsiTheme="minorBidi" w:cstheme="minorBidi"/>
              </w:rPr>
              <w:t xml:space="preserve"> </w:t>
            </w:r>
            <w:r w:rsidRPr="003F46D4">
              <w:rPr>
                <w:rFonts w:asciiTheme="minorBidi" w:hAnsiTheme="minorBidi" w:cstheme="minorBidi"/>
              </w:rPr>
              <w:t>±</w:t>
            </w:r>
            <w:r w:rsidR="00205A41" w:rsidRPr="003F46D4">
              <w:rPr>
                <w:rFonts w:asciiTheme="minorBidi" w:hAnsiTheme="minorBidi" w:cstheme="minorBidi"/>
              </w:rPr>
              <w:t xml:space="preserve"> </w:t>
            </w:r>
            <w:r w:rsidRPr="003F46D4">
              <w:rPr>
                <w:rFonts w:asciiTheme="minorBidi" w:hAnsiTheme="minorBidi" w:cstheme="minorBidi"/>
              </w:rPr>
              <w:t>0.39</w:t>
            </w:r>
            <w:r w:rsidRPr="003F46D4">
              <w:rPr>
                <w:rFonts w:asciiTheme="minorBidi" w:hAnsiTheme="minorBidi" w:cstheme="minorBidi"/>
                <w:vertAlign w:val="superscript"/>
              </w:rPr>
              <w:t>a</w:t>
            </w:r>
          </w:p>
          <w:p w14:paraId="57775CA4" w14:textId="77777777" w:rsidR="00A654C5" w:rsidRPr="003F46D4" w:rsidRDefault="00A654C5">
            <w:pPr>
              <w:jc w:val="both"/>
              <w:rPr>
                <w:rFonts w:asciiTheme="minorBidi" w:hAnsiTheme="minorBidi" w:cstheme="minorBidi"/>
              </w:rPr>
            </w:pPr>
          </w:p>
          <w:p w14:paraId="1929D9CB" w14:textId="77777777" w:rsidR="00A654C5" w:rsidRPr="003F46D4" w:rsidRDefault="00A654C5">
            <w:pPr>
              <w:jc w:val="both"/>
              <w:rPr>
                <w:rFonts w:asciiTheme="minorBidi" w:hAnsiTheme="minorBidi" w:cstheme="minorBidi"/>
                <w:lang w:val="en-GB"/>
              </w:rPr>
            </w:pPr>
          </w:p>
        </w:tc>
        <w:tc>
          <w:tcPr>
            <w:tcW w:w="1656" w:type="dxa"/>
            <w:tcBorders>
              <w:top w:val="single" w:sz="4" w:space="0" w:color="000000"/>
              <w:left w:val="single" w:sz="4" w:space="0" w:color="FFFFFF"/>
              <w:bottom w:val="single" w:sz="4" w:space="0" w:color="FFFFFF"/>
              <w:right w:val="nil"/>
            </w:tcBorders>
          </w:tcPr>
          <w:p w14:paraId="75950EE5" w14:textId="77777777" w:rsidR="00A654C5" w:rsidRPr="003F46D4" w:rsidRDefault="00A654C5">
            <w:pPr>
              <w:jc w:val="both"/>
              <w:rPr>
                <w:rFonts w:asciiTheme="minorBidi" w:hAnsiTheme="minorBidi" w:cstheme="minorBidi"/>
                <w:lang w:val="en-GB"/>
              </w:rPr>
            </w:pPr>
          </w:p>
          <w:p w14:paraId="72695256" w14:textId="77777777" w:rsidR="00A654C5" w:rsidRPr="003F46D4" w:rsidRDefault="00205A41" w:rsidP="00205A41">
            <w:pPr>
              <w:pStyle w:val="ListParagraph"/>
              <w:ind w:left="552"/>
              <w:jc w:val="both"/>
              <w:rPr>
                <w:rFonts w:asciiTheme="minorBidi" w:hAnsiTheme="minorBidi" w:cstheme="minorBidi"/>
              </w:rPr>
            </w:pPr>
            <w:r w:rsidRPr="003F46D4">
              <w:rPr>
                <w:rFonts w:asciiTheme="minorBidi" w:hAnsiTheme="minorBidi" w:cstheme="minorBidi"/>
              </w:rPr>
              <w:t>1</w:t>
            </w:r>
          </w:p>
          <w:p w14:paraId="4D88A3DA" w14:textId="77777777" w:rsidR="00A654C5" w:rsidRPr="003F46D4" w:rsidRDefault="00A654C5">
            <w:pPr>
              <w:jc w:val="both"/>
              <w:rPr>
                <w:rFonts w:asciiTheme="minorBidi" w:hAnsiTheme="minorBidi" w:cstheme="minorBidi"/>
              </w:rPr>
            </w:pPr>
          </w:p>
          <w:p w14:paraId="0E02D0B8" w14:textId="77777777" w:rsidR="00A654C5" w:rsidRPr="003F46D4" w:rsidRDefault="00A654C5">
            <w:pPr>
              <w:jc w:val="both"/>
              <w:rPr>
                <w:rFonts w:asciiTheme="minorBidi" w:hAnsiTheme="minorBidi" w:cstheme="minorBidi"/>
                <w:lang w:val="en-GB"/>
              </w:rPr>
            </w:pPr>
          </w:p>
        </w:tc>
      </w:tr>
      <w:tr w:rsidR="00A654C5" w:rsidRPr="003F46D4" w14:paraId="50913E03" w14:textId="77777777" w:rsidTr="00A654C5">
        <w:trPr>
          <w:trHeight w:val="788"/>
        </w:trPr>
        <w:tc>
          <w:tcPr>
            <w:tcW w:w="1440" w:type="dxa"/>
            <w:tcBorders>
              <w:top w:val="single" w:sz="4" w:space="0" w:color="FFFFFF"/>
              <w:left w:val="nil"/>
              <w:bottom w:val="single" w:sz="4" w:space="0" w:color="FFFFFF"/>
              <w:right w:val="single" w:sz="4" w:space="0" w:color="FFFFFF"/>
            </w:tcBorders>
          </w:tcPr>
          <w:p w14:paraId="366DFEC4"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2</w:t>
            </w:r>
            <w:r w:rsidRPr="003F46D4">
              <w:rPr>
                <w:rFonts w:asciiTheme="minorBidi" w:hAnsiTheme="minorBidi" w:cstheme="minorBidi"/>
                <w:vertAlign w:val="superscript"/>
              </w:rPr>
              <w:t>nd</w:t>
            </w:r>
            <w:r w:rsidRPr="003F46D4">
              <w:rPr>
                <w:rFonts w:asciiTheme="minorBidi" w:hAnsiTheme="minorBidi" w:cstheme="minorBidi"/>
              </w:rPr>
              <w:t xml:space="preserve"> Trimester</w:t>
            </w:r>
          </w:p>
          <w:p w14:paraId="34D367BE" w14:textId="77777777" w:rsidR="00A654C5" w:rsidRPr="003F46D4" w:rsidRDefault="00A654C5">
            <w:pPr>
              <w:jc w:val="both"/>
              <w:rPr>
                <w:rFonts w:asciiTheme="minorBidi" w:hAnsiTheme="minorBidi" w:cstheme="minorBidi"/>
                <w:lang w:val="en-GB"/>
              </w:rPr>
            </w:pPr>
          </w:p>
        </w:tc>
        <w:tc>
          <w:tcPr>
            <w:tcW w:w="630" w:type="dxa"/>
            <w:tcBorders>
              <w:top w:val="single" w:sz="4" w:space="0" w:color="FFFFFF"/>
              <w:left w:val="nil"/>
              <w:bottom w:val="single" w:sz="4" w:space="0" w:color="FFFFFF"/>
              <w:right w:val="single" w:sz="4" w:space="0" w:color="FFFFFF"/>
            </w:tcBorders>
          </w:tcPr>
          <w:p w14:paraId="2D3FA2E4" w14:textId="77777777" w:rsidR="00A654C5" w:rsidRPr="003F46D4" w:rsidRDefault="00A654C5">
            <w:pPr>
              <w:rPr>
                <w:rFonts w:asciiTheme="minorBidi" w:hAnsiTheme="minorBidi" w:cstheme="minorBidi"/>
                <w:lang w:val="en-GB"/>
              </w:rPr>
            </w:pPr>
            <w:r w:rsidRPr="003F46D4">
              <w:rPr>
                <w:rFonts w:asciiTheme="minorBidi" w:hAnsiTheme="minorBidi" w:cstheme="minorBidi"/>
              </w:rPr>
              <w:t>159</w:t>
            </w:r>
          </w:p>
          <w:p w14:paraId="7D58C783" w14:textId="77777777" w:rsidR="00A654C5" w:rsidRPr="003F46D4" w:rsidRDefault="00A654C5">
            <w:pPr>
              <w:jc w:val="both"/>
              <w:rPr>
                <w:rFonts w:asciiTheme="minorBidi" w:hAnsiTheme="minorBidi" w:cstheme="minorBidi"/>
                <w:lang w:val="en-GB"/>
              </w:rPr>
            </w:pPr>
          </w:p>
        </w:tc>
        <w:tc>
          <w:tcPr>
            <w:tcW w:w="1440" w:type="dxa"/>
            <w:tcBorders>
              <w:top w:val="single" w:sz="4" w:space="0" w:color="FFFFFF"/>
              <w:left w:val="single" w:sz="4" w:space="0" w:color="FFFFFF"/>
              <w:bottom w:val="single" w:sz="4" w:space="0" w:color="FFFFFF"/>
              <w:right w:val="nil"/>
            </w:tcBorders>
          </w:tcPr>
          <w:p w14:paraId="51EADFC1"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25.89</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0.41</w:t>
            </w:r>
            <w:r w:rsidRPr="003F46D4">
              <w:rPr>
                <w:rFonts w:asciiTheme="minorBidi" w:hAnsiTheme="minorBidi" w:cstheme="minorBidi"/>
                <w:vertAlign w:val="superscript"/>
              </w:rPr>
              <w:t>a</w:t>
            </w:r>
          </w:p>
          <w:p w14:paraId="3A96CFFF" w14:textId="77777777" w:rsidR="00A654C5" w:rsidRPr="003F46D4" w:rsidRDefault="00A654C5">
            <w:pPr>
              <w:jc w:val="both"/>
              <w:rPr>
                <w:rFonts w:asciiTheme="minorBidi" w:hAnsiTheme="minorBidi" w:cstheme="minorBidi"/>
              </w:rPr>
            </w:pPr>
          </w:p>
          <w:p w14:paraId="46B63E28" w14:textId="77777777" w:rsidR="00A654C5" w:rsidRPr="003F46D4" w:rsidRDefault="00A654C5">
            <w:pPr>
              <w:jc w:val="both"/>
              <w:rPr>
                <w:rFonts w:asciiTheme="minorBidi" w:hAnsiTheme="minorBidi" w:cstheme="minorBidi"/>
                <w:lang w:val="en-GB"/>
              </w:rPr>
            </w:pPr>
          </w:p>
        </w:tc>
        <w:tc>
          <w:tcPr>
            <w:tcW w:w="2070" w:type="dxa"/>
            <w:tcBorders>
              <w:top w:val="single" w:sz="4" w:space="0" w:color="FFFFFF"/>
              <w:left w:val="single" w:sz="4" w:space="0" w:color="FFFFFF"/>
              <w:bottom w:val="single" w:sz="4" w:space="0" w:color="FFFFFF"/>
              <w:right w:val="nil"/>
            </w:tcBorders>
          </w:tcPr>
          <w:p w14:paraId="587B5A2C"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394.22</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12.14</w:t>
            </w:r>
            <w:r w:rsidRPr="003F46D4">
              <w:rPr>
                <w:rFonts w:asciiTheme="minorBidi" w:hAnsiTheme="minorBidi" w:cstheme="minorBidi"/>
                <w:vertAlign w:val="superscript"/>
              </w:rPr>
              <w:t>a</w:t>
            </w:r>
          </w:p>
          <w:p w14:paraId="0F3F3B6E" w14:textId="77777777" w:rsidR="00A654C5" w:rsidRPr="003F46D4" w:rsidRDefault="00A654C5">
            <w:pPr>
              <w:jc w:val="both"/>
              <w:rPr>
                <w:rFonts w:asciiTheme="minorBidi" w:hAnsiTheme="minorBidi" w:cstheme="minorBidi"/>
              </w:rPr>
            </w:pPr>
          </w:p>
          <w:p w14:paraId="07D79E97" w14:textId="77777777" w:rsidR="00A654C5" w:rsidRPr="003F46D4" w:rsidRDefault="00A654C5">
            <w:pPr>
              <w:jc w:val="both"/>
              <w:rPr>
                <w:rFonts w:asciiTheme="minorBidi" w:hAnsiTheme="minorBidi" w:cstheme="minorBidi"/>
                <w:lang w:val="en-GB"/>
              </w:rPr>
            </w:pPr>
          </w:p>
        </w:tc>
        <w:tc>
          <w:tcPr>
            <w:tcW w:w="1350" w:type="dxa"/>
            <w:tcBorders>
              <w:top w:val="single" w:sz="4" w:space="0" w:color="FFFFFF"/>
              <w:left w:val="single" w:sz="4" w:space="0" w:color="FFFFFF"/>
              <w:bottom w:val="single" w:sz="4" w:space="0" w:color="FFFFFF"/>
              <w:right w:val="nil"/>
            </w:tcBorders>
          </w:tcPr>
          <w:p w14:paraId="75EBC019"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6.23</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0.14</w:t>
            </w:r>
            <w:r w:rsidRPr="003F46D4">
              <w:rPr>
                <w:rFonts w:asciiTheme="minorBidi" w:hAnsiTheme="minorBidi" w:cstheme="minorBidi"/>
                <w:vertAlign w:val="superscript"/>
              </w:rPr>
              <w:t>a</w:t>
            </w:r>
          </w:p>
          <w:p w14:paraId="70357697" w14:textId="77777777" w:rsidR="00A654C5" w:rsidRPr="003F46D4" w:rsidRDefault="00A654C5">
            <w:pPr>
              <w:jc w:val="both"/>
              <w:rPr>
                <w:rFonts w:asciiTheme="minorBidi" w:hAnsiTheme="minorBidi" w:cstheme="minorBidi"/>
              </w:rPr>
            </w:pPr>
          </w:p>
          <w:p w14:paraId="4E137444" w14:textId="77777777" w:rsidR="00A654C5" w:rsidRPr="003F46D4" w:rsidRDefault="00A654C5">
            <w:pPr>
              <w:jc w:val="both"/>
              <w:rPr>
                <w:rFonts w:asciiTheme="minorBidi" w:hAnsiTheme="minorBidi" w:cstheme="minorBidi"/>
                <w:lang w:val="en-GB"/>
              </w:rPr>
            </w:pPr>
          </w:p>
        </w:tc>
        <w:tc>
          <w:tcPr>
            <w:tcW w:w="1656" w:type="dxa"/>
            <w:tcBorders>
              <w:top w:val="single" w:sz="4" w:space="0" w:color="FFFFFF"/>
              <w:left w:val="single" w:sz="4" w:space="0" w:color="FFFFFF"/>
              <w:bottom w:val="single" w:sz="4" w:space="0" w:color="FFFFFF"/>
              <w:right w:val="nil"/>
            </w:tcBorders>
          </w:tcPr>
          <w:p w14:paraId="5B6046D1" w14:textId="77777777" w:rsidR="00A654C5" w:rsidRPr="003F46D4" w:rsidRDefault="00F75AE5" w:rsidP="00205A41">
            <w:pPr>
              <w:jc w:val="both"/>
              <w:rPr>
                <w:rFonts w:asciiTheme="minorBidi" w:hAnsiTheme="minorBidi" w:cstheme="minorBidi"/>
                <w:lang w:val="en-GB"/>
              </w:rPr>
            </w:pPr>
            <w:r w:rsidRPr="003F46D4">
              <w:rPr>
                <w:rFonts w:asciiTheme="minorBidi" w:hAnsiTheme="minorBidi" w:cstheme="minorBidi"/>
              </w:rPr>
              <w:t xml:space="preserve">          1</w:t>
            </w:r>
          </w:p>
          <w:p w14:paraId="1789B245" w14:textId="77777777" w:rsidR="00A654C5" w:rsidRPr="003F46D4" w:rsidRDefault="00A654C5">
            <w:pPr>
              <w:jc w:val="both"/>
              <w:rPr>
                <w:rFonts w:asciiTheme="minorBidi" w:hAnsiTheme="minorBidi" w:cstheme="minorBidi"/>
              </w:rPr>
            </w:pPr>
          </w:p>
          <w:p w14:paraId="1888BB97" w14:textId="77777777" w:rsidR="00A654C5" w:rsidRPr="003F46D4" w:rsidRDefault="00A654C5">
            <w:pPr>
              <w:jc w:val="both"/>
              <w:rPr>
                <w:rFonts w:asciiTheme="minorBidi" w:hAnsiTheme="minorBidi" w:cstheme="minorBidi"/>
                <w:lang w:val="en-GB"/>
              </w:rPr>
            </w:pPr>
          </w:p>
        </w:tc>
      </w:tr>
      <w:tr w:rsidR="00A654C5" w:rsidRPr="003F46D4" w14:paraId="33643F74" w14:textId="77777777" w:rsidTr="00A654C5">
        <w:trPr>
          <w:trHeight w:val="274"/>
        </w:trPr>
        <w:tc>
          <w:tcPr>
            <w:tcW w:w="1440" w:type="dxa"/>
            <w:tcBorders>
              <w:top w:val="single" w:sz="4" w:space="0" w:color="FFFFFF"/>
              <w:left w:val="nil"/>
              <w:bottom w:val="single" w:sz="4" w:space="0" w:color="000000"/>
              <w:right w:val="single" w:sz="4" w:space="0" w:color="FFFFFF"/>
            </w:tcBorders>
          </w:tcPr>
          <w:p w14:paraId="6F04CEBB"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3</w:t>
            </w:r>
            <w:r w:rsidRPr="003F46D4">
              <w:rPr>
                <w:rFonts w:asciiTheme="minorBidi" w:hAnsiTheme="minorBidi" w:cstheme="minorBidi"/>
                <w:vertAlign w:val="superscript"/>
              </w:rPr>
              <w:t>rd</w:t>
            </w:r>
            <w:r w:rsidRPr="003F46D4">
              <w:rPr>
                <w:rFonts w:asciiTheme="minorBidi" w:hAnsiTheme="minorBidi" w:cstheme="minorBidi"/>
              </w:rPr>
              <w:t xml:space="preserve"> Trimester</w:t>
            </w:r>
          </w:p>
          <w:p w14:paraId="267BCD60" w14:textId="77777777" w:rsidR="00A654C5" w:rsidRPr="003F46D4" w:rsidRDefault="00A654C5">
            <w:pPr>
              <w:jc w:val="both"/>
              <w:rPr>
                <w:rFonts w:asciiTheme="minorBidi" w:hAnsiTheme="minorBidi" w:cstheme="minorBidi"/>
                <w:lang w:val="en-GB"/>
              </w:rPr>
            </w:pPr>
          </w:p>
        </w:tc>
        <w:tc>
          <w:tcPr>
            <w:tcW w:w="630" w:type="dxa"/>
            <w:tcBorders>
              <w:top w:val="single" w:sz="4" w:space="0" w:color="FFFFFF"/>
              <w:left w:val="nil"/>
              <w:bottom w:val="single" w:sz="4" w:space="0" w:color="000000"/>
              <w:right w:val="single" w:sz="4" w:space="0" w:color="FFFFFF"/>
            </w:tcBorders>
            <w:hideMark/>
          </w:tcPr>
          <w:p w14:paraId="7682B603"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120</w:t>
            </w:r>
          </w:p>
        </w:tc>
        <w:tc>
          <w:tcPr>
            <w:tcW w:w="1440" w:type="dxa"/>
            <w:tcBorders>
              <w:top w:val="single" w:sz="4" w:space="0" w:color="FFFFFF"/>
              <w:left w:val="single" w:sz="4" w:space="0" w:color="FFFFFF"/>
              <w:bottom w:val="single" w:sz="4" w:space="0" w:color="000000"/>
              <w:right w:val="nil"/>
            </w:tcBorders>
            <w:hideMark/>
          </w:tcPr>
          <w:p w14:paraId="0F8D7EA3"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26.93</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0.47</w:t>
            </w:r>
            <w:r w:rsidRPr="003F46D4">
              <w:rPr>
                <w:rFonts w:asciiTheme="minorBidi" w:hAnsiTheme="minorBidi" w:cstheme="minorBidi"/>
                <w:vertAlign w:val="superscript"/>
              </w:rPr>
              <w:t>a</w:t>
            </w:r>
          </w:p>
        </w:tc>
        <w:tc>
          <w:tcPr>
            <w:tcW w:w="2070" w:type="dxa"/>
            <w:tcBorders>
              <w:top w:val="single" w:sz="4" w:space="0" w:color="FFFFFF"/>
              <w:left w:val="single" w:sz="4" w:space="0" w:color="FFFFFF"/>
              <w:bottom w:val="single" w:sz="4" w:space="0" w:color="000000"/>
              <w:right w:val="nil"/>
            </w:tcBorders>
            <w:hideMark/>
          </w:tcPr>
          <w:p w14:paraId="423FFC45"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455.40</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11.52</w:t>
            </w:r>
            <w:r w:rsidRPr="003F46D4">
              <w:rPr>
                <w:rFonts w:asciiTheme="minorBidi" w:hAnsiTheme="minorBidi" w:cstheme="minorBidi"/>
                <w:vertAlign w:val="superscript"/>
              </w:rPr>
              <w:t>b</w:t>
            </w:r>
          </w:p>
        </w:tc>
        <w:tc>
          <w:tcPr>
            <w:tcW w:w="1350" w:type="dxa"/>
            <w:tcBorders>
              <w:top w:val="single" w:sz="4" w:space="0" w:color="FFFFFF"/>
              <w:left w:val="single" w:sz="4" w:space="0" w:color="FFFFFF"/>
              <w:bottom w:val="single" w:sz="4" w:space="0" w:color="000000"/>
              <w:right w:val="nil"/>
            </w:tcBorders>
            <w:hideMark/>
          </w:tcPr>
          <w:p w14:paraId="2BBDC0BA"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6.16</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0.16</w:t>
            </w:r>
            <w:r w:rsidRPr="003F46D4">
              <w:rPr>
                <w:rFonts w:asciiTheme="minorBidi" w:hAnsiTheme="minorBidi" w:cstheme="minorBidi"/>
                <w:vertAlign w:val="superscript"/>
              </w:rPr>
              <w:t>a</w:t>
            </w:r>
          </w:p>
        </w:tc>
        <w:tc>
          <w:tcPr>
            <w:tcW w:w="1656" w:type="dxa"/>
            <w:tcBorders>
              <w:top w:val="single" w:sz="4" w:space="0" w:color="FFFFFF"/>
              <w:left w:val="single" w:sz="4" w:space="0" w:color="FFFFFF"/>
              <w:bottom w:val="single" w:sz="4" w:space="0" w:color="000000"/>
              <w:right w:val="nil"/>
            </w:tcBorders>
            <w:hideMark/>
          </w:tcPr>
          <w:p w14:paraId="29977B5C" w14:textId="77777777" w:rsidR="00A654C5" w:rsidRPr="003F46D4" w:rsidRDefault="00F75AE5">
            <w:pPr>
              <w:jc w:val="both"/>
              <w:rPr>
                <w:rFonts w:asciiTheme="minorBidi" w:hAnsiTheme="minorBidi" w:cstheme="minorBidi"/>
                <w:lang w:val="en-GB"/>
              </w:rPr>
            </w:pPr>
            <w:r w:rsidRPr="003F46D4">
              <w:rPr>
                <w:rFonts w:asciiTheme="minorBidi" w:hAnsiTheme="minorBidi" w:cstheme="minorBidi"/>
              </w:rPr>
              <w:t xml:space="preserve">          1</w:t>
            </w:r>
          </w:p>
        </w:tc>
      </w:tr>
    </w:tbl>
    <w:p w14:paraId="27E32679" w14:textId="77777777" w:rsidR="00A654C5" w:rsidRPr="003F46D4" w:rsidRDefault="00A654C5" w:rsidP="00A654C5">
      <w:pPr>
        <w:jc w:val="both"/>
        <w:rPr>
          <w:rFonts w:asciiTheme="minorBidi" w:hAnsiTheme="minorBidi" w:cstheme="minorBidi"/>
          <w:sz w:val="16"/>
          <w:szCs w:val="16"/>
        </w:rPr>
      </w:pPr>
      <w:r w:rsidRPr="003F46D4">
        <w:rPr>
          <w:rFonts w:asciiTheme="minorBidi" w:hAnsiTheme="minorBidi" w:cstheme="minorBidi"/>
          <w:sz w:val="16"/>
          <w:szCs w:val="16"/>
        </w:rPr>
        <w:t>Values are expressed as mean ± S.E.M., Mean values having different superscript letter in the same column are significantly different at (</w:t>
      </w:r>
      <w:r w:rsidRPr="003F46D4">
        <w:rPr>
          <w:rFonts w:asciiTheme="minorBidi" w:hAnsiTheme="minorBidi" w:cstheme="minorBidi"/>
          <w:i/>
          <w:sz w:val="16"/>
          <w:szCs w:val="16"/>
        </w:rPr>
        <w:t>P</w:t>
      </w:r>
      <w:r w:rsidRPr="003F46D4">
        <w:rPr>
          <w:rFonts w:asciiTheme="minorBidi" w:hAnsiTheme="minorBidi" w:cstheme="minorBidi"/>
          <w:sz w:val="16"/>
          <w:szCs w:val="16"/>
        </w:rPr>
        <w:t xml:space="preserve">&lt;0.05). </w:t>
      </w:r>
    </w:p>
    <w:p w14:paraId="5047C7EC" w14:textId="77777777" w:rsidR="00A654C5" w:rsidRPr="003F46D4" w:rsidRDefault="00A654C5" w:rsidP="00441B6F">
      <w:pPr>
        <w:pStyle w:val="Body"/>
        <w:spacing w:after="0"/>
        <w:rPr>
          <w:rFonts w:asciiTheme="minorBidi" w:hAnsiTheme="minorBidi" w:cstheme="minorBidi"/>
        </w:rPr>
      </w:pPr>
    </w:p>
    <w:p w14:paraId="6CCD8C03" w14:textId="77777777" w:rsidR="00A654C5" w:rsidRDefault="00A654C5" w:rsidP="00A654C5">
      <w:pPr>
        <w:pStyle w:val="Body"/>
        <w:spacing w:after="0"/>
        <w:rPr>
          <w:rFonts w:ascii="Arial" w:hAnsi="Arial" w:cs="Arial"/>
        </w:rPr>
      </w:pPr>
      <w:r w:rsidRPr="00A654C5">
        <w:rPr>
          <w:rFonts w:ascii="Arial" w:hAnsi="Arial" w:cs="Arial"/>
        </w:rPr>
        <w:t xml:space="preserve">The table 1 above shows the mean age, uric acid level, blood sugar level and </w:t>
      </w:r>
      <w:proofErr w:type="spellStart"/>
      <w:r w:rsidRPr="00A654C5">
        <w:rPr>
          <w:rFonts w:ascii="Arial" w:hAnsi="Arial" w:cs="Arial"/>
        </w:rPr>
        <w:t>oedema</w:t>
      </w:r>
      <w:proofErr w:type="spellEnd"/>
      <w:r w:rsidRPr="00A654C5">
        <w:rPr>
          <w:rFonts w:ascii="Arial" w:hAnsi="Arial" w:cs="Arial"/>
        </w:rPr>
        <w:t xml:space="preserve"> status of the subjects based on trimester </w:t>
      </w:r>
    </w:p>
    <w:p w14:paraId="248142C8" w14:textId="77777777" w:rsidR="003F46D4" w:rsidRDefault="003F46D4" w:rsidP="00A654C5">
      <w:pPr>
        <w:pStyle w:val="Body"/>
        <w:spacing w:after="0"/>
        <w:rPr>
          <w:rFonts w:ascii="Arial" w:hAnsi="Arial" w:cs="Arial"/>
        </w:rPr>
      </w:pPr>
    </w:p>
    <w:p w14:paraId="0DEBB785" w14:textId="77777777" w:rsidR="00140A58" w:rsidRPr="003F46D4" w:rsidRDefault="00140A58" w:rsidP="00140A58">
      <w:pPr>
        <w:pStyle w:val="Caption"/>
        <w:spacing w:after="0"/>
        <w:jc w:val="both"/>
        <w:rPr>
          <w:rFonts w:asciiTheme="minorBidi" w:hAnsiTheme="minorBidi" w:cstheme="minorBidi"/>
          <w:b w:val="0"/>
          <w:color w:val="000000"/>
          <w:sz w:val="20"/>
          <w:szCs w:val="20"/>
        </w:rPr>
      </w:pPr>
      <w:r w:rsidRPr="003F46D4">
        <w:rPr>
          <w:rFonts w:asciiTheme="minorBidi" w:hAnsiTheme="minorBidi" w:cstheme="minorBidi"/>
          <w:color w:val="000000"/>
          <w:sz w:val="20"/>
          <w:szCs w:val="20"/>
        </w:rPr>
        <w:t xml:space="preserve">Table 2: Correlation between Levels of Uric Acid and Trimester, Blood Sugar and </w:t>
      </w:r>
      <w:proofErr w:type="spellStart"/>
      <w:r w:rsidRPr="003F46D4">
        <w:rPr>
          <w:rFonts w:asciiTheme="minorBidi" w:hAnsiTheme="minorBidi" w:cstheme="minorBidi"/>
          <w:color w:val="000000"/>
          <w:sz w:val="20"/>
          <w:szCs w:val="20"/>
        </w:rPr>
        <w:t>Trimster</w:t>
      </w:r>
      <w:proofErr w:type="spellEnd"/>
      <w:r w:rsidRPr="003F46D4">
        <w:rPr>
          <w:rFonts w:asciiTheme="minorBidi" w:hAnsiTheme="minorBidi" w:cstheme="minorBidi"/>
          <w:color w:val="000000"/>
          <w:sz w:val="20"/>
          <w:szCs w:val="20"/>
        </w:rPr>
        <w:t xml:space="preserve">, Blood Sugar and Uric Acid Corresponding of the Pregnant Subjects </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3218"/>
        <w:gridCol w:w="3408"/>
      </w:tblGrid>
      <w:tr w:rsidR="00140A58" w14:paraId="5491CC10" w14:textId="77777777" w:rsidTr="00140A58">
        <w:trPr>
          <w:trHeight w:val="390"/>
        </w:trPr>
        <w:tc>
          <w:tcPr>
            <w:tcW w:w="2778" w:type="dxa"/>
            <w:tcBorders>
              <w:top w:val="single" w:sz="4" w:space="0" w:color="000000"/>
              <w:left w:val="nil"/>
              <w:bottom w:val="single" w:sz="4" w:space="0" w:color="FFFFFF"/>
              <w:right w:val="single" w:sz="4" w:space="0" w:color="FFFFFF"/>
            </w:tcBorders>
            <w:hideMark/>
          </w:tcPr>
          <w:p w14:paraId="26EC1A06" w14:textId="77777777" w:rsidR="00140A58" w:rsidRPr="003F46D4" w:rsidRDefault="00140A58">
            <w:pPr>
              <w:rPr>
                <w:rFonts w:ascii="Arial" w:hAnsi="Arial" w:cs="Arial"/>
                <w:lang w:val="en-GB"/>
              </w:rPr>
            </w:pPr>
            <w:r w:rsidRPr="003F46D4">
              <w:rPr>
                <w:rFonts w:ascii="Arial" w:hAnsi="Arial" w:cs="Arial"/>
              </w:rPr>
              <w:t xml:space="preserve">Variables </w:t>
            </w:r>
          </w:p>
        </w:tc>
        <w:tc>
          <w:tcPr>
            <w:tcW w:w="3218" w:type="dxa"/>
            <w:tcBorders>
              <w:top w:val="single" w:sz="4" w:space="0" w:color="000000"/>
              <w:left w:val="single" w:sz="4" w:space="0" w:color="FFFFFF"/>
              <w:bottom w:val="single" w:sz="4" w:space="0" w:color="FFFFFF"/>
              <w:right w:val="single" w:sz="4" w:space="0" w:color="FFFFFF"/>
            </w:tcBorders>
            <w:hideMark/>
          </w:tcPr>
          <w:p w14:paraId="4AAF0E34" w14:textId="77777777" w:rsidR="00140A58" w:rsidRPr="003F46D4" w:rsidRDefault="00140A58">
            <w:pPr>
              <w:rPr>
                <w:rFonts w:ascii="Arial" w:hAnsi="Arial" w:cs="Arial"/>
                <w:lang w:val="en-GB"/>
              </w:rPr>
            </w:pPr>
            <w:r w:rsidRPr="003F46D4">
              <w:rPr>
                <w:rFonts w:ascii="Arial" w:hAnsi="Arial" w:cs="Arial"/>
              </w:rPr>
              <w:t>correlation</w:t>
            </w:r>
          </w:p>
        </w:tc>
        <w:tc>
          <w:tcPr>
            <w:tcW w:w="3408" w:type="dxa"/>
            <w:tcBorders>
              <w:top w:val="single" w:sz="4" w:space="0" w:color="000000"/>
              <w:left w:val="single" w:sz="4" w:space="0" w:color="FFFFFF"/>
              <w:bottom w:val="single" w:sz="4" w:space="0" w:color="FFFFFF"/>
              <w:right w:val="nil"/>
            </w:tcBorders>
            <w:hideMark/>
          </w:tcPr>
          <w:p w14:paraId="38C0B94F" w14:textId="77777777" w:rsidR="00140A58" w:rsidRPr="003F46D4" w:rsidRDefault="00140A58">
            <w:pPr>
              <w:rPr>
                <w:rFonts w:ascii="Arial" w:hAnsi="Arial" w:cs="Arial"/>
                <w:lang w:val="en-GB"/>
              </w:rPr>
            </w:pPr>
            <w:r w:rsidRPr="003F46D4">
              <w:rPr>
                <w:rFonts w:ascii="Arial" w:hAnsi="Arial" w:cs="Arial"/>
              </w:rPr>
              <w:t>p-value</w:t>
            </w:r>
          </w:p>
        </w:tc>
      </w:tr>
      <w:tr w:rsidR="00140A58" w14:paraId="777010D9" w14:textId="77777777" w:rsidTr="00140A58">
        <w:trPr>
          <w:trHeight w:val="390"/>
        </w:trPr>
        <w:tc>
          <w:tcPr>
            <w:tcW w:w="2778" w:type="dxa"/>
            <w:tcBorders>
              <w:top w:val="single" w:sz="4" w:space="0" w:color="FFFFFF"/>
              <w:left w:val="nil"/>
              <w:bottom w:val="single" w:sz="4" w:space="0" w:color="FFFFFF"/>
              <w:right w:val="single" w:sz="4" w:space="0" w:color="FFFFFF"/>
            </w:tcBorders>
            <w:hideMark/>
          </w:tcPr>
          <w:p w14:paraId="784E5CC6" w14:textId="77777777" w:rsidR="00140A58" w:rsidRPr="003F46D4" w:rsidRDefault="00140A58">
            <w:pPr>
              <w:rPr>
                <w:rFonts w:ascii="Arial" w:hAnsi="Arial" w:cs="Arial"/>
                <w:lang w:val="en-GB"/>
              </w:rPr>
            </w:pPr>
            <w:r w:rsidRPr="003F46D4">
              <w:rPr>
                <w:rFonts w:ascii="Arial" w:hAnsi="Arial" w:cs="Arial"/>
              </w:rPr>
              <w:t>Trimester versus uric acid</w:t>
            </w:r>
          </w:p>
        </w:tc>
        <w:tc>
          <w:tcPr>
            <w:tcW w:w="3218" w:type="dxa"/>
            <w:tcBorders>
              <w:top w:val="single" w:sz="4" w:space="0" w:color="FFFFFF"/>
              <w:left w:val="single" w:sz="4" w:space="0" w:color="FFFFFF"/>
              <w:bottom w:val="single" w:sz="4" w:space="0" w:color="FFFFFF"/>
              <w:right w:val="single" w:sz="4" w:space="0" w:color="FFFFFF"/>
            </w:tcBorders>
            <w:hideMark/>
          </w:tcPr>
          <w:p w14:paraId="714A0566" w14:textId="77777777" w:rsidR="00140A58" w:rsidRPr="003F46D4" w:rsidRDefault="00140A58">
            <w:pPr>
              <w:rPr>
                <w:rFonts w:ascii="Arial" w:hAnsi="Arial" w:cs="Arial"/>
                <w:lang w:val="en-GB"/>
              </w:rPr>
            </w:pPr>
            <w:r w:rsidRPr="003F46D4">
              <w:rPr>
                <w:rFonts w:ascii="Arial" w:hAnsi="Arial" w:cs="Arial"/>
              </w:rPr>
              <w:t xml:space="preserve">     0.242</w:t>
            </w:r>
          </w:p>
        </w:tc>
        <w:tc>
          <w:tcPr>
            <w:tcW w:w="3408" w:type="dxa"/>
            <w:tcBorders>
              <w:top w:val="single" w:sz="4" w:space="0" w:color="FFFFFF"/>
              <w:left w:val="single" w:sz="4" w:space="0" w:color="FFFFFF"/>
              <w:bottom w:val="single" w:sz="4" w:space="0" w:color="FFFFFF"/>
              <w:right w:val="nil"/>
            </w:tcBorders>
            <w:hideMark/>
          </w:tcPr>
          <w:p w14:paraId="3FBE026E" w14:textId="77777777" w:rsidR="00140A58" w:rsidRPr="003F46D4" w:rsidRDefault="00140A58">
            <w:pPr>
              <w:rPr>
                <w:rFonts w:ascii="Arial" w:hAnsi="Arial" w:cs="Arial"/>
                <w:lang w:val="en-GB"/>
              </w:rPr>
            </w:pPr>
            <w:r w:rsidRPr="003F46D4">
              <w:rPr>
                <w:rFonts w:ascii="Arial" w:hAnsi="Arial" w:cs="Arial"/>
              </w:rPr>
              <w:t xml:space="preserve">   0.000</w:t>
            </w:r>
          </w:p>
        </w:tc>
      </w:tr>
      <w:tr w:rsidR="00140A58" w14:paraId="2E18773A" w14:textId="77777777" w:rsidTr="00140A58">
        <w:trPr>
          <w:trHeight w:val="534"/>
        </w:trPr>
        <w:tc>
          <w:tcPr>
            <w:tcW w:w="2778" w:type="dxa"/>
            <w:tcBorders>
              <w:top w:val="single" w:sz="4" w:space="0" w:color="FFFFFF"/>
              <w:left w:val="nil"/>
              <w:bottom w:val="single" w:sz="4" w:space="0" w:color="FFFFFF"/>
              <w:right w:val="single" w:sz="4" w:space="0" w:color="FFFFFF"/>
            </w:tcBorders>
            <w:hideMark/>
          </w:tcPr>
          <w:p w14:paraId="21433B56" w14:textId="77777777" w:rsidR="00140A58" w:rsidRPr="003F46D4" w:rsidRDefault="00140A58">
            <w:pPr>
              <w:rPr>
                <w:rFonts w:ascii="Arial" w:hAnsi="Arial" w:cs="Arial"/>
                <w:lang w:val="en-GB"/>
              </w:rPr>
            </w:pPr>
            <w:r w:rsidRPr="003F46D4">
              <w:rPr>
                <w:rFonts w:ascii="Arial" w:hAnsi="Arial" w:cs="Arial"/>
              </w:rPr>
              <w:t>Trimester and sugar</w:t>
            </w:r>
          </w:p>
        </w:tc>
        <w:tc>
          <w:tcPr>
            <w:tcW w:w="3218" w:type="dxa"/>
            <w:tcBorders>
              <w:top w:val="single" w:sz="4" w:space="0" w:color="FFFFFF"/>
              <w:left w:val="single" w:sz="4" w:space="0" w:color="FFFFFF"/>
              <w:bottom w:val="single" w:sz="4" w:space="0" w:color="FFFFFF"/>
              <w:right w:val="single" w:sz="4" w:space="0" w:color="FFFFFF"/>
            </w:tcBorders>
            <w:hideMark/>
          </w:tcPr>
          <w:p w14:paraId="2B48184D" w14:textId="77777777" w:rsidR="00140A58" w:rsidRPr="003F46D4" w:rsidRDefault="00140A58">
            <w:pPr>
              <w:rPr>
                <w:rFonts w:ascii="Arial" w:hAnsi="Arial" w:cs="Arial"/>
                <w:lang w:val="en-GB"/>
              </w:rPr>
            </w:pPr>
            <w:r w:rsidRPr="003F46D4">
              <w:rPr>
                <w:rFonts w:ascii="Arial" w:hAnsi="Arial" w:cs="Arial"/>
              </w:rPr>
              <w:t xml:space="preserve">     0.000</w:t>
            </w:r>
          </w:p>
        </w:tc>
        <w:tc>
          <w:tcPr>
            <w:tcW w:w="3408" w:type="dxa"/>
            <w:tcBorders>
              <w:top w:val="single" w:sz="4" w:space="0" w:color="FFFFFF"/>
              <w:left w:val="single" w:sz="4" w:space="0" w:color="FFFFFF"/>
              <w:bottom w:val="single" w:sz="4" w:space="0" w:color="FFFFFF"/>
              <w:right w:val="nil"/>
            </w:tcBorders>
            <w:hideMark/>
          </w:tcPr>
          <w:p w14:paraId="07D91572" w14:textId="77777777" w:rsidR="00140A58" w:rsidRPr="003F46D4" w:rsidRDefault="00140A58">
            <w:pPr>
              <w:rPr>
                <w:rFonts w:ascii="Arial" w:hAnsi="Arial" w:cs="Arial"/>
                <w:lang w:val="en-GB"/>
              </w:rPr>
            </w:pPr>
            <w:r w:rsidRPr="003F46D4">
              <w:rPr>
                <w:rFonts w:ascii="Arial" w:hAnsi="Arial" w:cs="Arial"/>
              </w:rPr>
              <w:t xml:space="preserve">   0.993**</w:t>
            </w:r>
          </w:p>
        </w:tc>
      </w:tr>
      <w:tr w:rsidR="00140A58" w14:paraId="3F361D64" w14:textId="77777777" w:rsidTr="00140A58">
        <w:trPr>
          <w:trHeight w:val="534"/>
        </w:trPr>
        <w:tc>
          <w:tcPr>
            <w:tcW w:w="2778" w:type="dxa"/>
            <w:tcBorders>
              <w:top w:val="single" w:sz="4" w:space="0" w:color="FFFFFF"/>
              <w:left w:val="nil"/>
              <w:bottom w:val="single" w:sz="4" w:space="0" w:color="000000"/>
              <w:right w:val="single" w:sz="4" w:space="0" w:color="FFFFFF"/>
            </w:tcBorders>
            <w:hideMark/>
          </w:tcPr>
          <w:p w14:paraId="7BA2CA7A" w14:textId="77777777" w:rsidR="00140A58" w:rsidRPr="003F46D4" w:rsidRDefault="00140A58">
            <w:pPr>
              <w:rPr>
                <w:rFonts w:ascii="Arial" w:hAnsi="Arial" w:cs="Arial"/>
                <w:lang w:val="en-GB"/>
              </w:rPr>
            </w:pPr>
            <w:r w:rsidRPr="003F46D4">
              <w:rPr>
                <w:rFonts w:ascii="Arial" w:hAnsi="Arial" w:cs="Arial"/>
              </w:rPr>
              <w:t>Sugar and uric acid</w:t>
            </w:r>
          </w:p>
        </w:tc>
        <w:tc>
          <w:tcPr>
            <w:tcW w:w="3218" w:type="dxa"/>
            <w:tcBorders>
              <w:top w:val="single" w:sz="4" w:space="0" w:color="FFFFFF"/>
              <w:left w:val="single" w:sz="4" w:space="0" w:color="FFFFFF"/>
              <w:bottom w:val="single" w:sz="4" w:space="0" w:color="000000"/>
              <w:right w:val="single" w:sz="4" w:space="0" w:color="FFFFFF"/>
            </w:tcBorders>
            <w:hideMark/>
          </w:tcPr>
          <w:p w14:paraId="2F3EA56E" w14:textId="77777777" w:rsidR="00140A58" w:rsidRPr="003F46D4" w:rsidRDefault="00140A58">
            <w:pPr>
              <w:rPr>
                <w:rFonts w:ascii="Arial" w:hAnsi="Arial" w:cs="Arial"/>
                <w:lang w:val="en-GB"/>
              </w:rPr>
            </w:pPr>
            <w:r w:rsidRPr="003F46D4">
              <w:rPr>
                <w:rFonts w:ascii="Arial" w:hAnsi="Arial" w:cs="Arial"/>
              </w:rPr>
              <w:t xml:space="preserve">    -0.116</w:t>
            </w:r>
          </w:p>
        </w:tc>
        <w:tc>
          <w:tcPr>
            <w:tcW w:w="3408" w:type="dxa"/>
            <w:tcBorders>
              <w:top w:val="single" w:sz="4" w:space="0" w:color="FFFFFF"/>
              <w:left w:val="single" w:sz="4" w:space="0" w:color="FFFFFF"/>
              <w:bottom w:val="single" w:sz="4" w:space="0" w:color="000000"/>
              <w:right w:val="nil"/>
            </w:tcBorders>
            <w:hideMark/>
          </w:tcPr>
          <w:p w14:paraId="115D3139" w14:textId="77777777" w:rsidR="00140A58" w:rsidRPr="003F46D4" w:rsidRDefault="00140A58">
            <w:pPr>
              <w:rPr>
                <w:rFonts w:ascii="Arial" w:hAnsi="Arial" w:cs="Arial"/>
                <w:lang w:val="en-GB"/>
              </w:rPr>
            </w:pPr>
            <w:r w:rsidRPr="003F46D4">
              <w:rPr>
                <w:rFonts w:ascii="Arial" w:hAnsi="Arial" w:cs="Arial"/>
              </w:rPr>
              <w:t xml:space="preserve">   0.044*</w:t>
            </w:r>
          </w:p>
        </w:tc>
      </w:tr>
    </w:tbl>
    <w:p w14:paraId="1A125C53" w14:textId="77777777" w:rsidR="00140A58" w:rsidRPr="003F46D4" w:rsidRDefault="00140A58" w:rsidP="00140A58">
      <w:pPr>
        <w:rPr>
          <w:rFonts w:asciiTheme="minorBidi" w:hAnsiTheme="minorBidi" w:cstheme="minorBidi"/>
          <w:sz w:val="22"/>
          <w:szCs w:val="22"/>
          <w:lang w:val="en-GB"/>
        </w:rPr>
      </w:pPr>
      <w:r w:rsidRPr="003F46D4">
        <w:rPr>
          <w:rFonts w:asciiTheme="minorBidi" w:hAnsiTheme="minorBidi" w:cstheme="minorBidi"/>
        </w:rPr>
        <w:t>**significant at 0.01</w:t>
      </w:r>
    </w:p>
    <w:p w14:paraId="4D6C8B35" w14:textId="77777777" w:rsidR="00140A58" w:rsidRPr="003F46D4" w:rsidRDefault="00140A58" w:rsidP="00140A58">
      <w:pPr>
        <w:rPr>
          <w:rFonts w:asciiTheme="minorBidi" w:hAnsiTheme="minorBidi" w:cstheme="minorBidi"/>
        </w:rPr>
      </w:pPr>
      <w:r w:rsidRPr="003F46D4">
        <w:rPr>
          <w:rFonts w:asciiTheme="minorBidi" w:hAnsiTheme="minorBidi" w:cstheme="minorBidi"/>
        </w:rPr>
        <w:t>*significant at 0.05</w:t>
      </w:r>
    </w:p>
    <w:p w14:paraId="58254CCA" w14:textId="77777777" w:rsidR="00A654C5" w:rsidRDefault="00140A58" w:rsidP="00A654C5">
      <w:pPr>
        <w:pStyle w:val="Body"/>
        <w:spacing w:after="0"/>
        <w:rPr>
          <w:rFonts w:ascii="Arial" w:hAnsi="Arial" w:cs="Arial"/>
        </w:rPr>
      </w:pPr>
      <w:r>
        <w:rPr>
          <w:noProof/>
        </w:rPr>
        <w:lastRenderedPageBreak/>
        <w:drawing>
          <wp:inline distT="0" distB="0" distL="0" distR="0" wp14:anchorId="3E870074" wp14:editId="5C293981">
            <wp:extent cx="4594860" cy="2756535"/>
            <wp:effectExtent l="0" t="0" r="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FFC7BD" w14:textId="77777777" w:rsidR="00140A58" w:rsidRPr="002F27B5" w:rsidRDefault="00140A58" w:rsidP="00140A58">
      <w:pPr>
        <w:rPr>
          <w:rFonts w:asciiTheme="minorBidi" w:hAnsiTheme="minorBidi" w:cstheme="minorBidi"/>
          <w:b/>
          <w:bCs/>
        </w:rPr>
      </w:pPr>
      <w:r w:rsidRPr="002F27B5">
        <w:rPr>
          <w:rFonts w:asciiTheme="minorBidi" w:hAnsiTheme="minorBidi" w:cstheme="minorBidi"/>
          <w:b/>
          <w:bCs/>
        </w:rPr>
        <w:t>Figure 1 Correlation between Serum Uric Acid and Trimester</w:t>
      </w:r>
    </w:p>
    <w:p w14:paraId="549E55C8" w14:textId="77777777" w:rsidR="00140A58" w:rsidRDefault="00140A58" w:rsidP="00A654C5">
      <w:pPr>
        <w:pStyle w:val="Body"/>
        <w:spacing w:after="0"/>
        <w:rPr>
          <w:rFonts w:ascii="Arial" w:hAnsi="Arial" w:cs="Arial"/>
        </w:rPr>
      </w:pPr>
    </w:p>
    <w:p w14:paraId="594DB55E" w14:textId="77777777" w:rsidR="00140A58" w:rsidRDefault="00140A58" w:rsidP="00A654C5">
      <w:pPr>
        <w:pStyle w:val="Body"/>
        <w:spacing w:after="0"/>
        <w:rPr>
          <w:rFonts w:ascii="Arial" w:hAnsi="Arial" w:cs="Arial"/>
        </w:rPr>
      </w:pPr>
    </w:p>
    <w:p w14:paraId="1533BD94" w14:textId="77777777" w:rsidR="00140A58" w:rsidRDefault="00140A58" w:rsidP="00A654C5">
      <w:pPr>
        <w:pStyle w:val="Body"/>
        <w:spacing w:after="0"/>
        <w:rPr>
          <w:rFonts w:ascii="Arial" w:hAnsi="Arial" w:cs="Arial"/>
        </w:rPr>
      </w:pPr>
      <w:r>
        <w:rPr>
          <w:noProof/>
        </w:rPr>
        <w:drawing>
          <wp:inline distT="0" distB="0" distL="0" distR="0" wp14:anchorId="34900220" wp14:editId="13AE4D8F">
            <wp:extent cx="4183380" cy="2479040"/>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FC95DA" w14:textId="77777777" w:rsidR="00140A58" w:rsidRDefault="00140A58" w:rsidP="00140A58">
      <w:pPr>
        <w:rPr>
          <w:rFonts w:ascii="Times New Roman" w:hAnsi="Times New Roman"/>
          <w:b/>
          <w:bCs/>
          <w:sz w:val="24"/>
          <w:szCs w:val="24"/>
        </w:rPr>
      </w:pPr>
      <w:r w:rsidRPr="002F27B5">
        <w:rPr>
          <w:rFonts w:asciiTheme="minorBidi" w:hAnsiTheme="minorBidi" w:cstheme="minorBidi"/>
          <w:b/>
          <w:bCs/>
        </w:rPr>
        <w:t>Figure 2. Correlation curve between blood sugar level and trimester</w:t>
      </w:r>
      <w:r>
        <w:rPr>
          <w:rFonts w:ascii="Times New Roman" w:hAnsi="Times New Roman"/>
          <w:b/>
          <w:bCs/>
          <w:sz w:val="24"/>
          <w:szCs w:val="24"/>
        </w:rPr>
        <w:t xml:space="preserve">. </w:t>
      </w:r>
    </w:p>
    <w:p w14:paraId="010DCA27" w14:textId="77777777" w:rsidR="00140A58" w:rsidRDefault="00140A58" w:rsidP="00A654C5">
      <w:pPr>
        <w:pStyle w:val="Body"/>
        <w:spacing w:after="0"/>
        <w:rPr>
          <w:rFonts w:ascii="Arial" w:hAnsi="Arial" w:cs="Arial"/>
        </w:rPr>
      </w:pPr>
    </w:p>
    <w:p w14:paraId="0910FAAF" w14:textId="77777777" w:rsidR="00A654C5" w:rsidRDefault="00A654C5" w:rsidP="00A654C5">
      <w:pPr>
        <w:pStyle w:val="Body"/>
        <w:spacing w:after="0"/>
        <w:rPr>
          <w:rFonts w:ascii="Arial" w:hAnsi="Arial" w:cs="Arial"/>
        </w:rPr>
      </w:pPr>
    </w:p>
    <w:p w14:paraId="6B6DCE1C" w14:textId="69847323" w:rsidR="00140A58" w:rsidRPr="002F27B5" w:rsidRDefault="00140A58" w:rsidP="00140A58">
      <w:pPr>
        <w:pStyle w:val="Body"/>
        <w:rPr>
          <w:rFonts w:ascii="Arial" w:hAnsi="Arial" w:cs="Arial"/>
          <w:b/>
          <w:bCs/>
          <w:sz w:val="22"/>
          <w:szCs w:val="22"/>
        </w:rPr>
      </w:pPr>
    </w:p>
    <w:p w14:paraId="6E88F8E6" w14:textId="77777777" w:rsidR="00140A58" w:rsidRPr="00140A58" w:rsidRDefault="00140A58" w:rsidP="002F27B5">
      <w:pPr>
        <w:pStyle w:val="Body"/>
        <w:rPr>
          <w:rFonts w:ascii="Arial" w:hAnsi="Arial" w:cs="Arial"/>
        </w:rPr>
      </w:pPr>
      <w:r w:rsidRPr="00140A58">
        <w:rPr>
          <w:rFonts w:ascii="Arial" w:hAnsi="Arial" w:cs="Arial"/>
        </w:rPr>
        <w:t>Hyperuricemia during the reproductive age of women is rare, with an estimated incidence of 1.6 per 10,000 patient-years (</w:t>
      </w:r>
      <w:proofErr w:type="spellStart"/>
      <w:r w:rsidRPr="00140A58">
        <w:rPr>
          <w:rFonts w:ascii="Arial" w:hAnsi="Arial" w:cs="Arial"/>
        </w:rPr>
        <w:t>Teelkien</w:t>
      </w:r>
      <w:proofErr w:type="spellEnd"/>
      <w:r w:rsidRPr="00140A58">
        <w:rPr>
          <w:rFonts w:ascii="Arial" w:hAnsi="Arial" w:cs="Arial"/>
        </w:rPr>
        <w:t xml:space="preserve"> and </w:t>
      </w:r>
      <w:proofErr w:type="spellStart"/>
      <w:r w:rsidRPr="00140A58">
        <w:rPr>
          <w:rFonts w:ascii="Arial" w:hAnsi="Arial" w:cs="Arial"/>
        </w:rPr>
        <w:t>Sina</w:t>
      </w:r>
      <w:proofErr w:type="spellEnd"/>
      <w:r w:rsidRPr="00140A58">
        <w:rPr>
          <w:rFonts w:ascii="Arial" w:hAnsi="Arial" w:cs="Arial"/>
        </w:rPr>
        <w:t>, 2015). This low incidence is thought to be an effect of high estrogen level which is assumed to cause an increase in uric acid excretion with resultant decrease in serum uric acid levels. Thus, higher estrogen level associated with pregnancy is thought to provide immunity against an acute gout glare (</w:t>
      </w:r>
      <w:r w:rsidR="002F27B5">
        <w:rPr>
          <w:rFonts w:ascii="Arial" w:hAnsi="Arial" w:cs="Arial"/>
        </w:rPr>
        <w:t xml:space="preserve">Veen </w:t>
      </w:r>
      <w:r w:rsidR="002F27B5">
        <w:rPr>
          <w:rFonts w:ascii="Arial" w:hAnsi="Arial" w:cs="Arial"/>
          <w:i/>
          <w:iCs/>
        </w:rPr>
        <w:t>et al</w:t>
      </w:r>
      <w:r w:rsidR="002F27B5">
        <w:rPr>
          <w:rFonts w:ascii="Arial" w:hAnsi="Arial" w:cs="Arial"/>
        </w:rPr>
        <w:t xml:space="preserve">., 2015; Pierre </w:t>
      </w:r>
      <w:r w:rsidR="002F27B5">
        <w:rPr>
          <w:rFonts w:ascii="Arial" w:hAnsi="Arial" w:cs="Arial"/>
          <w:i/>
          <w:iCs/>
        </w:rPr>
        <w:t>et al</w:t>
      </w:r>
      <w:r w:rsidR="002F27B5">
        <w:rPr>
          <w:rFonts w:ascii="Arial" w:hAnsi="Arial" w:cs="Arial"/>
        </w:rPr>
        <w:t>., 2020</w:t>
      </w:r>
      <w:r w:rsidR="002F27B5" w:rsidRPr="002F27B5">
        <w:rPr>
          <w:rFonts w:ascii="Arial" w:hAnsi="Arial" w:cs="Arial"/>
        </w:rPr>
        <w:t xml:space="preserve"> </w:t>
      </w:r>
      <w:r w:rsidR="002F27B5">
        <w:rPr>
          <w:rFonts w:ascii="Arial" w:hAnsi="Arial" w:cs="Arial"/>
        </w:rPr>
        <w:t xml:space="preserve">Amar </w:t>
      </w:r>
      <w:r w:rsidR="002F27B5">
        <w:rPr>
          <w:rFonts w:ascii="Arial" w:hAnsi="Arial" w:cs="Arial"/>
          <w:i/>
          <w:iCs/>
        </w:rPr>
        <w:t>et al</w:t>
      </w:r>
      <w:r w:rsidR="002F27B5">
        <w:rPr>
          <w:rFonts w:ascii="Arial" w:hAnsi="Arial" w:cs="Arial"/>
        </w:rPr>
        <w:t>.,2024</w:t>
      </w:r>
      <w:r w:rsidRPr="00140A58">
        <w:rPr>
          <w:rFonts w:ascii="Arial" w:hAnsi="Arial" w:cs="Arial"/>
        </w:rPr>
        <w:t>). Conversely, intrapartum blood loss and tissue breakdown in pregnancy can trigger endogenous loading of uric acid, which may lead</w:t>
      </w:r>
      <w:r w:rsidR="00B6788E">
        <w:rPr>
          <w:rFonts w:ascii="Arial" w:hAnsi="Arial" w:cs="Arial"/>
        </w:rPr>
        <w:t xml:space="preserve"> to hyperuricemia (</w:t>
      </w:r>
      <w:proofErr w:type="spellStart"/>
      <w:proofErr w:type="gramStart"/>
      <w:r w:rsidR="00B6788E">
        <w:rPr>
          <w:rFonts w:ascii="Arial" w:hAnsi="Arial" w:cs="Arial"/>
        </w:rPr>
        <w:t>Weingold</w:t>
      </w:r>
      <w:proofErr w:type="spellEnd"/>
      <w:r w:rsidR="00B6788E">
        <w:rPr>
          <w:rFonts w:ascii="Arial" w:hAnsi="Arial" w:cs="Arial"/>
        </w:rPr>
        <w:t xml:space="preserve"> </w:t>
      </w:r>
      <w:r w:rsidRPr="00140A58">
        <w:rPr>
          <w:rFonts w:ascii="Arial" w:hAnsi="Arial" w:cs="Arial"/>
        </w:rPr>
        <w:t>,</w:t>
      </w:r>
      <w:proofErr w:type="gramEnd"/>
      <w:r w:rsidRPr="00140A58">
        <w:rPr>
          <w:rFonts w:ascii="Arial" w:hAnsi="Arial" w:cs="Arial"/>
        </w:rPr>
        <w:t xml:space="preserve"> 1960).</w:t>
      </w:r>
    </w:p>
    <w:p w14:paraId="17C1875E" w14:textId="77777777" w:rsidR="00982C10" w:rsidRDefault="00140A58" w:rsidP="00982C10">
      <w:pPr>
        <w:pStyle w:val="Body"/>
        <w:spacing w:after="0"/>
        <w:rPr>
          <w:rFonts w:ascii="Arial" w:hAnsi="Arial" w:cs="Arial"/>
        </w:rPr>
      </w:pPr>
      <w:r w:rsidRPr="00140A58">
        <w:rPr>
          <w:rFonts w:ascii="Arial" w:hAnsi="Arial" w:cs="Arial"/>
        </w:rPr>
        <w:t xml:space="preserve">Findings from this study revealed that pregnancy might results </w:t>
      </w:r>
      <w:r w:rsidR="00982C10">
        <w:rPr>
          <w:rFonts w:ascii="Arial" w:hAnsi="Arial" w:cs="Arial"/>
        </w:rPr>
        <w:t xml:space="preserve">in an </w:t>
      </w:r>
      <w:r w:rsidRPr="00140A58">
        <w:rPr>
          <w:rFonts w:ascii="Arial" w:hAnsi="Arial" w:cs="Arial"/>
        </w:rPr>
        <w:t>increase in serum uric acid levels</w:t>
      </w:r>
      <w:r w:rsidR="00982C10">
        <w:rPr>
          <w:rFonts w:ascii="Arial" w:hAnsi="Arial" w:cs="Arial"/>
        </w:rPr>
        <w:t xml:space="preserve">, a finding that </w:t>
      </w:r>
      <w:proofErr w:type="gramStart"/>
      <w:r w:rsidR="00982C10">
        <w:rPr>
          <w:rFonts w:ascii="Arial" w:hAnsi="Arial" w:cs="Arial"/>
        </w:rPr>
        <w:t>is in agreement</w:t>
      </w:r>
      <w:proofErr w:type="gramEnd"/>
      <w:r w:rsidR="00982C10">
        <w:rPr>
          <w:rFonts w:ascii="Arial" w:hAnsi="Arial" w:cs="Arial"/>
        </w:rPr>
        <w:t xml:space="preserve"> with earlier reported findings (Ismail </w:t>
      </w:r>
      <w:r w:rsidR="00982C10">
        <w:rPr>
          <w:rFonts w:ascii="Arial" w:hAnsi="Arial" w:cs="Arial"/>
          <w:i/>
          <w:iCs/>
        </w:rPr>
        <w:t>et al</w:t>
      </w:r>
      <w:r w:rsidR="00982C10">
        <w:rPr>
          <w:rFonts w:ascii="Arial" w:hAnsi="Arial" w:cs="Arial"/>
        </w:rPr>
        <w:t xml:space="preserve">., 2019; Amar </w:t>
      </w:r>
      <w:r w:rsidR="00982C10">
        <w:rPr>
          <w:rFonts w:ascii="Arial" w:hAnsi="Arial" w:cs="Arial"/>
          <w:i/>
          <w:iCs/>
        </w:rPr>
        <w:t>et al</w:t>
      </w:r>
      <w:r w:rsidR="00982C10">
        <w:rPr>
          <w:rFonts w:ascii="Arial" w:hAnsi="Arial" w:cs="Arial"/>
        </w:rPr>
        <w:t xml:space="preserve">., 2024; </w:t>
      </w:r>
      <w:proofErr w:type="spellStart"/>
      <w:r w:rsidR="00982C10">
        <w:rPr>
          <w:rFonts w:ascii="Arial" w:hAnsi="Arial" w:cs="Arial"/>
        </w:rPr>
        <w:t>Xilifu</w:t>
      </w:r>
      <w:proofErr w:type="spellEnd"/>
      <w:r w:rsidR="00982C10">
        <w:rPr>
          <w:rFonts w:ascii="Arial" w:hAnsi="Arial" w:cs="Arial"/>
        </w:rPr>
        <w:t xml:space="preserve"> </w:t>
      </w:r>
      <w:r w:rsidR="00982C10">
        <w:rPr>
          <w:rFonts w:ascii="Arial" w:hAnsi="Arial" w:cs="Arial"/>
          <w:i/>
          <w:iCs/>
        </w:rPr>
        <w:t>et al</w:t>
      </w:r>
      <w:r w:rsidR="00982C10">
        <w:rPr>
          <w:rFonts w:ascii="Arial" w:hAnsi="Arial" w:cs="Arial"/>
        </w:rPr>
        <w:t xml:space="preserve">., 2024; Patil and Bhattacharya, 2025; </w:t>
      </w:r>
      <w:proofErr w:type="spellStart"/>
      <w:r w:rsidR="00982C10">
        <w:rPr>
          <w:rFonts w:ascii="Arial" w:hAnsi="Arial" w:cs="Arial"/>
        </w:rPr>
        <w:t>Tankasali</w:t>
      </w:r>
      <w:proofErr w:type="spellEnd"/>
      <w:r w:rsidR="00982C10">
        <w:rPr>
          <w:rFonts w:ascii="Arial" w:hAnsi="Arial" w:cs="Arial"/>
        </w:rPr>
        <w:t xml:space="preserve"> </w:t>
      </w:r>
      <w:r w:rsidR="00982C10">
        <w:rPr>
          <w:rFonts w:ascii="Arial" w:hAnsi="Arial" w:cs="Arial"/>
          <w:i/>
          <w:iCs/>
        </w:rPr>
        <w:t>et al</w:t>
      </w:r>
      <w:r w:rsidR="00982C10">
        <w:rPr>
          <w:rFonts w:ascii="Arial" w:hAnsi="Arial" w:cs="Arial"/>
        </w:rPr>
        <w:t>., 2025).</w:t>
      </w:r>
    </w:p>
    <w:p w14:paraId="7672E5B4" w14:textId="77777777" w:rsidR="00140A58" w:rsidRDefault="00140A58" w:rsidP="00B6788E">
      <w:pPr>
        <w:pStyle w:val="Body"/>
        <w:spacing w:after="0"/>
        <w:rPr>
          <w:rFonts w:ascii="Arial" w:hAnsi="Arial" w:cs="Arial"/>
        </w:rPr>
      </w:pPr>
      <w:r w:rsidRPr="00140A58">
        <w:rPr>
          <w:rFonts w:ascii="Arial" w:hAnsi="Arial" w:cs="Arial"/>
        </w:rPr>
        <w:t xml:space="preserve">  An average of 3</w:t>
      </w:r>
      <w:r w:rsidR="00226A50">
        <w:rPr>
          <w:rFonts w:ascii="Arial" w:hAnsi="Arial" w:cs="Arial"/>
        </w:rPr>
        <w:t xml:space="preserve">44.23 </w:t>
      </w:r>
      <w:r w:rsidRPr="00140A58">
        <w:rPr>
          <w:rFonts w:ascii="Arial" w:hAnsi="Arial" w:cs="Arial"/>
        </w:rPr>
        <w:t xml:space="preserve">µmol/L </w:t>
      </w:r>
      <w:r w:rsidR="00226A50">
        <w:rPr>
          <w:rFonts w:ascii="Arial" w:hAnsi="Arial" w:cs="Arial"/>
        </w:rPr>
        <w:t>for 1</w:t>
      </w:r>
      <w:r w:rsidR="00226A50" w:rsidRPr="00226A50">
        <w:rPr>
          <w:rFonts w:ascii="Arial" w:hAnsi="Arial" w:cs="Arial"/>
          <w:vertAlign w:val="superscript"/>
        </w:rPr>
        <w:t>st</w:t>
      </w:r>
      <w:r w:rsidR="00226A50">
        <w:rPr>
          <w:rFonts w:ascii="Arial" w:hAnsi="Arial" w:cs="Arial"/>
        </w:rPr>
        <w:t xml:space="preserve"> trimester, 394.22 </w:t>
      </w:r>
      <w:r w:rsidRPr="00140A58">
        <w:rPr>
          <w:rFonts w:ascii="Arial" w:hAnsi="Arial" w:cs="Arial"/>
        </w:rPr>
        <w:t xml:space="preserve">µmol/L for </w:t>
      </w:r>
      <w:r w:rsidR="00226A50">
        <w:rPr>
          <w:rFonts w:ascii="Arial" w:hAnsi="Arial" w:cs="Arial"/>
        </w:rPr>
        <w:t>2</w:t>
      </w:r>
      <w:r w:rsidR="00226A50" w:rsidRPr="00226A50">
        <w:rPr>
          <w:rFonts w:ascii="Arial" w:hAnsi="Arial" w:cs="Arial"/>
          <w:vertAlign w:val="superscript"/>
        </w:rPr>
        <w:t>nd</w:t>
      </w:r>
      <w:r w:rsidR="00226A50">
        <w:rPr>
          <w:rFonts w:ascii="Arial" w:hAnsi="Arial" w:cs="Arial"/>
        </w:rPr>
        <w:t xml:space="preserve"> trimester and 455.40 </w:t>
      </w:r>
      <w:r w:rsidRPr="00140A58">
        <w:rPr>
          <w:rFonts w:ascii="Arial" w:hAnsi="Arial" w:cs="Arial"/>
        </w:rPr>
        <w:t>µmol/L for 3</w:t>
      </w:r>
      <w:r w:rsidRPr="00226A50">
        <w:rPr>
          <w:rFonts w:ascii="Arial" w:hAnsi="Arial" w:cs="Arial"/>
          <w:vertAlign w:val="superscript"/>
        </w:rPr>
        <w:t>rd</w:t>
      </w:r>
      <w:r w:rsidRPr="00140A58">
        <w:rPr>
          <w:rFonts w:ascii="Arial" w:hAnsi="Arial" w:cs="Arial"/>
        </w:rPr>
        <w:t xml:space="preserve"> trimester serum uric acid level was observed in pregnant women compared to the standard reference range of 380</w:t>
      </w:r>
      <w:r w:rsidR="008D58B6">
        <w:rPr>
          <w:rFonts w:ascii="Arial" w:hAnsi="Arial" w:cs="Arial"/>
        </w:rPr>
        <w:t xml:space="preserve"> </w:t>
      </w:r>
      <w:r w:rsidRPr="00140A58">
        <w:rPr>
          <w:rFonts w:ascii="Arial" w:hAnsi="Arial" w:cs="Arial"/>
        </w:rPr>
        <w:t xml:space="preserve">µmol/L for women. Increased serum uric acid level was observed with increased age of pregnancy; thus, highest serum urate levels was observed in the third trimester as compared to the first and second trimesters. No correlation was observed between age of pregnant women and serum urate level or blood glucose level. The findings here contradict the earlier report by </w:t>
      </w:r>
      <w:proofErr w:type="spellStart"/>
      <w:r w:rsidRPr="00140A58">
        <w:rPr>
          <w:rFonts w:ascii="Arial" w:hAnsi="Arial" w:cs="Arial"/>
        </w:rPr>
        <w:t>Teelkien</w:t>
      </w:r>
      <w:proofErr w:type="spellEnd"/>
      <w:r w:rsidRPr="00140A58">
        <w:rPr>
          <w:rFonts w:ascii="Arial" w:hAnsi="Arial" w:cs="Arial"/>
        </w:rPr>
        <w:t xml:space="preserve"> and </w:t>
      </w:r>
      <w:proofErr w:type="spellStart"/>
      <w:r w:rsidRPr="00140A58">
        <w:rPr>
          <w:rFonts w:ascii="Arial" w:hAnsi="Arial" w:cs="Arial"/>
        </w:rPr>
        <w:t>Sina</w:t>
      </w:r>
      <w:proofErr w:type="spellEnd"/>
      <w:r w:rsidRPr="00140A58">
        <w:rPr>
          <w:rFonts w:ascii="Arial" w:hAnsi="Arial" w:cs="Arial"/>
        </w:rPr>
        <w:t xml:space="preserve">, </w:t>
      </w:r>
      <w:r w:rsidR="00B6788E">
        <w:rPr>
          <w:rFonts w:ascii="Arial" w:hAnsi="Arial" w:cs="Arial"/>
        </w:rPr>
        <w:t>(</w:t>
      </w:r>
      <w:r w:rsidRPr="00140A58">
        <w:rPr>
          <w:rFonts w:ascii="Arial" w:hAnsi="Arial" w:cs="Arial"/>
        </w:rPr>
        <w:t>2015</w:t>
      </w:r>
      <w:r w:rsidR="00B6788E">
        <w:rPr>
          <w:rFonts w:ascii="Arial" w:hAnsi="Arial" w:cs="Arial"/>
        </w:rPr>
        <w:t>)</w:t>
      </w:r>
      <w:r w:rsidRPr="00140A58">
        <w:rPr>
          <w:rFonts w:ascii="Arial" w:hAnsi="Arial" w:cs="Arial"/>
        </w:rPr>
        <w:t xml:space="preserve"> that increased estrogen level in pregnancy decreases serum uric acid level and thus prevent </w:t>
      </w:r>
      <w:r w:rsidRPr="00140A58">
        <w:rPr>
          <w:rFonts w:ascii="Arial" w:hAnsi="Arial" w:cs="Arial"/>
        </w:rPr>
        <w:lastRenderedPageBreak/>
        <w:t xml:space="preserve">pregnant women from experiencing gout flare. Our findings however agree with reports by Cook </w:t>
      </w:r>
      <w:r w:rsidRPr="00B6788E">
        <w:rPr>
          <w:rFonts w:ascii="Arial" w:hAnsi="Arial" w:cs="Arial"/>
          <w:i/>
          <w:iCs/>
        </w:rPr>
        <w:t>et al</w:t>
      </w:r>
      <w:r w:rsidR="00B6788E">
        <w:rPr>
          <w:rFonts w:ascii="Arial" w:hAnsi="Arial" w:cs="Arial"/>
        </w:rPr>
        <w:t>.</w:t>
      </w:r>
      <w:r w:rsidRPr="00140A58">
        <w:rPr>
          <w:rFonts w:ascii="Arial" w:hAnsi="Arial" w:cs="Arial"/>
        </w:rPr>
        <w:t xml:space="preserve"> </w:t>
      </w:r>
      <w:r w:rsidR="00B6788E">
        <w:rPr>
          <w:rFonts w:ascii="Arial" w:hAnsi="Arial" w:cs="Arial"/>
        </w:rPr>
        <w:t>(</w:t>
      </w:r>
      <w:r w:rsidRPr="00140A58">
        <w:rPr>
          <w:rFonts w:ascii="Arial" w:hAnsi="Arial" w:cs="Arial"/>
        </w:rPr>
        <w:t>1986</w:t>
      </w:r>
      <w:r w:rsidR="00B6788E">
        <w:rPr>
          <w:rFonts w:ascii="Arial" w:hAnsi="Arial" w:cs="Arial"/>
        </w:rPr>
        <w:t>)</w:t>
      </w:r>
      <w:r w:rsidRPr="00140A58">
        <w:rPr>
          <w:rFonts w:ascii="Arial" w:hAnsi="Arial" w:cs="Arial"/>
        </w:rPr>
        <w:t xml:space="preserve"> that significant weight gain by pregnant women results in pregnancy-induced insulin resistance and thus gestational diabetes may sets in. In this study, slight correlation was observed between blood glucose level and serum uric acid level based on Duncan correlation test; hyperuricemia was observed in most pregnant women with high blood glucose level suggesting a link between hyperglycemia and hyperuricemia. Another possible cause for hyperuricemia during pregnancy is intrapartum blood lost and tissue breakdown which for long known cause hyperuricemia. As we have not examined the </w:t>
      </w:r>
      <w:proofErr w:type="spellStart"/>
      <w:r w:rsidRPr="00140A58">
        <w:rPr>
          <w:rFonts w:ascii="Arial" w:hAnsi="Arial" w:cs="Arial"/>
        </w:rPr>
        <w:t>haemoglobin</w:t>
      </w:r>
      <w:proofErr w:type="spellEnd"/>
      <w:r w:rsidRPr="00140A58">
        <w:rPr>
          <w:rFonts w:ascii="Arial" w:hAnsi="Arial" w:cs="Arial"/>
        </w:rPr>
        <w:t xml:space="preserve"> level of our subjects, we cannot draw out conclusion along that line.</w:t>
      </w:r>
    </w:p>
    <w:p w14:paraId="30E33250" w14:textId="77777777" w:rsidR="00790ADA" w:rsidRPr="00502516" w:rsidRDefault="00790ADA" w:rsidP="00441B6F">
      <w:pPr>
        <w:pStyle w:val="Body"/>
        <w:spacing w:after="0"/>
        <w:rPr>
          <w:rFonts w:ascii="Arial" w:hAnsi="Arial" w:cs="Arial"/>
        </w:rPr>
      </w:pPr>
    </w:p>
    <w:p w14:paraId="170DEDB9" w14:textId="77777777" w:rsidR="00863BD3" w:rsidRPr="00FB3A86" w:rsidRDefault="00863BD3" w:rsidP="00441B6F">
      <w:pPr>
        <w:pStyle w:val="Body"/>
        <w:spacing w:after="0"/>
        <w:rPr>
          <w:rFonts w:ascii="Arial" w:hAnsi="Arial" w:cs="Arial"/>
        </w:rPr>
      </w:pPr>
    </w:p>
    <w:p w14:paraId="0C6590B3" w14:textId="77777777" w:rsidR="00E053D0" w:rsidRDefault="00E053D0" w:rsidP="00441B6F">
      <w:pPr>
        <w:pStyle w:val="Body"/>
        <w:spacing w:after="0"/>
        <w:rPr>
          <w:rFonts w:ascii="Arial" w:hAnsi="Arial" w:cs="Arial"/>
        </w:rPr>
      </w:pPr>
    </w:p>
    <w:p w14:paraId="2F6CE93D" w14:textId="77777777" w:rsidR="00790ADA" w:rsidRPr="00FB3A86" w:rsidRDefault="00790ADA" w:rsidP="00441B6F">
      <w:pPr>
        <w:pStyle w:val="Body"/>
        <w:spacing w:after="0"/>
        <w:rPr>
          <w:rFonts w:ascii="Arial" w:hAnsi="Arial" w:cs="Arial"/>
        </w:rPr>
      </w:pPr>
    </w:p>
    <w:p w14:paraId="003C843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CA89DD4" w14:textId="77777777" w:rsidR="00790ADA" w:rsidRPr="00FB3A86" w:rsidRDefault="00790ADA" w:rsidP="00441B6F">
      <w:pPr>
        <w:pStyle w:val="ConcHead"/>
        <w:spacing w:after="0"/>
        <w:jc w:val="both"/>
        <w:rPr>
          <w:rFonts w:ascii="Arial" w:hAnsi="Arial" w:cs="Arial"/>
        </w:rPr>
      </w:pPr>
    </w:p>
    <w:p w14:paraId="5BBB86D0" w14:textId="77777777" w:rsidR="00790ADA" w:rsidRDefault="00140A58" w:rsidP="00140A58">
      <w:pPr>
        <w:pStyle w:val="Body"/>
        <w:spacing w:after="0"/>
        <w:rPr>
          <w:rFonts w:ascii="Arial" w:hAnsi="Arial" w:cs="Arial"/>
        </w:rPr>
      </w:pPr>
      <w:r w:rsidRPr="00140A58">
        <w:rPr>
          <w:rFonts w:ascii="Arial" w:hAnsi="Arial" w:cs="Arial"/>
        </w:rPr>
        <w:t xml:space="preserve">Increased levels of estrogen associated with pregnancy may reduce the risk of developing hyperuricemia and clinical gout in pregnant women. However, findings from this study indicate that gestational diabetes might be a risk factor, thus subjecting the pregnant women to the possibility of developing clinical gout. Currently, little is known about the treatment of acute gout, and long-term management of pregnant gouty patients. Findings from this study indicate that women diagnosed with gouty arthritis may risk experiencing flares when they are pregnant, particularly in their third trimester.  Similarly, diabetic women may likely experience hyperuricemia and possibly gestational gouty arthritis. We recommend that women with a history of gout or hyperuricemia should be routinely screened for gestational diabetes even with low suspicion. </w:t>
      </w:r>
    </w:p>
    <w:p w14:paraId="442FB5A6" w14:textId="77777777" w:rsidR="00140A58" w:rsidRPr="00FB3A86" w:rsidRDefault="00140A58" w:rsidP="00140A58">
      <w:pPr>
        <w:pStyle w:val="Body"/>
        <w:spacing w:after="0"/>
        <w:rPr>
          <w:rFonts w:ascii="Arial" w:hAnsi="Arial" w:cs="Arial"/>
        </w:rPr>
      </w:pPr>
    </w:p>
    <w:p w14:paraId="75588435" w14:textId="77777777" w:rsidR="00315186" w:rsidRPr="00315186" w:rsidRDefault="00315186" w:rsidP="00441B6F"/>
    <w:p w14:paraId="5FD4DC77" w14:textId="77777777" w:rsidR="00315186" w:rsidRPr="00315186" w:rsidRDefault="00315186" w:rsidP="00441B6F"/>
    <w:p w14:paraId="041A9AC6" w14:textId="77777777" w:rsidR="00315186" w:rsidRPr="00315186" w:rsidRDefault="00315186" w:rsidP="00441B6F"/>
    <w:p w14:paraId="0BB053BB" w14:textId="77777777" w:rsidR="00315186" w:rsidRPr="00315186" w:rsidRDefault="00315186" w:rsidP="00441B6F"/>
    <w:p w14:paraId="0688F07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E7D1224" w14:textId="77777777" w:rsidR="00860000" w:rsidRPr="00786D36" w:rsidRDefault="00860000" w:rsidP="00441B6F">
      <w:pPr>
        <w:pStyle w:val="ReferHead"/>
        <w:spacing w:after="0"/>
        <w:jc w:val="both"/>
        <w:rPr>
          <w:rFonts w:ascii="Arial" w:hAnsi="Arial" w:cs="Arial"/>
        </w:rPr>
      </w:pPr>
    </w:p>
    <w:p w14:paraId="2F2DC8EB" w14:textId="77777777" w:rsidR="00860000" w:rsidRPr="008D58B6" w:rsidRDefault="008D58B6" w:rsidP="00441B6F">
      <w:pPr>
        <w:pStyle w:val="ReferHead"/>
        <w:spacing w:after="0"/>
        <w:jc w:val="both"/>
        <w:rPr>
          <w:rFonts w:ascii="Arial" w:hAnsi="Arial" w:cs="Arial"/>
          <w:b w:val="0"/>
          <w:caps w:val="0"/>
          <w:sz w:val="20"/>
        </w:rPr>
      </w:pPr>
      <w:r w:rsidRPr="008D58B6">
        <w:rPr>
          <w:rFonts w:ascii="Arial" w:hAnsi="Arial" w:cs="Arial"/>
          <w:b w:val="0"/>
          <w:caps w:val="0"/>
          <w:sz w:val="20"/>
        </w:rPr>
        <w:t xml:space="preserve"> No</w:t>
      </w:r>
      <w:r w:rsidR="00E66E10" w:rsidRPr="008D58B6">
        <w:rPr>
          <w:rFonts w:ascii="Arial" w:hAnsi="Arial" w:cs="Arial"/>
          <w:b w:val="0"/>
          <w:caps w:val="0"/>
          <w:sz w:val="20"/>
        </w:rPr>
        <w:t xml:space="preserve"> competing interests exist.</w:t>
      </w:r>
    </w:p>
    <w:p w14:paraId="0A81B10C" w14:textId="77777777" w:rsidR="00371FB6" w:rsidRDefault="00371FB6" w:rsidP="00441B6F">
      <w:pPr>
        <w:pStyle w:val="ReferHead"/>
        <w:spacing w:after="0"/>
        <w:jc w:val="both"/>
        <w:rPr>
          <w:rFonts w:ascii="Arial" w:hAnsi="Arial" w:cs="Arial"/>
          <w:b w:val="0"/>
          <w:caps w:val="0"/>
          <w:sz w:val="20"/>
        </w:rPr>
      </w:pPr>
    </w:p>
    <w:p w14:paraId="38E49D37" w14:textId="77777777" w:rsidR="008F72DF" w:rsidRDefault="008F72DF" w:rsidP="00441B6F">
      <w:pPr>
        <w:pStyle w:val="ReferHead"/>
        <w:spacing w:after="0"/>
        <w:jc w:val="both"/>
        <w:rPr>
          <w:rFonts w:ascii="Arial" w:hAnsi="Arial" w:cs="Arial"/>
          <w:b w:val="0"/>
          <w:caps w:val="0"/>
          <w:sz w:val="20"/>
        </w:rPr>
      </w:pPr>
    </w:p>
    <w:p w14:paraId="12B316E5" w14:textId="77777777" w:rsidR="008F72DF" w:rsidRPr="008F72DF" w:rsidRDefault="008F72DF" w:rsidP="008F72DF">
      <w:pPr>
        <w:pStyle w:val="ReferHead"/>
        <w:jc w:val="both"/>
        <w:rPr>
          <w:rFonts w:ascii="Arial" w:hAnsi="Arial" w:cs="Arial"/>
          <w:b w:val="0"/>
          <w:caps w:val="0"/>
          <w:sz w:val="20"/>
        </w:rPr>
      </w:pPr>
      <w:r w:rsidRPr="008F72DF">
        <w:rPr>
          <w:rFonts w:ascii="Arial" w:hAnsi="Arial" w:cs="Arial"/>
          <w:b w:val="0"/>
          <w:caps w:val="0"/>
          <w:sz w:val="20"/>
        </w:rPr>
        <w:t>COMPETING INTERESTS DISCLAIMER:</w:t>
      </w:r>
    </w:p>
    <w:p w14:paraId="510AC931" w14:textId="7B81FA6C" w:rsidR="008F72DF" w:rsidRPr="00780BD8" w:rsidRDefault="008F72DF" w:rsidP="008F72DF">
      <w:pPr>
        <w:pStyle w:val="ReferHead"/>
        <w:spacing w:after="0"/>
        <w:jc w:val="both"/>
        <w:rPr>
          <w:rFonts w:ascii="Arial" w:hAnsi="Arial" w:cs="Arial"/>
          <w:b w:val="0"/>
          <w:caps w:val="0"/>
          <w:sz w:val="20"/>
        </w:rPr>
      </w:pPr>
      <w:r w:rsidRPr="008F72D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058A90" w14:textId="77777777" w:rsidR="002B685A" w:rsidRDefault="002B685A" w:rsidP="00441B6F">
      <w:pPr>
        <w:pStyle w:val="ReferHead"/>
        <w:spacing w:after="0"/>
        <w:jc w:val="both"/>
        <w:rPr>
          <w:rFonts w:ascii="Arial" w:hAnsi="Arial" w:cs="Arial"/>
          <w:b w:val="0"/>
          <w:caps w:val="0"/>
          <w:sz w:val="20"/>
        </w:rPr>
      </w:pPr>
    </w:p>
    <w:p w14:paraId="20A19732" w14:textId="77777777" w:rsidR="00860000" w:rsidRDefault="00860000" w:rsidP="00441B6F">
      <w:pPr>
        <w:pStyle w:val="ReferHead"/>
        <w:spacing w:after="0"/>
        <w:jc w:val="both"/>
        <w:rPr>
          <w:rFonts w:ascii="Arial" w:hAnsi="Arial" w:cs="Arial"/>
        </w:rPr>
      </w:pPr>
    </w:p>
    <w:p w14:paraId="72322DA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0F6839" w14:textId="77777777" w:rsidR="00790ADA" w:rsidRPr="00FB3A86" w:rsidRDefault="00790ADA" w:rsidP="00441B6F">
      <w:pPr>
        <w:pStyle w:val="ReferHead"/>
        <w:spacing w:after="0"/>
        <w:jc w:val="both"/>
        <w:rPr>
          <w:rFonts w:ascii="Arial" w:hAnsi="Arial" w:cs="Arial"/>
        </w:rPr>
      </w:pPr>
    </w:p>
    <w:p w14:paraId="0C1DF780" w14:textId="77777777" w:rsidR="00284C4C" w:rsidRPr="00284C4C" w:rsidRDefault="00284C4C" w:rsidP="00441B6F">
      <w:pPr>
        <w:pStyle w:val="Body"/>
        <w:spacing w:after="0"/>
        <w:rPr>
          <w:rFonts w:ascii="Arial" w:hAnsi="Arial" w:cs="Arial"/>
          <w:i/>
          <w:u w:val="single"/>
        </w:rPr>
      </w:pPr>
    </w:p>
    <w:p w14:paraId="74ACA417" w14:textId="77777777" w:rsidR="003F5C4B" w:rsidRDefault="00AD6FB3" w:rsidP="003F5C4B">
      <w:pPr>
        <w:pStyle w:val="Body"/>
        <w:rPr>
          <w:rFonts w:ascii="Arial" w:hAnsi="Arial" w:cs="Arial"/>
        </w:rPr>
      </w:pPr>
      <w:proofErr w:type="spellStart"/>
      <w:r w:rsidRPr="00A9560D">
        <w:rPr>
          <w:rFonts w:ascii="Arial" w:hAnsi="Arial" w:cs="Arial"/>
        </w:rPr>
        <w:t>Abdollahi</w:t>
      </w:r>
      <w:proofErr w:type="spellEnd"/>
      <w:r w:rsidRPr="00A9560D">
        <w:rPr>
          <w:rFonts w:ascii="Arial" w:hAnsi="Arial" w:cs="Arial"/>
        </w:rPr>
        <w:t xml:space="preserve"> H, </w:t>
      </w:r>
      <w:proofErr w:type="spellStart"/>
      <w:r w:rsidRPr="00A9560D">
        <w:rPr>
          <w:rFonts w:ascii="Arial" w:hAnsi="Arial" w:cs="Arial"/>
        </w:rPr>
        <w:t>Salehinia</w:t>
      </w:r>
      <w:proofErr w:type="spellEnd"/>
      <w:r w:rsidRPr="00A9560D">
        <w:rPr>
          <w:rFonts w:ascii="Arial" w:hAnsi="Arial" w:cs="Arial"/>
        </w:rPr>
        <w:t xml:space="preserve"> F, </w:t>
      </w:r>
      <w:proofErr w:type="spellStart"/>
      <w:r w:rsidRPr="00A9560D">
        <w:rPr>
          <w:rFonts w:ascii="Arial" w:hAnsi="Arial" w:cs="Arial"/>
        </w:rPr>
        <w:t>Badeli</w:t>
      </w:r>
      <w:proofErr w:type="spellEnd"/>
      <w:r w:rsidRPr="00A9560D">
        <w:rPr>
          <w:rFonts w:ascii="Arial" w:hAnsi="Arial" w:cs="Arial"/>
        </w:rPr>
        <w:t xml:space="preserve"> M, </w:t>
      </w:r>
      <w:r w:rsidR="00851B63">
        <w:rPr>
          <w:rFonts w:ascii="Arial" w:hAnsi="Arial" w:cs="Arial"/>
        </w:rPr>
        <w:t xml:space="preserve">Karimi E, </w:t>
      </w:r>
      <w:proofErr w:type="spellStart"/>
      <w:r w:rsidR="00851B63">
        <w:rPr>
          <w:rFonts w:ascii="Arial" w:hAnsi="Arial" w:cs="Arial"/>
        </w:rPr>
        <w:t>Gamdokar</w:t>
      </w:r>
      <w:proofErr w:type="spellEnd"/>
      <w:r w:rsidR="00851B63">
        <w:rPr>
          <w:rFonts w:ascii="Arial" w:hAnsi="Arial" w:cs="Arial"/>
        </w:rPr>
        <w:t xml:space="preserve"> H, </w:t>
      </w:r>
      <w:proofErr w:type="spellStart"/>
      <w:r w:rsidR="00851B63">
        <w:rPr>
          <w:rFonts w:ascii="Arial" w:hAnsi="Arial" w:cs="Arial"/>
        </w:rPr>
        <w:t>Asadollahi</w:t>
      </w:r>
      <w:proofErr w:type="spellEnd"/>
      <w:r w:rsidR="00851B63">
        <w:rPr>
          <w:rFonts w:ascii="Arial" w:hAnsi="Arial" w:cs="Arial"/>
        </w:rPr>
        <w:t xml:space="preserve"> A, </w:t>
      </w:r>
      <w:r w:rsidRPr="00112E82">
        <w:rPr>
          <w:rFonts w:ascii="Arial" w:hAnsi="Arial" w:cs="Arial"/>
          <w:i/>
          <w:iCs/>
        </w:rPr>
        <w:t>et al</w:t>
      </w:r>
      <w:r w:rsidRPr="00A9560D">
        <w:rPr>
          <w:rFonts w:ascii="Arial" w:hAnsi="Arial" w:cs="Arial"/>
        </w:rPr>
        <w:t xml:space="preserve">. </w:t>
      </w:r>
      <w:r w:rsidR="00BD662E">
        <w:rPr>
          <w:rFonts w:ascii="Arial" w:hAnsi="Arial" w:cs="Arial"/>
        </w:rPr>
        <w:t>(</w:t>
      </w:r>
      <w:proofErr w:type="gramStart"/>
      <w:r w:rsidR="00BD662E">
        <w:rPr>
          <w:rFonts w:ascii="Arial" w:hAnsi="Arial" w:cs="Arial"/>
        </w:rPr>
        <w:t>2021)</w:t>
      </w:r>
      <w:r w:rsidRPr="00A9560D">
        <w:rPr>
          <w:rFonts w:ascii="Arial" w:hAnsi="Arial" w:cs="Arial"/>
        </w:rPr>
        <w:t>The</w:t>
      </w:r>
      <w:proofErr w:type="gramEnd"/>
      <w:r w:rsidRPr="00A9560D">
        <w:rPr>
          <w:rFonts w:ascii="Arial" w:hAnsi="Arial" w:cs="Arial"/>
        </w:rPr>
        <w:t xml:space="preserve"> biochemical parameters and vitamin D levels in ICU patients with COVID-19: a cross-sectional study. </w:t>
      </w:r>
      <w:r w:rsidRPr="00112E82">
        <w:rPr>
          <w:rFonts w:ascii="Arial" w:hAnsi="Arial" w:cs="Arial"/>
          <w:i/>
          <w:iCs/>
        </w:rPr>
        <w:t>Endocrine, metabolic &amp; immune Disorders-Drug targets</w:t>
      </w:r>
      <w:r w:rsidRPr="00A9560D">
        <w:rPr>
          <w:rFonts w:ascii="Arial" w:hAnsi="Arial" w:cs="Arial"/>
        </w:rPr>
        <w:t>;21(12):2191–202.</w:t>
      </w:r>
    </w:p>
    <w:p w14:paraId="1E200835" w14:textId="77777777" w:rsidR="00AD6FB3" w:rsidRDefault="00AD6FB3" w:rsidP="00AD6FB3">
      <w:pPr>
        <w:pStyle w:val="Body"/>
        <w:rPr>
          <w:rFonts w:ascii="Arial" w:hAnsi="Arial" w:cs="Arial"/>
        </w:rPr>
      </w:pPr>
      <w:proofErr w:type="spellStart"/>
      <w:r w:rsidRPr="00A9560D">
        <w:rPr>
          <w:rFonts w:ascii="Arial" w:hAnsi="Arial" w:cs="Arial"/>
        </w:rPr>
        <w:t>Abdollahi</w:t>
      </w:r>
      <w:proofErr w:type="spellEnd"/>
      <w:r w:rsidRPr="00A9560D">
        <w:rPr>
          <w:rFonts w:ascii="Arial" w:hAnsi="Arial" w:cs="Arial"/>
        </w:rPr>
        <w:t xml:space="preserve"> H, </w:t>
      </w:r>
      <w:proofErr w:type="spellStart"/>
      <w:r w:rsidRPr="00A9560D">
        <w:rPr>
          <w:rFonts w:ascii="Arial" w:hAnsi="Arial" w:cs="Arial"/>
        </w:rPr>
        <w:t>Tavakoli</w:t>
      </w:r>
      <w:proofErr w:type="spellEnd"/>
      <w:r w:rsidRPr="00A9560D">
        <w:rPr>
          <w:rFonts w:ascii="Arial" w:hAnsi="Arial" w:cs="Arial"/>
        </w:rPr>
        <w:t xml:space="preserve"> H, </w:t>
      </w:r>
      <w:proofErr w:type="spellStart"/>
      <w:r w:rsidRPr="00A9560D">
        <w:rPr>
          <w:rFonts w:ascii="Arial" w:hAnsi="Arial" w:cs="Arial"/>
        </w:rPr>
        <w:t>Mojtahedi</w:t>
      </w:r>
      <w:proofErr w:type="spellEnd"/>
      <w:r w:rsidRPr="00A9560D">
        <w:rPr>
          <w:rFonts w:ascii="Arial" w:hAnsi="Arial" w:cs="Arial"/>
        </w:rPr>
        <w:t xml:space="preserve"> Y</w:t>
      </w:r>
      <w:r w:rsidR="003F5C4B">
        <w:rPr>
          <w:rFonts w:ascii="Arial" w:hAnsi="Arial" w:cs="Arial"/>
        </w:rPr>
        <w:t>,</w:t>
      </w:r>
      <w:r w:rsidR="003F5C4B" w:rsidRPr="003F5C4B">
        <w:t xml:space="preserve"> </w:t>
      </w:r>
      <w:proofErr w:type="spellStart"/>
      <w:proofErr w:type="gramStart"/>
      <w:r w:rsidR="003F5C4B" w:rsidRPr="003F5C4B">
        <w:rPr>
          <w:rFonts w:ascii="Arial" w:hAnsi="Arial" w:cs="Arial"/>
        </w:rPr>
        <w:t>Sedighiyan</w:t>
      </w:r>
      <w:proofErr w:type="spellEnd"/>
      <w:r w:rsidR="003F5C4B" w:rsidRPr="003F5C4B">
        <w:rPr>
          <w:rFonts w:ascii="Arial" w:hAnsi="Arial" w:cs="Arial"/>
        </w:rPr>
        <w:t xml:space="preserve">  M</w:t>
      </w:r>
      <w:proofErr w:type="gramEnd"/>
      <w:r w:rsidR="003F5C4B" w:rsidRPr="003F5C4B">
        <w:rPr>
          <w:rFonts w:ascii="Arial" w:hAnsi="Arial" w:cs="Arial"/>
        </w:rPr>
        <w:t xml:space="preserve">, </w:t>
      </w:r>
      <w:proofErr w:type="spellStart"/>
      <w:r w:rsidR="003F5C4B" w:rsidRPr="003F5C4B">
        <w:rPr>
          <w:rFonts w:ascii="Arial" w:hAnsi="Arial" w:cs="Arial"/>
        </w:rPr>
        <w:t>Abdolahi</w:t>
      </w:r>
      <w:proofErr w:type="spellEnd"/>
      <w:r w:rsidR="003F5C4B" w:rsidRPr="003F5C4B">
        <w:rPr>
          <w:rFonts w:ascii="Arial" w:hAnsi="Arial" w:cs="Arial"/>
        </w:rPr>
        <w:t xml:space="preserve"> M,  </w:t>
      </w:r>
      <w:proofErr w:type="spellStart"/>
      <w:r w:rsidR="003F5C4B" w:rsidRPr="003F5C4B">
        <w:rPr>
          <w:rFonts w:ascii="Arial" w:hAnsi="Arial" w:cs="Arial"/>
        </w:rPr>
        <w:t>Jamshidi</w:t>
      </w:r>
      <w:proofErr w:type="spellEnd"/>
      <w:r w:rsidR="003F5C4B" w:rsidRPr="003F5C4B">
        <w:rPr>
          <w:rFonts w:ascii="Arial" w:hAnsi="Arial" w:cs="Arial"/>
        </w:rPr>
        <w:t xml:space="preserve"> MS</w:t>
      </w:r>
      <w:r w:rsidR="00BD662E">
        <w:rPr>
          <w:rFonts w:ascii="Arial" w:hAnsi="Arial" w:cs="Arial"/>
        </w:rPr>
        <w:t>,</w:t>
      </w:r>
      <w:r w:rsidRPr="00A9560D">
        <w:rPr>
          <w:rFonts w:ascii="Arial" w:hAnsi="Arial" w:cs="Arial"/>
        </w:rPr>
        <w:t xml:space="preserve"> </w:t>
      </w:r>
      <w:r w:rsidRPr="00112E82">
        <w:rPr>
          <w:rFonts w:ascii="Arial" w:hAnsi="Arial" w:cs="Arial"/>
          <w:i/>
          <w:iCs/>
        </w:rPr>
        <w:t>et al</w:t>
      </w:r>
      <w:r w:rsidRPr="00A9560D">
        <w:rPr>
          <w:rFonts w:ascii="Arial" w:hAnsi="Arial" w:cs="Arial"/>
        </w:rPr>
        <w:t xml:space="preserve">. </w:t>
      </w:r>
      <w:r w:rsidR="00BD662E">
        <w:rPr>
          <w:rFonts w:ascii="Arial" w:hAnsi="Arial" w:cs="Arial"/>
        </w:rPr>
        <w:t xml:space="preserve">(2024) </w:t>
      </w:r>
      <w:r w:rsidRPr="00A9560D">
        <w:rPr>
          <w:rFonts w:ascii="Arial" w:hAnsi="Arial" w:cs="Arial"/>
        </w:rPr>
        <w:t>Evaluation of Depression, anxiety and stress scores in patients with Covid-19: A Cross-Sectional Study. Archives of an</w:t>
      </w:r>
      <w:r w:rsidR="00BD662E">
        <w:rPr>
          <w:rFonts w:ascii="Arial" w:hAnsi="Arial" w:cs="Arial"/>
        </w:rPr>
        <w:t>esthesia and critical care</w:t>
      </w:r>
      <w:r w:rsidRPr="00A9560D">
        <w:rPr>
          <w:rFonts w:ascii="Arial" w:hAnsi="Arial" w:cs="Arial"/>
        </w:rPr>
        <w:t>; 10(Supplement 2): 565–70</w:t>
      </w:r>
    </w:p>
    <w:p w14:paraId="4DE7AADA" w14:textId="77777777" w:rsidR="00AD6FB3" w:rsidRPr="00A9560D" w:rsidRDefault="00AD6FB3" w:rsidP="00AD6FB3">
      <w:pPr>
        <w:pStyle w:val="Body"/>
        <w:rPr>
          <w:rFonts w:ascii="Arial" w:hAnsi="Arial" w:cs="Arial"/>
        </w:rPr>
      </w:pPr>
      <w:proofErr w:type="spellStart"/>
      <w:r w:rsidRPr="00A9560D">
        <w:rPr>
          <w:rFonts w:ascii="Arial" w:hAnsi="Arial" w:cs="Arial"/>
        </w:rPr>
        <w:t>Ahmadishoar</w:t>
      </w:r>
      <w:proofErr w:type="spellEnd"/>
      <w:r w:rsidRPr="00A9560D">
        <w:rPr>
          <w:rFonts w:ascii="Arial" w:hAnsi="Arial" w:cs="Arial"/>
        </w:rPr>
        <w:t xml:space="preserve"> S, </w:t>
      </w:r>
      <w:proofErr w:type="spellStart"/>
      <w:r w:rsidRPr="00A9560D">
        <w:rPr>
          <w:rFonts w:ascii="Arial" w:hAnsi="Arial" w:cs="Arial"/>
        </w:rPr>
        <w:t>Mones</w:t>
      </w:r>
      <w:proofErr w:type="spellEnd"/>
      <w:r w:rsidRPr="00A9560D">
        <w:rPr>
          <w:rFonts w:ascii="Arial" w:hAnsi="Arial" w:cs="Arial"/>
        </w:rPr>
        <w:t xml:space="preserve"> Saeed S, Salih Mahdi M, </w:t>
      </w:r>
      <w:r w:rsidR="00851B63">
        <w:rPr>
          <w:rFonts w:ascii="Arial" w:hAnsi="Arial" w:cs="Arial"/>
        </w:rPr>
        <w:t xml:space="preserve">Mohammed WT, </w:t>
      </w:r>
      <w:proofErr w:type="spellStart"/>
      <w:r w:rsidR="00851B63">
        <w:rPr>
          <w:rFonts w:ascii="Arial" w:hAnsi="Arial" w:cs="Arial"/>
        </w:rPr>
        <w:t>Alwan</w:t>
      </w:r>
      <w:proofErr w:type="spellEnd"/>
      <w:r w:rsidR="00851B63">
        <w:rPr>
          <w:rFonts w:ascii="Arial" w:hAnsi="Arial" w:cs="Arial"/>
        </w:rPr>
        <w:t xml:space="preserve"> M, </w:t>
      </w:r>
      <w:r w:rsidRPr="00851B63">
        <w:rPr>
          <w:rFonts w:ascii="Arial" w:hAnsi="Arial" w:cs="Arial"/>
          <w:i/>
          <w:iCs/>
        </w:rPr>
        <w:t>et al</w:t>
      </w:r>
      <w:r w:rsidRPr="00A9560D">
        <w:rPr>
          <w:rFonts w:ascii="Arial" w:hAnsi="Arial" w:cs="Arial"/>
        </w:rPr>
        <w:t>.</w:t>
      </w:r>
      <w:r w:rsidR="00BD662E" w:rsidRPr="00BD662E">
        <w:rPr>
          <w:rFonts w:ascii="Arial" w:hAnsi="Arial" w:cs="Arial"/>
        </w:rPr>
        <w:t xml:space="preserve"> </w:t>
      </w:r>
      <w:r w:rsidR="00BD662E">
        <w:rPr>
          <w:rFonts w:ascii="Arial" w:hAnsi="Arial" w:cs="Arial"/>
        </w:rPr>
        <w:t>(2025)</w:t>
      </w:r>
      <w:r w:rsidRPr="00A9560D">
        <w:rPr>
          <w:rFonts w:ascii="Arial" w:hAnsi="Arial" w:cs="Arial"/>
        </w:rPr>
        <w:t xml:space="preserve"> The potential use of bacteria and their derivatives as delivery systems for nanoparticles in the treatment of cancer. </w:t>
      </w:r>
      <w:r w:rsidRPr="00112E82">
        <w:rPr>
          <w:rFonts w:ascii="Arial" w:hAnsi="Arial" w:cs="Arial"/>
          <w:i/>
          <w:iCs/>
        </w:rPr>
        <w:t>J Drug Target</w:t>
      </w:r>
      <w:r w:rsidRPr="00A9560D">
        <w:rPr>
          <w:rFonts w:ascii="Arial" w:hAnsi="Arial" w:cs="Arial"/>
        </w:rPr>
        <w:t>. https://doi.org/10.1080/1061186X.2025.2489979.</w:t>
      </w:r>
    </w:p>
    <w:p w14:paraId="4B923F9E" w14:textId="77777777" w:rsidR="00AD6FB3" w:rsidRPr="00A9560D" w:rsidRDefault="00AD6FB3" w:rsidP="00AD6FB3">
      <w:pPr>
        <w:pStyle w:val="Body"/>
        <w:rPr>
          <w:rFonts w:ascii="Arial" w:hAnsi="Arial" w:cs="Arial"/>
        </w:rPr>
      </w:pPr>
      <w:r w:rsidRPr="00A9560D">
        <w:rPr>
          <w:rFonts w:ascii="Arial" w:hAnsi="Arial" w:cs="Arial"/>
        </w:rPr>
        <w:t xml:space="preserve">Amar S, </w:t>
      </w:r>
      <w:proofErr w:type="spellStart"/>
      <w:r w:rsidRPr="00A9560D">
        <w:rPr>
          <w:rFonts w:ascii="Arial" w:hAnsi="Arial" w:cs="Arial"/>
        </w:rPr>
        <w:t>Badeghiesh</w:t>
      </w:r>
      <w:proofErr w:type="spellEnd"/>
      <w:r w:rsidRPr="00A9560D">
        <w:rPr>
          <w:rFonts w:ascii="Arial" w:hAnsi="Arial" w:cs="Arial"/>
        </w:rPr>
        <w:t xml:space="preserve"> A, </w:t>
      </w:r>
      <w:proofErr w:type="spellStart"/>
      <w:r w:rsidRPr="00A9560D">
        <w:rPr>
          <w:rFonts w:ascii="Arial" w:hAnsi="Arial" w:cs="Arial"/>
        </w:rPr>
        <w:t>Baghlaf</w:t>
      </w:r>
      <w:proofErr w:type="spellEnd"/>
      <w:r w:rsidRPr="00A9560D">
        <w:rPr>
          <w:rFonts w:ascii="Arial" w:hAnsi="Arial" w:cs="Arial"/>
        </w:rPr>
        <w:t xml:space="preserve"> H, </w:t>
      </w:r>
      <w:proofErr w:type="spellStart"/>
      <w:r w:rsidRPr="00A9560D">
        <w:rPr>
          <w:rFonts w:ascii="Arial" w:hAnsi="Arial" w:cs="Arial"/>
        </w:rPr>
        <w:t>Dahan</w:t>
      </w:r>
      <w:proofErr w:type="spellEnd"/>
      <w:r w:rsidRPr="00A9560D">
        <w:rPr>
          <w:rFonts w:ascii="Arial" w:hAnsi="Arial" w:cs="Arial"/>
        </w:rPr>
        <w:t xml:space="preserve"> MH. </w:t>
      </w:r>
      <w:r w:rsidR="00BD662E">
        <w:rPr>
          <w:rFonts w:ascii="Arial" w:hAnsi="Arial" w:cs="Arial"/>
        </w:rPr>
        <w:t xml:space="preserve">(2024) </w:t>
      </w:r>
      <w:r w:rsidRPr="00A9560D">
        <w:rPr>
          <w:rFonts w:ascii="Arial" w:hAnsi="Arial" w:cs="Arial"/>
        </w:rPr>
        <w:t xml:space="preserve">Gout in pregnancy: Obstetric and neonatal outcomes. </w:t>
      </w:r>
      <w:r w:rsidRPr="00112E82">
        <w:rPr>
          <w:rFonts w:ascii="Arial" w:hAnsi="Arial" w:cs="Arial"/>
          <w:i/>
          <w:iCs/>
        </w:rPr>
        <w:t xml:space="preserve">Int J </w:t>
      </w:r>
      <w:proofErr w:type="spellStart"/>
      <w:r w:rsidRPr="00112E82">
        <w:rPr>
          <w:rFonts w:ascii="Arial" w:hAnsi="Arial" w:cs="Arial"/>
          <w:i/>
          <w:iCs/>
        </w:rPr>
        <w:t>Gynaecol</w:t>
      </w:r>
      <w:proofErr w:type="spellEnd"/>
      <w:r w:rsidRPr="00112E82">
        <w:rPr>
          <w:rFonts w:ascii="Arial" w:hAnsi="Arial" w:cs="Arial"/>
          <w:i/>
          <w:iCs/>
        </w:rPr>
        <w:t xml:space="preserve"> Obstet.</w:t>
      </w:r>
      <w:r w:rsidRPr="00A9560D">
        <w:rPr>
          <w:rFonts w:ascii="Arial" w:hAnsi="Arial" w:cs="Arial"/>
        </w:rPr>
        <w:t xml:space="preserve"> 2025 Apr;169(1):349-355. </w:t>
      </w:r>
      <w:proofErr w:type="spellStart"/>
      <w:r w:rsidRPr="00A9560D">
        <w:rPr>
          <w:rFonts w:ascii="Arial" w:hAnsi="Arial" w:cs="Arial"/>
        </w:rPr>
        <w:t>do</w:t>
      </w:r>
      <w:r w:rsidR="00BD662E">
        <w:rPr>
          <w:rFonts w:ascii="Arial" w:hAnsi="Arial" w:cs="Arial"/>
        </w:rPr>
        <w:t>i</w:t>
      </w:r>
      <w:proofErr w:type="spellEnd"/>
      <w:r w:rsidR="00BD662E">
        <w:rPr>
          <w:rFonts w:ascii="Arial" w:hAnsi="Arial" w:cs="Arial"/>
        </w:rPr>
        <w:t xml:space="preserve">: 10.1002/ijgo.16025. </w:t>
      </w:r>
      <w:proofErr w:type="spellStart"/>
      <w:r w:rsidR="00BD662E">
        <w:rPr>
          <w:rFonts w:ascii="Arial" w:hAnsi="Arial" w:cs="Arial"/>
        </w:rPr>
        <w:t>Epub</w:t>
      </w:r>
      <w:proofErr w:type="spellEnd"/>
      <w:r w:rsidRPr="00A9560D">
        <w:rPr>
          <w:rFonts w:ascii="Arial" w:hAnsi="Arial" w:cs="Arial"/>
        </w:rPr>
        <w:t xml:space="preserve"> Nov 19. PMID: 39560012; PMCID: PMC11911954.</w:t>
      </w:r>
      <w:bookmarkStart w:id="1" w:name="_GoBack"/>
      <w:bookmarkEnd w:id="1"/>
    </w:p>
    <w:p w14:paraId="449F62BF" w14:textId="77777777" w:rsidR="00AD6FB3" w:rsidRPr="00A9560D" w:rsidRDefault="00AD6FB3" w:rsidP="00AD6FB3">
      <w:pPr>
        <w:pStyle w:val="Body"/>
        <w:rPr>
          <w:rFonts w:ascii="Arial" w:hAnsi="Arial" w:cs="Arial"/>
        </w:rPr>
      </w:pPr>
      <w:r w:rsidRPr="00A9560D">
        <w:rPr>
          <w:rFonts w:ascii="Arial" w:hAnsi="Arial" w:cs="Arial"/>
        </w:rPr>
        <w:t xml:space="preserve">Balasubramanian K, </w:t>
      </w:r>
      <w:proofErr w:type="spellStart"/>
      <w:r w:rsidRPr="00A9560D">
        <w:rPr>
          <w:rFonts w:ascii="Arial" w:hAnsi="Arial" w:cs="Arial"/>
        </w:rPr>
        <w:t>Sathyamoorthy</w:t>
      </w:r>
      <w:proofErr w:type="spellEnd"/>
      <w:r w:rsidRPr="00A9560D">
        <w:rPr>
          <w:rFonts w:ascii="Arial" w:hAnsi="Arial" w:cs="Arial"/>
        </w:rPr>
        <w:t xml:space="preserve"> S, Krishnan M (2025). Elevated Serum Uric Acid Levels in the First Trimester as a Predictor of Gestational Diabetes Mellitus. </w:t>
      </w:r>
      <w:r w:rsidRPr="00112E82">
        <w:rPr>
          <w:rFonts w:ascii="Arial" w:hAnsi="Arial" w:cs="Arial"/>
          <w:i/>
          <w:iCs/>
        </w:rPr>
        <w:t xml:space="preserve">Sch Int J </w:t>
      </w:r>
      <w:proofErr w:type="spellStart"/>
      <w:r w:rsidRPr="00112E82">
        <w:rPr>
          <w:rFonts w:ascii="Arial" w:hAnsi="Arial" w:cs="Arial"/>
          <w:i/>
          <w:iCs/>
        </w:rPr>
        <w:t>Obstet</w:t>
      </w:r>
      <w:proofErr w:type="spellEnd"/>
      <w:r w:rsidRPr="00112E82">
        <w:rPr>
          <w:rFonts w:ascii="Arial" w:hAnsi="Arial" w:cs="Arial"/>
          <w:i/>
          <w:iCs/>
        </w:rPr>
        <w:t xml:space="preserve"> </w:t>
      </w:r>
      <w:proofErr w:type="spellStart"/>
      <w:r w:rsidRPr="00112E82">
        <w:rPr>
          <w:rFonts w:ascii="Arial" w:hAnsi="Arial" w:cs="Arial"/>
          <w:i/>
          <w:iCs/>
        </w:rPr>
        <w:t>Gynec</w:t>
      </w:r>
      <w:proofErr w:type="spellEnd"/>
      <w:r w:rsidRPr="00A9560D">
        <w:rPr>
          <w:rFonts w:ascii="Arial" w:hAnsi="Arial" w:cs="Arial"/>
        </w:rPr>
        <w:t>, 8(8): 254-257</w:t>
      </w:r>
    </w:p>
    <w:p w14:paraId="319C04C4" w14:textId="77777777" w:rsidR="00AD6FB3" w:rsidRPr="00A9560D" w:rsidRDefault="00AD6FB3" w:rsidP="00AD6FB3">
      <w:pPr>
        <w:pStyle w:val="Body"/>
        <w:rPr>
          <w:rFonts w:ascii="Arial" w:hAnsi="Arial" w:cs="Arial"/>
        </w:rPr>
      </w:pPr>
      <w:r w:rsidRPr="00A9560D">
        <w:rPr>
          <w:rFonts w:ascii="Arial" w:hAnsi="Arial" w:cs="Arial"/>
        </w:rPr>
        <w:lastRenderedPageBreak/>
        <w:t>Cook DG, Sha</w:t>
      </w:r>
      <w:r w:rsidR="00BD662E">
        <w:rPr>
          <w:rFonts w:ascii="Arial" w:hAnsi="Arial" w:cs="Arial"/>
        </w:rPr>
        <w:t xml:space="preserve">per AG, </w:t>
      </w:r>
      <w:proofErr w:type="spellStart"/>
      <w:r w:rsidR="00BD662E">
        <w:rPr>
          <w:rFonts w:ascii="Arial" w:hAnsi="Arial" w:cs="Arial"/>
        </w:rPr>
        <w:t>Thelle</w:t>
      </w:r>
      <w:proofErr w:type="spellEnd"/>
      <w:r w:rsidR="00BD662E">
        <w:rPr>
          <w:rFonts w:ascii="Arial" w:hAnsi="Arial" w:cs="Arial"/>
        </w:rPr>
        <w:t xml:space="preserve"> DS, Whitehead TP. </w:t>
      </w:r>
      <w:r w:rsidR="006B321F">
        <w:rPr>
          <w:rFonts w:ascii="Arial" w:hAnsi="Arial" w:cs="Arial"/>
        </w:rPr>
        <w:t>(1986</w:t>
      </w:r>
      <w:r w:rsidR="00BD662E">
        <w:rPr>
          <w:rFonts w:ascii="Arial" w:hAnsi="Arial" w:cs="Arial"/>
        </w:rPr>
        <w:t>)</w:t>
      </w:r>
      <w:r w:rsidRPr="00A9560D">
        <w:rPr>
          <w:rFonts w:ascii="Arial" w:hAnsi="Arial" w:cs="Arial"/>
        </w:rPr>
        <w:t xml:space="preserve"> Serum uric acid, serum glucose and diabetes: relationships in a population study. </w:t>
      </w:r>
      <w:r w:rsidRPr="00112E82">
        <w:rPr>
          <w:rFonts w:ascii="Arial" w:hAnsi="Arial" w:cs="Arial"/>
          <w:i/>
          <w:iCs/>
        </w:rPr>
        <w:t xml:space="preserve">Postgrad Med </w:t>
      </w:r>
      <w:proofErr w:type="gramStart"/>
      <w:r w:rsidRPr="00112E82">
        <w:rPr>
          <w:rFonts w:ascii="Arial" w:hAnsi="Arial" w:cs="Arial"/>
          <w:i/>
          <w:iCs/>
        </w:rPr>
        <w:t>J</w:t>
      </w:r>
      <w:r w:rsidRPr="00A9560D">
        <w:rPr>
          <w:rFonts w:ascii="Arial" w:hAnsi="Arial" w:cs="Arial"/>
        </w:rPr>
        <w:t>;  62</w:t>
      </w:r>
      <w:proofErr w:type="gramEnd"/>
      <w:r w:rsidRPr="00A9560D">
        <w:rPr>
          <w:rFonts w:ascii="Arial" w:hAnsi="Arial" w:cs="Arial"/>
        </w:rPr>
        <w:t xml:space="preserve">:   1001–1006.  </w:t>
      </w:r>
    </w:p>
    <w:p w14:paraId="496FA2B4" w14:textId="77777777" w:rsidR="00AD6FB3" w:rsidRPr="00A9560D" w:rsidRDefault="00AD6FB3" w:rsidP="00AD6FB3">
      <w:pPr>
        <w:pStyle w:val="Body"/>
        <w:rPr>
          <w:rFonts w:ascii="Arial" w:hAnsi="Arial" w:cs="Arial"/>
        </w:rPr>
      </w:pPr>
      <w:proofErr w:type="spellStart"/>
      <w:r w:rsidRPr="00A9560D">
        <w:rPr>
          <w:rFonts w:ascii="Arial" w:hAnsi="Arial" w:cs="Arial"/>
        </w:rPr>
        <w:t>Dalbeth</w:t>
      </w:r>
      <w:proofErr w:type="spellEnd"/>
      <w:r w:rsidRPr="00A9560D">
        <w:rPr>
          <w:rFonts w:ascii="Arial" w:hAnsi="Arial" w:cs="Arial"/>
        </w:rPr>
        <w:t xml:space="preserve"> N, Gosling AL, </w:t>
      </w:r>
      <w:proofErr w:type="spellStart"/>
      <w:r w:rsidRPr="00A9560D">
        <w:rPr>
          <w:rFonts w:ascii="Arial" w:hAnsi="Arial" w:cs="Arial"/>
        </w:rPr>
        <w:t>Gaffo</w:t>
      </w:r>
      <w:proofErr w:type="spellEnd"/>
      <w:r w:rsidRPr="00A9560D">
        <w:rPr>
          <w:rFonts w:ascii="Arial" w:hAnsi="Arial" w:cs="Arial"/>
        </w:rPr>
        <w:t xml:space="preserve"> A, Abhishek A.</w:t>
      </w:r>
      <w:r w:rsidR="006B321F" w:rsidRPr="006B321F">
        <w:rPr>
          <w:rFonts w:ascii="Arial" w:hAnsi="Arial" w:cs="Arial"/>
        </w:rPr>
        <w:t xml:space="preserve"> </w:t>
      </w:r>
      <w:r w:rsidR="006B321F">
        <w:rPr>
          <w:rFonts w:ascii="Arial" w:hAnsi="Arial" w:cs="Arial"/>
        </w:rPr>
        <w:t>(2021)</w:t>
      </w:r>
      <w:r w:rsidRPr="00A9560D">
        <w:rPr>
          <w:rFonts w:ascii="Arial" w:hAnsi="Arial" w:cs="Arial"/>
        </w:rPr>
        <w:t xml:space="preserve"> Gout. </w:t>
      </w:r>
      <w:r w:rsidRPr="002A057B">
        <w:rPr>
          <w:rFonts w:ascii="Arial" w:hAnsi="Arial" w:cs="Arial"/>
          <w:i/>
          <w:iCs/>
        </w:rPr>
        <w:t>Lancet</w:t>
      </w:r>
      <w:r w:rsidRPr="00A9560D">
        <w:rPr>
          <w:rFonts w:ascii="Arial" w:hAnsi="Arial" w:cs="Arial"/>
        </w:rPr>
        <w:t>;397(10287):1843</w:t>
      </w:r>
      <w:r w:rsidRPr="00A9560D">
        <w:rPr>
          <w:rFonts w:ascii="Cambria Math" w:hAnsi="Cambria Math" w:cs="Cambria Math"/>
        </w:rPr>
        <w:t>‐</w:t>
      </w:r>
      <w:r w:rsidRPr="00A9560D">
        <w:rPr>
          <w:rFonts w:ascii="Arial" w:hAnsi="Arial" w:cs="Arial"/>
        </w:rPr>
        <w:t>1855</w:t>
      </w:r>
    </w:p>
    <w:p w14:paraId="5AC1A283" w14:textId="77777777" w:rsidR="00AD6FB3" w:rsidRPr="00A9560D" w:rsidRDefault="00AD6FB3" w:rsidP="00AD6FB3">
      <w:pPr>
        <w:pStyle w:val="Body"/>
        <w:rPr>
          <w:rFonts w:ascii="Arial" w:hAnsi="Arial" w:cs="Arial"/>
        </w:rPr>
      </w:pPr>
      <w:r w:rsidRPr="00A9560D">
        <w:rPr>
          <w:rFonts w:ascii="Arial" w:hAnsi="Arial" w:cs="Arial"/>
        </w:rPr>
        <w:t>Horta-Baas G, Hernández-Cabrera MF, Vergara-Sánchez I, Romero-Figueroa MD.</w:t>
      </w:r>
      <w:r w:rsidR="006B321F" w:rsidRPr="006B321F">
        <w:rPr>
          <w:rFonts w:ascii="Arial" w:hAnsi="Arial" w:cs="Arial"/>
        </w:rPr>
        <w:t xml:space="preserve"> </w:t>
      </w:r>
      <w:r w:rsidR="006B321F">
        <w:rPr>
          <w:rFonts w:ascii="Arial" w:hAnsi="Arial" w:cs="Arial"/>
        </w:rPr>
        <w:t>(2017)</w:t>
      </w:r>
      <w:r w:rsidRPr="00A9560D">
        <w:rPr>
          <w:rFonts w:ascii="Arial" w:hAnsi="Arial" w:cs="Arial"/>
        </w:rPr>
        <w:t xml:space="preserve"> </w:t>
      </w:r>
      <w:proofErr w:type="spellStart"/>
      <w:r w:rsidRPr="00A9560D">
        <w:rPr>
          <w:rFonts w:ascii="Arial" w:hAnsi="Arial" w:cs="Arial"/>
        </w:rPr>
        <w:t>Gota</w:t>
      </w:r>
      <w:proofErr w:type="spellEnd"/>
      <w:r w:rsidRPr="00A9560D">
        <w:rPr>
          <w:rFonts w:ascii="Arial" w:hAnsi="Arial" w:cs="Arial"/>
        </w:rPr>
        <w:t xml:space="preserve"> y </w:t>
      </w:r>
      <w:proofErr w:type="spellStart"/>
      <w:r w:rsidRPr="00A9560D">
        <w:rPr>
          <w:rFonts w:ascii="Arial" w:hAnsi="Arial" w:cs="Arial"/>
        </w:rPr>
        <w:t>embarazo</w:t>
      </w:r>
      <w:proofErr w:type="spellEnd"/>
      <w:r w:rsidRPr="00A9560D">
        <w:rPr>
          <w:rFonts w:ascii="Arial" w:hAnsi="Arial" w:cs="Arial"/>
        </w:rPr>
        <w:t xml:space="preserve">: </w:t>
      </w:r>
      <w:proofErr w:type="spellStart"/>
      <w:r w:rsidRPr="00A9560D">
        <w:rPr>
          <w:rFonts w:ascii="Arial" w:hAnsi="Arial" w:cs="Arial"/>
        </w:rPr>
        <w:t>revisión</w:t>
      </w:r>
      <w:proofErr w:type="spellEnd"/>
      <w:r w:rsidRPr="00A9560D">
        <w:rPr>
          <w:rFonts w:ascii="Arial" w:hAnsi="Arial" w:cs="Arial"/>
        </w:rPr>
        <w:t xml:space="preserve"> </w:t>
      </w:r>
      <w:proofErr w:type="spellStart"/>
      <w:r w:rsidRPr="00A9560D">
        <w:rPr>
          <w:rFonts w:ascii="Arial" w:hAnsi="Arial" w:cs="Arial"/>
        </w:rPr>
        <w:t>sistemática</w:t>
      </w:r>
      <w:proofErr w:type="spellEnd"/>
      <w:r w:rsidRPr="00A9560D">
        <w:rPr>
          <w:rFonts w:ascii="Arial" w:hAnsi="Arial" w:cs="Arial"/>
        </w:rPr>
        <w:t xml:space="preserve">, </w:t>
      </w:r>
      <w:proofErr w:type="spellStart"/>
      <w:r w:rsidRPr="00A9560D">
        <w:rPr>
          <w:rFonts w:ascii="Arial" w:hAnsi="Arial" w:cs="Arial"/>
        </w:rPr>
        <w:t>incluyendo</w:t>
      </w:r>
      <w:proofErr w:type="spellEnd"/>
      <w:r w:rsidRPr="00A9560D">
        <w:rPr>
          <w:rFonts w:ascii="Arial" w:hAnsi="Arial" w:cs="Arial"/>
        </w:rPr>
        <w:t xml:space="preserve"> el </w:t>
      </w:r>
      <w:proofErr w:type="spellStart"/>
      <w:r w:rsidRPr="00A9560D">
        <w:rPr>
          <w:rFonts w:ascii="Arial" w:hAnsi="Arial" w:cs="Arial"/>
        </w:rPr>
        <w:t>reporte</w:t>
      </w:r>
      <w:proofErr w:type="spellEnd"/>
      <w:r w:rsidRPr="00A9560D">
        <w:rPr>
          <w:rFonts w:ascii="Arial" w:hAnsi="Arial" w:cs="Arial"/>
        </w:rPr>
        <w:t xml:space="preserve"> de un nuevo </w:t>
      </w:r>
      <w:proofErr w:type="spellStart"/>
      <w:r w:rsidRPr="00A9560D">
        <w:rPr>
          <w:rFonts w:ascii="Arial" w:hAnsi="Arial" w:cs="Arial"/>
        </w:rPr>
        <w:t>caso</w:t>
      </w:r>
      <w:proofErr w:type="spellEnd"/>
      <w:r w:rsidRPr="00A9560D">
        <w:rPr>
          <w:rFonts w:ascii="Arial" w:hAnsi="Arial" w:cs="Arial"/>
        </w:rPr>
        <w:t xml:space="preserve">. </w:t>
      </w:r>
      <w:r w:rsidRPr="00A9560D">
        <w:rPr>
          <w:rFonts w:ascii="Arial" w:hAnsi="Arial" w:cs="Arial"/>
          <w:i/>
          <w:iCs/>
        </w:rPr>
        <w:t xml:space="preserve">Rev </w:t>
      </w:r>
      <w:proofErr w:type="spellStart"/>
      <w:r w:rsidRPr="00A9560D">
        <w:rPr>
          <w:rFonts w:ascii="Arial" w:hAnsi="Arial" w:cs="Arial"/>
          <w:i/>
          <w:iCs/>
        </w:rPr>
        <w:t>Colomb</w:t>
      </w:r>
      <w:proofErr w:type="spellEnd"/>
      <w:r w:rsidRPr="00A9560D">
        <w:rPr>
          <w:rFonts w:ascii="Arial" w:hAnsi="Arial" w:cs="Arial"/>
          <w:i/>
          <w:iCs/>
        </w:rPr>
        <w:t xml:space="preserve"> Reumatol</w:t>
      </w:r>
      <w:r w:rsidR="006B321F">
        <w:rPr>
          <w:rFonts w:ascii="Arial" w:hAnsi="Arial" w:cs="Arial"/>
        </w:rPr>
        <w:t>.</w:t>
      </w:r>
      <w:r w:rsidRPr="00A9560D">
        <w:rPr>
          <w:rFonts w:ascii="Arial" w:hAnsi="Arial" w:cs="Arial"/>
        </w:rPr>
        <w:t>;24:219-229.</w:t>
      </w:r>
    </w:p>
    <w:p w14:paraId="51847499" w14:textId="77777777" w:rsidR="00AD6FB3" w:rsidRDefault="00AD6FB3" w:rsidP="002F27B5">
      <w:pPr>
        <w:pStyle w:val="Body"/>
        <w:rPr>
          <w:rFonts w:ascii="Arial" w:hAnsi="Arial" w:cs="Arial"/>
        </w:rPr>
      </w:pPr>
      <w:r w:rsidRPr="00A9560D">
        <w:rPr>
          <w:rFonts w:ascii="Arial" w:hAnsi="Arial" w:cs="Arial"/>
        </w:rPr>
        <w:t xml:space="preserve">Ismail A, Amin N, and </w:t>
      </w:r>
      <w:proofErr w:type="spellStart"/>
      <w:r w:rsidRPr="00A9560D">
        <w:rPr>
          <w:rFonts w:ascii="Arial" w:hAnsi="Arial" w:cs="Arial"/>
        </w:rPr>
        <w:t>Baqai</w:t>
      </w:r>
      <w:proofErr w:type="spellEnd"/>
      <w:r w:rsidRPr="00A9560D">
        <w:rPr>
          <w:rFonts w:ascii="Arial" w:hAnsi="Arial" w:cs="Arial"/>
        </w:rPr>
        <w:t xml:space="preserve"> S (2019</w:t>
      </w:r>
      <w:proofErr w:type="gramStart"/>
      <w:r w:rsidRPr="00A9560D">
        <w:rPr>
          <w:rFonts w:ascii="Arial" w:hAnsi="Arial" w:cs="Arial"/>
        </w:rPr>
        <w:t>).To</w:t>
      </w:r>
      <w:proofErr w:type="gramEnd"/>
      <w:r w:rsidRPr="00A9560D">
        <w:rPr>
          <w:rFonts w:ascii="Arial" w:hAnsi="Arial" w:cs="Arial"/>
        </w:rPr>
        <w:t xml:space="preserve"> measure the frequency of gestational diabetes mellitus in patients with raised serum uric acid level in first trimester of pregnancy. </w:t>
      </w:r>
      <w:r w:rsidRPr="00A9560D">
        <w:rPr>
          <w:rFonts w:ascii="Arial" w:hAnsi="Arial" w:cs="Arial"/>
          <w:i/>
          <w:iCs/>
        </w:rPr>
        <w:t>Pak Armed Forces Med J</w:t>
      </w:r>
      <w:r w:rsidRPr="00A9560D">
        <w:rPr>
          <w:rFonts w:ascii="Arial" w:hAnsi="Arial" w:cs="Arial"/>
        </w:rPr>
        <w:t>; 69 (3): 545-48</w:t>
      </w:r>
    </w:p>
    <w:p w14:paraId="6179F8D5" w14:textId="77777777" w:rsidR="00AD6FB3" w:rsidRPr="00A9560D" w:rsidRDefault="00FE159A" w:rsidP="00BD662E">
      <w:pPr>
        <w:pStyle w:val="Body"/>
        <w:rPr>
          <w:rFonts w:ascii="Arial" w:hAnsi="Arial" w:cs="Arial"/>
        </w:rPr>
      </w:pPr>
      <w:r w:rsidRPr="00FE159A">
        <w:rPr>
          <w:rFonts w:ascii="Arial" w:hAnsi="Arial" w:cs="Arial"/>
        </w:rPr>
        <w:t>Nguyen</w:t>
      </w:r>
      <w:r>
        <w:rPr>
          <w:rFonts w:ascii="Arial" w:hAnsi="Arial" w:cs="Arial"/>
        </w:rPr>
        <w:t xml:space="preserve"> LTT, </w:t>
      </w:r>
      <w:r w:rsidRPr="00FE159A">
        <w:rPr>
          <w:rFonts w:ascii="Arial" w:hAnsi="Arial" w:cs="Arial"/>
        </w:rPr>
        <w:t>Doan</w:t>
      </w:r>
      <w:r>
        <w:rPr>
          <w:rFonts w:ascii="Arial" w:hAnsi="Arial" w:cs="Arial"/>
        </w:rPr>
        <w:t xml:space="preserve"> HT, </w:t>
      </w:r>
      <w:r w:rsidRPr="00FE159A">
        <w:rPr>
          <w:rFonts w:ascii="Arial" w:hAnsi="Arial" w:cs="Arial"/>
        </w:rPr>
        <w:t>Phan</w:t>
      </w:r>
      <w:r>
        <w:rPr>
          <w:rFonts w:ascii="Arial" w:hAnsi="Arial" w:cs="Arial"/>
        </w:rPr>
        <w:t xml:space="preserve"> HT, </w:t>
      </w:r>
      <w:r w:rsidRPr="00FE159A">
        <w:rPr>
          <w:rFonts w:ascii="Arial" w:hAnsi="Arial" w:cs="Arial"/>
        </w:rPr>
        <w:t>Hoang</w:t>
      </w:r>
      <w:r>
        <w:rPr>
          <w:rFonts w:ascii="Arial" w:hAnsi="Arial" w:cs="Arial"/>
        </w:rPr>
        <w:t xml:space="preserve"> BV, </w:t>
      </w:r>
      <w:r w:rsidRPr="00FE159A">
        <w:rPr>
          <w:rFonts w:ascii="Arial" w:hAnsi="Arial" w:cs="Arial"/>
        </w:rPr>
        <w:t>Do</w:t>
      </w:r>
      <w:r>
        <w:rPr>
          <w:rFonts w:ascii="Arial" w:hAnsi="Arial" w:cs="Arial"/>
        </w:rPr>
        <w:t xml:space="preserve"> KN, </w:t>
      </w:r>
      <w:r w:rsidRPr="00FE159A">
        <w:rPr>
          <w:rFonts w:ascii="Arial" w:hAnsi="Arial" w:cs="Arial"/>
        </w:rPr>
        <w:t>Nguyen</w:t>
      </w:r>
      <w:r>
        <w:rPr>
          <w:rFonts w:ascii="Arial" w:hAnsi="Arial" w:cs="Arial"/>
        </w:rPr>
        <w:t xml:space="preserve"> DQ, </w:t>
      </w:r>
      <w:r w:rsidR="00BD662E">
        <w:rPr>
          <w:rFonts w:ascii="Arial" w:hAnsi="Arial" w:cs="Arial"/>
        </w:rPr>
        <w:t xml:space="preserve">et al., </w:t>
      </w:r>
      <w:r w:rsidR="00AD6FB3" w:rsidRPr="00A9560D">
        <w:rPr>
          <w:rFonts w:ascii="Arial" w:hAnsi="Arial" w:cs="Arial"/>
        </w:rPr>
        <w:t xml:space="preserve">(2024) Prevalence of hyperuricemia and associated factors among pregnant women in Vietnam: A cross-sectional study. </w:t>
      </w:r>
      <w:r w:rsidR="00AD6FB3" w:rsidRPr="00A9560D">
        <w:rPr>
          <w:rFonts w:ascii="Arial" w:hAnsi="Arial" w:cs="Arial"/>
          <w:i/>
          <w:iCs/>
        </w:rPr>
        <w:t>Human nutrition and metabolism</w:t>
      </w:r>
      <w:r w:rsidR="00BD662E">
        <w:rPr>
          <w:rFonts w:ascii="Arial" w:hAnsi="Arial" w:cs="Arial"/>
        </w:rPr>
        <w:t>; vol 37 2</w:t>
      </w:r>
      <w:r w:rsidR="00AD6FB3" w:rsidRPr="00A9560D">
        <w:rPr>
          <w:rFonts w:ascii="Arial" w:hAnsi="Arial" w:cs="Arial"/>
        </w:rPr>
        <w:t>.</w:t>
      </w:r>
    </w:p>
    <w:p w14:paraId="1F4BE8C2" w14:textId="77777777" w:rsidR="00AD6FB3" w:rsidRPr="00A9560D" w:rsidRDefault="00AD6FB3" w:rsidP="00AD6FB3">
      <w:pPr>
        <w:pStyle w:val="Body"/>
        <w:rPr>
          <w:rFonts w:ascii="Arial" w:hAnsi="Arial" w:cs="Arial"/>
        </w:rPr>
      </w:pPr>
      <w:r w:rsidRPr="00A9560D">
        <w:rPr>
          <w:rFonts w:ascii="Arial" w:hAnsi="Arial" w:cs="Arial"/>
        </w:rPr>
        <w:t>Patil HS, and Bhattacharya A. (</w:t>
      </w:r>
      <w:proofErr w:type="gramStart"/>
      <w:r w:rsidRPr="00A9560D">
        <w:rPr>
          <w:rFonts w:ascii="Arial" w:hAnsi="Arial" w:cs="Arial"/>
        </w:rPr>
        <w:t>2025)First</w:t>
      </w:r>
      <w:proofErr w:type="gramEnd"/>
      <w:r w:rsidRPr="00A9560D">
        <w:rPr>
          <w:rFonts w:ascii="Arial" w:hAnsi="Arial" w:cs="Arial"/>
        </w:rPr>
        <w:t xml:space="preserve"> trimester serum uric acid as an early predictor of gestational diabetes mellitus. </w:t>
      </w:r>
      <w:r w:rsidRPr="00112E82">
        <w:rPr>
          <w:rFonts w:ascii="Arial" w:hAnsi="Arial" w:cs="Arial"/>
          <w:i/>
          <w:iCs/>
        </w:rPr>
        <w:t xml:space="preserve">Indian J </w:t>
      </w:r>
      <w:proofErr w:type="spellStart"/>
      <w:r w:rsidRPr="00112E82">
        <w:rPr>
          <w:rFonts w:ascii="Arial" w:hAnsi="Arial" w:cs="Arial"/>
          <w:i/>
          <w:iCs/>
        </w:rPr>
        <w:t>Obstet</w:t>
      </w:r>
      <w:proofErr w:type="spellEnd"/>
      <w:r w:rsidRPr="00112E82">
        <w:rPr>
          <w:rFonts w:ascii="Arial" w:hAnsi="Arial" w:cs="Arial"/>
          <w:i/>
          <w:iCs/>
        </w:rPr>
        <w:t xml:space="preserve"> </w:t>
      </w:r>
      <w:proofErr w:type="spellStart"/>
      <w:r w:rsidRPr="00112E82">
        <w:rPr>
          <w:rFonts w:ascii="Arial" w:hAnsi="Arial" w:cs="Arial"/>
          <w:i/>
          <w:iCs/>
        </w:rPr>
        <w:t>Gynecol</w:t>
      </w:r>
      <w:proofErr w:type="spellEnd"/>
      <w:r w:rsidRPr="00112E82">
        <w:rPr>
          <w:rFonts w:ascii="Arial" w:hAnsi="Arial" w:cs="Arial"/>
          <w:i/>
          <w:iCs/>
        </w:rPr>
        <w:t xml:space="preserve"> Res</w:t>
      </w:r>
      <w:r w:rsidRPr="00A9560D">
        <w:rPr>
          <w:rFonts w:ascii="Arial" w:hAnsi="Arial" w:cs="Arial"/>
        </w:rPr>
        <w:t xml:space="preserve">;12(1):141-145. </w:t>
      </w:r>
    </w:p>
    <w:p w14:paraId="3E2D2B1A" w14:textId="77777777" w:rsidR="00AD6FB3" w:rsidRDefault="00AD6FB3" w:rsidP="00AD6FB3">
      <w:pPr>
        <w:pStyle w:val="Body"/>
        <w:rPr>
          <w:rFonts w:ascii="Arial" w:hAnsi="Arial" w:cs="Arial"/>
        </w:rPr>
      </w:pPr>
      <w:r w:rsidRPr="00A9560D">
        <w:rPr>
          <w:rFonts w:ascii="Arial" w:hAnsi="Arial" w:cs="Arial"/>
        </w:rPr>
        <w:t xml:space="preserve">Pierre K, Gomez NF, </w:t>
      </w:r>
      <w:proofErr w:type="spellStart"/>
      <w:r w:rsidRPr="00A9560D">
        <w:rPr>
          <w:rFonts w:ascii="Arial" w:hAnsi="Arial" w:cs="Arial"/>
        </w:rPr>
        <w:t>Canha</w:t>
      </w:r>
      <w:proofErr w:type="spellEnd"/>
      <w:r w:rsidRPr="00A9560D">
        <w:rPr>
          <w:rFonts w:ascii="Arial" w:hAnsi="Arial" w:cs="Arial"/>
        </w:rPr>
        <w:t xml:space="preserve"> C, </w:t>
      </w:r>
      <w:proofErr w:type="spellStart"/>
      <w:r w:rsidRPr="00A9560D">
        <w:rPr>
          <w:rFonts w:ascii="Arial" w:hAnsi="Arial" w:cs="Arial"/>
        </w:rPr>
        <w:t>Masri</w:t>
      </w:r>
      <w:proofErr w:type="spellEnd"/>
      <w:r w:rsidRPr="00A9560D">
        <w:rPr>
          <w:rFonts w:ascii="Arial" w:hAnsi="Arial" w:cs="Arial"/>
        </w:rPr>
        <w:t xml:space="preserve"> G (2020) Gout in Pregnancy: A Rare Phenomenon. </w:t>
      </w:r>
      <w:proofErr w:type="spellStart"/>
      <w:proofErr w:type="gramStart"/>
      <w:r w:rsidRPr="00112E82">
        <w:rPr>
          <w:rFonts w:ascii="Arial" w:hAnsi="Arial" w:cs="Arial"/>
          <w:i/>
          <w:iCs/>
        </w:rPr>
        <w:t>Cureus</w:t>
      </w:r>
      <w:proofErr w:type="spellEnd"/>
      <w:r w:rsidRPr="00112E82">
        <w:rPr>
          <w:rFonts w:ascii="Arial" w:hAnsi="Arial" w:cs="Arial"/>
          <w:i/>
          <w:iCs/>
        </w:rPr>
        <w:t>,</w:t>
      </w:r>
      <w:r w:rsidRPr="00A9560D">
        <w:rPr>
          <w:rFonts w:ascii="Arial" w:hAnsi="Arial" w:cs="Arial"/>
        </w:rPr>
        <w:t xml:space="preserve">  25</w:t>
      </w:r>
      <w:proofErr w:type="gramEnd"/>
      <w:r w:rsidRPr="00A9560D">
        <w:rPr>
          <w:rFonts w:ascii="Arial" w:hAnsi="Arial" w:cs="Arial"/>
        </w:rPr>
        <w:t>;12(11):e11697.</w:t>
      </w:r>
    </w:p>
    <w:p w14:paraId="65DB4901" w14:textId="77777777" w:rsidR="00AD6FB3" w:rsidRPr="00A9560D" w:rsidRDefault="00AD6FB3" w:rsidP="00AD6FB3">
      <w:pPr>
        <w:pStyle w:val="Body"/>
        <w:rPr>
          <w:rFonts w:ascii="Arial" w:hAnsi="Arial" w:cs="Arial"/>
        </w:rPr>
      </w:pPr>
      <w:proofErr w:type="spellStart"/>
      <w:r w:rsidRPr="00A9560D">
        <w:rPr>
          <w:rFonts w:ascii="Arial" w:hAnsi="Arial" w:cs="Arial"/>
        </w:rPr>
        <w:t>Talpur</w:t>
      </w:r>
      <w:proofErr w:type="spellEnd"/>
      <w:r w:rsidRPr="00A9560D">
        <w:rPr>
          <w:rFonts w:ascii="Arial" w:hAnsi="Arial" w:cs="Arial"/>
        </w:rPr>
        <w:t xml:space="preserve"> AS, Fattah A, </w:t>
      </w:r>
      <w:proofErr w:type="spellStart"/>
      <w:r w:rsidRPr="00A9560D">
        <w:rPr>
          <w:rFonts w:ascii="Arial" w:hAnsi="Arial" w:cs="Arial"/>
        </w:rPr>
        <w:t>Hewadmal</w:t>
      </w:r>
      <w:proofErr w:type="spellEnd"/>
      <w:r w:rsidRPr="00A9560D">
        <w:rPr>
          <w:rFonts w:ascii="Arial" w:hAnsi="Arial" w:cs="Arial"/>
        </w:rPr>
        <w:t xml:space="preserve"> H, </w:t>
      </w:r>
      <w:proofErr w:type="spellStart"/>
      <w:r w:rsidR="00BD662E">
        <w:rPr>
          <w:rFonts w:ascii="Arial" w:hAnsi="Arial" w:cs="Arial"/>
        </w:rPr>
        <w:t>Hafizyar</w:t>
      </w:r>
      <w:proofErr w:type="spellEnd"/>
      <w:r w:rsidR="00BD662E">
        <w:rPr>
          <w:rFonts w:ascii="Arial" w:hAnsi="Arial" w:cs="Arial"/>
        </w:rPr>
        <w:t xml:space="preserve"> F, Farooq J, </w:t>
      </w:r>
      <w:r w:rsidR="00BD662E" w:rsidRPr="00BD662E">
        <w:rPr>
          <w:rFonts w:ascii="Arial" w:hAnsi="Arial" w:cs="Arial"/>
        </w:rPr>
        <w:t>Shaik</w:t>
      </w:r>
      <w:r w:rsidR="00BD662E">
        <w:rPr>
          <w:rFonts w:ascii="Arial" w:hAnsi="Arial" w:cs="Arial"/>
        </w:rPr>
        <w:t xml:space="preserve"> TA, </w:t>
      </w:r>
      <w:r w:rsidRPr="00BD662E">
        <w:rPr>
          <w:rFonts w:ascii="Arial" w:hAnsi="Arial" w:cs="Arial"/>
          <w:i/>
          <w:iCs/>
        </w:rPr>
        <w:t>et al</w:t>
      </w:r>
      <w:r w:rsidRPr="00A9560D">
        <w:rPr>
          <w:rFonts w:ascii="Arial" w:hAnsi="Arial" w:cs="Arial"/>
        </w:rPr>
        <w:t xml:space="preserve">. </w:t>
      </w:r>
      <w:r w:rsidR="006B321F">
        <w:rPr>
          <w:rFonts w:ascii="Arial" w:hAnsi="Arial" w:cs="Arial"/>
        </w:rPr>
        <w:t xml:space="preserve">(2023) </w:t>
      </w:r>
      <w:r w:rsidRPr="00A9560D">
        <w:rPr>
          <w:rFonts w:ascii="Arial" w:hAnsi="Arial" w:cs="Arial"/>
        </w:rPr>
        <w:t xml:space="preserve">Asymptomatic hyperuricemia as an independent risk factor for myocardial infarction in adult population: a four-year follow-up study. </w:t>
      </w:r>
      <w:r w:rsidRPr="00BD662E">
        <w:rPr>
          <w:rFonts w:ascii="Arial" w:hAnsi="Arial" w:cs="Arial"/>
          <w:i/>
          <w:iCs/>
        </w:rPr>
        <w:t>Cureus</w:t>
      </w:r>
      <w:r w:rsidRPr="00A9560D">
        <w:rPr>
          <w:rFonts w:ascii="Arial" w:hAnsi="Arial" w:cs="Arial"/>
        </w:rPr>
        <w:t>;15(2</w:t>
      </w:r>
      <w:proofErr w:type="gramStart"/>
      <w:r w:rsidRPr="00A9560D">
        <w:rPr>
          <w:rFonts w:ascii="Arial" w:hAnsi="Arial" w:cs="Arial"/>
        </w:rPr>
        <w:t>):e</w:t>
      </w:r>
      <w:proofErr w:type="gramEnd"/>
      <w:r w:rsidRPr="00A9560D">
        <w:rPr>
          <w:rFonts w:ascii="Arial" w:hAnsi="Arial" w:cs="Arial"/>
        </w:rPr>
        <w:t>34614.</w:t>
      </w:r>
    </w:p>
    <w:p w14:paraId="288C8CEC" w14:textId="77777777" w:rsidR="00AD6FB3" w:rsidRPr="00A9560D" w:rsidRDefault="00AD6FB3" w:rsidP="00AD6FB3">
      <w:pPr>
        <w:pStyle w:val="Body"/>
        <w:rPr>
          <w:rFonts w:ascii="Arial" w:hAnsi="Arial" w:cs="Arial"/>
        </w:rPr>
      </w:pPr>
      <w:proofErr w:type="spellStart"/>
      <w:r w:rsidRPr="00A9560D">
        <w:rPr>
          <w:rFonts w:ascii="Arial" w:hAnsi="Arial" w:cs="Arial"/>
        </w:rPr>
        <w:t>Tankasali</w:t>
      </w:r>
      <w:proofErr w:type="spellEnd"/>
      <w:r w:rsidRPr="00A9560D">
        <w:rPr>
          <w:rFonts w:ascii="Arial" w:hAnsi="Arial" w:cs="Arial"/>
        </w:rPr>
        <w:t xml:space="preserve"> M, </w:t>
      </w:r>
      <w:proofErr w:type="spellStart"/>
      <w:r w:rsidRPr="00A9560D">
        <w:rPr>
          <w:rFonts w:ascii="Arial" w:hAnsi="Arial" w:cs="Arial"/>
        </w:rPr>
        <w:t>Guggarigoudar</w:t>
      </w:r>
      <w:proofErr w:type="spellEnd"/>
      <w:r w:rsidRPr="00A9560D">
        <w:rPr>
          <w:rFonts w:ascii="Arial" w:hAnsi="Arial" w:cs="Arial"/>
        </w:rPr>
        <w:t xml:space="preserve"> PV, and </w:t>
      </w:r>
      <w:proofErr w:type="spellStart"/>
      <w:r w:rsidRPr="00A9560D">
        <w:rPr>
          <w:rFonts w:ascii="Arial" w:hAnsi="Arial" w:cs="Arial"/>
        </w:rPr>
        <w:t>Megha</w:t>
      </w:r>
      <w:proofErr w:type="spellEnd"/>
      <w:r w:rsidRPr="00A9560D">
        <w:rPr>
          <w:rFonts w:ascii="Arial" w:hAnsi="Arial" w:cs="Arial"/>
        </w:rPr>
        <w:t xml:space="preserve"> Patil M (2025) Association between elevated serum uric acid levels in early pregnancy and development of gestational diabetes mellitus. </w:t>
      </w:r>
      <w:r w:rsidRPr="00112E82">
        <w:rPr>
          <w:rFonts w:ascii="Arial" w:hAnsi="Arial" w:cs="Arial"/>
          <w:i/>
          <w:iCs/>
        </w:rPr>
        <w:t>International Journal of Academic Medicine and Pharmacy</w:t>
      </w:r>
      <w:r w:rsidRPr="00A9560D">
        <w:rPr>
          <w:rFonts w:ascii="Arial" w:hAnsi="Arial" w:cs="Arial"/>
        </w:rPr>
        <w:t>, 736-740</w:t>
      </w:r>
    </w:p>
    <w:p w14:paraId="3307003E" w14:textId="77777777" w:rsidR="00AD6FB3" w:rsidRPr="00A9560D" w:rsidRDefault="00AD6FB3" w:rsidP="00AD6FB3">
      <w:pPr>
        <w:pStyle w:val="Body"/>
        <w:rPr>
          <w:rFonts w:ascii="Arial" w:hAnsi="Arial" w:cs="Arial"/>
        </w:rPr>
      </w:pPr>
      <w:proofErr w:type="spellStart"/>
      <w:r w:rsidRPr="00A9560D">
        <w:rPr>
          <w:rFonts w:ascii="Arial" w:hAnsi="Arial" w:cs="Arial"/>
        </w:rPr>
        <w:t>Teelk</w:t>
      </w:r>
      <w:r w:rsidR="006B321F">
        <w:rPr>
          <w:rFonts w:ascii="Arial" w:hAnsi="Arial" w:cs="Arial"/>
        </w:rPr>
        <w:t>ien</w:t>
      </w:r>
      <w:proofErr w:type="spellEnd"/>
      <w:r w:rsidR="006B321F">
        <w:rPr>
          <w:rFonts w:ascii="Arial" w:hAnsi="Arial" w:cs="Arial"/>
        </w:rPr>
        <w:t xml:space="preserve"> R. </w:t>
      </w:r>
      <w:proofErr w:type="gramStart"/>
      <w:r w:rsidR="006B321F">
        <w:rPr>
          <w:rFonts w:ascii="Arial" w:hAnsi="Arial" w:cs="Arial"/>
        </w:rPr>
        <w:t>Van</w:t>
      </w:r>
      <w:proofErr w:type="gramEnd"/>
      <w:r w:rsidR="006B321F">
        <w:rPr>
          <w:rFonts w:ascii="Arial" w:hAnsi="Arial" w:cs="Arial"/>
        </w:rPr>
        <w:t xml:space="preserve"> Veen and </w:t>
      </w:r>
      <w:proofErr w:type="spellStart"/>
      <w:r w:rsidR="006B321F">
        <w:rPr>
          <w:rFonts w:ascii="Arial" w:hAnsi="Arial" w:cs="Arial"/>
        </w:rPr>
        <w:t>Sina</w:t>
      </w:r>
      <w:proofErr w:type="spellEnd"/>
      <w:r w:rsidR="006B321F">
        <w:rPr>
          <w:rFonts w:ascii="Arial" w:hAnsi="Arial" w:cs="Arial"/>
        </w:rPr>
        <w:t xml:space="preserve"> </w:t>
      </w:r>
      <w:proofErr w:type="spellStart"/>
      <w:r w:rsidR="006B321F">
        <w:rPr>
          <w:rFonts w:ascii="Arial" w:hAnsi="Arial" w:cs="Arial"/>
        </w:rPr>
        <w:t>Haeri</w:t>
      </w:r>
      <w:proofErr w:type="spellEnd"/>
      <w:r w:rsidR="006B321F">
        <w:rPr>
          <w:rFonts w:ascii="Arial" w:hAnsi="Arial" w:cs="Arial"/>
        </w:rPr>
        <w:t xml:space="preserve"> (2015)</w:t>
      </w:r>
      <w:r w:rsidRPr="00A9560D">
        <w:rPr>
          <w:rFonts w:ascii="Arial" w:hAnsi="Arial" w:cs="Arial"/>
        </w:rPr>
        <w:t xml:space="preserve"> Gout in Pregnancy: A Case Report and Review of the Literature. </w:t>
      </w:r>
      <w:proofErr w:type="spellStart"/>
      <w:r w:rsidR="00112E82">
        <w:rPr>
          <w:rFonts w:ascii="Arial" w:hAnsi="Arial" w:cs="Arial"/>
          <w:i/>
          <w:iCs/>
        </w:rPr>
        <w:t>G</w:t>
      </w:r>
      <w:r w:rsidRPr="00112E82">
        <w:rPr>
          <w:rFonts w:ascii="Arial" w:hAnsi="Arial" w:cs="Arial"/>
          <w:i/>
          <w:iCs/>
        </w:rPr>
        <w:t>ynecol</w:t>
      </w:r>
      <w:proofErr w:type="spellEnd"/>
      <w:r w:rsidRPr="00112E82">
        <w:rPr>
          <w:rFonts w:ascii="Arial" w:hAnsi="Arial" w:cs="Arial"/>
          <w:i/>
          <w:iCs/>
        </w:rPr>
        <w:t xml:space="preserve"> </w:t>
      </w:r>
      <w:proofErr w:type="spellStart"/>
      <w:r w:rsidRPr="00112E82">
        <w:rPr>
          <w:rFonts w:ascii="Arial" w:hAnsi="Arial" w:cs="Arial"/>
          <w:i/>
          <w:iCs/>
        </w:rPr>
        <w:t>Obstet</w:t>
      </w:r>
      <w:proofErr w:type="spellEnd"/>
      <w:r w:rsidRPr="00112E82">
        <w:rPr>
          <w:rFonts w:ascii="Arial" w:hAnsi="Arial" w:cs="Arial"/>
          <w:i/>
          <w:iCs/>
        </w:rPr>
        <w:t xml:space="preserve"> Invest </w:t>
      </w:r>
      <w:r w:rsidRPr="00A9560D">
        <w:rPr>
          <w:rFonts w:ascii="Arial" w:hAnsi="Arial" w:cs="Arial"/>
        </w:rPr>
        <w:t>2015; 79:217–221</w:t>
      </w:r>
    </w:p>
    <w:p w14:paraId="2EA12171" w14:textId="77777777" w:rsidR="00AD6FB3" w:rsidRPr="00A9560D" w:rsidRDefault="006B321F" w:rsidP="00AD6FB3">
      <w:pPr>
        <w:pStyle w:val="Body"/>
        <w:rPr>
          <w:rFonts w:ascii="Arial" w:hAnsi="Arial" w:cs="Arial"/>
        </w:rPr>
      </w:pPr>
      <w:proofErr w:type="spellStart"/>
      <w:r>
        <w:rPr>
          <w:rFonts w:ascii="Arial" w:hAnsi="Arial" w:cs="Arial"/>
        </w:rPr>
        <w:t>Weingold</w:t>
      </w:r>
      <w:proofErr w:type="spellEnd"/>
      <w:r>
        <w:rPr>
          <w:rFonts w:ascii="Arial" w:hAnsi="Arial" w:cs="Arial"/>
        </w:rPr>
        <w:t xml:space="preserve"> AB. (1960)</w:t>
      </w:r>
      <w:r w:rsidR="00AD6FB3" w:rsidRPr="00A9560D">
        <w:rPr>
          <w:rFonts w:ascii="Arial" w:hAnsi="Arial" w:cs="Arial"/>
        </w:rPr>
        <w:t xml:space="preserve"> Gout and pregnancy. </w:t>
      </w:r>
      <w:proofErr w:type="spellStart"/>
      <w:r w:rsidR="00AD6FB3" w:rsidRPr="00112E82">
        <w:rPr>
          <w:rFonts w:ascii="Arial" w:hAnsi="Arial" w:cs="Arial"/>
          <w:i/>
          <w:iCs/>
        </w:rPr>
        <w:t>Obstet</w:t>
      </w:r>
      <w:proofErr w:type="spellEnd"/>
      <w:r w:rsidR="00AD6FB3" w:rsidRPr="00112E82">
        <w:rPr>
          <w:rFonts w:ascii="Arial" w:hAnsi="Arial" w:cs="Arial"/>
          <w:i/>
          <w:iCs/>
        </w:rPr>
        <w:t xml:space="preserve"> </w:t>
      </w:r>
      <w:proofErr w:type="spellStart"/>
      <w:proofErr w:type="gramStart"/>
      <w:r w:rsidR="00AD6FB3" w:rsidRPr="00112E82">
        <w:rPr>
          <w:rFonts w:ascii="Arial" w:hAnsi="Arial" w:cs="Arial"/>
          <w:i/>
          <w:iCs/>
        </w:rPr>
        <w:t>Gynecol</w:t>
      </w:r>
      <w:proofErr w:type="spellEnd"/>
      <w:r w:rsidR="00AD6FB3" w:rsidRPr="00A9560D">
        <w:rPr>
          <w:rFonts w:ascii="Arial" w:hAnsi="Arial" w:cs="Arial"/>
        </w:rPr>
        <w:t>;  16</w:t>
      </w:r>
      <w:proofErr w:type="gramEnd"/>
      <w:r w:rsidR="00AD6FB3" w:rsidRPr="00A9560D">
        <w:rPr>
          <w:rFonts w:ascii="Arial" w:hAnsi="Arial" w:cs="Arial"/>
        </w:rPr>
        <w:t>:   309–313</w:t>
      </w:r>
    </w:p>
    <w:p w14:paraId="768CBA7F" w14:textId="77777777" w:rsidR="00AD6FB3" w:rsidRPr="00AD6FB3" w:rsidRDefault="00AD6FB3" w:rsidP="00AD6FB3">
      <w:pPr>
        <w:pStyle w:val="Body"/>
        <w:rPr>
          <w:rFonts w:ascii="Arial" w:hAnsi="Arial" w:cs="Arial"/>
        </w:rPr>
      </w:pPr>
      <w:proofErr w:type="spellStart"/>
      <w:r w:rsidRPr="00A9560D">
        <w:rPr>
          <w:rFonts w:ascii="Arial" w:hAnsi="Arial" w:cs="Arial"/>
        </w:rPr>
        <w:t>Xilifu</w:t>
      </w:r>
      <w:proofErr w:type="spellEnd"/>
      <w:r w:rsidRPr="00A9560D">
        <w:rPr>
          <w:rFonts w:ascii="Arial" w:hAnsi="Arial" w:cs="Arial"/>
        </w:rPr>
        <w:t xml:space="preserve"> N, Zhang R, Dai Y, </w:t>
      </w:r>
      <w:proofErr w:type="spellStart"/>
      <w:r w:rsidRPr="00A9560D">
        <w:rPr>
          <w:rFonts w:ascii="Arial" w:hAnsi="Arial" w:cs="Arial"/>
        </w:rPr>
        <w:t>Maimaiti</w:t>
      </w:r>
      <w:proofErr w:type="spellEnd"/>
      <w:r w:rsidRPr="00A9560D">
        <w:rPr>
          <w:rFonts w:ascii="Arial" w:hAnsi="Arial" w:cs="Arial"/>
        </w:rPr>
        <w:t xml:space="preserve"> M, Li Z, Yang J, </w:t>
      </w:r>
      <w:r w:rsidRPr="00112E82">
        <w:rPr>
          <w:rFonts w:ascii="Arial" w:hAnsi="Arial" w:cs="Arial"/>
          <w:i/>
          <w:iCs/>
        </w:rPr>
        <w:t>et al</w:t>
      </w:r>
      <w:r w:rsidRPr="00A9560D">
        <w:rPr>
          <w:rFonts w:ascii="Arial" w:hAnsi="Arial" w:cs="Arial"/>
        </w:rPr>
        <w:t>. (</w:t>
      </w:r>
      <w:proofErr w:type="gramStart"/>
      <w:r w:rsidRPr="00A9560D">
        <w:rPr>
          <w:rFonts w:ascii="Arial" w:hAnsi="Arial" w:cs="Arial"/>
        </w:rPr>
        <w:t>2024)Uric</w:t>
      </w:r>
      <w:proofErr w:type="gramEnd"/>
      <w:r w:rsidRPr="00A9560D">
        <w:rPr>
          <w:rFonts w:ascii="Arial" w:hAnsi="Arial" w:cs="Arial"/>
        </w:rPr>
        <w:t xml:space="preserve"> acid and risk of gestational diabetes mellitus: an observational study and mendelian randomization analysis. </w:t>
      </w:r>
      <w:proofErr w:type="spellStart"/>
      <w:r w:rsidRPr="00112E82">
        <w:rPr>
          <w:rFonts w:ascii="Arial" w:hAnsi="Arial" w:cs="Arial"/>
          <w:i/>
          <w:iCs/>
        </w:rPr>
        <w:t>Reprod</w:t>
      </w:r>
      <w:proofErr w:type="spellEnd"/>
      <w:r w:rsidRPr="00112E82">
        <w:rPr>
          <w:rFonts w:ascii="Arial" w:hAnsi="Arial" w:cs="Arial"/>
          <w:i/>
          <w:iCs/>
        </w:rPr>
        <w:t xml:space="preserve"> Biol Endocrinol</w:t>
      </w:r>
      <w:r w:rsidRPr="00A9560D">
        <w:rPr>
          <w:rFonts w:ascii="Arial" w:hAnsi="Arial" w:cs="Arial"/>
        </w:rPr>
        <w:t>.;22:108.</w:t>
      </w:r>
    </w:p>
    <w:p w14:paraId="0FDBA129" w14:textId="77777777" w:rsidR="00B01FCD" w:rsidRPr="00FB3A86" w:rsidRDefault="00B01FCD" w:rsidP="00441B6F">
      <w:pPr>
        <w:pStyle w:val="Appendix"/>
        <w:spacing w:after="0"/>
        <w:jc w:val="both"/>
        <w:rPr>
          <w:rFonts w:ascii="Arial" w:hAnsi="Arial" w:cs="Arial"/>
          <w:b w:val="0"/>
        </w:rPr>
      </w:pPr>
    </w:p>
    <w:sectPr w:rsidR="00B01FCD" w:rsidRPr="00FB3A86" w:rsidSect="00D538A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BCA41" w14:textId="77777777" w:rsidR="00C83EBC" w:rsidRDefault="00C83EBC" w:rsidP="00C37E61">
      <w:r>
        <w:separator/>
      </w:r>
    </w:p>
  </w:endnote>
  <w:endnote w:type="continuationSeparator" w:id="0">
    <w:p w14:paraId="6A20FFD5" w14:textId="77777777" w:rsidR="00C83EBC" w:rsidRDefault="00C83E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48F6" w14:textId="77777777" w:rsidR="00621E0C" w:rsidRDefault="00621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83A8" w14:textId="77777777" w:rsidR="00621E0C" w:rsidRDefault="00621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4205" w14:textId="0DF71D17" w:rsidR="00754C9A" w:rsidRPr="00621E0C" w:rsidRDefault="00754C9A" w:rsidP="00621E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D4ED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41FC9" w14:textId="77777777" w:rsidR="00C83EBC" w:rsidRDefault="00C83EBC" w:rsidP="00C37E61">
      <w:r>
        <w:separator/>
      </w:r>
    </w:p>
  </w:footnote>
  <w:footnote w:type="continuationSeparator" w:id="0">
    <w:p w14:paraId="3E99B939" w14:textId="77777777" w:rsidR="00C83EBC" w:rsidRDefault="00C83E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2250" w14:textId="39B80464" w:rsidR="00621E0C" w:rsidRDefault="00621E0C">
    <w:pPr>
      <w:pStyle w:val="Header"/>
    </w:pPr>
    <w:r>
      <w:rPr>
        <w:noProof/>
      </w:rPr>
      <w:pict w14:anchorId="5EE60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4461" w14:textId="0EFF7F52" w:rsidR="00621E0C" w:rsidRDefault="00621E0C">
    <w:pPr>
      <w:pStyle w:val="Header"/>
    </w:pPr>
    <w:r>
      <w:rPr>
        <w:noProof/>
      </w:rPr>
      <w:pict w14:anchorId="55FAB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AC15" w14:textId="0009B686" w:rsidR="00296529" w:rsidRPr="00296529" w:rsidRDefault="00621E0C" w:rsidP="00296529">
    <w:pPr>
      <w:ind w:left="2160"/>
      <w:jc w:val="center"/>
      <w:rPr>
        <w:rFonts w:ascii="Times New Roman" w:eastAsia="Calibri" w:hAnsi="Times New Roman"/>
        <w:i/>
        <w:sz w:val="18"/>
        <w:szCs w:val="22"/>
      </w:rPr>
    </w:pPr>
    <w:r>
      <w:rPr>
        <w:noProof/>
      </w:rPr>
      <w:pict w14:anchorId="6A029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F065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7342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BDE4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E599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3FE4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2FCF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71BA" w14:textId="6B10CB03" w:rsidR="00621E0C" w:rsidRDefault="00621E0C">
    <w:pPr>
      <w:pStyle w:val="Header"/>
    </w:pPr>
    <w:r>
      <w:rPr>
        <w:noProof/>
      </w:rPr>
      <w:pict w14:anchorId="63631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A6C6" w14:textId="364B9DF2" w:rsidR="00621E0C" w:rsidRDefault="00621E0C">
    <w:pPr>
      <w:pStyle w:val="Header"/>
    </w:pPr>
    <w:r>
      <w:rPr>
        <w:noProof/>
      </w:rPr>
      <w:pict w14:anchorId="1FD12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3BD6" w14:textId="0AD27B8E" w:rsidR="00621E0C" w:rsidRDefault="00621E0C">
    <w:pPr>
      <w:pStyle w:val="Header"/>
    </w:pPr>
    <w:r>
      <w:rPr>
        <w:noProof/>
      </w:rPr>
      <w:pict w14:anchorId="6E63E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C4CEF"/>
    <w:multiLevelType w:val="multilevel"/>
    <w:tmpl w:val="641C25B0"/>
    <w:lvl w:ilvl="0">
      <w:start w:val="1"/>
      <w:numFmt w:val="decimal"/>
      <w:lvlText w:val="%1.0"/>
      <w:lvlJc w:val="left"/>
      <w:pPr>
        <w:ind w:left="552" w:hanging="552"/>
      </w:pPr>
      <w:rPr>
        <w:rFonts w:hint="default"/>
      </w:rPr>
    </w:lvl>
    <w:lvl w:ilvl="1">
      <w:start w:val="1"/>
      <w:numFmt w:val="decimalZero"/>
      <w:lvlText w:val="%1.%2"/>
      <w:lvlJc w:val="left"/>
      <w:pPr>
        <w:ind w:left="1272" w:hanging="55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FFE"/>
    <w:rsid w:val="000A47FA"/>
    <w:rsid w:val="000A65D3"/>
    <w:rsid w:val="000B1E33"/>
    <w:rsid w:val="000D689F"/>
    <w:rsid w:val="000D7148"/>
    <w:rsid w:val="000E7B7B"/>
    <w:rsid w:val="000E7D62"/>
    <w:rsid w:val="00103357"/>
    <w:rsid w:val="00112E82"/>
    <w:rsid w:val="00123C9F"/>
    <w:rsid w:val="00126190"/>
    <w:rsid w:val="00130F17"/>
    <w:rsid w:val="001320BF"/>
    <w:rsid w:val="00140A58"/>
    <w:rsid w:val="00163BC4"/>
    <w:rsid w:val="00173581"/>
    <w:rsid w:val="00191062"/>
    <w:rsid w:val="00192B72"/>
    <w:rsid w:val="001A29D8"/>
    <w:rsid w:val="001A5CAA"/>
    <w:rsid w:val="001A74A7"/>
    <w:rsid w:val="001B0427"/>
    <w:rsid w:val="001D3A51"/>
    <w:rsid w:val="001E10D2"/>
    <w:rsid w:val="001E25B4"/>
    <w:rsid w:val="001E44FE"/>
    <w:rsid w:val="001F5639"/>
    <w:rsid w:val="00200595"/>
    <w:rsid w:val="00204835"/>
    <w:rsid w:val="00205A41"/>
    <w:rsid w:val="00226A50"/>
    <w:rsid w:val="00231920"/>
    <w:rsid w:val="0023195C"/>
    <w:rsid w:val="0024282C"/>
    <w:rsid w:val="002460DC"/>
    <w:rsid w:val="00250985"/>
    <w:rsid w:val="002556F6"/>
    <w:rsid w:val="00283105"/>
    <w:rsid w:val="00284C4C"/>
    <w:rsid w:val="002952B2"/>
    <w:rsid w:val="00296529"/>
    <w:rsid w:val="002A057B"/>
    <w:rsid w:val="002A3D88"/>
    <w:rsid w:val="002B27FB"/>
    <w:rsid w:val="002B685A"/>
    <w:rsid w:val="002C57D2"/>
    <w:rsid w:val="002E0D56"/>
    <w:rsid w:val="002F27B5"/>
    <w:rsid w:val="00315186"/>
    <w:rsid w:val="0033343E"/>
    <w:rsid w:val="003512C2"/>
    <w:rsid w:val="003567FF"/>
    <w:rsid w:val="003602C5"/>
    <w:rsid w:val="00371FB6"/>
    <w:rsid w:val="003763C1"/>
    <w:rsid w:val="00376BBE"/>
    <w:rsid w:val="0039224F"/>
    <w:rsid w:val="003A43A4"/>
    <w:rsid w:val="003A7E18"/>
    <w:rsid w:val="003C4C86"/>
    <w:rsid w:val="003C6258"/>
    <w:rsid w:val="003E2904"/>
    <w:rsid w:val="003F46D4"/>
    <w:rsid w:val="003F5C4B"/>
    <w:rsid w:val="00400306"/>
    <w:rsid w:val="00401927"/>
    <w:rsid w:val="0041027F"/>
    <w:rsid w:val="00412475"/>
    <w:rsid w:val="00423789"/>
    <w:rsid w:val="00440F43"/>
    <w:rsid w:val="00441B6F"/>
    <w:rsid w:val="00446221"/>
    <w:rsid w:val="00450E62"/>
    <w:rsid w:val="004539DB"/>
    <w:rsid w:val="00462C7A"/>
    <w:rsid w:val="00471A80"/>
    <w:rsid w:val="004D305E"/>
    <w:rsid w:val="004D4277"/>
    <w:rsid w:val="0050043F"/>
    <w:rsid w:val="00502516"/>
    <w:rsid w:val="00505F06"/>
    <w:rsid w:val="00506828"/>
    <w:rsid w:val="0053056E"/>
    <w:rsid w:val="0055042A"/>
    <w:rsid w:val="00554FDA"/>
    <w:rsid w:val="005C3D52"/>
    <w:rsid w:val="005C784C"/>
    <w:rsid w:val="005D17F6"/>
    <w:rsid w:val="005E5539"/>
    <w:rsid w:val="00602BF5"/>
    <w:rsid w:val="00617FDD"/>
    <w:rsid w:val="00621E0C"/>
    <w:rsid w:val="00633614"/>
    <w:rsid w:val="00633F68"/>
    <w:rsid w:val="00636EB2"/>
    <w:rsid w:val="006375B8"/>
    <w:rsid w:val="0066072A"/>
    <w:rsid w:val="0066510A"/>
    <w:rsid w:val="00673F9F"/>
    <w:rsid w:val="00686953"/>
    <w:rsid w:val="00687DEA"/>
    <w:rsid w:val="00687E67"/>
    <w:rsid w:val="006967F7"/>
    <w:rsid w:val="006A250C"/>
    <w:rsid w:val="006B21D3"/>
    <w:rsid w:val="006B321F"/>
    <w:rsid w:val="006B57D0"/>
    <w:rsid w:val="006D30FF"/>
    <w:rsid w:val="006D6940"/>
    <w:rsid w:val="006F11EC"/>
    <w:rsid w:val="0070082C"/>
    <w:rsid w:val="007369E6"/>
    <w:rsid w:val="00746E59"/>
    <w:rsid w:val="00754C9A"/>
    <w:rsid w:val="0075599A"/>
    <w:rsid w:val="00761D52"/>
    <w:rsid w:val="0077749E"/>
    <w:rsid w:val="00780BD8"/>
    <w:rsid w:val="00790ADA"/>
    <w:rsid w:val="007D2288"/>
    <w:rsid w:val="007E005C"/>
    <w:rsid w:val="007E088F"/>
    <w:rsid w:val="007F7B32"/>
    <w:rsid w:val="00804BC2"/>
    <w:rsid w:val="0081431A"/>
    <w:rsid w:val="0083216F"/>
    <w:rsid w:val="008419AD"/>
    <w:rsid w:val="00851B63"/>
    <w:rsid w:val="00860000"/>
    <w:rsid w:val="00863BD3"/>
    <w:rsid w:val="00866D66"/>
    <w:rsid w:val="008671C6"/>
    <w:rsid w:val="00875803"/>
    <w:rsid w:val="008B459E"/>
    <w:rsid w:val="008D58B6"/>
    <w:rsid w:val="008E13AE"/>
    <w:rsid w:val="008E1506"/>
    <w:rsid w:val="008E710C"/>
    <w:rsid w:val="008F69D6"/>
    <w:rsid w:val="008F72DF"/>
    <w:rsid w:val="00902823"/>
    <w:rsid w:val="00915CA6"/>
    <w:rsid w:val="00927834"/>
    <w:rsid w:val="009500A6"/>
    <w:rsid w:val="00957AD3"/>
    <w:rsid w:val="00957C18"/>
    <w:rsid w:val="009659BA"/>
    <w:rsid w:val="00982C10"/>
    <w:rsid w:val="00983040"/>
    <w:rsid w:val="009B3F3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4C5"/>
    <w:rsid w:val="00A94063"/>
    <w:rsid w:val="00A9560D"/>
    <w:rsid w:val="00AA6219"/>
    <w:rsid w:val="00AA74E0"/>
    <w:rsid w:val="00AB703F"/>
    <w:rsid w:val="00AC6BB8"/>
    <w:rsid w:val="00AD6FB3"/>
    <w:rsid w:val="00AE008F"/>
    <w:rsid w:val="00B01FCD"/>
    <w:rsid w:val="00B1776C"/>
    <w:rsid w:val="00B52896"/>
    <w:rsid w:val="00B6788E"/>
    <w:rsid w:val="00B95236"/>
    <w:rsid w:val="00B96BD9"/>
    <w:rsid w:val="00BA1B01"/>
    <w:rsid w:val="00BA2641"/>
    <w:rsid w:val="00BB37AA"/>
    <w:rsid w:val="00BC53A0"/>
    <w:rsid w:val="00BD662E"/>
    <w:rsid w:val="00BE62AD"/>
    <w:rsid w:val="00BF121F"/>
    <w:rsid w:val="00BF1F80"/>
    <w:rsid w:val="00C166EF"/>
    <w:rsid w:val="00C17EB0"/>
    <w:rsid w:val="00C27F5F"/>
    <w:rsid w:val="00C30A0F"/>
    <w:rsid w:val="00C37E61"/>
    <w:rsid w:val="00C70F1B"/>
    <w:rsid w:val="00C71A47"/>
    <w:rsid w:val="00C7464C"/>
    <w:rsid w:val="00C83EBC"/>
    <w:rsid w:val="00C85588"/>
    <w:rsid w:val="00C973B7"/>
    <w:rsid w:val="00CA6D40"/>
    <w:rsid w:val="00CD6755"/>
    <w:rsid w:val="00CD6856"/>
    <w:rsid w:val="00CE0089"/>
    <w:rsid w:val="00CE793C"/>
    <w:rsid w:val="00D173F1"/>
    <w:rsid w:val="00D538A6"/>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D0288"/>
    <w:rsid w:val="00EE52CB"/>
    <w:rsid w:val="00EF581D"/>
    <w:rsid w:val="00EF7FD8"/>
    <w:rsid w:val="00F06F59"/>
    <w:rsid w:val="00F17988"/>
    <w:rsid w:val="00F469F0"/>
    <w:rsid w:val="00F53273"/>
    <w:rsid w:val="00F755E4"/>
    <w:rsid w:val="00F75AE5"/>
    <w:rsid w:val="00F77D02"/>
    <w:rsid w:val="00FA7EFF"/>
    <w:rsid w:val="00FB3A86"/>
    <w:rsid w:val="00FC2EC1"/>
    <w:rsid w:val="00FD36C8"/>
    <w:rsid w:val="00FE15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2E4CC9E"/>
  <w15:docId w15:val="{68D5568D-7FB0-4C4F-82D1-E0ABBAA7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Caption">
    <w:name w:val="caption"/>
    <w:basedOn w:val="Normal"/>
    <w:next w:val="Normal"/>
    <w:uiPriority w:val="35"/>
    <w:semiHidden/>
    <w:unhideWhenUsed/>
    <w:qFormat/>
    <w:rsid w:val="00A654C5"/>
    <w:pPr>
      <w:spacing w:after="200"/>
    </w:pPr>
    <w:rPr>
      <w:rFonts w:ascii="Calibri" w:eastAsia="Calibri" w:hAnsi="Calibri"/>
      <w:b/>
      <w:bCs/>
      <w:color w:val="4F81BD"/>
      <w:sz w:val="18"/>
      <w:szCs w:val="18"/>
      <w:lang w:val="en-GB"/>
    </w:rPr>
  </w:style>
  <w:style w:type="paragraph" w:styleId="ListParagraph">
    <w:name w:val="List Paragraph"/>
    <w:basedOn w:val="Normal"/>
    <w:uiPriority w:val="34"/>
    <w:qFormat/>
    <w:rsid w:val="00205A41"/>
    <w:pPr>
      <w:ind w:left="720"/>
      <w:contextualSpacing/>
    </w:pPr>
  </w:style>
  <w:style w:type="character" w:customStyle="1" w:styleId="dimensionsbadgeembed">
    <w:name w:val="__dimensions_badge_embed__"/>
    <w:basedOn w:val="DefaultParagraphFont"/>
    <w:rsid w:val="003F5C4B"/>
  </w:style>
  <w:style w:type="character" w:customStyle="1" w:styleId="dimensionsbadgestatcount">
    <w:name w:val="__dimensions_badge_stat_count"/>
    <w:basedOn w:val="DefaultParagraphFont"/>
    <w:rsid w:val="003F5C4B"/>
  </w:style>
  <w:style w:type="character" w:customStyle="1" w:styleId="dimensionsbadgestattext">
    <w:name w:val="__dimensions_badge_stat_text"/>
    <w:basedOn w:val="DefaultParagraphFont"/>
    <w:rsid w:val="003F5C4B"/>
  </w:style>
  <w:style w:type="character" w:customStyle="1" w:styleId="authors-list-item">
    <w:name w:val="authors-list-item"/>
    <w:basedOn w:val="DefaultParagraphFont"/>
    <w:rsid w:val="00FA7EFF"/>
  </w:style>
  <w:style w:type="character" w:customStyle="1" w:styleId="author-sup-separator">
    <w:name w:val="author-sup-separator"/>
    <w:basedOn w:val="DefaultParagraphFont"/>
    <w:rsid w:val="00FA7EFF"/>
  </w:style>
  <w:style w:type="character" w:customStyle="1" w:styleId="comma">
    <w:name w:val="comma"/>
    <w:basedOn w:val="DefaultParagraphFont"/>
    <w:rsid w:val="00FA7EFF"/>
  </w:style>
  <w:style w:type="character" w:styleId="UnresolvedMention">
    <w:name w:val="Unresolved Mention"/>
    <w:basedOn w:val="DefaultParagraphFont"/>
    <w:uiPriority w:val="99"/>
    <w:semiHidden/>
    <w:unhideWhenUsed/>
    <w:rsid w:val="00C97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2751086">
      <w:bodyDiv w:val="1"/>
      <w:marLeft w:val="0"/>
      <w:marRight w:val="0"/>
      <w:marTop w:val="0"/>
      <w:marBottom w:val="0"/>
      <w:divBdr>
        <w:top w:val="none" w:sz="0" w:space="0" w:color="auto"/>
        <w:left w:val="none" w:sz="0" w:space="0" w:color="auto"/>
        <w:bottom w:val="none" w:sz="0" w:space="0" w:color="auto"/>
        <w:right w:val="none" w:sz="0" w:space="0" w:color="auto"/>
      </w:divBdr>
    </w:div>
    <w:div w:id="13376068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074410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9314357">
      <w:bodyDiv w:val="1"/>
      <w:marLeft w:val="0"/>
      <w:marRight w:val="0"/>
      <w:marTop w:val="0"/>
      <w:marBottom w:val="0"/>
      <w:divBdr>
        <w:top w:val="none" w:sz="0" w:space="0" w:color="auto"/>
        <w:left w:val="none" w:sz="0" w:space="0" w:color="auto"/>
        <w:bottom w:val="none" w:sz="0" w:space="0" w:color="auto"/>
        <w:right w:val="none" w:sz="0" w:space="0" w:color="auto"/>
      </w:divBdr>
      <w:divsChild>
        <w:div w:id="341514401">
          <w:marLeft w:val="0"/>
          <w:marRight w:val="0"/>
          <w:marTop w:val="0"/>
          <w:marBottom w:val="0"/>
          <w:divBdr>
            <w:top w:val="none" w:sz="0" w:space="0" w:color="auto"/>
            <w:left w:val="none" w:sz="0" w:space="0" w:color="auto"/>
            <w:bottom w:val="none" w:sz="0" w:space="0" w:color="auto"/>
            <w:right w:val="none" w:sz="0" w:space="0" w:color="auto"/>
          </w:divBdr>
          <w:divsChild>
            <w:div w:id="321127124">
              <w:marLeft w:val="0"/>
              <w:marRight w:val="0"/>
              <w:marTop w:val="0"/>
              <w:marBottom w:val="0"/>
              <w:divBdr>
                <w:top w:val="none" w:sz="0" w:space="0" w:color="auto"/>
                <w:left w:val="none" w:sz="0" w:space="0" w:color="auto"/>
                <w:bottom w:val="none" w:sz="0" w:space="0" w:color="auto"/>
                <w:right w:val="none" w:sz="0" w:space="0" w:color="auto"/>
              </w:divBdr>
              <w:divsChild>
                <w:div w:id="6069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3688">
      <w:bodyDiv w:val="1"/>
      <w:marLeft w:val="0"/>
      <w:marRight w:val="0"/>
      <w:marTop w:val="0"/>
      <w:marBottom w:val="0"/>
      <w:divBdr>
        <w:top w:val="none" w:sz="0" w:space="0" w:color="auto"/>
        <w:left w:val="none" w:sz="0" w:space="0" w:color="auto"/>
        <w:bottom w:val="none" w:sz="0" w:space="0" w:color="auto"/>
        <w:right w:val="none" w:sz="0" w:space="0" w:color="auto"/>
      </w:divBdr>
      <w:divsChild>
        <w:div w:id="1810710410">
          <w:marLeft w:val="0"/>
          <w:marRight w:val="0"/>
          <w:marTop w:val="0"/>
          <w:marBottom w:val="0"/>
          <w:divBdr>
            <w:top w:val="none" w:sz="0" w:space="0" w:color="auto"/>
            <w:left w:val="none" w:sz="0" w:space="0" w:color="auto"/>
            <w:bottom w:val="none" w:sz="0" w:space="0" w:color="auto"/>
            <w:right w:val="none" w:sz="0" w:space="0" w:color="auto"/>
          </w:divBdr>
          <w:divsChild>
            <w:div w:id="1510099873">
              <w:marLeft w:val="0"/>
              <w:marRight w:val="0"/>
              <w:marTop w:val="0"/>
              <w:marBottom w:val="0"/>
              <w:divBdr>
                <w:top w:val="none" w:sz="0" w:space="0" w:color="auto"/>
                <w:left w:val="none" w:sz="0" w:space="0" w:color="auto"/>
                <w:bottom w:val="none" w:sz="0" w:space="0" w:color="auto"/>
                <w:right w:val="none" w:sz="0" w:space="0" w:color="auto"/>
              </w:divBdr>
              <w:divsChild>
                <w:div w:id="1724669077">
                  <w:marLeft w:val="0"/>
                  <w:marRight w:val="0"/>
                  <w:marTop w:val="0"/>
                  <w:marBottom w:val="0"/>
                  <w:divBdr>
                    <w:top w:val="none" w:sz="0" w:space="0" w:color="auto"/>
                    <w:left w:val="none" w:sz="0" w:space="0" w:color="auto"/>
                    <w:bottom w:val="none" w:sz="0" w:space="0" w:color="auto"/>
                    <w:right w:val="none" w:sz="0" w:space="0" w:color="auto"/>
                  </w:divBdr>
                  <w:divsChild>
                    <w:div w:id="19045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3629">
              <w:marLeft w:val="0"/>
              <w:marRight w:val="0"/>
              <w:marTop w:val="0"/>
              <w:marBottom w:val="0"/>
              <w:divBdr>
                <w:top w:val="none" w:sz="0" w:space="0" w:color="auto"/>
                <w:left w:val="none" w:sz="0" w:space="0" w:color="auto"/>
                <w:bottom w:val="none" w:sz="0" w:space="0" w:color="auto"/>
                <w:right w:val="none" w:sz="0" w:space="0" w:color="auto"/>
              </w:divBdr>
              <w:divsChild>
                <w:div w:id="870344493">
                  <w:marLeft w:val="0"/>
                  <w:marRight w:val="0"/>
                  <w:marTop w:val="0"/>
                  <w:marBottom w:val="0"/>
                  <w:divBdr>
                    <w:top w:val="none" w:sz="0" w:space="0" w:color="auto"/>
                    <w:left w:val="none" w:sz="0" w:space="0" w:color="auto"/>
                    <w:bottom w:val="none" w:sz="0" w:space="0" w:color="auto"/>
                    <w:right w:val="none" w:sz="0" w:space="0" w:color="auto"/>
                  </w:divBdr>
                  <w:divsChild>
                    <w:div w:id="1924950412">
                      <w:marLeft w:val="0"/>
                      <w:marRight w:val="0"/>
                      <w:marTop w:val="0"/>
                      <w:marBottom w:val="0"/>
                      <w:divBdr>
                        <w:top w:val="none" w:sz="0" w:space="0" w:color="auto"/>
                        <w:left w:val="none" w:sz="0" w:space="0" w:color="auto"/>
                        <w:bottom w:val="none" w:sz="0" w:space="0" w:color="auto"/>
                        <w:right w:val="none" w:sz="0" w:space="0" w:color="auto"/>
                      </w:divBdr>
                      <w:divsChild>
                        <w:div w:id="1299411023">
                          <w:marLeft w:val="0"/>
                          <w:marRight w:val="0"/>
                          <w:marTop w:val="0"/>
                          <w:marBottom w:val="0"/>
                          <w:divBdr>
                            <w:top w:val="none" w:sz="0" w:space="0" w:color="auto"/>
                            <w:left w:val="none" w:sz="0" w:space="0" w:color="auto"/>
                            <w:bottom w:val="none" w:sz="0" w:space="0" w:color="auto"/>
                            <w:right w:val="none" w:sz="0" w:space="0" w:color="auto"/>
                          </w:divBdr>
                        </w:div>
                        <w:div w:id="1167206612">
                          <w:marLeft w:val="0"/>
                          <w:marRight w:val="0"/>
                          <w:marTop w:val="0"/>
                          <w:marBottom w:val="0"/>
                          <w:divBdr>
                            <w:top w:val="none" w:sz="0" w:space="0" w:color="auto"/>
                            <w:left w:val="none" w:sz="0" w:space="0" w:color="auto"/>
                            <w:bottom w:val="none" w:sz="0" w:space="0" w:color="auto"/>
                            <w:right w:val="none" w:sz="0" w:space="0" w:color="auto"/>
                          </w:divBdr>
                        </w:div>
                      </w:divsChild>
                    </w:div>
                    <w:div w:id="1855067075">
                      <w:marLeft w:val="0"/>
                      <w:marRight w:val="0"/>
                      <w:marTop w:val="0"/>
                      <w:marBottom w:val="0"/>
                      <w:divBdr>
                        <w:top w:val="none" w:sz="0" w:space="0" w:color="auto"/>
                        <w:left w:val="none" w:sz="0" w:space="0" w:color="auto"/>
                        <w:bottom w:val="none" w:sz="0" w:space="0" w:color="auto"/>
                        <w:right w:val="none" w:sz="0" w:space="0" w:color="auto"/>
                      </w:divBdr>
                      <w:divsChild>
                        <w:div w:id="1808430540">
                          <w:marLeft w:val="0"/>
                          <w:marRight w:val="0"/>
                          <w:marTop w:val="0"/>
                          <w:marBottom w:val="0"/>
                          <w:divBdr>
                            <w:top w:val="none" w:sz="0" w:space="0" w:color="auto"/>
                            <w:left w:val="none" w:sz="0" w:space="0" w:color="auto"/>
                            <w:bottom w:val="none" w:sz="0" w:space="0" w:color="auto"/>
                            <w:right w:val="none" w:sz="0" w:space="0" w:color="auto"/>
                          </w:divBdr>
                        </w:div>
                        <w:div w:id="1007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13299">
          <w:marLeft w:val="0"/>
          <w:marRight w:val="0"/>
          <w:marTop w:val="0"/>
          <w:marBottom w:val="0"/>
          <w:divBdr>
            <w:top w:val="none" w:sz="0" w:space="0" w:color="auto"/>
            <w:left w:val="none" w:sz="0" w:space="0" w:color="auto"/>
            <w:bottom w:val="none" w:sz="0" w:space="0" w:color="auto"/>
            <w:right w:val="none" w:sz="0" w:space="0" w:color="auto"/>
          </w:divBdr>
          <w:divsChild>
            <w:div w:id="10648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907483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HMD\URIC%20ACID%20RESEARCH%20RESUL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AHMD\URIC%20ACID%20RESEARCH%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sorted!$J$10</c:f>
              <c:strCache>
                <c:ptCount val="1"/>
                <c:pt idx="0">
                  <c:v>uric acid</c:v>
                </c:pt>
              </c:strCache>
            </c:strRef>
          </c:tx>
          <c:errBars>
            <c:errDir val="y"/>
            <c:errBarType val="both"/>
            <c:errValType val="stdErr"/>
            <c:noEndCap val="0"/>
          </c:errBars>
          <c:cat>
            <c:strRef>
              <c:f>sorted!$I$11:$I$13</c:f>
              <c:strCache>
                <c:ptCount val="3"/>
                <c:pt idx="0">
                  <c:v>1st </c:v>
                </c:pt>
                <c:pt idx="1">
                  <c:v>2nd</c:v>
                </c:pt>
                <c:pt idx="2">
                  <c:v>3rd</c:v>
                </c:pt>
              </c:strCache>
            </c:strRef>
          </c:cat>
          <c:val>
            <c:numRef>
              <c:f>sorted!$J$11:$J$13</c:f>
              <c:numCache>
                <c:formatCode>General</c:formatCode>
                <c:ptCount val="3"/>
                <c:pt idx="0">
                  <c:v>344.22999999999945</c:v>
                </c:pt>
                <c:pt idx="1">
                  <c:v>394.21999999999969</c:v>
                </c:pt>
                <c:pt idx="2">
                  <c:v>455.4</c:v>
                </c:pt>
              </c:numCache>
            </c:numRef>
          </c:val>
          <c:smooth val="0"/>
          <c:extLst>
            <c:ext xmlns:c16="http://schemas.microsoft.com/office/drawing/2014/chart" uri="{C3380CC4-5D6E-409C-BE32-E72D297353CC}">
              <c16:uniqueId val="{00000000-3CB0-41D9-B78B-20ABD79DDE2C}"/>
            </c:ext>
          </c:extLst>
        </c:ser>
        <c:dLbls>
          <c:showLegendKey val="0"/>
          <c:showVal val="0"/>
          <c:showCatName val="0"/>
          <c:showSerName val="0"/>
          <c:showPercent val="0"/>
          <c:showBubbleSize val="0"/>
        </c:dLbls>
        <c:marker val="1"/>
        <c:smooth val="0"/>
        <c:axId val="59891712"/>
        <c:axId val="59893632"/>
      </c:lineChart>
      <c:catAx>
        <c:axId val="59891712"/>
        <c:scaling>
          <c:orientation val="minMax"/>
        </c:scaling>
        <c:delete val="0"/>
        <c:axPos val="b"/>
        <c:title>
          <c:tx>
            <c:rich>
              <a:bodyPr/>
              <a:lstStyle/>
              <a:p>
                <a:pPr>
                  <a:defRPr/>
                </a:pPr>
                <a:r>
                  <a:rPr lang="en-US"/>
                  <a:t>Trimester</a:t>
                </a:r>
              </a:p>
            </c:rich>
          </c:tx>
          <c:overlay val="0"/>
        </c:title>
        <c:numFmt formatCode="General" sourceLinked="0"/>
        <c:majorTickMark val="out"/>
        <c:minorTickMark val="none"/>
        <c:tickLblPos val="nextTo"/>
        <c:crossAx val="59893632"/>
        <c:crosses val="autoZero"/>
        <c:auto val="1"/>
        <c:lblAlgn val="ctr"/>
        <c:lblOffset val="100"/>
        <c:noMultiLvlLbl val="0"/>
      </c:catAx>
      <c:valAx>
        <c:axId val="59893632"/>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effectLst/>
                  </a:rPr>
                  <a:t>(µmol/L)</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3.0399654266494641E-2"/>
              <c:y val="0.51235663613921101"/>
            </c:manualLayout>
          </c:layout>
          <c:overlay val="0"/>
        </c:title>
        <c:numFmt formatCode="General" sourceLinked="1"/>
        <c:majorTickMark val="out"/>
        <c:minorTickMark val="none"/>
        <c:tickLblPos val="nextTo"/>
        <c:crossAx val="598917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sorted!$I$31</c:f>
              <c:strCache>
                <c:ptCount val="1"/>
                <c:pt idx="0">
                  <c:v>blood sugar</c:v>
                </c:pt>
              </c:strCache>
            </c:strRef>
          </c:tx>
          <c:cat>
            <c:strRef>
              <c:f>sorted!$H$32:$H$34</c:f>
              <c:strCache>
                <c:ptCount val="3"/>
                <c:pt idx="0">
                  <c:v>1st </c:v>
                </c:pt>
                <c:pt idx="1">
                  <c:v>2nd</c:v>
                </c:pt>
                <c:pt idx="2">
                  <c:v>3rd</c:v>
                </c:pt>
              </c:strCache>
            </c:strRef>
          </c:cat>
          <c:val>
            <c:numRef>
              <c:f>sorted!$I$32:$I$34</c:f>
              <c:numCache>
                <c:formatCode>General</c:formatCode>
                <c:ptCount val="3"/>
                <c:pt idx="0">
                  <c:v>6.01</c:v>
                </c:pt>
                <c:pt idx="1">
                  <c:v>6.23</c:v>
                </c:pt>
                <c:pt idx="2">
                  <c:v>6.1599999999999975</c:v>
                </c:pt>
              </c:numCache>
            </c:numRef>
          </c:val>
          <c:smooth val="0"/>
          <c:extLst>
            <c:ext xmlns:c16="http://schemas.microsoft.com/office/drawing/2014/chart" uri="{C3380CC4-5D6E-409C-BE32-E72D297353CC}">
              <c16:uniqueId val="{00000000-FC66-48D4-9FDB-EA50EF062A82}"/>
            </c:ext>
          </c:extLst>
        </c:ser>
        <c:dLbls>
          <c:showLegendKey val="0"/>
          <c:showVal val="0"/>
          <c:showCatName val="0"/>
          <c:showSerName val="0"/>
          <c:showPercent val="0"/>
          <c:showBubbleSize val="0"/>
        </c:dLbls>
        <c:marker val="1"/>
        <c:smooth val="0"/>
        <c:axId val="150341888"/>
        <c:axId val="150344064"/>
      </c:lineChart>
      <c:catAx>
        <c:axId val="150341888"/>
        <c:scaling>
          <c:orientation val="minMax"/>
        </c:scaling>
        <c:delete val="0"/>
        <c:axPos val="b"/>
        <c:title>
          <c:tx>
            <c:rich>
              <a:bodyPr/>
              <a:lstStyle/>
              <a:p>
                <a:pPr>
                  <a:defRPr/>
                </a:pPr>
                <a:r>
                  <a:rPr lang="en-US"/>
                  <a:t>Trimester</a:t>
                </a:r>
              </a:p>
            </c:rich>
          </c:tx>
          <c:overlay val="0"/>
        </c:title>
        <c:numFmt formatCode="General"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50344064"/>
        <c:crosses val="autoZero"/>
        <c:auto val="1"/>
        <c:lblAlgn val="ctr"/>
        <c:lblOffset val="100"/>
        <c:noMultiLvlLbl val="0"/>
      </c:catAx>
      <c:valAx>
        <c:axId val="150344064"/>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effectLst/>
                  </a:rPr>
                  <a:t>(mmol/L)</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2.7310920855914224E-2"/>
              <c:y val="0.42869901252097586"/>
            </c:manualLayout>
          </c:layout>
          <c:overlay val="0"/>
        </c:title>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50341888"/>
        <c:crosses val="autoZero"/>
        <c:crossBetween val="between"/>
      </c:valAx>
    </c:plotArea>
    <c:legend>
      <c:legendPos val="r"/>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D775-F146-4B93-91CC-2DD5C6DE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185</TotalTime>
  <Pages>6</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18076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33</cp:revision>
  <cp:lastPrinted>1999-07-06T11:00:00Z</cp:lastPrinted>
  <dcterms:created xsi:type="dcterms:W3CDTF">2014-10-25T14:34:00Z</dcterms:created>
  <dcterms:modified xsi:type="dcterms:W3CDTF">2026-04-04T11:03:00Z</dcterms:modified>
</cp:coreProperties>
</file>