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42E23" w14:textId="356358A0" w:rsidR="00FB2A2D" w:rsidRPr="00687DCB" w:rsidRDefault="00FB2A2D" w:rsidP="00FB2A2D">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687DCB">
        <w:rPr>
          <w:rFonts w:ascii="Times New Roman" w:hAnsi="Times New Roman" w:cs="Times New Roman"/>
          <w:b/>
          <w:bCs/>
          <w:sz w:val="24"/>
          <w:szCs w:val="24"/>
        </w:rPr>
        <w:t xml:space="preserve">A Digital Resilience and Foresight Integration Model (DRFIM) for Strengthening Sustainable Education Systems in Rural Zimbabwe: Insights from Cheunje Secondary School, </w:t>
      </w:r>
      <w:r w:rsidRPr="00687DCB">
        <w:rPr>
          <w:rFonts w:ascii="Times New Roman" w:eastAsia="Times New Roman" w:hAnsi="Times New Roman" w:cs="Times New Roman"/>
          <w:b/>
          <w:bCs/>
          <w:kern w:val="36"/>
          <w:sz w:val="24"/>
          <w:szCs w:val="24"/>
          <w14:ligatures w14:val="none"/>
        </w:rPr>
        <w:t xml:space="preserve">Murewa Rural District, Mash East Province </w:t>
      </w:r>
    </w:p>
    <w:p w14:paraId="4921B5DA" w14:textId="77777777" w:rsidR="00FB2A2D" w:rsidRPr="00687DCB" w:rsidRDefault="00FB2A2D" w:rsidP="00FB2A2D">
      <w:pPr>
        <w:spacing w:before="100" w:beforeAutospacing="1" w:after="100" w:afterAutospacing="1" w:line="240" w:lineRule="auto"/>
        <w:jc w:val="both"/>
        <w:outlineLvl w:val="0"/>
      </w:pPr>
    </w:p>
    <w:p w14:paraId="60E0386F" w14:textId="77777777" w:rsidR="00BA266C" w:rsidRPr="00687DCB" w:rsidRDefault="00BA266C" w:rsidP="00BA266C">
      <w:pPr>
        <w:pStyle w:val="NormalWeb"/>
        <w:jc w:val="both"/>
        <w:rPr>
          <w:b/>
          <w:bCs/>
        </w:rPr>
      </w:pPr>
      <w:r w:rsidRPr="00687DCB">
        <w:rPr>
          <w:b/>
          <w:bCs/>
        </w:rPr>
        <w:t>Abstract</w:t>
      </w:r>
    </w:p>
    <w:p w14:paraId="438AAD06" w14:textId="2061F522" w:rsidR="00BA266C" w:rsidRPr="00687DCB" w:rsidRDefault="00BA266C" w:rsidP="00BA266C">
      <w:pPr>
        <w:pStyle w:val="NormalWeb"/>
        <w:jc w:val="both"/>
      </w:pPr>
      <w:r w:rsidRPr="00687DCB">
        <w:t>Education systems globally are increasingly challenged by rapid digital transformation, environmental uncertainty, and persistent socio-economic inequalities, particularly in rural contexts. In Zimbabwe, these pressures are acutely experienced in marginalized areas where infrastructural deficits, energy instability, and limited digital capacity constrain effective teaching and learning. This study investigates how digital resilience and strategic foresight can be integrated to strengthen sustainable education systems, focusing on Cheunje Secondary School in Murewa Rural District. Anchored in systems theory, anticipatory governance, and digital resilience theory, the study adopts a qualitative case study design to explore institutional responses to disruption. Data were collected from 40 purposively selected stakeholders, including teachers, school leaders, parents, and community members, using interviews, focus groups, observations, and document analysis. Thematic analysis, complemented by foresight-based scenario reflection, was employed to identify key patterns and emerging insights. Findings reveal that digital fragility, energy insecurity, and limited foresight in leadership significantly hinder the integration of digital technologies in rural schools. However, adaptive practices such as mobile-based learning, community partnerships, and informal teacher training demonstrate localized resilience and innovation. The study further highlights strong interdependencies between infrastructure, governance, and energy systems, underscoring the need for holistic approaches to educational transformation. In response, the study proposes the Digital Resilience and Foresight Integration Model (DRFIM), a comprehensive framework that integrates foresight capabilities, digital resilience systems, and adaptive governance to enhance institutional sustainability. The model provides actionable insights for policymakers and practitioners by emphasizing proactive planning, inclusive digital ecosystems, and community engagement. Ultimately, the study contributes to advancing context-sensitive strategies for achieving resilient, equitable, and future-ready education systems in rural Zimbabwe and similar settings.</w:t>
      </w:r>
    </w:p>
    <w:p w14:paraId="03360222" w14:textId="3AC4C9DD" w:rsidR="00B66DE6" w:rsidRPr="00687DCB" w:rsidRDefault="00BA266C" w:rsidP="00B66DE6">
      <w:pPr>
        <w:spacing w:after="0" w:line="24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b/>
          <w:bCs/>
          <w:kern w:val="0"/>
          <w:sz w:val="24"/>
          <w:szCs w:val="24"/>
          <w14:ligatures w14:val="none"/>
        </w:rPr>
        <w:t xml:space="preserve">Keywords: </w:t>
      </w:r>
      <w:r w:rsidRPr="00687DCB">
        <w:rPr>
          <w:rFonts w:ascii="Times New Roman" w:eastAsia="Times New Roman" w:hAnsi="Times New Roman" w:cs="Times New Roman"/>
          <w:kern w:val="0"/>
          <w:sz w:val="24"/>
          <w:szCs w:val="24"/>
          <w14:ligatures w14:val="none"/>
        </w:rPr>
        <w:t>Education systems, Digital transformation, E</w:t>
      </w:r>
      <w:r w:rsidRPr="00687DCB">
        <w:rPr>
          <w:rFonts w:ascii="Times New Roman" w:hAnsi="Times New Roman" w:cs="Times New Roman"/>
          <w:sz w:val="24"/>
          <w:szCs w:val="24"/>
        </w:rPr>
        <w:t>nvironmental uncertainty, Persistent socio-economic inequalities,</w:t>
      </w:r>
      <w:r w:rsidRPr="00687DCB">
        <w:t xml:space="preserve"> </w:t>
      </w:r>
      <w:r w:rsidRPr="00687DCB">
        <w:rPr>
          <w:rFonts w:ascii="Times New Roman" w:hAnsi="Times New Roman" w:cs="Times New Roman"/>
          <w:sz w:val="24"/>
          <w:szCs w:val="24"/>
        </w:rPr>
        <w:t>foresight capabilities, digital resilience systems, Adaptive governance, Institutional sustainability.</w:t>
      </w:r>
    </w:p>
    <w:p w14:paraId="4890F850" w14:textId="77777777" w:rsidR="009E46D4" w:rsidRPr="00687DCB" w:rsidRDefault="009E46D4" w:rsidP="00B66DE6">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p>
    <w:p w14:paraId="7AF9E4F5" w14:textId="4C93437D" w:rsidR="00B66DE6" w:rsidRPr="00687DCB" w:rsidRDefault="00B66DE6" w:rsidP="00B66DE6">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1.0 Introduction</w:t>
      </w:r>
    </w:p>
    <w:p w14:paraId="04BAC142" w14:textId="16B64B77"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Education systems worldwide are undergoing profound transformation under the combined pressures of rapid digitalisation, environmental volatility, and persistent socio-economic disruption (World Bank., 2023; UNESCO., 2024). These forces have intensified the need for adaptive, future-oriented educational frameworks capable of sustaining learning continuity in uncertain contexts (OECD., 2023). In sub-Saharan Africa, and particularly in Zimbabwe, rural secondary schools such as Cheunje Secondary School in Murewa Rural District operate within </w:t>
      </w:r>
      <w:r w:rsidRPr="00687DCB">
        <w:rPr>
          <w:rFonts w:ascii="Times New Roman" w:eastAsia="Times New Roman" w:hAnsi="Times New Roman" w:cs="Times New Roman"/>
          <w:kern w:val="0"/>
          <w:sz w:val="24"/>
          <w:szCs w:val="24"/>
          <w14:ligatures w14:val="none"/>
        </w:rPr>
        <w:lastRenderedPageBreak/>
        <w:t>fragile socio-technical environments marked by unreliable electricity, limited internet connectivity, and communities dependent on climate-sensitive livelihoods (UNICEF., 2023; GSMA., 2023). Such constraints significantly impede the meaningful integration of digital technologies into teaching and learning processes (World Bank., 2023; UNESCO., 2023). Recent scholarship increasingly emphasises the importance of resilience and anticipatory governance in education systems, highlighting how institutions can better prepare for and respond to shocks and stressors (Radianti., 2024; UNESCO., 2023). Building on these insights, this study conceptualises digital resilience not merely as technological capacity, but as a systemic and strategic capability embedded within institutional practices. Accordingly, the aim of this study is to examine how rural secondary schools can develop and sustain digital resilience amid infrastructural and environmental constraints. Its objectives are threefold: to analyse the current state of digital infrastructure and access in rural Zimbabwean schools, to explore strategies for embedding digital resilience into institutional planning, and to assess the role of foresight-driven leadership in strengthening long-term educational sustainability.</w:t>
      </w:r>
    </w:p>
    <w:p w14:paraId="0B94AE03" w14:textId="0AF4111E" w:rsidR="005D64E9" w:rsidRPr="00271AF1"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The significance of this study lies in its contribution to the growing body of literature at the intersection of digital transformation, resilience, and educational equity within marginalised rural contexts. While global policy frameworks such as the United Nations Sustainable Development Goal 4 and UNESCO’s digital learning agenda advocate for inclusive and equitable access to quality education, implementation gaps persist in resource-constrained environments (United Nations., 2024; UNESCO., 2023). Thus, by extending emerging frameworks on resilience and foresight integration, this study advances a more nuanced understanding of how digital resilience can function as a strategic response to systemic vulnerabilities, enabling continuity, adaptability, and innovation in education delivery. Furthermore, foresight approaches such as scenario planning and horizon scanning are increasingly recognised as critical tools for anticipating disruptions and guiding long-term institutional planning (OECD., 2023; Munyoro et al., 2026). This research therefore proposes the Digital Resilience and Foresight Integration Model (DRFIM) as a conceptual and practical framework to support rural schools in navigating uncertainty. The study offers actionable insights for policymakers, school leaders, and development partners seeking to address digital </w:t>
      </w:r>
      <w:r w:rsidRPr="00271AF1">
        <w:rPr>
          <w:rFonts w:ascii="Times New Roman" w:eastAsia="Times New Roman" w:hAnsi="Times New Roman" w:cs="Times New Roman"/>
          <w:kern w:val="0"/>
          <w:sz w:val="24"/>
          <w:szCs w:val="24"/>
          <w14:ligatures w14:val="none"/>
        </w:rPr>
        <w:t>exclusion and strengthen sustainable education systems in Zimbabwe and comparable contexts.</w:t>
      </w:r>
    </w:p>
    <w:p w14:paraId="61E462EF" w14:textId="4D4C7F2E"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71AF1">
        <w:rPr>
          <w:rFonts w:ascii="Times New Roman" w:eastAsia="Times New Roman" w:hAnsi="Times New Roman" w:cs="Times New Roman"/>
          <w:kern w:val="0"/>
          <w:sz w:val="24"/>
          <w:szCs w:val="24"/>
          <w14:ligatures w14:val="none"/>
        </w:rPr>
        <w:t xml:space="preserve">Despite sustained policy commitments toward Information and Communication Technology (ICT) integration in Zimbabwe, rural secondary schools remain significantly digitally </w:t>
      </w:r>
      <w:r w:rsidRPr="00271AF1">
        <w:rPr>
          <w:rFonts w:ascii="Times New Roman" w:eastAsia="Times New Roman" w:hAnsi="Times New Roman" w:cs="Times New Roman"/>
          <w:kern w:val="0"/>
          <w:sz w:val="24"/>
          <w:szCs w:val="24"/>
          <w14:ligatures w14:val="none"/>
        </w:rPr>
        <w:lastRenderedPageBreak/>
        <w:t>marginalised (UNESCO., 2023; GSMA., 2023). Structural barriers such as inadequate infrastructure, unstable energy supply, limited teacher digital competencies, and insufficient institutional foresight continue to constrain effective digital transformation (World Bank., 2024). Although</w:t>
      </w:r>
      <w:r w:rsidRPr="00687DCB">
        <w:rPr>
          <w:rFonts w:ascii="Times New Roman" w:eastAsia="Times New Roman" w:hAnsi="Times New Roman" w:cs="Times New Roman"/>
          <w:kern w:val="0"/>
          <w:sz w:val="24"/>
          <w:szCs w:val="24"/>
          <w14:ligatures w14:val="none"/>
        </w:rPr>
        <w:t xml:space="preserve"> various national and international initiatives have attempted to bridge the digital divide through device distribution and connectivity programmes, such interventions are often fragmented and lack the systemic coherence required to build long-term resilience (UNICEF., 2023; World Bank., 2023). Empirical evidence indicates that access to digital learning resources remains disproportionately low in rural areas, exacerbating existing educational inequalities (GSMA., 2023). While existing studies highlight the importance of resilience in education systems broadly, there remains limited scholarly attention to the integration of digital resilience and foresight as a unified strategic framework in rural secondary education (OECD., 2023; Radianti., 2024). This study therefore addresses this gap by proposing and applying the Digital Resilience and Foresight Integration Model (DRFIM), thereby contributing to both theoretical advancement and practical solutions for strengthening adaptive capacity and sustainability in rural Zimbabwean education systems.</w:t>
      </w:r>
    </w:p>
    <w:p w14:paraId="05AC1A77" w14:textId="3618EB7B" w:rsidR="00FA3174" w:rsidRPr="00687DCB" w:rsidRDefault="00FA3174" w:rsidP="00FA3174">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2.0 Theoretical Framework</w:t>
      </w:r>
    </w:p>
    <w:p w14:paraId="7917B8E4" w14:textId="720EC44D"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This study is anchored in an integrative theoretical framework that synthesizes systems thinking, anticipatory governance, and digital resilience to explain how educational institutions, particularly secondary schools in rural contexts, navigate complex, interdependent disruptions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These disruptions stem from environmental pressures such as climate variability, rapid technological transformations driven by digitalization, and broader socio-economic dynamics that disproportionately affect marginalized communities (IPCC</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Thus, conceptualising schools as adaptive, technology-mediated open systems, the framework positions educational institutions within dynamic and often volatile ecosystems (Fullan</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ecosystems encompass policy environments, infrastructure systems, community contexts, and digital networks that interact to shape institutional performance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Through this lens, resilience is understood not merely as the capacity to recover from shocks but as the ability to continuously adapt, reorganize, and transform in response to emerging challenges (Duchek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Importantly, the framework extends beyond reactive resilience by integrating strategic foresight and anticipatory governance, thereby emphasizing forward-looking capabilities (Fuerth &amp; Faber</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2012;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This integration allows institutions to shift from crisis-</w:t>
      </w:r>
      <w:r w:rsidRPr="00687DCB">
        <w:rPr>
          <w:rFonts w:ascii="Times New Roman" w:eastAsia="Times New Roman" w:hAnsi="Times New Roman" w:cs="Times New Roman"/>
          <w:kern w:val="0"/>
          <w:sz w:val="24"/>
          <w:szCs w:val="24"/>
          <w14:ligatures w14:val="none"/>
        </w:rPr>
        <w:lastRenderedPageBreak/>
        <w:t>driven responses toward proactive planning, enabling them to anticipate disruptions, design adaptive strategies, and foster long-term sustainability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the context of rural Zimbabwe, and specifically Cheunje Secondary School in Murewa Rural District, this approach provides a nuanced understanding of how digital capacity, leadership, and environmental realities intersect to shape educational continuity and transformation.</w:t>
      </w:r>
    </w:p>
    <w:p w14:paraId="1E1CF698" w14:textId="77777777" w:rsidR="005D64E9" w:rsidRPr="00687DCB" w:rsidRDefault="005D64E9" w:rsidP="005D64E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2.1 Conceptual Clarification and Definition of Related Concepts</w:t>
      </w:r>
    </w:p>
    <w:p w14:paraId="417EF2FD" w14:textId="7AB69CA2"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A foundational concept in this study is systems theory, originating from von Bertalanffy’s General Systems Theory (von Bertalanffy</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1968). Systems theory suggests that organizations function as open systems composed of interdependent components that interact with their external environments (Mele et al., 2010;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educational settings, schools transform inputs such as policies, infrastructure, teacher competencies, and digital tools into outputs like student learning outcomes through complex institutional processes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Feedback loops enable continuous learning and adaptation, reinforcing the system’s capacity to respond to change (Mele et al., 2010;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Closely related is anticipatory governance, a concept rooted in public policy and futures studies (Fuerth &amp; Faber</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2012;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Munyoro et al., 2026). Anticipatory governance refers to the capacity of institutions to systematically anticipate, prepare for, and shape future developments through structured approaches such as horizon scanning, scenario planning, and early warning systems (Fuerth &amp; Faber</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2012;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Munyoro et al., 2026). In education, this involves embedding future-oriented thinking into planning and decision-making processes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Munyoro et al., 2026).</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Complementing this is strategic foresight, which provides methodological tools for exploring plausible, probable, and preferred futures (Miller</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Strategic foresight enables educational leaders to identify emerging trends, assess risks, and develop adaptive strategies aligned with long-term goals. Global institutions such as UNESCO emphasise foresight as a critical competency for building future-ready education systems capable of navigating uncertainty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r w:rsidR="00970A4C" w:rsidRPr="00687DCB">
        <w:rPr>
          <w:rFonts w:ascii="Times New Roman" w:eastAsia="Times New Roman" w:hAnsi="Times New Roman" w:cs="Times New Roman"/>
          <w:kern w:val="0"/>
          <w:sz w:val="24"/>
          <w:szCs w:val="24"/>
          <w14:ligatures w14:val="none"/>
        </w:rPr>
        <w:t xml:space="preserve"> </w:t>
      </w:r>
    </w:p>
    <w:p w14:paraId="38331850" w14:textId="4529490F"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Another central concept is digital resilience, derived from resilience theory within information and communication technology (ICT) studies (Philip &amp; Williams</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Digital resilience refers to the capacity of institutions to sustain, adapt, and transform digital operations in the face of disruption (Philip &amp; Williams</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2022). It encompasses maintaining digital infrastructure, ensuring continuity of online and </w:t>
      </w:r>
      <w:r w:rsidRPr="00687DCB">
        <w:rPr>
          <w:rFonts w:ascii="Times New Roman" w:eastAsia="Times New Roman" w:hAnsi="Times New Roman" w:cs="Times New Roman"/>
          <w:kern w:val="0"/>
          <w:sz w:val="24"/>
          <w:szCs w:val="24"/>
          <w14:ligatures w14:val="none"/>
        </w:rPr>
        <w:lastRenderedPageBreak/>
        <w:t>blended learning, safeguarding data systems, and fostering pedagogical innovation (Bozkurt et al., 2022;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Finally, the concept of ICT ecosystems captures the interconnected networks of hardware, software, human capacity, governance structures, and institutional policies that support digital learning environments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rural contexts, ICT ecosystems are often constrained by limited infrastructure, unreliable energy supply, and insufficient technical expertise, thereby shaping the extent to which schools can effectively respond to disruptions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p>
    <w:p w14:paraId="612B83FB" w14:textId="77777777" w:rsidR="005D64E9" w:rsidRPr="00687DCB" w:rsidRDefault="005D64E9" w:rsidP="005D64E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2.2 Review of Relevant Literature</w:t>
      </w:r>
    </w:p>
    <w:p w14:paraId="1E6B4896" w14:textId="39202396"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Recent scholarship highlights the increasing vulnerability of education systems to climate-induced, technological, and socio-economic disruptions (IPCC</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Munyoro et al., 2026). Reports by UNESCO</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and the World Bank</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(2022) indicate that extreme weather events, energy instability, and infrastructural deficits significantly disrupt teaching and learning processes, particularly in sub-Saharan Africa. These disruptions underscore the need for resilient and adaptive education systems.</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From a systems perspective, educational change scholars such as Fullan</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(2020) argue that schools must be understood as complex adaptive systems, where leadership, infrastructure, policy, and community contexts are deeply interconnected. This perspective aligns with systems thinking and emphasizes the importance of holistic, rather than fragmented, reform strategies.</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In the domain of futures studies, Miller</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(2018) introduces the concept of futures literacy, emphasizing the capacity to use the future as a lens for innovation and transformation. UNESCO (2021) further advocates integrating foresight into educational planning, arguing that future-oriented thinking enhances institutional adaptability and resilience.</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The COVID-19 pandemic significantly accelerated research on digital resilience in education. Hodges et al. (2020) and Bozkurt et al. (2022) demonstrate that institutions with robust ICT ecosystems were better positioned to transition to emergency remote teaching. However, these studies also reveal persistent inequalities in digital access, particularly in rural and low-resource contexts, where infrastructure limitations hinder effective digital learning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Emerging research continues to explore institutional resilience in education. While studies such as Munyoro et al. (2026) emphasise adaptability and responsiveness, they often underrepresent the role of ICT ecosystems and digital innovation as central determinants of resilience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This gap highlights the need for integrative models that explicitly incorporate digital dimensions into broader resilience frameworks.</w:t>
      </w:r>
    </w:p>
    <w:p w14:paraId="7D80E2F8" w14:textId="77777777" w:rsidR="005D64E9" w:rsidRPr="00687DCB" w:rsidRDefault="005D64E9" w:rsidP="005D64E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lastRenderedPageBreak/>
        <w:t>2.3 Theoretical Review</w:t>
      </w:r>
    </w:p>
    <w:p w14:paraId="549049D7" w14:textId="77777777" w:rsidR="005D64E9" w:rsidRPr="00687DCB" w:rsidRDefault="005D64E9" w:rsidP="005D64E9">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2.3.1 Systems Theory</w:t>
      </w:r>
    </w:p>
    <w:p w14:paraId="3E6D9FC9" w14:textId="07B2068C"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Systems theory provides the foundational lens for this study by framing schools as open, interconnected systems embedded within broader environmental, technological, and socio-economic subsystems (Mele et al., 2010;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Disruptions such as climate change, energy shortages, or digital exclusion do not occur in isolation; rather, they produce cascading effects across multiple domains (IPCC</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For example, power outages affect digital infrastructure, which in turn disrupts teaching and learning processes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This interconnectedness necessitates holistic approaches to resilience that consider the relationships among system components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Systems theory thus supports the development of integrated strategies that address multiple dimensions of disruption simultaneously (Fullan</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0E97C454" w14:textId="77777777" w:rsidR="005D64E9" w:rsidRPr="00687DCB" w:rsidRDefault="005D64E9" w:rsidP="005D64E9">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2.3.2 Anticipatory Governance and Strategic Foresight</w:t>
      </w:r>
    </w:p>
    <w:p w14:paraId="6F5389FA" w14:textId="68DD2A70"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Anticipatory governance emphasises proactive, forward-looking leadership that enables institutions to prepare for future uncertainties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Munyoro et al., 2026). Through tools such as horizon scanning, scenario planning, and trend analysis, educational leaders can anticipate potential disruptions and design strategies to mitigate their impact (Fuerth &amp; Faber</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2012;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Strategic foresight operationalizes anticipatory governance by providing structured methodologies for exploring alternative futures (Miller</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UNESCO</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In secondary education, foresight-driven leadership is critical for aligning curriculum, infrastructure, and pedagogy with emerging societal, environmental, and labour market demands (UNESCO</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This approach transforms educational governance from reactive crisis management to proactive resilience-building, enabling institutions to navigate uncertainty with greater confidence and strategic clarity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w:t>
      </w:r>
    </w:p>
    <w:p w14:paraId="72E13640" w14:textId="77777777" w:rsidR="005D64E9" w:rsidRPr="00687DCB" w:rsidRDefault="005D64E9" w:rsidP="005D64E9">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2.3.3 Digital Resilience Theory</w:t>
      </w:r>
    </w:p>
    <w:p w14:paraId="44EB2DF6" w14:textId="390C479B"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Digital resilience theory extends traditional resilience frameworks by explicitly incorporating the technological dimension of institutional adaptability (Philip &amp; Williams</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It emphasizes three interrelated capacities: absorptive, adaptive, and transformative.</w:t>
      </w:r>
    </w:p>
    <w:p w14:paraId="0D4F01D3" w14:textId="49EB8BE9"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lastRenderedPageBreak/>
        <w:t>Absorptive capacity refers to the ability of institutions to maintain digital operations during disruptions, such as sustaining online learning platforms and communication systems (World Bank</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Adaptive capacity involves modifying technological systems and pedagogical approaches in response to changing conditions, while transformative capacity enables institutions to fundamentally redesign learning environments through innovation (Bozkurt et al., 2022;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Building on organizational resilience theory (Duchek</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digital resilience highlights the critical role of ICT ecosystems in shaping institutional responses to disruption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Its relevance is particularly pronounced in rural contexts, where infrastructural and capacity constraints limit digital access and innovation (UNESCO</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By integrating technological considerations into resilience analysis, digital resilience theory provides a comprehensive framework for understanding how schools can sustain, adapt, and transform in increasingly digitalized environments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p>
    <w:p w14:paraId="139AFC7C" w14:textId="77777777" w:rsidR="005D64E9" w:rsidRPr="00687DCB" w:rsidRDefault="005D64E9" w:rsidP="005D64E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2.4 Research Gap</w:t>
      </w:r>
    </w:p>
    <w:p w14:paraId="6DE4561E" w14:textId="56CBA386"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Despite the growing body of literature on educational resilience, several critical gaps remain. First, existing studies often examine environmental, technological, and institutional challenges in isolation, limiting a comprehensive understanding of how these factors interact within educational systems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Second, while anticipatory governance and strategic foresight are well-established in policy studies, their application in education—particularly in rural and developing contexts</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remains underexplored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There is limited empirical evidence on how foresight tools can be effectively integrated into school leadership and planning processes (Miller</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Third, although digital resilience has gained prominence, there is insufficient integration of ICT ecosystems into broader resilience frameworks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Many existing models do not fully capture how digital infrastructure, teacher capacity, and innovation collectively shape institutional preparedness and response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This study therefore addresses these gaps by proposing the Digital Resilience and Foresight Integration Model (DRFIM), which integrates systems theory, anticipatory governance, and digital resilience into a unified analytical framework. By emphasising the central role of ICT ecosystems and applying the model to rural Zimbabwe, the study contributes to a more holistic, context-sensitive understanding of how schools can anticipate, adapt to, and transform in response to complex and interconnected challenges.</w:t>
      </w:r>
    </w:p>
    <w:p w14:paraId="175470A9" w14:textId="77777777" w:rsidR="00D11358" w:rsidRPr="00687DCB" w:rsidRDefault="00D11358" w:rsidP="00D11358">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lastRenderedPageBreak/>
        <w:t>3.0 Methodology</w:t>
      </w:r>
    </w:p>
    <w:p w14:paraId="1D72CCD4" w14:textId="77777777" w:rsidR="00D11358" w:rsidRPr="00687DCB" w:rsidRDefault="00D11358" w:rsidP="00D11358">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3.1 Research Approach</w:t>
      </w:r>
    </w:p>
    <w:p w14:paraId="40A3C89D" w14:textId="3E414D1D" w:rsidR="003F42C1" w:rsidRPr="00687DCB" w:rsidRDefault="003F42C1" w:rsidP="00F613B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This study adopted a qualitative research approach to explore the integration of digital resilience and foresight within sustainable education systems in rural Zimbabwe (Munyoro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Creswell &amp; Poth</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Denzin &amp; Lincoln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actual fact, qualitative inquiry is widely recognized for its capacity to generate in-depth insights into complex social phenomena, particularly within context-specific environments such as rural schools (Munyoro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Creswell &amp; Poth</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Denzin &amp; Lincoln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Thus, the approach enabled the researcher to capture the lived experiences, perceptions, and expectations of stakeholders associated with Cheunje Secondary School in Murewa Rural District (Munyoro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UNESCO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r w:rsidR="00F613B5"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In addition, the study incorporated elements of foresight thinking, which has gained increasing prominence in educational research as a tool for anticipating future uncertainties and informing strategic planning (Miller</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UNESCO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OECD</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By integrating foresight perspectives, participants were encouraged to reflect not only on present challenges, such as limited digital infrastructure, but also on plausible future scenarios affecting educational resilience and sustainability. This dual lens enhanced the study’s relevance to both current policy discourse and long-term educational transformation agendas.</w:t>
      </w:r>
    </w:p>
    <w:p w14:paraId="3F195FBD" w14:textId="77777777" w:rsidR="003F42C1" w:rsidRPr="00687DCB" w:rsidRDefault="003F42C1" w:rsidP="00F613B5">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3.2 Research Design</w:t>
      </w:r>
    </w:p>
    <w:p w14:paraId="4B7AB63E" w14:textId="450B1DD5" w:rsidR="003F42C1" w:rsidRPr="00687DCB" w:rsidRDefault="003F42C1" w:rsidP="00F613B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A case study design was employed, focusing on Cheunje Secondary School as a bounded system within its socio-economic and geographical context (Munyoro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Yin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Yin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Case study research is particularly suitable for examining contemporary issues within real-life contexts, especially where the boundaries between phenomenon and context are not clearly evident (Munyoro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Yin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Yin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 selection of a single case allowed for an in-depth, holistic examination of how digital resilience and foresight can be operationalized within a rural schooling environment (Stake</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Simons</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Thus, the design facilitated the exploration of interactions among multiple stakeholders, including teachers, school administrators, parents, and community leaders (</w:t>
      </w:r>
      <w:r w:rsidR="00F613B5" w:rsidRPr="00687DCB">
        <w:rPr>
          <w:rFonts w:ascii="Times New Roman" w:eastAsia="Times New Roman" w:hAnsi="Times New Roman" w:cs="Times New Roman"/>
          <w:kern w:val="0"/>
          <w:sz w:val="24"/>
          <w:szCs w:val="24"/>
          <w14:ligatures w14:val="none"/>
        </w:rPr>
        <w:t xml:space="preserve">Creswell &amp; Poth., 2018; </w:t>
      </w:r>
      <w:r w:rsidRPr="00687DCB">
        <w:rPr>
          <w:rFonts w:ascii="Times New Roman" w:eastAsia="Times New Roman" w:hAnsi="Times New Roman" w:cs="Times New Roman"/>
          <w:kern w:val="0"/>
          <w:sz w:val="24"/>
          <w:szCs w:val="24"/>
          <w14:ligatures w14:val="none"/>
        </w:rPr>
        <w:t>Simons</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Furthermore, the case study approach enabled methodological triangulation through the use of diverse data sources, thereby strengthening the robustness and credibility of the findings (Stake</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Yin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61FB1288" w14:textId="77777777" w:rsidR="003F42C1" w:rsidRPr="00687DCB" w:rsidRDefault="003F42C1" w:rsidP="00F613B5">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lastRenderedPageBreak/>
        <w:t>3.3 Population and Sampling</w:t>
      </w:r>
    </w:p>
    <w:p w14:paraId="7802DB59" w14:textId="6864E2FD" w:rsidR="003F42C1" w:rsidRPr="00687DCB" w:rsidRDefault="003F42C1" w:rsidP="00F613B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study targeted a population of over 300 stakeholders associated with Cheunje Secondary School, including teaching staff, school administrators, parents, and members of the surrounding community. From this population, a purposive sample of 40 participants was selected (Etikan &amp; Bala</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Campbell et al., 2020). Purposive sampling was deemed appropriate for this study because it allows for the deliberate selection of participants with relevant knowledge and experience related to the research problem (Etikan &amp; Bala, 2022). The sample was stratified to ensure representation across key stakeholder groups, thereby capturing diverse perspectives on digital resilience and educational sustainability (Palinkas et al., 2015; Campbell et al., 2020). This approach enhanced the richness and depth of the data while ensuring that the findings were grounded in the realities of those directly involved in the school system (Creswell &amp; Poth</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Denzin &amp; Lincoln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It also enabled comparative analysis across stakeholder categories, providing nuanced insights into differing priorities and expectations (Simons</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p>
    <w:p w14:paraId="13C5F42A" w14:textId="77777777" w:rsidR="003F42C1" w:rsidRPr="00687DCB" w:rsidRDefault="003F42C1" w:rsidP="00F613B5">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3.4 Data Collection Methods</w:t>
      </w:r>
    </w:p>
    <w:p w14:paraId="2DA0C07C" w14:textId="4FC08D1F" w:rsidR="003F42C1" w:rsidRPr="00687DCB" w:rsidRDefault="003F42C1" w:rsidP="00757E5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Multiple qualitative data collection methods were employed to ensure depth, richness, and triangulation (Creswell &amp; Poth</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Denzin &amp; Lincoln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Firstly, semi-structured interviews were conducted with selected participants. This method provided flexibility for probing while maintaining alignment with the research objectives (Kallio et al., 2016; Denzin &amp; Lincoln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Semi-structured interviews are particularly effective in eliciting detailed personal narratives and uncovering underlying meanings (Kallio et al., 2016).</w:t>
      </w:r>
      <w:r w:rsidR="00F613B5"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Secondly, focus group discussions were held with parents and community leaders (Nyumba et al., 2018</w:t>
      </w:r>
      <w:r w:rsidR="00F613B5" w:rsidRPr="00687DCB">
        <w:rPr>
          <w:rFonts w:ascii="Times New Roman" w:eastAsia="Times New Roman" w:hAnsi="Times New Roman" w:cs="Times New Roman"/>
          <w:kern w:val="0"/>
          <w:sz w:val="24"/>
          <w:szCs w:val="24"/>
          <w14:ligatures w14:val="none"/>
        </w:rPr>
        <w:t>; Morgan., 2019</w:t>
      </w:r>
      <w:r w:rsidRPr="00687DCB">
        <w:rPr>
          <w:rFonts w:ascii="Times New Roman" w:eastAsia="Times New Roman" w:hAnsi="Times New Roman" w:cs="Times New Roman"/>
          <w:kern w:val="0"/>
          <w:sz w:val="24"/>
          <w:szCs w:val="24"/>
          <w14:ligatures w14:val="none"/>
        </w:rPr>
        <w:t>). These discussions facilitated interactive dialogue, allowing participants to collectively reflect on shared challenges and opportunities (Nyumba et al., 2018). Focus groups are valuable for capturing social dynamics and community-level perspectives (Morgan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2019).</w:t>
      </w:r>
      <w:r w:rsidR="00F613B5"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Thirdly, non-participant observations were carried out within the school setting (Angrosino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2016; Creswell &amp; Poth</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Observational data provided insights into institutional practices, digital resource utilization, and contextual realities that may not have been fully articulated in interviews (Angrosino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2016).</w:t>
      </w:r>
      <w:r w:rsidR="00F613B5"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Lastly, document analysis was conducted on school records, policies, and reports (Bowen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2009; O’Leary</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2021). This method enabled the corroboration of findings from other data sources and provided additional contextual understanding (Bowen, 2009). The use of multiple data collection methods enhanced the </w:t>
      </w:r>
      <w:r w:rsidRPr="00687DCB">
        <w:rPr>
          <w:rFonts w:ascii="Times New Roman" w:eastAsia="Times New Roman" w:hAnsi="Times New Roman" w:cs="Times New Roman"/>
          <w:kern w:val="0"/>
          <w:sz w:val="24"/>
          <w:szCs w:val="24"/>
          <w14:ligatures w14:val="none"/>
        </w:rPr>
        <w:lastRenderedPageBreak/>
        <w:t>validity of the study through methodological triangulation, ensuring a comprehensive understanding of the research problem (Denzin &amp; Lincoln</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Yin</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5CCB7258" w14:textId="77777777" w:rsidR="003F42C1" w:rsidRPr="00687DCB" w:rsidRDefault="003F42C1" w:rsidP="003F42C1">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4.0 Data Analysis</w:t>
      </w:r>
    </w:p>
    <w:p w14:paraId="03EE7250" w14:textId="77777777" w:rsidR="003F42C1" w:rsidRPr="00687DCB" w:rsidRDefault="003F42C1" w:rsidP="003F42C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4.1 Analytical Framework</w:t>
      </w:r>
    </w:p>
    <w:p w14:paraId="4C7E0796" w14:textId="3972E7F4" w:rsidR="003F42C1" w:rsidRPr="00687DCB" w:rsidRDefault="003F42C1" w:rsidP="00757E5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data were analysed using thematic analysis, a flexible and widely used method for identifying, analysing, and reporting patterns within qualitative data (Munyoro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Braun &amp; Clarke</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Braun &amp; Clarke</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This approach enabled systematic organization and interpretation of textual data derived from interviews, focus groups, observations, and documents (</w:t>
      </w:r>
      <w:r w:rsidR="00757E55" w:rsidRPr="00687DCB">
        <w:rPr>
          <w:rFonts w:ascii="Times New Roman" w:eastAsia="Times New Roman" w:hAnsi="Times New Roman" w:cs="Times New Roman"/>
          <w:kern w:val="0"/>
          <w:sz w:val="24"/>
          <w:szCs w:val="24"/>
          <w14:ligatures w14:val="none"/>
        </w:rPr>
        <w:t xml:space="preserve">Saldaña., 2021; </w:t>
      </w:r>
      <w:r w:rsidRPr="00687DCB">
        <w:rPr>
          <w:rFonts w:ascii="Times New Roman" w:eastAsia="Times New Roman" w:hAnsi="Times New Roman" w:cs="Times New Roman"/>
          <w:kern w:val="0"/>
          <w:sz w:val="24"/>
          <w:szCs w:val="24"/>
          <w14:ligatures w14:val="none"/>
        </w:rPr>
        <w:t>Braun &amp; Clarke</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r w:rsidR="00757E55"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In addition, the study integrated foresight-based scenario reflection into the analytical framework (OECD</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This approach aligns with emerging methodologies in futures studies, which emphasize the exploration of alternative futures and strategic anticipation (Miller, 2018). By combining thematic analysis with foresight thinking, the study extended beyond descriptive analysis to include anticipatory insights relevant to policy and practice (OECD</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p>
    <w:p w14:paraId="0B6B3030" w14:textId="77777777" w:rsidR="003F42C1" w:rsidRPr="00687DCB" w:rsidRDefault="003F42C1" w:rsidP="003F42C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4.2 Data Preparation and Coding</w:t>
      </w:r>
    </w:p>
    <w:p w14:paraId="2A245F68" w14:textId="348B5039" w:rsidR="003F42C1" w:rsidRPr="00687DCB" w:rsidRDefault="003F42C1" w:rsidP="00757E5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All interviews and focus group discussions were transcribed verbatim to ensure accuracy (Munyoro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Saldaña</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Observational field notes and document excerpts were compiled and organized into a unified dataset (Creswell &amp; Poth</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The analysis followed a structured coding process (</w:t>
      </w:r>
      <w:r w:rsidR="00757E55" w:rsidRPr="00687DCB">
        <w:rPr>
          <w:rFonts w:ascii="Times New Roman" w:eastAsia="Times New Roman" w:hAnsi="Times New Roman" w:cs="Times New Roman"/>
          <w:kern w:val="0"/>
          <w:sz w:val="24"/>
          <w:szCs w:val="24"/>
          <w14:ligatures w14:val="none"/>
        </w:rPr>
        <w:t xml:space="preserve">Munyoro., 2014; </w:t>
      </w:r>
      <w:r w:rsidRPr="00687DCB">
        <w:rPr>
          <w:rFonts w:ascii="Times New Roman" w:eastAsia="Times New Roman" w:hAnsi="Times New Roman" w:cs="Times New Roman"/>
          <w:kern w:val="0"/>
          <w:sz w:val="24"/>
          <w:szCs w:val="24"/>
          <w14:ligatures w14:val="none"/>
        </w:rPr>
        <w:t>Saldaña</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Open coding was initially conducted to identify significant statements and recurring ideas (</w:t>
      </w:r>
      <w:r w:rsidR="00757E55" w:rsidRPr="00687DCB">
        <w:rPr>
          <w:rFonts w:ascii="Times New Roman" w:eastAsia="Times New Roman" w:hAnsi="Times New Roman" w:cs="Times New Roman"/>
          <w:kern w:val="0"/>
          <w:sz w:val="24"/>
          <w:szCs w:val="24"/>
          <w14:ligatures w14:val="none"/>
        </w:rPr>
        <w:t xml:space="preserve">Munyoro., 2014; </w:t>
      </w:r>
      <w:r w:rsidRPr="00687DCB">
        <w:rPr>
          <w:rFonts w:ascii="Times New Roman" w:eastAsia="Times New Roman" w:hAnsi="Times New Roman" w:cs="Times New Roman"/>
          <w:kern w:val="0"/>
          <w:sz w:val="24"/>
          <w:szCs w:val="24"/>
          <w14:ligatures w14:val="none"/>
        </w:rPr>
        <w:t>Saldaña</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These codes were then grouped into broader categories through axial coding, establishing relationships among concepts (Corbin &amp; Strauss</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2015). Finally, selective coding was applied to refine and integrate categories into overarching themes (Saldaña, 2021). This iterative process ensured that the analysis remained grounded in the data while allowing for the emergence of meaningful patterns and relationships (Braun &amp; Clarke</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p>
    <w:p w14:paraId="7A23E34A" w14:textId="77777777" w:rsidR="003F42C1" w:rsidRPr="00687DCB" w:rsidRDefault="003F42C1" w:rsidP="003F42C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4.3 Theme Development</w:t>
      </w:r>
    </w:p>
    <w:p w14:paraId="4DD3908F" w14:textId="1AE27A44" w:rsidR="003F42C1" w:rsidRPr="00687DCB" w:rsidRDefault="003F42C1" w:rsidP="00757E5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Themes were developed through an iterative and reflective process, ensuring that they accurately represented participants’ perspectives (Munyoro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Braun &amp; Clarke</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In this case, the analysis involved constant comparison across data sources to identify similarities, differences, and patterns (</w:t>
      </w:r>
      <w:r w:rsidR="00757E55" w:rsidRPr="00687DCB">
        <w:rPr>
          <w:rFonts w:ascii="Times New Roman" w:eastAsia="Times New Roman" w:hAnsi="Times New Roman" w:cs="Times New Roman"/>
          <w:kern w:val="0"/>
          <w:sz w:val="24"/>
          <w:szCs w:val="24"/>
          <w14:ligatures w14:val="none"/>
        </w:rPr>
        <w:t xml:space="preserve">Munyoro., 2014; </w:t>
      </w:r>
      <w:r w:rsidRPr="00687DCB">
        <w:rPr>
          <w:rFonts w:ascii="Times New Roman" w:eastAsia="Times New Roman" w:hAnsi="Times New Roman" w:cs="Times New Roman"/>
          <w:kern w:val="0"/>
          <w:sz w:val="24"/>
          <w:szCs w:val="24"/>
          <w14:ligatures w14:val="none"/>
        </w:rPr>
        <w:t>Corbin &amp; Strauss</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2015). This process enhanced </w:t>
      </w:r>
      <w:r w:rsidRPr="00687DCB">
        <w:rPr>
          <w:rFonts w:ascii="Times New Roman" w:eastAsia="Times New Roman" w:hAnsi="Times New Roman" w:cs="Times New Roman"/>
          <w:kern w:val="0"/>
          <w:sz w:val="24"/>
          <w:szCs w:val="24"/>
          <w14:ligatures w14:val="none"/>
        </w:rPr>
        <w:lastRenderedPageBreak/>
        <w:t>the reliability of the findings by ensuring that themes were not based on isolated data points but were consistently supported across multiple sources (Nowell et al., 2017). It also allowed for the identification of both convergent and divergent viewpoints, reflecting the complexity of stakeholder experiences in rural education systems (Denzin &amp; Lincoln</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4853008A" w14:textId="77777777" w:rsidR="003F42C1" w:rsidRPr="00687DCB" w:rsidRDefault="003F42C1" w:rsidP="003F42C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4.4 Integration of Foresight-Based Scenario Reflection</w:t>
      </w:r>
    </w:p>
    <w:p w14:paraId="334888B9" w14:textId="2392150D" w:rsidR="003F42C1" w:rsidRPr="00687DCB" w:rsidRDefault="003F42C1" w:rsidP="00757E5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A key innovation of this study was the integration of foresight-based scenario reflection into the analytical process (Munyoro et al., 2026). Participants’ insights were analysed not only in relation to current conditions but also in terms of potential future developments. This involved identifying emerging trends such as digital transformation, infrastructural constraints, and policy shifts, as well as uncertainties that may affect the sustainability of education systems (Munyoro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OECD</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Scenario reflection enabled the exploration of possible futures, including best-case, worst-case, and most-likely scenarios (UNESCO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w:t>
      </w:r>
    </w:p>
    <w:p w14:paraId="44B14749" w14:textId="77777777" w:rsidR="003F42C1" w:rsidRPr="00687DCB" w:rsidRDefault="003F42C1" w:rsidP="003F42C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4.5 Ensuring Trustworthiness</w:t>
      </w:r>
    </w:p>
    <w:p w14:paraId="60088D7E" w14:textId="57E90175" w:rsidR="003F42C1" w:rsidRPr="00687DCB" w:rsidRDefault="003F42C1" w:rsidP="00F321A7">
      <w:pPr>
        <w:spacing w:after="0"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To ensure the credibility and trustworthiness of the findings, several strategies were employed. Triangulation across data sources enhanced the consistency and validity of the results (Denzin &amp; Lincoln</w:t>
      </w:r>
      <w:r w:rsidR="00F321A7"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Yin</w:t>
      </w:r>
      <w:r w:rsidR="00F321A7"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Member checking was conducted where feasible, allowing participants to verify the accuracy of interpretations (Creswell &amp; Poth</w:t>
      </w:r>
      <w:r w:rsidR="008A7AD4"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An audit trail was maintained throughout the research process to ensure transparency and dependability (Nowell et al., 2017). Additionally, reflexivity was practiced to minimize researcher bias and enhance confirmability (Denzin &amp; Lincoln</w:t>
      </w:r>
      <w:r w:rsidR="008A7AD4"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7104A986" w14:textId="77777777" w:rsidR="00757E55" w:rsidRPr="00687DCB" w:rsidRDefault="00757E55" w:rsidP="00757E55">
      <w:pPr>
        <w:spacing w:after="0" w:line="360" w:lineRule="auto"/>
        <w:jc w:val="both"/>
        <w:outlineLvl w:val="1"/>
        <w:rPr>
          <w:rFonts w:ascii="Times New Roman" w:eastAsia="Times New Roman" w:hAnsi="Times New Roman" w:cs="Times New Roman"/>
          <w:b/>
          <w:bCs/>
          <w:kern w:val="0"/>
          <w:sz w:val="24"/>
          <w:szCs w:val="24"/>
          <w14:ligatures w14:val="none"/>
        </w:rPr>
      </w:pPr>
    </w:p>
    <w:p w14:paraId="5AC0B0AA" w14:textId="5C3ED1D4" w:rsidR="00D77B04" w:rsidRPr="00687DCB" w:rsidRDefault="00D77B04" w:rsidP="00757E55">
      <w:pPr>
        <w:spacing w:after="0" w:line="36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5.0 Findings</w:t>
      </w:r>
    </w:p>
    <w:p w14:paraId="2D465342" w14:textId="77777777" w:rsidR="00D77B04" w:rsidRPr="00687DCB" w:rsidRDefault="00D77B04" w:rsidP="00D77B0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This section presents the principal findings of the study, structured into thematic subtopics that capture the multidimensional dynamics shaping digital transformation in rural education systems. Drawing on empirical insights from Cheunje Secondary School in Murewa Rural District, Mashonaland East Province, the findings highlight the interrelated structural, technological, and governance constraints that influence the viability of a Digital Resilience and Foresight Integration Model (DRFIM). The results reveal that digital transformation in resource-constrained environments is not merely a technological challenge but a systemic issue involving infrastructure, energy reliability, leadership capacity, and adaptive agency.</w:t>
      </w:r>
    </w:p>
    <w:p w14:paraId="7DF4DB39" w14:textId="77777777" w:rsidR="00D77B04" w:rsidRPr="00687DCB" w:rsidRDefault="00D77B04" w:rsidP="00D77B04">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lastRenderedPageBreak/>
        <w:t>5.1 Digital Fragility</w:t>
      </w:r>
    </w:p>
    <w:p w14:paraId="5C60BDC3" w14:textId="2F9C1261" w:rsidR="00306DAC" w:rsidRPr="00687DCB" w:rsidRDefault="00306DAC" w:rsidP="0097220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findings indicate that digital fragility remains a pervasive and structural challenge within rural Zimbabwean education systems. At Cheunje Secondary School, limited access to functional ICT infrastructure including outdated computers, insufficient digital devices, and unreliable internet connectivity, significantly constrains both pedagogical innovation and administrative efficiency (</w:t>
      </w:r>
      <w:r w:rsidR="00972209" w:rsidRPr="00687DCB">
        <w:rPr>
          <w:rFonts w:ascii="Times New Roman" w:eastAsia="Times New Roman" w:hAnsi="Times New Roman" w:cs="Times New Roman"/>
          <w:kern w:val="0"/>
          <w:sz w:val="24"/>
          <w:szCs w:val="24"/>
          <w14:ligatures w14:val="none"/>
        </w:rPr>
        <w:t xml:space="preserve">UNESCO., 2023; </w:t>
      </w:r>
      <w:r w:rsidRPr="00687DCB">
        <w:rPr>
          <w:rFonts w:ascii="Times New Roman" w:eastAsia="Times New Roman" w:hAnsi="Times New Roman" w:cs="Times New Roman"/>
          <w:kern w:val="0"/>
          <w:sz w:val="24"/>
          <w:szCs w:val="24"/>
          <w14:ligatures w14:val="none"/>
        </w:rPr>
        <w:t>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These infrastructural deficits reduce opportunities for integrating digital learning platforms and limit learners’ exposure to global knowledge systems (</w:t>
      </w:r>
      <w:r w:rsidR="00972209" w:rsidRPr="00687DCB">
        <w:rPr>
          <w:rFonts w:ascii="Times New Roman" w:eastAsia="Times New Roman" w:hAnsi="Times New Roman" w:cs="Times New Roman"/>
          <w:kern w:val="0"/>
          <w:sz w:val="24"/>
          <w:szCs w:val="24"/>
          <w14:ligatures w14:val="none"/>
        </w:rPr>
        <w:t xml:space="preserve">ITU., 2023; </w:t>
      </w:r>
      <w:r w:rsidRPr="00687DCB">
        <w:rPr>
          <w:rFonts w:ascii="Times New Roman" w:eastAsia="Times New Roman" w:hAnsi="Times New Roman" w:cs="Times New Roman"/>
          <w:kern w:val="0"/>
          <w:sz w:val="24"/>
          <w:szCs w:val="24"/>
          <w14:ligatures w14:val="none"/>
        </w:rPr>
        <w:t>GSMA</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This evidence aligns with broader trends across Sub-Saharan Africa, where disparities in internet access and digital infrastructure continue to exacerbate educational inequalities (</w:t>
      </w:r>
      <w:r w:rsidR="00972209" w:rsidRPr="00687DCB">
        <w:rPr>
          <w:rFonts w:ascii="Times New Roman" w:eastAsia="Times New Roman" w:hAnsi="Times New Roman" w:cs="Times New Roman"/>
          <w:kern w:val="0"/>
          <w:sz w:val="24"/>
          <w:szCs w:val="24"/>
          <w14:ligatures w14:val="none"/>
        </w:rPr>
        <w:t xml:space="preserve">OECD., 2023; </w:t>
      </w:r>
      <w:r w:rsidRPr="00687DCB">
        <w:rPr>
          <w:rFonts w:ascii="Times New Roman" w:eastAsia="Times New Roman" w:hAnsi="Times New Roman" w:cs="Times New Roman"/>
          <w:kern w:val="0"/>
          <w:sz w:val="24"/>
          <w:szCs w:val="24"/>
          <w14:ligatures w14:val="none"/>
        </w:rPr>
        <w:t>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Recent studies demonstrate that internet penetration in rural regions remains substantially lower than in urban areas, contributing to uneven learning outcomes and reduced educational attainment (ITU</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Furthermore, digital exclusion has been shown to correlate with lower school participation rates and diminished access to quality educational resources (UNESCO</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 findings therefore confirm that digital fragility is not an isolated institutional issue but a systemic phenomenon rooted in infrastructural inequities (AfDB</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Thus, without targeted investments in connectivity and digital tools, efforts to implement sustainable digital education models remain constrained.</w:t>
      </w:r>
    </w:p>
    <w:p w14:paraId="065CCCC4" w14:textId="77777777" w:rsidR="00306DAC" w:rsidRPr="00687DCB" w:rsidRDefault="00306DAC" w:rsidP="00972209">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5.2 Energy Constraints</w:t>
      </w:r>
    </w:p>
    <w:p w14:paraId="31283666" w14:textId="2D85A952" w:rsidR="00306DAC" w:rsidRPr="00687DCB" w:rsidRDefault="00306DAC" w:rsidP="0097220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Energy instability emerged as a critical barrier to the operationalization of digital education systems. The study found that frequent electricity outages at Cheunje Secondary School disrupt teaching and learning processes, hinder the use of digital devices, and negatively affect administrative functions such as record management and communication (IRENA</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Reliable electricity supply is a foundational enabler of ICT integration (AfDB</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However, in many rural Zimbabwean contexts, grid electricity is inconsistent, and alternative energy sources such as solar power remain underdeveloped or insufficiently scaled (IRENA</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AfDB</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Empirical research indicates that access to stable electricity significantly improves educational outcomes by enabling extended study hours, enhancing digital access, and supporting teacher effectiveness (World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AfDB</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Conversely, unreliable power supply leads to interrupted lessons, reduced instructional time, and diminished motivation among both teachers and learners (UNESCO</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OECD</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The findings highlight that energy poverty directly </w:t>
      </w:r>
      <w:r w:rsidRPr="00687DCB">
        <w:rPr>
          <w:rFonts w:ascii="Times New Roman" w:eastAsia="Times New Roman" w:hAnsi="Times New Roman" w:cs="Times New Roman"/>
          <w:kern w:val="0"/>
          <w:sz w:val="24"/>
          <w:szCs w:val="24"/>
          <w14:ligatures w14:val="none"/>
        </w:rPr>
        <w:lastRenderedPageBreak/>
        <w:t>reinforces digital exclusion, thereby limiting the scalability and sustainability of e-learning initiatives (IRENA</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As such, addressing energy constraints is integral to strengthening digital resilience within the DRFIM framework.</w:t>
      </w:r>
    </w:p>
    <w:p w14:paraId="6EBBAD8F" w14:textId="77777777" w:rsidR="00306DAC" w:rsidRPr="00687DCB" w:rsidRDefault="00306DAC" w:rsidP="00972209">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5.3 Leadership Gaps in Foresight</w:t>
      </w:r>
    </w:p>
    <w:p w14:paraId="30FE443B" w14:textId="08E86099" w:rsidR="00306DAC" w:rsidRPr="00687DCB" w:rsidRDefault="00306DAC" w:rsidP="0097220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study identified significant deficiencies in leadership foresight and strategic planning within the school’s governance structures (OECD</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Institutional planning processes were largely short-term, compliance-oriented, and reactive, with minimal incorporation of anticipatory or scenario-based approaches (OECD</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This lack of foresight limits the institution’s ability to respond proactively to technological changes and emerging educational demands (World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Contemporary scholarship emphasizes the importance of foresight-driven leadership in navigating digital transformation, particularly in uncertain and rapidly evolving contexts (OECD</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However, the findings suggest that educational leaders in rural Zimbabwe often operate within constrained policy environments characterised by limited resources, bureaucratic rigidity, and insufficient training in strategic foresight methodologies (MHTESTD</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Thus, the absence of forward-looking governance exacerbates systemic vulnerabilities, as institutions are unable to anticipate disruptions such as technological obsolescence, policy shifts, or environmental shocks (OECD</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Integrating foresight into leadership practices is therefore essential for enhancing institutional resilience and ensuring the long-term sustainability of digital education systems (OECD</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258C59E3" w14:textId="77777777" w:rsidR="00306DAC" w:rsidRPr="00687DCB" w:rsidRDefault="00306DAC" w:rsidP="00972209">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5.4 Emerging Adaptive Practices</w:t>
      </w:r>
    </w:p>
    <w:p w14:paraId="146113C3" w14:textId="767DC7CF" w:rsidR="00306DAC" w:rsidRPr="00687DCB" w:rsidRDefault="00306DAC" w:rsidP="0047315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Despite the identified constraints, the study reveals a range of adaptive and innovative practices that demonstrate resilience and localized problem-solving (GSMA</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UNESCO</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practices provide critical insights into how rural schools navigate structural limitations and leverage available resources to sustain educational delivery (World Bank</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Firstly, mobile-based learning has emerged as a key adaptive strategy. Given the relatively higher penetration of mobile devices compared to computers, teachers and learners increasingly rely on mobile phones for accessing educational content, communication, and informal learning (</w:t>
      </w:r>
      <w:r w:rsidR="00972209" w:rsidRPr="00687DCB">
        <w:rPr>
          <w:rFonts w:ascii="Times New Roman" w:eastAsia="Times New Roman" w:hAnsi="Times New Roman" w:cs="Times New Roman"/>
          <w:kern w:val="0"/>
          <w:sz w:val="24"/>
          <w:szCs w:val="24"/>
          <w14:ligatures w14:val="none"/>
        </w:rPr>
        <w:t>ITU</w:t>
      </w:r>
      <w:r w:rsidR="0047315F" w:rsidRPr="00687DCB">
        <w:rPr>
          <w:rFonts w:ascii="Times New Roman" w:eastAsia="Times New Roman" w:hAnsi="Times New Roman" w:cs="Times New Roman"/>
          <w:kern w:val="0"/>
          <w:sz w:val="24"/>
          <w:szCs w:val="24"/>
          <w14:ligatures w14:val="none"/>
        </w:rPr>
        <w:t>.</w:t>
      </w:r>
      <w:r w:rsidR="00972209" w:rsidRPr="00687DCB">
        <w:rPr>
          <w:rFonts w:ascii="Times New Roman" w:eastAsia="Times New Roman" w:hAnsi="Times New Roman" w:cs="Times New Roman"/>
          <w:kern w:val="0"/>
          <w:sz w:val="24"/>
          <w:szCs w:val="24"/>
          <w14:ligatures w14:val="none"/>
        </w:rPr>
        <w:t xml:space="preserve">, 2023; </w:t>
      </w:r>
      <w:r w:rsidRPr="00687DCB">
        <w:rPr>
          <w:rFonts w:ascii="Times New Roman" w:eastAsia="Times New Roman" w:hAnsi="Times New Roman" w:cs="Times New Roman"/>
          <w:kern w:val="0"/>
          <w:sz w:val="24"/>
          <w:szCs w:val="24"/>
          <w14:ligatures w14:val="none"/>
        </w:rPr>
        <w:t>GSMA</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This aligns with regional trends as mobile technologies are bridging gaps in traditional ICT infrastructure (GSMA</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Secondly, community-supported initiatives play a pivotal role in addressing infrastructural deficits (UNESCO</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AfDB</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At Cheunje Secondary School, partnerships with local stakeholders, including </w:t>
      </w:r>
      <w:r w:rsidRPr="00687DCB">
        <w:rPr>
          <w:rFonts w:ascii="Times New Roman" w:eastAsia="Times New Roman" w:hAnsi="Times New Roman" w:cs="Times New Roman"/>
          <w:kern w:val="0"/>
          <w:sz w:val="24"/>
          <w:szCs w:val="24"/>
          <w14:ligatures w14:val="none"/>
        </w:rPr>
        <w:lastRenderedPageBreak/>
        <w:t>parents, community leaders, and non-governmental organizations, have facilitated access to shared resources such as internet connectivity and alternative energy solutions (World Bank</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These collaborative approaches underscore the importance of community engagement in sustaining digital transformation efforts (UNESCO</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Thirdly, informal teacher training has become a critical mechanism for capacity building. Teachers frequently engage in peer-to-peer learning, self-directed professional development, and experiential learning to acquire digital competencies (OECD</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Evidence from Zimbabwe’s Education 5.0 framework indicates that such grassroots innovations are increasingly shaping pedagogical practices, even in the absence of formal training programs (MHTESTD</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adaptive practices highlight the agency of local actors and demonstrate that resilience can emerge organically, even in resource-constrained settings (World Bank</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UNESCO</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6B3FDF74" w14:textId="77777777" w:rsidR="00306DAC" w:rsidRPr="00687DCB" w:rsidRDefault="00306DAC" w:rsidP="00972209">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5.5 Systemic Interdependencies</w:t>
      </w:r>
    </w:p>
    <w:p w14:paraId="0C6C4726" w14:textId="590EB032" w:rsidR="00306DAC" w:rsidRPr="00687DCB" w:rsidRDefault="00306DAC" w:rsidP="0047315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A key finding of this study is the existence of strong systemic interdependencies between digital infrastructure, energy systems, and governance structures (World Bank</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OECD</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elements interact in complex and mutually reinforcing ways, shaping the overall resilience of the education system (UNESCO</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Energy instability directly undermines the functionality of ICT infrastructure, while limited digital capacity constrains the effectiveness of educational delivery (IRENA</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Simultaneously, weak governance and leadership gaps hinder strategic investments in both energy and digital systems, creating a cycle of underdevelopment (OECD</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Recent literature on digital ecosystems in Africa highlights how infrastructural deficits, affordability challenges, and low digital literacy intersect to deepen socio-economic inequalities (World Bank</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UNESCO</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 findings from this study corroborate these insights, demonstrating that isolated interventions are insufficient to address systemic challenges. Instead, a systems-thinking approach is required—one that integrates digital infrastructure development, energy solutions, and governance reform within a cohesive framework (OECD</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AfDB</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5BE46544" w14:textId="77777777" w:rsidR="00D77B04" w:rsidRPr="00687DCB" w:rsidRDefault="00D77B04" w:rsidP="00B66DE6">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p>
    <w:p w14:paraId="2A4655A6" w14:textId="75410EDF" w:rsidR="00B66DE6" w:rsidRPr="00687DCB" w:rsidRDefault="00B66DE6" w:rsidP="00B66DE6">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7.0 Proposed Model: Digital Resilience and Foresight Integration Model (DRFIM)</w:t>
      </w:r>
    </w:p>
    <w:p w14:paraId="33ACDDA9" w14:textId="77777777" w:rsidR="00190B3B" w:rsidRPr="00687DCB" w:rsidRDefault="00190B3B" w:rsidP="00190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87DCB">
        <w:rPr>
          <w:rFonts w:ascii="Courier New" w:eastAsia="Times New Roman" w:hAnsi="Courier New" w:cs="Courier New"/>
          <w:kern w:val="0"/>
          <w:sz w:val="20"/>
          <w:szCs w:val="20"/>
          <w14:ligatures w14:val="none"/>
        </w:rPr>
        <w:t xml:space="preserve">                 DRIVERS (External Pressures)</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 Climate Change | Digital Transformation |    │</w:t>
      </w:r>
      <w:r w:rsidRPr="00687DCB">
        <w:rPr>
          <w:rFonts w:ascii="Courier New" w:eastAsia="Times New Roman" w:hAnsi="Courier New" w:cs="Courier New"/>
          <w:kern w:val="0"/>
          <w:sz w:val="20"/>
          <w:szCs w:val="20"/>
          <w14:ligatures w14:val="none"/>
        </w:rPr>
        <w:br/>
        <w:t xml:space="preserve"> │ Economic Instability                         │</w:t>
      </w:r>
      <w:r w:rsidRPr="00687DCB">
        <w:rPr>
          <w:rFonts w:ascii="Courier New" w:eastAsia="Times New Roman" w:hAnsi="Courier New" w:cs="Courier New"/>
          <w:kern w:val="0"/>
          <w:sz w:val="20"/>
          <w:szCs w:val="20"/>
          <w14:ligatures w14:val="none"/>
        </w:rPr>
        <w:br/>
      </w:r>
      <w:r w:rsidRPr="00687DCB">
        <w:rPr>
          <w:rFonts w:ascii="Courier New" w:eastAsia="Times New Roman" w:hAnsi="Courier New" w:cs="Courier New"/>
          <w:kern w:val="0"/>
          <w:sz w:val="20"/>
          <w:szCs w:val="20"/>
          <w14:ligatures w14:val="none"/>
        </w:rPr>
        <w:lastRenderedPageBreak/>
        <w:t xml:space="preserve">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FORESIGHT CAPABILITIES</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 • Scenario Planning                          │</w:t>
      </w:r>
      <w:r w:rsidRPr="00687DCB">
        <w:rPr>
          <w:rFonts w:ascii="Courier New" w:eastAsia="Times New Roman" w:hAnsi="Courier New" w:cs="Courier New"/>
          <w:kern w:val="0"/>
          <w:sz w:val="20"/>
          <w:szCs w:val="20"/>
          <w14:ligatures w14:val="none"/>
        </w:rPr>
        <w:br/>
        <w:t xml:space="preserve"> │ • Horizon Scanning                           │</w:t>
      </w:r>
      <w:r w:rsidRPr="00687DCB">
        <w:rPr>
          <w:rFonts w:ascii="Courier New" w:eastAsia="Times New Roman" w:hAnsi="Courier New" w:cs="Courier New"/>
          <w:kern w:val="0"/>
          <w:sz w:val="20"/>
          <w:szCs w:val="20"/>
          <w14:ligatures w14:val="none"/>
        </w:rPr>
        <w:br/>
        <w:t xml:space="preserve"> │ • Futures Literacy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DIGITAL RESILIENCE SYSTEMS</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 • ICT Infrastructure                         │</w:t>
      </w:r>
      <w:r w:rsidRPr="00687DCB">
        <w:rPr>
          <w:rFonts w:ascii="Courier New" w:eastAsia="Times New Roman" w:hAnsi="Courier New" w:cs="Courier New"/>
          <w:kern w:val="0"/>
          <w:sz w:val="20"/>
          <w:szCs w:val="20"/>
          <w14:ligatures w14:val="none"/>
        </w:rPr>
        <w:br/>
        <w:t xml:space="preserve"> │ • Connectivity Ecosystems                    │</w:t>
      </w:r>
      <w:r w:rsidRPr="00687DCB">
        <w:rPr>
          <w:rFonts w:ascii="Courier New" w:eastAsia="Times New Roman" w:hAnsi="Courier New" w:cs="Courier New"/>
          <w:kern w:val="0"/>
          <w:sz w:val="20"/>
          <w:szCs w:val="20"/>
          <w14:ligatures w14:val="none"/>
        </w:rPr>
        <w:br/>
        <w:t xml:space="preserve"> │ • Digital Skills Development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ADAPTIVE GOVERNANCE</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 • Distributed Leadership                     │</w:t>
      </w:r>
      <w:r w:rsidRPr="00687DCB">
        <w:rPr>
          <w:rFonts w:ascii="Courier New" w:eastAsia="Times New Roman" w:hAnsi="Courier New" w:cs="Courier New"/>
          <w:kern w:val="0"/>
          <w:sz w:val="20"/>
          <w:szCs w:val="20"/>
          <w14:ligatures w14:val="none"/>
        </w:rPr>
        <w:br/>
        <w:t xml:space="preserve"> │ • Community Partnerships                     │</w:t>
      </w:r>
      <w:r w:rsidRPr="00687DCB">
        <w:rPr>
          <w:rFonts w:ascii="Courier New" w:eastAsia="Times New Roman" w:hAnsi="Courier New" w:cs="Courier New"/>
          <w:kern w:val="0"/>
          <w:sz w:val="20"/>
          <w:szCs w:val="20"/>
          <w14:ligatures w14:val="none"/>
        </w:rPr>
        <w:br/>
        <w:t xml:space="preserve"> │ • Data-informed Decision-making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INSTITUTIONAL OUTCOMES</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 • Continuous Learning                        │</w:t>
      </w:r>
      <w:r w:rsidRPr="00687DCB">
        <w:rPr>
          <w:rFonts w:ascii="Courier New" w:eastAsia="Times New Roman" w:hAnsi="Courier New" w:cs="Courier New"/>
          <w:kern w:val="0"/>
          <w:sz w:val="20"/>
          <w:szCs w:val="20"/>
          <w14:ligatures w14:val="none"/>
        </w:rPr>
        <w:br/>
        <w:t xml:space="preserve"> │ • Innovation Capacity                        │</w:t>
      </w:r>
      <w:r w:rsidRPr="00687DCB">
        <w:rPr>
          <w:rFonts w:ascii="Courier New" w:eastAsia="Times New Roman" w:hAnsi="Courier New" w:cs="Courier New"/>
          <w:kern w:val="0"/>
          <w:sz w:val="20"/>
          <w:szCs w:val="20"/>
          <w14:ligatures w14:val="none"/>
        </w:rPr>
        <w:br/>
        <w:t xml:space="preserve"> │ • Sustainable School Systems                 │</w:t>
      </w:r>
      <w:r w:rsidRPr="00687DCB">
        <w:rPr>
          <w:rFonts w:ascii="Courier New" w:eastAsia="Times New Roman" w:hAnsi="Courier New" w:cs="Courier New"/>
          <w:kern w:val="0"/>
          <w:sz w:val="20"/>
          <w:szCs w:val="20"/>
          <w14:ligatures w14:val="none"/>
        </w:rPr>
        <w:br/>
        <w:t xml:space="preserve"> └──────────────────────────────────────────────┘</w:t>
      </w:r>
    </w:p>
    <w:p w14:paraId="09C06381" w14:textId="0CC1CECA" w:rsidR="00190B3B" w:rsidRPr="00687DCB" w:rsidRDefault="00190B3B" w:rsidP="00190B3B">
      <w:pPr>
        <w:spacing w:after="0" w:line="240" w:lineRule="auto"/>
        <w:rPr>
          <w:rFonts w:ascii="Times New Roman" w:eastAsia="Times New Roman" w:hAnsi="Times New Roman" w:cs="Times New Roman"/>
          <w:kern w:val="0"/>
          <w:sz w:val="24"/>
          <w:szCs w:val="24"/>
          <w14:ligatures w14:val="none"/>
        </w:rPr>
      </w:pPr>
    </w:p>
    <w:p w14:paraId="0B47A6E8" w14:textId="61773F00" w:rsidR="00190B3B" w:rsidRPr="00687DCB" w:rsidRDefault="00F54ACC" w:rsidP="00190B3B">
      <w:pPr>
        <w:spacing w:after="0" w:line="240" w:lineRule="auto"/>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b/>
          <w:bCs/>
          <w:kern w:val="0"/>
          <w:sz w:val="24"/>
          <w:szCs w:val="24"/>
          <w14:ligatures w14:val="none"/>
        </w:rPr>
        <w:t>Source:</w:t>
      </w:r>
      <w:r w:rsidRPr="00687DCB">
        <w:rPr>
          <w:rFonts w:ascii="Times New Roman" w:eastAsia="Times New Roman" w:hAnsi="Times New Roman" w:cs="Times New Roman"/>
          <w:kern w:val="0"/>
          <w:sz w:val="24"/>
          <w:szCs w:val="24"/>
          <w14:ligatures w14:val="none"/>
        </w:rPr>
        <w:t xml:space="preserve"> Authors</w:t>
      </w:r>
    </w:p>
    <w:p w14:paraId="7B2C2EE8" w14:textId="77777777" w:rsidR="00962264" w:rsidRPr="00687DCB" w:rsidRDefault="00962264" w:rsidP="00962264">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 The Digital Resilience and Foresight Integration Model (DRFIM)</w:t>
      </w:r>
    </w:p>
    <w:p w14:paraId="66A47DA5" w14:textId="24DB5051" w:rsidR="0036702D" w:rsidRPr="00687DCB" w:rsidRDefault="0036702D" w:rsidP="00A2261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Digital Resilience and Foresight Integration Model (DRFIM) represents a holistic and forward-looking framework designed to strengthen sustainable education systems in resource-constrained and disruption-prone contexts, such as rural Zimbabwe (UNESCO</w:t>
      </w:r>
      <w:r w:rsidR="00A22611"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A22611"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Grounded in systems thinking, resilience theory, and anticipatory governance, the model integrates digital transformation with strategic foresight to enhance institutional adaptability, inclusivity, and sustainability (OECD</w:t>
      </w:r>
      <w:r w:rsidR="00A22611"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A22611"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Drawing on insights from Cheunje Secondary School in Murewa Rural District, Mashonaland East Province, the DRFIM responds to the increasing complexity of educational environments shaped by global and local pressures. Thus, the model comprises five interrelated components, that is, drivers, foresight capabilities, digital resilience systems, adaptive governance, and institutional outcomes.</w:t>
      </w:r>
    </w:p>
    <w:p w14:paraId="4F750D7D" w14:textId="77777777" w:rsidR="0036702D" w:rsidRPr="00687DCB" w:rsidRDefault="0036702D" w:rsidP="0036702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7.1.1 Drivers (External Pressures)</w:t>
      </w:r>
    </w:p>
    <w:p w14:paraId="5893597D" w14:textId="7A987A64" w:rsidR="0036702D" w:rsidRPr="00687DCB" w:rsidRDefault="0036702D" w:rsidP="000C0F0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lastRenderedPageBreak/>
        <w:t>The DRFIM is anchored in the recognition that contemporary education systems operate within a volatile, uncertain, complex, and ambiguous (VUCA) environment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Therefore, three primary external drivers such as climate change, digital transformation, and economic instability, significantly influence the functioning and sustainability of rural education systems. Actually, climate change poses a substantial threat to educational continuity, particularly in rural Zimbabwe, where extreme weather events such as droughts and floods disrupt infrastructure, attendance, and resource allocation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IPCC</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These disruptions necessitate the integration of resilience planning into school systems. Concurrently, rapid digital transformation is reshaping the educational landscape by introducing new pedagogical approaches, expanding access to </w:t>
      </w:r>
      <w:r w:rsidRPr="008E3DE5">
        <w:rPr>
          <w:rFonts w:ascii="Times New Roman" w:eastAsia="Times New Roman" w:hAnsi="Times New Roman" w:cs="Times New Roman"/>
          <w:kern w:val="0"/>
          <w:sz w:val="24"/>
          <w:szCs w:val="24"/>
          <w14:ligatures w14:val="none"/>
        </w:rPr>
        <w:t>knowledge, and transforming institutional operations (European Commission</w:t>
      </w:r>
      <w:r w:rsidR="0054753E" w:rsidRPr="008E3DE5">
        <w:rPr>
          <w:rFonts w:ascii="Times New Roman" w:eastAsia="Times New Roman" w:hAnsi="Times New Roman" w:cs="Times New Roman"/>
          <w:kern w:val="0"/>
          <w:sz w:val="24"/>
          <w:szCs w:val="24"/>
          <w14:ligatures w14:val="none"/>
        </w:rPr>
        <w:t>.</w:t>
      </w:r>
      <w:r w:rsidRPr="008E3DE5">
        <w:rPr>
          <w:rFonts w:ascii="Times New Roman" w:eastAsia="Times New Roman" w:hAnsi="Times New Roman" w:cs="Times New Roman"/>
          <w:kern w:val="0"/>
          <w:sz w:val="24"/>
          <w:szCs w:val="24"/>
          <w14:ligatures w14:val="none"/>
        </w:rPr>
        <w:t>, 2022; OECD</w:t>
      </w:r>
      <w:r w:rsidR="0054753E" w:rsidRPr="008E3DE5">
        <w:rPr>
          <w:rFonts w:ascii="Times New Roman" w:eastAsia="Times New Roman" w:hAnsi="Times New Roman" w:cs="Times New Roman"/>
          <w:kern w:val="0"/>
          <w:sz w:val="24"/>
          <w:szCs w:val="24"/>
          <w14:ligatures w14:val="none"/>
        </w:rPr>
        <w:t>.</w:t>
      </w:r>
      <w:r w:rsidRPr="008E3DE5">
        <w:rPr>
          <w:rFonts w:ascii="Times New Roman" w:eastAsia="Times New Roman" w:hAnsi="Times New Roman" w:cs="Times New Roman"/>
          <w:kern w:val="0"/>
          <w:sz w:val="24"/>
          <w:szCs w:val="24"/>
          <w14:ligatures w14:val="none"/>
        </w:rPr>
        <w:t>, 2023). However, this transformation also deepens inequalities, especially in rural areas where digital infrastructure remains underdeveloped (World Bank</w:t>
      </w:r>
      <w:r w:rsidR="0054753E" w:rsidRPr="008E3DE5">
        <w:rPr>
          <w:rFonts w:ascii="Times New Roman" w:eastAsia="Times New Roman" w:hAnsi="Times New Roman" w:cs="Times New Roman"/>
          <w:kern w:val="0"/>
          <w:sz w:val="24"/>
          <w:szCs w:val="24"/>
          <w14:ligatures w14:val="none"/>
        </w:rPr>
        <w:t>.</w:t>
      </w:r>
      <w:r w:rsidRPr="008E3DE5">
        <w:rPr>
          <w:rFonts w:ascii="Times New Roman" w:eastAsia="Times New Roman" w:hAnsi="Times New Roman" w:cs="Times New Roman"/>
          <w:kern w:val="0"/>
          <w:sz w:val="24"/>
          <w:szCs w:val="24"/>
          <w14:ligatures w14:val="none"/>
        </w:rPr>
        <w:t>, 2023; UNESCO</w:t>
      </w:r>
      <w:r w:rsidR="0054753E" w:rsidRPr="008E3DE5">
        <w:rPr>
          <w:rFonts w:ascii="Times New Roman" w:eastAsia="Times New Roman" w:hAnsi="Times New Roman" w:cs="Times New Roman"/>
          <w:kern w:val="0"/>
          <w:sz w:val="24"/>
          <w:szCs w:val="24"/>
          <w14:ligatures w14:val="none"/>
        </w:rPr>
        <w:t>.</w:t>
      </w:r>
      <w:r w:rsidRPr="008E3DE5">
        <w:rPr>
          <w:rFonts w:ascii="Times New Roman" w:eastAsia="Times New Roman" w:hAnsi="Times New Roman" w:cs="Times New Roman"/>
          <w:kern w:val="0"/>
          <w:sz w:val="24"/>
          <w:szCs w:val="24"/>
          <w14:ligatures w14:val="none"/>
        </w:rPr>
        <w:t>, 2023). Economic instability further compounds these challenges by limiting funding, constraining policy implementation, and exacerbating disparities in access to quality education (World Bank</w:t>
      </w:r>
      <w:r w:rsidR="0054753E" w:rsidRPr="008E3DE5">
        <w:rPr>
          <w:rFonts w:ascii="Times New Roman" w:eastAsia="Times New Roman" w:hAnsi="Times New Roman" w:cs="Times New Roman"/>
          <w:kern w:val="0"/>
          <w:sz w:val="24"/>
          <w:szCs w:val="24"/>
          <w14:ligatures w14:val="none"/>
        </w:rPr>
        <w:t>.</w:t>
      </w:r>
      <w:r w:rsidRPr="008E3DE5">
        <w:rPr>
          <w:rFonts w:ascii="Times New Roman" w:eastAsia="Times New Roman" w:hAnsi="Times New Roman" w:cs="Times New Roman"/>
          <w:kern w:val="0"/>
          <w:sz w:val="24"/>
          <w:szCs w:val="24"/>
          <w14:ligatures w14:val="none"/>
        </w:rPr>
        <w:t>, 2023). Collectively, these drivers create systemic uncertainty, compelling education systems</w:t>
      </w:r>
      <w:bookmarkStart w:id="0" w:name="_GoBack"/>
      <w:bookmarkEnd w:id="0"/>
      <w:r w:rsidRPr="00687DCB">
        <w:rPr>
          <w:rFonts w:ascii="Times New Roman" w:eastAsia="Times New Roman" w:hAnsi="Times New Roman" w:cs="Times New Roman"/>
          <w:kern w:val="0"/>
          <w:sz w:val="24"/>
          <w:szCs w:val="24"/>
          <w14:ligatures w14:val="none"/>
        </w:rPr>
        <w:t xml:space="preserve"> to adopt adaptive and forward-looking strategies aligned with global sustainability frameworks such as the Sustainable Development Goals (SDGs)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fact, international policy bodies emphasise the urgency of building resilient and future-ready education systems capable of navigating these intersecting pressures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27DCEB86" w14:textId="77777777" w:rsidR="0036702D" w:rsidRPr="00687DCB" w:rsidRDefault="0036702D" w:rsidP="0036702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7.1.2 Foresight Capabilities</w:t>
      </w:r>
    </w:p>
    <w:p w14:paraId="614448B9" w14:textId="029DE089" w:rsidR="0036702D" w:rsidRPr="00687DCB"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Foresight capabilities constitute the anticipatory core of the DRFIM, enabling education systems to shift from reactive crisis management to proactive strategic planning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capabilities involve the systematic use of tools such as scenario planning, horizon scanning, and futures literacy to anticipate and prepare for emerging challenges and opportunities (Miller</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Scenario planning allows educational institutions to explore multiple plausible futures and develop flexible strategies that remain robust under varying conditions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Horizon scanning supports the early identification of technological, environmental, and socio-economic trends that may impact education systems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Futures literacy, a concept increasingly promoted in global education discourse, enhances stakeholders’ ability to think critically about long-term developments and uncertainty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The integration of artificial intelligence (AI) into foresight processes further strengthens predictive and analytical </w:t>
      </w:r>
      <w:r w:rsidRPr="00687DCB">
        <w:rPr>
          <w:rFonts w:ascii="Times New Roman" w:eastAsia="Times New Roman" w:hAnsi="Times New Roman" w:cs="Times New Roman"/>
          <w:kern w:val="0"/>
          <w:sz w:val="24"/>
          <w:szCs w:val="24"/>
          <w14:ligatures w14:val="none"/>
        </w:rPr>
        <w:lastRenderedPageBreak/>
        <w:t>capabilities, enabling data-driven scenario modelling and more informed decision-making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rural contexts such as Murewa District, these tools can be adapted to local realities, allowing schools to anticipate disruptions such as connectivity challenges, teacher shortages, or climate-related impacts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Therefore, the development of foresight capabilities is essential for fostering anticipatory governance and long-term resilience in education systems (Miller</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Pérez-Ortiz</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2025).</w:t>
      </w:r>
    </w:p>
    <w:p w14:paraId="13A6C145" w14:textId="77777777" w:rsidR="0036702D" w:rsidRPr="00687DCB" w:rsidRDefault="0036702D" w:rsidP="0036702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7.1.3 Digital Resilience Systems</w:t>
      </w:r>
    </w:p>
    <w:p w14:paraId="7F51224B" w14:textId="6E990550" w:rsidR="0036702D" w:rsidRPr="00687DCB"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Digital resilience systems operationalise foresight insights into tangible institutional practices, infrastructures, and competencies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This component encompasses three key dimensions, ICT infrastructure, connectivity ecosystems, and digital skills development. Robust ICT infrastructure is fundamental to ensuring continuity of learning during disruptions, including pandemics, climate-related events, or economic shocks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rural Zimbabwe, however, infrastructural deficits such as unreliable electricity and limited internet access, remain significant barriers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Thus, addressing these challenges requires context-sensitive solutions, including solar-powered technologies, offline digital learning platforms, and community-based connectivity initiatives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Equally important is the development of inclusive connectivity ecosystems that bridge the digital divide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and this involves not only expanding access but also ensuring affordability and equitable distribution of digital resources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Digital skills development for learners, teachers, and school leaders is another critical aspect of digital resilience. Educators must be equipped with pedagogical and technological competencies to effectively integrate digital tools into teaching and learning processes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Thus, research indicates that successful digital transformation in education depends not only on infrastructure but also on institutional support, leadership commitment, and continuous professional development (Bond et al., 2021;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Digital resilience, therefore, extends beyond technological readiness to include cognitive, social, and organizational capacities that enable institutions to adapt, recover, and innovate in the face of digital disruptions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669D9A38" w14:textId="77777777" w:rsidR="0036702D" w:rsidRPr="00687DCB" w:rsidRDefault="0036702D" w:rsidP="0036702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7.1.4 Adaptive Governance</w:t>
      </w:r>
    </w:p>
    <w:p w14:paraId="473243AA" w14:textId="7D6ED6AA" w:rsidR="0036702D" w:rsidRPr="00687DCB"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Adaptive governance within the DRFIM ensures that digital resilience systems are effectively coordinated, sustained, and responsive to changing conditions. This component emphasizes </w:t>
      </w:r>
      <w:r w:rsidRPr="00687DCB">
        <w:rPr>
          <w:rFonts w:ascii="Times New Roman" w:eastAsia="Times New Roman" w:hAnsi="Times New Roman" w:cs="Times New Roman"/>
          <w:kern w:val="0"/>
          <w:sz w:val="24"/>
          <w:szCs w:val="24"/>
          <w14:ligatures w14:val="none"/>
        </w:rPr>
        <w:lastRenderedPageBreak/>
        <w:t>inclusive, flexible, and data-informed governance structures that enable continuous learning and adaptation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A central feature of adaptive governance is distributed leadership, which decentralizes decision-making and empowers multiple stakeholders and including school administrators, teachers, students, and community members in order to contribute to resilience-building processes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rural Zimbabwe, community engagement is particularly noteworthy, as schools often rely on local partnerships for resource mobilization and contextual relevance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effect, community partnerships extend the reach of educational institutions by fostering collaboration with external actors such as non-governmental organizations, private sector partners, and local authorities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partnerships enhance access to resources, expertise, and innovation opportunities. Data-informed decision-making is another critical element of adaptive governance. The use of educational data and analytics enables schools to monitor performance, identify challenges, and implement evidence-based interventions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A systems-thinking approach is essential in this regard, recognizing the interdependence of infrastructure, pedagogy, policy, and governance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Global education strategies increasingly emphasize the importance of collaborative leadership and data-driven governance in promoting innovation, accountability, and resilience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Within the DRFIM, adaptive governance serves as the coordinating mechanism that aligns foresight capabilities and digital resilience systems with institutional goals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6E5AAB1E" w14:textId="77777777" w:rsidR="0036702D" w:rsidRPr="00687DCB" w:rsidRDefault="0036702D" w:rsidP="0036702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7.1.5 Institutional Outcomes</w:t>
      </w:r>
    </w:p>
    <w:p w14:paraId="2763A05A" w14:textId="4A3940A2" w:rsidR="0036702D" w:rsidRPr="00687DCB"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ultimate objective of the DRFIM is to generate transformative institutional outcomes that support sustainable and future-ready education systems. These outcomes include continuous learning, innovation capacity, and system sustainability. Continuous learning reflects the development of adaptive, lifelong learning cultures that enable individuals to navigate rapidly changing socio-economic environments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the context of Cheunje Secondary School, this involves fostering learner autonomy, critical thinking, and digital literacy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Innovation capacity is enhanced as institutions become more adept at generating, implementing, and scaling new ideas in response to emerging challenges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This includes the adoption of innovative pedagogies, the integration of digital technologies, and the development of context-specific solutions to local problems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2022). Finally, the DRFIM promotes the creation of sustainable school systems characterised by resilience to disruptions, efficient resource </w:t>
      </w:r>
      <w:r w:rsidRPr="00687DCB">
        <w:rPr>
          <w:rFonts w:ascii="Times New Roman" w:eastAsia="Times New Roman" w:hAnsi="Times New Roman" w:cs="Times New Roman"/>
          <w:kern w:val="0"/>
          <w:sz w:val="24"/>
          <w:szCs w:val="24"/>
          <w14:ligatures w14:val="none"/>
        </w:rPr>
        <w:lastRenderedPageBreak/>
        <w:t>utilization, and alignment with environmental and social sustainability principles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outcomes are closely aligned with global frameworks such as the SDGs, particularly Goal 4, which emphasizes inclusive and equitable quality education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Thus, by integrating foresight and digital resilience, the DRFIM provides a comprehensive pathway for strengthening education systems in rural and marginalized contexts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It enables institutions not only to withstand shocks but also to transform and thrive in an era of uncertainty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326E29E1" w14:textId="77777777" w:rsidR="0036702D" w:rsidRPr="00687DCB" w:rsidRDefault="0036702D" w:rsidP="0054753E">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8.0 Policy Implications and Practice</w:t>
      </w:r>
    </w:p>
    <w:p w14:paraId="47497215" w14:textId="72215D5A" w:rsidR="0036702D" w:rsidRPr="00687DCB"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Digital Resilience and Foresight Integration Model (DRFIM) presents far-reaching policy implications for strengthening adaptive and sustainable education systems in rural contexts such as Cheunje Secondary School in Murewa District, Zimbabwe. At the policy level, a critical priority is the strategic investment in decentralized, solar-powered digital infrastructure to mitigate the persistent challenge of unreliable electricity supply that undermines effective ICT integration. Renewable energy-enabled education systems not only enhance continuity of learning but also contribute to climate-resilient development pathways, in line with global education and sustainability agendas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Furthermore, embedding foresight methodologies within national education strategies is essential for cultivating anticipatory governance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Thus, institutionalising futures literacy and scenario planning among education leaders enables systems to respond proactively to uncertainty, rather than reactively to crises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Equally important is the development of robust digital ecosystems that extend beyond hardware provision to include reliable connectivity, continuous professional development for teachers, and sustainable technical support structures (European Commission, 2022;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Policymakers must also prioritise the use of integrated education data systems to support evidence-based planning, monitoring, and adaptive decision-making, thereby reinforcing long-term system resilience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67AA6532" w14:textId="1D9CE5A5" w:rsidR="0036702D" w:rsidRPr="00687DCB"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From a practice perspective, operationalising the DRFIM requires context-responsive and holistic implementation strategies at both institutional and community levels. Schools must move beyond the acquisition of digital tools to focus on building human capacity, ensuring that educators and administrators possess the digital competencies and pedagogical skills necessary to effectively integrate technology into teaching and learning processes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Thus, leadership development initiatives should emphasize adaptive leadership, systems </w:t>
      </w:r>
      <w:r w:rsidRPr="00687DCB">
        <w:rPr>
          <w:rFonts w:ascii="Times New Roman" w:eastAsia="Times New Roman" w:hAnsi="Times New Roman" w:cs="Times New Roman"/>
          <w:kern w:val="0"/>
          <w:sz w:val="24"/>
          <w:szCs w:val="24"/>
          <w14:ligatures w14:val="none"/>
        </w:rPr>
        <w:lastRenderedPageBreak/>
        <w:t>thinking, and collaborative problem-solving, equipping school leaders with skills to manage complexity and foster innovation in resource-constrained environments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Additionally, strengthening community-based partnerships is vital for enhancing sustainability and local ownership of digital resilience initiatives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Hence, engaging parents, local enterprises, and civil society organizations facilitates the co-creation of contextually relevant solutions and reinforces support networks that sustain school improvement efforts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Therefore, aligning curricula with emerging digital and green skills is also critical to preparing learners for evolving labour market demands and advancing sustainable development goals (</w:t>
      </w:r>
      <w:r w:rsidR="002D4F0F" w:rsidRPr="00687DCB">
        <w:rPr>
          <w:rFonts w:ascii="Times New Roman" w:eastAsia="Times New Roman" w:hAnsi="Times New Roman" w:cs="Times New Roman"/>
          <w:kern w:val="0"/>
          <w:sz w:val="24"/>
          <w:szCs w:val="24"/>
          <w14:ligatures w14:val="none"/>
        </w:rPr>
        <w:t xml:space="preserve">OECD., 2023; UNESCO., 2023; </w:t>
      </w:r>
      <w:r w:rsidRPr="00687DCB">
        <w:rPr>
          <w:rFonts w:ascii="Times New Roman" w:eastAsia="Times New Roman" w:hAnsi="Times New Roman" w:cs="Times New Roman"/>
          <w:kern w:val="0"/>
          <w:sz w:val="24"/>
          <w:szCs w:val="24"/>
          <w14:ligatures w14:val="none"/>
        </w:rPr>
        <w:t>I</w:t>
      </w:r>
      <w:r w:rsidR="0054753E" w:rsidRPr="00687DCB">
        <w:rPr>
          <w:rFonts w:ascii="Times New Roman" w:eastAsia="Times New Roman" w:hAnsi="Times New Roman" w:cs="Times New Roman"/>
          <w:kern w:val="0"/>
          <w:sz w:val="24"/>
          <w:szCs w:val="24"/>
          <w14:ligatures w14:val="none"/>
        </w:rPr>
        <w:t>LO.</w:t>
      </w:r>
      <w:r w:rsidRPr="00687DCB">
        <w:rPr>
          <w:rFonts w:ascii="Times New Roman" w:eastAsia="Times New Roman" w:hAnsi="Times New Roman" w:cs="Times New Roman"/>
          <w:kern w:val="0"/>
          <w:sz w:val="24"/>
          <w:szCs w:val="24"/>
          <w14:ligatures w14:val="none"/>
        </w:rPr>
        <w:t>, 2023). Thus, this is consistent with global calls to integrate skills for the future of work into education systems, particularly in developing regions (ILO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46A7607F" w14:textId="67091C41" w:rsidR="00B66DE6" w:rsidRPr="00687DCB" w:rsidRDefault="00B66DE6" w:rsidP="00B66DE6">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9.0 Conclusion</w:t>
      </w:r>
    </w:p>
    <w:p w14:paraId="74E73BD1" w14:textId="3DD3398B" w:rsidR="00A008AB" w:rsidRPr="00687DCB" w:rsidRDefault="00A008AB" w:rsidP="0032007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hAnsi="Times New Roman" w:cs="Times New Roman"/>
          <w:sz w:val="24"/>
          <w:szCs w:val="24"/>
        </w:rPr>
        <w:t xml:space="preserve">In sum, the findings of this study underscore the critical role of the Digital Resilience and Foresight Integration Model (DRFIM) as a comprehensive framework for advancing the adaptability, sustainability, and inclusivity of rural educational systems in Zimbabwe. </w:t>
      </w:r>
      <w:r w:rsidR="0033126C" w:rsidRPr="00687DCB">
        <w:rPr>
          <w:rFonts w:ascii="Times New Roman" w:hAnsi="Times New Roman" w:cs="Times New Roman"/>
          <w:sz w:val="24"/>
          <w:szCs w:val="24"/>
        </w:rPr>
        <w:t>Thus, b</w:t>
      </w:r>
      <w:r w:rsidRPr="00687DCB">
        <w:rPr>
          <w:rFonts w:ascii="Times New Roman" w:hAnsi="Times New Roman" w:cs="Times New Roman"/>
          <w:sz w:val="24"/>
          <w:szCs w:val="24"/>
        </w:rPr>
        <w:t>y coupling digital resilience with strategic foresight, DRFIM provides schools with the capacity to anticipate and respond proactively to technological, infrastructural, and socio-economic disruptions, thereby mitigating vulnerabilities that have historically constrained rural education. Evidence from Cheunje Secondary School demonstrates that implementing DRFIM principles not only enhances institutional responsiveness and continuous learning but also aligns educational practices with broader national development priorities, including digital inclusion and sustainable learning outcomes. Comparative analyses suggest that embedding this model within governance structures and community engagement mechanisms facilitates a shift from reactive problem-solving to anticipatory, transformative planning, consistent with frameworks such as Vision 2030 and Education 5.0. Consequently, this research highlights that the deliberate integration of digital resilience and foresight-oriented governance represents a pragmatic and empirically supported pathway for fostering equitable, future-ready learning environments, offering policy-makers, practitioners, and scholars a robust model for driving systemic educational transformation in resource-constrained rural contexts.</w:t>
      </w:r>
    </w:p>
    <w:p w14:paraId="07D8E5C2" w14:textId="27CD8364" w:rsidR="0078556F" w:rsidRPr="00687DCB" w:rsidRDefault="0078556F" w:rsidP="0078556F">
      <w:pPr>
        <w:pStyle w:val="NormalWeb"/>
      </w:pPr>
      <w:r w:rsidRPr="00687DCB">
        <w:rPr>
          <w:rStyle w:val="Strong"/>
          <w:rFonts w:eastAsiaTheme="majorEastAsia"/>
        </w:rPr>
        <w:t xml:space="preserve">References </w:t>
      </w:r>
    </w:p>
    <w:p w14:paraId="523AAC54" w14:textId="77777777" w:rsidR="007E6380" w:rsidRPr="00687DCB" w:rsidRDefault="007E6380" w:rsidP="008C52DA">
      <w:pPr>
        <w:pStyle w:val="NormalWeb"/>
        <w:spacing w:line="360" w:lineRule="auto"/>
        <w:jc w:val="both"/>
      </w:pPr>
      <w:r w:rsidRPr="00687DCB">
        <w:t xml:space="preserve">African Development Bank (AfDB). (2023). </w:t>
      </w:r>
      <w:r w:rsidRPr="00687DCB">
        <w:rPr>
          <w:rStyle w:val="Emphasis"/>
          <w:rFonts w:eastAsiaTheme="majorEastAsia"/>
        </w:rPr>
        <w:t>Light up and power Africa: Progress report on energy access</w:t>
      </w:r>
      <w:r w:rsidRPr="00687DCB">
        <w:t>. AfDB.</w:t>
      </w:r>
    </w:p>
    <w:p w14:paraId="2FF1FE90" w14:textId="77777777" w:rsidR="007E6380" w:rsidRPr="00687DCB" w:rsidRDefault="007E6380" w:rsidP="008C52DA">
      <w:pPr>
        <w:pStyle w:val="NormalWeb"/>
        <w:spacing w:line="360" w:lineRule="auto"/>
        <w:jc w:val="both"/>
      </w:pPr>
      <w:r w:rsidRPr="00687DCB">
        <w:lastRenderedPageBreak/>
        <w:t xml:space="preserve">Angrosino, M. (2016). </w:t>
      </w:r>
      <w:r w:rsidRPr="00687DCB">
        <w:rPr>
          <w:rStyle w:val="Emphasis"/>
          <w:rFonts w:eastAsiaTheme="majorEastAsia"/>
        </w:rPr>
        <w:t>Naturalistic observation</w:t>
      </w:r>
      <w:r w:rsidRPr="00687DCB">
        <w:t>. Routledge.</w:t>
      </w:r>
    </w:p>
    <w:p w14:paraId="71BFB14D" w14:textId="6932C295"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Bond, M., Marín, V., I., Dolch, C., Bedenlier, S., &amp; Zawacki-Richter, O. (2021). </w:t>
      </w:r>
      <w:r w:rsidRPr="00687DCB">
        <w:rPr>
          <w:rFonts w:ascii="Times New Roman" w:eastAsia="Times New Roman" w:hAnsi="Times New Roman" w:cs="Times New Roman"/>
          <w:i/>
          <w:iCs/>
          <w:kern w:val="0"/>
          <w:sz w:val="24"/>
          <w:szCs w:val="24"/>
          <w14:ligatures w14:val="none"/>
        </w:rPr>
        <w:t>Digital transformation in German higher education: Student and teacher perceptions and usage of digital media.</w:t>
      </w:r>
      <w:r w:rsidRPr="00687DCB">
        <w:rPr>
          <w:rFonts w:ascii="Times New Roman" w:eastAsia="Times New Roman" w:hAnsi="Times New Roman" w:cs="Times New Roman"/>
          <w:kern w:val="0"/>
          <w:sz w:val="24"/>
          <w:szCs w:val="24"/>
          <w14:ligatures w14:val="none"/>
        </w:rPr>
        <w:t xml:space="preserve"> International Journal of Educational Technology in Higher Education</w:t>
      </w:r>
      <w:r w:rsidRPr="00687DCB">
        <w:rPr>
          <w:rFonts w:ascii="Times New Roman" w:eastAsia="Times New Roman" w:hAnsi="Times New Roman" w:cs="Times New Roman"/>
          <w:i/>
          <w:iCs/>
          <w:kern w:val="0"/>
          <w:sz w:val="24"/>
          <w:szCs w:val="24"/>
          <w14:ligatures w14:val="none"/>
        </w:rPr>
        <w:t>, 18</w:t>
      </w:r>
      <w:r w:rsidRPr="00687DCB">
        <w:rPr>
          <w:rFonts w:ascii="Times New Roman" w:eastAsia="Times New Roman" w:hAnsi="Times New Roman" w:cs="Times New Roman"/>
          <w:kern w:val="0"/>
          <w:sz w:val="24"/>
          <w:szCs w:val="24"/>
          <w14:ligatures w14:val="none"/>
        </w:rPr>
        <w:t>(1), 1–20. https://doi.org/10.1186/s41239-021-00255-1</w:t>
      </w:r>
    </w:p>
    <w:p w14:paraId="6201D2C1" w14:textId="77777777" w:rsidR="007E6380" w:rsidRPr="00687DCB" w:rsidRDefault="007E6380" w:rsidP="008C52DA">
      <w:pPr>
        <w:pStyle w:val="NormalWeb"/>
        <w:spacing w:line="360" w:lineRule="auto"/>
        <w:jc w:val="both"/>
      </w:pPr>
      <w:r w:rsidRPr="00687DCB">
        <w:t xml:space="preserve">Bowen, G. A. (2009). </w:t>
      </w:r>
      <w:r w:rsidRPr="00687DCB">
        <w:rPr>
          <w:i/>
          <w:iCs/>
        </w:rPr>
        <w:t>Document analysis as a qualitative research method</w:t>
      </w:r>
      <w:r w:rsidRPr="00687DCB">
        <w:t xml:space="preserve">. </w:t>
      </w:r>
      <w:r w:rsidRPr="00687DCB">
        <w:rPr>
          <w:rStyle w:val="Emphasis"/>
          <w:rFonts w:eastAsiaTheme="majorEastAsia"/>
          <w:i w:val="0"/>
          <w:iCs w:val="0"/>
        </w:rPr>
        <w:t xml:space="preserve">Qualitative Research Journal, </w:t>
      </w:r>
      <w:r w:rsidRPr="00687DCB">
        <w:rPr>
          <w:rStyle w:val="Emphasis"/>
          <w:rFonts w:eastAsiaTheme="majorEastAsia"/>
        </w:rPr>
        <w:t>9</w:t>
      </w:r>
      <w:r w:rsidRPr="00687DCB">
        <w:t>(2), 27–40.</w:t>
      </w:r>
    </w:p>
    <w:p w14:paraId="267B50A9" w14:textId="77777777" w:rsidR="007E6380" w:rsidRPr="00687DCB" w:rsidRDefault="007E6380" w:rsidP="008C52DA">
      <w:pPr>
        <w:pStyle w:val="NormalWeb"/>
        <w:spacing w:line="360" w:lineRule="auto"/>
        <w:jc w:val="both"/>
      </w:pPr>
      <w:r w:rsidRPr="00687DCB">
        <w:t xml:space="preserve">Bozkurt, A., Jung, I., Xiao, J., Vladimirschi, V., Schuwer, R., Egorov, G., &amp; Paskevicius, M. (2022). </w:t>
      </w:r>
      <w:r w:rsidRPr="00687DCB">
        <w:rPr>
          <w:i/>
          <w:iCs/>
        </w:rPr>
        <w:t>A global outlook to the interruption of education due to COVID-19 pandemic: Navigating in a time of uncertainty and crisis</w:t>
      </w:r>
      <w:r w:rsidRPr="00687DCB">
        <w:t xml:space="preserve">. </w:t>
      </w:r>
      <w:r w:rsidRPr="00687DCB">
        <w:rPr>
          <w:rStyle w:val="Emphasis"/>
          <w:rFonts w:eastAsiaTheme="majorEastAsia"/>
          <w:i w:val="0"/>
          <w:iCs w:val="0"/>
        </w:rPr>
        <w:t>Asian Journal of Distance Education</w:t>
      </w:r>
      <w:r w:rsidRPr="00687DCB">
        <w:t>, 17(1), 1–126.</w:t>
      </w:r>
    </w:p>
    <w:p w14:paraId="63D21BAA" w14:textId="77777777" w:rsidR="007E6380" w:rsidRPr="00687DCB" w:rsidRDefault="007E6380" w:rsidP="008C52DA">
      <w:pPr>
        <w:pStyle w:val="NormalWeb"/>
        <w:spacing w:line="360" w:lineRule="auto"/>
        <w:jc w:val="both"/>
      </w:pPr>
      <w:r w:rsidRPr="00687DCB">
        <w:t xml:space="preserve">Braun, V., &amp; Clarke, V. (2021). </w:t>
      </w:r>
      <w:r w:rsidRPr="00687DCB">
        <w:rPr>
          <w:rStyle w:val="Emphasis"/>
          <w:rFonts w:eastAsiaTheme="majorEastAsia"/>
        </w:rPr>
        <w:t>Thematic analysis: A practical guide</w:t>
      </w:r>
      <w:r w:rsidRPr="00687DCB">
        <w:t>. SAGE Publications.</w:t>
      </w:r>
    </w:p>
    <w:p w14:paraId="0E7C3269" w14:textId="77777777" w:rsidR="007E6380" w:rsidRPr="00687DCB" w:rsidRDefault="007E6380" w:rsidP="008C52DA">
      <w:pPr>
        <w:pStyle w:val="NormalWeb"/>
        <w:spacing w:line="360" w:lineRule="auto"/>
        <w:jc w:val="both"/>
      </w:pPr>
      <w:r w:rsidRPr="00687DCB">
        <w:t xml:space="preserve">Braun, V., &amp; Clarke, V. (2022). Conceptual and design thinking for thematic analysis. </w:t>
      </w:r>
      <w:r w:rsidRPr="00687DCB">
        <w:rPr>
          <w:rStyle w:val="Emphasis"/>
          <w:rFonts w:eastAsiaTheme="majorEastAsia"/>
        </w:rPr>
        <w:t>Qualitative Psychology, 9</w:t>
      </w:r>
      <w:r w:rsidRPr="00687DCB">
        <w:t>(1), 3–26.</w:t>
      </w:r>
    </w:p>
    <w:p w14:paraId="4DA69DF7" w14:textId="77777777" w:rsidR="007E6380" w:rsidRPr="00687DCB" w:rsidRDefault="007E6380" w:rsidP="008C52DA">
      <w:pPr>
        <w:pStyle w:val="NormalWeb"/>
        <w:spacing w:line="360" w:lineRule="auto"/>
        <w:jc w:val="both"/>
      </w:pPr>
      <w:r w:rsidRPr="00687DCB">
        <w:t xml:space="preserve">Corbin, J., &amp; Strauss, A. (2015). </w:t>
      </w:r>
      <w:r w:rsidRPr="00687DCB">
        <w:rPr>
          <w:rStyle w:val="Emphasis"/>
          <w:rFonts w:eastAsiaTheme="majorEastAsia"/>
        </w:rPr>
        <w:t>Basics of qualitative research</w:t>
      </w:r>
      <w:r w:rsidRPr="00687DCB">
        <w:t xml:space="preserve"> (4th ed.). Sage.</w:t>
      </w:r>
    </w:p>
    <w:p w14:paraId="0C06F2F0" w14:textId="77777777" w:rsidR="007E6380" w:rsidRPr="00687DCB" w:rsidRDefault="007E6380" w:rsidP="008C52DA">
      <w:pPr>
        <w:pStyle w:val="NormalWeb"/>
        <w:spacing w:line="360" w:lineRule="auto"/>
        <w:jc w:val="both"/>
      </w:pPr>
      <w:r w:rsidRPr="00687DCB">
        <w:t xml:space="preserve">Creswell, J. W., &amp; Poth, C. N. (2018). </w:t>
      </w:r>
      <w:r w:rsidRPr="00687DCB">
        <w:rPr>
          <w:rStyle w:val="Emphasis"/>
          <w:rFonts w:eastAsiaTheme="majorEastAsia"/>
        </w:rPr>
        <w:t>Qualitative inquiry and research design: Choosing among five approaches</w:t>
      </w:r>
      <w:r w:rsidRPr="00687DCB">
        <w:t xml:space="preserve"> (4th ed.). SAGE Publications.</w:t>
      </w:r>
    </w:p>
    <w:p w14:paraId="01A28B60" w14:textId="77777777" w:rsidR="007E6380" w:rsidRPr="00687DCB" w:rsidRDefault="007E6380" w:rsidP="008C52DA">
      <w:pPr>
        <w:pStyle w:val="NormalWeb"/>
        <w:spacing w:line="360" w:lineRule="auto"/>
        <w:jc w:val="both"/>
      </w:pPr>
      <w:r w:rsidRPr="00687DCB">
        <w:t xml:space="preserve">CSM Tech. (2024). </w:t>
      </w:r>
      <w:r w:rsidRPr="00687DCB">
        <w:rPr>
          <w:i/>
          <w:iCs/>
        </w:rPr>
        <w:t>Bridging the digital divide: Access to internet and tech education</w:t>
      </w:r>
      <w:r w:rsidRPr="00687DCB">
        <w:t xml:space="preserve">. </w:t>
      </w:r>
    </w:p>
    <w:p w14:paraId="53C99F77" w14:textId="046D30B6" w:rsidR="007E6380" w:rsidRPr="00687DCB" w:rsidRDefault="007E6380" w:rsidP="008C52DA">
      <w:pPr>
        <w:pStyle w:val="NormalWeb"/>
        <w:spacing w:line="360" w:lineRule="auto"/>
        <w:jc w:val="both"/>
      </w:pPr>
      <w:r w:rsidRPr="00687DCB">
        <w:t xml:space="preserve">Denzin, N., K., &amp; Lincoln, Y., S. (2023). </w:t>
      </w:r>
      <w:r w:rsidRPr="00687DCB">
        <w:rPr>
          <w:rStyle w:val="Emphasis"/>
          <w:rFonts w:eastAsiaTheme="majorEastAsia"/>
        </w:rPr>
        <w:t>The Sage handbook of qualitative research</w:t>
      </w:r>
      <w:r w:rsidRPr="00687DCB">
        <w:t xml:space="preserve"> (6th ed.). Sage.</w:t>
      </w:r>
    </w:p>
    <w:p w14:paraId="78F77DE8" w14:textId="77777777" w:rsidR="007E6380" w:rsidRPr="00687DCB" w:rsidRDefault="007E6380" w:rsidP="008C52DA">
      <w:pPr>
        <w:pStyle w:val="NormalWeb"/>
        <w:spacing w:line="360" w:lineRule="auto"/>
        <w:jc w:val="both"/>
      </w:pPr>
      <w:r w:rsidRPr="00687DCB">
        <w:t xml:space="preserve">Duchek, S. (2020). </w:t>
      </w:r>
      <w:r w:rsidRPr="00687DCB">
        <w:rPr>
          <w:i/>
          <w:iCs/>
        </w:rPr>
        <w:t>Organizational resilience: A capability-based conceptualization</w:t>
      </w:r>
      <w:r w:rsidRPr="00687DCB">
        <w:t xml:space="preserve">. </w:t>
      </w:r>
      <w:r w:rsidRPr="00687DCB">
        <w:rPr>
          <w:rStyle w:val="Emphasis"/>
          <w:rFonts w:eastAsiaTheme="majorEastAsia"/>
          <w:i w:val="0"/>
          <w:iCs w:val="0"/>
        </w:rPr>
        <w:t>Business Research</w:t>
      </w:r>
      <w:r w:rsidRPr="00687DCB">
        <w:rPr>
          <w:i/>
          <w:iCs/>
        </w:rPr>
        <w:t>,</w:t>
      </w:r>
      <w:r w:rsidRPr="00687DCB">
        <w:t xml:space="preserve"> 13(1), 215–246. </w:t>
      </w:r>
      <w:hyperlink r:id="rId7" w:tgtFrame="_new" w:history="1">
        <w:r w:rsidRPr="00687DCB">
          <w:rPr>
            <w:rStyle w:val="Hyperlink"/>
            <w:rFonts w:eastAsiaTheme="majorEastAsia"/>
          </w:rPr>
          <w:t>https://doi.org/10.1007/s40685-019-0085-7</w:t>
        </w:r>
      </w:hyperlink>
    </w:p>
    <w:p w14:paraId="49A6253E" w14:textId="77777777" w:rsidR="007E6380" w:rsidRPr="00687DCB" w:rsidRDefault="007E6380" w:rsidP="008C52DA">
      <w:pPr>
        <w:pStyle w:val="NormalWeb"/>
        <w:spacing w:line="360" w:lineRule="auto"/>
        <w:jc w:val="both"/>
      </w:pPr>
      <w:r w:rsidRPr="00687DCB">
        <w:t xml:space="preserve">Etikan, I., &amp; Bala, K. (2022). </w:t>
      </w:r>
      <w:r w:rsidRPr="00687DCB">
        <w:rPr>
          <w:i/>
          <w:iCs/>
        </w:rPr>
        <w:t>Sampling and sampling methods</w:t>
      </w:r>
      <w:r w:rsidRPr="00687DCB">
        <w:t xml:space="preserve">. </w:t>
      </w:r>
      <w:r w:rsidRPr="00687DCB">
        <w:rPr>
          <w:rStyle w:val="Emphasis"/>
          <w:rFonts w:eastAsiaTheme="majorEastAsia"/>
          <w:i w:val="0"/>
          <w:iCs w:val="0"/>
        </w:rPr>
        <w:t>Biometrics &amp; Biostatistics International Journal,</w:t>
      </w:r>
      <w:r w:rsidRPr="00687DCB">
        <w:rPr>
          <w:rStyle w:val="Emphasis"/>
          <w:rFonts w:eastAsiaTheme="majorEastAsia"/>
        </w:rPr>
        <w:t xml:space="preserve"> 11</w:t>
      </w:r>
      <w:r w:rsidRPr="00687DCB">
        <w:t>(1), 1–5.</w:t>
      </w:r>
    </w:p>
    <w:p w14:paraId="05EF8E06"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lastRenderedPageBreak/>
        <w:t xml:space="preserve">European Commission. (2022). </w:t>
      </w:r>
      <w:r w:rsidRPr="00687DCB">
        <w:rPr>
          <w:rFonts w:ascii="Times New Roman" w:eastAsia="Times New Roman" w:hAnsi="Times New Roman" w:cs="Times New Roman"/>
          <w:i/>
          <w:iCs/>
          <w:kern w:val="0"/>
          <w:sz w:val="24"/>
          <w:szCs w:val="24"/>
          <w14:ligatures w14:val="none"/>
        </w:rPr>
        <w:t>Digital Education Action Plan (2021–2027): Resetting education and training for the digital age</w:t>
      </w:r>
      <w:r w:rsidRPr="00687DCB">
        <w:rPr>
          <w:rFonts w:ascii="Times New Roman" w:eastAsia="Times New Roman" w:hAnsi="Times New Roman" w:cs="Times New Roman"/>
          <w:kern w:val="0"/>
          <w:sz w:val="24"/>
          <w:szCs w:val="24"/>
          <w14:ligatures w14:val="none"/>
        </w:rPr>
        <w:t>. Brussels: European Commission.</w:t>
      </w:r>
    </w:p>
    <w:p w14:paraId="52282F21" w14:textId="4E483833" w:rsidR="007E6380" w:rsidRPr="00687DCB" w:rsidRDefault="007E6380" w:rsidP="008C52DA">
      <w:pPr>
        <w:pStyle w:val="NormalWeb"/>
        <w:spacing w:line="360" w:lineRule="auto"/>
        <w:jc w:val="both"/>
      </w:pPr>
      <w:r w:rsidRPr="00687DCB">
        <w:t xml:space="preserve">Fuerth, L., S., &amp; Faber, E., M. (2012). </w:t>
      </w:r>
      <w:r w:rsidRPr="00687DCB">
        <w:rPr>
          <w:rStyle w:val="Emphasis"/>
          <w:rFonts w:eastAsiaTheme="majorEastAsia"/>
        </w:rPr>
        <w:t>Anticipatory governance: Practical upgrades</w:t>
      </w:r>
      <w:r w:rsidRPr="00687DCB">
        <w:t>. National Defense University Press.</w:t>
      </w:r>
    </w:p>
    <w:p w14:paraId="6AA4F29B" w14:textId="77777777" w:rsidR="007E6380" w:rsidRPr="00687DCB" w:rsidRDefault="007E6380" w:rsidP="008C52DA">
      <w:pPr>
        <w:pStyle w:val="NormalWeb"/>
        <w:spacing w:line="360" w:lineRule="auto"/>
        <w:jc w:val="both"/>
      </w:pPr>
      <w:r w:rsidRPr="00687DCB">
        <w:t xml:space="preserve">Fullan, M. (2020). </w:t>
      </w:r>
      <w:r w:rsidRPr="00687DCB">
        <w:rPr>
          <w:rStyle w:val="Emphasis"/>
          <w:rFonts w:eastAsiaTheme="majorEastAsia"/>
        </w:rPr>
        <w:t>Leading in a culture of change</w:t>
      </w:r>
      <w:r w:rsidRPr="00687DCB">
        <w:t xml:space="preserve"> (2nd ed.). Jossey-Bass.</w:t>
      </w:r>
    </w:p>
    <w:p w14:paraId="54FC1A8B" w14:textId="77777777" w:rsidR="007E6380" w:rsidRPr="00687DCB" w:rsidRDefault="007E6380" w:rsidP="008C52DA">
      <w:pPr>
        <w:pStyle w:val="NormalWeb"/>
        <w:spacing w:line="360" w:lineRule="auto"/>
        <w:jc w:val="both"/>
      </w:pPr>
      <w:r w:rsidRPr="00687DCB">
        <w:t xml:space="preserve">GSMA. (2024). </w:t>
      </w:r>
      <w:r w:rsidRPr="00687DCB">
        <w:rPr>
          <w:rStyle w:val="Emphasis"/>
          <w:rFonts w:eastAsiaTheme="majorEastAsia"/>
        </w:rPr>
        <w:t>The mobile economy Sub-Saharan Africa 2024</w:t>
      </w:r>
      <w:r w:rsidRPr="00687DCB">
        <w:t>. GSM Association.</w:t>
      </w:r>
    </w:p>
    <w:p w14:paraId="66933876" w14:textId="77777777" w:rsidR="007E6380" w:rsidRPr="00687DCB" w:rsidRDefault="007E6380" w:rsidP="008C52DA">
      <w:pPr>
        <w:pStyle w:val="NormalWeb"/>
        <w:spacing w:line="360" w:lineRule="auto"/>
        <w:jc w:val="both"/>
      </w:pPr>
      <w:r w:rsidRPr="00687DCB">
        <w:t xml:space="preserve">Hodges, C., Moore, S., Lockee, B., Trust, T., &amp; Bond, A. (2020). </w:t>
      </w:r>
      <w:r w:rsidRPr="00687DCB">
        <w:rPr>
          <w:i/>
          <w:iCs/>
        </w:rPr>
        <w:t>The difference between emergency remote teaching and online learning</w:t>
      </w:r>
      <w:r w:rsidRPr="00687DCB">
        <w:t xml:space="preserve">. </w:t>
      </w:r>
      <w:r w:rsidRPr="00687DCB">
        <w:rPr>
          <w:rStyle w:val="Emphasis"/>
          <w:rFonts w:eastAsiaTheme="majorEastAsia"/>
          <w:i w:val="0"/>
          <w:iCs w:val="0"/>
        </w:rPr>
        <w:t>Educause Review</w:t>
      </w:r>
      <w:r w:rsidRPr="00687DCB">
        <w:t>, 27(1), 1–12.</w:t>
      </w:r>
    </w:p>
    <w:p w14:paraId="38E9EB46" w14:textId="77777777" w:rsidR="007E6380" w:rsidRPr="00687DCB" w:rsidRDefault="007E6380" w:rsidP="008C52DA">
      <w:pPr>
        <w:pStyle w:val="NormalWeb"/>
        <w:spacing w:line="360" w:lineRule="auto"/>
        <w:jc w:val="both"/>
      </w:pPr>
      <w:r w:rsidRPr="00687DCB">
        <w:t xml:space="preserve">IEA. (2023). </w:t>
      </w:r>
      <w:r w:rsidRPr="00687DCB">
        <w:rPr>
          <w:rStyle w:val="Emphasis"/>
          <w:rFonts w:eastAsiaTheme="majorEastAsia"/>
        </w:rPr>
        <w:t>Africa energy outlook 2023</w:t>
      </w:r>
      <w:r w:rsidRPr="00687DCB">
        <w:t>. Paris: International Energy Agency (IEA).</w:t>
      </w:r>
    </w:p>
    <w:p w14:paraId="00F39F32" w14:textId="77777777" w:rsidR="007E6380" w:rsidRPr="00687DCB" w:rsidRDefault="007E6380" w:rsidP="008C52DA">
      <w:pPr>
        <w:pStyle w:val="NormalWeb"/>
        <w:spacing w:line="360" w:lineRule="auto"/>
        <w:jc w:val="both"/>
      </w:pPr>
      <w:r w:rsidRPr="00687DCB">
        <w:t xml:space="preserve">ILO. (2023). </w:t>
      </w:r>
      <w:r w:rsidRPr="00687DCB">
        <w:rPr>
          <w:rStyle w:val="Emphasis"/>
          <w:rFonts w:eastAsiaTheme="majorEastAsia"/>
        </w:rPr>
        <w:t>Global employment trends for youth 2023: Investing in transforming futures for young people</w:t>
      </w:r>
      <w:r w:rsidRPr="00687DCB">
        <w:t>. Geneva: International Labour Organization (ILO).</w:t>
      </w:r>
    </w:p>
    <w:p w14:paraId="1D2EEE93" w14:textId="77777777" w:rsidR="007E6380" w:rsidRPr="00687DCB" w:rsidRDefault="007E6380" w:rsidP="008C52DA">
      <w:pPr>
        <w:pStyle w:val="NormalWeb"/>
        <w:spacing w:line="360" w:lineRule="auto"/>
        <w:jc w:val="both"/>
      </w:pPr>
      <w:r w:rsidRPr="00687DCB">
        <w:t xml:space="preserve">ILO. (2023). </w:t>
      </w:r>
      <w:r w:rsidRPr="00687DCB">
        <w:rPr>
          <w:rStyle w:val="Emphasis"/>
          <w:rFonts w:eastAsiaTheme="majorEastAsia"/>
        </w:rPr>
        <w:t>Skills for a greener future: A global view</w:t>
      </w:r>
      <w:r w:rsidRPr="00687DCB">
        <w:t>. Geneva: International Labour Organization (ILO).</w:t>
      </w:r>
    </w:p>
    <w:p w14:paraId="2C8333BA" w14:textId="77777777" w:rsidR="007E6380" w:rsidRPr="00687DCB" w:rsidRDefault="007E6380" w:rsidP="008C52DA">
      <w:pPr>
        <w:pStyle w:val="NormalWeb"/>
        <w:spacing w:line="360" w:lineRule="auto"/>
        <w:jc w:val="both"/>
      </w:pPr>
      <w:r w:rsidRPr="00687DCB">
        <w:t xml:space="preserve">IPCC. (2022). </w:t>
      </w:r>
      <w:r w:rsidRPr="00687DCB">
        <w:rPr>
          <w:rStyle w:val="Emphasis"/>
          <w:rFonts w:eastAsiaTheme="majorEastAsia"/>
        </w:rPr>
        <w:t>Climate change 2022: Impacts, adaptation, and vulnerability</w:t>
      </w:r>
      <w:r w:rsidRPr="00687DCB">
        <w:t>. Cambridge University Press.</w:t>
      </w:r>
    </w:p>
    <w:p w14:paraId="40643FFF" w14:textId="77777777" w:rsidR="007E6380" w:rsidRPr="00687DCB" w:rsidRDefault="007E6380" w:rsidP="008C52DA">
      <w:pPr>
        <w:pStyle w:val="NormalWeb"/>
        <w:spacing w:line="360" w:lineRule="auto"/>
        <w:jc w:val="both"/>
      </w:pPr>
      <w:r w:rsidRPr="00687DCB">
        <w:t xml:space="preserve">IPCC. (2023). </w:t>
      </w:r>
      <w:r w:rsidRPr="00687DCB">
        <w:rPr>
          <w:rStyle w:val="Emphasis"/>
          <w:rFonts w:eastAsiaTheme="majorEastAsia"/>
        </w:rPr>
        <w:t>Sixth Assessment Report: Climate change 2023 synthesis report</w:t>
      </w:r>
      <w:r w:rsidRPr="00687DCB">
        <w:t>. Geneva: Intergovernmental Panel on Climate Change.</w:t>
      </w:r>
    </w:p>
    <w:p w14:paraId="60F7FE87"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IRENA. (2023). </w:t>
      </w:r>
      <w:r w:rsidRPr="00687DCB">
        <w:rPr>
          <w:rFonts w:ascii="Times New Roman" w:eastAsia="Times New Roman" w:hAnsi="Times New Roman" w:cs="Times New Roman"/>
          <w:i/>
          <w:iCs/>
          <w:kern w:val="0"/>
          <w:sz w:val="24"/>
          <w:szCs w:val="24"/>
          <w14:ligatures w14:val="none"/>
        </w:rPr>
        <w:t>Renewable energy solutions for rural education in Africa</w:t>
      </w:r>
      <w:r w:rsidRPr="00687DCB">
        <w:rPr>
          <w:rFonts w:ascii="Times New Roman" w:eastAsia="Times New Roman" w:hAnsi="Times New Roman" w:cs="Times New Roman"/>
          <w:kern w:val="0"/>
          <w:sz w:val="24"/>
          <w:szCs w:val="24"/>
          <w14:ligatures w14:val="none"/>
        </w:rPr>
        <w:t>. Abu Dhabi: International Renewable Energy Agency (IRENA).</w:t>
      </w:r>
    </w:p>
    <w:p w14:paraId="24EC5DF5" w14:textId="77777777" w:rsidR="007E6380" w:rsidRPr="00687DCB" w:rsidRDefault="007E6380" w:rsidP="008C52DA">
      <w:pPr>
        <w:pStyle w:val="NormalWeb"/>
        <w:spacing w:line="360" w:lineRule="auto"/>
        <w:jc w:val="both"/>
      </w:pPr>
      <w:r w:rsidRPr="00687DCB">
        <w:t xml:space="preserve">ITU. (2023). </w:t>
      </w:r>
      <w:r w:rsidRPr="00687DCB">
        <w:rPr>
          <w:rStyle w:val="Emphasis"/>
          <w:rFonts w:eastAsiaTheme="majorEastAsia"/>
        </w:rPr>
        <w:t>Measuring digital development: Facts and figures 2023</w:t>
      </w:r>
      <w:r w:rsidRPr="00687DCB">
        <w:t>. International Telecommunication Union (ITU).</w:t>
      </w:r>
    </w:p>
    <w:p w14:paraId="1ADD3C79" w14:textId="478E42B0" w:rsidR="007E6380" w:rsidRPr="00687DCB" w:rsidRDefault="007E6380" w:rsidP="008C52DA">
      <w:pPr>
        <w:pStyle w:val="NormalWeb"/>
        <w:spacing w:line="360" w:lineRule="auto"/>
        <w:jc w:val="both"/>
      </w:pPr>
      <w:r w:rsidRPr="00687DCB">
        <w:t>Kallio, H., Pietilä, A.</w:t>
      </w:r>
      <w:r w:rsidR="00D6305B" w:rsidRPr="00687DCB">
        <w:t>,</w:t>
      </w:r>
      <w:r w:rsidRPr="00687DCB">
        <w:t xml:space="preserve"> M., Johnson, M., &amp; Kangasniemi, M. (2016). </w:t>
      </w:r>
      <w:r w:rsidRPr="00687DCB">
        <w:rPr>
          <w:i/>
          <w:iCs/>
        </w:rPr>
        <w:t>Systematic methodological review: Developing a framework for a qualitative semi‐structured interview guide</w:t>
      </w:r>
      <w:r w:rsidRPr="00687DCB">
        <w:t xml:space="preserve">. </w:t>
      </w:r>
      <w:r w:rsidRPr="00687DCB">
        <w:rPr>
          <w:rStyle w:val="Emphasis"/>
          <w:rFonts w:eastAsiaTheme="majorEastAsia"/>
          <w:i w:val="0"/>
          <w:iCs w:val="0"/>
        </w:rPr>
        <w:t>Journal of Advanced Nursing</w:t>
      </w:r>
      <w:r w:rsidRPr="00687DCB">
        <w:rPr>
          <w:rStyle w:val="Emphasis"/>
          <w:rFonts w:eastAsiaTheme="majorEastAsia"/>
        </w:rPr>
        <w:t>, 72</w:t>
      </w:r>
      <w:r w:rsidRPr="00687DCB">
        <w:t>(12), 2954–2965.</w:t>
      </w:r>
    </w:p>
    <w:p w14:paraId="3D4A6A54" w14:textId="4145E8B2" w:rsidR="007E6380" w:rsidRPr="00687DCB" w:rsidRDefault="007E6380" w:rsidP="008C52DA">
      <w:pPr>
        <w:pStyle w:val="NormalWeb"/>
        <w:spacing w:line="360" w:lineRule="auto"/>
        <w:jc w:val="both"/>
      </w:pPr>
      <w:r w:rsidRPr="00687DCB">
        <w:lastRenderedPageBreak/>
        <w:t>Kelly, A.</w:t>
      </w:r>
      <w:r w:rsidR="00D6305B" w:rsidRPr="00687DCB">
        <w:t>,</w:t>
      </w:r>
      <w:r w:rsidRPr="00687DCB">
        <w:t xml:space="preserve"> M., &amp; Rutazihana, P.</w:t>
      </w:r>
      <w:r w:rsidR="00D6305B" w:rsidRPr="00687DCB">
        <w:t>,</w:t>
      </w:r>
      <w:r w:rsidRPr="00687DCB">
        <w:t xml:space="preserve"> N. (2024). </w:t>
      </w:r>
      <w:r w:rsidRPr="00687DCB">
        <w:rPr>
          <w:i/>
          <w:iCs/>
        </w:rPr>
        <w:t>Digital divide and its implications for education in the post-COVID-19 era in Sub-Saharan Africa</w:t>
      </w:r>
      <w:r w:rsidRPr="00687DCB">
        <w:t xml:space="preserve">. </w:t>
      </w:r>
      <w:r w:rsidRPr="00687DCB">
        <w:rPr>
          <w:rStyle w:val="Emphasis"/>
          <w:rFonts w:eastAsiaTheme="majorEastAsia"/>
          <w:i w:val="0"/>
          <w:iCs w:val="0"/>
        </w:rPr>
        <w:t>Innovation and Education</w:t>
      </w:r>
      <w:r w:rsidRPr="00687DCB">
        <w:rPr>
          <w:rStyle w:val="Emphasis"/>
          <w:rFonts w:eastAsiaTheme="majorEastAsia"/>
        </w:rPr>
        <w:t>, 6</w:t>
      </w:r>
      <w:r w:rsidRPr="00687DCB">
        <w:t xml:space="preserve">(2), 108–132. https://doi.org/10.1163/25248502-bja00007 </w:t>
      </w:r>
    </w:p>
    <w:p w14:paraId="6ADDED55" w14:textId="77777777" w:rsidR="007E6380" w:rsidRPr="00687DCB" w:rsidRDefault="007E6380" w:rsidP="008C52DA">
      <w:pPr>
        <w:pStyle w:val="NormalWeb"/>
        <w:spacing w:line="360" w:lineRule="auto"/>
        <w:jc w:val="both"/>
      </w:pPr>
      <w:r w:rsidRPr="00687DCB">
        <w:t xml:space="preserve">Kelly, S., &amp; Rutazihana, E. (2024). </w:t>
      </w:r>
      <w:r w:rsidRPr="00687DCB">
        <w:rPr>
          <w:i/>
          <w:iCs/>
        </w:rPr>
        <w:t>Digital access and educational outcomes in Sub-Saharan Africa: Bridging the divide</w:t>
      </w:r>
      <w:r w:rsidRPr="00687DCB">
        <w:t xml:space="preserve">. </w:t>
      </w:r>
      <w:r w:rsidRPr="00687DCB">
        <w:rPr>
          <w:rStyle w:val="Emphasis"/>
          <w:rFonts w:eastAsiaTheme="majorEastAsia"/>
          <w:i w:val="0"/>
          <w:iCs w:val="0"/>
        </w:rPr>
        <w:t>Journal of African Development Studies</w:t>
      </w:r>
      <w:r w:rsidRPr="00687DCB">
        <w:rPr>
          <w:rStyle w:val="Emphasis"/>
          <w:rFonts w:eastAsiaTheme="majorEastAsia"/>
        </w:rPr>
        <w:t>, 12</w:t>
      </w:r>
      <w:r w:rsidRPr="00687DCB">
        <w:t>(2), 45–62.</w:t>
      </w:r>
    </w:p>
    <w:p w14:paraId="5EE6C765" w14:textId="77777777" w:rsidR="007E6380" w:rsidRPr="00687DCB" w:rsidRDefault="007E6380" w:rsidP="008C52DA">
      <w:pPr>
        <w:pStyle w:val="NormalWeb"/>
        <w:spacing w:line="360" w:lineRule="auto"/>
        <w:jc w:val="both"/>
      </w:pPr>
      <w:r w:rsidRPr="00687DCB">
        <w:t xml:space="preserve">Lund, S., &amp; Cruz, M. (2025). </w:t>
      </w:r>
      <w:r w:rsidRPr="00687DCB">
        <w:rPr>
          <w:i/>
          <w:iCs/>
        </w:rPr>
        <w:t>Bridging the digital divide in Africa: Enhancing technology adoption for economic growth</w:t>
      </w:r>
      <w:r w:rsidRPr="00687DCB">
        <w:t xml:space="preserve">. </w:t>
      </w:r>
      <w:r w:rsidRPr="00687DCB">
        <w:rPr>
          <w:rStyle w:val="Emphasis"/>
          <w:rFonts w:eastAsiaTheme="majorEastAsia"/>
          <w:i w:val="0"/>
          <w:iCs w:val="0"/>
        </w:rPr>
        <w:t>Brookings Institution</w:t>
      </w:r>
      <w:r w:rsidRPr="00687DCB">
        <w:t xml:space="preserve">. </w:t>
      </w:r>
    </w:p>
    <w:p w14:paraId="567C4EB9" w14:textId="77777777" w:rsidR="007E6380" w:rsidRPr="00687DCB" w:rsidRDefault="007E6380" w:rsidP="008C52DA">
      <w:pPr>
        <w:pStyle w:val="NormalWeb"/>
        <w:spacing w:line="360" w:lineRule="auto"/>
        <w:jc w:val="both"/>
      </w:pPr>
      <w:r w:rsidRPr="00687DCB">
        <w:t xml:space="preserve">Mele, C., Pels, J., &amp; Polese, F. (2010). </w:t>
      </w:r>
      <w:r w:rsidRPr="00687DCB">
        <w:rPr>
          <w:i/>
          <w:iCs/>
        </w:rPr>
        <w:t>A brief review of systems theories and their managerial applications.</w:t>
      </w:r>
      <w:r w:rsidRPr="00687DCB">
        <w:t xml:space="preserve"> </w:t>
      </w:r>
      <w:r w:rsidRPr="00687DCB">
        <w:rPr>
          <w:rStyle w:val="Emphasis"/>
          <w:rFonts w:eastAsiaTheme="majorEastAsia"/>
          <w:i w:val="0"/>
          <w:iCs w:val="0"/>
        </w:rPr>
        <w:t>Service Science</w:t>
      </w:r>
      <w:r w:rsidRPr="00687DCB">
        <w:t>, 2(1–2), 126–135.</w:t>
      </w:r>
    </w:p>
    <w:p w14:paraId="79E4F1A9" w14:textId="77777777" w:rsidR="007E6380" w:rsidRPr="00687DCB" w:rsidRDefault="007E6380" w:rsidP="008C52DA">
      <w:pPr>
        <w:pStyle w:val="NormalWeb"/>
        <w:spacing w:line="360" w:lineRule="auto"/>
        <w:jc w:val="both"/>
      </w:pPr>
      <w:r w:rsidRPr="00687DCB">
        <w:t xml:space="preserve">MHTEISTD. (2021). </w:t>
      </w:r>
      <w:r w:rsidRPr="00687DCB">
        <w:rPr>
          <w:rStyle w:val="Emphasis"/>
          <w:rFonts w:eastAsiaTheme="majorEastAsia"/>
        </w:rPr>
        <w:t>Education 5.0 policy framework</w:t>
      </w:r>
      <w:r w:rsidRPr="00687DCB">
        <w:t>. Harare: Ministry of Higher and Tertiary Education, Innovation, Science and Technology Development. Government of Zimbabwe</w:t>
      </w:r>
    </w:p>
    <w:p w14:paraId="5F17D428" w14:textId="77777777" w:rsidR="007E6380" w:rsidRPr="00687DCB" w:rsidRDefault="007E6380" w:rsidP="008C52DA">
      <w:pPr>
        <w:pStyle w:val="NormalWeb"/>
        <w:spacing w:line="360" w:lineRule="auto"/>
        <w:jc w:val="both"/>
      </w:pPr>
      <w:r w:rsidRPr="00687DCB">
        <w:t xml:space="preserve">MHTEISTD. (2023). </w:t>
      </w:r>
      <w:r w:rsidRPr="00687DCB">
        <w:rPr>
          <w:rStyle w:val="Emphasis"/>
          <w:rFonts w:eastAsiaTheme="majorEastAsia"/>
        </w:rPr>
        <w:t>Education 5.0 implementation report</w:t>
      </w:r>
      <w:r w:rsidRPr="00687DCB">
        <w:t>. Ministry of Higher and Tertiary Education, Innovation, Science and Technology Development. Government of Zimbabwe.</w:t>
      </w:r>
    </w:p>
    <w:p w14:paraId="3032F4CC" w14:textId="77777777" w:rsidR="007E6380" w:rsidRPr="00687DCB" w:rsidRDefault="007E6380" w:rsidP="008C52DA">
      <w:pPr>
        <w:pStyle w:val="NormalWeb"/>
        <w:spacing w:line="360" w:lineRule="auto"/>
        <w:jc w:val="both"/>
      </w:pPr>
      <w:r w:rsidRPr="00687DCB">
        <w:t xml:space="preserve">Miller, R. (2018). </w:t>
      </w:r>
      <w:r w:rsidRPr="00687DCB">
        <w:rPr>
          <w:rStyle w:val="Emphasis"/>
          <w:rFonts w:eastAsiaTheme="majorEastAsia"/>
        </w:rPr>
        <w:t>Transforming the future: Anticipation in the 21st century</w:t>
      </w:r>
      <w:r w:rsidRPr="00687DCB">
        <w:t>. UNESCO Publishing.</w:t>
      </w:r>
    </w:p>
    <w:p w14:paraId="2DE61006" w14:textId="77777777" w:rsidR="007E6380" w:rsidRPr="00687DCB" w:rsidRDefault="007E6380" w:rsidP="008C52DA">
      <w:pPr>
        <w:pStyle w:val="NormalWeb"/>
        <w:spacing w:line="360" w:lineRule="auto"/>
        <w:jc w:val="both"/>
      </w:pPr>
      <w:r w:rsidRPr="00687DCB">
        <w:t xml:space="preserve">Morgan, D. L. (2019). </w:t>
      </w:r>
      <w:r w:rsidRPr="00687DCB">
        <w:rPr>
          <w:rStyle w:val="Emphasis"/>
          <w:rFonts w:eastAsiaTheme="majorEastAsia"/>
        </w:rPr>
        <w:t>Basic and advanced focus groups</w:t>
      </w:r>
      <w:r w:rsidRPr="00687DCB">
        <w:t>. SAGE Publications.</w:t>
      </w:r>
    </w:p>
    <w:p w14:paraId="6E018ED1" w14:textId="77777777" w:rsidR="007E6380" w:rsidRPr="00687DCB" w:rsidRDefault="007E6380" w:rsidP="00B437D4">
      <w:pPr>
        <w:spacing w:after="0" w:line="276" w:lineRule="auto"/>
        <w:ind w:right="2"/>
        <w:jc w:val="both"/>
        <w:rPr>
          <w:rFonts w:ascii="Times New Roman" w:hAnsi="Times New Roman" w:cs="Times New Roman"/>
          <w:sz w:val="24"/>
          <w:szCs w:val="24"/>
        </w:rPr>
      </w:pPr>
      <w:r w:rsidRPr="00687DCB">
        <w:rPr>
          <w:rFonts w:ascii="Times New Roman" w:hAnsi="Times New Roman" w:cs="Times New Roman"/>
          <w:sz w:val="24"/>
          <w:szCs w:val="24"/>
        </w:rPr>
        <w:t xml:space="preserve">Munyoro, G. (2014). </w:t>
      </w:r>
      <w:r w:rsidRPr="00687DCB">
        <w:rPr>
          <w:rFonts w:ascii="Times New Roman" w:hAnsi="Times New Roman" w:cs="Times New Roman"/>
          <w:i/>
          <w:iCs/>
          <w:sz w:val="24"/>
          <w:szCs w:val="24"/>
        </w:rPr>
        <w:t>Evaluation of the Effectiveness of Handouts in Enhancing Teaching and Learning in Higher Education:</w:t>
      </w:r>
      <w:r w:rsidRPr="00687DCB">
        <w:rPr>
          <w:rFonts w:ascii="Times New Roman" w:hAnsi="Times New Roman" w:cs="Times New Roman"/>
          <w:sz w:val="24"/>
          <w:szCs w:val="24"/>
        </w:rPr>
        <w:t xml:space="preserve">  Africa Development and Resources Research Institute:  pISSN: 2343-6662 ISSNL: 2343-6662 VOL. 6,No.6(2), pp 95-107</w:t>
      </w:r>
    </w:p>
    <w:p w14:paraId="47CABC38" w14:textId="77777777" w:rsidR="00D6305B" w:rsidRPr="00687DCB" w:rsidRDefault="00D6305B" w:rsidP="00B437D4">
      <w:pPr>
        <w:spacing w:after="0" w:line="276" w:lineRule="auto"/>
        <w:ind w:right="2"/>
        <w:jc w:val="both"/>
        <w:rPr>
          <w:rFonts w:ascii="Times New Roman" w:hAnsi="Times New Roman" w:cs="Times New Roman"/>
          <w:sz w:val="24"/>
          <w:szCs w:val="24"/>
        </w:rPr>
      </w:pPr>
    </w:p>
    <w:p w14:paraId="69BC4A71" w14:textId="77777777" w:rsidR="00D6305B" w:rsidRPr="00687DCB" w:rsidRDefault="007E6380" w:rsidP="00B437D4">
      <w:pPr>
        <w:spacing w:after="4" w:line="276" w:lineRule="auto"/>
        <w:ind w:right="2"/>
        <w:jc w:val="both"/>
        <w:rPr>
          <w:rFonts w:ascii="Times New Roman" w:hAnsi="Times New Roman" w:cs="Times New Roman"/>
          <w:sz w:val="24"/>
          <w:szCs w:val="24"/>
        </w:rPr>
      </w:pPr>
      <w:r w:rsidRPr="00687DCB">
        <w:rPr>
          <w:rFonts w:ascii="Times New Roman" w:hAnsi="Times New Roman" w:cs="Times New Roman"/>
          <w:sz w:val="24"/>
          <w:szCs w:val="24"/>
        </w:rPr>
        <w:t xml:space="preserve">Munyoro, G. (2014). </w:t>
      </w:r>
      <w:r w:rsidRPr="00687DCB">
        <w:rPr>
          <w:rFonts w:ascii="Times New Roman" w:hAnsi="Times New Roman" w:cs="Times New Roman"/>
          <w:i/>
          <w:iCs/>
          <w:sz w:val="24"/>
          <w:szCs w:val="24"/>
        </w:rPr>
        <w:t>The Effectiveness of E-Learning in Higher Education: A Case Study of University of Dundee, Scotland, United Kingdom</w:t>
      </w:r>
      <w:r w:rsidRPr="00687DCB">
        <w:rPr>
          <w:rFonts w:ascii="Times New Roman" w:hAnsi="Times New Roman" w:cs="Times New Roman"/>
          <w:sz w:val="24"/>
          <w:szCs w:val="24"/>
        </w:rPr>
        <w:t>:  Africa Development and Resources Research Institute:  pISSN: 2343-6891 ISSN-L: 2343-6891 VOL. 1,No.1(1), pp 1-11</w:t>
      </w:r>
    </w:p>
    <w:p w14:paraId="4CD0E38F" w14:textId="47A395F2" w:rsidR="007E6380" w:rsidRPr="00687DCB" w:rsidRDefault="007E6380" w:rsidP="00B437D4">
      <w:pPr>
        <w:spacing w:after="4" w:line="276" w:lineRule="auto"/>
        <w:ind w:right="2"/>
        <w:jc w:val="both"/>
        <w:rPr>
          <w:rFonts w:ascii="Times New Roman" w:hAnsi="Times New Roman" w:cs="Times New Roman"/>
          <w:sz w:val="24"/>
          <w:szCs w:val="24"/>
        </w:rPr>
      </w:pPr>
      <w:r w:rsidRPr="00687DCB">
        <w:rPr>
          <w:rFonts w:ascii="Times New Roman" w:hAnsi="Times New Roman" w:cs="Times New Roman"/>
          <w:sz w:val="24"/>
          <w:szCs w:val="24"/>
        </w:rPr>
        <w:t xml:space="preserve"> </w:t>
      </w:r>
    </w:p>
    <w:p w14:paraId="04B6B3B4" w14:textId="77777777" w:rsidR="007E6380" w:rsidRPr="00687DCB" w:rsidRDefault="007E6380" w:rsidP="00B437D4">
      <w:pPr>
        <w:spacing w:after="4" w:line="276" w:lineRule="auto"/>
        <w:ind w:right="2"/>
        <w:jc w:val="both"/>
        <w:rPr>
          <w:rFonts w:ascii="Times New Roman" w:hAnsi="Times New Roman" w:cs="Times New Roman"/>
          <w:sz w:val="24"/>
          <w:szCs w:val="24"/>
        </w:rPr>
      </w:pPr>
      <w:r w:rsidRPr="00687DCB">
        <w:rPr>
          <w:rFonts w:ascii="Times New Roman" w:hAnsi="Times New Roman" w:cs="Times New Roman"/>
          <w:sz w:val="24"/>
          <w:szCs w:val="24"/>
        </w:rPr>
        <w:t xml:space="preserve">Munyoro, G. (2014). </w:t>
      </w:r>
      <w:r w:rsidRPr="00687DCB">
        <w:rPr>
          <w:rFonts w:ascii="Times New Roman" w:hAnsi="Times New Roman" w:cs="Times New Roman"/>
          <w:i/>
          <w:iCs/>
          <w:sz w:val="24"/>
          <w:szCs w:val="24"/>
        </w:rPr>
        <w:t>The Significance of Group work in the Assessment of Students in Higher Education: A Case Study of University of Dundee, Scotland, United Kingdom</w:t>
      </w:r>
      <w:r w:rsidRPr="00687DCB">
        <w:rPr>
          <w:rFonts w:ascii="Times New Roman" w:hAnsi="Times New Roman" w:cs="Times New Roman"/>
          <w:sz w:val="24"/>
          <w:szCs w:val="24"/>
        </w:rPr>
        <w:t>:  Africa Development and Resources Research Institute:  pISSN: 2343-6891 ISSN-L: 2343-6891 VOL. 11,No.11(2), pp 57-65</w:t>
      </w:r>
    </w:p>
    <w:p w14:paraId="7018B031" w14:textId="77777777" w:rsidR="007E6380" w:rsidRPr="00687DCB" w:rsidRDefault="007E6380" w:rsidP="008C52DA">
      <w:pPr>
        <w:pStyle w:val="NormalWeb"/>
        <w:spacing w:line="360" w:lineRule="auto"/>
        <w:jc w:val="both"/>
      </w:pPr>
      <w:r w:rsidRPr="00687DCB">
        <w:t xml:space="preserve">Munyoro, G., Chikasha, J., &amp; Ndlovu, T. (2026). </w:t>
      </w:r>
      <w:r w:rsidRPr="00687DCB">
        <w:rPr>
          <w:i/>
          <w:iCs/>
        </w:rPr>
        <w:t>Institutional resilience in education systems: A developing country perspective.</w:t>
      </w:r>
      <w:r w:rsidRPr="00687DCB">
        <w:t xml:space="preserve"> </w:t>
      </w:r>
      <w:r w:rsidRPr="00687DCB">
        <w:rPr>
          <w:rStyle w:val="Emphasis"/>
          <w:rFonts w:eastAsiaTheme="majorEastAsia"/>
          <w:i w:val="0"/>
          <w:iCs w:val="0"/>
        </w:rPr>
        <w:t>Journal of Educational Sustainability</w:t>
      </w:r>
      <w:r w:rsidRPr="00687DCB">
        <w:t>, 14(2), 45–62.</w:t>
      </w:r>
    </w:p>
    <w:p w14:paraId="7E2C43A7" w14:textId="77777777" w:rsidR="007E6380" w:rsidRPr="00687DCB" w:rsidRDefault="007E6380" w:rsidP="008C52DA">
      <w:pPr>
        <w:pStyle w:val="NormalWeb"/>
        <w:spacing w:line="360" w:lineRule="auto"/>
        <w:jc w:val="both"/>
      </w:pPr>
      <w:r w:rsidRPr="00687DCB">
        <w:lastRenderedPageBreak/>
        <w:t xml:space="preserve">Munyoro, G., Chikodzi, D., &amp; Mataruse, T. (2026). </w:t>
      </w:r>
      <w:r w:rsidRPr="00687DCB">
        <w:rPr>
          <w:i/>
          <w:iCs/>
        </w:rPr>
        <w:t>Systemic resilience in education systems: Integrating digital transformation and governance in developing contexts</w:t>
      </w:r>
      <w:r w:rsidRPr="00687DCB">
        <w:t xml:space="preserve">. </w:t>
      </w:r>
      <w:r w:rsidRPr="00687DCB">
        <w:rPr>
          <w:rStyle w:val="Emphasis"/>
          <w:rFonts w:eastAsiaTheme="majorEastAsia"/>
          <w:i w:val="0"/>
          <w:iCs w:val="0"/>
        </w:rPr>
        <w:t>International Journal of Educational Development,</w:t>
      </w:r>
      <w:r w:rsidRPr="00687DCB">
        <w:rPr>
          <w:rStyle w:val="Emphasis"/>
          <w:rFonts w:eastAsiaTheme="majorEastAsia"/>
        </w:rPr>
        <w:t xml:space="preserve"> 98</w:t>
      </w:r>
      <w:r w:rsidRPr="00687DCB">
        <w:t>, 102745.</w:t>
      </w:r>
    </w:p>
    <w:p w14:paraId="032C679D" w14:textId="77777777" w:rsidR="007E6380" w:rsidRPr="00687DCB" w:rsidRDefault="007E6380" w:rsidP="00B437D4">
      <w:pPr>
        <w:spacing w:after="4" w:line="276" w:lineRule="auto"/>
        <w:ind w:right="2"/>
        <w:jc w:val="both"/>
        <w:rPr>
          <w:rFonts w:ascii="Times New Roman" w:hAnsi="Times New Roman" w:cs="Times New Roman"/>
          <w:sz w:val="24"/>
          <w:szCs w:val="24"/>
        </w:rPr>
      </w:pPr>
      <w:r w:rsidRPr="00687DCB">
        <w:rPr>
          <w:rFonts w:ascii="Times New Roman" w:hAnsi="Times New Roman" w:cs="Times New Roman"/>
          <w:sz w:val="24"/>
          <w:szCs w:val="24"/>
        </w:rPr>
        <w:t xml:space="preserve">Munyoro, G., Madhlangobe, L., &amp; Ngandu, M. (2026). </w:t>
      </w:r>
      <w:r w:rsidRPr="00687DCB">
        <w:rPr>
          <w:rFonts w:ascii="Times New Roman" w:hAnsi="Times New Roman" w:cs="Times New Roman"/>
          <w:i/>
          <w:iCs/>
          <w:kern w:val="36"/>
          <w:sz w:val="24"/>
          <w:szCs w:val="24"/>
          <w14:ligatures w14:val="none"/>
        </w:rPr>
        <w:t>Strategic Foresight and Institutional Resilience in Education Systems: Future-Proofing Guzha (St Stephens) Primary School, Murewa, Mashonaland East, Zimbabwe</w:t>
      </w:r>
      <w:r w:rsidRPr="00687DCB">
        <w:rPr>
          <w:rFonts w:ascii="Times New Roman" w:hAnsi="Times New Roman" w:cs="Times New Roman"/>
          <w:kern w:val="36"/>
          <w:sz w:val="24"/>
          <w:szCs w:val="24"/>
          <w14:ligatures w14:val="none"/>
        </w:rPr>
        <w:t xml:space="preserve">: </w:t>
      </w:r>
      <w:r w:rsidRPr="00687DCB">
        <w:rPr>
          <w:rFonts w:ascii="Times New Roman" w:hAnsi="Times New Roman" w:cs="Times New Roman"/>
          <w:sz w:val="24"/>
          <w:szCs w:val="24"/>
        </w:rPr>
        <w:t>Chalimbana Journal for Humanities and Social Sciences (CJHSS)</w:t>
      </w:r>
      <w:r w:rsidRPr="00687DCB">
        <w:rPr>
          <w:rFonts w:ascii="Times New Roman" w:hAnsi="Times New Roman" w:cs="Times New Roman"/>
          <w:color w:val="333333"/>
          <w:sz w:val="24"/>
          <w:szCs w:val="24"/>
        </w:rPr>
        <w:t xml:space="preserve">, </w:t>
      </w:r>
      <w:r w:rsidRPr="00687DCB">
        <w:rPr>
          <w:rFonts w:ascii="Times New Roman" w:hAnsi="Times New Roman" w:cs="Times New Roman"/>
          <w:sz w:val="24"/>
          <w:szCs w:val="24"/>
        </w:rPr>
        <w:t>3(1): 128-162</w:t>
      </w:r>
    </w:p>
    <w:p w14:paraId="598FB4F2" w14:textId="77777777" w:rsidR="007E6380" w:rsidRPr="00687DCB" w:rsidRDefault="007E6380" w:rsidP="008C52DA">
      <w:pPr>
        <w:pStyle w:val="NormalWeb"/>
        <w:spacing w:line="360" w:lineRule="auto"/>
        <w:jc w:val="both"/>
      </w:pPr>
      <w:r w:rsidRPr="00687DCB">
        <w:t xml:space="preserve">Munyoro, G., Ndlovu, M., &amp; Chikoko, V. (2025). </w:t>
      </w:r>
      <w:r w:rsidRPr="00687DCB">
        <w:rPr>
          <w:i/>
          <w:iCs/>
        </w:rPr>
        <w:t>Foresight-driven leadership and educational sustainability in rural African contexts.</w:t>
      </w:r>
      <w:r w:rsidRPr="00687DCB">
        <w:t xml:space="preserve"> </w:t>
      </w:r>
      <w:r w:rsidRPr="00687DCB">
        <w:rPr>
          <w:rStyle w:val="Emphasis"/>
          <w:rFonts w:eastAsiaTheme="majorEastAsia"/>
          <w:i w:val="0"/>
          <w:iCs w:val="0"/>
        </w:rPr>
        <w:t>International Journal of Educational Development</w:t>
      </w:r>
      <w:r w:rsidRPr="00687DCB">
        <w:rPr>
          <w:rStyle w:val="Emphasis"/>
          <w:rFonts w:eastAsiaTheme="majorEastAsia"/>
        </w:rPr>
        <w:t>, 98</w:t>
      </w:r>
      <w:r w:rsidRPr="00687DCB">
        <w:t>, 102745.</w:t>
      </w:r>
    </w:p>
    <w:p w14:paraId="791D899F" w14:textId="77777777" w:rsidR="007E6380" w:rsidRPr="00687DCB" w:rsidRDefault="007E6380" w:rsidP="008C52DA">
      <w:pPr>
        <w:pStyle w:val="NormalWeb"/>
        <w:spacing w:line="360" w:lineRule="auto"/>
        <w:jc w:val="both"/>
      </w:pPr>
      <w:r w:rsidRPr="00687DCB">
        <w:t xml:space="preserve">Mwansa, G., Ngandu, M. R., &amp; Mkwambi, Z. (2025). </w:t>
      </w:r>
      <w:r w:rsidRPr="00687DCB">
        <w:rPr>
          <w:i/>
          <w:iCs/>
        </w:rPr>
        <w:t>Bridging the digital divide: Exploring the challenges and solutions for digital exclusion in rural South Africa</w:t>
      </w:r>
      <w:r w:rsidRPr="00687DCB">
        <w:t xml:space="preserve">. </w:t>
      </w:r>
      <w:r w:rsidRPr="00687DCB">
        <w:rPr>
          <w:rStyle w:val="Emphasis"/>
          <w:rFonts w:eastAsiaTheme="majorEastAsia"/>
          <w:i w:val="0"/>
          <w:iCs w:val="0"/>
        </w:rPr>
        <w:t xml:space="preserve">Discover Global Society, </w:t>
      </w:r>
      <w:r w:rsidRPr="00687DCB">
        <w:rPr>
          <w:rStyle w:val="Emphasis"/>
          <w:rFonts w:eastAsiaTheme="majorEastAsia"/>
        </w:rPr>
        <w:t>3</w:t>
      </w:r>
      <w:r w:rsidRPr="00687DCB">
        <w:t xml:space="preserve">(1). https://doi.org/10.1007/s44282-025-00189-2 </w:t>
      </w:r>
    </w:p>
    <w:p w14:paraId="7D358435" w14:textId="77777777" w:rsidR="007E6380" w:rsidRPr="00687DCB" w:rsidRDefault="007E6380" w:rsidP="008C52DA">
      <w:pPr>
        <w:pStyle w:val="NormalWeb"/>
        <w:spacing w:line="360" w:lineRule="auto"/>
        <w:jc w:val="both"/>
      </w:pPr>
      <w:r w:rsidRPr="00687DCB">
        <w:t xml:space="preserve">Mweha, M. (2025). </w:t>
      </w:r>
      <w:r w:rsidRPr="00687DCB">
        <w:rPr>
          <w:i/>
          <w:iCs/>
        </w:rPr>
        <w:t>Digital learning innovations in Zimbabwe: A desk review of technological tools, pedagogical strategies, and accessibility challenges in the context of Education 5.0.</w:t>
      </w:r>
      <w:r w:rsidRPr="00687DCB">
        <w:t xml:space="preserve"> </w:t>
      </w:r>
      <w:r w:rsidRPr="00687DCB">
        <w:rPr>
          <w:rStyle w:val="Emphasis"/>
          <w:rFonts w:eastAsiaTheme="majorEastAsia"/>
          <w:i w:val="0"/>
          <w:iCs w:val="0"/>
        </w:rPr>
        <w:t>International Journal of Research and Innovation in Social Science</w:t>
      </w:r>
      <w:r w:rsidRPr="00687DCB">
        <w:t xml:space="preserve">. </w:t>
      </w:r>
    </w:p>
    <w:p w14:paraId="091DD161" w14:textId="77777777" w:rsidR="007E6380" w:rsidRPr="00687DCB" w:rsidRDefault="007E6380" w:rsidP="008C52DA">
      <w:pPr>
        <w:pStyle w:val="NormalWeb"/>
        <w:spacing w:line="360" w:lineRule="auto"/>
        <w:jc w:val="both"/>
      </w:pPr>
      <w:r w:rsidRPr="00687DCB">
        <w:t xml:space="preserve">Nowell, L. S., Norris, J. M., White, D. E., &amp; Moules, N. J. (2017). </w:t>
      </w:r>
      <w:r w:rsidRPr="00687DCB">
        <w:rPr>
          <w:i/>
          <w:iCs/>
        </w:rPr>
        <w:t>Thematic analysis: Striving to meet the trustworthiness criteria</w:t>
      </w:r>
      <w:r w:rsidRPr="00687DCB">
        <w:t xml:space="preserve">. </w:t>
      </w:r>
      <w:r w:rsidRPr="00687DCB">
        <w:rPr>
          <w:rStyle w:val="Emphasis"/>
          <w:rFonts w:eastAsiaTheme="majorEastAsia"/>
          <w:i w:val="0"/>
          <w:iCs w:val="0"/>
        </w:rPr>
        <w:t>International Journal of Qualitative Methods</w:t>
      </w:r>
      <w:r w:rsidRPr="00687DCB">
        <w:rPr>
          <w:rStyle w:val="Emphasis"/>
          <w:rFonts w:eastAsiaTheme="majorEastAsia"/>
        </w:rPr>
        <w:t>, 16</w:t>
      </w:r>
      <w:r w:rsidRPr="00687DCB">
        <w:t>(1), 1–13.</w:t>
      </w:r>
    </w:p>
    <w:p w14:paraId="1A4C1BEA" w14:textId="77777777" w:rsidR="007E6380" w:rsidRPr="00687DCB" w:rsidRDefault="007E6380" w:rsidP="008C52DA">
      <w:pPr>
        <w:pStyle w:val="NormalWeb"/>
        <w:spacing w:line="360" w:lineRule="auto"/>
        <w:jc w:val="both"/>
      </w:pPr>
      <w:r w:rsidRPr="00687DCB">
        <w:t xml:space="preserve">Nyumba, T. O., Wilson, K., Derrick, C. J., &amp; Mukherjee, N. (2018). </w:t>
      </w:r>
      <w:r w:rsidRPr="00687DCB">
        <w:rPr>
          <w:i/>
          <w:iCs/>
        </w:rPr>
        <w:t>The use of focus group discussion methodology</w:t>
      </w:r>
      <w:r w:rsidRPr="00687DCB">
        <w:t xml:space="preserve">. </w:t>
      </w:r>
      <w:r w:rsidRPr="00687DCB">
        <w:rPr>
          <w:rStyle w:val="Emphasis"/>
          <w:rFonts w:eastAsiaTheme="majorEastAsia"/>
          <w:i w:val="0"/>
          <w:iCs w:val="0"/>
        </w:rPr>
        <w:t>Methods in Ecology and Evolution</w:t>
      </w:r>
      <w:r w:rsidRPr="00687DCB">
        <w:rPr>
          <w:rStyle w:val="Emphasis"/>
          <w:rFonts w:eastAsiaTheme="majorEastAsia"/>
        </w:rPr>
        <w:t>, 9</w:t>
      </w:r>
      <w:r w:rsidRPr="00687DCB">
        <w:t>(1), 20–32.</w:t>
      </w:r>
    </w:p>
    <w:p w14:paraId="74D7926F" w14:textId="77777777" w:rsidR="007E6380" w:rsidRPr="00687DCB" w:rsidRDefault="007E6380" w:rsidP="008C52DA">
      <w:pPr>
        <w:pStyle w:val="NormalWeb"/>
        <w:spacing w:line="360" w:lineRule="auto"/>
        <w:jc w:val="both"/>
      </w:pPr>
      <w:r w:rsidRPr="00687DCB">
        <w:t xml:space="preserve">O’Leary, Z. (2021). </w:t>
      </w:r>
      <w:r w:rsidRPr="00687DCB">
        <w:rPr>
          <w:rStyle w:val="Emphasis"/>
          <w:rFonts w:eastAsiaTheme="majorEastAsia"/>
        </w:rPr>
        <w:t>The essential guide to doing your research project</w:t>
      </w:r>
      <w:r w:rsidRPr="00687DCB">
        <w:t xml:space="preserve"> (4th ed.). Sage.</w:t>
      </w:r>
    </w:p>
    <w:p w14:paraId="0D198F88" w14:textId="77777777" w:rsidR="007E6380" w:rsidRPr="00687DCB" w:rsidRDefault="007E6380" w:rsidP="008C52DA">
      <w:pPr>
        <w:pStyle w:val="NormalWeb"/>
        <w:spacing w:line="360" w:lineRule="auto"/>
        <w:jc w:val="both"/>
      </w:pPr>
      <w:r w:rsidRPr="00687DCB">
        <w:t xml:space="preserve">OECD. (2022). </w:t>
      </w:r>
      <w:r w:rsidRPr="00687DCB">
        <w:rPr>
          <w:rStyle w:val="Emphasis"/>
          <w:rFonts w:eastAsiaTheme="majorEastAsia"/>
        </w:rPr>
        <w:t>Education for a brighter future: Futures thinking in education</w:t>
      </w:r>
      <w:r w:rsidRPr="00687DCB">
        <w:t>. OECD Publishing.</w:t>
      </w:r>
    </w:p>
    <w:p w14:paraId="28A41AC4" w14:textId="77777777" w:rsidR="007E6380" w:rsidRPr="00687DCB" w:rsidRDefault="007E6380" w:rsidP="008C52DA">
      <w:pPr>
        <w:pStyle w:val="NormalWeb"/>
        <w:spacing w:line="360" w:lineRule="auto"/>
        <w:jc w:val="both"/>
      </w:pPr>
      <w:r w:rsidRPr="00687DCB">
        <w:t xml:space="preserve">OECD. (2022). </w:t>
      </w:r>
      <w:r w:rsidRPr="00687DCB">
        <w:rPr>
          <w:rStyle w:val="Emphasis"/>
          <w:rFonts w:eastAsiaTheme="majorEastAsia"/>
        </w:rPr>
        <w:t>Foresight and anticipatory governance in education systems</w:t>
      </w:r>
      <w:r w:rsidRPr="00687DCB">
        <w:t>. Paris: OECD Publishing.</w:t>
      </w:r>
    </w:p>
    <w:p w14:paraId="3AA39A2F" w14:textId="77777777" w:rsidR="007E6380" w:rsidRPr="00687DCB" w:rsidRDefault="007E6380" w:rsidP="008C52DA">
      <w:pPr>
        <w:pStyle w:val="NormalWeb"/>
        <w:spacing w:line="360" w:lineRule="auto"/>
        <w:jc w:val="both"/>
      </w:pPr>
      <w:r w:rsidRPr="00687DCB">
        <w:t xml:space="preserve">OECD. (2022). </w:t>
      </w:r>
      <w:r w:rsidRPr="00687DCB">
        <w:rPr>
          <w:rStyle w:val="Emphasis"/>
          <w:rFonts w:eastAsiaTheme="majorEastAsia"/>
        </w:rPr>
        <w:t>Futures thinking in education: Preparing for uncertainty</w:t>
      </w:r>
      <w:r w:rsidRPr="00687DCB">
        <w:t>. Paris: OECD Publishing.</w:t>
      </w:r>
    </w:p>
    <w:p w14:paraId="315ED3C4" w14:textId="77777777" w:rsidR="007E6380" w:rsidRPr="00687DCB" w:rsidRDefault="007E6380" w:rsidP="008C52DA">
      <w:pPr>
        <w:pStyle w:val="NormalWeb"/>
        <w:spacing w:line="360" w:lineRule="auto"/>
        <w:jc w:val="both"/>
      </w:pPr>
      <w:r w:rsidRPr="00687DCB">
        <w:lastRenderedPageBreak/>
        <w:t xml:space="preserve">OECD. (2022). </w:t>
      </w:r>
      <w:r w:rsidRPr="00687DCB">
        <w:rPr>
          <w:rStyle w:val="Emphasis"/>
          <w:rFonts w:eastAsiaTheme="majorEastAsia"/>
        </w:rPr>
        <w:t>OECD skills outlook 2022: Building resilient skills systems</w:t>
      </w:r>
      <w:r w:rsidRPr="00687DCB">
        <w:t>. Paris: OECD Publishing.</w:t>
      </w:r>
    </w:p>
    <w:p w14:paraId="1DEEE61D"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Building resilient education systems: Lessons from the COVID-19 pandemic</w:t>
      </w:r>
      <w:r w:rsidRPr="00687DCB">
        <w:t>. OECD Publishing.</w:t>
      </w:r>
    </w:p>
    <w:p w14:paraId="70FEAD31"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OECD. (2023). </w:t>
      </w:r>
      <w:r w:rsidRPr="00687DCB">
        <w:rPr>
          <w:rFonts w:ascii="Times New Roman" w:eastAsia="Times New Roman" w:hAnsi="Times New Roman" w:cs="Times New Roman"/>
          <w:i/>
          <w:iCs/>
          <w:kern w:val="0"/>
          <w:sz w:val="24"/>
          <w:szCs w:val="24"/>
          <w14:ligatures w14:val="none"/>
        </w:rPr>
        <w:t>Digital education outlook 2023: Towards resilient education systems</w:t>
      </w:r>
      <w:r w:rsidRPr="00687DCB">
        <w:rPr>
          <w:rFonts w:ascii="Times New Roman" w:eastAsia="Times New Roman" w:hAnsi="Times New Roman" w:cs="Times New Roman"/>
          <w:kern w:val="0"/>
          <w:sz w:val="24"/>
          <w:szCs w:val="24"/>
          <w14:ligatures w14:val="none"/>
        </w:rPr>
        <w:t>. Paris: OECD Publishing.</w:t>
      </w:r>
    </w:p>
    <w:p w14:paraId="754715A7"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Education at a glance 2023: OECD indicators</w:t>
      </w:r>
      <w:r w:rsidRPr="00687DCB">
        <w:t>. Paris: OECD Publishing.</w:t>
      </w:r>
    </w:p>
    <w:p w14:paraId="43169464"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OECD. (2023). </w:t>
      </w:r>
      <w:r w:rsidRPr="00687DCB">
        <w:rPr>
          <w:rFonts w:ascii="Times New Roman" w:eastAsia="Times New Roman" w:hAnsi="Times New Roman" w:cs="Times New Roman"/>
          <w:i/>
          <w:iCs/>
          <w:kern w:val="0"/>
          <w:sz w:val="24"/>
          <w:szCs w:val="24"/>
          <w14:ligatures w14:val="none"/>
        </w:rPr>
        <w:t>Education policy outlook 2023: Shaping responsive and resilient education systems</w:t>
      </w:r>
      <w:r w:rsidRPr="00687DCB">
        <w:rPr>
          <w:rFonts w:ascii="Times New Roman" w:eastAsia="Times New Roman" w:hAnsi="Times New Roman" w:cs="Times New Roman"/>
          <w:kern w:val="0"/>
          <w:sz w:val="24"/>
          <w:szCs w:val="24"/>
          <w14:ligatures w14:val="none"/>
        </w:rPr>
        <w:t>. OECD Publishing.</w:t>
      </w:r>
    </w:p>
    <w:p w14:paraId="54478962"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Fostering anticipatory innovation governance in education</w:t>
      </w:r>
      <w:r w:rsidRPr="00687DCB">
        <w:t>. OECD Publishing.</w:t>
      </w:r>
    </w:p>
    <w:p w14:paraId="576E5243"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Fostering resilience and innovation in education systems</w:t>
      </w:r>
      <w:r w:rsidRPr="00687DCB">
        <w:t>. OECD Publishing.</w:t>
      </w:r>
    </w:p>
    <w:p w14:paraId="3E56B021" w14:textId="77777777" w:rsidR="007E6380" w:rsidRPr="00687DCB" w:rsidRDefault="007E6380" w:rsidP="008C52DA">
      <w:pPr>
        <w:pStyle w:val="NormalWeb"/>
        <w:spacing w:line="360" w:lineRule="auto"/>
        <w:jc w:val="both"/>
      </w:pPr>
      <w:r w:rsidRPr="00687DCB">
        <w:t xml:space="preserve"> OECD. (2023). </w:t>
      </w:r>
      <w:r w:rsidRPr="00687DCB">
        <w:rPr>
          <w:rStyle w:val="Emphasis"/>
          <w:rFonts w:eastAsiaTheme="majorEastAsia"/>
        </w:rPr>
        <w:t>OECD digital education outlook 2023: Towards an effective digital education ecosystem</w:t>
      </w:r>
      <w:r w:rsidRPr="00687DCB">
        <w:t>. OECD Publishing. https://doi.org/10.1787/1e3b2c4a-en</w:t>
      </w:r>
    </w:p>
    <w:p w14:paraId="1EAFA906"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OECD. (2023). </w:t>
      </w:r>
      <w:r w:rsidRPr="00687DCB">
        <w:rPr>
          <w:rFonts w:ascii="Times New Roman" w:eastAsia="Times New Roman" w:hAnsi="Times New Roman" w:cs="Times New Roman"/>
          <w:i/>
          <w:iCs/>
          <w:kern w:val="0"/>
          <w:sz w:val="24"/>
          <w:szCs w:val="24"/>
          <w14:ligatures w14:val="none"/>
        </w:rPr>
        <w:t>OECD education policy outlook 2023: Shaping responsive and resilient education systems</w:t>
      </w:r>
      <w:r w:rsidRPr="00687DCB">
        <w:rPr>
          <w:rFonts w:ascii="Times New Roman" w:eastAsia="Times New Roman" w:hAnsi="Times New Roman" w:cs="Times New Roman"/>
          <w:kern w:val="0"/>
          <w:sz w:val="24"/>
          <w:szCs w:val="24"/>
          <w14:ligatures w14:val="none"/>
        </w:rPr>
        <w:t>. OECD Publishing.</w:t>
      </w:r>
    </w:p>
    <w:p w14:paraId="53F40626"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OECD education policy perspectives: Fostering resilience and future-ready education systems</w:t>
      </w:r>
      <w:r w:rsidRPr="00687DCB">
        <w:t>. OECD Publishing.</w:t>
      </w:r>
    </w:p>
    <w:p w14:paraId="539CB7C5"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Trends shaping education 2023</w:t>
      </w:r>
      <w:r w:rsidRPr="00687DCB">
        <w:t>. Organisation for Economic Co-operation and Development.</w:t>
      </w:r>
    </w:p>
    <w:p w14:paraId="3E42E3D9"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OECD. (2024). </w:t>
      </w:r>
      <w:r w:rsidRPr="00687DCB">
        <w:rPr>
          <w:rFonts w:ascii="Times New Roman" w:eastAsia="Times New Roman" w:hAnsi="Times New Roman" w:cs="Times New Roman"/>
          <w:i/>
          <w:iCs/>
          <w:kern w:val="0"/>
          <w:sz w:val="24"/>
          <w:szCs w:val="24"/>
          <w14:ligatures w14:val="none"/>
        </w:rPr>
        <w:t>Strategic foresight for better policies</w:t>
      </w:r>
      <w:r w:rsidRPr="00687DCB">
        <w:rPr>
          <w:rFonts w:ascii="Times New Roman" w:eastAsia="Times New Roman" w:hAnsi="Times New Roman" w:cs="Times New Roman"/>
          <w:kern w:val="0"/>
          <w:sz w:val="24"/>
          <w:szCs w:val="24"/>
          <w14:ligatures w14:val="none"/>
        </w:rPr>
        <w:t>. OECD Publishing.</w:t>
      </w:r>
    </w:p>
    <w:p w14:paraId="272BC929" w14:textId="77777777" w:rsidR="007E6380" w:rsidRPr="00687DCB" w:rsidRDefault="007E6380" w:rsidP="008C52DA">
      <w:pPr>
        <w:pStyle w:val="NormalWeb"/>
        <w:spacing w:line="360" w:lineRule="auto"/>
        <w:jc w:val="both"/>
      </w:pPr>
      <w:r w:rsidRPr="00687DCB">
        <w:t xml:space="preserve">Pérez-Ortiz, M. (2025). </w:t>
      </w:r>
      <w:r w:rsidRPr="00687DCB">
        <w:rPr>
          <w:i/>
          <w:iCs/>
        </w:rPr>
        <w:t>Artificial intelligence and foresight in education: Emerging trends and implications for policy and practice</w:t>
      </w:r>
      <w:r w:rsidRPr="00687DCB">
        <w:t xml:space="preserve">. </w:t>
      </w:r>
      <w:r w:rsidRPr="00687DCB">
        <w:rPr>
          <w:rStyle w:val="Emphasis"/>
          <w:rFonts w:eastAsiaTheme="majorEastAsia"/>
          <w:i w:val="0"/>
          <w:iCs w:val="0"/>
        </w:rPr>
        <w:t>Futures &amp; Foresight Science</w:t>
      </w:r>
      <w:r w:rsidRPr="00687DCB">
        <w:rPr>
          <w:rStyle w:val="Emphasis"/>
          <w:rFonts w:eastAsiaTheme="majorEastAsia"/>
        </w:rPr>
        <w:t>, 7</w:t>
      </w:r>
      <w:r w:rsidRPr="00687DCB">
        <w:t>(1), e150.</w:t>
      </w:r>
    </w:p>
    <w:p w14:paraId="55D0EEC1"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Perez-Ortiz, M. (2025). </w:t>
      </w:r>
      <w:r w:rsidRPr="00687DCB">
        <w:rPr>
          <w:rFonts w:ascii="Times New Roman" w:eastAsia="Times New Roman" w:hAnsi="Times New Roman" w:cs="Times New Roman"/>
          <w:i/>
          <w:iCs/>
          <w:kern w:val="0"/>
          <w:sz w:val="24"/>
          <w:szCs w:val="24"/>
          <w14:ligatures w14:val="none"/>
        </w:rPr>
        <w:t>Artificial intelligence and strategic foresight in education systems: Enhancing decision-making under uncertainty</w:t>
      </w:r>
      <w:r w:rsidRPr="00687DCB">
        <w:rPr>
          <w:rFonts w:ascii="Times New Roman" w:eastAsia="Times New Roman" w:hAnsi="Times New Roman" w:cs="Times New Roman"/>
          <w:kern w:val="0"/>
          <w:sz w:val="24"/>
          <w:szCs w:val="24"/>
          <w14:ligatures w14:val="none"/>
        </w:rPr>
        <w:t>. Futures &amp; Foresight Science</w:t>
      </w:r>
      <w:r w:rsidRPr="00687DCB">
        <w:rPr>
          <w:rFonts w:ascii="Times New Roman" w:eastAsia="Times New Roman" w:hAnsi="Times New Roman" w:cs="Times New Roman"/>
          <w:i/>
          <w:iCs/>
          <w:kern w:val="0"/>
          <w:sz w:val="24"/>
          <w:szCs w:val="24"/>
          <w14:ligatures w14:val="none"/>
        </w:rPr>
        <w:t>, 7</w:t>
      </w:r>
      <w:r w:rsidRPr="00687DCB">
        <w:rPr>
          <w:rFonts w:ascii="Times New Roman" w:eastAsia="Times New Roman" w:hAnsi="Times New Roman" w:cs="Times New Roman"/>
          <w:kern w:val="0"/>
          <w:sz w:val="24"/>
          <w:szCs w:val="24"/>
          <w14:ligatures w14:val="none"/>
        </w:rPr>
        <w:t>(1), e145.</w:t>
      </w:r>
    </w:p>
    <w:p w14:paraId="4B64392E" w14:textId="77777777" w:rsidR="007E6380" w:rsidRPr="00687DCB" w:rsidRDefault="007E6380" w:rsidP="008C52DA">
      <w:pPr>
        <w:pStyle w:val="NormalWeb"/>
        <w:spacing w:line="360" w:lineRule="auto"/>
        <w:jc w:val="both"/>
      </w:pPr>
      <w:r w:rsidRPr="00687DCB">
        <w:lastRenderedPageBreak/>
        <w:t xml:space="preserve">Pérez-Ortiz, M. (2025). </w:t>
      </w:r>
      <w:r w:rsidRPr="00687DCB">
        <w:rPr>
          <w:i/>
          <w:iCs/>
        </w:rPr>
        <w:t>Artificial intelligence and strategic foresight in education systems</w:t>
      </w:r>
      <w:r w:rsidRPr="00687DCB">
        <w:t xml:space="preserve">. </w:t>
      </w:r>
      <w:r w:rsidRPr="00687DCB">
        <w:rPr>
          <w:rStyle w:val="Emphasis"/>
          <w:rFonts w:eastAsiaTheme="majorEastAsia"/>
          <w:i w:val="0"/>
          <w:iCs w:val="0"/>
        </w:rPr>
        <w:t>Futures &amp; Foresight Science</w:t>
      </w:r>
      <w:r w:rsidRPr="00687DCB">
        <w:rPr>
          <w:rStyle w:val="Emphasis"/>
          <w:rFonts w:eastAsiaTheme="majorEastAsia"/>
        </w:rPr>
        <w:t>, 7</w:t>
      </w:r>
      <w:r w:rsidRPr="00687DCB">
        <w:t>(1), e123.</w:t>
      </w:r>
    </w:p>
    <w:p w14:paraId="5EF27619"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Philip, J., &amp; Williams, A. (2022). </w:t>
      </w:r>
      <w:r w:rsidRPr="00687DCB">
        <w:rPr>
          <w:rFonts w:ascii="Times New Roman" w:eastAsia="Times New Roman" w:hAnsi="Times New Roman" w:cs="Times New Roman"/>
          <w:i/>
          <w:iCs/>
          <w:kern w:val="0"/>
          <w:sz w:val="24"/>
          <w:szCs w:val="24"/>
          <w14:ligatures w14:val="none"/>
        </w:rPr>
        <w:t>Digital resilience and education: Adapting to technological disruptions</w:t>
      </w:r>
      <w:r w:rsidRPr="00687DCB">
        <w:rPr>
          <w:rFonts w:ascii="Times New Roman" w:eastAsia="Times New Roman" w:hAnsi="Times New Roman" w:cs="Times New Roman"/>
          <w:kern w:val="0"/>
          <w:sz w:val="24"/>
          <w:szCs w:val="24"/>
          <w14:ligatures w14:val="none"/>
        </w:rPr>
        <w:t>. Computers &amp; Education, 182, 104459.</w:t>
      </w:r>
    </w:p>
    <w:p w14:paraId="16A97580" w14:textId="77777777" w:rsidR="007E6380" w:rsidRPr="00687DCB" w:rsidRDefault="007E6380" w:rsidP="008C52DA">
      <w:pPr>
        <w:pStyle w:val="NormalWeb"/>
        <w:spacing w:line="360" w:lineRule="auto"/>
        <w:jc w:val="both"/>
      </w:pPr>
      <w:r w:rsidRPr="00687DCB">
        <w:t xml:space="preserve">Radianti, J. (2024). </w:t>
      </w:r>
      <w:r w:rsidRPr="00687DCB">
        <w:rPr>
          <w:i/>
          <w:iCs/>
        </w:rPr>
        <w:t>Digital resilience in education: Concepts, practices, and future directions</w:t>
      </w:r>
      <w:r w:rsidRPr="00687DCB">
        <w:t xml:space="preserve">. </w:t>
      </w:r>
      <w:r w:rsidRPr="00687DCB">
        <w:rPr>
          <w:rStyle w:val="Emphasis"/>
          <w:rFonts w:eastAsiaTheme="majorEastAsia"/>
          <w:i w:val="0"/>
          <w:iCs w:val="0"/>
        </w:rPr>
        <w:t>Computers and Education</w:t>
      </w:r>
      <w:r w:rsidRPr="00687DCB">
        <w:t>, 198, 104789.</w:t>
      </w:r>
    </w:p>
    <w:p w14:paraId="7E0D6FDC" w14:textId="77777777" w:rsidR="007E6380" w:rsidRPr="00687DCB" w:rsidRDefault="007E6380" w:rsidP="008C52DA">
      <w:pPr>
        <w:pStyle w:val="NormalWeb"/>
        <w:spacing w:line="360" w:lineRule="auto"/>
        <w:jc w:val="both"/>
      </w:pPr>
      <w:r w:rsidRPr="00687DCB">
        <w:t xml:space="preserve">SADC. (2023). </w:t>
      </w:r>
      <w:r w:rsidRPr="00687DCB">
        <w:rPr>
          <w:rStyle w:val="Emphasis"/>
          <w:rFonts w:eastAsiaTheme="majorEastAsia"/>
        </w:rPr>
        <w:t>Regional digital transformation strategy 2023–2030</w:t>
      </w:r>
      <w:r w:rsidRPr="00687DCB">
        <w:t>. Gaborone: SADC Secretariat.</w:t>
      </w:r>
    </w:p>
    <w:p w14:paraId="64894C3F" w14:textId="77777777" w:rsidR="007E6380" w:rsidRPr="00687DCB" w:rsidRDefault="007E6380" w:rsidP="008C52DA">
      <w:pPr>
        <w:pStyle w:val="NormalWeb"/>
        <w:spacing w:line="360" w:lineRule="auto"/>
        <w:jc w:val="both"/>
      </w:pPr>
      <w:r w:rsidRPr="00687DCB">
        <w:t xml:space="preserve">Saldaña, J. (2021). </w:t>
      </w:r>
      <w:r w:rsidRPr="00687DCB">
        <w:rPr>
          <w:rStyle w:val="Emphasis"/>
          <w:rFonts w:eastAsiaTheme="majorEastAsia"/>
        </w:rPr>
        <w:t>The coding manual for qualitative researchers</w:t>
      </w:r>
      <w:r w:rsidRPr="00687DCB">
        <w:t xml:space="preserve"> (4th ed.). SAGE Publications.</w:t>
      </w:r>
    </w:p>
    <w:p w14:paraId="023EFA83" w14:textId="77777777" w:rsidR="007E6380" w:rsidRPr="00687DCB" w:rsidRDefault="007E6380" w:rsidP="008C52DA">
      <w:pPr>
        <w:pStyle w:val="NormalWeb"/>
        <w:spacing w:line="360" w:lineRule="auto"/>
        <w:jc w:val="both"/>
      </w:pPr>
      <w:r w:rsidRPr="00687DCB">
        <w:t xml:space="preserve">Simons, H. (2022). </w:t>
      </w:r>
      <w:r w:rsidRPr="00687DCB">
        <w:rPr>
          <w:rStyle w:val="Emphasis"/>
          <w:rFonts w:eastAsiaTheme="majorEastAsia"/>
        </w:rPr>
        <w:t>Case study research in practice</w:t>
      </w:r>
      <w:r w:rsidRPr="00687DCB">
        <w:t>. Sage.</w:t>
      </w:r>
    </w:p>
    <w:p w14:paraId="451D1D1A" w14:textId="77777777" w:rsidR="007E6380" w:rsidRPr="00687DCB" w:rsidRDefault="007E6380" w:rsidP="008C52DA">
      <w:pPr>
        <w:pStyle w:val="NormalWeb"/>
        <w:spacing w:line="360" w:lineRule="auto"/>
        <w:jc w:val="both"/>
      </w:pPr>
      <w:r w:rsidRPr="00687DCB">
        <w:t xml:space="preserve">Stake, R., E. (2020). </w:t>
      </w:r>
      <w:r w:rsidRPr="00687DCB">
        <w:rPr>
          <w:rStyle w:val="Emphasis"/>
          <w:rFonts w:eastAsiaTheme="majorEastAsia"/>
        </w:rPr>
        <w:t>Qualitative research: Studying how things work</w:t>
      </w:r>
      <w:r w:rsidRPr="00687DCB">
        <w:t>. Guilford Press.</w:t>
      </w:r>
    </w:p>
    <w:p w14:paraId="08F23A0E" w14:textId="77777777" w:rsidR="007E6380" w:rsidRPr="00687DCB" w:rsidRDefault="007E6380" w:rsidP="008C52DA">
      <w:pPr>
        <w:pStyle w:val="NormalWeb"/>
        <w:spacing w:line="360" w:lineRule="auto"/>
        <w:jc w:val="both"/>
      </w:pPr>
      <w:r w:rsidRPr="00687DCB">
        <w:t xml:space="preserve">Stake, R., E. (2020). </w:t>
      </w:r>
      <w:r w:rsidRPr="00687DCB">
        <w:rPr>
          <w:rStyle w:val="Emphasis"/>
          <w:rFonts w:eastAsiaTheme="majorEastAsia"/>
        </w:rPr>
        <w:t>The art of case study research</w:t>
      </w:r>
      <w:r w:rsidRPr="00687DCB">
        <w:t>. Sage.</w:t>
      </w:r>
    </w:p>
    <w:p w14:paraId="4FA9D9C4" w14:textId="77777777" w:rsidR="007E6380" w:rsidRPr="00687DCB" w:rsidRDefault="007E6380" w:rsidP="008C52DA">
      <w:pPr>
        <w:pStyle w:val="NormalWeb"/>
        <w:spacing w:line="360" w:lineRule="auto"/>
        <w:jc w:val="both"/>
      </w:pPr>
      <w:r w:rsidRPr="00687DCB">
        <w:t xml:space="preserve">UNESCO. (2021). </w:t>
      </w:r>
      <w:r w:rsidRPr="00687DCB">
        <w:rPr>
          <w:rStyle w:val="Emphasis"/>
          <w:rFonts w:eastAsiaTheme="majorEastAsia"/>
        </w:rPr>
        <w:t>Futures of education: Learning to become</w:t>
      </w:r>
      <w:r w:rsidRPr="00687DCB">
        <w:t>. UNESCO Publishing.</w:t>
      </w:r>
    </w:p>
    <w:p w14:paraId="42141443" w14:textId="77777777" w:rsidR="007E6380" w:rsidRPr="00687DCB" w:rsidRDefault="007E6380" w:rsidP="008C52DA">
      <w:pPr>
        <w:pStyle w:val="NormalWeb"/>
        <w:spacing w:line="360" w:lineRule="auto"/>
        <w:jc w:val="both"/>
      </w:pPr>
      <w:r w:rsidRPr="00687DCB">
        <w:t xml:space="preserve">UNESCO. (2021). </w:t>
      </w:r>
      <w:r w:rsidRPr="00687DCB">
        <w:rPr>
          <w:rStyle w:val="Emphasis"/>
          <w:rFonts w:eastAsiaTheme="majorEastAsia"/>
        </w:rPr>
        <w:t>Reimagining our futures together: A new social contract for education</w:t>
      </w:r>
      <w:r w:rsidRPr="00687DCB">
        <w:t>. UNESCO Publishing.</w:t>
      </w:r>
    </w:p>
    <w:p w14:paraId="175A22F0" w14:textId="77777777" w:rsidR="007E6380" w:rsidRPr="00687DCB" w:rsidRDefault="007E6380" w:rsidP="008C52DA">
      <w:pPr>
        <w:pStyle w:val="NormalWeb"/>
        <w:spacing w:line="360" w:lineRule="auto"/>
        <w:jc w:val="both"/>
      </w:pPr>
      <w:r w:rsidRPr="00687DCB">
        <w:t xml:space="preserve">UNESCO. (2023). </w:t>
      </w:r>
      <w:r w:rsidRPr="00687DCB">
        <w:rPr>
          <w:rStyle w:val="Emphasis"/>
          <w:rFonts w:eastAsiaTheme="majorEastAsia"/>
        </w:rPr>
        <w:t>Climate change and education: Building resilient systems</w:t>
      </w:r>
      <w:r w:rsidRPr="00687DCB">
        <w:t>. UNESCO Publishing.</w:t>
      </w:r>
    </w:p>
    <w:p w14:paraId="77FB076F"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UNESCO. (2023). </w:t>
      </w:r>
      <w:r w:rsidRPr="00687DCB">
        <w:rPr>
          <w:rFonts w:ascii="Times New Roman" w:eastAsia="Times New Roman" w:hAnsi="Times New Roman" w:cs="Times New Roman"/>
          <w:i/>
          <w:iCs/>
          <w:kern w:val="0"/>
          <w:sz w:val="24"/>
          <w:szCs w:val="24"/>
          <w14:ligatures w14:val="none"/>
        </w:rPr>
        <w:t>Education in a changing climate</w:t>
      </w:r>
      <w:r w:rsidRPr="00687DCB">
        <w:rPr>
          <w:rFonts w:ascii="Times New Roman" w:eastAsia="Times New Roman" w:hAnsi="Times New Roman" w:cs="Times New Roman"/>
          <w:kern w:val="0"/>
          <w:sz w:val="24"/>
          <w:szCs w:val="24"/>
          <w14:ligatures w14:val="none"/>
        </w:rPr>
        <w:t>. UNESCO Publishing.</w:t>
      </w:r>
    </w:p>
    <w:p w14:paraId="74591AA4" w14:textId="77777777" w:rsidR="007E6380" w:rsidRPr="00687DCB" w:rsidRDefault="007E6380" w:rsidP="008C52DA">
      <w:pPr>
        <w:pStyle w:val="NormalWeb"/>
        <w:spacing w:line="360" w:lineRule="auto"/>
        <w:jc w:val="both"/>
      </w:pPr>
      <w:r w:rsidRPr="00687DCB">
        <w:rPr>
          <w:rStyle w:val="whitespace-normal"/>
          <w:rFonts w:eastAsiaTheme="majorEastAsia"/>
        </w:rPr>
        <w:t>UNESCO</w:t>
      </w:r>
      <w:r w:rsidRPr="00687DCB">
        <w:t xml:space="preserve">. (2023). </w:t>
      </w:r>
      <w:r w:rsidRPr="00687DCB">
        <w:rPr>
          <w:rStyle w:val="Emphasis"/>
          <w:rFonts w:eastAsiaTheme="majorEastAsia"/>
        </w:rPr>
        <w:t>Global education monitoring report 2023: Technology in education—A tool on whose terms?</w:t>
      </w:r>
      <w:r w:rsidRPr="00687DCB">
        <w:t xml:space="preserve"> Paris: UNESCO Publishing.</w:t>
      </w:r>
    </w:p>
    <w:p w14:paraId="19600662" w14:textId="77777777" w:rsidR="007E6380" w:rsidRPr="00687DCB" w:rsidRDefault="007E6380" w:rsidP="008C52DA">
      <w:pPr>
        <w:pStyle w:val="NormalWeb"/>
        <w:spacing w:line="360" w:lineRule="auto"/>
        <w:jc w:val="both"/>
      </w:pPr>
      <w:r w:rsidRPr="00687DCB">
        <w:t xml:space="preserve">UNESCO. (2023). </w:t>
      </w:r>
      <w:r w:rsidRPr="00687DCB">
        <w:rPr>
          <w:rStyle w:val="Emphasis"/>
          <w:rFonts w:eastAsiaTheme="majorEastAsia"/>
        </w:rPr>
        <w:t>Reimagining our futures together: A new social contract for education – Progress update 2023</w:t>
      </w:r>
      <w:r w:rsidRPr="00687DCB">
        <w:t>. Paris: UNESCO.</w:t>
      </w:r>
    </w:p>
    <w:p w14:paraId="13E19A5F" w14:textId="77777777" w:rsidR="007E6380" w:rsidRPr="00687DCB" w:rsidRDefault="007E6380" w:rsidP="008C52DA">
      <w:pPr>
        <w:pStyle w:val="NormalWeb"/>
        <w:spacing w:line="360" w:lineRule="auto"/>
        <w:jc w:val="both"/>
      </w:pPr>
      <w:r w:rsidRPr="00687DCB">
        <w:rPr>
          <w:rStyle w:val="whitespace-normal"/>
          <w:rFonts w:eastAsiaTheme="majorEastAsia"/>
        </w:rPr>
        <w:lastRenderedPageBreak/>
        <w:t>UNICEF</w:t>
      </w:r>
      <w:r w:rsidRPr="00687DCB">
        <w:t xml:space="preserve">. (2023). </w:t>
      </w:r>
      <w:r w:rsidRPr="00687DCB">
        <w:rPr>
          <w:rStyle w:val="Emphasis"/>
          <w:rFonts w:eastAsiaTheme="majorEastAsia"/>
        </w:rPr>
        <w:t>Bridging the digital divide for children in sub-Saharan Africa</w:t>
      </w:r>
      <w:r w:rsidRPr="00687DCB">
        <w:t>. New York: UNICEF.</w:t>
      </w:r>
    </w:p>
    <w:p w14:paraId="50EBEDE6" w14:textId="77777777" w:rsidR="007E6380" w:rsidRPr="00687DCB" w:rsidRDefault="007E6380" w:rsidP="008C52DA">
      <w:pPr>
        <w:pStyle w:val="NormalWeb"/>
        <w:spacing w:line="360" w:lineRule="auto"/>
        <w:jc w:val="both"/>
      </w:pPr>
      <w:r w:rsidRPr="00687DCB">
        <w:t xml:space="preserve">UNICEF. (2023). </w:t>
      </w:r>
      <w:r w:rsidRPr="00687DCB">
        <w:rPr>
          <w:rStyle w:val="Emphasis"/>
          <w:rFonts w:eastAsiaTheme="majorEastAsia"/>
        </w:rPr>
        <w:t>Remote learning and digital connectivity in Eastern and Southern Africa</w:t>
      </w:r>
      <w:r w:rsidRPr="00687DCB">
        <w:t>. UNICEF.</w:t>
      </w:r>
    </w:p>
    <w:p w14:paraId="06128406" w14:textId="77777777" w:rsidR="007E6380" w:rsidRPr="00687DCB" w:rsidRDefault="007E6380" w:rsidP="008C52DA">
      <w:pPr>
        <w:pStyle w:val="NormalWeb"/>
        <w:spacing w:line="360" w:lineRule="auto"/>
        <w:jc w:val="both"/>
      </w:pPr>
      <w:r w:rsidRPr="00687DCB">
        <w:t xml:space="preserve">United Nations. (2024). </w:t>
      </w:r>
      <w:r w:rsidRPr="00687DCB">
        <w:rPr>
          <w:rStyle w:val="Emphasis"/>
          <w:rFonts w:eastAsiaTheme="majorEastAsia"/>
        </w:rPr>
        <w:t>The sustainable development goals report 2024</w:t>
      </w:r>
      <w:r w:rsidRPr="00687DCB">
        <w:t>. United Nations.</w:t>
      </w:r>
    </w:p>
    <w:p w14:paraId="0F5F8A23" w14:textId="77777777" w:rsidR="007E6380" w:rsidRPr="00687DCB" w:rsidRDefault="007E6380" w:rsidP="008C52DA">
      <w:pPr>
        <w:pStyle w:val="NormalWeb"/>
        <w:spacing w:line="360" w:lineRule="auto"/>
        <w:jc w:val="both"/>
      </w:pPr>
      <w:r w:rsidRPr="00687DCB">
        <w:t xml:space="preserve">World Bank. (2022). </w:t>
      </w:r>
      <w:r w:rsidRPr="00687DCB">
        <w:rPr>
          <w:rStyle w:val="Emphasis"/>
          <w:rFonts w:eastAsiaTheme="majorEastAsia"/>
        </w:rPr>
        <w:t>Education in a changing climate: Risks and resilience</w:t>
      </w:r>
      <w:r w:rsidRPr="00687DCB">
        <w:t>. World Bank Publications.</w:t>
      </w:r>
    </w:p>
    <w:p w14:paraId="5F431DC8" w14:textId="77777777" w:rsidR="007E6380" w:rsidRPr="00687DCB" w:rsidRDefault="007E6380" w:rsidP="008C52DA">
      <w:pPr>
        <w:pStyle w:val="NormalWeb"/>
        <w:spacing w:line="360" w:lineRule="auto"/>
        <w:jc w:val="both"/>
      </w:pPr>
      <w:r w:rsidRPr="00687DCB">
        <w:t xml:space="preserve">World Bank. (2022). </w:t>
      </w:r>
      <w:r w:rsidRPr="00687DCB">
        <w:rPr>
          <w:rStyle w:val="Emphasis"/>
          <w:rFonts w:eastAsiaTheme="majorEastAsia"/>
        </w:rPr>
        <w:t>Remote learning during COVID-19: Lessons for education systems</w:t>
      </w:r>
      <w:r w:rsidRPr="00687DCB">
        <w:t>. World Bank.</w:t>
      </w:r>
    </w:p>
    <w:p w14:paraId="2CDA5CEC" w14:textId="77777777" w:rsidR="007E6380" w:rsidRPr="00687DCB" w:rsidRDefault="007E6380" w:rsidP="008C52DA">
      <w:pPr>
        <w:pStyle w:val="NormalWeb"/>
        <w:spacing w:line="360" w:lineRule="auto"/>
        <w:jc w:val="both"/>
      </w:pPr>
      <w:r w:rsidRPr="00687DCB">
        <w:t xml:space="preserve">World Bank. (2022). </w:t>
      </w:r>
      <w:r w:rsidRPr="00687DCB">
        <w:rPr>
          <w:rStyle w:val="Emphasis"/>
          <w:rFonts w:eastAsiaTheme="majorEastAsia"/>
        </w:rPr>
        <w:t>The state of global learning poverty: 2022 update</w:t>
      </w:r>
      <w:r w:rsidRPr="00687DCB">
        <w:t>. World Bank Publications.</w:t>
      </w:r>
    </w:p>
    <w:p w14:paraId="502B865A" w14:textId="77777777" w:rsidR="007E6380" w:rsidRPr="00687DCB" w:rsidRDefault="007E6380" w:rsidP="008C52DA">
      <w:pPr>
        <w:pStyle w:val="NormalWeb"/>
        <w:spacing w:line="360" w:lineRule="auto"/>
        <w:jc w:val="both"/>
      </w:pPr>
      <w:r w:rsidRPr="00687DCB">
        <w:t xml:space="preserve">World Bank. (2023). </w:t>
      </w:r>
      <w:r w:rsidRPr="00687DCB">
        <w:rPr>
          <w:rStyle w:val="Emphasis"/>
          <w:rFonts w:eastAsiaTheme="majorEastAsia"/>
        </w:rPr>
        <w:t>Digital development in Africa: Bridging the connectivity gap</w:t>
      </w:r>
      <w:r w:rsidRPr="00687DCB">
        <w:t>. Washington, DC: World Bank.</w:t>
      </w:r>
    </w:p>
    <w:p w14:paraId="30CE0283" w14:textId="77777777" w:rsidR="007E6380" w:rsidRPr="00687DCB" w:rsidRDefault="007E6380" w:rsidP="008C52DA">
      <w:pPr>
        <w:pStyle w:val="NormalWeb"/>
        <w:spacing w:line="360" w:lineRule="auto"/>
        <w:jc w:val="both"/>
      </w:pPr>
      <w:r w:rsidRPr="00687DCB">
        <w:t xml:space="preserve">World Bank. (2023). </w:t>
      </w:r>
      <w:r w:rsidRPr="00687DCB">
        <w:rPr>
          <w:rStyle w:val="Emphasis"/>
          <w:rFonts w:eastAsiaTheme="majorEastAsia"/>
        </w:rPr>
        <w:t>Digital transformation in education systems: Policy and practice for resilience</w:t>
      </w:r>
      <w:r w:rsidRPr="00687DCB">
        <w:t>. Washington, DC: World Bank.</w:t>
      </w:r>
    </w:p>
    <w:p w14:paraId="6A4330EE" w14:textId="77777777" w:rsidR="007E6380" w:rsidRPr="00687DCB" w:rsidRDefault="007E6380" w:rsidP="008C52DA">
      <w:pPr>
        <w:pStyle w:val="NormalWeb"/>
        <w:spacing w:line="360" w:lineRule="auto"/>
        <w:jc w:val="both"/>
      </w:pPr>
      <w:r w:rsidRPr="00687DCB">
        <w:t xml:space="preserve">World Bank. (2023). </w:t>
      </w:r>
      <w:r w:rsidRPr="00687DCB">
        <w:rPr>
          <w:rStyle w:val="Emphasis"/>
          <w:rFonts w:eastAsiaTheme="majorEastAsia"/>
        </w:rPr>
        <w:t>Reimagining human connections: Technology and innovation in education</w:t>
      </w:r>
      <w:r w:rsidRPr="00687DCB">
        <w:t>. Washington, DC: World Bank.</w:t>
      </w:r>
    </w:p>
    <w:p w14:paraId="2EB91665"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World Bank. (2023). </w:t>
      </w:r>
      <w:r w:rsidRPr="00687DCB">
        <w:rPr>
          <w:rFonts w:ascii="Times New Roman" w:eastAsia="Times New Roman" w:hAnsi="Times New Roman" w:cs="Times New Roman"/>
          <w:i/>
          <w:iCs/>
          <w:kern w:val="0"/>
          <w:sz w:val="24"/>
          <w:szCs w:val="24"/>
          <w14:ligatures w14:val="none"/>
        </w:rPr>
        <w:t>Transforming education systems for resilience and sustainability</w:t>
      </w:r>
      <w:r w:rsidRPr="00687DCB">
        <w:rPr>
          <w:rFonts w:ascii="Times New Roman" w:eastAsia="Times New Roman" w:hAnsi="Times New Roman" w:cs="Times New Roman"/>
          <w:kern w:val="0"/>
          <w:sz w:val="24"/>
          <w:szCs w:val="24"/>
          <w14:ligatures w14:val="none"/>
        </w:rPr>
        <w:t>. World Bank Publications.</w:t>
      </w:r>
    </w:p>
    <w:p w14:paraId="0D9CE4CE" w14:textId="77777777" w:rsidR="007E6380" w:rsidRPr="00687DCB" w:rsidRDefault="007E6380" w:rsidP="008C52DA">
      <w:pPr>
        <w:pStyle w:val="NormalWeb"/>
        <w:spacing w:line="360" w:lineRule="auto"/>
        <w:jc w:val="both"/>
      </w:pPr>
      <w:r w:rsidRPr="00687DCB">
        <w:t xml:space="preserve">World Bank. (2023). </w:t>
      </w:r>
      <w:r w:rsidRPr="00687DCB">
        <w:rPr>
          <w:rStyle w:val="Emphasis"/>
          <w:rFonts w:eastAsiaTheme="majorEastAsia"/>
        </w:rPr>
        <w:t>World development report 2023: Learning recovery and resilience in education</w:t>
      </w:r>
      <w:r w:rsidRPr="00687DCB">
        <w:t>. Washington, DC: World Bank.</w:t>
      </w:r>
    </w:p>
    <w:p w14:paraId="57026A95" w14:textId="77777777" w:rsidR="007E6380" w:rsidRPr="00687DCB" w:rsidRDefault="007E6380" w:rsidP="008C52DA">
      <w:pPr>
        <w:pStyle w:val="NormalWeb"/>
        <w:spacing w:line="360" w:lineRule="auto"/>
        <w:jc w:val="both"/>
      </w:pPr>
      <w:r w:rsidRPr="00687DCB">
        <w:t xml:space="preserve">World Bank. (2024). </w:t>
      </w:r>
      <w:r w:rsidRPr="00687DCB">
        <w:rPr>
          <w:rStyle w:val="Emphasis"/>
          <w:rFonts w:eastAsiaTheme="majorEastAsia"/>
        </w:rPr>
        <w:t>Digital development in Africa: Bridging the connectivity gap</w:t>
      </w:r>
      <w:r w:rsidRPr="00687DCB">
        <w:t>. World Bank Group.</w:t>
      </w:r>
    </w:p>
    <w:p w14:paraId="12BFB55E" w14:textId="77777777" w:rsidR="007E6380" w:rsidRPr="00687DCB" w:rsidRDefault="007E6380" w:rsidP="008C52DA">
      <w:pPr>
        <w:pStyle w:val="NormalWeb"/>
        <w:spacing w:line="360" w:lineRule="auto"/>
        <w:jc w:val="both"/>
      </w:pPr>
      <w:r w:rsidRPr="00687DCB">
        <w:t xml:space="preserve">World Bank. (2024). </w:t>
      </w:r>
      <w:r w:rsidRPr="00687DCB">
        <w:rPr>
          <w:rStyle w:val="Emphasis"/>
          <w:rFonts w:eastAsiaTheme="majorEastAsia"/>
        </w:rPr>
        <w:t>Digital transformation in Africa: Building resilient and inclusive education systems</w:t>
      </w:r>
      <w:r w:rsidRPr="00687DCB">
        <w:t>. World Bank Publications.</w:t>
      </w:r>
    </w:p>
    <w:p w14:paraId="5F9D8574" w14:textId="77777777" w:rsidR="007E6380" w:rsidRPr="00687DCB" w:rsidRDefault="007E6380" w:rsidP="008C52DA">
      <w:pPr>
        <w:pStyle w:val="NormalWeb"/>
        <w:spacing w:line="360" w:lineRule="auto"/>
        <w:jc w:val="both"/>
      </w:pPr>
      <w:r w:rsidRPr="00687DCB">
        <w:rPr>
          <w:rStyle w:val="whitespace-normal"/>
          <w:rFonts w:eastAsiaTheme="majorEastAsia"/>
        </w:rPr>
        <w:lastRenderedPageBreak/>
        <w:t>World Bank</w:t>
      </w:r>
      <w:r w:rsidRPr="00687DCB">
        <w:t xml:space="preserve">. (2024). </w:t>
      </w:r>
      <w:r w:rsidRPr="00687DCB">
        <w:rPr>
          <w:rStyle w:val="Emphasis"/>
          <w:rFonts w:eastAsiaTheme="majorEastAsia"/>
        </w:rPr>
        <w:t>Digital transformation in education systems: Policy and implementation strategies</w:t>
      </w:r>
      <w:r w:rsidRPr="00687DCB">
        <w:t>. Washington, DC: World Bank.</w:t>
      </w:r>
    </w:p>
    <w:p w14:paraId="391596B9" w14:textId="77777777" w:rsidR="007E6380" w:rsidRPr="00687DCB" w:rsidRDefault="007E6380" w:rsidP="008C52DA">
      <w:pPr>
        <w:pStyle w:val="NormalWeb"/>
        <w:spacing w:line="360" w:lineRule="auto"/>
        <w:jc w:val="both"/>
      </w:pPr>
      <w:r w:rsidRPr="00687DCB">
        <w:t xml:space="preserve">World Bank. (2024). </w:t>
      </w:r>
      <w:r w:rsidRPr="00687DCB">
        <w:rPr>
          <w:rStyle w:val="Emphasis"/>
          <w:rFonts w:eastAsiaTheme="majorEastAsia"/>
        </w:rPr>
        <w:t>Education and technology in Sub-Saharan Africa: Policy and practice for resilience</w:t>
      </w:r>
      <w:r w:rsidRPr="00687DCB">
        <w:t>. World Bank.</w:t>
      </w:r>
    </w:p>
    <w:p w14:paraId="0C43FA0C" w14:textId="77777777" w:rsidR="007E6380" w:rsidRPr="00687DCB" w:rsidRDefault="007E6380" w:rsidP="008C52DA">
      <w:pPr>
        <w:pStyle w:val="NormalWeb"/>
        <w:spacing w:line="360" w:lineRule="auto"/>
        <w:jc w:val="both"/>
      </w:pPr>
      <w:r w:rsidRPr="00687DCB">
        <w:t xml:space="preserve">Yin, R., K. (2018). </w:t>
      </w:r>
      <w:r w:rsidRPr="00687DCB">
        <w:rPr>
          <w:rStyle w:val="Emphasis"/>
          <w:rFonts w:eastAsiaTheme="majorEastAsia"/>
        </w:rPr>
        <w:t>Case study research and applications: Design and methods</w:t>
      </w:r>
      <w:r w:rsidRPr="00687DCB">
        <w:t xml:space="preserve"> (6th ed.). SAGE Publications.</w:t>
      </w:r>
    </w:p>
    <w:p w14:paraId="26DC52BC" w14:textId="77777777" w:rsidR="007E6380" w:rsidRPr="00687DCB" w:rsidRDefault="007E6380" w:rsidP="008C52DA">
      <w:pPr>
        <w:pStyle w:val="NormalWeb"/>
        <w:spacing w:line="360" w:lineRule="auto"/>
        <w:jc w:val="both"/>
      </w:pPr>
      <w:r w:rsidRPr="00687DCB">
        <w:t xml:space="preserve">Yin, R., K. (2023). </w:t>
      </w:r>
      <w:r w:rsidRPr="00687DCB">
        <w:rPr>
          <w:rStyle w:val="Emphasis"/>
          <w:rFonts w:eastAsiaTheme="majorEastAsia"/>
        </w:rPr>
        <w:t>Case study research and applications</w:t>
      </w:r>
      <w:r w:rsidRPr="00687DCB">
        <w:t xml:space="preserve"> (7th ed.). Sage.</w:t>
      </w:r>
    </w:p>
    <w:p w14:paraId="2E8572E2" w14:textId="77777777" w:rsidR="00D77B04" w:rsidRPr="00687DCB" w:rsidRDefault="00D77B04" w:rsidP="008C52DA">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687DCB">
        <w:rPr>
          <w:rFonts w:ascii="Times New Roman" w:eastAsia="Times New Roman" w:hAnsi="Times New Roman" w:cs="Times New Roman"/>
          <w:vanish/>
          <w:kern w:val="0"/>
          <w:sz w:val="24"/>
          <w:szCs w:val="24"/>
          <w14:ligatures w14:val="none"/>
        </w:rPr>
        <w:t>Top of Form</w:t>
      </w:r>
    </w:p>
    <w:p w14:paraId="5095179A" w14:textId="77777777" w:rsidR="00D77B04" w:rsidRPr="00687DCB" w:rsidRDefault="00D77B04" w:rsidP="008C52DA">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687DCB">
        <w:rPr>
          <w:rFonts w:ascii="Times New Roman" w:eastAsia="Times New Roman" w:hAnsi="Times New Roman" w:cs="Times New Roman"/>
          <w:vanish/>
          <w:kern w:val="0"/>
          <w:sz w:val="24"/>
          <w:szCs w:val="24"/>
          <w14:ligatures w14:val="none"/>
        </w:rPr>
        <w:t>Bottom of Form</w:t>
      </w:r>
    </w:p>
    <w:p w14:paraId="65BD79C0" w14:textId="77777777" w:rsidR="00FA3174" w:rsidRPr="00687DCB" w:rsidRDefault="00FA3174" w:rsidP="008C52DA">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687DCB">
        <w:rPr>
          <w:rFonts w:ascii="Times New Roman" w:eastAsia="Times New Roman" w:hAnsi="Times New Roman" w:cs="Times New Roman"/>
          <w:vanish/>
          <w:kern w:val="0"/>
          <w:sz w:val="24"/>
          <w:szCs w:val="24"/>
          <w14:ligatures w14:val="none"/>
        </w:rPr>
        <w:t>Top of Form</w:t>
      </w:r>
    </w:p>
    <w:p w14:paraId="30F49FAE" w14:textId="77777777" w:rsidR="00FA3174" w:rsidRPr="008C52DA" w:rsidRDefault="00FA3174" w:rsidP="008C52DA">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687DCB">
        <w:rPr>
          <w:rFonts w:ascii="Times New Roman" w:eastAsia="Times New Roman" w:hAnsi="Times New Roman" w:cs="Times New Roman"/>
          <w:vanish/>
          <w:kern w:val="0"/>
          <w:sz w:val="24"/>
          <w:szCs w:val="24"/>
          <w14:ligatures w14:val="none"/>
        </w:rPr>
        <w:t>Bottom of Form</w:t>
      </w:r>
    </w:p>
    <w:p w14:paraId="75F75ADC" w14:textId="77777777" w:rsidR="0078556F" w:rsidRPr="008C52DA" w:rsidRDefault="0078556F" w:rsidP="008C52DA">
      <w:pPr>
        <w:jc w:val="both"/>
        <w:rPr>
          <w:rFonts w:ascii="Times New Roman" w:hAnsi="Times New Roman" w:cs="Times New Roman"/>
          <w:sz w:val="24"/>
          <w:szCs w:val="24"/>
        </w:rPr>
      </w:pPr>
    </w:p>
    <w:sectPr w:rsidR="0078556F" w:rsidRPr="008C52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B7F5A" w14:textId="77777777" w:rsidR="008C4B16" w:rsidRDefault="008C4B16" w:rsidP="002510BB">
      <w:pPr>
        <w:spacing w:after="0" w:line="240" w:lineRule="auto"/>
      </w:pPr>
      <w:r>
        <w:separator/>
      </w:r>
    </w:p>
  </w:endnote>
  <w:endnote w:type="continuationSeparator" w:id="0">
    <w:p w14:paraId="5746AFEB" w14:textId="77777777" w:rsidR="008C4B16" w:rsidRDefault="008C4B16" w:rsidP="0025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6315" w14:textId="77777777" w:rsidR="002510BB" w:rsidRDefault="00251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12A6C" w14:textId="77777777" w:rsidR="002510BB" w:rsidRDefault="00251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D2C60" w14:textId="77777777" w:rsidR="002510BB" w:rsidRDefault="00251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F6139" w14:textId="77777777" w:rsidR="008C4B16" w:rsidRDefault="008C4B16" w:rsidP="002510BB">
      <w:pPr>
        <w:spacing w:after="0" w:line="240" w:lineRule="auto"/>
      </w:pPr>
      <w:r>
        <w:separator/>
      </w:r>
    </w:p>
  </w:footnote>
  <w:footnote w:type="continuationSeparator" w:id="0">
    <w:p w14:paraId="25522341" w14:textId="77777777" w:rsidR="008C4B16" w:rsidRDefault="008C4B16" w:rsidP="00251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DC33" w14:textId="706D9B4F" w:rsidR="002510BB" w:rsidRDefault="008C4B16">
    <w:pPr>
      <w:pStyle w:val="Header"/>
    </w:pPr>
    <w:r>
      <w:rPr>
        <w:noProof/>
      </w:rPr>
      <w:pict w14:anchorId="18362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757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277E" w14:textId="4755103E" w:rsidR="002510BB" w:rsidRDefault="008C4B16">
    <w:pPr>
      <w:pStyle w:val="Header"/>
    </w:pPr>
    <w:r>
      <w:rPr>
        <w:noProof/>
      </w:rPr>
      <w:pict w14:anchorId="5DC77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757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7BA0" w14:textId="619E0F15" w:rsidR="002510BB" w:rsidRDefault="008C4B16">
    <w:pPr>
      <w:pStyle w:val="Header"/>
    </w:pPr>
    <w:r>
      <w:rPr>
        <w:noProof/>
      </w:rPr>
      <w:pict w14:anchorId="08272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757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4235"/>
    <w:multiLevelType w:val="multilevel"/>
    <w:tmpl w:val="4636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875C8"/>
    <w:multiLevelType w:val="multilevel"/>
    <w:tmpl w:val="8BB08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A35BB"/>
    <w:multiLevelType w:val="hybridMultilevel"/>
    <w:tmpl w:val="05CA82A0"/>
    <w:lvl w:ilvl="0" w:tplc="608C3626">
      <w:start w:val="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3C15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DA8F3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0E7FE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C673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A26A3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8807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3A2B4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0A978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C24E07"/>
    <w:multiLevelType w:val="multilevel"/>
    <w:tmpl w:val="669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D3FB3"/>
    <w:multiLevelType w:val="multilevel"/>
    <w:tmpl w:val="116E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92EA1"/>
    <w:multiLevelType w:val="multilevel"/>
    <w:tmpl w:val="33440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8193A"/>
    <w:multiLevelType w:val="multilevel"/>
    <w:tmpl w:val="EFCC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06103"/>
    <w:multiLevelType w:val="multilevel"/>
    <w:tmpl w:val="0FA2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06716"/>
    <w:multiLevelType w:val="multilevel"/>
    <w:tmpl w:val="0398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342B1"/>
    <w:multiLevelType w:val="multilevel"/>
    <w:tmpl w:val="5FA8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F1A33"/>
    <w:multiLevelType w:val="multilevel"/>
    <w:tmpl w:val="A22E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250CC"/>
    <w:multiLevelType w:val="multilevel"/>
    <w:tmpl w:val="B0AA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5317F"/>
    <w:multiLevelType w:val="multilevel"/>
    <w:tmpl w:val="345C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12CA4"/>
    <w:multiLevelType w:val="multilevel"/>
    <w:tmpl w:val="7EF6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52375"/>
    <w:multiLevelType w:val="multilevel"/>
    <w:tmpl w:val="D9C6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565D49"/>
    <w:multiLevelType w:val="multilevel"/>
    <w:tmpl w:val="0DA4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18042F"/>
    <w:multiLevelType w:val="multilevel"/>
    <w:tmpl w:val="7DA6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13821"/>
    <w:multiLevelType w:val="multilevel"/>
    <w:tmpl w:val="F2C6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17780D"/>
    <w:multiLevelType w:val="multilevel"/>
    <w:tmpl w:val="B3D4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360B9"/>
    <w:multiLevelType w:val="multilevel"/>
    <w:tmpl w:val="EDBC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0866F8"/>
    <w:multiLevelType w:val="multilevel"/>
    <w:tmpl w:val="2992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654695"/>
    <w:multiLevelType w:val="multilevel"/>
    <w:tmpl w:val="29E81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917D6F"/>
    <w:multiLevelType w:val="multilevel"/>
    <w:tmpl w:val="D226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15"/>
  </w:num>
  <w:num w:numId="4">
    <w:abstractNumId w:val="5"/>
  </w:num>
  <w:num w:numId="5">
    <w:abstractNumId w:val="3"/>
  </w:num>
  <w:num w:numId="6">
    <w:abstractNumId w:val="6"/>
  </w:num>
  <w:num w:numId="7">
    <w:abstractNumId w:val="10"/>
  </w:num>
  <w:num w:numId="8">
    <w:abstractNumId w:val="11"/>
  </w:num>
  <w:num w:numId="9">
    <w:abstractNumId w:val="8"/>
  </w:num>
  <w:num w:numId="10">
    <w:abstractNumId w:val="9"/>
  </w:num>
  <w:num w:numId="11">
    <w:abstractNumId w:val="1"/>
  </w:num>
  <w:num w:numId="12">
    <w:abstractNumId w:val="14"/>
  </w:num>
  <w:num w:numId="13">
    <w:abstractNumId w:val="21"/>
  </w:num>
  <w:num w:numId="14">
    <w:abstractNumId w:val="20"/>
  </w:num>
  <w:num w:numId="15">
    <w:abstractNumId w:val="0"/>
  </w:num>
  <w:num w:numId="16">
    <w:abstractNumId w:val="19"/>
  </w:num>
  <w:num w:numId="17">
    <w:abstractNumId w:val="17"/>
  </w:num>
  <w:num w:numId="18">
    <w:abstractNumId w:val="16"/>
  </w:num>
  <w:num w:numId="19">
    <w:abstractNumId w:val="13"/>
  </w:num>
  <w:num w:numId="20">
    <w:abstractNumId w:val="7"/>
  </w:num>
  <w:num w:numId="21">
    <w:abstractNumId w:val="12"/>
  </w:num>
  <w:num w:numId="22">
    <w:abstractNumId w:val="2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DE6"/>
    <w:rsid w:val="000C0F02"/>
    <w:rsid w:val="00127397"/>
    <w:rsid w:val="00175695"/>
    <w:rsid w:val="00190B3B"/>
    <w:rsid w:val="001E2F65"/>
    <w:rsid w:val="002265BD"/>
    <w:rsid w:val="002510BB"/>
    <w:rsid w:val="002662B5"/>
    <w:rsid w:val="00271AF1"/>
    <w:rsid w:val="002A0A8C"/>
    <w:rsid w:val="002D4F0F"/>
    <w:rsid w:val="00306DAC"/>
    <w:rsid w:val="003163F6"/>
    <w:rsid w:val="00320072"/>
    <w:rsid w:val="0033126C"/>
    <w:rsid w:val="0036702D"/>
    <w:rsid w:val="0038167E"/>
    <w:rsid w:val="003A3165"/>
    <w:rsid w:val="003B57DE"/>
    <w:rsid w:val="003D5C4F"/>
    <w:rsid w:val="003E4825"/>
    <w:rsid w:val="003F42C1"/>
    <w:rsid w:val="00404A89"/>
    <w:rsid w:val="004332EA"/>
    <w:rsid w:val="0047315F"/>
    <w:rsid w:val="00483B67"/>
    <w:rsid w:val="004B562A"/>
    <w:rsid w:val="004E4FFD"/>
    <w:rsid w:val="0054753E"/>
    <w:rsid w:val="005D64E9"/>
    <w:rsid w:val="00682B74"/>
    <w:rsid w:val="00687DCB"/>
    <w:rsid w:val="006B7658"/>
    <w:rsid w:val="006E30A0"/>
    <w:rsid w:val="006F4E0A"/>
    <w:rsid w:val="00714A11"/>
    <w:rsid w:val="007164F4"/>
    <w:rsid w:val="00724E81"/>
    <w:rsid w:val="00747208"/>
    <w:rsid w:val="00757E55"/>
    <w:rsid w:val="0076434D"/>
    <w:rsid w:val="00781C7E"/>
    <w:rsid w:val="0078556F"/>
    <w:rsid w:val="007B3376"/>
    <w:rsid w:val="007C1228"/>
    <w:rsid w:val="007E6380"/>
    <w:rsid w:val="00803838"/>
    <w:rsid w:val="00803992"/>
    <w:rsid w:val="0081317B"/>
    <w:rsid w:val="00830F6A"/>
    <w:rsid w:val="00843008"/>
    <w:rsid w:val="008A7AD4"/>
    <w:rsid w:val="008B0FB7"/>
    <w:rsid w:val="008B2DE6"/>
    <w:rsid w:val="008B5F63"/>
    <w:rsid w:val="008C4B16"/>
    <w:rsid w:val="008C52DA"/>
    <w:rsid w:val="008E3DE5"/>
    <w:rsid w:val="008E751F"/>
    <w:rsid w:val="00962264"/>
    <w:rsid w:val="00970A4C"/>
    <w:rsid w:val="00972209"/>
    <w:rsid w:val="009E46D4"/>
    <w:rsid w:val="00A008AB"/>
    <w:rsid w:val="00A11330"/>
    <w:rsid w:val="00A22611"/>
    <w:rsid w:val="00A4195A"/>
    <w:rsid w:val="00A5665F"/>
    <w:rsid w:val="00A81424"/>
    <w:rsid w:val="00B04E7A"/>
    <w:rsid w:val="00B332D2"/>
    <w:rsid w:val="00B37AD0"/>
    <w:rsid w:val="00B416A0"/>
    <w:rsid w:val="00B437D4"/>
    <w:rsid w:val="00B66DE6"/>
    <w:rsid w:val="00B77D9F"/>
    <w:rsid w:val="00B8334C"/>
    <w:rsid w:val="00B963B7"/>
    <w:rsid w:val="00BA266C"/>
    <w:rsid w:val="00BB1BB6"/>
    <w:rsid w:val="00BC0A1D"/>
    <w:rsid w:val="00BC31B5"/>
    <w:rsid w:val="00C053F7"/>
    <w:rsid w:val="00C171D7"/>
    <w:rsid w:val="00C21863"/>
    <w:rsid w:val="00CB168A"/>
    <w:rsid w:val="00D11358"/>
    <w:rsid w:val="00D22F3B"/>
    <w:rsid w:val="00D6305B"/>
    <w:rsid w:val="00D77B04"/>
    <w:rsid w:val="00DC75D2"/>
    <w:rsid w:val="00DD22EF"/>
    <w:rsid w:val="00E72937"/>
    <w:rsid w:val="00EB04FE"/>
    <w:rsid w:val="00EC12C1"/>
    <w:rsid w:val="00F321A7"/>
    <w:rsid w:val="00F54ACC"/>
    <w:rsid w:val="00F6130F"/>
    <w:rsid w:val="00F613B5"/>
    <w:rsid w:val="00FA25CF"/>
    <w:rsid w:val="00FA3174"/>
    <w:rsid w:val="00FB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F058A1"/>
  <w15:chartTrackingRefBased/>
  <w15:docId w15:val="{06491273-FD5B-47AE-AC22-B7EF4F15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2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2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2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2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2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2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2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2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2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2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DE6"/>
    <w:rPr>
      <w:rFonts w:eastAsiaTheme="majorEastAsia" w:cstheme="majorBidi"/>
      <w:color w:val="272727" w:themeColor="text1" w:themeTint="D8"/>
    </w:rPr>
  </w:style>
  <w:style w:type="paragraph" w:styleId="Title">
    <w:name w:val="Title"/>
    <w:basedOn w:val="Normal"/>
    <w:next w:val="Normal"/>
    <w:link w:val="TitleChar"/>
    <w:uiPriority w:val="10"/>
    <w:qFormat/>
    <w:rsid w:val="008B2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DE6"/>
    <w:pPr>
      <w:spacing w:before="160"/>
      <w:jc w:val="center"/>
    </w:pPr>
    <w:rPr>
      <w:i/>
      <w:iCs/>
      <w:color w:val="404040" w:themeColor="text1" w:themeTint="BF"/>
    </w:rPr>
  </w:style>
  <w:style w:type="character" w:customStyle="1" w:styleId="QuoteChar">
    <w:name w:val="Quote Char"/>
    <w:basedOn w:val="DefaultParagraphFont"/>
    <w:link w:val="Quote"/>
    <w:uiPriority w:val="29"/>
    <w:rsid w:val="008B2DE6"/>
    <w:rPr>
      <w:i/>
      <w:iCs/>
      <w:color w:val="404040" w:themeColor="text1" w:themeTint="BF"/>
    </w:rPr>
  </w:style>
  <w:style w:type="paragraph" w:styleId="ListParagraph">
    <w:name w:val="List Paragraph"/>
    <w:basedOn w:val="Normal"/>
    <w:uiPriority w:val="34"/>
    <w:qFormat/>
    <w:rsid w:val="008B2DE6"/>
    <w:pPr>
      <w:ind w:left="720"/>
      <w:contextualSpacing/>
    </w:pPr>
  </w:style>
  <w:style w:type="character" w:styleId="IntenseEmphasis">
    <w:name w:val="Intense Emphasis"/>
    <w:basedOn w:val="DefaultParagraphFont"/>
    <w:uiPriority w:val="21"/>
    <w:qFormat/>
    <w:rsid w:val="008B2DE6"/>
    <w:rPr>
      <w:i/>
      <w:iCs/>
      <w:color w:val="2F5496" w:themeColor="accent1" w:themeShade="BF"/>
    </w:rPr>
  </w:style>
  <w:style w:type="paragraph" w:styleId="IntenseQuote">
    <w:name w:val="Intense Quote"/>
    <w:basedOn w:val="Normal"/>
    <w:next w:val="Normal"/>
    <w:link w:val="IntenseQuoteChar"/>
    <w:uiPriority w:val="30"/>
    <w:qFormat/>
    <w:rsid w:val="008B2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2DE6"/>
    <w:rPr>
      <w:i/>
      <w:iCs/>
      <w:color w:val="2F5496" w:themeColor="accent1" w:themeShade="BF"/>
    </w:rPr>
  </w:style>
  <w:style w:type="character" w:styleId="IntenseReference">
    <w:name w:val="Intense Reference"/>
    <w:basedOn w:val="DefaultParagraphFont"/>
    <w:uiPriority w:val="32"/>
    <w:qFormat/>
    <w:rsid w:val="008B2DE6"/>
    <w:rPr>
      <w:b/>
      <w:bCs/>
      <w:smallCaps/>
      <w:color w:val="2F5496" w:themeColor="accent1" w:themeShade="BF"/>
      <w:spacing w:val="5"/>
    </w:rPr>
  </w:style>
  <w:style w:type="paragraph" w:styleId="NormalWeb">
    <w:name w:val="Normal (Web)"/>
    <w:basedOn w:val="Normal"/>
    <w:uiPriority w:val="99"/>
    <w:semiHidden/>
    <w:unhideWhenUsed/>
    <w:rsid w:val="008B2D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hitespace-normal">
    <w:name w:val="whitespace-normal"/>
    <w:basedOn w:val="DefaultParagraphFont"/>
    <w:rsid w:val="0078556F"/>
  </w:style>
  <w:style w:type="character" w:styleId="Strong">
    <w:name w:val="Strong"/>
    <w:basedOn w:val="DefaultParagraphFont"/>
    <w:uiPriority w:val="22"/>
    <w:qFormat/>
    <w:rsid w:val="0078556F"/>
    <w:rPr>
      <w:b/>
      <w:bCs/>
    </w:rPr>
  </w:style>
  <w:style w:type="character" w:styleId="Emphasis">
    <w:name w:val="Emphasis"/>
    <w:basedOn w:val="DefaultParagraphFont"/>
    <w:uiPriority w:val="20"/>
    <w:qFormat/>
    <w:rsid w:val="0078556F"/>
    <w:rPr>
      <w:i/>
      <w:iCs/>
    </w:rPr>
  </w:style>
  <w:style w:type="character" w:styleId="Hyperlink">
    <w:name w:val="Hyperlink"/>
    <w:basedOn w:val="DefaultParagraphFont"/>
    <w:uiPriority w:val="99"/>
    <w:unhideWhenUsed/>
    <w:rsid w:val="002A0A8C"/>
    <w:rPr>
      <w:color w:val="0000FF"/>
      <w:u w:val="single"/>
    </w:rPr>
  </w:style>
  <w:style w:type="character" w:customStyle="1" w:styleId="UnresolvedMention1">
    <w:name w:val="Unresolved Mention1"/>
    <w:basedOn w:val="DefaultParagraphFont"/>
    <w:uiPriority w:val="99"/>
    <w:semiHidden/>
    <w:unhideWhenUsed/>
    <w:rsid w:val="00DD22EF"/>
    <w:rPr>
      <w:color w:val="605E5C"/>
      <w:shd w:val="clear" w:color="auto" w:fill="E1DFDD"/>
    </w:rPr>
  </w:style>
  <w:style w:type="paragraph" w:styleId="Header">
    <w:name w:val="header"/>
    <w:basedOn w:val="Normal"/>
    <w:link w:val="HeaderChar"/>
    <w:uiPriority w:val="99"/>
    <w:unhideWhenUsed/>
    <w:rsid w:val="00251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BB"/>
  </w:style>
  <w:style w:type="paragraph" w:styleId="Footer">
    <w:name w:val="footer"/>
    <w:basedOn w:val="Normal"/>
    <w:link w:val="FooterChar"/>
    <w:uiPriority w:val="99"/>
    <w:unhideWhenUsed/>
    <w:rsid w:val="00251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40685-019-0085-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28</Pages>
  <Words>9936</Words>
  <Characters>56640</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1181</cp:lastModifiedBy>
  <cp:revision>8</cp:revision>
  <dcterms:created xsi:type="dcterms:W3CDTF">2026-03-29T07:55:00Z</dcterms:created>
  <dcterms:modified xsi:type="dcterms:W3CDTF">2026-04-03T08:51:00Z</dcterms:modified>
</cp:coreProperties>
</file>