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20EC" w14:textId="14CC3CE1" w:rsidR="00DA0CC6" w:rsidRPr="00C00008" w:rsidRDefault="00DA0CC6" w:rsidP="004B4C57">
      <w:pPr>
        <w:jc w:val="center"/>
        <w:rPr>
          <w:rFonts w:ascii="Times New Roman" w:hAnsi="Times New Roman" w:cs="Times New Roman"/>
          <w:b/>
          <w:bCs/>
        </w:rPr>
      </w:pPr>
      <w:r w:rsidRPr="00C00008">
        <w:rPr>
          <w:rFonts w:ascii="Times New Roman" w:hAnsi="Times New Roman" w:cs="Times New Roman"/>
          <w:b/>
          <w:bCs/>
        </w:rPr>
        <w:t>Long</w:t>
      </w:r>
      <w:r w:rsidR="00BC5B07">
        <w:rPr>
          <w:rFonts w:ascii="Times New Roman" w:hAnsi="Times New Roman" w:cs="Times New Roman"/>
          <w:b/>
          <w:bCs/>
        </w:rPr>
        <w:t xml:space="preserve"> </w:t>
      </w:r>
      <w:r w:rsidRPr="00C00008">
        <w:rPr>
          <w:rFonts w:ascii="Times New Roman" w:hAnsi="Times New Roman" w:cs="Times New Roman"/>
          <w:b/>
          <w:bCs/>
        </w:rPr>
        <w:t xml:space="preserve">Term Impact of Organic </w:t>
      </w:r>
      <w:r w:rsidR="00D761F4">
        <w:rPr>
          <w:rFonts w:ascii="Times New Roman" w:hAnsi="Times New Roman" w:cs="Times New Roman"/>
          <w:b/>
          <w:bCs/>
        </w:rPr>
        <w:t xml:space="preserve">and Inorganic </w:t>
      </w:r>
      <w:r w:rsidRPr="00C00008">
        <w:rPr>
          <w:rFonts w:ascii="Times New Roman" w:hAnsi="Times New Roman" w:cs="Times New Roman"/>
          <w:b/>
          <w:bCs/>
        </w:rPr>
        <w:t xml:space="preserve">Farming </w:t>
      </w:r>
      <w:r w:rsidR="005E2DFD">
        <w:rPr>
          <w:rFonts w:ascii="Times New Roman" w:hAnsi="Times New Roman" w:cs="Times New Roman"/>
          <w:b/>
          <w:bCs/>
        </w:rPr>
        <w:t xml:space="preserve">Practices </w:t>
      </w:r>
      <w:r w:rsidRPr="00C00008">
        <w:rPr>
          <w:rFonts w:ascii="Times New Roman" w:hAnsi="Times New Roman" w:cs="Times New Roman"/>
          <w:b/>
          <w:bCs/>
        </w:rPr>
        <w:t>on Productivity and Quality of Sugarcane</w:t>
      </w:r>
    </w:p>
    <w:p w14:paraId="610E4924" w14:textId="77777777" w:rsidR="009D0AFD" w:rsidRDefault="009D0AFD" w:rsidP="00BF476F">
      <w:pPr>
        <w:jc w:val="both"/>
        <w:rPr>
          <w:rFonts w:ascii="Times New Roman" w:hAnsi="Times New Roman" w:cs="Times New Roman"/>
          <w:b/>
          <w:bCs/>
        </w:rPr>
      </w:pPr>
    </w:p>
    <w:p w14:paraId="5CE762A1" w14:textId="77777777" w:rsidR="009D0AFD" w:rsidRDefault="009D0AFD" w:rsidP="00BF476F">
      <w:pPr>
        <w:jc w:val="both"/>
        <w:rPr>
          <w:rFonts w:ascii="Times New Roman" w:hAnsi="Times New Roman" w:cs="Times New Roman"/>
          <w:b/>
          <w:bCs/>
        </w:rPr>
      </w:pPr>
    </w:p>
    <w:p w14:paraId="74FB9831" w14:textId="7C18C26A" w:rsidR="000A3EEB" w:rsidRPr="00C00008" w:rsidRDefault="000A3EEB" w:rsidP="00BF476F">
      <w:pPr>
        <w:jc w:val="both"/>
        <w:rPr>
          <w:rFonts w:ascii="Times New Roman" w:hAnsi="Times New Roman" w:cs="Times New Roman"/>
          <w:b/>
          <w:bCs/>
        </w:rPr>
      </w:pPr>
      <w:bookmarkStart w:id="0" w:name="_GoBack"/>
      <w:bookmarkEnd w:id="0"/>
      <w:r w:rsidRPr="00C00008">
        <w:rPr>
          <w:rFonts w:ascii="Times New Roman" w:hAnsi="Times New Roman" w:cs="Times New Roman"/>
          <w:b/>
          <w:bCs/>
        </w:rPr>
        <w:t>Abstract</w:t>
      </w:r>
    </w:p>
    <w:p w14:paraId="6C4044D9" w14:textId="68B40602" w:rsidR="005E251D" w:rsidRPr="00E73F8E" w:rsidRDefault="000A3EEB" w:rsidP="00524BA7">
      <w:pPr>
        <w:spacing w:line="240" w:lineRule="auto"/>
        <w:jc w:val="both"/>
        <w:rPr>
          <w:rFonts w:ascii="Times New Roman" w:hAnsi="Times New Roman" w:cs="Times New Roman"/>
        </w:rPr>
      </w:pPr>
      <w:r w:rsidRPr="00C00008">
        <w:rPr>
          <w:rFonts w:ascii="Times New Roman" w:hAnsi="Times New Roman" w:cs="Times New Roman"/>
        </w:rPr>
        <w:t>A field experiment was conducted during 201</w:t>
      </w:r>
      <w:r w:rsidR="00DC67F8">
        <w:rPr>
          <w:rFonts w:ascii="Times New Roman" w:hAnsi="Times New Roman" w:cs="Times New Roman"/>
        </w:rPr>
        <w:t>4</w:t>
      </w:r>
      <w:r w:rsidRPr="00C00008">
        <w:rPr>
          <w:rFonts w:ascii="Times New Roman" w:hAnsi="Times New Roman" w:cs="Times New Roman"/>
        </w:rPr>
        <w:t>–1</w:t>
      </w:r>
      <w:r w:rsidR="00DC67F8">
        <w:rPr>
          <w:rFonts w:ascii="Times New Roman" w:hAnsi="Times New Roman" w:cs="Times New Roman"/>
        </w:rPr>
        <w:t>5</w:t>
      </w:r>
      <w:r w:rsidRPr="00C00008">
        <w:rPr>
          <w:rFonts w:ascii="Times New Roman" w:hAnsi="Times New Roman" w:cs="Times New Roman"/>
        </w:rPr>
        <w:t xml:space="preserve"> to 20</w:t>
      </w:r>
      <w:r w:rsidR="00DC67F8">
        <w:rPr>
          <w:rFonts w:ascii="Times New Roman" w:hAnsi="Times New Roman" w:cs="Times New Roman"/>
        </w:rPr>
        <w:t>20</w:t>
      </w:r>
      <w:r w:rsidRPr="00C00008">
        <w:rPr>
          <w:rFonts w:ascii="Times New Roman" w:hAnsi="Times New Roman" w:cs="Times New Roman"/>
        </w:rPr>
        <w:t>–</w:t>
      </w:r>
      <w:r w:rsidR="00DC67F8">
        <w:rPr>
          <w:rFonts w:ascii="Times New Roman" w:hAnsi="Times New Roman" w:cs="Times New Roman"/>
        </w:rPr>
        <w:t>21</w:t>
      </w:r>
      <w:r w:rsidRPr="00C00008">
        <w:rPr>
          <w:rFonts w:ascii="Times New Roman" w:hAnsi="Times New Roman" w:cs="Times New Roman"/>
        </w:rPr>
        <w:t xml:space="preserve"> to evaluate the effect of </w:t>
      </w:r>
      <w:r w:rsidR="00E96C39">
        <w:rPr>
          <w:rFonts w:ascii="Times New Roman" w:hAnsi="Times New Roman" w:cs="Times New Roman"/>
        </w:rPr>
        <w:t xml:space="preserve">organic </w:t>
      </w:r>
      <w:r w:rsidR="003D1442">
        <w:rPr>
          <w:rFonts w:ascii="Times New Roman" w:hAnsi="Times New Roman" w:cs="Times New Roman"/>
        </w:rPr>
        <w:t xml:space="preserve">and inorganic </w:t>
      </w:r>
      <w:r w:rsidR="00E96C39">
        <w:rPr>
          <w:rFonts w:ascii="Times New Roman" w:hAnsi="Times New Roman" w:cs="Times New Roman"/>
        </w:rPr>
        <w:t>farming practice</w:t>
      </w:r>
      <w:r w:rsidR="003D1442">
        <w:rPr>
          <w:rFonts w:ascii="Times New Roman" w:hAnsi="Times New Roman" w:cs="Times New Roman"/>
        </w:rPr>
        <w:t>s</w:t>
      </w:r>
      <w:r w:rsidR="00E96C39" w:rsidRPr="00C00008">
        <w:rPr>
          <w:rFonts w:ascii="Times New Roman" w:hAnsi="Times New Roman" w:cs="Times New Roman"/>
        </w:rPr>
        <w:t xml:space="preserve"> </w:t>
      </w:r>
      <w:r w:rsidRPr="00C00008">
        <w:rPr>
          <w:rFonts w:ascii="Times New Roman" w:hAnsi="Times New Roman" w:cs="Times New Roman"/>
        </w:rPr>
        <w:t>on yield and quality of sugarcane (</w:t>
      </w:r>
      <w:r w:rsidRPr="00C00008">
        <w:rPr>
          <w:rFonts w:ascii="Times New Roman" w:hAnsi="Times New Roman" w:cs="Times New Roman"/>
          <w:i/>
          <w:iCs/>
        </w:rPr>
        <w:t>Saccharum officinarum</w:t>
      </w:r>
      <w:r w:rsidRPr="00C00008">
        <w:rPr>
          <w:rFonts w:ascii="Times New Roman" w:hAnsi="Times New Roman" w:cs="Times New Roman"/>
        </w:rPr>
        <w:t xml:space="preserve"> L.). The experiment was laid out in a randomized block design with </w:t>
      </w:r>
      <w:r w:rsidR="00633E3F">
        <w:rPr>
          <w:rFonts w:ascii="Times New Roman" w:hAnsi="Times New Roman" w:cs="Times New Roman"/>
        </w:rPr>
        <w:t>three</w:t>
      </w:r>
      <w:r w:rsidR="00171450" w:rsidRPr="00C00008">
        <w:rPr>
          <w:rFonts w:ascii="Times New Roman" w:hAnsi="Times New Roman" w:cs="Times New Roman"/>
        </w:rPr>
        <w:t xml:space="preserve"> </w:t>
      </w:r>
      <w:r w:rsidRPr="00C00008">
        <w:rPr>
          <w:rFonts w:ascii="Times New Roman" w:hAnsi="Times New Roman" w:cs="Times New Roman"/>
        </w:rPr>
        <w:t xml:space="preserve">treatments, viz., control, organic and inorganic </w:t>
      </w:r>
      <w:r w:rsidR="00E9658F">
        <w:rPr>
          <w:rFonts w:ascii="Times New Roman" w:hAnsi="Times New Roman" w:cs="Times New Roman"/>
        </w:rPr>
        <w:t>farming</w:t>
      </w:r>
      <w:r w:rsidR="007B64A8">
        <w:rPr>
          <w:rFonts w:ascii="Times New Roman" w:hAnsi="Times New Roman" w:cs="Times New Roman"/>
        </w:rPr>
        <w:t xml:space="preserve"> practices</w:t>
      </w:r>
      <w:r w:rsidRPr="00C00008">
        <w:rPr>
          <w:rFonts w:ascii="Times New Roman" w:hAnsi="Times New Roman" w:cs="Times New Roman"/>
        </w:rPr>
        <w:t xml:space="preserve">. The pooled analysis of </w:t>
      </w:r>
      <w:r w:rsidR="004B0A04">
        <w:rPr>
          <w:rFonts w:ascii="Times New Roman" w:hAnsi="Times New Roman" w:cs="Times New Roman"/>
        </w:rPr>
        <w:t xml:space="preserve">7 years </w:t>
      </w:r>
      <w:r w:rsidRPr="00C00008">
        <w:rPr>
          <w:rFonts w:ascii="Times New Roman" w:hAnsi="Times New Roman" w:cs="Times New Roman"/>
        </w:rPr>
        <w:t xml:space="preserve">data revealed that </w:t>
      </w:r>
      <w:r w:rsidR="00404A8C">
        <w:rPr>
          <w:rFonts w:ascii="Times New Roman" w:hAnsi="Times New Roman" w:cs="Times New Roman"/>
        </w:rPr>
        <w:t>inorganic</w:t>
      </w:r>
      <w:r w:rsidRPr="00C00008">
        <w:rPr>
          <w:rFonts w:ascii="Times New Roman" w:hAnsi="Times New Roman" w:cs="Times New Roman"/>
        </w:rPr>
        <w:t xml:space="preserve"> </w:t>
      </w:r>
      <w:r w:rsidR="00E9658F">
        <w:rPr>
          <w:rFonts w:ascii="Times New Roman" w:hAnsi="Times New Roman" w:cs="Times New Roman"/>
        </w:rPr>
        <w:t>farming</w:t>
      </w:r>
      <w:r w:rsidRPr="00C00008">
        <w:rPr>
          <w:rFonts w:ascii="Times New Roman" w:hAnsi="Times New Roman" w:cs="Times New Roman"/>
        </w:rPr>
        <w:t xml:space="preserve"> practices significantly influenced growth</w:t>
      </w:r>
      <w:r w:rsidR="00F8634C">
        <w:rPr>
          <w:rFonts w:ascii="Times New Roman" w:hAnsi="Times New Roman" w:cs="Times New Roman"/>
        </w:rPr>
        <w:t xml:space="preserve"> and</w:t>
      </w:r>
      <w:r w:rsidRPr="00C00008">
        <w:rPr>
          <w:rFonts w:ascii="Times New Roman" w:hAnsi="Times New Roman" w:cs="Times New Roman"/>
        </w:rPr>
        <w:t xml:space="preserve"> yield parameters of sugarcane. Among the treatments, inorganic </w:t>
      </w:r>
      <w:r w:rsidR="0091696C">
        <w:rPr>
          <w:rFonts w:ascii="Times New Roman" w:hAnsi="Times New Roman" w:cs="Times New Roman"/>
        </w:rPr>
        <w:t>farming</w:t>
      </w:r>
      <w:r w:rsidRPr="00C00008">
        <w:rPr>
          <w:rFonts w:ascii="Times New Roman" w:hAnsi="Times New Roman" w:cs="Times New Roman"/>
        </w:rPr>
        <w:t xml:space="preserve"> recorded the highest number of </w:t>
      </w:r>
      <w:proofErr w:type="spellStart"/>
      <w:r w:rsidRPr="00C00008">
        <w:rPr>
          <w:rFonts w:ascii="Times New Roman" w:hAnsi="Times New Roman" w:cs="Times New Roman"/>
        </w:rPr>
        <w:t>millable</w:t>
      </w:r>
      <w:proofErr w:type="spellEnd"/>
      <w:r w:rsidRPr="00C00008">
        <w:rPr>
          <w:rFonts w:ascii="Times New Roman" w:hAnsi="Times New Roman" w:cs="Times New Roman"/>
        </w:rPr>
        <w:t xml:space="preserve"> canes (76.72 ×10³ ha⁻¹), cane yield (85.00 t ha⁻¹) and CCS yield (10.06 t ha⁻¹), which were significantly superior over other treatments. However, organic </w:t>
      </w:r>
      <w:r w:rsidR="0091696C">
        <w:rPr>
          <w:rFonts w:ascii="Times New Roman" w:hAnsi="Times New Roman" w:cs="Times New Roman"/>
        </w:rPr>
        <w:t>farming</w:t>
      </w:r>
      <w:r w:rsidRPr="00C00008">
        <w:rPr>
          <w:rFonts w:ascii="Times New Roman" w:hAnsi="Times New Roman" w:cs="Times New Roman"/>
        </w:rPr>
        <w:t xml:space="preserve"> resulted in higher sucrose content (18.05%) and CCS percentage (12.56%), indicating better juice quality. </w:t>
      </w:r>
      <w:r w:rsidR="005E251D" w:rsidRPr="00BC54FC">
        <w:rPr>
          <w:rFonts w:ascii="Times New Roman" w:hAnsi="Times New Roman" w:cs="Times New Roman"/>
        </w:rPr>
        <w:t xml:space="preserve">The study </w:t>
      </w:r>
      <w:r w:rsidR="00524BA7">
        <w:rPr>
          <w:rFonts w:ascii="Times New Roman" w:hAnsi="Times New Roman" w:cs="Times New Roman"/>
        </w:rPr>
        <w:t xml:space="preserve">also </w:t>
      </w:r>
      <w:r w:rsidR="005E251D" w:rsidRPr="00BC54FC">
        <w:rPr>
          <w:rFonts w:ascii="Times New Roman" w:hAnsi="Times New Roman" w:cs="Times New Roman"/>
        </w:rPr>
        <w:t>revealed that organic sugarcane farming recorded a lower benefit</w:t>
      </w:r>
      <w:r w:rsidR="00A84931">
        <w:rPr>
          <w:rFonts w:ascii="Times New Roman" w:hAnsi="Times New Roman" w:cs="Times New Roman"/>
        </w:rPr>
        <w:t xml:space="preserve"> </w:t>
      </w:r>
      <w:r w:rsidR="005E251D" w:rsidRPr="00BC54FC">
        <w:rPr>
          <w:rFonts w:ascii="Times New Roman" w:hAnsi="Times New Roman" w:cs="Times New Roman"/>
        </w:rPr>
        <w:t xml:space="preserve">cost ratio compared to inorganic farming. The higher cost of cultivation in organic </w:t>
      </w:r>
      <w:r w:rsidR="00524BA7">
        <w:rPr>
          <w:rFonts w:ascii="Times New Roman" w:hAnsi="Times New Roman" w:cs="Times New Roman"/>
        </w:rPr>
        <w:t>farming</w:t>
      </w:r>
      <w:r w:rsidR="005E251D" w:rsidRPr="00BC54FC">
        <w:rPr>
          <w:rFonts w:ascii="Times New Roman" w:hAnsi="Times New Roman" w:cs="Times New Roman"/>
        </w:rPr>
        <w:t xml:space="preserve"> is mainly attributed to the purchase of organic inputs. However, if farmers are able to produce organic manures on their own farms at minimal or no cost, the overall expenditure can be significantly reduced. Under such conditions, coupled with the premium price often received for organic produce, organic sugarcane cultivation can become economically profitable.</w:t>
      </w:r>
    </w:p>
    <w:p w14:paraId="5C818716" w14:textId="4C79709F" w:rsidR="00106C44" w:rsidRPr="00C00008" w:rsidRDefault="001D243A" w:rsidP="00BF476F">
      <w:pPr>
        <w:jc w:val="both"/>
        <w:rPr>
          <w:rFonts w:ascii="Times New Roman" w:hAnsi="Times New Roman" w:cs="Times New Roman"/>
          <w:b/>
          <w:bCs/>
        </w:rPr>
      </w:pPr>
      <w:r>
        <w:rPr>
          <w:rFonts w:ascii="Times New Roman" w:hAnsi="Times New Roman" w:cs="Times New Roman"/>
          <w:b/>
          <w:bCs/>
        </w:rPr>
        <w:t xml:space="preserve">1. </w:t>
      </w:r>
      <w:r w:rsidR="00106C44" w:rsidRPr="00C00008">
        <w:rPr>
          <w:rFonts w:ascii="Times New Roman" w:hAnsi="Times New Roman" w:cs="Times New Roman"/>
          <w:b/>
          <w:bCs/>
        </w:rPr>
        <w:t>Introduction</w:t>
      </w:r>
    </w:p>
    <w:p w14:paraId="10A09F81" w14:textId="430AB883" w:rsidR="0061366A" w:rsidRPr="00C00008" w:rsidRDefault="0061366A" w:rsidP="0061366A">
      <w:pPr>
        <w:autoSpaceDE w:val="0"/>
        <w:autoSpaceDN w:val="0"/>
        <w:adjustRightInd w:val="0"/>
        <w:spacing w:before="120" w:after="120" w:line="240" w:lineRule="auto"/>
        <w:ind w:firstLine="720"/>
        <w:jc w:val="both"/>
        <w:rPr>
          <w:rFonts w:ascii="Times New Roman" w:hAnsi="Times New Roman" w:cs="Times New Roman"/>
        </w:rPr>
      </w:pPr>
      <w:r w:rsidRPr="00C00008">
        <w:rPr>
          <w:rFonts w:ascii="Times New Roman" w:hAnsi="Times New Roman" w:cs="Times New Roman"/>
        </w:rPr>
        <w:t>Sugarcane (</w:t>
      </w:r>
      <w:r w:rsidRPr="00C00008">
        <w:rPr>
          <w:rFonts w:ascii="Times New Roman" w:hAnsi="Times New Roman" w:cs="Times New Roman"/>
          <w:i/>
          <w:iCs/>
        </w:rPr>
        <w:t>Saccharum officinarum</w:t>
      </w:r>
      <w:r w:rsidRPr="00C00008">
        <w:rPr>
          <w:rFonts w:ascii="Times New Roman" w:hAnsi="Times New Roman" w:cs="Times New Roman"/>
        </w:rPr>
        <w:t xml:space="preserve"> L.) is one of the most important commercial crops cultivated in tropical and subtropical regions and plays a vital role in the agro-industrial economy of India. India is the second largest producer of sugarcane in the world, contributing significantly to global sugar production and rural employment. During 2024–25, sugarcane was cultivated in about 5.7 million hectares with a production of nearly 454 million tonnes, reflecting the importance of this crop in the national economy (Ministry of Agriculture and Farmers Welfare, 2025). The productivity of sugarcane is greatly influenced by soil fertility, nutrient management, irrigation, and improved varieties. Proper nutrient management plays a crucial role in improving cane yield, juice quality, and sustainability of sugarcane-based production systems (Singh et al., 2020; </w:t>
      </w:r>
      <w:r w:rsidR="00A74114">
        <w:rPr>
          <w:rFonts w:ascii="Times New Roman" w:hAnsi="Times New Roman" w:cs="Times New Roman"/>
        </w:rPr>
        <w:t>Reddy</w:t>
      </w:r>
      <w:r w:rsidRPr="00C00008">
        <w:rPr>
          <w:rFonts w:ascii="Times New Roman" w:hAnsi="Times New Roman" w:cs="Times New Roman"/>
        </w:rPr>
        <w:t xml:space="preserve"> et al., 202</w:t>
      </w:r>
      <w:r w:rsidR="007C2571">
        <w:rPr>
          <w:rFonts w:ascii="Times New Roman" w:hAnsi="Times New Roman" w:cs="Times New Roman"/>
        </w:rPr>
        <w:t>2</w:t>
      </w:r>
      <w:r w:rsidRPr="00C00008">
        <w:rPr>
          <w:rFonts w:ascii="Times New Roman" w:hAnsi="Times New Roman" w:cs="Times New Roman"/>
        </w:rPr>
        <w:t>).</w:t>
      </w:r>
    </w:p>
    <w:p w14:paraId="7D13CA70" w14:textId="77777777" w:rsidR="0061366A" w:rsidRPr="00C00008" w:rsidRDefault="0061366A" w:rsidP="0061366A">
      <w:pPr>
        <w:autoSpaceDE w:val="0"/>
        <w:autoSpaceDN w:val="0"/>
        <w:adjustRightInd w:val="0"/>
        <w:spacing w:before="120" w:after="120" w:line="240" w:lineRule="auto"/>
        <w:ind w:firstLine="720"/>
        <w:jc w:val="both"/>
        <w:rPr>
          <w:rFonts w:ascii="Times New Roman" w:hAnsi="Times New Roman" w:cs="Times New Roman"/>
        </w:rPr>
      </w:pPr>
      <w:r w:rsidRPr="00C00008">
        <w:rPr>
          <w:rFonts w:ascii="Times New Roman" w:hAnsi="Times New Roman" w:cs="Times New Roman"/>
        </w:rPr>
        <w:t xml:space="preserve">In Telangana, sugarcane cultivation is mainly concentrated in the northern districts such as Nizamabad and </w:t>
      </w:r>
      <w:proofErr w:type="spellStart"/>
      <w:r w:rsidRPr="00C00008">
        <w:rPr>
          <w:rFonts w:ascii="Times New Roman" w:hAnsi="Times New Roman" w:cs="Times New Roman"/>
        </w:rPr>
        <w:t>Kamareddy</w:t>
      </w:r>
      <w:proofErr w:type="spellEnd"/>
      <w:r w:rsidRPr="00C00008">
        <w:rPr>
          <w:rFonts w:ascii="Times New Roman" w:hAnsi="Times New Roman" w:cs="Times New Roman"/>
        </w:rPr>
        <w:t xml:space="preserve">, where favourable soil and irrigation conditions support its production. However, the area under sugarcane has declined in recent years due to the closure of sugar factories and changes in cropping patterns. At present, about 18,000 acres of sugarcane are cultivated in Nizamabad and </w:t>
      </w:r>
      <w:proofErr w:type="spellStart"/>
      <w:r w:rsidRPr="00C00008">
        <w:rPr>
          <w:rFonts w:ascii="Times New Roman" w:hAnsi="Times New Roman" w:cs="Times New Roman"/>
        </w:rPr>
        <w:t>Kamareddy</w:t>
      </w:r>
      <w:proofErr w:type="spellEnd"/>
      <w:r w:rsidRPr="00C00008">
        <w:rPr>
          <w:rFonts w:ascii="Times New Roman" w:hAnsi="Times New Roman" w:cs="Times New Roman"/>
        </w:rPr>
        <w:t xml:space="preserve"> districts, producing nearly 5.76 lakh tonnes of cane with an average productivity of around 80 t ha⁻¹, which is higher than the national average. Efficient management of soil nutrients and adoption of improved cultivation practices are therefore essential to sustain productivity and profitability of sugarcane cultivation in the region.</w:t>
      </w:r>
    </w:p>
    <w:p w14:paraId="37B1BE84" w14:textId="4CAE529B" w:rsidR="00D70AC0" w:rsidRPr="00D70AC0" w:rsidRDefault="00D70AC0" w:rsidP="00D70AC0">
      <w:pPr>
        <w:spacing w:line="240" w:lineRule="auto"/>
        <w:ind w:firstLine="720"/>
        <w:jc w:val="both"/>
        <w:rPr>
          <w:rFonts w:ascii="Times New Roman" w:hAnsi="Times New Roman" w:cs="Times New Roman"/>
        </w:rPr>
      </w:pPr>
      <w:r w:rsidRPr="00D70AC0">
        <w:rPr>
          <w:rFonts w:ascii="Times New Roman" w:hAnsi="Times New Roman" w:cs="Times New Roman"/>
        </w:rPr>
        <w:t xml:space="preserve">Inorganic nutrient sources provide readily available nutrients that enhance crop growth and yield in the short term, whereas organic inputs such as farmyard manure, compost, and biofertilizers improve soil physical, chemical, and biological properties over time. According to Ramesh et al. (2005), organic farming enhances soil organic carbon, microbial activity, and nutrient cycling, thereby contributing to sustained crop productivity. Similarly, </w:t>
      </w:r>
      <w:proofErr w:type="spellStart"/>
      <w:r w:rsidRPr="00D70AC0">
        <w:rPr>
          <w:rFonts w:ascii="Times New Roman" w:hAnsi="Times New Roman" w:cs="Times New Roman"/>
        </w:rPr>
        <w:t>Ganaie</w:t>
      </w:r>
      <w:proofErr w:type="spellEnd"/>
      <w:r w:rsidRPr="00D70AC0">
        <w:rPr>
          <w:rFonts w:ascii="Times New Roman" w:hAnsi="Times New Roman" w:cs="Times New Roman"/>
        </w:rPr>
        <w:t xml:space="preserve"> et al. </w:t>
      </w:r>
      <w:r w:rsidRPr="00D70AC0">
        <w:rPr>
          <w:rFonts w:ascii="Times New Roman" w:hAnsi="Times New Roman" w:cs="Times New Roman"/>
        </w:rPr>
        <w:lastRenderedPageBreak/>
        <w:t xml:space="preserve">(2014) </w:t>
      </w:r>
      <w:r w:rsidR="00845104">
        <w:rPr>
          <w:rFonts w:ascii="Times New Roman" w:hAnsi="Times New Roman" w:cs="Times New Roman"/>
        </w:rPr>
        <w:t>and Reddy et al. (</w:t>
      </w:r>
      <w:r w:rsidR="00C6738E">
        <w:rPr>
          <w:rFonts w:ascii="Times New Roman" w:hAnsi="Times New Roman" w:cs="Times New Roman"/>
        </w:rPr>
        <w:t>2021</w:t>
      </w:r>
      <w:r w:rsidR="00845104">
        <w:rPr>
          <w:rFonts w:ascii="Times New Roman" w:hAnsi="Times New Roman" w:cs="Times New Roman"/>
        </w:rPr>
        <w:t xml:space="preserve">) </w:t>
      </w:r>
      <w:r w:rsidRPr="00D70AC0">
        <w:rPr>
          <w:rFonts w:ascii="Times New Roman" w:hAnsi="Times New Roman" w:cs="Times New Roman"/>
        </w:rPr>
        <w:t>reported that inorganic fertilization resulted in higher initial yields of sugarcane due to immediate nutrient availability.</w:t>
      </w:r>
    </w:p>
    <w:p w14:paraId="38E68D1E" w14:textId="77777777" w:rsidR="00D70AC0" w:rsidRPr="00D70AC0" w:rsidRDefault="00D70AC0" w:rsidP="00986647">
      <w:pPr>
        <w:spacing w:line="240" w:lineRule="auto"/>
        <w:ind w:firstLine="720"/>
        <w:jc w:val="both"/>
        <w:rPr>
          <w:rFonts w:ascii="Times New Roman" w:hAnsi="Times New Roman" w:cs="Times New Roman"/>
        </w:rPr>
      </w:pPr>
      <w:r w:rsidRPr="00D70AC0">
        <w:rPr>
          <w:rFonts w:ascii="Times New Roman" w:hAnsi="Times New Roman" w:cs="Times New Roman"/>
        </w:rPr>
        <w:t>However, long-term studies indicate that sole dependence on chemical fertilizers may adversely affect soil fertility and crop quality. Sharma et al. (2013) observed that organic farming systems improve soil structure and water retention, leading to better crop performance over time. In addition, Singh and Kumar (2017) highlighted that integrated use of organic and inorganic nutrient sources can optimize productivity, profitability, and soil health in sugarcane cultivation.</w:t>
      </w:r>
    </w:p>
    <w:p w14:paraId="7FC09674" w14:textId="05A68F08" w:rsidR="00D70AC0" w:rsidRPr="00D70AC0" w:rsidRDefault="00D70AC0" w:rsidP="00986647">
      <w:pPr>
        <w:spacing w:line="240" w:lineRule="auto"/>
        <w:ind w:firstLine="720"/>
        <w:jc w:val="both"/>
        <w:rPr>
          <w:rFonts w:ascii="Times New Roman" w:hAnsi="Times New Roman" w:cs="Times New Roman"/>
        </w:rPr>
      </w:pPr>
      <w:r w:rsidRPr="00D70AC0">
        <w:rPr>
          <w:rFonts w:ascii="Times New Roman" w:hAnsi="Times New Roman" w:cs="Times New Roman"/>
        </w:rPr>
        <w:t>Quality parameters such as sucrose content and commercial cane sugar (CCS) percentage are also influenced by nutrient management practices. Organic farming has been reported to enhance juice quality and sugar recovery due to balanced nutrient supply and improved physiological processes (Mahajan et al., 2008</w:t>
      </w:r>
      <w:r w:rsidR="00CB28B4">
        <w:rPr>
          <w:rFonts w:ascii="Times New Roman" w:hAnsi="Times New Roman" w:cs="Times New Roman"/>
        </w:rPr>
        <w:t xml:space="preserve"> and Reddy et al. 2016</w:t>
      </w:r>
      <w:r w:rsidRPr="00D70AC0">
        <w:rPr>
          <w:rFonts w:ascii="Times New Roman" w:hAnsi="Times New Roman" w:cs="Times New Roman"/>
        </w:rPr>
        <w:t>). Therefore, evaluating the long-term impact of organic and inorganic farming on both productivity and quality of sugarcane is essential for developing sustainable nutrient management strategies.</w:t>
      </w:r>
    </w:p>
    <w:p w14:paraId="0F7BE702" w14:textId="2DB9B5C6" w:rsidR="00AE508E" w:rsidRPr="00C00008" w:rsidRDefault="001D243A" w:rsidP="00BF476F">
      <w:pPr>
        <w:jc w:val="both"/>
        <w:rPr>
          <w:rFonts w:ascii="Times New Roman" w:hAnsi="Times New Roman" w:cs="Times New Roman"/>
          <w:b/>
          <w:bCs/>
        </w:rPr>
      </w:pPr>
      <w:r>
        <w:rPr>
          <w:rFonts w:ascii="Times New Roman" w:hAnsi="Times New Roman" w:cs="Times New Roman"/>
          <w:b/>
          <w:bCs/>
        </w:rPr>
        <w:t xml:space="preserve">2. </w:t>
      </w:r>
      <w:r w:rsidR="00AE508E" w:rsidRPr="00C00008">
        <w:rPr>
          <w:rFonts w:ascii="Times New Roman" w:hAnsi="Times New Roman" w:cs="Times New Roman"/>
          <w:b/>
          <w:bCs/>
        </w:rPr>
        <w:t>Materials and Methods</w:t>
      </w:r>
    </w:p>
    <w:p w14:paraId="5A026025" w14:textId="608A422C" w:rsidR="00AE508E" w:rsidRPr="006F004B" w:rsidRDefault="00AE508E" w:rsidP="005A0549">
      <w:pPr>
        <w:spacing w:line="240" w:lineRule="auto"/>
        <w:ind w:firstLine="720"/>
        <w:jc w:val="both"/>
        <w:rPr>
          <w:rFonts w:ascii="Times New Roman" w:hAnsi="Times New Roman" w:cs="Times New Roman"/>
        </w:rPr>
      </w:pPr>
      <w:r w:rsidRPr="006F004B">
        <w:rPr>
          <w:rFonts w:ascii="Times New Roman" w:hAnsi="Times New Roman" w:cs="Times New Roman"/>
        </w:rPr>
        <w:t>The field experiment was conducted during 201</w:t>
      </w:r>
      <w:r w:rsidR="00E4579B" w:rsidRPr="006F004B">
        <w:rPr>
          <w:rFonts w:ascii="Times New Roman" w:hAnsi="Times New Roman" w:cs="Times New Roman"/>
        </w:rPr>
        <w:t>4</w:t>
      </w:r>
      <w:r w:rsidRPr="006F004B">
        <w:rPr>
          <w:rFonts w:ascii="Times New Roman" w:hAnsi="Times New Roman" w:cs="Times New Roman"/>
        </w:rPr>
        <w:t>–1</w:t>
      </w:r>
      <w:r w:rsidR="00E4579B" w:rsidRPr="006F004B">
        <w:rPr>
          <w:rFonts w:ascii="Times New Roman" w:hAnsi="Times New Roman" w:cs="Times New Roman"/>
        </w:rPr>
        <w:t>5</w:t>
      </w:r>
      <w:r w:rsidRPr="006F004B">
        <w:rPr>
          <w:rFonts w:ascii="Times New Roman" w:hAnsi="Times New Roman" w:cs="Times New Roman"/>
        </w:rPr>
        <w:t xml:space="preserve"> to </w:t>
      </w:r>
      <w:r w:rsidR="00E94711" w:rsidRPr="006F004B">
        <w:rPr>
          <w:rFonts w:ascii="Times New Roman" w:hAnsi="Times New Roman" w:cs="Times New Roman"/>
        </w:rPr>
        <w:t>2020</w:t>
      </w:r>
      <w:r w:rsidRPr="006F004B">
        <w:rPr>
          <w:rFonts w:ascii="Times New Roman" w:hAnsi="Times New Roman" w:cs="Times New Roman"/>
        </w:rPr>
        <w:t>–</w:t>
      </w:r>
      <w:r w:rsidR="00E94711" w:rsidRPr="006F004B">
        <w:rPr>
          <w:rFonts w:ascii="Times New Roman" w:hAnsi="Times New Roman" w:cs="Times New Roman"/>
        </w:rPr>
        <w:t>21</w:t>
      </w:r>
      <w:r w:rsidRPr="006F004B">
        <w:rPr>
          <w:rFonts w:ascii="Times New Roman" w:hAnsi="Times New Roman" w:cs="Times New Roman"/>
        </w:rPr>
        <w:t xml:space="preserve"> at the </w:t>
      </w:r>
      <w:r w:rsidR="00E94711" w:rsidRPr="006F004B">
        <w:rPr>
          <w:rFonts w:ascii="Times New Roman" w:hAnsi="Times New Roman" w:cs="Times New Roman"/>
        </w:rPr>
        <w:t xml:space="preserve">Regional Sugarcane and Rice Research </w:t>
      </w:r>
      <w:r w:rsidR="007A7241" w:rsidRPr="006F004B">
        <w:rPr>
          <w:rFonts w:ascii="Times New Roman" w:hAnsi="Times New Roman" w:cs="Times New Roman"/>
        </w:rPr>
        <w:t>Station</w:t>
      </w:r>
      <w:r w:rsidR="00E94711" w:rsidRPr="006F004B">
        <w:rPr>
          <w:rFonts w:ascii="Times New Roman" w:hAnsi="Times New Roman" w:cs="Times New Roman"/>
        </w:rPr>
        <w:t xml:space="preserve">, </w:t>
      </w:r>
      <w:proofErr w:type="spellStart"/>
      <w:r w:rsidR="00E94711" w:rsidRPr="006F004B">
        <w:rPr>
          <w:rFonts w:ascii="Times New Roman" w:hAnsi="Times New Roman" w:cs="Times New Roman"/>
        </w:rPr>
        <w:t>Rudrur</w:t>
      </w:r>
      <w:proofErr w:type="spellEnd"/>
      <w:r w:rsidR="00E94711" w:rsidRPr="006F004B">
        <w:rPr>
          <w:rFonts w:ascii="Times New Roman" w:hAnsi="Times New Roman" w:cs="Times New Roman"/>
        </w:rPr>
        <w:t xml:space="preserve">, Nizamabad District, Telangana </w:t>
      </w:r>
      <w:r w:rsidR="007A7241" w:rsidRPr="006F004B">
        <w:rPr>
          <w:rFonts w:ascii="Times New Roman" w:hAnsi="Times New Roman" w:cs="Times New Roman"/>
        </w:rPr>
        <w:t>State</w:t>
      </w:r>
      <w:r w:rsidR="00E94711" w:rsidRPr="006F004B">
        <w:rPr>
          <w:rFonts w:ascii="Times New Roman" w:hAnsi="Times New Roman" w:cs="Times New Roman"/>
        </w:rPr>
        <w:t>, India</w:t>
      </w:r>
      <w:r w:rsidR="007A7241" w:rsidRPr="006F004B">
        <w:rPr>
          <w:rFonts w:ascii="Times New Roman" w:hAnsi="Times New Roman" w:cs="Times New Roman"/>
        </w:rPr>
        <w:t>.</w:t>
      </w:r>
      <w:r w:rsidR="00E524F8" w:rsidRPr="006F004B">
        <w:rPr>
          <w:rFonts w:ascii="Times New Roman" w:hAnsi="Times New Roman" w:cs="Times New Roman"/>
        </w:rPr>
        <w:t xml:space="preserve"> </w:t>
      </w:r>
      <w:r w:rsidRPr="006F004B">
        <w:rPr>
          <w:rFonts w:ascii="Times New Roman" w:hAnsi="Times New Roman" w:cs="Times New Roman"/>
        </w:rPr>
        <w:t xml:space="preserve">The experimental site is located in a tropical region with semi-arid climate conditions. The soil of the experimental field was classified as </w:t>
      </w:r>
      <w:proofErr w:type="spellStart"/>
      <w:r w:rsidRPr="006F004B">
        <w:rPr>
          <w:rFonts w:ascii="Times New Roman" w:hAnsi="Times New Roman" w:cs="Times New Roman"/>
        </w:rPr>
        <w:t>Vertisol</w:t>
      </w:r>
      <w:proofErr w:type="spellEnd"/>
      <w:r w:rsidRPr="006F004B">
        <w:rPr>
          <w:rFonts w:ascii="Times New Roman" w:hAnsi="Times New Roman" w:cs="Times New Roman"/>
        </w:rPr>
        <w:t>, characterized by clayey texture, moderate fertility status and good water-holding capacity.</w:t>
      </w:r>
      <w:r w:rsidR="00730049" w:rsidRPr="006F004B">
        <w:rPr>
          <w:rFonts w:ascii="Times New Roman" w:hAnsi="Times New Roman" w:cs="Times New Roman"/>
        </w:rPr>
        <w:t xml:space="preserve"> </w:t>
      </w:r>
    </w:p>
    <w:p w14:paraId="5D33B970" w14:textId="19198BB8" w:rsidR="00D8459C" w:rsidRPr="00C00008" w:rsidRDefault="00C107A7" w:rsidP="005A0549">
      <w:pPr>
        <w:spacing w:line="240" w:lineRule="auto"/>
        <w:ind w:firstLine="602"/>
        <w:jc w:val="both"/>
        <w:rPr>
          <w:rFonts w:ascii="Times New Roman" w:hAnsi="Times New Roman" w:cs="Times New Roman"/>
        </w:rPr>
      </w:pPr>
      <w:r w:rsidRPr="00C00008">
        <w:rPr>
          <w:rFonts w:ascii="Times New Roman" w:hAnsi="Times New Roman" w:cs="Times New Roman"/>
        </w:rPr>
        <w:t xml:space="preserve">The experiment was conducted using a Randomized Block Design (RBD) with </w:t>
      </w:r>
      <w:r w:rsidR="0016041A" w:rsidRPr="00C00008">
        <w:rPr>
          <w:rFonts w:ascii="Times New Roman" w:hAnsi="Times New Roman" w:cs="Times New Roman"/>
        </w:rPr>
        <w:t>five</w:t>
      </w:r>
      <w:r w:rsidRPr="00C00008">
        <w:rPr>
          <w:rFonts w:ascii="Times New Roman" w:hAnsi="Times New Roman" w:cs="Times New Roman"/>
        </w:rPr>
        <w:t xml:space="preserve"> replications to ensure accuracy and reduce variability among treatments. The study included three different treatments: T₁ served as the control, where no nutrient application was made; T₂ involved </w:t>
      </w:r>
      <w:r w:rsidR="000900B0" w:rsidRPr="00C00008">
        <w:rPr>
          <w:rFonts w:ascii="Times New Roman" w:hAnsi="Times New Roman" w:cs="Times New Roman"/>
        </w:rPr>
        <w:t xml:space="preserve">package of </w:t>
      </w:r>
      <w:r w:rsidRPr="00C00008">
        <w:rPr>
          <w:rFonts w:ascii="Times New Roman" w:hAnsi="Times New Roman" w:cs="Times New Roman"/>
        </w:rPr>
        <w:t xml:space="preserve">organic </w:t>
      </w:r>
      <w:r w:rsidR="00D4660B" w:rsidRPr="00C00008">
        <w:rPr>
          <w:rFonts w:ascii="Times New Roman" w:hAnsi="Times New Roman" w:cs="Times New Roman"/>
        </w:rPr>
        <w:t>farming practices</w:t>
      </w:r>
      <w:r w:rsidRPr="00C00008">
        <w:rPr>
          <w:rFonts w:ascii="Times New Roman" w:hAnsi="Times New Roman" w:cs="Times New Roman"/>
        </w:rPr>
        <w:t>; and T₃ consisted of inorganic nutrient</w:t>
      </w:r>
      <w:r w:rsidR="00D4660B" w:rsidRPr="00C00008">
        <w:rPr>
          <w:rFonts w:ascii="Times New Roman" w:hAnsi="Times New Roman" w:cs="Times New Roman"/>
        </w:rPr>
        <w:t>, weed</w:t>
      </w:r>
      <w:r w:rsidRPr="00C00008">
        <w:rPr>
          <w:rFonts w:ascii="Times New Roman" w:hAnsi="Times New Roman" w:cs="Times New Roman"/>
        </w:rPr>
        <w:t xml:space="preserve"> </w:t>
      </w:r>
      <w:r w:rsidR="00D4660B" w:rsidRPr="00C00008">
        <w:rPr>
          <w:rFonts w:ascii="Times New Roman" w:hAnsi="Times New Roman" w:cs="Times New Roman"/>
        </w:rPr>
        <w:t xml:space="preserve">and pest </w:t>
      </w:r>
      <w:r w:rsidRPr="00C00008">
        <w:rPr>
          <w:rFonts w:ascii="Times New Roman" w:hAnsi="Times New Roman" w:cs="Times New Roman"/>
        </w:rPr>
        <w:t>management, where the recommended dose of NPK fertilizers was applied.</w:t>
      </w:r>
      <w:r w:rsidR="00DF677E" w:rsidRPr="00C00008">
        <w:rPr>
          <w:rFonts w:ascii="Times New Roman" w:hAnsi="Times New Roman" w:cs="Times New Roman"/>
        </w:rPr>
        <w:t xml:space="preserve"> </w:t>
      </w:r>
    </w:p>
    <w:p w14:paraId="1D354E9C" w14:textId="22A2590B" w:rsidR="00D400D9" w:rsidRPr="00C00008" w:rsidRDefault="00D400D9" w:rsidP="00D400D9">
      <w:pPr>
        <w:ind w:firstLine="602"/>
        <w:rPr>
          <w:rFonts w:ascii="Times New Roman" w:hAnsi="Times New Roman" w:cs="Times New Roman"/>
        </w:rPr>
      </w:pPr>
      <w:r w:rsidRPr="00C00008">
        <w:rPr>
          <w:rFonts w:ascii="Times New Roman" w:hAnsi="Times New Roman" w:cs="Times New Roman"/>
        </w:rPr>
        <w:t xml:space="preserve">Package of </w:t>
      </w:r>
      <w:r w:rsidR="000900B0" w:rsidRPr="00C00008">
        <w:rPr>
          <w:rFonts w:ascii="Times New Roman" w:hAnsi="Times New Roman" w:cs="Times New Roman"/>
        </w:rPr>
        <w:t xml:space="preserve">organic </w:t>
      </w:r>
      <w:r w:rsidRPr="00C00008">
        <w:rPr>
          <w:rFonts w:ascii="Times New Roman" w:hAnsi="Times New Roman" w:cs="Times New Roman"/>
        </w:rPr>
        <w:t xml:space="preserve">farming practice was followed as follows. </w:t>
      </w:r>
    </w:p>
    <w:p w14:paraId="21156BA6" w14:textId="77777777" w:rsidR="00D400D9" w:rsidRPr="00C00008" w:rsidRDefault="00D400D9" w:rsidP="00A062F9">
      <w:pPr>
        <w:spacing w:after="0" w:line="288" w:lineRule="auto"/>
        <w:rPr>
          <w:rFonts w:ascii="Times New Roman" w:hAnsi="Times New Roman" w:cs="Times New Roman"/>
        </w:rPr>
      </w:pPr>
      <w:r w:rsidRPr="00C00008">
        <w:rPr>
          <w:rFonts w:ascii="Times New Roman" w:hAnsi="Times New Roman" w:cs="Times New Roman"/>
        </w:rPr>
        <w:t xml:space="preserve"> Nutrient management </w:t>
      </w:r>
    </w:p>
    <w:p w14:paraId="4DCF82E4" w14:textId="77777777" w:rsidR="00D400D9"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Application of FYM @ 8 t ha</w:t>
      </w:r>
      <w:r w:rsidRPr="00C00008">
        <w:rPr>
          <w:rFonts w:ascii="Times New Roman" w:hAnsi="Times New Roman" w:cs="Times New Roman"/>
          <w:vertAlign w:val="superscript"/>
        </w:rPr>
        <w:t>-1</w:t>
      </w:r>
      <w:r w:rsidRPr="00C00008">
        <w:rPr>
          <w:rFonts w:ascii="Times New Roman" w:hAnsi="Times New Roman" w:cs="Times New Roman"/>
        </w:rPr>
        <w:t xml:space="preserve"> as basal dose</w:t>
      </w:r>
    </w:p>
    <w:p w14:paraId="2CDD3886" w14:textId="77777777" w:rsidR="00D400D9" w:rsidRPr="00C00008" w:rsidRDefault="00D400D9" w:rsidP="00A062F9">
      <w:pPr>
        <w:numPr>
          <w:ilvl w:val="0"/>
          <w:numId w:val="9"/>
        </w:numPr>
        <w:spacing w:after="0" w:line="288" w:lineRule="auto"/>
        <w:rPr>
          <w:rFonts w:ascii="Times New Roman" w:hAnsi="Times New Roman" w:cs="Times New Roman"/>
        </w:rPr>
      </w:pPr>
      <w:proofErr w:type="spellStart"/>
      <w:r w:rsidRPr="00C00008">
        <w:rPr>
          <w:rFonts w:ascii="Times New Roman" w:hAnsi="Times New Roman" w:cs="Times New Roman"/>
        </w:rPr>
        <w:t>Insitu</w:t>
      </w:r>
      <w:proofErr w:type="spellEnd"/>
      <w:r w:rsidRPr="00C00008">
        <w:rPr>
          <w:rFonts w:ascii="Times New Roman" w:hAnsi="Times New Roman" w:cs="Times New Roman"/>
        </w:rPr>
        <w:t xml:space="preserve"> green manuring between the lines and incorporation</w:t>
      </w:r>
    </w:p>
    <w:p w14:paraId="44914A5A" w14:textId="77777777" w:rsidR="0026489F"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Application of vermicompost @ 2 t ha</w:t>
      </w:r>
      <w:r w:rsidRPr="00C00008">
        <w:rPr>
          <w:rFonts w:ascii="Times New Roman" w:hAnsi="Times New Roman" w:cs="Times New Roman"/>
          <w:vertAlign w:val="superscript"/>
        </w:rPr>
        <w:t>-1</w:t>
      </w:r>
      <w:r w:rsidRPr="00C00008">
        <w:rPr>
          <w:rFonts w:ascii="Times New Roman" w:hAnsi="Times New Roman" w:cs="Times New Roman"/>
        </w:rPr>
        <w:t xml:space="preserve"> at 60, 90 and 120 days after planting </w:t>
      </w:r>
    </w:p>
    <w:p w14:paraId="56F0F6BE" w14:textId="1159FED1" w:rsidR="0026489F" w:rsidRPr="00C00008" w:rsidRDefault="00D400D9" w:rsidP="00A062F9">
      <w:pPr>
        <w:numPr>
          <w:ilvl w:val="0"/>
          <w:numId w:val="9"/>
        </w:numPr>
        <w:spacing w:after="0" w:line="288" w:lineRule="auto"/>
        <w:rPr>
          <w:rFonts w:ascii="Times New Roman" w:hAnsi="Times New Roman" w:cs="Times New Roman"/>
        </w:rPr>
      </w:pPr>
      <w:r w:rsidRPr="00C00008">
        <w:rPr>
          <w:rFonts w:ascii="Times New Roman" w:hAnsi="Times New Roman" w:cs="Times New Roman"/>
        </w:rPr>
        <w:t xml:space="preserve">Spraying of </w:t>
      </w:r>
      <w:proofErr w:type="spellStart"/>
      <w:r w:rsidRPr="00C00008">
        <w:rPr>
          <w:rFonts w:ascii="Times New Roman" w:hAnsi="Times New Roman" w:cs="Times New Roman"/>
        </w:rPr>
        <w:t>vermiwash</w:t>
      </w:r>
      <w:proofErr w:type="spellEnd"/>
      <w:r w:rsidRPr="00C00008">
        <w:rPr>
          <w:rFonts w:ascii="Times New Roman" w:hAnsi="Times New Roman" w:cs="Times New Roman"/>
        </w:rPr>
        <w:t xml:space="preserve"> (10ml l</w:t>
      </w:r>
      <w:r w:rsidRPr="00C00008">
        <w:rPr>
          <w:rFonts w:ascii="Times New Roman" w:hAnsi="Times New Roman" w:cs="Times New Roman"/>
          <w:vertAlign w:val="superscript"/>
        </w:rPr>
        <w:t>-1</w:t>
      </w:r>
      <w:r w:rsidRPr="00C00008">
        <w:rPr>
          <w:rFonts w:ascii="Times New Roman" w:hAnsi="Times New Roman" w:cs="Times New Roman"/>
        </w:rPr>
        <w:t xml:space="preserve">) at critical stages of crop </w:t>
      </w:r>
    </w:p>
    <w:p w14:paraId="1EC9C720" w14:textId="50869AE4" w:rsidR="00D8459C" w:rsidRPr="00C00008" w:rsidRDefault="00D8459C" w:rsidP="00A062F9">
      <w:pPr>
        <w:spacing w:after="0" w:line="288" w:lineRule="auto"/>
        <w:rPr>
          <w:rFonts w:ascii="Times New Roman" w:hAnsi="Times New Roman" w:cs="Times New Roman"/>
        </w:rPr>
      </w:pPr>
      <w:r w:rsidRPr="00C00008">
        <w:rPr>
          <w:rFonts w:ascii="Times New Roman" w:hAnsi="Times New Roman" w:cs="Times New Roman"/>
        </w:rPr>
        <w:t>Agronomic Management</w:t>
      </w:r>
    </w:p>
    <w:p w14:paraId="3DE8E526" w14:textId="77777777" w:rsidR="00D8459C" w:rsidRPr="00C00008" w:rsidRDefault="00D8459C" w:rsidP="00A062F9">
      <w:pPr>
        <w:numPr>
          <w:ilvl w:val="0"/>
          <w:numId w:val="7"/>
        </w:numPr>
        <w:spacing w:after="0" w:line="288" w:lineRule="auto"/>
        <w:rPr>
          <w:rFonts w:ascii="Times New Roman" w:hAnsi="Times New Roman" w:cs="Times New Roman"/>
        </w:rPr>
      </w:pPr>
      <w:r w:rsidRPr="00C00008">
        <w:rPr>
          <w:rFonts w:ascii="Times New Roman" w:hAnsi="Times New Roman" w:cs="Times New Roman"/>
        </w:rPr>
        <w:t>Adoption of trash mulching @ 3 t ha</w:t>
      </w:r>
      <w:r w:rsidRPr="00C00008">
        <w:rPr>
          <w:rFonts w:ascii="Times New Roman" w:hAnsi="Times New Roman" w:cs="Times New Roman"/>
          <w:vertAlign w:val="superscript"/>
        </w:rPr>
        <w:t>-1</w:t>
      </w:r>
      <w:r w:rsidRPr="00C00008">
        <w:rPr>
          <w:rFonts w:ascii="Times New Roman" w:hAnsi="Times New Roman" w:cs="Times New Roman"/>
        </w:rPr>
        <w:t xml:space="preserve"> at 3 days after planting </w:t>
      </w:r>
    </w:p>
    <w:p w14:paraId="2AABCA6F" w14:textId="77777777" w:rsidR="00D8459C" w:rsidRPr="00C00008" w:rsidRDefault="00D8459C" w:rsidP="00A062F9">
      <w:pPr>
        <w:numPr>
          <w:ilvl w:val="0"/>
          <w:numId w:val="7"/>
        </w:numPr>
        <w:spacing w:after="0" w:line="288" w:lineRule="auto"/>
        <w:rPr>
          <w:rFonts w:ascii="Times New Roman" w:hAnsi="Times New Roman" w:cs="Times New Roman"/>
        </w:rPr>
      </w:pPr>
      <w:r w:rsidRPr="00C00008">
        <w:rPr>
          <w:rFonts w:ascii="Times New Roman" w:hAnsi="Times New Roman" w:cs="Times New Roman"/>
        </w:rPr>
        <w:t xml:space="preserve"> Inter cultivation with cattle pair at 45 &amp; 60 days after planting and incorporation of trash </w:t>
      </w:r>
    </w:p>
    <w:p w14:paraId="5BA8974E" w14:textId="77777777" w:rsidR="00D8459C" w:rsidRPr="00C00008" w:rsidRDefault="00D8459C" w:rsidP="00A062F9">
      <w:pPr>
        <w:spacing w:after="0" w:line="288" w:lineRule="auto"/>
        <w:rPr>
          <w:rFonts w:ascii="Times New Roman" w:hAnsi="Times New Roman" w:cs="Times New Roman"/>
        </w:rPr>
      </w:pPr>
      <w:r w:rsidRPr="00C00008">
        <w:rPr>
          <w:rFonts w:ascii="Times New Roman" w:hAnsi="Times New Roman" w:cs="Times New Roman"/>
        </w:rPr>
        <w:t>Pest and Disease Management</w:t>
      </w:r>
    </w:p>
    <w:p w14:paraId="6DC17821"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Seed treatment with Pseudomonas @ 8g l</w:t>
      </w:r>
      <w:r w:rsidRPr="00C00008">
        <w:rPr>
          <w:rFonts w:ascii="Times New Roman" w:hAnsi="Times New Roman" w:cs="Times New Roman"/>
          <w:vertAlign w:val="superscript"/>
        </w:rPr>
        <w:t>-1</w:t>
      </w:r>
      <w:r w:rsidRPr="00C00008">
        <w:rPr>
          <w:rFonts w:ascii="Times New Roman" w:hAnsi="Times New Roman" w:cs="Times New Roman"/>
        </w:rPr>
        <w:t>.</w:t>
      </w:r>
    </w:p>
    <w:p w14:paraId="322A804D"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Basal application of </w:t>
      </w:r>
      <w:proofErr w:type="spellStart"/>
      <w:r w:rsidRPr="00C00008">
        <w:rPr>
          <w:rFonts w:ascii="Times New Roman" w:hAnsi="Times New Roman" w:cs="Times New Roman"/>
        </w:rPr>
        <w:t>trichoderma</w:t>
      </w:r>
      <w:proofErr w:type="spellEnd"/>
      <w:r w:rsidRPr="00C00008">
        <w:rPr>
          <w:rFonts w:ascii="Times New Roman" w:hAnsi="Times New Roman" w:cs="Times New Roman"/>
        </w:rPr>
        <w:t xml:space="preserve"> </w:t>
      </w:r>
      <w:proofErr w:type="spellStart"/>
      <w:r w:rsidRPr="00C00008">
        <w:rPr>
          <w:rFonts w:ascii="Times New Roman" w:hAnsi="Times New Roman" w:cs="Times New Roman"/>
        </w:rPr>
        <w:t>viriday</w:t>
      </w:r>
      <w:proofErr w:type="spellEnd"/>
      <w:r w:rsidRPr="00C00008">
        <w:rPr>
          <w:rFonts w:ascii="Times New Roman" w:hAnsi="Times New Roman" w:cs="Times New Roman"/>
        </w:rPr>
        <w:t xml:space="preserve"> @ 2.5 kg ha</w:t>
      </w:r>
      <w:r w:rsidRPr="00C00008">
        <w:rPr>
          <w:rFonts w:ascii="Times New Roman" w:hAnsi="Times New Roman" w:cs="Times New Roman"/>
          <w:vertAlign w:val="superscript"/>
        </w:rPr>
        <w:t>-1</w:t>
      </w:r>
    </w:p>
    <w:p w14:paraId="2388DC9F"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ESB management using </w:t>
      </w:r>
      <w:proofErr w:type="spellStart"/>
      <w:r w:rsidRPr="00C00008">
        <w:rPr>
          <w:rFonts w:ascii="Times New Roman" w:hAnsi="Times New Roman" w:cs="Times New Roman"/>
        </w:rPr>
        <w:t>Trichogramma</w:t>
      </w:r>
      <w:proofErr w:type="spellEnd"/>
      <w:r w:rsidRPr="00C00008">
        <w:rPr>
          <w:rFonts w:ascii="Times New Roman" w:hAnsi="Times New Roman" w:cs="Times New Roman"/>
        </w:rPr>
        <w:t xml:space="preserve"> </w:t>
      </w:r>
      <w:proofErr w:type="spellStart"/>
      <w:r w:rsidRPr="00C00008">
        <w:rPr>
          <w:rFonts w:ascii="Times New Roman" w:hAnsi="Times New Roman" w:cs="Times New Roman"/>
        </w:rPr>
        <w:t>chilonis</w:t>
      </w:r>
      <w:proofErr w:type="spellEnd"/>
      <w:r w:rsidRPr="00C00008">
        <w:rPr>
          <w:rFonts w:ascii="Times New Roman" w:hAnsi="Times New Roman" w:cs="Times New Roman"/>
        </w:rPr>
        <w:t xml:space="preserve"> parasite @ 50,000/ha/ release and total 6 releases on 40,50,60,70,80 and 90 days after planting </w:t>
      </w:r>
    </w:p>
    <w:p w14:paraId="548480A6" w14:textId="77777777" w:rsidR="00D8459C" w:rsidRPr="00C00008" w:rsidRDefault="00D8459C" w:rsidP="00A062F9">
      <w:pPr>
        <w:numPr>
          <w:ilvl w:val="0"/>
          <w:numId w:val="8"/>
        </w:numPr>
        <w:spacing w:after="0" w:line="288" w:lineRule="auto"/>
        <w:rPr>
          <w:rFonts w:ascii="Times New Roman" w:hAnsi="Times New Roman" w:cs="Times New Roman"/>
        </w:rPr>
      </w:pPr>
      <w:r w:rsidRPr="00C00008">
        <w:rPr>
          <w:rFonts w:ascii="Times New Roman" w:hAnsi="Times New Roman" w:cs="Times New Roman"/>
        </w:rPr>
        <w:t xml:space="preserve">Need based application of neem formulations  </w:t>
      </w:r>
    </w:p>
    <w:p w14:paraId="5C99277C" w14:textId="1B6E7753" w:rsidR="00AE508E" w:rsidRPr="006F004B" w:rsidRDefault="000048F6" w:rsidP="005A0549">
      <w:pPr>
        <w:spacing w:before="120" w:line="240" w:lineRule="auto"/>
        <w:ind w:firstLine="720"/>
        <w:jc w:val="both"/>
        <w:rPr>
          <w:rFonts w:ascii="Times New Roman" w:hAnsi="Times New Roman" w:cs="Times New Roman"/>
        </w:rPr>
      </w:pPr>
      <w:r w:rsidRPr="006F004B">
        <w:rPr>
          <w:rFonts w:ascii="Times New Roman" w:hAnsi="Times New Roman" w:cs="Times New Roman"/>
        </w:rPr>
        <w:lastRenderedPageBreak/>
        <w:t>S</w:t>
      </w:r>
      <w:r w:rsidR="00AE508E" w:rsidRPr="006F004B">
        <w:rPr>
          <w:rFonts w:ascii="Times New Roman" w:hAnsi="Times New Roman" w:cs="Times New Roman"/>
        </w:rPr>
        <w:t>ugarcane</w:t>
      </w:r>
      <w:r w:rsidR="00554E5D">
        <w:rPr>
          <w:rFonts w:ascii="Times New Roman" w:hAnsi="Times New Roman" w:cs="Times New Roman"/>
        </w:rPr>
        <w:t xml:space="preserve"> </w:t>
      </w:r>
      <w:r w:rsidR="00AE508E" w:rsidRPr="006F004B">
        <w:rPr>
          <w:rFonts w:ascii="Times New Roman" w:hAnsi="Times New Roman" w:cs="Times New Roman"/>
        </w:rPr>
        <w:t>was cultivated following standard agronomic practices. Recommended spacing,</w:t>
      </w:r>
      <w:r w:rsidR="009E061E" w:rsidRPr="006F004B">
        <w:rPr>
          <w:rFonts w:ascii="Times New Roman" w:hAnsi="Times New Roman" w:cs="Times New Roman"/>
        </w:rPr>
        <w:t xml:space="preserve"> and </w:t>
      </w:r>
      <w:r w:rsidR="00AE508E" w:rsidRPr="006F004B">
        <w:rPr>
          <w:rFonts w:ascii="Times New Roman" w:hAnsi="Times New Roman" w:cs="Times New Roman"/>
        </w:rPr>
        <w:t>irrigation scheduling, were adopted uniformly for all treatments.</w:t>
      </w:r>
      <w:r w:rsidR="00F804D5" w:rsidRPr="006F004B">
        <w:rPr>
          <w:rFonts w:ascii="Times New Roman" w:hAnsi="Times New Roman" w:cs="Times New Roman"/>
        </w:rPr>
        <w:t xml:space="preserve"> The test </w:t>
      </w:r>
      <w:r w:rsidR="00BB1347" w:rsidRPr="006F004B">
        <w:rPr>
          <w:rFonts w:ascii="Times New Roman" w:hAnsi="Times New Roman" w:cs="Times New Roman"/>
        </w:rPr>
        <w:t xml:space="preserve">sugarcane </w:t>
      </w:r>
      <w:r w:rsidR="00F804D5" w:rsidRPr="006F004B">
        <w:rPr>
          <w:rFonts w:ascii="Times New Roman" w:hAnsi="Times New Roman" w:cs="Times New Roman"/>
        </w:rPr>
        <w:t xml:space="preserve">variety was </w:t>
      </w:r>
      <w:r w:rsidR="00E47F24" w:rsidRPr="006F004B">
        <w:rPr>
          <w:rFonts w:ascii="Times New Roman" w:hAnsi="Times New Roman" w:cs="Times New Roman"/>
        </w:rPr>
        <w:t>85 R 186</w:t>
      </w:r>
      <w:r w:rsidR="00BB1347" w:rsidRPr="006F004B">
        <w:rPr>
          <w:rFonts w:ascii="Times New Roman" w:hAnsi="Times New Roman" w:cs="Times New Roman"/>
        </w:rPr>
        <w:t>.</w:t>
      </w:r>
      <w:r w:rsidR="00A564CE" w:rsidRPr="006F004B">
        <w:rPr>
          <w:rFonts w:ascii="Times New Roman" w:hAnsi="Times New Roman" w:cs="Times New Roman"/>
        </w:rPr>
        <w:t xml:space="preserve"> </w:t>
      </w:r>
      <w:r w:rsidR="00AE508E" w:rsidRPr="006F004B">
        <w:rPr>
          <w:rFonts w:ascii="Times New Roman" w:hAnsi="Times New Roman" w:cs="Times New Roman"/>
        </w:rPr>
        <w:t>Such nutrient scheduling has been shown to improve nutrient-use efficiency and crop performance (Kaur et al., 2021; Abhiram et al., 2025).</w:t>
      </w:r>
    </w:p>
    <w:p w14:paraId="36CBE6F1" w14:textId="7F35D767" w:rsidR="00AE508E" w:rsidRPr="00C00008" w:rsidRDefault="00FF5D44" w:rsidP="006F004B">
      <w:pPr>
        <w:ind w:firstLine="720"/>
        <w:jc w:val="both"/>
        <w:rPr>
          <w:rFonts w:ascii="Times New Roman" w:hAnsi="Times New Roman" w:cs="Times New Roman"/>
        </w:rPr>
      </w:pPr>
      <w:r w:rsidRPr="00C00008">
        <w:rPr>
          <w:rFonts w:ascii="Times New Roman" w:hAnsi="Times New Roman" w:cs="Times New Roman"/>
        </w:rPr>
        <w:t xml:space="preserve">The number of </w:t>
      </w:r>
      <w:proofErr w:type="spellStart"/>
      <w:r w:rsidRPr="00C00008">
        <w:rPr>
          <w:rFonts w:ascii="Times New Roman" w:hAnsi="Times New Roman" w:cs="Times New Roman"/>
        </w:rPr>
        <w:t>millable</w:t>
      </w:r>
      <w:proofErr w:type="spellEnd"/>
      <w:r w:rsidRPr="00C00008">
        <w:rPr>
          <w:rFonts w:ascii="Times New Roman" w:hAnsi="Times New Roman" w:cs="Times New Roman"/>
        </w:rPr>
        <w:t xml:space="preserve"> canes (NMC) was recorded at the time of harvest and expressed as ×10³ ha⁻¹. Juice quality parameters were also </w:t>
      </w:r>
      <w:proofErr w:type="spellStart"/>
      <w:r w:rsidRPr="00C00008">
        <w:rPr>
          <w:rFonts w:ascii="Times New Roman" w:hAnsi="Times New Roman" w:cs="Times New Roman"/>
        </w:rPr>
        <w:t>analyzed</w:t>
      </w:r>
      <w:proofErr w:type="spellEnd"/>
      <w:r w:rsidRPr="00C00008">
        <w:rPr>
          <w:rFonts w:ascii="Times New Roman" w:hAnsi="Times New Roman" w:cs="Times New Roman"/>
        </w:rPr>
        <w:t>, where sucrose content (%) was determined using standard polarimetric methods, and Commercial Cane Sugar (CCS %) was calculated using the standard formula. All quality analysis procedures were carried out following established protocols commonly used in sugarcane research (Rao et al., 2024; Sharma et al., 2023). In addition, yield parameters were assessed by recording cane yield (t ha⁻¹) based on the total harvested cane weight, and CCS yield (t ha⁻¹) was computed by integrating cane yield with CCS percentage.</w:t>
      </w:r>
    </w:p>
    <w:p w14:paraId="2C9D2BD7" w14:textId="38FE290A" w:rsidR="00AE508E" w:rsidRPr="006F004B" w:rsidRDefault="001A70CD" w:rsidP="006F004B">
      <w:pPr>
        <w:ind w:firstLine="720"/>
        <w:jc w:val="both"/>
        <w:rPr>
          <w:rFonts w:ascii="Times New Roman" w:hAnsi="Times New Roman" w:cs="Times New Roman"/>
        </w:rPr>
      </w:pPr>
      <w:r w:rsidRPr="006F004B">
        <w:rPr>
          <w:rFonts w:ascii="Times New Roman" w:hAnsi="Times New Roman" w:cs="Times New Roman"/>
        </w:rPr>
        <w:t xml:space="preserve">The data were statistically </w:t>
      </w:r>
      <w:proofErr w:type="spellStart"/>
      <w:r w:rsidRPr="006F004B">
        <w:rPr>
          <w:rFonts w:ascii="Times New Roman" w:hAnsi="Times New Roman" w:cs="Times New Roman"/>
        </w:rPr>
        <w:t>analyzed</w:t>
      </w:r>
      <w:proofErr w:type="spellEnd"/>
      <w:r w:rsidRPr="006F004B">
        <w:rPr>
          <w:rFonts w:ascii="Times New Roman" w:hAnsi="Times New Roman" w:cs="Times New Roman"/>
        </w:rPr>
        <w:t xml:space="preserve"> using analysis of variance (ANOVA) appropriate for a Randomized Block Design (RBD), as described by Gomez and Gomez (1984). The Standard Error (SE) and Critical Difference (CD) at the 5% level of significance were calculated to compare treatment means, while the Coefficient of Variation (CV%) was computed to assess the extent of experimental variability. The statistical procedures adopted in the present study are in line with those followed in recent sugarcane research by Kumar et al. (2022) and Singh et al. (2021).</w:t>
      </w:r>
      <w:r w:rsidR="00A062F9" w:rsidRPr="006F004B">
        <w:rPr>
          <w:rFonts w:ascii="Times New Roman" w:hAnsi="Times New Roman" w:cs="Times New Roman"/>
        </w:rPr>
        <w:t xml:space="preserve"> </w:t>
      </w:r>
      <w:r w:rsidR="00AE508E" w:rsidRPr="006F004B">
        <w:rPr>
          <w:rFonts w:ascii="Times New Roman" w:hAnsi="Times New Roman" w:cs="Times New Roman"/>
        </w:rPr>
        <w:t>Since the experiment was conducted over multiple years, pooled analysis was performed to obtain average treatment effects across years. This approach helps in minimizing year-to-year variability and provides reliable conclusions, as suggested by Yadav et al. (2022).</w:t>
      </w:r>
    </w:p>
    <w:p w14:paraId="4F58FD6E" w14:textId="12BFE13F" w:rsidR="005874DF" w:rsidRPr="00C00008" w:rsidRDefault="001D243A" w:rsidP="00BF476F">
      <w:pPr>
        <w:jc w:val="both"/>
        <w:rPr>
          <w:rFonts w:ascii="Times New Roman" w:hAnsi="Times New Roman" w:cs="Times New Roman"/>
          <w:b/>
          <w:bCs/>
        </w:rPr>
      </w:pPr>
      <w:r>
        <w:rPr>
          <w:rFonts w:ascii="Times New Roman" w:hAnsi="Times New Roman" w:cs="Times New Roman"/>
          <w:b/>
          <w:bCs/>
        </w:rPr>
        <w:t xml:space="preserve">3. </w:t>
      </w:r>
      <w:r w:rsidR="005874DF" w:rsidRPr="00C00008">
        <w:rPr>
          <w:rFonts w:ascii="Times New Roman" w:hAnsi="Times New Roman" w:cs="Times New Roman"/>
          <w:b/>
          <w:bCs/>
        </w:rPr>
        <w:t>Results and Discussion</w:t>
      </w:r>
    </w:p>
    <w:p w14:paraId="23FF5069" w14:textId="576BAE6E" w:rsidR="005874DF" w:rsidRPr="00C00008" w:rsidRDefault="001D243A" w:rsidP="00BF476F">
      <w:pPr>
        <w:jc w:val="both"/>
        <w:rPr>
          <w:rFonts w:ascii="Times New Roman" w:hAnsi="Times New Roman" w:cs="Times New Roman"/>
          <w:b/>
          <w:bCs/>
        </w:rPr>
      </w:pPr>
      <w:proofErr w:type="gramStart"/>
      <w:r>
        <w:rPr>
          <w:rFonts w:ascii="Times New Roman" w:hAnsi="Times New Roman" w:cs="Times New Roman"/>
          <w:b/>
          <w:bCs/>
        </w:rPr>
        <w:t xml:space="preserve">3.1 </w:t>
      </w:r>
      <w:r w:rsidR="005874DF" w:rsidRPr="00C00008">
        <w:rPr>
          <w:rFonts w:ascii="Times New Roman" w:hAnsi="Times New Roman" w:cs="Times New Roman"/>
          <w:b/>
          <w:bCs/>
        </w:rPr>
        <w:t xml:space="preserve"> Number</w:t>
      </w:r>
      <w:proofErr w:type="gramEnd"/>
      <w:r w:rsidR="005874DF" w:rsidRPr="00C00008">
        <w:rPr>
          <w:rFonts w:ascii="Times New Roman" w:hAnsi="Times New Roman" w:cs="Times New Roman"/>
          <w:b/>
          <w:bCs/>
        </w:rPr>
        <w:t xml:space="preserve"> of </w:t>
      </w:r>
      <w:proofErr w:type="spellStart"/>
      <w:r w:rsidR="005874DF" w:rsidRPr="00C00008">
        <w:rPr>
          <w:rFonts w:ascii="Times New Roman" w:hAnsi="Times New Roman" w:cs="Times New Roman"/>
          <w:b/>
          <w:bCs/>
        </w:rPr>
        <w:t>Millable</w:t>
      </w:r>
      <w:proofErr w:type="spellEnd"/>
      <w:r w:rsidR="005874DF" w:rsidRPr="00C00008">
        <w:rPr>
          <w:rFonts w:ascii="Times New Roman" w:hAnsi="Times New Roman" w:cs="Times New Roman"/>
          <w:b/>
          <w:bCs/>
        </w:rPr>
        <w:t xml:space="preserve"> Canes (NMC)</w:t>
      </w:r>
    </w:p>
    <w:p w14:paraId="21306924" w14:textId="7B61E3CE" w:rsidR="005874DF" w:rsidRPr="00C00008" w:rsidRDefault="005874DF" w:rsidP="00F558B0">
      <w:pPr>
        <w:ind w:firstLine="720"/>
        <w:jc w:val="both"/>
        <w:rPr>
          <w:rFonts w:ascii="Times New Roman" w:hAnsi="Times New Roman" w:cs="Times New Roman"/>
        </w:rPr>
      </w:pPr>
      <w:r w:rsidRPr="00C00008">
        <w:rPr>
          <w:rFonts w:ascii="Times New Roman" w:hAnsi="Times New Roman" w:cs="Times New Roman"/>
        </w:rPr>
        <w:t xml:space="preserve">The pooled data (Table </w:t>
      </w:r>
      <w:r w:rsidR="00C61154">
        <w:rPr>
          <w:rFonts w:ascii="Times New Roman" w:hAnsi="Times New Roman" w:cs="Times New Roman"/>
        </w:rPr>
        <w:t>2</w:t>
      </w:r>
      <w:r w:rsidRPr="00C00008">
        <w:rPr>
          <w:rFonts w:ascii="Times New Roman" w:hAnsi="Times New Roman" w:cs="Times New Roman"/>
        </w:rPr>
        <w:t xml:space="preserve">) revealed that </w:t>
      </w:r>
      <w:r w:rsidR="008F3256">
        <w:rPr>
          <w:rFonts w:ascii="Times New Roman" w:hAnsi="Times New Roman" w:cs="Times New Roman"/>
        </w:rPr>
        <w:t>organic and inorganic</w:t>
      </w:r>
      <w:r w:rsidRPr="00C00008">
        <w:rPr>
          <w:rFonts w:ascii="Times New Roman" w:hAnsi="Times New Roman" w:cs="Times New Roman"/>
        </w:rPr>
        <w:t xml:space="preserve"> management practices significantly influenced NMC. The inorganic treatment recorded the highest NMC (76.72 ×10³ ha⁻¹), followed by organic (67.75 ×10³ ha⁻¹), whereas the control recorded the lowest (32.46 ×10³ ha⁻¹). The differences among treatments were statistically significant as the variation exceeded the CD (4.25).</w:t>
      </w:r>
      <w:r w:rsidR="000D3823">
        <w:rPr>
          <w:rFonts w:ascii="Times New Roman" w:hAnsi="Times New Roman" w:cs="Times New Roman"/>
        </w:rPr>
        <w:t xml:space="preserve"> </w:t>
      </w:r>
      <w:r w:rsidRPr="00C00008">
        <w:rPr>
          <w:rFonts w:ascii="Times New Roman" w:hAnsi="Times New Roman" w:cs="Times New Roman"/>
        </w:rPr>
        <w:t>The higher NMC under inorganic fertilization is mainly due to rapid nutrient availability, especially nitrogen, which enhances tillering and stalk population. However, organic treatments also showed considerable improvement over control due to enhanced microbial activity and soil structure.</w:t>
      </w:r>
    </w:p>
    <w:p w14:paraId="593E3D41" w14:textId="1C0FC5CF" w:rsidR="005874DF" w:rsidRPr="00640BCF" w:rsidRDefault="005874DF" w:rsidP="00F558B0">
      <w:pPr>
        <w:ind w:firstLine="720"/>
        <w:jc w:val="both"/>
        <w:rPr>
          <w:rFonts w:ascii="Times New Roman" w:hAnsi="Times New Roman" w:cs="Times New Roman"/>
        </w:rPr>
      </w:pPr>
      <w:r w:rsidRPr="00640BCF">
        <w:rPr>
          <w:rFonts w:ascii="Times New Roman" w:hAnsi="Times New Roman" w:cs="Times New Roman"/>
        </w:rPr>
        <w:t xml:space="preserve">These findings are in agreement with Kumar et al. (2022) and </w:t>
      </w:r>
      <w:r w:rsidR="004D15BB">
        <w:rPr>
          <w:rFonts w:ascii="Times New Roman" w:hAnsi="Times New Roman" w:cs="Times New Roman"/>
        </w:rPr>
        <w:t>Reddy</w:t>
      </w:r>
      <w:r w:rsidRPr="00640BCF">
        <w:rPr>
          <w:rFonts w:ascii="Times New Roman" w:hAnsi="Times New Roman" w:cs="Times New Roman"/>
        </w:rPr>
        <w:t xml:space="preserve"> et al. (202</w:t>
      </w:r>
      <w:r w:rsidR="004D15BB">
        <w:rPr>
          <w:rFonts w:ascii="Times New Roman" w:hAnsi="Times New Roman" w:cs="Times New Roman"/>
        </w:rPr>
        <w:t>3</w:t>
      </w:r>
      <w:r w:rsidRPr="00640BCF">
        <w:rPr>
          <w:rFonts w:ascii="Times New Roman" w:hAnsi="Times New Roman" w:cs="Times New Roman"/>
        </w:rPr>
        <w:t>), who reported increased cane population under balanced fertilization. Similarly, Zia et al. (2025) observed that integrated nutrient strategies significantly improve cane population and nutrient-use efficiency. Micronutrient supplementation (Zn and B) has also been reported to enhance tillering and growth (Rao et al., 2024).</w:t>
      </w:r>
    </w:p>
    <w:p w14:paraId="54FD0FCD" w14:textId="70D0141D" w:rsidR="005874DF" w:rsidRPr="00C00008" w:rsidRDefault="001D243A" w:rsidP="00BF476F">
      <w:pPr>
        <w:jc w:val="both"/>
        <w:rPr>
          <w:rFonts w:ascii="Times New Roman" w:hAnsi="Times New Roman" w:cs="Times New Roman"/>
          <w:b/>
          <w:bCs/>
        </w:rPr>
      </w:pPr>
      <w:r>
        <w:rPr>
          <w:rFonts w:ascii="Times New Roman" w:hAnsi="Times New Roman" w:cs="Times New Roman"/>
          <w:b/>
          <w:bCs/>
        </w:rPr>
        <w:t>3.2</w:t>
      </w:r>
      <w:r w:rsidR="005874DF" w:rsidRPr="00C00008">
        <w:rPr>
          <w:rFonts w:ascii="Times New Roman" w:hAnsi="Times New Roman" w:cs="Times New Roman"/>
          <w:b/>
          <w:bCs/>
        </w:rPr>
        <w:t xml:space="preserve"> Sucrose Percentage (%)</w:t>
      </w:r>
    </w:p>
    <w:p w14:paraId="35255427" w14:textId="32325389" w:rsidR="005874DF" w:rsidRPr="00C00008" w:rsidRDefault="005874DF" w:rsidP="00554E5D">
      <w:pPr>
        <w:ind w:firstLine="720"/>
        <w:jc w:val="both"/>
        <w:rPr>
          <w:rFonts w:ascii="Times New Roman" w:hAnsi="Times New Roman" w:cs="Times New Roman"/>
        </w:rPr>
      </w:pPr>
      <w:r w:rsidRPr="00C00008">
        <w:rPr>
          <w:rFonts w:ascii="Times New Roman" w:hAnsi="Times New Roman" w:cs="Times New Roman"/>
        </w:rPr>
        <w:t>Sucrose content was significantly influenced by treatments, with organic treatment recording the highest sucrose (18.05%), followed by inorganic (17.29%) and control (16.77%).</w:t>
      </w:r>
      <w:r w:rsidR="00554E5D">
        <w:rPr>
          <w:rFonts w:ascii="Times New Roman" w:hAnsi="Times New Roman" w:cs="Times New Roman"/>
        </w:rPr>
        <w:t xml:space="preserve"> </w:t>
      </w:r>
      <w:r w:rsidRPr="00C00008">
        <w:rPr>
          <w:rFonts w:ascii="Times New Roman" w:hAnsi="Times New Roman" w:cs="Times New Roman"/>
        </w:rPr>
        <w:lastRenderedPageBreak/>
        <w:t>The improvement in sucrose under organic sources may be attributed to balanced nutrient supply, improved enzymatic activity and better physiological efficiency</w:t>
      </w:r>
      <w:r w:rsidR="00B8744B">
        <w:rPr>
          <w:rFonts w:ascii="Times New Roman" w:hAnsi="Times New Roman" w:cs="Times New Roman"/>
        </w:rPr>
        <w:t xml:space="preserve"> </w:t>
      </w:r>
      <w:r w:rsidR="00B8744B" w:rsidRPr="00C00008">
        <w:rPr>
          <w:rFonts w:ascii="Times New Roman" w:hAnsi="Times New Roman" w:cs="Times New Roman"/>
        </w:rPr>
        <w:t xml:space="preserve">(Table </w:t>
      </w:r>
      <w:r w:rsidR="00B8744B">
        <w:rPr>
          <w:rFonts w:ascii="Times New Roman" w:hAnsi="Times New Roman" w:cs="Times New Roman"/>
        </w:rPr>
        <w:t>2</w:t>
      </w:r>
      <w:r w:rsidR="00B8744B" w:rsidRPr="00C00008">
        <w:rPr>
          <w:rFonts w:ascii="Times New Roman" w:hAnsi="Times New Roman" w:cs="Times New Roman"/>
        </w:rPr>
        <w:t>)</w:t>
      </w:r>
      <w:r w:rsidRPr="00C00008">
        <w:rPr>
          <w:rFonts w:ascii="Times New Roman" w:hAnsi="Times New Roman" w:cs="Times New Roman"/>
        </w:rPr>
        <w:t>.</w:t>
      </w:r>
    </w:p>
    <w:p w14:paraId="741A2DD6" w14:textId="77777777" w:rsidR="005874DF" w:rsidRPr="00554E5D" w:rsidRDefault="005874DF" w:rsidP="00554E5D">
      <w:pPr>
        <w:ind w:firstLine="720"/>
        <w:jc w:val="both"/>
        <w:rPr>
          <w:rFonts w:ascii="Times New Roman" w:hAnsi="Times New Roman" w:cs="Times New Roman"/>
        </w:rPr>
      </w:pPr>
      <w:r w:rsidRPr="00554E5D">
        <w:rPr>
          <w:rFonts w:ascii="Times New Roman" w:hAnsi="Times New Roman" w:cs="Times New Roman"/>
        </w:rPr>
        <w:t>These results corroborate the findings of Sharma et al. (2023) and Patil et al. (2022), who reported higher sucrose content with organic and integrated nutrient management. Recent studies by Lima and White (2025) also indicated that organic amendments such as biochar and compost enhance sugar accumulation by improving soil biological activity and carbon dynamics.</w:t>
      </w:r>
    </w:p>
    <w:p w14:paraId="39CB5870" w14:textId="6E31BEDD" w:rsidR="005874DF" w:rsidRPr="00C00008" w:rsidRDefault="001D243A" w:rsidP="00BF476F">
      <w:pPr>
        <w:jc w:val="both"/>
        <w:rPr>
          <w:rFonts w:ascii="Times New Roman" w:hAnsi="Times New Roman" w:cs="Times New Roman"/>
          <w:b/>
          <w:bCs/>
        </w:rPr>
      </w:pPr>
      <w:r>
        <w:rPr>
          <w:rFonts w:ascii="Times New Roman" w:hAnsi="Times New Roman" w:cs="Times New Roman"/>
          <w:b/>
          <w:bCs/>
        </w:rPr>
        <w:t>3.3</w:t>
      </w:r>
      <w:r w:rsidR="005874DF" w:rsidRPr="00C00008">
        <w:rPr>
          <w:rFonts w:ascii="Times New Roman" w:hAnsi="Times New Roman" w:cs="Times New Roman"/>
          <w:b/>
          <w:bCs/>
        </w:rPr>
        <w:t xml:space="preserve"> Commercial Cane Sugar (CCS %)</w:t>
      </w:r>
    </w:p>
    <w:p w14:paraId="027FEB01" w14:textId="67B9C2BF" w:rsidR="005874DF" w:rsidRPr="00C00008" w:rsidRDefault="005874DF" w:rsidP="00942D47">
      <w:pPr>
        <w:ind w:firstLine="720"/>
        <w:jc w:val="both"/>
        <w:rPr>
          <w:rFonts w:ascii="Times New Roman" w:hAnsi="Times New Roman" w:cs="Times New Roman"/>
        </w:rPr>
      </w:pPr>
      <w:r w:rsidRPr="00C00008">
        <w:rPr>
          <w:rFonts w:ascii="Times New Roman" w:hAnsi="Times New Roman" w:cs="Times New Roman"/>
        </w:rPr>
        <w:t>CCS% followed a similar trend as sucrose, with organic treatment (12.56%) outperforming inorganic (11.86%) and control (11.56%). Higher CCS under organic treatments may be due to efficient translocation of photosynthates, improved nutrient balance and reduced lodging and stress</w:t>
      </w:r>
      <w:r w:rsidR="00B8744B">
        <w:rPr>
          <w:rFonts w:ascii="Times New Roman" w:hAnsi="Times New Roman" w:cs="Times New Roman"/>
        </w:rPr>
        <w:t xml:space="preserve"> </w:t>
      </w:r>
      <w:r w:rsidR="00B8744B" w:rsidRPr="00C00008">
        <w:rPr>
          <w:rFonts w:ascii="Times New Roman" w:hAnsi="Times New Roman" w:cs="Times New Roman"/>
        </w:rPr>
        <w:t xml:space="preserve">(Table </w:t>
      </w:r>
      <w:r w:rsidR="00B8744B">
        <w:rPr>
          <w:rFonts w:ascii="Times New Roman" w:hAnsi="Times New Roman" w:cs="Times New Roman"/>
        </w:rPr>
        <w:t>2</w:t>
      </w:r>
      <w:r w:rsidR="00B8744B" w:rsidRPr="00C00008">
        <w:rPr>
          <w:rFonts w:ascii="Times New Roman" w:hAnsi="Times New Roman" w:cs="Times New Roman"/>
        </w:rPr>
        <w:t>)</w:t>
      </w:r>
      <w:r w:rsidRPr="00C00008">
        <w:rPr>
          <w:rFonts w:ascii="Times New Roman" w:hAnsi="Times New Roman" w:cs="Times New Roman"/>
        </w:rPr>
        <w:t>.</w:t>
      </w:r>
    </w:p>
    <w:p w14:paraId="00674043" w14:textId="77777777" w:rsidR="005874DF" w:rsidRPr="00942D47" w:rsidRDefault="005874DF" w:rsidP="00942D47">
      <w:pPr>
        <w:ind w:firstLine="720"/>
        <w:jc w:val="both"/>
        <w:rPr>
          <w:rFonts w:ascii="Times New Roman" w:hAnsi="Times New Roman" w:cs="Times New Roman"/>
        </w:rPr>
      </w:pPr>
      <w:r w:rsidRPr="00942D47">
        <w:rPr>
          <w:rFonts w:ascii="Times New Roman" w:hAnsi="Times New Roman" w:cs="Times New Roman"/>
        </w:rPr>
        <w:t>These results are in conformity with Reddy et al. (2022) and Kaur et al. (2021), who reported improved CCS with organic nutrient sources. Further, Rao et al. (2024) highlighted the role of micronutrients like Zn and B in sugar metabolism and CCS improvement.</w:t>
      </w:r>
    </w:p>
    <w:p w14:paraId="1C7AF2DC" w14:textId="494ABFE0" w:rsidR="005874DF" w:rsidRPr="00C00008" w:rsidRDefault="001D243A" w:rsidP="00BF476F">
      <w:pPr>
        <w:jc w:val="both"/>
        <w:rPr>
          <w:rFonts w:ascii="Times New Roman" w:hAnsi="Times New Roman" w:cs="Times New Roman"/>
          <w:b/>
          <w:bCs/>
        </w:rPr>
      </w:pPr>
      <w:r>
        <w:rPr>
          <w:rFonts w:ascii="Times New Roman" w:hAnsi="Times New Roman" w:cs="Times New Roman"/>
          <w:b/>
          <w:bCs/>
        </w:rPr>
        <w:t>3.4</w:t>
      </w:r>
      <w:r w:rsidR="005874DF" w:rsidRPr="00C00008">
        <w:rPr>
          <w:rFonts w:ascii="Times New Roman" w:hAnsi="Times New Roman" w:cs="Times New Roman"/>
          <w:b/>
          <w:bCs/>
        </w:rPr>
        <w:t xml:space="preserve"> Cane Yield (t ha⁻¹)</w:t>
      </w:r>
    </w:p>
    <w:p w14:paraId="714CFB77" w14:textId="472FE102" w:rsidR="005874DF" w:rsidRPr="00C00008" w:rsidRDefault="005874DF" w:rsidP="0005223B">
      <w:pPr>
        <w:ind w:firstLine="720"/>
        <w:jc w:val="both"/>
        <w:rPr>
          <w:rFonts w:ascii="Times New Roman" w:hAnsi="Times New Roman" w:cs="Times New Roman"/>
        </w:rPr>
      </w:pPr>
      <w:r w:rsidRPr="00C00008">
        <w:rPr>
          <w:rFonts w:ascii="Times New Roman" w:hAnsi="Times New Roman" w:cs="Times New Roman"/>
        </w:rPr>
        <w:t>Cane yield was significantly influenced by nutrient management (Table 2). The inorganic treatment recorded the highest cane yield (85.00 t ha⁻¹), followed by organic (69.95 t ha⁻¹), while control recorded the lowest (26.54 t ha⁻¹).</w:t>
      </w:r>
      <w:r w:rsidR="0005223B">
        <w:rPr>
          <w:rFonts w:ascii="Times New Roman" w:hAnsi="Times New Roman" w:cs="Times New Roman"/>
        </w:rPr>
        <w:t xml:space="preserve"> </w:t>
      </w:r>
      <w:r w:rsidRPr="00C00008">
        <w:rPr>
          <w:rFonts w:ascii="Times New Roman" w:hAnsi="Times New Roman" w:cs="Times New Roman"/>
        </w:rPr>
        <w:t>The superiority of inorganic fertilization is due to immediate nutrient availability, enhanced vegetative growth and increased biomass production. However, organic treatments also significantly improved yield over control, indicating the importance of soil health and sustained nutrient release.</w:t>
      </w:r>
    </w:p>
    <w:p w14:paraId="3157FBBE" w14:textId="77777777" w:rsidR="005874DF" w:rsidRPr="0005223B" w:rsidRDefault="005874DF" w:rsidP="0005223B">
      <w:pPr>
        <w:ind w:firstLine="720"/>
        <w:jc w:val="both"/>
        <w:rPr>
          <w:rFonts w:ascii="Times New Roman" w:hAnsi="Times New Roman" w:cs="Times New Roman"/>
        </w:rPr>
      </w:pPr>
      <w:r w:rsidRPr="0005223B">
        <w:rPr>
          <w:rFonts w:ascii="Times New Roman" w:hAnsi="Times New Roman" w:cs="Times New Roman"/>
        </w:rPr>
        <w:t>These findings are supported by Singh et al. (2021) and Kumar et al. (2022). Recent research by Zia et al. (2025) confirmed that improved nutrient management strategies enhance yield and fertilizer use efficiency. Additionally, Lima and White (2025) reported that soil amendments like biochar significantly increase cane yield over time.</w:t>
      </w:r>
    </w:p>
    <w:p w14:paraId="1121DF95" w14:textId="0514FC5B" w:rsidR="005874DF" w:rsidRPr="00C00008" w:rsidRDefault="001D243A" w:rsidP="00BF476F">
      <w:pPr>
        <w:jc w:val="both"/>
        <w:rPr>
          <w:rFonts w:ascii="Times New Roman" w:hAnsi="Times New Roman" w:cs="Times New Roman"/>
          <w:b/>
          <w:bCs/>
        </w:rPr>
      </w:pPr>
      <w:r>
        <w:rPr>
          <w:rFonts w:ascii="Times New Roman" w:hAnsi="Times New Roman" w:cs="Times New Roman"/>
          <w:b/>
          <w:bCs/>
        </w:rPr>
        <w:t>3.5</w:t>
      </w:r>
      <w:r w:rsidR="005874DF" w:rsidRPr="00C00008">
        <w:rPr>
          <w:rFonts w:ascii="Times New Roman" w:hAnsi="Times New Roman" w:cs="Times New Roman"/>
          <w:b/>
          <w:bCs/>
        </w:rPr>
        <w:t xml:space="preserve"> CCS Yield (t ha⁻¹)</w:t>
      </w:r>
    </w:p>
    <w:p w14:paraId="19D619FE" w14:textId="20257042" w:rsidR="005874DF" w:rsidRPr="0005223B" w:rsidRDefault="005874DF" w:rsidP="0005223B">
      <w:pPr>
        <w:ind w:firstLine="720"/>
        <w:jc w:val="both"/>
        <w:rPr>
          <w:rFonts w:ascii="Times New Roman" w:hAnsi="Times New Roman" w:cs="Times New Roman"/>
        </w:rPr>
      </w:pPr>
      <w:r w:rsidRPr="00C00008">
        <w:rPr>
          <w:rFonts w:ascii="Times New Roman" w:hAnsi="Times New Roman" w:cs="Times New Roman"/>
        </w:rPr>
        <w:t>CCS yield, which integrates yield and quality</w:t>
      </w:r>
      <w:r w:rsidR="00F77C5B">
        <w:rPr>
          <w:rFonts w:ascii="Times New Roman" w:hAnsi="Times New Roman" w:cs="Times New Roman"/>
        </w:rPr>
        <w:t xml:space="preserve"> </w:t>
      </w:r>
      <w:r w:rsidR="00F77C5B" w:rsidRPr="00C00008">
        <w:rPr>
          <w:rFonts w:ascii="Times New Roman" w:hAnsi="Times New Roman" w:cs="Times New Roman"/>
        </w:rPr>
        <w:t xml:space="preserve">(Table </w:t>
      </w:r>
      <w:r w:rsidR="00F77C5B">
        <w:rPr>
          <w:rFonts w:ascii="Times New Roman" w:hAnsi="Times New Roman" w:cs="Times New Roman"/>
        </w:rPr>
        <w:t>2</w:t>
      </w:r>
      <w:r w:rsidR="00F77C5B" w:rsidRPr="00C00008">
        <w:rPr>
          <w:rFonts w:ascii="Times New Roman" w:hAnsi="Times New Roman" w:cs="Times New Roman"/>
        </w:rPr>
        <w:t>)</w:t>
      </w:r>
      <w:r w:rsidRPr="00C00008">
        <w:rPr>
          <w:rFonts w:ascii="Times New Roman" w:hAnsi="Times New Roman" w:cs="Times New Roman"/>
        </w:rPr>
        <w:t>, was highest in inorganic treatment (10.06 t ha⁻¹) followed by organic (8.77 t ha⁻¹) and control (3.25 t ha⁻¹).</w:t>
      </w:r>
      <w:r w:rsidR="0005223B">
        <w:rPr>
          <w:rFonts w:ascii="Times New Roman" w:hAnsi="Times New Roman" w:cs="Times New Roman"/>
        </w:rPr>
        <w:t xml:space="preserve"> </w:t>
      </w:r>
      <w:r w:rsidRPr="00C00008">
        <w:rPr>
          <w:rFonts w:ascii="Times New Roman" w:hAnsi="Times New Roman" w:cs="Times New Roman"/>
        </w:rPr>
        <w:t>Although organic treatments recorded higher CCS%, the higher cane yield under inorganic fertilization resulted in maximum CCS yield.</w:t>
      </w:r>
      <w:r w:rsidR="0005223B">
        <w:rPr>
          <w:rFonts w:ascii="Times New Roman" w:hAnsi="Times New Roman" w:cs="Times New Roman"/>
        </w:rPr>
        <w:t xml:space="preserve"> </w:t>
      </w:r>
      <w:r w:rsidRPr="0005223B">
        <w:rPr>
          <w:rFonts w:ascii="Times New Roman" w:hAnsi="Times New Roman" w:cs="Times New Roman"/>
        </w:rPr>
        <w:t>Similar findings were reported by Reddy et al. (2022) and Patil et al. (2022). Recent studies by Abhiram et al. (2025) also indicated that balanced fertilization combined with improved nutrient-use efficiency leads to higher sugar productivity.</w:t>
      </w:r>
    </w:p>
    <w:p w14:paraId="04A3D03A" w14:textId="387F8F14" w:rsidR="00016FC9" w:rsidRPr="00016FC9" w:rsidRDefault="001D243A" w:rsidP="00016FC9">
      <w:pPr>
        <w:jc w:val="both"/>
        <w:rPr>
          <w:rFonts w:ascii="Times New Roman" w:hAnsi="Times New Roman" w:cs="Times New Roman"/>
          <w:b/>
          <w:bCs/>
        </w:rPr>
      </w:pPr>
      <w:r>
        <w:rPr>
          <w:rFonts w:ascii="Times New Roman" w:hAnsi="Times New Roman" w:cs="Times New Roman"/>
          <w:b/>
          <w:bCs/>
        </w:rPr>
        <w:t xml:space="preserve">3.6 </w:t>
      </w:r>
      <w:r w:rsidR="00811FAE">
        <w:rPr>
          <w:rFonts w:ascii="Times New Roman" w:hAnsi="Times New Roman" w:cs="Times New Roman"/>
          <w:b/>
          <w:bCs/>
        </w:rPr>
        <w:t xml:space="preserve">Benefit Cost Ratio </w:t>
      </w:r>
    </w:p>
    <w:p w14:paraId="1B77FE97" w14:textId="3FA689BC" w:rsidR="00016FC9" w:rsidRPr="00016FC9" w:rsidRDefault="00016FC9" w:rsidP="00F77C5B">
      <w:pPr>
        <w:ind w:firstLine="720"/>
        <w:jc w:val="both"/>
        <w:rPr>
          <w:rFonts w:ascii="Times New Roman" w:hAnsi="Times New Roman" w:cs="Times New Roman"/>
        </w:rPr>
      </w:pPr>
      <w:r w:rsidRPr="00016FC9">
        <w:rPr>
          <w:rFonts w:ascii="Times New Roman" w:hAnsi="Times New Roman" w:cs="Times New Roman"/>
        </w:rPr>
        <w:t>The economic analysis of sugarcane under different nutrient management practices revealed significant variation among treatments (Table</w:t>
      </w:r>
      <w:r w:rsidR="00F77C5B">
        <w:rPr>
          <w:rFonts w:ascii="Times New Roman" w:hAnsi="Times New Roman" w:cs="Times New Roman"/>
        </w:rPr>
        <w:t xml:space="preserve"> 3</w:t>
      </w:r>
      <w:r w:rsidRPr="00016FC9">
        <w:rPr>
          <w:rFonts w:ascii="Times New Roman" w:hAnsi="Times New Roman" w:cs="Times New Roman"/>
        </w:rPr>
        <w:t xml:space="preserve">). The inorganic treatment recorded the highest gross returns (Rs. 269,280 ha⁻¹) and net returns (Rs. 158,990 ha⁻¹) with a benefit-cost (B:C) ratio of 1.44, indicating superior profitability. This could be attributed to higher cane </w:t>
      </w:r>
      <w:r w:rsidRPr="00016FC9">
        <w:rPr>
          <w:rFonts w:ascii="Times New Roman" w:hAnsi="Times New Roman" w:cs="Times New Roman"/>
        </w:rPr>
        <w:lastRenderedPageBreak/>
        <w:t>yield and improved nutrient availability resulting from the immediate supply of nutrients through chemical fertilizers.</w:t>
      </w:r>
    </w:p>
    <w:p w14:paraId="656E9F33" w14:textId="77777777"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In contrast, the organic treatment incurred the highest cost of cultivation (Rs. 137,200 ha⁻¹), primarily due to the expenses associated with organic inputs such as farmyard manure, compost, and biofertilizers. Although organic farming resulted in moderate gross returns (Rs. 234,780 ha⁻¹), the net returns (Rs. 97,580 ha⁻¹) and B:C ratio (0.71) were considerably lower than inorganic treatment. The reduced profitability in organic systems during initial years is often reported due to lower yields and higher input costs, despite improvements in soil health and sustainability.</w:t>
      </w:r>
    </w:p>
    <w:p w14:paraId="5FDE5825" w14:textId="77777777"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The control treatment recorded the lowest economic returns with gross returns of Rs. 56,760 ha⁻¹ and net returns of only Rs. 5,810 ha⁻¹, along with a negative B:C ratio (-0.11), indicating non-viability of sugarcane cultivation without nutrient inputs.</w:t>
      </w:r>
    </w:p>
    <w:p w14:paraId="6FE85D81" w14:textId="77777777" w:rsidR="00016FC9" w:rsidRPr="00016FC9" w:rsidRDefault="00016FC9" w:rsidP="000814BA">
      <w:pPr>
        <w:ind w:firstLine="720"/>
        <w:jc w:val="both"/>
        <w:rPr>
          <w:rFonts w:ascii="Times New Roman" w:hAnsi="Times New Roman" w:cs="Times New Roman"/>
        </w:rPr>
      </w:pPr>
      <w:r w:rsidRPr="00016FC9">
        <w:rPr>
          <w:rFonts w:ascii="Times New Roman" w:hAnsi="Times New Roman" w:cs="Times New Roman"/>
        </w:rPr>
        <w:t xml:space="preserve">These findings are in agreement with several earlier studies. </w:t>
      </w:r>
      <w:proofErr w:type="spellStart"/>
      <w:r w:rsidRPr="00016FC9">
        <w:rPr>
          <w:rFonts w:ascii="Times New Roman" w:hAnsi="Times New Roman" w:cs="Times New Roman"/>
        </w:rPr>
        <w:t>Ganaie</w:t>
      </w:r>
      <w:proofErr w:type="spellEnd"/>
      <w:r w:rsidRPr="00016FC9">
        <w:rPr>
          <w:rFonts w:ascii="Times New Roman" w:hAnsi="Times New Roman" w:cs="Times New Roman"/>
        </w:rPr>
        <w:t xml:space="preserve"> et al. (2014) reported higher economic returns under inorganic fertilization due to enhanced productivity. Similarly, Singh and Kumar (2017) observed that integrated and inorganic nutrient management systems resulted in higher profitability compared to sole organic treatments in sugarcane. However, Ramesh et al. (2005) emphasized that organic farming improves soil fertility and sustainability in the long term, though economic returns may be lower in the short term.</w:t>
      </w:r>
    </w:p>
    <w:p w14:paraId="40580471" w14:textId="77777777" w:rsidR="00016FC9" w:rsidRPr="00016FC9" w:rsidRDefault="00016FC9" w:rsidP="00E56421">
      <w:pPr>
        <w:ind w:firstLine="720"/>
        <w:jc w:val="both"/>
        <w:rPr>
          <w:rFonts w:ascii="Times New Roman" w:hAnsi="Times New Roman" w:cs="Times New Roman"/>
        </w:rPr>
      </w:pPr>
      <w:r w:rsidRPr="00016FC9">
        <w:rPr>
          <w:rFonts w:ascii="Times New Roman" w:hAnsi="Times New Roman" w:cs="Times New Roman"/>
        </w:rPr>
        <w:t>Further, Mahajan et al. (2008) reported that the higher cost of organic inputs often reduces net returns initially, but gradual improvement in soil properties can enhance profitability over time. Sharma et al. (2013) also highlighted that organic farming systems require a transition period before achieving comparable yields and economic returns.</w:t>
      </w:r>
    </w:p>
    <w:p w14:paraId="4D9DC2C7" w14:textId="51B9090B" w:rsidR="005874DF" w:rsidRPr="00AC63E6" w:rsidRDefault="005874DF" w:rsidP="00AC63E6">
      <w:pPr>
        <w:ind w:firstLine="720"/>
        <w:jc w:val="both"/>
        <w:rPr>
          <w:rFonts w:ascii="Times New Roman" w:hAnsi="Times New Roman" w:cs="Times New Roman"/>
        </w:rPr>
      </w:pPr>
      <w:r w:rsidRPr="00C00008">
        <w:rPr>
          <w:rFonts w:ascii="Times New Roman" w:hAnsi="Times New Roman" w:cs="Times New Roman"/>
        </w:rPr>
        <w:t xml:space="preserve">The study clearly demonstrates that inorganic </w:t>
      </w:r>
      <w:r w:rsidR="00EF7DEA">
        <w:rPr>
          <w:rFonts w:ascii="Times New Roman" w:hAnsi="Times New Roman" w:cs="Times New Roman"/>
        </w:rPr>
        <w:t>farming</w:t>
      </w:r>
      <w:r w:rsidRPr="00C00008">
        <w:rPr>
          <w:rFonts w:ascii="Times New Roman" w:hAnsi="Times New Roman" w:cs="Times New Roman"/>
        </w:rPr>
        <w:t xml:space="preserve"> maximizes yield and CCS yield, whereas organic </w:t>
      </w:r>
      <w:r w:rsidR="00EF7DEA">
        <w:rPr>
          <w:rFonts w:ascii="Times New Roman" w:hAnsi="Times New Roman" w:cs="Times New Roman"/>
        </w:rPr>
        <w:t>farming</w:t>
      </w:r>
      <w:r w:rsidRPr="00C00008">
        <w:rPr>
          <w:rFonts w:ascii="Times New Roman" w:hAnsi="Times New Roman" w:cs="Times New Roman"/>
        </w:rPr>
        <w:t xml:space="preserve"> improves juice quality (sucrose and CCS%). Control treatment remained significantly inferior in all parameters.</w:t>
      </w:r>
      <w:r w:rsidR="00AC63E6">
        <w:rPr>
          <w:rFonts w:ascii="Times New Roman" w:hAnsi="Times New Roman" w:cs="Times New Roman"/>
        </w:rPr>
        <w:t xml:space="preserve"> </w:t>
      </w:r>
      <w:r w:rsidRPr="00AC63E6">
        <w:rPr>
          <w:rFonts w:ascii="Times New Roman" w:hAnsi="Times New Roman" w:cs="Times New Roman"/>
        </w:rPr>
        <w:t xml:space="preserve">These results align with recent findings of Singh et al. (2021), Kumar et al. (2022) and </w:t>
      </w:r>
      <w:r w:rsidR="005332C4">
        <w:rPr>
          <w:rFonts w:ascii="Times New Roman" w:hAnsi="Times New Roman" w:cs="Times New Roman"/>
        </w:rPr>
        <w:t xml:space="preserve">Kamalakar </w:t>
      </w:r>
      <w:r w:rsidRPr="00AC63E6">
        <w:rPr>
          <w:rFonts w:ascii="Times New Roman" w:hAnsi="Times New Roman" w:cs="Times New Roman"/>
        </w:rPr>
        <w:t>et al. (202</w:t>
      </w:r>
      <w:r w:rsidR="00F03136">
        <w:rPr>
          <w:rFonts w:ascii="Times New Roman" w:hAnsi="Times New Roman" w:cs="Times New Roman"/>
        </w:rPr>
        <w:t>0</w:t>
      </w:r>
      <w:r w:rsidRPr="00AC63E6">
        <w:rPr>
          <w:rFonts w:ascii="Times New Roman" w:hAnsi="Times New Roman" w:cs="Times New Roman"/>
        </w:rPr>
        <w:t>), who emphasized the importance of integrated nutrient management (INM). INM combines chemical fertilizers for immediate nutrient supply, organic inputs for sustainability and micronutrients for quality enhancement.</w:t>
      </w:r>
      <w:r w:rsidR="00AC63E6">
        <w:rPr>
          <w:rFonts w:ascii="Times New Roman" w:hAnsi="Times New Roman" w:cs="Times New Roman"/>
        </w:rPr>
        <w:t xml:space="preserve"> </w:t>
      </w:r>
      <w:r w:rsidRPr="00AC63E6">
        <w:rPr>
          <w:rFonts w:ascii="Times New Roman" w:hAnsi="Times New Roman" w:cs="Times New Roman"/>
        </w:rPr>
        <w:t>Such integrated approaches improve productivity while reducing environmental impacts and nutrient losses (Lima and White, 2025; Abhiram et al., 2025).</w:t>
      </w:r>
    </w:p>
    <w:p w14:paraId="064E8A43" w14:textId="77777777" w:rsidR="0010654D" w:rsidRDefault="0010654D" w:rsidP="00BF476F">
      <w:pPr>
        <w:jc w:val="both"/>
        <w:rPr>
          <w:rFonts w:ascii="Times New Roman" w:hAnsi="Times New Roman" w:cs="Times New Roman"/>
          <w:b/>
          <w:bCs/>
        </w:rPr>
      </w:pPr>
    </w:p>
    <w:p w14:paraId="327530E2" w14:textId="77777777" w:rsidR="0010654D" w:rsidRPr="00C00008" w:rsidRDefault="0010654D" w:rsidP="0010654D">
      <w:pPr>
        <w:spacing w:after="0" w:line="240" w:lineRule="auto"/>
        <w:rPr>
          <w:rFonts w:ascii="Times New Roman" w:hAnsi="Times New Roman" w:cs="Times New Roman"/>
          <w:b/>
          <w:bCs/>
        </w:rPr>
      </w:pPr>
      <w:r w:rsidRPr="00C00008">
        <w:rPr>
          <w:rFonts w:ascii="Times New Roman" w:hAnsi="Times New Roman" w:cs="Times New Roman"/>
          <w:b/>
          <w:bCs/>
        </w:rPr>
        <w:t>Table 1: Effect of organic farming on cane yield and juice quality</w:t>
      </w:r>
    </w:p>
    <w:p w14:paraId="54E111B0" w14:textId="77777777" w:rsidR="0010654D" w:rsidRPr="00C00008" w:rsidRDefault="0010654D" w:rsidP="0010654D">
      <w:pPr>
        <w:spacing w:after="0" w:line="240" w:lineRule="auto"/>
        <w:rPr>
          <w:rFonts w:ascii="Times New Roman" w:hAnsi="Times New Roman" w:cs="Times New Roman"/>
          <w:b/>
          <w:bCs/>
        </w:rPr>
      </w:pP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2"/>
        <w:gridCol w:w="1389"/>
        <w:gridCol w:w="1499"/>
        <w:gridCol w:w="1337"/>
        <w:gridCol w:w="1354"/>
        <w:gridCol w:w="1354"/>
      </w:tblGrid>
      <w:tr w:rsidR="0010654D" w:rsidRPr="00C00008" w14:paraId="480C3503" w14:textId="77777777" w:rsidTr="00853950">
        <w:trPr>
          <w:trHeight w:val="284"/>
          <w:jc w:val="right"/>
        </w:trPr>
        <w:tc>
          <w:tcPr>
            <w:tcW w:w="1572" w:type="dxa"/>
            <w:tcMar>
              <w:top w:w="11" w:type="dxa"/>
              <w:left w:w="108" w:type="dxa"/>
              <w:bottom w:w="0" w:type="dxa"/>
              <w:right w:w="108" w:type="dxa"/>
            </w:tcMar>
            <w:vAlign w:val="center"/>
            <w:hideMark/>
          </w:tcPr>
          <w:p w14:paraId="597060A2" w14:textId="77777777" w:rsidR="0010654D" w:rsidRPr="00C00008" w:rsidRDefault="0010654D" w:rsidP="00853950">
            <w:pPr>
              <w:spacing w:after="0" w:line="240" w:lineRule="auto"/>
              <w:rPr>
                <w:rFonts w:ascii="Times New Roman" w:hAnsi="Times New Roman" w:cs="Times New Roman"/>
                <w:b/>
              </w:rPr>
            </w:pPr>
            <w:r w:rsidRPr="00C00008">
              <w:rPr>
                <w:rFonts w:ascii="Times New Roman" w:hAnsi="Times New Roman" w:cs="Times New Roman"/>
                <w:b/>
              </w:rPr>
              <w:t xml:space="preserve">Particulars </w:t>
            </w:r>
          </w:p>
        </w:tc>
        <w:tc>
          <w:tcPr>
            <w:tcW w:w="1389" w:type="dxa"/>
            <w:tcMar>
              <w:top w:w="11" w:type="dxa"/>
              <w:left w:w="108" w:type="dxa"/>
              <w:bottom w:w="0" w:type="dxa"/>
              <w:right w:w="108" w:type="dxa"/>
            </w:tcMar>
            <w:vAlign w:val="center"/>
            <w:hideMark/>
          </w:tcPr>
          <w:p w14:paraId="4737FC92"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b/>
                <w:bCs/>
              </w:rPr>
              <w:t>NMC 000/ha</w:t>
            </w:r>
          </w:p>
        </w:tc>
        <w:tc>
          <w:tcPr>
            <w:tcW w:w="1499" w:type="dxa"/>
            <w:tcMar>
              <w:top w:w="11" w:type="dxa"/>
              <w:left w:w="108" w:type="dxa"/>
              <w:bottom w:w="0" w:type="dxa"/>
              <w:right w:w="108" w:type="dxa"/>
            </w:tcMar>
            <w:vAlign w:val="center"/>
            <w:hideMark/>
          </w:tcPr>
          <w:p w14:paraId="49E13F1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b/>
                <w:bCs/>
              </w:rPr>
              <w:t>Sucrose %</w:t>
            </w:r>
          </w:p>
        </w:tc>
        <w:tc>
          <w:tcPr>
            <w:tcW w:w="1337" w:type="dxa"/>
            <w:tcMar>
              <w:top w:w="11" w:type="dxa"/>
              <w:left w:w="108" w:type="dxa"/>
              <w:bottom w:w="0" w:type="dxa"/>
              <w:right w:w="108" w:type="dxa"/>
            </w:tcMar>
            <w:vAlign w:val="center"/>
            <w:hideMark/>
          </w:tcPr>
          <w:p w14:paraId="613E04DC"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b/>
                <w:bCs/>
              </w:rPr>
              <w:t>CCS %</w:t>
            </w:r>
          </w:p>
        </w:tc>
        <w:tc>
          <w:tcPr>
            <w:tcW w:w="1354" w:type="dxa"/>
            <w:tcMar>
              <w:top w:w="11" w:type="dxa"/>
              <w:left w:w="108" w:type="dxa"/>
              <w:bottom w:w="0" w:type="dxa"/>
              <w:right w:w="108" w:type="dxa"/>
            </w:tcMar>
            <w:vAlign w:val="center"/>
            <w:hideMark/>
          </w:tcPr>
          <w:p w14:paraId="234D4BE8"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b/>
                <w:bCs/>
              </w:rPr>
              <w:t>Cane yield (t/ha)</w:t>
            </w:r>
          </w:p>
        </w:tc>
        <w:tc>
          <w:tcPr>
            <w:tcW w:w="1354" w:type="dxa"/>
            <w:tcMar>
              <w:top w:w="11" w:type="dxa"/>
              <w:left w:w="108" w:type="dxa"/>
              <w:bottom w:w="0" w:type="dxa"/>
              <w:right w:w="108" w:type="dxa"/>
            </w:tcMar>
            <w:vAlign w:val="center"/>
            <w:hideMark/>
          </w:tcPr>
          <w:p w14:paraId="6765D0E8"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b/>
                <w:bCs/>
              </w:rPr>
              <w:t>CCS yield (t/ha)</w:t>
            </w:r>
          </w:p>
        </w:tc>
      </w:tr>
      <w:tr w:rsidR="0010654D" w:rsidRPr="00C00008" w14:paraId="0AE0B429" w14:textId="77777777" w:rsidTr="00853950">
        <w:trPr>
          <w:trHeight w:val="284"/>
          <w:jc w:val="right"/>
        </w:trPr>
        <w:tc>
          <w:tcPr>
            <w:tcW w:w="8505" w:type="dxa"/>
            <w:gridSpan w:val="6"/>
            <w:tcMar>
              <w:top w:w="11" w:type="dxa"/>
              <w:left w:w="108" w:type="dxa"/>
              <w:bottom w:w="0" w:type="dxa"/>
              <w:right w:w="108" w:type="dxa"/>
            </w:tcMar>
            <w:vAlign w:val="center"/>
            <w:hideMark/>
          </w:tcPr>
          <w:p w14:paraId="175AA10A" w14:textId="77777777" w:rsidR="0010654D" w:rsidRPr="00C00008" w:rsidRDefault="0010654D" w:rsidP="00853950">
            <w:pPr>
              <w:spacing w:after="0" w:line="240" w:lineRule="auto"/>
              <w:rPr>
                <w:rFonts w:ascii="Times New Roman" w:hAnsi="Times New Roman" w:cs="Times New Roman"/>
                <w:b/>
                <w:bCs/>
              </w:rPr>
            </w:pPr>
            <w:r w:rsidRPr="00C00008">
              <w:rPr>
                <w:rFonts w:ascii="Times New Roman" w:hAnsi="Times New Roman" w:cs="Times New Roman"/>
                <w:b/>
                <w:bCs/>
              </w:rPr>
              <w:t xml:space="preserve">2014-15 </w:t>
            </w:r>
          </w:p>
        </w:tc>
      </w:tr>
      <w:tr w:rsidR="0010654D" w:rsidRPr="00C00008" w14:paraId="7A9E6B9C" w14:textId="77777777" w:rsidTr="00853950">
        <w:trPr>
          <w:trHeight w:val="284"/>
          <w:jc w:val="right"/>
        </w:trPr>
        <w:tc>
          <w:tcPr>
            <w:tcW w:w="1572" w:type="dxa"/>
            <w:tcMar>
              <w:top w:w="11" w:type="dxa"/>
              <w:left w:w="108" w:type="dxa"/>
              <w:bottom w:w="0" w:type="dxa"/>
              <w:right w:w="108" w:type="dxa"/>
            </w:tcMar>
            <w:vAlign w:val="center"/>
            <w:hideMark/>
          </w:tcPr>
          <w:p w14:paraId="696C2CDC"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7601D4F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34.15</w:t>
            </w:r>
          </w:p>
        </w:tc>
        <w:tc>
          <w:tcPr>
            <w:tcW w:w="1499" w:type="dxa"/>
            <w:tcMar>
              <w:top w:w="11" w:type="dxa"/>
              <w:left w:w="108" w:type="dxa"/>
              <w:bottom w:w="0" w:type="dxa"/>
              <w:right w:w="108" w:type="dxa"/>
            </w:tcMar>
            <w:vAlign w:val="center"/>
            <w:hideMark/>
          </w:tcPr>
          <w:p w14:paraId="3F537719"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17.10</w:t>
            </w:r>
          </w:p>
        </w:tc>
        <w:tc>
          <w:tcPr>
            <w:tcW w:w="1337" w:type="dxa"/>
            <w:tcMar>
              <w:top w:w="11" w:type="dxa"/>
              <w:left w:w="108" w:type="dxa"/>
              <w:bottom w:w="0" w:type="dxa"/>
              <w:right w:w="108" w:type="dxa"/>
            </w:tcMar>
            <w:vAlign w:val="center"/>
            <w:hideMark/>
          </w:tcPr>
          <w:p w14:paraId="000CC7A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12.26</w:t>
            </w:r>
          </w:p>
        </w:tc>
        <w:tc>
          <w:tcPr>
            <w:tcW w:w="1354" w:type="dxa"/>
            <w:tcMar>
              <w:top w:w="11" w:type="dxa"/>
              <w:left w:w="108" w:type="dxa"/>
              <w:bottom w:w="0" w:type="dxa"/>
              <w:right w:w="108" w:type="dxa"/>
            </w:tcMar>
            <w:vAlign w:val="center"/>
            <w:hideMark/>
          </w:tcPr>
          <w:p w14:paraId="05536B9F"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25.61</w:t>
            </w:r>
          </w:p>
        </w:tc>
        <w:tc>
          <w:tcPr>
            <w:tcW w:w="1354" w:type="dxa"/>
            <w:tcMar>
              <w:top w:w="11" w:type="dxa"/>
              <w:left w:w="108" w:type="dxa"/>
              <w:bottom w:w="0" w:type="dxa"/>
              <w:right w:w="108" w:type="dxa"/>
            </w:tcMar>
            <w:vAlign w:val="center"/>
            <w:hideMark/>
          </w:tcPr>
          <w:p w14:paraId="6C54571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3.13</w:t>
            </w:r>
          </w:p>
        </w:tc>
      </w:tr>
      <w:tr w:rsidR="0010654D" w:rsidRPr="00C00008" w14:paraId="6EE8E3E2" w14:textId="77777777" w:rsidTr="00853950">
        <w:trPr>
          <w:trHeight w:val="284"/>
          <w:jc w:val="right"/>
        </w:trPr>
        <w:tc>
          <w:tcPr>
            <w:tcW w:w="1572" w:type="dxa"/>
            <w:tcMar>
              <w:top w:w="11" w:type="dxa"/>
              <w:left w:w="108" w:type="dxa"/>
              <w:bottom w:w="0" w:type="dxa"/>
              <w:right w:w="108" w:type="dxa"/>
            </w:tcMar>
            <w:vAlign w:val="center"/>
            <w:hideMark/>
          </w:tcPr>
          <w:p w14:paraId="2A932E58"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B65A462"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65.25</w:t>
            </w:r>
          </w:p>
        </w:tc>
        <w:tc>
          <w:tcPr>
            <w:tcW w:w="1499" w:type="dxa"/>
            <w:tcMar>
              <w:top w:w="11" w:type="dxa"/>
              <w:left w:w="108" w:type="dxa"/>
              <w:bottom w:w="0" w:type="dxa"/>
              <w:right w:w="108" w:type="dxa"/>
            </w:tcMar>
            <w:vAlign w:val="center"/>
            <w:hideMark/>
          </w:tcPr>
          <w:p w14:paraId="3560293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17.37</w:t>
            </w:r>
          </w:p>
        </w:tc>
        <w:tc>
          <w:tcPr>
            <w:tcW w:w="1337" w:type="dxa"/>
            <w:tcMar>
              <w:top w:w="11" w:type="dxa"/>
              <w:left w:w="108" w:type="dxa"/>
              <w:bottom w:w="0" w:type="dxa"/>
              <w:right w:w="108" w:type="dxa"/>
            </w:tcMar>
            <w:vAlign w:val="center"/>
            <w:hideMark/>
          </w:tcPr>
          <w:p w14:paraId="4519956B"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11.84</w:t>
            </w:r>
          </w:p>
        </w:tc>
        <w:tc>
          <w:tcPr>
            <w:tcW w:w="1354" w:type="dxa"/>
            <w:tcMar>
              <w:top w:w="11" w:type="dxa"/>
              <w:left w:w="108" w:type="dxa"/>
              <w:bottom w:w="0" w:type="dxa"/>
              <w:right w:w="108" w:type="dxa"/>
            </w:tcMar>
            <w:vAlign w:val="center"/>
            <w:hideMark/>
          </w:tcPr>
          <w:p w14:paraId="0186086F"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55.46</w:t>
            </w:r>
          </w:p>
        </w:tc>
        <w:tc>
          <w:tcPr>
            <w:tcW w:w="1354" w:type="dxa"/>
            <w:tcMar>
              <w:top w:w="11" w:type="dxa"/>
              <w:left w:w="108" w:type="dxa"/>
              <w:bottom w:w="0" w:type="dxa"/>
              <w:right w:w="108" w:type="dxa"/>
            </w:tcMar>
            <w:vAlign w:val="center"/>
            <w:hideMark/>
          </w:tcPr>
          <w:p w14:paraId="0DFE46A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6.56</w:t>
            </w:r>
          </w:p>
        </w:tc>
      </w:tr>
      <w:tr w:rsidR="0010654D" w:rsidRPr="00C00008" w14:paraId="0956F9EF" w14:textId="77777777" w:rsidTr="00853950">
        <w:trPr>
          <w:trHeight w:val="284"/>
          <w:jc w:val="right"/>
        </w:trPr>
        <w:tc>
          <w:tcPr>
            <w:tcW w:w="1572" w:type="dxa"/>
            <w:tcMar>
              <w:top w:w="11" w:type="dxa"/>
              <w:left w:w="108" w:type="dxa"/>
              <w:bottom w:w="0" w:type="dxa"/>
              <w:right w:w="108" w:type="dxa"/>
            </w:tcMar>
            <w:vAlign w:val="center"/>
            <w:hideMark/>
          </w:tcPr>
          <w:p w14:paraId="777B466D"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4F49CCC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76.40</w:t>
            </w:r>
          </w:p>
        </w:tc>
        <w:tc>
          <w:tcPr>
            <w:tcW w:w="1499" w:type="dxa"/>
            <w:tcMar>
              <w:top w:w="11" w:type="dxa"/>
              <w:left w:w="108" w:type="dxa"/>
              <w:bottom w:w="0" w:type="dxa"/>
              <w:right w:w="108" w:type="dxa"/>
            </w:tcMar>
            <w:vAlign w:val="center"/>
            <w:hideMark/>
          </w:tcPr>
          <w:p w14:paraId="5D4251B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17.54</w:t>
            </w:r>
          </w:p>
        </w:tc>
        <w:tc>
          <w:tcPr>
            <w:tcW w:w="1337" w:type="dxa"/>
            <w:tcMar>
              <w:top w:w="11" w:type="dxa"/>
              <w:left w:w="108" w:type="dxa"/>
              <w:bottom w:w="0" w:type="dxa"/>
              <w:right w:w="108" w:type="dxa"/>
            </w:tcMar>
            <w:vAlign w:val="center"/>
            <w:hideMark/>
          </w:tcPr>
          <w:p w14:paraId="5445249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11.96</w:t>
            </w:r>
          </w:p>
        </w:tc>
        <w:tc>
          <w:tcPr>
            <w:tcW w:w="1354" w:type="dxa"/>
            <w:tcMar>
              <w:top w:w="11" w:type="dxa"/>
              <w:left w:w="108" w:type="dxa"/>
              <w:bottom w:w="0" w:type="dxa"/>
              <w:right w:w="108" w:type="dxa"/>
            </w:tcMar>
            <w:vAlign w:val="center"/>
            <w:hideMark/>
          </w:tcPr>
          <w:p w14:paraId="7B9938D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80.50</w:t>
            </w:r>
          </w:p>
        </w:tc>
        <w:tc>
          <w:tcPr>
            <w:tcW w:w="1354" w:type="dxa"/>
            <w:tcMar>
              <w:top w:w="11" w:type="dxa"/>
              <w:left w:w="108" w:type="dxa"/>
              <w:bottom w:w="0" w:type="dxa"/>
              <w:right w:w="108" w:type="dxa"/>
            </w:tcMar>
            <w:vAlign w:val="center"/>
            <w:hideMark/>
          </w:tcPr>
          <w:p w14:paraId="4025E88B"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9.64</w:t>
            </w:r>
          </w:p>
        </w:tc>
      </w:tr>
      <w:tr w:rsidR="0010654D" w:rsidRPr="00C00008" w14:paraId="04574F27" w14:textId="77777777" w:rsidTr="00853950">
        <w:trPr>
          <w:trHeight w:val="284"/>
          <w:jc w:val="right"/>
        </w:trPr>
        <w:tc>
          <w:tcPr>
            <w:tcW w:w="8505" w:type="dxa"/>
            <w:gridSpan w:val="6"/>
            <w:tcMar>
              <w:top w:w="11" w:type="dxa"/>
              <w:left w:w="108" w:type="dxa"/>
              <w:bottom w:w="0" w:type="dxa"/>
              <w:right w:w="108" w:type="dxa"/>
            </w:tcMar>
            <w:vAlign w:val="center"/>
            <w:hideMark/>
          </w:tcPr>
          <w:p w14:paraId="68BF0CB4"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b/>
              </w:rPr>
              <w:lastRenderedPageBreak/>
              <w:t>2015-16</w:t>
            </w:r>
          </w:p>
        </w:tc>
      </w:tr>
      <w:tr w:rsidR="0010654D" w:rsidRPr="00C00008" w14:paraId="7D554CC1" w14:textId="77777777" w:rsidTr="00853950">
        <w:trPr>
          <w:trHeight w:val="284"/>
          <w:jc w:val="right"/>
        </w:trPr>
        <w:tc>
          <w:tcPr>
            <w:tcW w:w="1572" w:type="dxa"/>
            <w:tcMar>
              <w:top w:w="11" w:type="dxa"/>
              <w:left w:w="108" w:type="dxa"/>
              <w:bottom w:w="0" w:type="dxa"/>
              <w:right w:w="108" w:type="dxa"/>
            </w:tcMar>
            <w:vAlign w:val="center"/>
            <w:hideMark/>
          </w:tcPr>
          <w:p w14:paraId="24844504"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015866A0"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37.12</w:t>
            </w:r>
          </w:p>
        </w:tc>
        <w:tc>
          <w:tcPr>
            <w:tcW w:w="1499" w:type="dxa"/>
            <w:tcMar>
              <w:top w:w="11" w:type="dxa"/>
              <w:left w:w="108" w:type="dxa"/>
              <w:bottom w:w="0" w:type="dxa"/>
              <w:right w:w="108" w:type="dxa"/>
            </w:tcMar>
            <w:vAlign w:val="center"/>
            <w:hideMark/>
          </w:tcPr>
          <w:p w14:paraId="3765B622"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17.50</w:t>
            </w:r>
          </w:p>
        </w:tc>
        <w:tc>
          <w:tcPr>
            <w:tcW w:w="1337" w:type="dxa"/>
            <w:tcMar>
              <w:top w:w="11" w:type="dxa"/>
              <w:left w:w="108" w:type="dxa"/>
              <w:bottom w:w="0" w:type="dxa"/>
              <w:right w:w="108" w:type="dxa"/>
            </w:tcMar>
            <w:vAlign w:val="center"/>
            <w:hideMark/>
          </w:tcPr>
          <w:p w14:paraId="5408FE0F"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12.18</w:t>
            </w:r>
          </w:p>
        </w:tc>
        <w:tc>
          <w:tcPr>
            <w:tcW w:w="1354" w:type="dxa"/>
            <w:tcMar>
              <w:top w:w="11" w:type="dxa"/>
              <w:left w:w="108" w:type="dxa"/>
              <w:bottom w:w="0" w:type="dxa"/>
              <w:right w:w="108" w:type="dxa"/>
            </w:tcMar>
            <w:vAlign w:val="center"/>
            <w:hideMark/>
          </w:tcPr>
          <w:p w14:paraId="7807643B"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29.70</w:t>
            </w:r>
          </w:p>
        </w:tc>
        <w:tc>
          <w:tcPr>
            <w:tcW w:w="1354" w:type="dxa"/>
            <w:tcMar>
              <w:top w:w="11" w:type="dxa"/>
              <w:left w:w="108" w:type="dxa"/>
              <w:bottom w:w="0" w:type="dxa"/>
              <w:right w:w="108" w:type="dxa"/>
            </w:tcMar>
            <w:vAlign w:val="center"/>
            <w:hideMark/>
          </w:tcPr>
          <w:p w14:paraId="4E9D230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3.62</w:t>
            </w:r>
          </w:p>
        </w:tc>
      </w:tr>
      <w:tr w:rsidR="0010654D" w:rsidRPr="00C00008" w14:paraId="03710901" w14:textId="77777777" w:rsidTr="00853950">
        <w:trPr>
          <w:trHeight w:val="284"/>
          <w:jc w:val="right"/>
        </w:trPr>
        <w:tc>
          <w:tcPr>
            <w:tcW w:w="1572" w:type="dxa"/>
            <w:tcMar>
              <w:top w:w="11" w:type="dxa"/>
              <w:left w:w="108" w:type="dxa"/>
              <w:bottom w:w="0" w:type="dxa"/>
              <w:right w:w="108" w:type="dxa"/>
            </w:tcMar>
            <w:vAlign w:val="center"/>
            <w:hideMark/>
          </w:tcPr>
          <w:p w14:paraId="4C6E956D"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4967669D"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67.00</w:t>
            </w:r>
          </w:p>
        </w:tc>
        <w:tc>
          <w:tcPr>
            <w:tcW w:w="1499" w:type="dxa"/>
            <w:tcMar>
              <w:top w:w="11" w:type="dxa"/>
              <w:left w:w="108" w:type="dxa"/>
              <w:bottom w:w="0" w:type="dxa"/>
              <w:right w:w="108" w:type="dxa"/>
            </w:tcMar>
            <w:vAlign w:val="center"/>
            <w:hideMark/>
          </w:tcPr>
          <w:p w14:paraId="1ED8841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18.01</w:t>
            </w:r>
          </w:p>
        </w:tc>
        <w:tc>
          <w:tcPr>
            <w:tcW w:w="1337" w:type="dxa"/>
            <w:tcMar>
              <w:top w:w="11" w:type="dxa"/>
              <w:left w:w="108" w:type="dxa"/>
              <w:bottom w:w="0" w:type="dxa"/>
              <w:right w:w="108" w:type="dxa"/>
            </w:tcMar>
            <w:vAlign w:val="center"/>
            <w:hideMark/>
          </w:tcPr>
          <w:p w14:paraId="734FD472"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12.20</w:t>
            </w:r>
          </w:p>
        </w:tc>
        <w:tc>
          <w:tcPr>
            <w:tcW w:w="1354" w:type="dxa"/>
            <w:tcMar>
              <w:top w:w="11" w:type="dxa"/>
              <w:left w:w="108" w:type="dxa"/>
              <w:bottom w:w="0" w:type="dxa"/>
              <w:right w:w="108" w:type="dxa"/>
            </w:tcMar>
            <w:vAlign w:val="center"/>
            <w:hideMark/>
          </w:tcPr>
          <w:p w14:paraId="589609CE"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70.35</w:t>
            </w:r>
          </w:p>
        </w:tc>
        <w:tc>
          <w:tcPr>
            <w:tcW w:w="1354" w:type="dxa"/>
            <w:tcMar>
              <w:top w:w="11" w:type="dxa"/>
              <w:left w:w="108" w:type="dxa"/>
              <w:bottom w:w="0" w:type="dxa"/>
              <w:right w:w="108" w:type="dxa"/>
            </w:tcMar>
            <w:vAlign w:val="center"/>
            <w:hideMark/>
          </w:tcPr>
          <w:p w14:paraId="0F030F5D"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8.58</w:t>
            </w:r>
          </w:p>
        </w:tc>
      </w:tr>
      <w:tr w:rsidR="0010654D" w:rsidRPr="00C00008" w14:paraId="5B4BF24B" w14:textId="77777777" w:rsidTr="00853950">
        <w:trPr>
          <w:trHeight w:val="284"/>
          <w:jc w:val="right"/>
        </w:trPr>
        <w:tc>
          <w:tcPr>
            <w:tcW w:w="1572" w:type="dxa"/>
            <w:tcMar>
              <w:top w:w="11" w:type="dxa"/>
              <w:left w:w="108" w:type="dxa"/>
              <w:bottom w:w="0" w:type="dxa"/>
              <w:right w:w="108" w:type="dxa"/>
            </w:tcMar>
            <w:vAlign w:val="center"/>
            <w:hideMark/>
          </w:tcPr>
          <w:p w14:paraId="227310E8"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335C47D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76.44</w:t>
            </w:r>
          </w:p>
        </w:tc>
        <w:tc>
          <w:tcPr>
            <w:tcW w:w="1499" w:type="dxa"/>
            <w:tcMar>
              <w:top w:w="11" w:type="dxa"/>
              <w:left w:w="108" w:type="dxa"/>
              <w:bottom w:w="0" w:type="dxa"/>
              <w:right w:w="108" w:type="dxa"/>
            </w:tcMar>
            <w:vAlign w:val="center"/>
            <w:hideMark/>
          </w:tcPr>
          <w:p w14:paraId="763C8F04"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17.36</w:t>
            </w:r>
          </w:p>
        </w:tc>
        <w:tc>
          <w:tcPr>
            <w:tcW w:w="1337" w:type="dxa"/>
            <w:tcMar>
              <w:top w:w="11" w:type="dxa"/>
              <w:left w:w="108" w:type="dxa"/>
              <w:bottom w:w="0" w:type="dxa"/>
              <w:right w:w="108" w:type="dxa"/>
            </w:tcMar>
            <w:vAlign w:val="center"/>
            <w:hideMark/>
          </w:tcPr>
          <w:p w14:paraId="0C478817"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11.90</w:t>
            </w:r>
          </w:p>
        </w:tc>
        <w:tc>
          <w:tcPr>
            <w:tcW w:w="1354" w:type="dxa"/>
            <w:tcMar>
              <w:top w:w="11" w:type="dxa"/>
              <w:left w:w="108" w:type="dxa"/>
              <w:bottom w:w="0" w:type="dxa"/>
              <w:right w:w="108" w:type="dxa"/>
            </w:tcMar>
            <w:vAlign w:val="center"/>
            <w:hideMark/>
          </w:tcPr>
          <w:p w14:paraId="2F3C82BE"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90.25</w:t>
            </w:r>
          </w:p>
        </w:tc>
        <w:tc>
          <w:tcPr>
            <w:tcW w:w="1354" w:type="dxa"/>
            <w:tcMar>
              <w:top w:w="11" w:type="dxa"/>
              <w:left w:w="108" w:type="dxa"/>
              <w:bottom w:w="0" w:type="dxa"/>
              <w:right w:w="108" w:type="dxa"/>
            </w:tcMar>
            <w:vAlign w:val="center"/>
            <w:hideMark/>
          </w:tcPr>
          <w:p w14:paraId="3F708931"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10.74</w:t>
            </w:r>
          </w:p>
        </w:tc>
      </w:tr>
      <w:tr w:rsidR="0010654D" w:rsidRPr="00C00008" w14:paraId="55F849FB" w14:textId="77777777" w:rsidTr="00853950">
        <w:trPr>
          <w:trHeight w:val="284"/>
          <w:jc w:val="right"/>
        </w:trPr>
        <w:tc>
          <w:tcPr>
            <w:tcW w:w="8505" w:type="dxa"/>
            <w:gridSpan w:val="6"/>
            <w:tcMar>
              <w:top w:w="11" w:type="dxa"/>
              <w:left w:w="108" w:type="dxa"/>
              <w:bottom w:w="0" w:type="dxa"/>
              <w:right w:w="108" w:type="dxa"/>
            </w:tcMar>
            <w:vAlign w:val="center"/>
            <w:hideMark/>
          </w:tcPr>
          <w:p w14:paraId="0B9B0AC1"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b/>
              </w:rPr>
              <w:t>2016-17</w:t>
            </w:r>
          </w:p>
        </w:tc>
      </w:tr>
      <w:tr w:rsidR="0010654D" w:rsidRPr="00C00008" w14:paraId="54E6CF2E" w14:textId="77777777" w:rsidTr="00853950">
        <w:trPr>
          <w:trHeight w:val="284"/>
          <w:jc w:val="right"/>
        </w:trPr>
        <w:tc>
          <w:tcPr>
            <w:tcW w:w="1572" w:type="dxa"/>
            <w:tcMar>
              <w:top w:w="11" w:type="dxa"/>
              <w:left w:w="108" w:type="dxa"/>
              <w:bottom w:w="0" w:type="dxa"/>
              <w:right w:w="108" w:type="dxa"/>
            </w:tcMar>
            <w:vAlign w:val="center"/>
            <w:hideMark/>
          </w:tcPr>
          <w:p w14:paraId="313B010B"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3FA3DB30"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37.12</w:t>
            </w:r>
          </w:p>
        </w:tc>
        <w:tc>
          <w:tcPr>
            <w:tcW w:w="1499" w:type="dxa"/>
            <w:tcMar>
              <w:top w:w="11" w:type="dxa"/>
              <w:left w:w="108" w:type="dxa"/>
              <w:bottom w:w="0" w:type="dxa"/>
              <w:right w:w="108" w:type="dxa"/>
            </w:tcMar>
            <w:vAlign w:val="center"/>
            <w:hideMark/>
          </w:tcPr>
          <w:p w14:paraId="0C1C924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16.48</w:t>
            </w:r>
          </w:p>
        </w:tc>
        <w:tc>
          <w:tcPr>
            <w:tcW w:w="1337" w:type="dxa"/>
            <w:tcMar>
              <w:top w:w="11" w:type="dxa"/>
              <w:left w:w="108" w:type="dxa"/>
              <w:bottom w:w="0" w:type="dxa"/>
              <w:right w:w="108" w:type="dxa"/>
            </w:tcMar>
            <w:vAlign w:val="center"/>
            <w:hideMark/>
          </w:tcPr>
          <w:p w14:paraId="3F23D54E"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11.61</w:t>
            </w:r>
          </w:p>
        </w:tc>
        <w:tc>
          <w:tcPr>
            <w:tcW w:w="1354" w:type="dxa"/>
            <w:tcMar>
              <w:top w:w="11" w:type="dxa"/>
              <w:left w:w="108" w:type="dxa"/>
              <w:bottom w:w="0" w:type="dxa"/>
              <w:right w:w="108" w:type="dxa"/>
            </w:tcMar>
            <w:vAlign w:val="center"/>
            <w:hideMark/>
          </w:tcPr>
          <w:p w14:paraId="5CBAD751"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33.41</w:t>
            </w:r>
          </w:p>
        </w:tc>
        <w:tc>
          <w:tcPr>
            <w:tcW w:w="1354" w:type="dxa"/>
            <w:tcMar>
              <w:top w:w="11" w:type="dxa"/>
              <w:left w:w="108" w:type="dxa"/>
              <w:bottom w:w="0" w:type="dxa"/>
              <w:right w:w="108" w:type="dxa"/>
            </w:tcMar>
            <w:vAlign w:val="center"/>
            <w:hideMark/>
          </w:tcPr>
          <w:p w14:paraId="06E3314B"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3.87</w:t>
            </w:r>
          </w:p>
        </w:tc>
      </w:tr>
      <w:tr w:rsidR="0010654D" w:rsidRPr="00C00008" w14:paraId="542E37AA" w14:textId="77777777" w:rsidTr="00853950">
        <w:trPr>
          <w:trHeight w:val="284"/>
          <w:jc w:val="right"/>
        </w:trPr>
        <w:tc>
          <w:tcPr>
            <w:tcW w:w="1572" w:type="dxa"/>
            <w:tcMar>
              <w:top w:w="11" w:type="dxa"/>
              <w:left w:w="108" w:type="dxa"/>
              <w:bottom w:w="0" w:type="dxa"/>
              <w:right w:w="108" w:type="dxa"/>
            </w:tcMar>
            <w:vAlign w:val="center"/>
            <w:hideMark/>
          </w:tcPr>
          <w:p w14:paraId="35A6F5BF"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612E78A7"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69.54</w:t>
            </w:r>
          </w:p>
        </w:tc>
        <w:tc>
          <w:tcPr>
            <w:tcW w:w="1499" w:type="dxa"/>
            <w:tcMar>
              <w:top w:w="11" w:type="dxa"/>
              <w:left w:w="108" w:type="dxa"/>
              <w:bottom w:w="0" w:type="dxa"/>
              <w:right w:w="108" w:type="dxa"/>
            </w:tcMar>
            <w:vAlign w:val="center"/>
            <w:hideMark/>
          </w:tcPr>
          <w:p w14:paraId="4ED7777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18.46</w:t>
            </w:r>
          </w:p>
        </w:tc>
        <w:tc>
          <w:tcPr>
            <w:tcW w:w="1337" w:type="dxa"/>
            <w:tcMar>
              <w:top w:w="11" w:type="dxa"/>
              <w:left w:w="108" w:type="dxa"/>
              <w:bottom w:w="0" w:type="dxa"/>
              <w:right w:w="108" w:type="dxa"/>
            </w:tcMar>
            <w:vAlign w:val="center"/>
            <w:hideMark/>
          </w:tcPr>
          <w:p w14:paraId="3B0EA6B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12.80</w:t>
            </w:r>
          </w:p>
        </w:tc>
        <w:tc>
          <w:tcPr>
            <w:tcW w:w="1354" w:type="dxa"/>
            <w:tcMar>
              <w:top w:w="11" w:type="dxa"/>
              <w:left w:w="108" w:type="dxa"/>
              <w:bottom w:w="0" w:type="dxa"/>
              <w:right w:w="108" w:type="dxa"/>
            </w:tcMar>
            <w:vAlign w:val="center"/>
            <w:hideMark/>
          </w:tcPr>
          <w:p w14:paraId="3C1E5A7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73.49</w:t>
            </w:r>
          </w:p>
        </w:tc>
        <w:tc>
          <w:tcPr>
            <w:tcW w:w="1354" w:type="dxa"/>
            <w:tcMar>
              <w:top w:w="11" w:type="dxa"/>
              <w:left w:w="108" w:type="dxa"/>
              <w:bottom w:w="0" w:type="dxa"/>
              <w:right w:w="108" w:type="dxa"/>
            </w:tcMar>
            <w:vAlign w:val="center"/>
            <w:hideMark/>
          </w:tcPr>
          <w:p w14:paraId="7381C34C"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9.79</w:t>
            </w:r>
          </w:p>
        </w:tc>
      </w:tr>
      <w:tr w:rsidR="0010654D" w:rsidRPr="00C00008" w14:paraId="686391DA" w14:textId="77777777" w:rsidTr="00853950">
        <w:trPr>
          <w:trHeight w:val="284"/>
          <w:jc w:val="right"/>
        </w:trPr>
        <w:tc>
          <w:tcPr>
            <w:tcW w:w="1572" w:type="dxa"/>
            <w:tcMar>
              <w:top w:w="11" w:type="dxa"/>
              <w:left w:w="108" w:type="dxa"/>
              <w:bottom w:w="0" w:type="dxa"/>
              <w:right w:w="108" w:type="dxa"/>
            </w:tcMar>
            <w:vAlign w:val="center"/>
            <w:hideMark/>
          </w:tcPr>
          <w:p w14:paraId="0C1A54BF"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6931CAA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73.28</w:t>
            </w:r>
          </w:p>
        </w:tc>
        <w:tc>
          <w:tcPr>
            <w:tcW w:w="1499" w:type="dxa"/>
            <w:tcMar>
              <w:top w:w="11" w:type="dxa"/>
              <w:left w:w="108" w:type="dxa"/>
              <w:bottom w:w="0" w:type="dxa"/>
              <w:right w:w="108" w:type="dxa"/>
            </w:tcMar>
            <w:vAlign w:val="center"/>
            <w:hideMark/>
          </w:tcPr>
          <w:p w14:paraId="3638230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17.14</w:t>
            </w:r>
          </w:p>
        </w:tc>
        <w:tc>
          <w:tcPr>
            <w:tcW w:w="1337" w:type="dxa"/>
            <w:tcMar>
              <w:top w:w="11" w:type="dxa"/>
              <w:left w:w="108" w:type="dxa"/>
              <w:bottom w:w="0" w:type="dxa"/>
              <w:right w:w="108" w:type="dxa"/>
            </w:tcMar>
            <w:vAlign w:val="center"/>
            <w:hideMark/>
          </w:tcPr>
          <w:p w14:paraId="22A4FD38"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11.90</w:t>
            </w:r>
          </w:p>
        </w:tc>
        <w:tc>
          <w:tcPr>
            <w:tcW w:w="1354" w:type="dxa"/>
            <w:tcMar>
              <w:top w:w="11" w:type="dxa"/>
              <w:left w:w="108" w:type="dxa"/>
              <w:bottom w:w="0" w:type="dxa"/>
              <w:right w:w="108" w:type="dxa"/>
            </w:tcMar>
            <w:vAlign w:val="center"/>
            <w:hideMark/>
          </w:tcPr>
          <w:p w14:paraId="2E9304DE"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87.93</w:t>
            </w:r>
          </w:p>
        </w:tc>
        <w:tc>
          <w:tcPr>
            <w:tcW w:w="1354" w:type="dxa"/>
            <w:tcMar>
              <w:top w:w="11" w:type="dxa"/>
              <w:left w:w="108" w:type="dxa"/>
              <w:bottom w:w="0" w:type="dxa"/>
              <w:right w:w="108" w:type="dxa"/>
            </w:tcMar>
            <w:vAlign w:val="center"/>
            <w:hideMark/>
          </w:tcPr>
          <w:p w14:paraId="592E82F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10.46</w:t>
            </w:r>
          </w:p>
        </w:tc>
      </w:tr>
      <w:tr w:rsidR="0010654D" w:rsidRPr="00C00008" w14:paraId="64D9E611" w14:textId="77777777" w:rsidTr="00853950">
        <w:trPr>
          <w:trHeight w:val="284"/>
          <w:jc w:val="right"/>
        </w:trPr>
        <w:tc>
          <w:tcPr>
            <w:tcW w:w="8505" w:type="dxa"/>
            <w:gridSpan w:val="6"/>
            <w:tcMar>
              <w:top w:w="11" w:type="dxa"/>
              <w:left w:w="108" w:type="dxa"/>
              <w:bottom w:w="0" w:type="dxa"/>
              <w:right w:w="108" w:type="dxa"/>
            </w:tcMar>
            <w:vAlign w:val="center"/>
            <w:hideMark/>
          </w:tcPr>
          <w:p w14:paraId="4EDF3AA7"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b/>
              </w:rPr>
              <w:t>2017-18</w:t>
            </w:r>
          </w:p>
        </w:tc>
      </w:tr>
      <w:tr w:rsidR="0010654D" w:rsidRPr="00C00008" w14:paraId="487D0ED6" w14:textId="77777777" w:rsidTr="00853950">
        <w:trPr>
          <w:trHeight w:val="284"/>
          <w:jc w:val="right"/>
        </w:trPr>
        <w:tc>
          <w:tcPr>
            <w:tcW w:w="1572" w:type="dxa"/>
            <w:tcMar>
              <w:top w:w="11" w:type="dxa"/>
              <w:left w:w="108" w:type="dxa"/>
              <w:bottom w:w="0" w:type="dxa"/>
              <w:right w:w="108" w:type="dxa"/>
            </w:tcMar>
            <w:vAlign w:val="center"/>
            <w:hideMark/>
          </w:tcPr>
          <w:p w14:paraId="165C0C5F"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64534518"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36.00</w:t>
            </w:r>
          </w:p>
        </w:tc>
        <w:tc>
          <w:tcPr>
            <w:tcW w:w="1499" w:type="dxa"/>
            <w:tcMar>
              <w:top w:w="11" w:type="dxa"/>
              <w:left w:w="108" w:type="dxa"/>
              <w:bottom w:w="0" w:type="dxa"/>
              <w:right w:w="108" w:type="dxa"/>
            </w:tcMar>
            <w:vAlign w:val="center"/>
            <w:hideMark/>
          </w:tcPr>
          <w:p w14:paraId="698E867A"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17.04</w:t>
            </w:r>
          </w:p>
        </w:tc>
        <w:tc>
          <w:tcPr>
            <w:tcW w:w="1337" w:type="dxa"/>
            <w:tcMar>
              <w:top w:w="11" w:type="dxa"/>
              <w:left w:w="108" w:type="dxa"/>
              <w:bottom w:w="0" w:type="dxa"/>
              <w:right w:w="108" w:type="dxa"/>
            </w:tcMar>
            <w:vAlign w:val="center"/>
            <w:hideMark/>
          </w:tcPr>
          <w:p w14:paraId="1BC9F194"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11.96</w:t>
            </w:r>
          </w:p>
        </w:tc>
        <w:tc>
          <w:tcPr>
            <w:tcW w:w="1354" w:type="dxa"/>
            <w:tcMar>
              <w:top w:w="11" w:type="dxa"/>
              <w:left w:w="108" w:type="dxa"/>
              <w:bottom w:w="0" w:type="dxa"/>
              <w:right w:w="108" w:type="dxa"/>
            </w:tcMar>
            <w:vAlign w:val="center"/>
            <w:hideMark/>
          </w:tcPr>
          <w:p w14:paraId="2D458CE3"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32.40</w:t>
            </w:r>
          </w:p>
        </w:tc>
        <w:tc>
          <w:tcPr>
            <w:tcW w:w="1354" w:type="dxa"/>
            <w:tcMar>
              <w:top w:w="11" w:type="dxa"/>
              <w:left w:w="108" w:type="dxa"/>
              <w:bottom w:w="0" w:type="dxa"/>
              <w:right w:w="108" w:type="dxa"/>
            </w:tcMar>
            <w:vAlign w:val="center"/>
            <w:hideMark/>
          </w:tcPr>
          <w:p w14:paraId="603ABD4D"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3.83</w:t>
            </w:r>
          </w:p>
        </w:tc>
      </w:tr>
      <w:tr w:rsidR="0010654D" w:rsidRPr="00C00008" w14:paraId="7E69967D" w14:textId="77777777" w:rsidTr="00853950">
        <w:trPr>
          <w:trHeight w:val="284"/>
          <w:jc w:val="right"/>
        </w:trPr>
        <w:tc>
          <w:tcPr>
            <w:tcW w:w="1572" w:type="dxa"/>
            <w:tcMar>
              <w:top w:w="11" w:type="dxa"/>
              <w:left w:w="108" w:type="dxa"/>
              <w:bottom w:w="0" w:type="dxa"/>
              <w:right w:w="108" w:type="dxa"/>
            </w:tcMar>
            <w:vAlign w:val="center"/>
            <w:hideMark/>
          </w:tcPr>
          <w:p w14:paraId="00AEF5BF"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5316573C"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68.38</w:t>
            </w:r>
          </w:p>
        </w:tc>
        <w:tc>
          <w:tcPr>
            <w:tcW w:w="1499" w:type="dxa"/>
            <w:tcMar>
              <w:top w:w="11" w:type="dxa"/>
              <w:left w:w="108" w:type="dxa"/>
              <w:bottom w:w="0" w:type="dxa"/>
              <w:right w:w="108" w:type="dxa"/>
            </w:tcMar>
            <w:vAlign w:val="center"/>
            <w:hideMark/>
          </w:tcPr>
          <w:p w14:paraId="1B1D7124"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18.06</w:t>
            </w:r>
          </w:p>
        </w:tc>
        <w:tc>
          <w:tcPr>
            <w:tcW w:w="1337" w:type="dxa"/>
            <w:tcMar>
              <w:top w:w="11" w:type="dxa"/>
              <w:left w:w="108" w:type="dxa"/>
              <w:bottom w:w="0" w:type="dxa"/>
              <w:right w:w="108" w:type="dxa"/>
            </w:tcMar>
            <w:vAlign w:val="center"/>
            <w:hideMark/>
          </w:tcPr>
          <w:p w14:paraId="538A36F0"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12.77</w:t>
            </w:r>
          </w:p>
        </w:tc>
        <w:tc>
          <w:tcPr>
            <w:tcW w:w="1354" w:type="dxa"/>
            <w:tcMar>
              <w:top w:w="11" w:type="dxa"/>
              <w:left w:w="108" w:type="dxa"/>
              <w:bottom w:w="0" w:type="dxa"/>
              <w:right w:w="108" w:type="dxa"/>
            </w:tcMar>
            <w:vAlign w:val="center"/>
            <w:hideMark/>
          </w:tcPr>
          <w:p w14:paraId="786A6C40"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72.48</w:t>
            </w:r>
          </w:p>
        </w:tc>
        <w:tc>
          <w:tcPr>
            <w:tcW w:w="1354" w:type="dxa"/>
            <w:tcMar>
              <w:top w:w="11" w:type="dxa"/>
              <w:left w:w="108" w:type="dxa"/>
              <w:bottom w:w="0" w:type="dxa"/>
              <w:right w:w="108" w:type="dxa"/>
            </w:tcMar>
            <w:vAlign w:val="center"/>
            <w:hideMark/>
          </w:tcPr>
          <w:p w14:paraId="25C7D600"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9.26</w:t>
            </w:r>
          </w:p>
        </w:tc>
      </w:tr>
      <w:tr w:rsidR="0010654D" w:rsidRPr="00C00008" w14:paraId="61DAD26D" w14:textId="77777777" w:rsidTr="00853950">
        <w:trPr>
          <w:trHeight w:val="284"/>
          <w:jc w:val="right"/>
        </w:trPr>
        <w:tc>
          <w:tcPr>
            <w:tcW w:w="1572" w:type="dxa"/>
            <w:tcMar>
              <w:top w:w="11" w:type="dxa"/>
              <w:left w:w="108" w:type="dxa"/>
              <w:bottom w:w="0" w:type="dxa"/>
              <w:right w:w="108" w:type="dxa"/>
            </w:tcMar>
            <w:vAlign w:val="center"/>
            <w:hideMark/>
          </w:tcPr>
          <w:p w14:paraId="33BF271B"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474C0DA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77.68</w:t>
            </w:r>
          </w:p>
        </w:tc>
        <w:tc>
          <w:tcPr>
            <w:tcW w:w="1499" w:type="dxa"/>
            <w:tcMar>
              <w:top w:w="11" w:type="dxa"/>
              <w:left w:w="108" w:type="dxa"/>
              <w:bottom w:w="0" w:type="dxa"/>
              <w:right w:w="108" w:type="dxa"/>
            </w:tcMar>
            <w:vAlign w:val="center"/>
            <w:hideMark/>
          </w:tcPr>
          <w:p w14:paraId="4BB4872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17.24</w:t>
            </w:r>
          </w:p>
        </w:tc>
        <w:tc>
          <w:tcPr>
            <w:tcW w:w="1337" w:type="dxa"/>
            <w:tcMar>
              <w:top w:w="11" w:type="dxa"/>
              <w:left w:w="108" w:type="dxa"/>
              <w:bottom w:w="0" w:type="dxa"/>
              <w:right w:w="108" w:type="dxa"/>
            </w:tcMar>
            <w:vAlign w:val="center"/>
            <w:hideMark/>
          </w:tcPr>
          <w:p w14:paraId="67B1A195"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11.61</w:t>
            </w:r>
          </w:p>
        </w:tc>
        <w:tc>
          <w:tcPr>
            <w:tcW w:w="1354" w:type="dxa"/>
            <w:tcMar>
              <w:top w:w="11" w:type="dxa"/>
              <w:left w:w="108" w:type="dxa"/>
              <w:bottom w:w="0" w:type="dxa"/>
              <w:right w:w="108" w:type="dxa"/>
            </w:tcMar>
            <w:vAlign w:val="center"/>
            <w:hideMark/>
          </w:tcPr>
          <w:p w14:paraId="2490B6BC"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86.21</w:t>
            </w:r>
          </w:p>
        </w:tc>
        <w:tc>
          <w:tcPr>
            <w:tcW w:w="1354" w:type="dxa"/>
            <w:tcMar>
              <w:top w:w="11" w:type="dxa"/>
              <w:left w:w="108" w:type="dxa"/>
              <w:bottom w:w="0" w:type="dxa"/>
              <w:right w:w="108" w:type="dxa"/>
            </w:tcMar>
            <w:vAlign w:val="center"/>
            <w:hideMark/>
          </w:tcPr>
          <w:p w14:paraId="5EBF0976" w14:textId="77777777" w:rsidR="0010654D" w:rsidRPr="00C00008" w:rsidRDefault="0010654D" w:rsidP="00853950">
            <w:pPr>
              <w:spacing w:after="0" w:line="240" w:lineRule="auto"/>
              <w:jc w:val="center"/>
              <w:rPr>
                <w:rFonts w:ascii="Times New Roman" w:hAnsi="Times New Roman" w:cs="Times New Roman"/>
              </w:rPr>
            </w:pPr>
            <w:r w:rsidRPr="00C00008">
              <w:rPr>
                <w:rFonts w:ascii="Times New Roman" w:hAnsi="Times New Roman" w:cs="Times New Roman"/>
              </w:rPr>
              <w:t>10.01</w:t>
            </w:r>
          </w:p>
        </w:tc>
      </w:tr>
      <w:tr w:rsidR="0010654D" w:rsidRPr="00C00008" w14:paraId="5ADDC019" w14:textId="77777777" w:rsidTr="00853950">
        <w:trPr>
          <w:trHeight w:val="284"/>
          <w:jc w:val="right"/>
        </w:trPr>
        <w:tc>
          <w:tcPr>
            <w:tcW w:w="8505" w:type="dxa"/>
            <w:gridSpan w:val="6"/>
            <w:tcMar>
              <w:top w:w="11" w:type="dxa"/>
              <w:left w:w="108" w:type="dxa"/>
              <w:bottom w:w="0" w:type="dxa"/>
              <w:right w:w="108" w:type="dxa"/>
            </w:tcMar>
            <w:vAlign w:val="center"/>
            <w:hideMark/>
          </w:tcPr>
          <w:p w14:paraId="22C78248" w14:textId="77777777" w:rsidR="0010654D" w:rsidRPr="00C00008" w:rsidRDefault="0010654D" w:rsidP="00853950">
            <w:pPr>
              <w:spacing w:after="0" w:line="240" w:lineRule="auto"/>
              <w:rPr>
                <w:rFonts w:ascii="Times New Roman" w:hAnsi="Times New Roman" w:cs="Times New Roman"/>
                <w:b/>
                <w:bCs/>
              </w:rPr>
            </w:pPr>
            <w:r w:rsidRPr="00C00008">
              <w:rPr>
                <w:rFonts w:ascii="Times New Roman" w:hAnsi="Times New Roman" w:cs="Times New Roman"/>
                <w:b/>
                <w:bCs/>
              </w:rPr>
              <w:t>2018-19</w:t>
            </w:r>
          </w:p>
        </w:tc>
      </w:tr>
      <w:tr w:rsidR="0010654D" w:rsidRPr="00C00008" w14:paraId="1EB69002" w14:textId="77777777" w:rsidTr="00853950">
        <w:trPr>
          <w:trHeight w:val="284"/>
          <w:jc w:val="right"/>
        </w:trPr>
        <w:tc>
          <w:tcPr>
            <w:tcW w:w="1572" w:type="dxa"/>
            <w:tcMar>
              <w:top w:w="11" w:type="dxa"/>
              <w:left w:w="108" w:type="dxa"/>
              <w:bottom w:w="0" w:type="dxa"/>
              <w:right w:w="108" w:type="dxa"/>
            </w:tcMar>
            <w:vAlign w:val="center"/>
            <w:hideMark/>
          </w:tcPr>
          <w:p w14:paraId="081F64EA"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376F12B7" w14:textId="77777777" w:rsidR="0010654D" w:rsidRPr="00C00008" w:rsidRDefault="0010654D" w:rsidP="00853950">
            <w:pPr>
              <w:pStyle w:val="NormalWeb"/>
              <w:spacing w:before="0" w:beforeAutospacing="0" w:after="0" w:afterAutospacing="0"/>
              <w:jc w:val="center"/>
            </w:pPr>
            <w:r w:rsidRPr="00C00008">
              <w:rPr>
                <w:kern w:val="24"/>
              </w:rPr>
              <w:t xml:space="preserve">32.00 </w:t>
            </w:r>
          </w:p>
        </w:tc>
        <w:tc>
          <w:tcPr>
            <w:tcW w:w="1499" w:type="dxa"/>
            <w:tcMar>
              <w:top w:w="11" w:type="dxa"/>
              <w:left w:w="108" w:type="dxa"/>
              <w:bottom w:w="0" w:type="dxa"/>
              <w:right w:w="108" w:type="dxa"/>
            </w:tcMar>
            <w:vAlign w:val="center"/>
            <w:hideMark/>
          </w:tcPr>
          <w:p w14:paraId="3B2DC8AD" w14:textId="77777777" w:rsidR="0010654D" w:rsidRPr="00C00008" w:rsidRDefault="0010654D" w:rsidP="00853950">
            <w:pPr>
              <w:pStyle w:val="NormalWeb"/>
              <w:spacing w:before="0" w:beforeAutospacing="0" w:after="0" w:afterAutospacing="0"/>
              <w:jc w:val="center"/>
            </w:pPr>
            <w:r w:rsidRPr="00C00008">
              <w:rPr>
                <w:kern w:val="24"/>
              </w:rPr>
              <w:t xml:space="preserve">16.32 </w:t>
            </w:r>
          </w:p>
        </w:tc>
        <w:tc>
          <w:tcPr>
            <w:tcW w:w="1337" w:type="dxa"/>
            <w:tcMar>
              <w:top w:w="11" w:type="dxa"/>
              <w:left w:w="108" w:type="dxa"/>
              <w:bottom w:w="0" w:type="dxa"/>
              <w:right w:w="108" w:type="dxa"/>
            </w:tcMar>
            <w:vAlign w:val="center"/>
            <w:hideMark/>
          </w:tcPr>
          <w:p w14:paraId="667878A6" w14:textId="77777777" w:rsidR="0010654D" w:rsidRPr="00C00008" w:rsidRDefault="0010654D" w:rsidP="00853950">
            <w:pPr>
              <w:pStyle w:val="NormalWeb"/>
              <w:spacing w:before="0" w:beforeAutospacing="0" w:after="0" w:afterAutospacing="0"/>
              <w:jc w:val="center"/>
            </w:pPr>
            <w:r w:rsidRPr="00C00008">
              <w:t>11.07</w:t>
            </w:r>
          </w:p>
        </w:tc>
        <w:tc>
          <w:tcPr>
            <w:tcW w:w="1354" w:type="dxa"/>
            <w:tcMar>
              <w:top w:w="11" w:type="dxa"/>
              <w:left w:w="108" w:type="dxa"/>
              <w:bottom w:w="0" w:type="dxa"/>
              <w:right w:w="108" w:type="dxa"/>
            </w:tcMar>
            <w:vAlign w:val="center"/>
            <w:hideMark/>
          </w:tcPr>
          <w:p w14:paraId="36B97669" w14:textId="77777777" w:rsidR="0010654D" w:rsidRPr="00C00008" w:rsidRDefault="0010654D" w:rsidP="00853950">
            <w:pPr>
              <w:pStyle w:val="NormalWeb"/>
              <w:spacing w:before="0" w:beforeAutospacing="0" w:after="0" w:afterAutospacing="0"/>
              <w:jc w:val="center"/>
            </w:pPr>
            <w:r w:rsidRPr="00C00008">
              <w:rPr>
                <w:kern w:val="24"/>
              </w:rPr>
              <w:t xml:space="preserve">28.80 </w:t>
            </w:r>
          </w:p>
        </w:tc>
        <w:tc>
          <w:tcPr>
            <w:tcW w:w="1354" w:type="dxa"/>
            <w:tcMar>
              <w:top w:w="11" w:type="dxa"/>
              <w:left w:w="108" w:type="dxa"/>
              <w:bottom w:w="0" w:type="dxa"/>
              <w:right w:w="108" w:type="dxa"/>
            </w:tcMar>
            <w:vAlign w:val="center"/>
            <w:hideMark/>
          </w:tcPr>
          <w:p w14:paraId="04006886" w14:textId="77777777" w:rsidR="0010654D" w:rsidRPr="00C00008" w:rsidRDefault="0010654D" w:rsidP="00853950">
            <w:pPr>
              <w:pStyle w:val="NormalWeb"/>
              <w:spacing w:before="0" w:beforeAutospacing="0" w:after="0" w:afterAutospacing="0"/>
              <w:jc w:val="center"/>
            </w:pPr>
            <w:r w:rsidRPr="00C00008">
              <w:rPr>
                <w:kern w:val="24"/>
              </w:rPr>
              <w:t xml:space="preserve">3.19 </w:t>
            </w:r>
          </w:p>
        </w:tc>
      </w:tr>
      <w:tr w:rsidR="0010654D" w:rsidRPr="00C00008" w14:paraId="1B46FEEB" w14:textId="77777777" w:rsidTr="00853950">
        <w:trPr>
          <w:trHeight w:val="284"/>
          <w:jc w:val="right"/>
        </w:trPr>
        <w:tc>
          <w:tcPr>
            <w:tcW w:w="1572" w:type="dxa"/>
            <w:tcMar>
              <w:top w:w="11" w:type="dxa"/>
              <w:left w:w="108" w:type="dxa"/>
              <w:bottom w:w="0" w:type="dxa"/>
              <w:right w:w="108" w:type="dxa"/>
            </w:tcMar>
            <w:vAlign w:val="center"/>
            <w:hideMark/>
          </w:tcPr>
          <w:p w14:paraId="5CBF6076"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34E47080" w14:textId="77777777" w:rsidR="0010654D" w:rsidRPr="00C00008" w:rsidRDefault="0010654D" w:rsidP="00853950">
            <w:pPr>
              <w:pStyle w:val="NormalWeb"/>
              <w:spacing w:before="0" w:beforeAutospacing="0" w:after="0" w:afterAutospacing="0"/>
              <w:jc w:val="center"/>
            </w:pPr>
            <w:r w:rsidRPr="00C00008">
              <w:rPr>
                <w:kern w:val="24"/>
              </w:rPr>
              <w:t xml:space="preserve">64.38 </w:t>
            </w:r>
          </w:p>
        </w:tc>
        <w:tc>
          <w:tcPr>
            <w:tcW w:w="1499" w:type="dxa"/>
            <w:tcMar>
              <w:top w:w="11" w:type="dxa"/>
              <w:left w:w="108" w:type="dxa"/>
              <w:bottom w:w="0" w:type="dxa"/>
              <w:right w:w="108" w:type="dxa"/>
            </w:tcMar>
            <w:vAlign w:val="center"/>
            <w:hideMark/>
          </w:tcPr>
          <w:p w14:paraId="3ABCABFA" w14:textId="77777777" w:rsidR="0010654D" w:rsidRPr="00C00008" w:rsidRDefault="0010654D" w:rsidP="00853950">
            <w:pPr>
              <w:pStyle w:val="NormalWeb"/>
              <w:spacing w:before="0" w:beforeAutospacing="0" w:after="0" w:afterAutospacing="0"/>
              <w:jc w:val="center"/>
            </w:pPr>
            <w:r w:rsidRPr="00C00008">
              <w:rPr>
                <w:kern w:val="24"/>
              </w:rPr>
              <w:t xml:space="preserve">17.88 </w:t>
            </w:r>
          </w:p>
        </w:tc>
        <w:tc>
          <w:tcPr>
            <w:tcW w:w="1337" w:type="dxa"/>
            <w:tcMar>
              <w:top w:w="11" w:type="dxa"/>
              <w:left w:w="108" w:type="dxa"/>
              <w:bottom w:w="0" w:type="dxa"/>
              <w:right w:w="108" w:type="dxa"/>
            </w:tcMar>
            <w:vAlign w:val="center"/>
            <w:hideMark/>
          </w:tcPr>
          <w:p w14:paraId="731E689D" w14:textId="77777777" w:rsidR="0010654D" w:rsidRPr="00C00008" w:rsidRDefault="0010654D" w:rsidP="00853950">
            <w:pPr>
              <w:pStyle w:val="NormalWeb"/>
              <w:spacing w:before="0" w:beforeAutospacing="0" w:after="0" w:afterAutospacing="0"/>
              <w:jc w:val="center"/>
            </w:pPr>
            <w:r w:rsidRPr="00C00008">
              <w:t>12.44</w:t>
            </w:r>
          </w:p>
        </w:tc>
        <w:tc>
          <w:tcPr>
            <w:tcW w:w="1354" w:type="dxa"/>
            <w:tcMar>
              <w:top w:w="11" w:type="dxa"/>
              <w:left w:w="108" w:type="dxa"/>
              <w:bottom w:w="0" w:type="dxa"/>
              <w:right w:w="108" w:type="dxa"/>
            </w:tcMar>
            <w:vAlign w:val="center"/>
            <w:hideMark/>
          </w:tcPr>
          <w:p w14:paraId="70A04438" w14:textId="77777777" w:rsidR="0010654D" w:rsidRPr="00C00008" w:rsidRDefault="0010654D" w:rsidP="00853950">
            <w:pPr>
              <w:pStyle w:val="NormalWeb"/>
              <w:spacing w:before="0" w:beforeAutospacing="0" w:after="0" w:afterAutospacing="0"/>
              <w:jc w:val="center"/>
            </w:pPr>
            <w:r w:rsidRPr="00C00008">
              <w:rPr>
                <w:kern w:val="24"/>
              </w:rPr>
              <w:t xml:space="preserve">68.86 </w:t>
            </w:r>
          </w:p>
        </w:tc>
        <w:tc>
          <w:tcPr>
            <w:tcW w:w="1354" w:type="dxa"/>
            <w:tcMar>
              <w:top w:w="11" w:type="dxa"/>
              <w:left w:w="108" w:type="dxa"/>
              <w:bottom w:w="0" w:type="dxa"/>
              <w:right w:w="108" w:type="dxa"/>
            </w:tcMar>
            <w:vAlign w:val="center"/>
            <w:hideMark/>
          </w:tcPr>
          <w:p w14:paraId="4F661BD8" w14:textId="77777777" w:rsidR="0010654D" w:rsidRPr="00C00008" w:rsidRDefault="0010654D" w:rsidP="00853950">
            <w:pPr>
              <w:pStyle w:val="NormalWeb"/>
              <w:spacing w:before="0" w:beforeAutospacing="0" w:after="0" w:afterAutospacing="0"/>
              <w:jc w:val="center"/>
            </w:pPr>
            <w:r w:rsidRPr="00C00008">
              <w:rPr>
                <w:kern w:val="24"/>
              </w:rPr>
              <w:t xml:space="preserve">8.57 </w:t>
            </w:r>
          </w:p>
        </w:tc>
      </w:tr>
      <w:tr w:rsidR="0010654D" w:rsidRPr="00C00008" w14:paraId="79A9807F" w14:textId="77777777" w:rsidTr="00853950">
        <w:trPr>
          <w:trHeight w:val="284"/>
          <w:jc w:val="right"/>
        </w:trPr>
        <w:tc>
          <w:tcPr>
            <w:tcW w:w="1572" w:type="dxa"/>
            <w:tcMar>
              <w:top w:w="11" w:type="dxa"/>
              <w:left w:w="108" w:type="dxa"/>
              <w:bottom w:w="0" w:type="dxa"/>
              <w:right w:w="108" w:type="dxa"/>
            </w:tcMar>
            <w:vAlign w:val="center"/>
            <w:hideMark/>
          </w:tcPr>
          <w:p w14:paraId="0DAE41DC"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71214925" w14:textId="77777777" w:rsidR="0010654D" w:rsidRPr="00C00008" w:rsidRDefault="0010654D" w:rsidP="00853950">
            <w:pPr>
              <w:pStyle w:val="NormalWeb"/>
              <w:spacing w:before="0" w:beforeAutospacing="0" w:after="0" w:afterAutospacing="0"/>
              <w:jc w:val="center"/>
            </w:pPr>
            <w:r w:rsidRPr="00C00008">
              <w:rPr>
                <w:kern w:val="24"/>
              </w:rPr>
              <w:t xml:space="preserve">72.68 </w:t>
            </w:r>
          </w:p>
        </w:tc>
        <w:tc>
          <w:tcPr>
            <w:tcW w:w="1499" w:type="dxa"/>
            <w:tcMar>
              <w:top w:w="11" w:type="dxa"/>
              <w:left w:w="108" w:type="dxa"/>
              <w:bottom w:w="0" w:type="dxa"/>
              <w:right w:w="108" w:type="dxa"/>
            </w:tcMar>
            <w:vAlign w:val="center"/>
            <w:hideMark/>
          </w:tcPr>
          <w:p w14:paraId="2500016F" w14:textId="77777777" w:rsidR="0010654D" w:rsidRPr="00C00008" w:rsidRDefault="0010654D" w:rsidP="00853950">
            <w:pPr>
              <w:pStyle w:val="NormalWeb"/>
              <w:spacing w:before="0" w:beforeAutospacing="0" w:after="0" w:afterAutospacing="0"/>
              <w:jc w:val="center"/>
            </w:pPr>
            <w:r w:rsidRPr="00C00008">
              <w:rPr>
                <w:kern w:val="24"/>
              </w:rPr>
              <w:t xml:space="preserve">17.12 </w:t>
            </w:r>
          </w:p>
        </w:tc>
        <w:tc>
          <w:tcPr>
            <w:tcW w:w="1337" w:type="dxa"/>
            <w:tcMar>
              <w:top w:w="11" w:type="dxa"/>
              <w:left w:w="108" w:type="dxa"/>
              <w:bottom w:w="0" w:type="dxa"/>
              <w:right w:w="108" w:type="dxa"/>
            </w:tcMar>
            <w:vAlign w:val="center"/>
            <w:hideMark/>
          </w:tcPr>
          <w:p w14:paraId="0C43D5DF" w14:textId="77777777" w:rsidR="0010654D" w:rsidRPr="00C00008" w:rsidRDefault="0010654D" w:rsidP="00853950">
            <w:pPr>
              <w:pStyle w:val="NormalWeb"/>
              <w:spacing w:before="0" w:beforeAutospacing="0" w:after="0" w:afterAutospacing="0"/>
              <w:jc w:val="center"/>
            </w:pPr>
            <w:r w:rsidRPr="00C00008">
              <w:t>11.78</w:t>
            </w:r>
          </w:p>
        </w:tc>
        <w:tc>
          <w:tcPr>
            <w:tcW w:w="1354" w:type="dxa"/>
            <w:tcMar>
              <w:top w:w="11" w:type="dxa"/>
              <w:left w:w="108" w:type="dxa"/>
              <w:bottom w:w="0" w:type="dxa"/>
              <w:right w:w="108" w:type="dxa"/>
            </w:tcMar>
            <w:vAlign w:val="center"/>
            <w:hideMark/>
          </w:tcPr>
          <w:p w14:paraId="2170779F" w14:textId="77777777" w:rsidR="0010654D" w:rsidRPr="00C00008" w:rsidRDefault="0010654D" w:rsidP="00853950">
            <w:pPr>
              <w:pStyle w:val="NormalWeb"/>
              <w:spacing w:before="0" w:beforeAutospacing="0" w:after="0" w:afterAutospacing="0"/>
              <w:jc w:val="center"/>
            </w:pPr>
            <w:r w:rsidRPr="00C00008">
              <w:rPr>
                <w:kern w:val="24"/>
              </w:rPr>
              <w:t xml:space="preserve">81.42 </w:t>
            </w:r>
          </w:p>
        </w:tc>
        <w:tc>
          <w:tcPr>
            <w:tcW w:w="1354" w:type="dxa"/>
            <w:tcMar>
              <w:top w:w="11" w:type="dxa"/>
              <w:left w:w="108" w:type="dxa"/>
              <w:bottom w:w="0" w:type="dxa"/>
              <w:right w:w="108" w:type="dxa"/>
            </w:tcMar>
            <w:vAlign w:val="center"/>
            <w:hideMark/>
          </w:tcPr>
          <w:p w14:paraId="72A9DDA9" w14:textId="77777777" w:rsidR="0010654D" w:rsidRPr="00C00008" w:rsidRDefault="0010654D" w:rsidP="00853950">
            <w:pPr>
              <w:pStyle w:val="NormalWeb"/>
              <w:spacing w:before="0" w:beforeAutospacing="0" w:after="0" w:afterAutospacing="0"/>
              <w:jc w:val="center"/>
            </w:pPr>
            <w:r w:rsidRPr="00C00008">
              <w:rPr>
                <w:kern w:val="24"/>
              </w:rPr>
              <w:t xml:space="preserve">9.59 </w:t>
            </w:r>
          </w:p>
        </w:tc>
      </w:tr>
      <w:tr w:rsidR="0010654D" w:rsidRPr="00C00008" w14:paraId="5E9F5914" w14:textId="77777777" w:rsidTr="00853950">
        <w:trPr>
          <w:trHeight w:val="284"/>
          <w:jc w:val="right"/>
        </w:trPr>
        <w:tc>
          <w:tcPr>
            <w:tcW w:w="8505" w:type="dxa"/>
            <w:gridSpan w:val="6"/>
            <w:tcMar>
              <w:top w:w="11" w:type="dxa"/>
              <w:left w:w="108" w:type="dxa"/>
              <w:bottom w:w="0" w:type="dxa"/>
              <w:right w:w="108" w:type="dxa"/>
            </w:tcMar>
            <w:vAlign w:val="center"/>
            <w:hideMark/>
          </w:tcPr>
          <w:p w14:paraId="76B37BC0" w14:textId="77777777" w:rsidR="0010654D" w:rsidRPr="00C00008" w:rsidRDefault="0010654D" w:rsidP="00853950">
            <w:pPr>
              <w:spacing w:after="0" w:line="240" w:lineRule="auto"/>
              <w:rPr>
                <w:rFonts w:ascii="Times New Roman" w:hAnsi="Times New Roman" w:cs="Times New Roman"/>
                <w:b/>
                <w:bCs/>
              </w:rPr>
            </w:pPr>
            <w:r w:rsidRPr="00C00008">
              <w:rPr>
                <w:rFonts w:ascii="Times New Roman" w:hAnsi="Times New Roman" w:cs="Times New Roman"/>
                <w:b/>
                <w:bCs/>
              </w:rPr>
              <w:t>2019-20</w:t>
            </w:r>
          </w:p>
        </w:tc>
      </w:tr>
      <w:tr w:rsidR="0010654D" w:rsidRPr="00C00008" w14:paraId="48698A2E" w14:textId="77777777" w:rsidTr="00853950">
        <w:trPr>
          <w:trHeight w:val="284"/>
          <w:jc w:val="right"/>
        </w:trPr>
        <w:tc>
          <w:tcPr>
            <w:tcW w:w="1572" w:type="dxa"/>
            <w:tcMar>
              <w:top w:w="11" w:type="dxa"/>
              <w:left w:w="108" w:type="dxa"/>
              <w:bottom w:w="0" w:type="dxa"/>
              <w:right w:w="108" w:type="dxa"/>
            </w:tcMar>
            <w:vAlign w:val="center"/>
            <w:hideMark/>
          </w:tcPr>
          <w:p w14:paraId="22293680"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221C8500" w14:textId="77777777" w:rsidR="0010654D" w:rsidRPr="00C00008" w:rsidRDefault="0010654D" w:rsidP="00853950">
            <w:pPr>
              <w:pStyle w:val="NormalWeb"/>
              <w:spacing w:before="0" w:beforeAutospacing="0" w:after="0" w:afterAutospacing="0"/>
              <w:jc w:val="center"/>
              <w:rPr>
                <w:kern w:val="24"/>
              </w:rPr>
            </w:pPr>
            <w:r w:rsidRPr="00C00008">
              <w:rPr>
                <w:kern w:val="24"/>
              </w:rPr>
              <w:t>28.24</w:t>
            </w:r>
          </w:p>
        </w:tc>
        <w:tc>
          <w:tcPr>
            <w:tcW w:w="1499" w:type="dxa"/>
            <w:tcMar>
              <w:top w:w="11" w:type="dxa"/>
              <w:left w:w="108" w:type="dxa"/>
              <w:bottom w:w="0" w:type="dxa"/>
              <w:right w:w="108" w:type="dxa"/>
            </w:tcMar>
            <w:vAlign w:val="center"/>
            <w:hideMark/>
          </w:tcPr>
          <w:p w14:paraId="3B2702D4" w14:textId="77777777" w:rsidR="0010654D" w:rsidRPr="00C00008" w:rsidRDefault="0010654D" w:rsidP="00853950">
            <w:pPr>
              <w:pStyle w:val="NormalWeb"/>
              <w:spacing w:before="0" w:beforeAutospacing="0" w:after="0" w:afterAutospacing="0"/>
              <w:jc w:val="center"/>
              <w:rPr>
                <w:kern w:val="24"/>
              </w:rPr>
            </w:pPr>
            <w:r w:rsidRPr="00C00008">
              <w:rPr>
                <w:kern w:val="24"/>
              </w:rPr>
              <w:t>16.68</w:t>
            </w:r>
          </w:p>
        </w:tc>
        <w:tc>
          <w:tcPr>
            <w:tcW w:w="1337" w:type="dxa"/>
            <w:tcMar>
              <w:top w:w="11" w:type="dxa"/>
              <w:left w:w="108" w:type="dxa"/>
              <w:bottom w:w="0" w:type="dxa"/>
              <w:right w:w="108" w:type="dxa"/>
            </w:tcMar>
            <w:vAlign w:val="center"/>
            <w:hideMark/>
          </w:tcPr>
          <w:p w14:paraId="62A450D6" w14:textId="77777777" w:rsidR="0010654D" w:rsidRPr="00C00008" w:rsidRDefault="0010654D" w:rsidP="00853950">
            <w:pPr>
              <w:pStyle w:val="NormalWeb"/>
              <w:spacing w:before="0" w:beforeAutospacing="0" w:after="0" w:afterAutospacing="0"/>
              <w:jc w:val="center"/>
              <w:rPr>
                <w:kern w:val="24"/>
              </w:rPr>
            </w:pPr>
            <w:r w:rsidRPr="00C00008">
              <w:rPr>
                <w:kern w:val="24"/>
              </w:rPr>
              <w:t>11.62</w:t>
            </w:r>
          </w:p>
        </w:tc>
        <w:tc>
          <w:tcPr>
            <w:tcW w:w="1354" w:type="dxa"/>
            <w:tcMar>
              <w:top w:w="11" w:type="dxa"/>
              <w:left w:w="108" w:type="dxa"/>
              <w:bottom w:w="0" w:type="dxa"/>
              <w:right w:w="108" w:type="dxa"/>
            </w:tcMar>
            <w:vAlign w:val="center"/>
            <w:hideMark/>
          </w:tcPr>
          <w:p w14:paraId="54BE0911" w14:textId="77777777" w:rsidR="0010654D" w:rsidRPr="00C00008" w:rsidRDefault="0010654D" w:rsidP="00853950">
            <w:pPr>
              <w:pStyle w:val="NormalWeb"/>
              <w:spacing w:before="0" w:beforeAutospacing="0" w:after="0" w:afterAutospacing="0"/>
              <w:jc w:val="center"/>
              <w:rPr>
                <w:kern w:val="24"/>
              </w:rPr>
            </w:pPr>
            <w:r w:rsidRPr="00C00008">
              <w:rPr>
                <w:kern w:val="24"/>
              </w:rPr>
              <w:t>16.94</w:t>
            </w:r>
          </w:p>
        </w:tc>
        <w:tc>
          <w:tcPr>
            <w:tcW w:w="1354" w:type="dxa"/>
            <w:tcMar>
              <w:top w:w="11" w:type="dxa"/>
              <w:left w:w="108" w:type="dxa"/>
              <w:bottom w:w="0" w:type="dxa"/>
              <w:right w:w="108" w:type="dxa"/>
            </w:tcMar>
            <w:vAlign w:val="center"/>
            <w:hideMark/>
          </w:tcPr>
          <w:p w14:paraId="196EBD86" w14:textId="77777777" w:rsidR="0010654D" w:rsidRPr="00C00008" w:rsidRDefault="0010654D" w:rsidP="00853950">
            <w:pPr>
              <w:pStyle w:val="NormalWeb"/>
              <w:spacing w:before="0" w:beforeAutospacing="0" w:after="0" w:afterAutospacing="0"/>
              <w:jc w:val="center"/>
              <w:rPr>
                <w:kern w:val="24"/>
              </w:rPr>
            </w:pPr>
            <w:r w:rsidRPr="00C00008">
              <w:rPr>
                <w:kern w:val="24"/>
              </w:rPr>
              <w:t>1.96</w:t>
            </w:r>
          </w:p>
        </w:tc>
      </w:tr>
      <w:tr w:rsidR="0010654D" w:rsidRPr="00C00008" w14:paraId="3EF56A01" w14:textId="77777777" w:rsidTr="00853950">
        <w:trPr>
          <w:trHeight w:val="284"/>
          <w:jc w:val="right"/>
        </w:trPr>
        <w:tc>
          <w:tcPr>
            <w:tcW w:w="1572" w:type="dxa"/>
            <w:tcMar>
              <w:top w:w="11" w:type="dxa"/>
              <w:left w:w="108" w:type="dxa"/>
              <w:bottom w:w="0" w:type="dxa"/>
              <w:right w:w="108" w:type="dxa"/>
            </w:tcMar>
            <w:vAlign w:val="center"/>
            <w:hideMark/>
          </w:tcPr>
          <w:p w14:paraId="13E6F203"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1DDF14C4" w14:textId="77777777" w:rsidR="0010654D" w:rsidRPr="00C00008" w:rsidRDefault="0010654D" w:rsidP="00853950">
            <w:pPr>
              <w:pStyle w:val="NormalWeb"/>
              <w:spacing w:before="0" w:beforeAutospacing="0" w:after="0" w:afterAutospacing="0"/>
              <w:jc w:val="center"/>
              <w:rPr>
                <w:kern w:val="24"/>
              </w:rPr>
            </w:pPr>
            <w:r w:rsidRPr="00C00008">
              <w:rPr>
                <w:kern w:val="24"/>
              </w:rPr>
              <w:t>67.48</w:t>
            </w:r>
          </w:p>
        </w:tc>
        <w:tc>
          <w:tcPr>
            <w:tcW w:w="1499" w:type="dxa"/>
            <w:tcMar>
              <w:top w:w="11" w:type="dxa"/>
              <w:left w:w="108" w:type="dxa"/>
              <w:bottom w:w="0" w:type="dxa"/>
              <w:right w:w="108" w:type="dxa"/>
            </w:tcMar>
            <w:vAlign w:val="center"/>
            <w:hideMark/>
          </w:tcPr>
          <w:p w14:paraId="122C551C" w14:textId="77777777" w:rsidR="0010654D" w:rsidRPr="00C00008" w:rsidRDefault="0010654D" w:rsidP="00853950">
            <w:pPr>
              <w:pStyle w:val="NormalWeb"/>
              <w:spacing w:before="0" w:beforeAutospacing="0" w:after="0" w:afterAutospacing="0"/>
              <w:jc w:val="center"/>
              <w:rPr>
                <w:kern w:val="24"/>
              </w:rPr>
            </w:pPr>
            <w:r w:rsidRPr="00C00008">
              <w:rPr>
                <w:kern w:val="24"/>
              </w:rPr>
              <w:t>18.08</w:t>
            </w:r>
          </w:p>
        </w:tc>
        <w:tc>
          <w:tcPr>
            <w:tcW w:w="1337" w:type="dxa"/>
            <w:tcMar>
              <w:top w:w="11" w:type="dxa"/>
              <w:left w:w="108" w:type="dxa"/>
              <w:bottom w:w="0" w:type="dxa"/>
              <w:right w:w="108" w:type="dxa"/>
            </w:tcMar>
            <w:vAlign w:val="center"/>
            <w:hideMark/>
          </w:tcPr>
          <w:p w14:paraId="49C9C599" w14:textId="77777777" w:rsidR="0010654D" w:rsidRPr="00C00008" w:rsidRDefault="0010654D" w:rsidP="00853950">
            <w:pPr>
              <w:pStyle w:val="NormalWeb"/>
              <w:spacing w:before="0" w:beforeAutospacing="0" w:after="0" w:afterAutospacing="0"/>
              <w:jc w:val="center"/>
              <w:rPr>
                <w:kern w:val="24"/>
              </w:rPr>
            </w:pPr>
            <w:r w:rsidRPr="00C00008">
              <w:rPr>
                <w:kern w:val="24"/>
              </w:rPr>
              <w:t>12.70</w:t>
            </w:r>
          </w:p>
        </w:tc>
        <w:tc>
          <w:tcPr>
            <w:tcW w:w="1354" w:type="dxa"/>
            <w:tcMar>
              <w:top w:w="11" w:type="dxa"/>
              <w:left w:w="108" w:type="dxa"/>
              <w:bottom w:w="0" w:type="dxa"/>
              <w:right w:w="108" w:type="dxa"/>
            </w:tcMar>
            <w:vAlign w:val="center"/>
            <w:hideMark/>
          </w:tcPr>
          <w:p w14:paraId="5CAE61C9" w14:textId="77777777" w:rsidR="0010654D" w:rsidRPr="00C00008" w:rsidRDefault="0010654D" w:rsidP="00853950">
            <w:pPr>
              <w:pStyle w:val="NormalWeb"/>
              <w:spacing w:before="0" w:beforeAutospacing="0" w:after="0" w:afterAutospacing="0"/>
              <w:jc w:val="center"/>
              <w:rPr>
                <w:kern w:val="24"/>
              </w:rPr>
            </w:pPr>
            <w:r w:rsidRPr="00C00008">
              <w:rPr>
                <w:kern w:val="24"/>
              </w:rPr>
              <w:t>70.77</w:t>
            </w:r>
          </w:p>
        </w:tc>
        <w:tc>
          <w:tcPr>
            <w:tcW w:w="1354" w:type="dxa"/>
            <w:tcMar>
              <w:top w:w="11" w:type="dxa"/>
              <w:left w:w="108" w:type="dxa"/>
              <w:bottom w:w="0" w:type="dxa"/>
              <w:right w:w="108" w:type="dxa"/>
            </w:tcMar>
            <w:vAlign w:val="center"/>
            <w:hideMark/>
          </w:tcPr>
          <w:p w14:paraId="28EA48BE" w14:textId="77777777" w:rsidR="0010654D" w:rsidRPr="00C00008" w:rsidRDefault="0010654D" w:rsidP="00853950">
            <w:pPr>
              <w:pStyle w:val="NormalWeb"/>
              <w:spacing w:before="0" w:beforeAutospacing="0" w:after="0" w:afterAutospacing="0"/>
              <w:jc w:val="center"/>
              <w:rPr>
                <w:kern w:val="24"/>
              </w:rPr>
            </w:pPr>
            <w:r w:rsidRPr="00C00008">
              <w:rPr>
                <w:kern w:val="24"/>
              </w:rPr>
              <w:t>8.35</w:t>
            </w:r>
          </w:p>
        </w:tc>
      </w:tr>
      <w:tr w:rsidR="0010654D" w:rsidRPr="00C00008" w14:paraId="1FB958B6" w14:textId="77777777" w:rsidTr="00853950">
        <w:trPr>
          <w:trHeight w:val="284"/>
          <w:jc w:val="right"/>
        </w:trPr>
        <w:tc>
          <w:tcPr>
            <w:tcW w:w="1572" w:type="dxa"/>
            <w:tcMar>
              <w:top w:w="11" w:type="dxa"/>
              <w:left w:w="108" w:type="dxa"/>
              <w:bottom w:w="0" w:type="dxa"/>
              <w:right w:w="108" w:type="dxa"/>
            </w:tcMar>
            <w:vAlign w:val="center"/>
            <w:hideMark/>
          </w:tcPr>
          <w:p w14:paraId="67F07F0E"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10471BFF" w14:textId="77777777" w:rsidR="0010654D" w:rsidRPr="00C00008" w:rsidRDefault="0010654D" w:rsidP="00853950">
            <w:pPr>
              <w:pStyle w:val="NormalWeb"/>
              <w:spacing w:before="0" w:beforeAutospacing="0" w:after="0" w:afterAutospacing="0"/>
              <w:jc w:val="center"/>
              <w:rPr>
                <w:kern w:val="24"/>
              </w:rPr>
            </w:pPr>
            <w:r w:rsidRPr="00C00008">
              <w:rPr>
                <w:kern w:val="24"/>
              </w:rPr>
              <w:t>76.46</w:t>
            </w:r>
          </w:p>
        </w:tc>
        <w:tc>
          <w:tcPr>
            <w:tcW w:w="1499" w:type="dxa"/>
            <w:tcMar>
              <w:top w:w="11" w:type="dxa"/>
              <w:left w:w="108" w:type="dxa"/>
              <w:bottom w:w="0" w:type="dxa"/>
              <w:right w:w="108" w:type="dxa"/>
            </w:tcMar>
            <w:vAlign w:val="center"/>
            <w:hideMark/>
          </w:tcPr>
          <w:p w14:paraId="1309CC4C" w14:textId="77777777" w:rsidR="0010654D" w:rsidRPr="00C00008" w:rsidRDefault="0010654D" w:rsidP="00853950">
            <w:pPr>
              <w:pStyle w:val="NormalWeb"/>
              <w:spacing w:before="0" w:beforeAutospacing="0" w:after="0" w:afterAutospacing="0"/>
              <w:jc w:val="center"/>
              <w:rPr>
                <w:kern w:val="24"/>
              </w:rPr>
            </w:pPr>
            <w:r w:rsidRPr="00C00008">
              <w:rPr>
                <w:kern w:val="24"/>
              </w:rPr>
              <w:t>17.62</w:t>
            </w:r>
          </w:p>
        </w:tc>
        <w:tc>
          <w:tcPr>
            <w:tcW w:w="1337" w:type="dxa"/>
            <w:tcMar>
              <w:top w:w="11" w:type="dxa"/>
              <w:left w:w="108" w:type="dxa"/>
              <w:bottom w:w="0" w:type="dxa"/>
              <w:right w:w="108" w:type="dxa"/>
            </w:tcMar>
            <w:vAlign w:val="center"/>
            <w:hideMark/>
          </w:tcPr>
          <w:p w14:paraId="79EF3E19" w14:textId="77777777" w:rsidR="0010654D" w:rsidRPr="00C00008" w:rsidRDefault="0010654D" w:rsidP="00853950">
            <w:pPr>
              <w:pStyle w:val="NormalWeb"/>
              <w:spacing w:before="0" w:beforeAutospacing="0" w:after="0" w:afterAutospacing="0"/>
              <w:jc w:val="center"/>
              <w:rPr>
                <w:kern w:val="24"/>
              </w:rPr>
            </w:pPr>
            <w:r w:rsidRPr="00C00008">
              <w:rPr>
                <w:kern w:val="24"/>
              </w:rPr>
              <w:t>12.40</w:t>
            </w:r>
          </w:p>
        </w:tc>
        <w:tc>
          <w:tcPr>
            <w:tcW w:w="1354" w:type="dxa"/>
            <w:tcMar>
              <w:top w:w="11" w:type="dxa"/>
              <w:left w:w="108" w:type="dxa"/>
              <w:bottom w:w="0" w:type="dxa"/>
              <w:right w:w="108" w:type="dxa"/>
            </w:tcMar>
            <w:vAlign w:val="center"/>
            <w:hideMark/>
          </w:tcPr>
          <w:p w14:paraId="6A2E31A7" w14:textId="77777777" w:rsidR="0010654D" w:rsidRPr="00C00008" w:rsidRDefault="0010654D" w:rsidP="00853950">
            <w:pPr>
              <w:pStyle w:val="NormalWeb"/>
              <w:spacing w:before="0" w:beforeAutospacing="0" w:after="0" w:afterAutospacing="0"/>
              <w:jc w:val="center"/>
              <w:rPr>
                <w:kern w:val="24"/>
              </w:rPr>
            </w:pPr>
            <w:r w:rsidRPr="00C00008">
              <w:rPr>
                <w:kern w:val="24"/>
              </w:rPr>
              <w:t>84.90</w:t>
            </w:r>
          </w:p>
        </w:tc>
        <w:tc>
          <w:tcPr>
            <w:tcW w:w="1354" w:type="dxa"/>
            <w:tcMar>
              <w:top w:w="11" w:type="dxa"/>
              <w:left w:w="108" w:type="dxa"/>
              <w:bottom w:w="0" w:type="dxa"/>
              <w:right w:w="108" w:type="dxa"/>
            </w:tcMar>
            <w:vAlign w:val="center"/>
            <w:hideMark/>
          </w:tcPr>
          <w:p w14:paraId="0933B527" w14:textId="77777777" w:rsidR="0010654D" w:rsidRPr="00C00008" w:rsidRDefault="0010654D" w:rsidP="00853950">
            <w:pPr>
              <w:pStyle w:val="NormalWeb"/>
              <w:spacing w:before="0" w:beforeAutospacing="0" w:after="0" w:afterAutospacing="0"/>
              <w:jc w:val="center"/>
              <w:rPr>
                <w:kern w:val="24"/>
              </w:rPr>
            </w:pPr>
            <w:r w:rsidRPr="00C00008">
              <w:rPr>
                <w:kern w:val="24"/>
              </w:rPr>
              <w:t>9.65</w:t>
            </w:r>
          </w:p>
        </w:tc>
      </w:tr>
      <w:tr w:rsidR="0010654D" w:rsidRPr="00C00008" w14:paraId="4E4B23D2" w14:textId="77777777" w:rsidTr="00853950">
        <w:trPr>
          <w:trHeight w:val="284"/>
          <w:jc w:val="right"/>
        </w:trPr>
        <w:tc>
          <w:tcPr>
            <w:tcW w:w="8505" w:type="dxa"/>
            <w:gridSpan w:val="6"/>
            <w:tcMar>
              <w:top w:w="11" w:type="dxa"/>
              <w:left w:w="108" w:type="dxa"/>
              <w:bottom w:w="0" w:type="dxa"/>
              <w:right w:w="108" w:type="dxa"/>
            </w:tcMar>
            <w:vAlign w:val="center"/>
            <w:hideMark/>
          </w:tcPr>
          <w:p w14:paraId="248CF2CB" w14:textId="77777777" w:rsidR="0010654D" w:rsidRPr="00C00008" w:rsidRDefault="0010654D" w:rsidP="00853950">
            <w:pPr>
              <w:pStyle w:val="NormalWeb"/>
              <w:spacing w:before="0" w:beforeAutospacing="0" w:after="0" w:afterAutospacing="0"/>
              <w:rPr>
                <w:b/>
                <w:kern w:val="24"/>
              </w:rPr>
            </w:pPr>
            <w:r w:rsidRPr="00C00008">
              <w:rPr>
                <w:b/>
                <w:kern w:val="24"/>
              </w:rPr>
              <w:t>2020-21</w:t>
            </w:r>
          </w:p>
        </w:tc>
      </w:tr>
      <w:tr w:rsidR="0010654D" w:rsidRPr="00C00008" w14:paraId="422D51C9" w14:textId="77777777" w:rsidTr="00853950">
        <w:trPr>
          <w:trHeight w:val="284"/>
          <w:jc w:val="right"/>
        </w:trPr>
        <w:tc>
          <w:tcPr>
            <w:tcW w:w="1572" w:type="dxa"/>
            <w:tcMar>
              <w:top w:w="11" w:type="dxa"/>
              <w:left w:w="108" w:type="dxa"/>
              <w:bottom w:w="0" w:type="dxa"/>
              <w:right w:w="108" w:type="dxa"/>
            </w:tcMar>
            <w:vAlign w:val="center"/>
            <w:hideMark/>
          </w:tcPr>
          <w:p w14:paraId="33AA1378"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Control </w:t>
            </w:r>
          </w:p>
        </w:tc>
        <w:tc>
          <w:tcPr>
            <w:tcW w:w="1389" w:type="dxa"/>
            <w:tcMar>
              <w:top w:w="11" w:type="dxa"/>
              <w:left w:w="108" w:type="dxa"/>
              <w:bottom w:w="0" w:type="dxa"/>
              <w:right w:w="108" w:type="dxa"/>
            </w:tcMar>
            <w:vAlign w:val="center"/>
            <w:hideMark/>
          </w:tcPr>
          <w:p w14:paraId="1EB9B6D1" w14:textId="77777777" w:rsidR="0010654D" w:rsidRPr="00C00008" w:rsidRDefault="0010654D" w:rsidP="00853950">
            <w:pPr>
              <w:pStyle w:val="NormalWeb"/>
              <w:spacing w:before="0" w:beforeAutospacing="0" w:after="0" w:afterAutospacing="0"/>
              <w:jc w:val="center"/>
              <w:rPr>
                <w:kern w:val="24"/>
              </w:rPr>
            </w:pPr>
            <w:r w:rsidRPr="00C00008">
              <w:rPr>
                <w:kern w:val="24"/>
              </w:rPr>
              <w:t>24.56</w:t>
            </w:r>
          </w:p>
        </w:tc>
        <w:tc>
          <w:tcPr>
            <w:tcW w:w="1499" w:type="dxa"/>
            <w:tcMar>
              <w:top w:w="11" w:type="dxa"/>
              <w:left w:w="108" w:type="dxa"/>
              <w:bottom w:w="0" w:type="dxa"/>
              <w:right w:w="108" w:type="dxa"/>
            </w:tcMar>
            <w:vAlign w:val="center"/>
            <w:hideMark/>
          </w:tcPr>
          <w:p w14:paraId="55A729B2" w14:textId="77777777" w:rsidR="0010654D" w:rsidRPr="00C00008" w:rsidRDefault="0010654D" w:rsidP="00853950">
            <w:pPr>
              <w:pStyle w:val="NormalWeb"/>
              <w:spacing w:before="0" w:beforeAutospacing="0" w:after="0" w:afterAutospacing="0"/>
              <w:jc w:val="center"/>
              <w:rPr>
                <w:kern w:val="24"/>
              </w:rPr>
            </w:pPr>
            <w:r w:rsidRPr="00C00008">
              <w:rPr>
                <w:kern w:val="24"/>
              </w:rPr>
              <w:t>16.26</w:t>
            </w:r>
          </w:p>
        </w:tc>
        <w:tc>
          <w:tcPr>
            <w:tcW w:w="1337" w:type="dxa"/>
            <w:tcMar>
              <w:top w:w="11" w:type="dxa"/>
              <w:left w:w="108" w:type="dxa"/>
              <w:bottom w:w="0" w:type="dxa"/>
              <w:right w:w="108" w:type="dxa"/>
            </w:tcMar>
            <w:vAlign w:val="center"/>
            <w:hideMark/>
          </w:tcPr>
          <w:p w14:paraId="08F76D3B" w14:textId="77777777" w:rsidR="0010654D" w:rsidRPr="00C00008" w:rsidRDefault="0010654D" w:rsidP="00853950">
            <w:pPr>
              <w:pStyle w:val="NormalWeb"/>
              <w:spacing w:before="0" w:beforeAutospacing="0" w:after="0" w:afterAutospacing="0"/>
              <w:jc w:val="center"/>
              <w:rPr>
                <w:kern w:val="24"/>
              </w:rPr>
            </w:pPr>
            <w:r w:rsidRPr="00C00008">
              <w:rPr>
                <w:kern w:val="24"/>
              </w:rPr>
              <w:t>11.25</w:t>
            </w:r>
          </w:p>
        </w:tc>
        <w:tc>
          <w:tcPr>
            <w:tcW w:w="1354" w:type="dxa"/>
            <w:tcMar>
              <w:top w:w="11" w:type="dxa"/>
              <w:left w:w="108" w:type="dxa"/>
              <w:bottom w:w="0" w:type="dxa"/>
              <w:right w:w="108" w:type="dxa"/>
            </w:tcMar>
            <w:vAlign w:val="center"/>
            <w:hideMark/>
          </w:tcPr>
          <w:p w14:paraId="17262290" w14:textId="77777777" w:rsidR="0010654D" w:rsidRPr="00C00008" w:rsidRDefault="0010654D" w:rsidP="00853950">
            <w:pPr>
              <w:pStyle w:val="NormalWeb"/>
              <w:spacing w:before="0" w:beforeAutospacing="0" w:after="0" w:afterAutospacing="0"/>
              <w:jc w:val="center"/>
              <w:rPr>
                <w:kern w:val="24"/>
              </w:rPr>
            </w:pPr>
            <w:r w:rsidRPr="00C00008">
              <w:rPr>
                <w:kern w:val="24"/>
              </w:rPr>
              <w:t>18.92</w:t>
            </w:r>
          </w:p>
        </w:tc>
        <w:tc>
          <w:tcPr>
            <w:tcW w:w="1354" w:type="dxa"/>
            <w:tcMar>
              <w:top w:w="11" w:type="dxa"/>
              <w:left w:w="108" w:type="dxa"/>
              <w:bottom w:w="0" w:type="dxa"/>
              <w:right w:w="108" w:type="dxa"/>
            </w:tcMar>
            <w:vAlign w:val="center"/>
            <w:hideMark/>
          </w:tcPr>
          <w:p w14:paraId="2D08B5A5" w14:textId="77777777" w:rsidR="0010654D" w:rsidRPr="00C00008" w:rsidRDefault="0010654D" w:rsidP="00853950">
            <w:pPr>
              <w:pStyle w:val="NormalWeb"/>
              <w:spacing w:before="0" w:beforeAutospacing="0" w:after="0" w:afterAutospacing="0"/>
              <w:jc w:val="center"/>
              <w:rPr>
                <w:kern w:val="24"/>
              </w:rPr>
            </w:pPr>
            <w:r w:rsidRPr="00C00008">
              <w:rPr>
                <w:kern w:val="24"/>
              </w:rPr>
              <w:t>2.13</w:t>
            </w:r>
          </w:p>
        </w:tc>
      </w:tr>
      <w:tr w:rsidR="0010654D" w:rsidRPr="00C00008" w14:paraId="765ED4E3" w14:textId="77777777" w:rsidTr="00853950">
        <w:trPr>
          <w:trHeight w:val="284"/>
          <w:jc w:val="right"/>
        </w:trPr>
        <w:tc>
          <w:tcPr>
            <w:tcW w:w="1572" w:type="dxa"/>
            <w:tcMar>
              <w:top w:w="11" w:type="dxa"/>
              <w:left w:w="108" w:type="dxa"/>
              <w:bottom w:w="0" w:type="dxa"/>
              <w:right w:w="108" w:type="dxa"/>
            </w:tcMar>
            <w:vAlign w:val="center"/>
            <w:hideMark/>
          </w:tcPr>
          <w:p w14:paraId="5FA75380"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Organic </w:t>
            </w:r>
          </w:p>
        </w:tc>
        <w:tc>
          <w:tcPr>
            <w:tcW w:w="1389" w:type="dxa"/>
            <w:tcMar>
              <w:top w:w="11" w:type="dxa"/>
              <w:left w:w="108" w:type="dxa"/>
              <w:bottom w:w="0" w:type="dxa"/>
              <w:right w:w="108" w:type="dxa"/>
            </w:tcMar>
            <w:vAlign w:val="center"/>
            <w:hideMark/>
          </w:tcPr>
          <w:p w14:paraId="313B3A48" w14:textId="77777777" w:rsidR="0010654D" w:rsidRPr="00C00008" w:rsidRDefault="0010654D" w:rsidP="00853950">
            <w:pPr>
              <w:pStyle w:val="NormalWeb"/>
              <w:spacing w:before="0" w:beforeAutospacing="0" w:after="0" w:afterAutospacing="0"/>
              <w:jc w:val="center"/>
              <w:rPr>
                <w:kern w:val="24"/>
              </w:rPr>
            </w:pPr>
            <w:r w:rsidRPr="00C00008">
              <w:rPr>
                <w:kern w:val="24"/>
              </w:rPr>
              <w:t>72.24</w:t>
            </w:r>
          </w:p>
        </w:tc>
        <w:tc>
          <w:tcPr>
            <w:tcW w:w="1499" w:type="dxa"/>
            <w:tcMar>
              <w:top w:w="11" w:type="dxa"/>
              <w:left w:w="108" w:type="dxa"/>
              <w:bottom w:w="0" w:type="dxa"/>
              <w:right w:w="108" w:type="dxa"/>
            </w:tcMar>
            <w:vAlign w:val="center"/>
            <w:hideMark/>
          </w:tcPr>
          <w:p w14:paraId="48379B65" w14:textId="77777777" w:rsidR="0010654D" w:rsidRPr="00C00008" w:rsidRDefault="0010654D" w:rsidP="00853950">
            <w:pPr>
              <w:pStyle w:val="NormalWeb"/>
              <w:spacing w:before="0" w:beforeAutospacing="0" w:after="0" w:afterAutospacing="0"/>
              <w:jc w:val="center"/>
              <w:rPr>
                <w:kern w:val="24"/>
              </w:rPr>
            </w:pPr>
            <w:r w:rsidRPr="00C00008">
              <w:rPr>
                <w:kern w:val="24"/>
              </w:rPr>
              <w:t>18.48</w:t>
            </w:r>
          </w:p>
        </w:tc>
        <w:tc>
          <w:tcPr>
            <w:tcW w:w="1337" w:type="dxa"/>
            <w:tcMar>
              <w:top w:w="11" w:type="dxa"/>
              <w:left w:w="108" w:type="dxa"/>
              <w:bottom w:w="0" w:type="dxa"/>
              <w:right w:w="108" w:type="dxa"/>
            </w:tcMar>
            <w:vAlign w:val="center"/>
            <w:hideMark/>
          </w:tcPr>
          <w:p w14:paraId="18515739" w14:textId="77777777" w:rsidR="0010654D" w:rsidRPr="00C00008" w:rsidRDefault="0010654D" w:rsidP="00853950">
            <w:pPr>
              <w:pStyle w:val="NormalWeb"/>
              <w:spacing w:before="0" w:beforeAutospacing="0" w:after="0" w:afterAutospacing="0"/>
              <w:jc w:val="center"/>
              <w:rPr>
                <w:kern w:val="24"/>
              </w:rPr>
            </w:pPr>
            <w:r w:rsidRPr="00C00008">
              <w:rPr>
                <w:kern w:val="24"/>
              </w:rPr>
              <w:t>13.17</w:t>
            </w:r>
          </w:p>
        </w:tc>
        <w:tc>
          <w:tcPr>
            <w:tcW w:w="1354" w:type="dxa"/>
            <w:tcMar>
              <w:top w:w="11" w:type="dxa"/>
              <w:left w:w="108" w:type="dxa"/>
              <w:bottom w:w="0" w:type="dxa"/>
              <w:right w:w="108" w:type="dxa"/>
            </w:tcMar>
            <w:vAlign w:val="center"/>
            <w:hideMark/>
          </w:tcPr>
          <w:p w14:paraId="038BDDE8" w14:textId="77777777" w:rsidR="0010654D" w:rsidRPr="00C00008" w:rsidRDefault="0010654D" w:rsidP="00853950">
            <w:pPr>
              <w:pStyle w:val="NormalWeb"/>
              <w:spacing w:before="0" w:beforeAutospacing="0" w:after="0" w:afterAutospacing="0"/>
              <w:jc w:val="center"/>
              <w:rPr>
                <w:kern w:val="24"/>
              </w:rPr>
            </w:pPr>
            <w:r w:rsidRPr="00C00008">
              <w:rPr>
                <w:kern w:val="24"/>
              </w:rPr>
              <w:t>78.26</w:t>
            </w:r>
          </w:p>
        </w:tc>
        <w:tc>
          <w:tcPr>
            <w:tcW w:w="1354" w:type="dxa"/>
            <w:tcMar>
              <w:top w:w="11" w:type="dxa"/>
              <w:left w:w="108" w:type="dxa"/>
              <w:bottom w:w="0" w:type="dxa"/>
              <w:right w:w="108" w:type="dxa"/>
            </w:tcMar>
            <w:vAlign w:val="center"/>
            <w:hideMark/>
          </w:tcPr>
          <w:p w14:paraId="27CCC99A" w14:textId="77777777" w:rsidR="0010654D" w:rsidRPr="00C00008" w:rsidRDefault="0010654D" w:rsidP="00853950">
            <w:pPr>
              <w:pStyle w:val="NormalWeb"/>
              <w:spacing w:before="0" w:beforeAutospacing="0" w:after="0" w:afterAutospacing="0"/>
              <w:jc w:val="center"/>
              <w:rPr>
                <w:kern w:val="24"/>
              </w:rPr>
            </w:pPr>
            <w:r w:rsidRPr="00C00008">
              <w:rPr>
                <w:kern w:val="24"/>
              </w:rPr>
              <w:t>10.30</w:t>
            </w:r>
          </w:p>
        </w:tc>
      </w:tr>
      <w:tr w:rsidR="0010654D" w:rsidRPr="00C00008" w14:paraId="3D1DDD7C" w14:textId="77777777" w:rsidTr="00853950">
        <w:trPr>
          <w:trHeight w:val="284"/>
          <w:jc w:val="right"/>
        </w:trPr>
        <w:tc>
          <w:tcPr>
            <w:tcW w:w="1572" w:type="dxa"/>
            <w:tcMar>
              <w:top w:w="11" w:type="dxa"/>
              <w:left w:w="108" w:type="dxa"/>
              <w:bottom w:w="0" w:type="dxa"/>
              <w:right w:w="108" w:type="dxa"/>
            </w:tcMar>
            <w:vAlign w:val="center"/>
            <w:hideMark/>
          </w:tcPr>
          <w:p w14:paraId="2F19EE4B" w14:textId="77777777" w:rsidR="0010654D" w:rsidRPr="00C00008" w:rsidRDefault="0010654D" w:rsidP="00853950">
            <w:pPr>
              <w:spacing w:after="0" w:line="240" w:lineRule="auto"/>
              <w:rPr>
                <w:rFonts w:ascii="Times New Roman" w:hAnsi="Times New Roman" w:cs="Times New Roman"/>
              </w:rPr>
            </w:pPr>
            <w:r w:rsidRPr="00C00008">
              <w:rPr>
                <w:rFonts w:ascii="Times New Roman" w:hAnsi="Times New Roman" w:cs="Times New Roman"/>
              </w:rPr>
              <w:t xml:space="preserve">Inorganic </w:t>
            </w:r>
          </w:p>
        </w:tc>
        <w:tc>
          <w:tcPr>
            <w:tcW w:w="1389" w:type="dxa"/>
            <w:tcMar>
              <w:top w:w="11" w:type="dxa"/>
              <w:left w:w="108" w:type="dxa"/>
              <w:bottom w:w="0" w:type="dxa"/>
              <w:right w:w="108" w:type="dxa"/>
            </w:tcMar>
            <w:vAlign w:val="center"/>
            <w:hideMark/>
          </w:tcPr>
          <w:p w14:paraId="10D78765" w14:textId="77777777" w:rsidR="0010654D" w:rsidRPr="00C00008" w:rsidRDefault="0010654D" w:rsidP="00853950">
            <w:pPr>
              <w:pStyle w:val="NormalWeb"/>
              <w:spacing w:before="0" w:beforeAutospacing="0" w:after="0" w:afterAutospacing="0"/>
              <w:jc w:val="center"/>
              <w:rPr>
                <w:kern w:val="24"/>
              </w:rPr>
            </w:pPr>
            <w:r w:rsidRPr="00C00008">
              <w:rPr>
                <w:kern w:val="24"/>
              </w:rPr>
              <w:t>84.12</w:t>
            </w:r>
          </w:p>
        </w:tc>
        <w:tc>
          <w:tcPr>
            <w:tcW w:w="1499" w:type="dxa"/>
            <w:tcMar>
              <w:top w:w="11" w:type="dxa"/>
              <w:left w:w="108" w:type="dxa"/>
              <w:bottom w:w="0" w:type="dxa"/>
              <w:right w:w="108" w:type="dxa"/>
            </w:tcMar>
            <w:vAlign w:val="center"/>
            <w:hideMark/>
          </w:tcPr>
          <w:p w14:paraId="3771E07E" w14:textId="77777777" w:rsidR="0010654D" w:rsidRPr="00C00008" w:rsidRDefault="0010654D" w:rsidP="00853950">
            <w:pPr>
              <w:pStyle w:val="NormalWeb"/>
              <w:spacing w:before="0" w:beforeAutospacing="0" w:after="0" w:afterAutospacing="0"/>
              <w:jc w:val="center"/>
              <w:rPr>
                <w:kern w:val="24"/>
              </w:rPr>
            </w:pPr>
            <w:r w:rsidRPr="00C00008">
              <w:rPr>
                <w:kern w:val="24"/>
              </w:rPr>
              <w:t>17.02</w:t>
            </w:r>
          </w:p>
        </w:tc>
        <w:tc>
          <w:tcPr>
            <w:tcW w:w="1337" w:type="dxa"/>
            <w:tcMar>
              <w:top w:w="11" w:type="dxa"/>
              <w:left w:w="108" w:type="dxa"/>
              <w:bottom w:w="0" w:type="dxa"/>
              <w:right w:w="108" w:type="dxa"/>
            </w:tcMar>
            <w:vAlign w:val="center"/>
            <w:hideMark/>
          </w:tcPr>
          <w:p w14:paraId="26BE2175" w14:textId="77777777" w:rsidR="0010654D" w:rsidRPr="00C00008" w:rsidRDefault="0010654D" w:rsidP="00853950">
            <w:pPr>
              <w:pStyle w:val="NormalWeb"/>
              <w:spacing w:before="0" w:beforeAutospacing="0" w:after="0" w:afterAutospacing="0"/>
              <w:jc w:val="center"/>
              <w:rPr>
                <w:kern w:val="24"/>
              </w:rPr>
            </w:pPr>
            <w:r w:rsidRPr="00C00008">
              <w:rPr>
                <w:kern w:val="24"/>
              </w:rPr>
              <w:t>11.49</w:t>
            </w:r>
          </w:p>
        </w:tc>
        <w:tc>
          <w:tcPr>
            <w:tcW w:w="1354" w:type="dxa"/>
            <w:tcMar>
              <w:top w:w="11" w:type="dxa"/>
              <w:left w:w="108" w:type="dxa"/>
              <w:bottom w:w="0" w:type="dxa"/>
              <w:right w:w="108" w:type="dxa"/>
            </w:tcMar>
            <w:vAlign w:val="center"/>
            <w:hideMark/>
          </w:tcPr>
          <w:p w14:paraId="67165D9E" w14:textId="77777777" w:rsidR="0010654D" w:rsidRPr="00C00008" w:rsidRDefault="0010654D" w:rsidP="00853950">
            <w:pPr>
              <w:pStyle w:val="NormalWeb"/>
              <w:spacing w:before="0" w:beforeAutospacing="0" w:after="0" w:afterAutospacing="0"/>
              <w:jc w:val="center"/>
              <w:rPr>
                <w:kern w:val="24"/>
              </w:rPr>
            </w:pPr>
            <w:r w:rsidRPr="00C00008">
              <w:rPr>
                <w:kern w:val="24"/>
              </w:rPr>
              <w:t>89.76</w:t>
            </w:r>
          </w:p>
        </w:tc>
        <w:tc>
          <w:tcPr>
            <w:tcW w:w="1354" w:type="dxa"/>
            <w:tcMar>
              <w:top w:w="11" w:type="dxa"/>
              <w:left w:w="108" w:type="dxa"/>
              <w:bottom w:w="0" w:type="dxa"/>
              <w:right w:w="108" w:type="dxa"/>
            </w:tcMar>
            <w:vAlign w:val="center"/>
            <w:hideMark/>
          </w:tcPr>
          <w:p w14:paraId="6012679D" w14:textId="77777777" w:rsidR="0010654D" w:rsidRPr="00C00008" w:rsidRDefault="0010654D" w:rsidP="00853950">
            <w:pPr>
              <w:pStyle w:val="NormalWeb"/>
              <w:spacing w:before="0" w:beforeAutospacing="0" w:after="0" w:afterAutospacing="0"/>
              <w:jc w:val="center"/>
              <w:rPr>
                <w:kern w:val="24"/>
              </w:rPr>
            </w:pPr>
            <w:r w:rsidRPr="00C00008">
              <w:rPr>
                <w:kern w:val="24"/>
              </w:rPr>
              <w:t>10.31</w:t>
            </w:r>
          </w:p>
        </w:tc>
      </w:tr>
    </w:tbl>
    <w:p w14:paraId="3DC6A3A8" w14:textId="77777777" w:rsidR="0010654D" w:rsidRPr="00C00008" w:rsidRDefault="0010654D" w:rsidP="0010654D">
      <w:pPr>
        <w:jc w:val="both"/>
        <w:rPr>
          <w:rFonts w:ascii="Times New Roman" w:hAnsi="Times New Roman" w:cs="Times New Roman"/>
        </w:rPr>
      </w:pPr>
    </w:p>
    <w:p w14:paraId="0881340F" w14:textId="77777777" w:rsidR="0010654D" w:rsidRPr="00C00008" w:rsidRDefault="0010654D" w:rsidP="0010654D">
      <w:pPr>
        <w:ind w:left="900" w:hanging="900"/>
        <w:jc w:val="both"/>
        <w:rPr>
          <w:rFonts w:ascii="Times New Roman" w:hAnsi="Times New Roman" w:cs="Times New Roman"/>
          <w:b/>
          <w:bCs/>
        </w:rPr>
      </w:pPr>
      <w:r w:rsidRPr="00C00008">
        <w:rPr>
          <w:rFonts w:ascii="Times New Roman" w:hAnsi="Times New Roman" w:cs="Times New Roman"/>
          <w:b/>
          <w:bCs/>
        </w:rPr>
        <w:t xml:space="preserve">Table 2: Effect of </w:t>
      </w:r>
      <w:proofErr w:type="gramStart"/>
      <w:r w:rsidRPr="00C00008">
        <w:rPr>
          <w:rFonts w:ascii="Times New Roman" w:hAnsi="Times New Roman" w:cs="Times New Roman"/>
          <w:b/>
          <w:bCs/>
        </w:rPr>
        <w:t>long term</w:t>
      </w:r>
      <w:proofErr w:type="gramEnd"/>
      <w:r w:rsidRPr="00C00008">
        <w:rPr>
          <w:rFonts w:ascii="Times New Roman" w:hAnsi="Times New Roman" w:cs="Times New Roman"/>
          <w:b/>
          <w:bCs/>
        </w:rPr>
        <w:t xml:space="preserve"> effect of organic farming on cane yield and juice quality (pooled data: 2014–15 to 2020–21)</w:t>
      </w:r>
    </w:p>
    <w:tbl>
      <w:tblPr>
        <w:tblStyle w:val="TableGrid"/>
        <w:tblW w:w="8231" w:type="dxa"/>
        <w:jc w:val="center"/>
        <w:tblLook w:val="04A0" w:firstRow="1" w:lastRow="0" w:firstColumn="1" w:lastColumn="0" w:noHBand="0" w:noVBand="1"/>
      </w:tblPr>
      <w:tblGrid>
        <w:gridCol w:w="1563"/>
        <w:gridCol w:w="1461"/>
        <w:gridCol w:w="1231"/>
        <w:gridCol w:w="1050"/>
        <w:gridCol w:w="1496"/>
        <w:gridCol w:w="1430"/>
      </w:tblGrid>
      <w:tr w:rsidR="0010654D" w:rsidRPr="00C00008" w14:paraId="6F515048" w14:textId="77777777" w:rsidTr="00853950">
        <w:trPr>
          <w:trHeight w:val="561"/>
          <w:jc w:val="center"/>
        </w:trPr>
        <w:tc>
          <w:tcPr>
            <w:tcW w:w="0" w:type="auto"/>
            <w:hideMark/>
          </w:tcPr>
          <w:p w14:paraId="5FB6D6A0" w14:textId="77777777" w:rsidR="0010654D" w:rsidRPr="00C00008" w:rsidRDefault="0010654D" w:rsidP="00853950">
            <w:pPr>
              <w:jc w:val="both"/>
              <w:rPr>
                <w:rFonts w:ascii="Times New Roman" w:hAnsi="Times New Roman" w:cs="Times New Roman"/>
                <w:b/>
                <w:bCs/>
              </w:rPr>
            </w:pPr>
            <w:r w:rsidRPr="00C00008">
              <w:rPr>
                <w:rFonts w:ascii="Times New Roman" w:hAnsi="Times New Roman" w:cs="Times New Roman"/>
                <w:b/>
                <w:bCs/>
              </w:rPr>
              <w:t>Treatment</w:t>
            </w:r>
          </w:p>
        </w:tc>
        <w:tc>
          <w:tcPr>
            <w:tcW w:w="1461" w:type="dxa"/>
            <w:hideMark/>
          </w:tcPr>
          <w:p w14:paraId="0454944A"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 xml:space="preserve">NMC </w:t>
            </w:r>
          </w:p>
          <w:p w14:paraId="3BC99E65"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(×10³ ha⁻¹)</w:t>
            </w:r>
          </w:p>
        </w:tc>
        <w:tc>
          <w:tcPr>
            <w:tcW w:w="1231" w:type="dxa"/>
            <w:hideMark/>
          </w:tcPr>
          <w:p w14:paraId="40CE556B"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 xml:space="preserve">Sucrose </w:t>
            </w:r>
          </w:p>
          <w:p w14:paraId="46AFC3B6"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w:t>
            </w:r>
          </w:p>
        </w:tc>
        <w:tc>
          <w:tcPr>
            <w:tcW w:w="1050" w:type="dxa"/>
            <w:hideMark/>
          </w:tcPr>
          <w:p w14:paraId="5FF3EECA"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CCS (%)</w:t>
            </w:r>
          </w:p>
        </w:tc>
        <w:tc>
          <w:tcPr>
            <w:tcW w:w="1496" w:type="dxa"/>
            <w:vAlign w:val="center"/>
          </w:tcPr>
          <w:p w14:paraId="2C1C94C6"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Cane yield (t ha⁻¹)</w:t>
            </w:r>
          </w:p>
        </w:tc>
        <w:tc>
          <w:tcPr>
            <w:tcW w:w="1430" w:type="dxa"/>
            <w:vAlign w:val="center"/>
          </w:tcPr>
          <w:p w14:paraId="5F843E27" w14:textId="77777777" w:rsidR="0010654D" w:rsidRPr="00C00008" w:rsidRDefault="0010654D" w:rsidP="00853950">
            <w:pPr>
              <w:jc w:val="center"/>
              <w:rPr>
                <w:rFonts w:ascii="Times New Roman" w:hAnsi="Times New Roman" w:cs="Times New Roman"/>
                <w:b/>
                <w:bCs/>
              </w:rPr>
            </w:pPr>
            <w:r w:rsidRPr="00C00008">
              <w:rPr>
                <w:rFonts w:ascii="Times New Roman" w:hAnsi="Times New Roman" w:cs="Times New Roman"/>
                <w:b/>
                <w:bCs/>
              </w:rPr>
              <w:t>CCS yield (t ha⁻¹)</w:t>
            </w:r>
          </w:p>
        </w:tc>
      </w:tr>
      <w:tr w:rsidR="0010654D" w:rsidRPr="00C00008" w14:paraId="6F85C477" w14:textId="77777777" w:rsidTr="00853950">
        <w:trPr>
          <w:trHeight w:val="280"/>
          <w:jc w:val="center"/>
        </w:trPr>
        <w:tc>
          <w:tcPr>
            <w:tcW w:w="0" w:type="auto"/>
            <w:hideMark/>
          </w:tcPr>
          <w:p w14:paraId="1D81CC80"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rPr>
              <w:t>Control</w:t>
            </w:r>
          </w:p>
        </w:tc>
        <w:tc>
          <w:tcPr>
            <w:tcW w:w="1461" w:type="dxa"/>
            <w:hideMark/>
          </w:tcPr>
          <w:p w14:paraId="178F052C"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32.46</w:t>
            </w:r>
          </w:p>
        </w:tc>
        <w:tc>
          <w:tcPr>
            <w:tcW w:w="1231" w:type="dxa"/>
            <w:hideMark/>
          </w:tcPr>
          <w:p w14:paraId="64C62513"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16.77</w:t>
            </w:r>
          </w:p>
        </w:tc>
        <w:tc>
          <w:tcPr>
            <w:tcW w:w="1050" w:type="dxa"/>
            <w:hideMark/>
          </w:tcPr>
          <w:p w14:paraId="20893DAB"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11.56</w:t>
            </w:r>
          </w:p>
        </w:tc>
        <w:tc>
          <w:tcPr>
            <w:tcW w:w="1496" w:type="dxa"/>
            <w:vAlign w:val="center"/>
          </w:tcPr>
          <w:p w14:paraId="4C0F94F3"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26.54</w:t>
            </w:r>
          </w:p>
        </w:tc>
        <w:tc>
          <w:tcPr>
            <w:tcW w:w="1430" w:type="dxa"/>
            <w:vAlign w:val="center"/>
          </w:tcPr>
          <w:p w14:paraId="0CD2013A"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3.25</w:t>
            </w:r>
          </w:p>
        </w:tc>
      </w:tr>
      <w:tr w:rsidR="0010654D" w:rsidRPr="00C00008" w14:paraId="370DB42B" w14:textId="77777777" w:rsidTr="00853950">
        <w:trPr>
          <w:trHeight w:val="280"/>
          <w:jc w:val="center"/>
        </w:trPr>
        <w:tc>
          <w:tcPr>
            <w:tcW w:w="0" w:type="auto"/>
            <w:hideMark/>
          </w:tcPr>
          <w:p w14:paraId="79CF047C"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rPr>
              <w:t>Organic</w:t>
            </w:r>
          </w:p>
        </w:tc>
        <w:tc>
          <w:tcPr>
            <w:tcW w:w="1461" w:type="dxa"/>
            <w:hideMark/>
          </w:tcPr>
          <w:p w14:paraId="15EC019C"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67.75</w:t>
            </w:r>
          </w:p>
        </w:tc>
        <w:tc>
          <w:tcPr>
            <w:tcW w:w="1231" w:type="dxa"/>
            <w:hideMark/>
          </w:tcPr>
          <w:p w14:paraId="1A067B31"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18.05</w:t>
            </w:r>
          </w:p>
        </w:tc>
        <w:tc>
          <w:tcPr>
            <w:tcW w:w="1050" w:type="dxa"/>
            <w:hideMark/>
          </w:tcPr>
          <w:p w14:paraId="05B0BF2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12.56</w:t>
            </w:r>
          </w:p>
        </w:tc>
        <w:tc>
          <w:tcPr>
            <w:tcW w:w="1496" w:type="dxa"/>
            <w:vAlign w:val="center"/>
          </w:tcPr>
          <w:p w14:paraId="68A1DF0E"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69.95</w:t>
            </w:r>
          </w:p>
        </w:tc>
        <w:tc>
          <w:tcPr>
            <w:tcW w:w="1430" w:type="dxa"/>
            <w:vAlign w:val="center"/>
          </w:tcPr>
          <w:p w14:paraId="24F71C84"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8.77</w:t>
            </w:r>
          </w:p>
        </w:tc>
      </w:tr>
      <w:tr w:rsidR="0010654D" w:rsidRPr="00C00008" w14:paraId="37049A86" w14:textId="77777777" w:rsidTr="00853950">
        <w:trPr>
          <w:trHeight w:val="280"/>
          <w:jc w:val="center"/>
        </w:trPr>
        <w:tc>
          <w:tcPr>
            <w:tcW w:w="0" w:type="auto"/>
            <w:hideMark/>
          </w:tcPr>
          <w:p w14:paraId="23C5A2A6"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rPr>
              <w:t>Inorganic</w:t>
            </w:r>
          </w:p>
        </w:tc>
        <w:tc>
          <w:tcPr>
            <w:tcW w:w="1461" w:type="dxa"/>
            <w:hideMark/>
          </w:tcPr>
          <w:p w14:paraId="6FFD89A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76.72</w:t>
            </w:r>
          </w:p>
        </w:tc>
        <w:tc>
          <w:tcPr>
            <w:tcW w:w="1231" w:type="dxa"/>
            <w:hideMark/>
          </w:tcPr>
          <w:p w14:paraId="6C96B33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17.29</w:t>
            </w:r>
          </w:p>
        </w:tc>
        <w:tc>
          <w:tcPr>
            <w:tcW w:w="1050" w:type="dxa"/>
            <w:hideMark/>
          </w:tcPr>
          <w:p w14:paraId="6C664661"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11.86</w:t>
            </w:r>
          </w:p>
        </w:tc>
        <w:tc>
          <w:tcPr>
            <w:tcW w:w="1496" w:type="dxa"/>
            <w:vAlign w:val="center"/>
          </w:tcPr>
          <w:p w14:paraId="2AA6EBC1"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85.00</w:t>
            </w:r>
          </w:p>
        </w:tc>
        <w:tc>
          <w:tcPr>
            <w:tcW w:w="1430" w:type="dxa"/>
            <w:vAlign w:val="center"/>
          </w:tcPr>
          <w:p w14:paraId="60AF0FF9"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10.06</w:t>
            </w:r>
          </w:p>
        </w:tc>
      </w:tr>
      <w:tr w:rsidR="0010654D" w:rsidRPr="00C00008" w14:paraId="42978A7C" w14:textId="77777777" w:rsidTr="00853950">
        <w:trPr>
          <w:trHeight w:val="288"/>
          <w:jc w:val="center"/>
        </w:trPr>
        <w:tc>
          <w:tcPr>
            <w:tcW w:w="0" w:type="auto"/>
            <w:hideMark/>
          </w:tcPr>
          <w:p w14:paraId="46A8E311"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b/>
                <w:bCs/>
              </w:rPr>
              <w:t>SE (±)</w:t>
            </w:r>
          </w:p>
        </w:tc>
        <w:tc>
          <w:tcPr>
            <w:tcW w:w="1461" w:type="dxa"/>
            <w:hideMark/>
          </w:tcPr>
          <w:p w14:paraId="581BDB9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1.42</w:t>
            </w:r>
          </w:p>
        </w:tc>
        <w:tc>
          <w:tcPr>
            <w:tcW w:w="1231" w:type="dxa"/>
            <w:hideMark/>
          </w:tcPr>
          <w:p w14:paraId="3FC41695"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0.21</w:t>
            </w:r>
          </w:p>
        </w:tc>
        <w:tc>
          <w:tcPr>
            <w:tcW w:w="1050" w:type="dxa"/>
            <w:hideMark/>
          </w:tcPr>
          <w:p w14:paraId="60A32D1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0.18</w:t>
            </w:r>
          </w:p>
        </w:tc>
        <w:tc>
          <w:tcPr>
            <w:tcW w:w="1496" w:type="dxa"/>
            <w:vAlign w:val="center"/>
          </w:tcPr>
          <w:p w14:paraId="6F05B8D3"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1.75</w:t>
            </w:r>
          </w:p>
        </w:tc>
        <w:tc>
          <w:tcPr>
            <w:tcW w:w="1430" w:type="dxa"/>
            <w:vAlign w:val="center"/>
          </w:tcPr>
          <w:p w14:paraId="49905EF4"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0.28</w:t>
            </w:r>
          </w:p>
        </w:tc>
      </w:tr>
      <w:tr w:rsidR="0010654D" w:rsidRPr="00C00008" w14:paraId="118EF2A7" w14:textId="77777777" w:rsidTr="00853950">
        <w:trPr>
          <w:trHeight w:val="280"/>
          <w:jc w:val="center"/>
        </w:trPr>
        <w:tc>
          <w:tcPr>
            <w:tcW w:w="0" w:type="auto"/>
            <w:hideMark/>
          </w:tcPr>
          <w:p w14:paraId="4AA89AB4"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b/>
                <w:bCs/>
              </w:rPr>
              <w:t>CD (P=0.05)</w:t>
            </w:r>
          </w:p>
        </w:tc>
        <w:tc>
          <w:tcPr>
            <w:tcW w:w="1461" w:type="dxa"/>
            <w:hideMark/>
          </w:tcPr>
          <w:p w14:paraId="4143B532"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4.25</w:t>
            </w:r>
          </w:p>
        </w:tc>
        <w:tc>
          <w:tcPr>
            <w:tcW w:w="1231" w:type="dxa"/>
            <w:hideMark/>
          </w:tcPr>
          <w:p w14:paraId="5D8B15C8"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0.63</w:t>
            </w:r>
          </w:p>
        </w:tc>
        <w:tc>
          <w:tcPr>
            <w:tcW w:w="1050" w:type="dxa"/>
            <w:hideMark/>
          </w:tcPr>
          <w:p w14:paraId="3BCF7299"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0.54</w:t>
            </w:r>
          </w:p>
        </w:tc>
        <w:tc>
          <w:tcPr>
            <w:tcW w:w="1496" w:type="dxa"/>
            <w:vAlign w:val="center"/>
          </w:tcPr>
          <w:p w14:paraId="206C225D"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5.25</w:t>
            </w:r>
          </w:p>
        </w:tc>
        <w:tc>
          <w:tcPr>
            <w:tcW w:w="1430" w:type="dxa"/>
            <w:vAlign w:val="center"/>
          </w:tcPr>
          <w:p w14:paraId="6F6F07E6"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0.84</w:t>
            </w:r>
          </w:p>
        </w:tc>
      </w:tr>
      <w:tr w:rsidR="0010654D" w:rsidRPr="00C00008" w14:paraId="5A5F2744" w14:textId="77777777" w:rsidTr="00853950">
        <w:trPr>
          <w:trHeight w:val="280"/>
          <w:jc w:val="center"/>
        </w:trPr>
        <w:tc>
          <w:tcPr>
            <w:tcW w:w="0" w:type="auto"/>
            <w:hideMark/>
          </w:tcPr>
          <w:p w14:paraId="33FF99F4" w14:textId="77777777" w:rsidR="0010654D" w:rsidRPr="00C00008" w:rsidRDefault="0010654D" w:rsidP="00853950">
            <w:pPr>
              <w:jc w:val="both"/>
              <w:rPr>
                <w:rFonts w:ascii="Times New Roman" w:hAnsi="Times New Roman" w:cs="Times New Roman"/>
              </w:rPr>
            </w:pPr>
            <w:r w:rsidRPr="00C00008">
              <w:rPr>
                <w:rFonts w:ascii="Times New Roman" w:hAnsi="Times New Roman" w:cs="Times New Roman"/>
                <w:b/>
                <w:bCs/>
              </w:rPr>
              <w:t>CV (%)</w:t>
            </w:r>
          </w:p>
        </w:tc>
        <w:tc>
          <w:tcPr>
            <w:tcW w:w="1461" w:type="dxa"/>
            <w:hideMark/>
          </w:tcPr>
          <w:p w14:paraId="6FC202B3"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6.85</w:t>
            </w:r>
          </w:p>
        </w:tc>
        <w:tc>
          <w:tcPr>
            <w:tcW w:w="1231" w:type="dxa"/>
            <w:hideMark/>
          </w:tcPr>
          <w:p w14:paraId="00EE7DCC"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2.45</w:t>
            </w:r>
          </w:p>
        </w:tc>
        <w:tc>
          <w:tcPr>
            <w:tcW w:w="1050" w:type="dxa"/>
            <w:hideMark/>
          </w:tcPr>
          <w:p w14:paraId="585CBCD2"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2.75</w:t>
            </w:r>
          </w:p>
        </w:tc>
        <w:tc>
          <w:tcPr>
            <w:tcW w:w="1496" w:type="dxa"/>
            <w:vAlign w:val="center"/>
          </w:tcPr>
          <w:p w14:paraId="78C4A99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8.12</w:t>
            </w:r>
          </w:p>
        </w:tc>
        <w:tc>
          <w:tcPr>
            <w:tcW w:w="1430" w:type="dxa"/>
            <w:vAlign w:val="center"/>
          </w:tcPr>
          <w:p w14:paraId="2BAB0157" w14:textId="77777777" w:rsidR="0010654D" w:rsidRPr="00C00008" w:rsidRDefault="0010654D" w:rsidP="00853950">
            <w:pPr>
              <w:jc w:val="center"/>
              <w:rPr>
                <w:rFonts w:ascii="Times New Roman" w:hAnsi="Times New Roman" w:cs="Times New Roman"/>
              </w:rPr>
            </w:pPr>
            <w:r w:rsidRPr="00C00008">
              <w:rPr>
                <w:rFonts w:ascii="Times New Roman" w:hAnsi="Times New Roman" w:cs="Times New Roman"/>
              </w:rPr>
              <w:t>9.65</w:t>
            </w:r>
          </w:p>
        </w:tc>
      </w:tr>
    </w:tbl>
    <w:p w14:paraId="0F72528B" w14:textId="77777777" w:rsidR="0010654D" w:rsidRPr="00C00008" w:rsidRDefault="0010654D" w:rsidP="0010654D">
      <w:pPr>
        <w:jc w:val="both"/>
        <w:rPr>
          <w:rFonts w:ascii="Times New Roman" w:hAnsi="Times New Roman" w:cs="Times New Roman"/>
        </w:rPr>
      </w:pPr>
    </w:p>
    <w:p w14:paraId="2FD5551F" w14:textId="77777777" w:rsidR="0010654D" w:rsidRPr="00C00008" w:rsidRDefault="0010654D" w:rsidP="0010654D">
      <w:pPr>
        <w:spacing w:after="0" w:line="240" w:lineRule="auto"/>
        <w:ind w:left="900" w:hanging="900"/>
        <w:jc w:val="both"/>
        <w:rPr>
          <w:rFonts w:ascii="Times New Roman" w:hAnsi="Times New Roman" w:cs="Times New Roman"/>
          <w:b/>
          <w:bCs/>
        </w:rPr>
      </w:pPr>
      <w:r w:rsidRPr="00C00008">
        <w:rPr>
          <w:rFonts w:ascii="Times New Roman" w:hAnsi="Times New Roman" w:cs="Times New Roman"/>
          <w:b/>
          <w:bCs/>
        </w:rPr>
        <w:t>Table 3. Effect of organic farming on economics of sugarcane (pooled data: 2014–15 to 2020–21)</w:t>
      </w:r>
    </w:p>
    <w:p w14:paraId="262F49B3" w14:textId="77777777" w:rsidR="0010654D" w:rsidRPr="00C00008" w:rsidRDefault="0010654D" w:rsidP="0010654D">
      <w:pPr>
        <w:spacing w:after="0" w:line="240" w:lineRule="auto"/>
        <w:ind w:left="1134" w:hanging="1134"/>
        <w:rPr>
          <w:rFonts w:ascii="Times New Roman" w:hAnsi="Times New Roman" w:cs="Times New Roman"/>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2043"/>
        <w:gridCol w:w="1724"/>
        <w:gridCol w:w="1724"/>
        <w:gridCol w:w="1696"/>
        <w:gridCol w:w="1087"/>
      </w:tblGrid>
      <w:tr w:rsidR="00FA2371" w:rsidRPr="00C00008" w14:paraId="4F66BD02" w14:textId="77777777" w:rsidTr="00FA2371">
        <w:trPr>
          <w:trHeight w:val="300"/>
          <w:jc w:val="center"/>
        </w:trPr>
        <w:tc>
          <w:tcPr>
            <w:tcW w:w="1462" w:type="dxa"/>
            <w:noWrap/>
            <w:vAlign w:val="center"/>
            <w:hideMark/>
          </w:tcPr>
          <w:p w14:paraId="7F2B1DC8" w14:textId="77777777" w:rsidR="00FA2371" w:rsidRPr="00C00008" w:rsidRDefault="00FA2371" w:rsidP="00853950">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Treatments</w:t>
            </w:r>
          </w:p>
        </w:tc>
        <w:tc>
          <w:tcPr>
            <w:tcW w:w="2043" w:type="dxa"/>
            <w:noWrap/>
            <w:vAlign w:val="center"/>
            <w:hideMark/>
          </w:tcPr>
          <w:p w14:paraId="342285FB" w14:textId="77777777" w:rsidR="00FA2371" w:rsidRPr="00C00008" w:rsidRDefault="00FA2371" w:rsidP="00853950">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Cost of Cultivation </w:t>
            </w:r>
            <w:r w:rsidRPr="00C00008">
              <w:rPr>
                <w:rFonts w:ascii="Times New Roman" w:hAnsi="Times New Roman" w:cs="Times New Roman"/>
                <w:b/>
                <w:bCs/>
              </w:rPr>
              <w:t>(Rs/-)</w:t>
            </w:r>
          </w:p>
        </w:tc>
        <w:tc>
          <w:tcPr>
            <w:tcW w:w="1724" w:type="dxa"/>
          </w:tcPr>
          <w:p w14:paraId="607D54CB" w14:textId="77777777" w:rsidR="00FA2371" w:rsidRPr="00C00008" w:rsidRDefault="00FA2371" w:rsidP="00853950">
            <w:pPr>
              <w:spacing w:after="0" w:line="240" w:lineRule="auto"/>
              <w:jc w:val="center"/>
              <w:rPr>
                <w:rFonts w:ascii="Times New Roman" w:hAnsi="Times New Roman" w:cs="Times New Roman"/>
                <w:b/>
                <w:bCs/>
                <w:color w:val="000000"/>
                <w:lang w:bidi="te-IN"/>
              </w:rPr>
            </w:pPr>
          </w:p>
        </w:tc>
        <w:tc>
          <w:tcPr>
            <w:tcW w:w="1724" w:type="dxa"/>
            <w:noWrap/>
            <w:vAlign w:val="center"/>
            <w:hideMark/>
          </w:tcPr>
          <w:p w14:paraId="2B7ABFA2" w14:textId="24475B11" w:rsidR="00FA2371" w:rsidRPr="00C00008" w:rsidRDefault="00FA2371" w:rsidP="00853950">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Gross Returns </w:t>
            </w:r>
            <w:r w:rsidRPr="00C00008">
              <w:rPr>
                <w:rFonts w:ascii="Times New Roman" w:hAnsi="Times New Roman" w:cs="Times New Roman"/>
                <w:b/>
                <w:bCs/>
              </w:rPr>
              <w:t>(Rs/-)</w:t>
            </w:r>
          </w:p>
        </w:tc>
        <w:tc>
          <w:tcPr>
            <w:tcW w:w="1696" w:type="dxa"/>
            <w:noWrap/>
            <w:vAlign w:val="center"/>
            <w:hideMark/>
          </w:tcPr>
          <w:p w14:paraId="1F166E57" w14:textId="77777777" w:rsidR="00FA2371" w:rsidRPr="00C00008" w:rsidRDefault="00FA2371" w:rsidP="00853950">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 xml:space="preserve">Net Returns </w:t>
            </w:r>
            <w:r w:rsidRPr="00C00008">
              <w:rPr>
                <w:rFonts w:ascii="Times New Roman" w:hAnsi="Times New Roman" w:cs="Times New Roman"/>
                <w:b/>
                <w:bCs/>
              </w:rPr>
              <w:t>(Rs/-)</w:t>
            </w:r>
          </w:p>
        </w:tc>
        <w:tc>
          <w:tcPr>
            <w:tcW w:w="1087" w:type="dxa"/>
            <w:noWrap/>
            <w:vAlign w:val="center"/>
            <w:hideMark/>
          </w:tcPr>
          <w:p w14:paraId="3A93B3D5" w14:textId="77777777" w:rsidR="00FA2371" w:rsidRPr="00C00008" w:rsidRDefault="00FA2371" w:rsidP="00853950">
            <w:pPr>
              <w:spacing w:after="0" w:line="240" w:lineRule="auto"/>
              <w:jc w:val="center"/>
              <w:rPr>
                <w:rFonts w:ascii="Times New Roman" w:hAnsi="Times New Roman" w:cs="Times New Roman"/>
                <w:b/>
                <w:bCs/>
                <w:color w:val="000000"/>
                <w:lang w:bidi="te-IN"/>
              </w:rPr>
            </w:pPr>
            <w:r w:rsidRPr="00C00008">
              <w:rPr>
                <w:rFonts w:ascii="Times New Roman" w:hAnsi="Times New Roman" w:cs="Times New Roman"/>
                <w:b/>
                <w:bCs/>
                <w:color w:val="000000"/>
                <w:lang w:bidi="te-IN"/>
              </w:rPr>
              <w:t>BC Ratio</w:t>
            </w:r>
          </w:p>
        </w:tc>
      </w:tr>
      <w:tr w:rsidR="00FA2371" w:rsidRPr="00C00008" w14:paraId="126E1A70" w14:textId="77777777" w:rsidTr="00FA2371">
        <w:trPr>
          <w:trHeight w:val="300"/>
          <w:jc w:val="center"/>
        </w:trPr>
        <w:tc>
          <w:tcPr>
            <w:tcW w:w="1462" w:type="dxa"/>
            <w:noWrap/>
            <w:vAlign w:val="center"/>
            <w:hideMark/>
          </w:tcPr>
          <w:p w14:paraId="336DCC45" w14:textId="77777777" w:rsidR="00FA2371" w:rsidRPr="00C00008" w:rsidRDefault="00FA2371" w:rsidP="00853950">
            <w:pPr>
              <w:pStyle w:val="NormalWeb"/>
              <w:spacing w:before="0" w:beforeAutospacing="0" w:after="0" w:afterAutospacing="0"/>
              <w:jc w:val="center"/>
            </w:pPr>
            <w:r w:rsidRPr="00C00008">
              <w:t>Inorganic</w:t>
            </w:r>
          </w:p>
        </w:tc>
        <w:tc>
          <w:tcPr>
            <w:tcW w:w="2043" w:type="dxa"/>
            <w:noWrap/>
            <w:vAlign w:val="center"/>
            <w:hideMark/>
          </w:tcPr>
          <w:p w14:paraId="1642450A"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110290</w:t>
            </w:r>
          </w:p>
        </w:tc>
        <w:tc>
          <w:tcPr>
            <w:tcW w:w="1724" w:type="dxa"/>
          </w:tcPr>
          <w:p w14:paraId="5F6F8407" w14:textId="77777777" w:rsidR="00FA2371" w:rsidRPr="00C00008" w:rsidRDefault="00FA2371" w:rsidP="00853950">
            <w:pPr>
              <w:spacing w:after="0" w:line="240" w:lineRule="auto"/>
              <w:jc w:val="center"/>
              <w:rPr>
                <w:rFonts w:ascii="Times New Roman" w:hAnsi="Times New Roman" w:cs="Times New Roman"/>
                <w:color w:val="000000"/>
              </w:rPr>
            </w:pPr>
          </w:p>
        </w:tc>
        <w:tc>
          <w:tcPr>
            <w:tcW w:w="1724" w:type="dxa"/>
            <w:noWrap/>
            <w:vAlign w:val="center"/>
            <w:hideMark/>
          </w:tcPr>
          <w:p w14:paraId="075F5F89" w14:textId="432AE3BC"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269280</w:t>
            </w:r>
          </w:p>
        </w:tc>
        <w:tc>
          <w:tcPr>
            <w:tcW w:w="1696" w:type="dxa"/>
            <w:noWrap/>
            <w:vAlign w:val="center"/>
            <w:hideMark/>
          </w:tcPr>
          <w:p w14:paraId="70E0C882"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158990</w:t>
            </w:r>
          </w:p>
        </w:tc>
        <w:tc>
          <w:tcPr>
            <w:tcW w:w="1087" w:type="dxa"/>
            <w:noWrap/>
            <w:vAlign w:val="center"/>
            <w:hideMark/>
          </w:tcPr>
          <w:p w14:paraId="7A7916D6" w14:textId="77777777" w:rsidR="00FA2371" w:rsidRPr="00C00008" w:rsidRDefault="00FA2371" w:rsidP="00853950">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1.44</w:t>
            </w:r>
          </w:p>
        </w:tc>
      </w:tr>
      <w:tr w:rsidR="00FA2371" w:rsidRPr="00C00008" w14:paraId="0C46F94E" w14:textId="77777777" w:rsidTr="00FA2371">
        <w:trPr>
          <w:trHeight w:val="300"/>
          <w:jc w:val="center"/>
        </w:trPr>
        <w:tc>
          <w:tcPr>
            <w:tcW w:w="1462" w:type="dxa"/>
            <w:noWrap/>
            <w:vAlign w:val="center"/>
            <w:hideMark/>
          </w:tcPr>
          <w:p w14:paraId="24F8F68F" w14:textId="77777777" w:rsidR="00FA2371" w:rsidRPr="00C00008" w:rsidRDefault="00FA2371" w:rsidP="00853950">
            <w:pPr>
              <w:pStyle w:val="NormalWeb"/>
              <w:spacing w:before="0" w:beforeAutospacing="0" w:after="0" w:afterAutospacing="0"/>
              <w:jc w:val="center"/>
            </w:pPr>
            <w:r w:rsidRPr="00C00008">
              <w:t>Organic</w:t>
            </w:r>
          </w:p>
        </w:tc>
        <w:tc>
          <w:tcPr>
            <w:tcW w:w="2043" w:type="dxa"/>
            <w:noWrap/>
            <w:vAlign w:val="center"/>
            <w:hideMark/>
          </w:tcPr>
          <w:p w14:paraId="7E178471"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137200</w:t>
            </w:r>
          </w:p>
        </w:tc>
        <w:tc>
          <w:tcPr>
            <w:tcW w:w="1724" w:type="dxa"/>
          </w:tcPr>
          <w:p w14:paraId="412BB24C" w14:textId="77777777" w:rsidR="00FA2371" w:rsidRPr="00C00008" w:rsidRDefault="00FA2371" w:rsidP="00853950">
            <w:pPr>
              <w:spacing w:after="0" w:line="240" w:lineRule="auto"/>
              <w:jc w:val="center"/>
              <w:rPr>
                <w:rFonts w:ascii="Times New Roman" w:hAnsi="Times New Roman" w:cs="Times New Roman"/>
                <w:color w:val="000000"/>
              </w:rPr>
            </w:pPr>
          </w:p>
        </w:tc>
        <w:tc>
          <w:tcPr>
            <w:tcW w:w="1724" w:type="dxa"/>
            <w:noWrap/>
            <w:vAlign w:val="center"/>
            <w:hideMark/>
          </w:tcPr>
          <w:p w14:paraId="6740E19A" w14:textId="5428ED7D"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234780</w:t>
            </w:r>
          </w:p>
        </w:tc>
        <w:tc>
          <w:tcPr>
            <w:tcW w:w="1696" w:type="dxa"/>
            <w:noWrap/>
            <w:vAlign w:val="center"/>
            <w:hideMark/>
          </w:tcPr>
          <w:p w14:paraId="3F1BC935"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97580</w:t>
            </w:r>
          </w:p>
        </w:tc>
        <w:tc>
          <w:tcPr>
            <w:tcW w:w="1087" w:type="dxa"/>
            <w:noWrap/>
            <w:vAlign w:val="center"/>
            <w:hideMark/>
          </w:tcPr>
          <w:p w14:paraId="2802BE30" w14:textId="77777777" w:rsidR="00FA2371" w:rsidRPr="00C00008" w:rsidRDefault="00FA2371" w:rsidP="00853950">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0.71</w:t>
            </w:r>
          </w:p>
        </w:tc>
      </w:tr>
      <w:tr w:rsidR="00FA2371" w:rsidRPr="00C00008" w14:paraId="50C036C1" w14:textId="77777777" w:rsidTr="00FA2371">
        <w:trPr>
          <w:trHeight w:val="300"/>
          <w:jc w:val="center"/>
        </w:trPr>
        <w:tc>
          <w:tcPr>
            <w:tcW w:w="1462" w:type="dxa"/>
            <w:noWrap/>
            <w:vAlign w:val="center"/>
            <w:hideMark/>
          </w:tcPr>
          <w:p w14:paraId="19D6CBDA" w14:textId="77777777" w:rsidR="00FA2371" w:rsidRPr="00C00008" w:rsidRDefault="00FA2371" w:rsidP="00853950">
            <w:pPr>
              <w:pStyle w:val="NormalWeb"/>
              <w:spacing w:before="0" w:beforeAutospacing="0" w:after="0" w:afterAutospacing="0"/>
              <w:jc w:val="center"/>
            </w:pPr>
            <w:r w:rsidRPr="00C00008">
              <w:t>Control</w:t>
            </w:r>
          </w:p>
        </w:tc>
        <w:tc>
          <w:tcPr>
            <w:tcW w:w="2043" w:type="dxa"/>
            <w:noWrap/>
            <w:vAlign w:val="center"/>
            <w:hideMark/>
          </w:tcPr>
          <w:p w14:paraId="60572B9B"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50950</w:t>
            </w:r>
          </w:p>
        </w:tc>
        <w:tc>
          <w:tcPr>
            <w:tcW w:w="1724" w:type="dxa"/>
          </w:tcPr>
          <w:p w14:paraId="455FF338" w14:textId="77777777" w:rsidR="00FA2371" w:rsidRPr="00C00008" w:rsidRDefault="00FA2371" w:rsidP="00853950">
            <w:pPr>
              <w:spacing w:after="0" w:line="240" w:lineRule="auto"/>
              <w:jc w:val="center"/>
              <w:rPr>
                <w:rFonts w:ascii="Times New Roman" w:hAnsi="Times New Roman" w:cs="Times New Roman"/>
                <w:color w:val="000000"/>
              </w:rPr>
            </w:pPr>
          </w:p>
        </w:tc>
        <w:tc>
          <w:tcPr>
            <w:tcW w:w="1724" w:type="dxa"/>
            <w:noWrap/>
            <w:vAlign w:val="center"/>
            <w:hideMark/>
          </w:tcPr>
          <w:p w14:paraId="0B30C91B" w14:textId="4463D7F0"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56760</w:t>
            </w:r>
          </w:p>
        </w:tc>
        <w:tc>
          <w:tcPr>
            <w:tcW w:w="1696" w:type="dxa"/>
            <w:noWrap/>
            <w:vAlign w:val="center"/>
            <w:hideMark/>
          </w:tcPr>
          <w:p w14:paraId="699FC495" w14:textId="77777777" w:rsidR="00FA2371" w:rsidRPr="00C00008" w:rsidRDefault="00FA2371" w:rsidP="00853950">
            <w:pPr>
              <w:spacing w:after="0" w:line="240" w:lineRule="auto"/>
              <w:jc w:val="center"/>
              <w:rPr>
                <w:rFonts w:ascii="Times New Roman" w:hAnsi="Times New Roman" w:cs="Times New Roman"/>
                <w:color w:val="000000"/>
              </w:rPr>
            </w:pPr>
            <w:r w:rsidRPr="00C00008">
              <w:rPr>
                <w:rFonts w:ascii="Times New Roman" w:hAnsi="Times New Roman" w:cs="Times New Roman"/>
                <w:color w:val="000000"/>
              </w:rPr>
              <w:t>5810</w:t>
            </w:r>
          </w:p>
        </w:tc>
        <w:tc>
          <w:tcPr>
            <w:tcW w:w="1087" w:type="dxa"/>
            <w:noWrap/>
            <w:vAlign w:val="center"/>
            <w:hideMark/>
          </w:tcPr>
          <w:p w14:paraId="314575AD" w14:textId="77777777" w:rsidR="00FA2371" w:rsidRPr="00C00008" w:rsidRDefault="00FA2371" w:rsidP="00853950">
            <w:pPr>
              <w:spacing w:after="0" w:line="240" w:lineRule="auto"/>
              <w:jc w:val="center"/>
              <w:rPr>
                <w:rFonts w:ascii="Times New Roman" w:hAnsi="Times New Roman" w:cs="Times New Roman"/>
                <w:bCs/>
                <w:color w:val="000000"/>
              </w:rPr>
            </w:pPr>
            <w:r w:rsidRPr="00C00008">
              <w:rPr>
                <w:rFonts w:ascii="Times New Roman" w:hAnsi="Times New Roman" w:cs="Times New Roman"/>
                <w:bCs/>
                <w:color w:val="000000"/>
              </w:rPr>
              <w:t>-0.11</w:t>
            </w:r>
          </w:p>
        </w:tc>
      </w:tr>
    </w:tbl>
    <w:p w14:paraId="790159D5" w14:textId="77777777" w:rsidR="0010654D" w:rsidRPr="00C00008" w:rsidRDefault="0010654D" w:rsidP="0010654D">
      <w:pPr>
        <w:spacing w:after="0" w:line="240" w:lineRule="auto"/>
        <w:rPr>
          <w:rFonts w:ascii="Times New Roman" w:hAnsi="Times New Roman" w:cs="Times New Roman"/>
        </w:rPr>
      </w:pPr>
    </w:p>
    <w:p w14:paraId="43E04AC6" w14:textId="77777777" w:rsidR="0010654D" w:rsidRPr="00C00008" w:rsidRDefault="0010654D" w:rsidP="0010654D">
      <w:pPr>
        <w:spacing w:after="0" w:line="240" w:lineRule="auto"/>
        <w:rPr>
          <w:rFonts w:ascii="Times New Roman" w:hAnsi="Times New Roman" w:cs="Times New Roman"/>
        </w:rPr>
      </w:pPr>
      <w:r w:rsidRPr="00C00008">
        <w:rPr>
          <w:rFonts w:ascii="Times New Roman" w:hAnsi="Times New Roman" w:cs="Times New Roman"/>
        </w:rPr>
        <w:t xml:space="preserve">Cost of cane per kg </w:t>
      </w:r>
      <w:r w:rsidRPr="00C00008">
        <w:rPr>
          <w:rFonts w:ascii="Times New Roman" w:hAnsi="Times New Roman" w:cs="Times New Roman"/>
        </w:rPr>
        <w:tab/>
        <w:t xml:space="preserve"> =</w:t>
      </w:r>
      <w:r w:rsidRPr="00C00008">
        <w:rPr>
          <w:rFonts w:ascii="Times New Roman" w:hAnsi="Times New Roman" w:cs="Times New Roman"/>
        </w:rPr>
        <w:tab/>
        <w:t xml:space="preserve">Rs.3.0   </w:t>
      </w:r>
      <w:r w:rsidRPr="00C00008">
        <w:rPr>
          <w:rFonts w:ascii="Times New Roman" w:hAnsi="Times New Roman" w:cs="Times New Roman"/>
        </w:rPr>
        <w:tab/>
        <w:t>Cost of phosphorus per kg</w:t>
      </w:r>
      <w:r w:rsidRPr="00C00008">
        <w:rPr>
          <w:rFonts w:ascii="Times New Roman" w:hAnsi="Times New Roman" w:cs="Times New Roman"/>
        </w:rPr>
        <w:tab/>
        <w:t xml:space="preserve"> =</w:t>
      </w:r>
      <w:r w:rsidRPr="00C00008">
        <w:rPr>
          <w:rFonts w:ascii="Times New Roman" w:hAnsi="Times New Roman" w:cs="Times New Roman"/>
        </w:rPr>
        <w:tab/>
        <w:t>Rs.50.0</w:t>
      </w:r>
    </w:p>
    <w:p w14:paraId="0EA1544A" w14:textId="77777777" w:rsidR="0010654D" w:rsidRPr="00C00008" w:rsidRDefault="0010654D" w:rsidP="0010654D">
      <w:pPr>
        <w:spacing w:after="0" w:line="240" w:lineRule="auto"/>
        <w:rPr>
          <w:rFonts w:ascii="Times New Roman" w:hAnsi="Times New Roman" w:cs="Times New Roman"/>
        </w:rPr>
      </w:pPr>
      <w:r w:rsidRPr="00C00008">
        <w:rPr>
          <w:rFonts w:ascii="Times New Roman" w:hAnsi="Times New Roman" w:cs="Times New Roman"/>
        </w:rPr>
        <w:t>Cost of nitrogen per kg =</w:t>
      </w:r>
      <w:r w:rsidRPr="00C00008">
        <w:rPr>
          <w:rFonts w:ascii="Times New Roman" w:hAnsi="Times New Roman" w:cs="Times New Roman"/>
        </w:rPr>
        <w:tab/>
        <w:t xml:space="preserve">Rs.12.96       </w:t>
      </w:r>
      <w:r w:rsidRPr="00C00008">
        <w:rPr>
          <w:rFonts w:ascii="Times New Roman" w:hAnsi="Times New Roman" w:cs="Times New Roman"/>
        </w:rPr>
        <w:tab/>
        <w:t xml:space="preserve"> Cost of potassium per kg</w:t>
      </w:r>
      <w:r w:rsidRPr="00C00008">
        <w:rPr>
          <w:rFonts w:ascii="Times New Roman" w:hAnsi="Times New Roman" w:cs="Times New Roman"/>
        </w:rPr>
        <w:tab/>
        <w:t xml:space="preserve"> =</w:t>
      </w:r>
      <w:r w:rsidRPr="00C00008">
        <w:rPr>
          <w:rFonts w:ascii="Times New Roman" w:hAnsi="Times New Roman" w:cs="Times New Roman"/>
        </w:rPr>
        <w:tab/>
        <w:t>Rs.30.0</w:t>
      </w:r>
    </w:p>
    <w:p w14:paraId="5E2B63DD" w14:textId="77777777" w:rsidR="0010654D" w:rsidRPr="00C00008" w:rsidRDefault="0010654D" w:rsidP="0010654D">
      <w:pPr>
        <w:spacing w:after="0" w:line="240" w:lineRule="auto"/>
        <w:rPr>
          <w:rFonts w:ascii="Times New Roman" w:hAnsi="Times New Roman" w:cs="Times New Roman"/>
        </w:rPr>
      </w:pPr>
      <w:r w:rsidRPr="00C00008">
        <w:rPr>
          <w:rFonts w:ascii="Times New Roman" w:hAnsi="Times New Roman" w:cs="Times New Roman"/>
        </w:rPr>
        <w:t>Cost of FYM per ton</w:t>
      </w:r>
      <w:r w:rsidRPr="00C00008">
        <w:rPr>
          <w:rFonts w:ascii="Times New Roman" w:hAnsi="Times New Roman" w:cs="Times New Roman"/>
        </w:rPr>
        <w:tab/>
        <w:t>=</w:t>
      </w:r>
      <w:r w:rsidRPr="00C00008">
        <w:rPr>
          <w:rFonts w:ascii="Times New Roman" w:hAnsi="Times New Roman" w:cs="Times New Roman"/>
        </w:rPr>
        <w:tab/>
        <w:t>Rs.800.00</w:t>
      </w:r>
    </w:p>
    <w:p w14:paraId="41A2EBFA" w14:textId="77777777" w:rsidR="0010654D" w:rsidRPr="00C00008" w:rsidRDefault="0010654D" w:rsidP="0010654D">
      <w:pPr>
        <w:jc w:val="both"/>
        <w:rPr>
          <w:rFonts w:ascii="Times New Roman" w:hAnsi="Times New Roman" w:cs="Times New Roman"/>
          <w:b/>
          <w:bCs/>
        </w:rPr>
      </w:pPr>
    </w:p>
    <w:p w14:paraId="5F740CF1" w14:textId="77777777" w:rsidR="00FA2371" w:rsidRPr="00C00008" w:rsidRDefault="00FA2371" w:rsidP="00FA2371">
      <w:pPr>
        <w:jc w:val="both"/>
        <w:rPr>
          <w:rFonts w:ascii="Times New Roman" w:hAnsi="Times New Roman" w:cs="Times New Roman"/>
          <w:b/>
          <w:bCs/>
        </w:rPr>
      </w:pPr>
      <w:r>
        <w:rPr>
          <w:rFonts w:ascii="Times New Roman" w:hAnsi="Times New Roman" w:cs="Times New Roman"/>
          <w:b/>
          <w:bCs/>
        </w:rPr>
        <w:t xml:space="preserve">4. </w:t>
      </w:r>
      <w:r w:rsidRPr="00C00008">
        <w:rPr>
          <w:rFonts w:ascii="Times New Roman" w:hAnsi="Times New Roman" w:cs="Times New Roman"/>
          <w:b/>
          <w:bCs/>
        </w:rPr>
        <w:t>Conclusion</w:t>
      </w:r>
    </w:p>
    <w:p w14:paraId="02216A52" w14:textId="77777777" w:rsidR="00FA2371" w:rsidRPr="00E73F8E" w:rsidRDefault="00FA2371" w:rsidP="00FA2371">
      <w:pPr>
        <w:autoSpaceDE w:val="0"/>
        <w:autoSpaceDN w:val="0"/>
        <w:adjustRightInd w:val="0"/>
        <w:ind w:firstLine="612"/>
        <w:jc w:val="both"/>
        <w:rPr>
          <w:rFonts w:ascii="Times New Roman" w:hAnsi="Times New Roman" w:cs="Times New Roman"/>
        </w:rPr>
      </w:pPr>
      <w:r w:rsidRPr="00BC54FC">
        <w:rPr>
          <w:rFonts w:ascii="Times New Roman" w:hAnsi="Times New Roman" w:cs="Times New Roman"/>
        </w:rPr>
        <w:t>The study revealed that organic sugarcane farming recorded a lower benefit–cost ratio compared to inorganic farming. The higher cost of cultivation in organic systems is mainly attributed to the purchase of organic inputs. However, if farmers are able to produce organic manures on their own farms at minimal or no cost, the overall expenditure can be significantly reduced. Under such conditions, coupled with the premium price often received for organic produce, organic sugarcane cultivation can become economically profitable.</w:t>
      </w:r>
    </w:p>
    <w:p w14:paraId="6F6CC29D" w14:textId="77777777" w:rsidR="00FA2371" w:rsidRDefault="00FA2371" w:rsidP="00BF476F">
      <w:pPr>
        <w:jc w:val="both"/>
        <w:rPr>
          <w:rFonts w:ascii="Times New Roman" w:hAnsi="Times New Roman" w:cs="Times New Roman"/>
          <w:b/>
          <w:bCs/>
        </w:rPr>
      </w:pPr>
    </w:p>
    <w:p w14:paraId="66B8ED4A" w14:textId="77777777" w:rsidR="00FA2371" w:rsidRDefault="00FA2371" w:rsidP="00BF476F">
      <w:pPr>
        <w:jc w:val="both"/>
        <w:rPr>
          <w:rFonts w:ascii="Times New Roman" w:hAnsi="Times New Roman" w:cs="Times New Roman"/>
          <w:b/>
          <w:bCs/>
        </w:rPr>
      </w:pPr>
    </w:p>
    <w:p w14:paraId="0D806A34" w14:textId="3A72F1F4" w:rsidR="0081768A" w:rsidRPr="00C00008" w:rsidRDefault="00BF476F" w:rsidP="00BF476F">
      <w:pPr>
        <w:jc w:val="both"/>
        <w:rPr>
          <w:rFonts w:ascii="Times New Roman" w:hAnsi="Times New Roman" w:cs="Times New Roman"/>
          <w:b/>
          <w:bCs/>
        </w:rPr>
      </w:pPr>
      <w:r w:rsidRPr="00C00008">
        <w:rPr>
          <w:rFonts w:ascii="Times New Roman" w:hAnsi="Times New Roman" w:cs="Times New Roman"/>
          <w:b/>
          <w:bCs/>
        </w:rPr>
        <w:t xml:space="preserve">References </w:t>
      </w:r>
    </w:p>
    <w:p w14:paraId="22C3F0A7"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Abhiram, T., Reddy, K.P.C., Rao, S.S. and Naik, B.S. (2025). Effect of integrated nutrient management on productivity and nutrient use efficiency of sugarcane. </w:t>
      </w:r>
      <w:r w:rsidRPr="005C4197">
        <w:rPr>
          <w:rFonts w:ascii="Times New Roman" w:hAnsi="Times New Roman" w:cs="Times New Roman"/>
          <w:i/>
          <w:iCs/>
        </w:rPr>
        <w:t>Journal of Sugarcane Research</w:t>
      </w:r>
      <w:r w:rsidRPr="005C4197">
        <w:rPr>
          <w:rFonts w:ascii="Times New Roman" w:hAnsi="Times New Roman" w:cs="Times New Roman"/>
        </w:rPr>
        <w:t>, 15(1): 45–52.</w:t>
      </w:r>
    </w:p>
    <w:p w14:paraId="51F40052"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proofErr w:type="spellStart"/>
      <w:r w:rsidRPr="005C4197">
        <w:rPr>
          <w:rFonts w:ascii="Times New Roman" w:hAnsi="Times New Roman" w:cs="Times New Roman"/>
        </w:rPr>
        <w:t>Ganaie</w:t>
      </w:r>
      <w:proofErr w:type="spellEnd"/>
      <w:r w:rsidRPr="005C4197">
        <w:rPr>
          <w:rFonts w:ascii="Times New Roman" w:hAnsi="Times New Roman" w:cs="Times New Roman"/>
        </w:rPr>
        <w:t xml:space="preserve">, A.Q., Bhat, M.A. and Dar, N.A. (2014). Influence of organic and inorganic fertilizers on growth, yield and economics of sugarcane. </w:t>
      </w:r>
      <w:r w:rsidRPr="005C4197">
        <w:rPr>
          <w:rFonts w:ascii="Times New Roman" w:hAnsi="Times New Roman" w:cs="Times New Roman"/>
          <w:i/>
          <w:iCs/>
        </w:rPr>
        <w:t>Indian Journal of Agronomy</w:t>
      </w:r>
      <w:r w:rsidRPr="005C4197">
        <w:rPr>
          <w:rFonts w:ascii="Times New Roman" w:hAnsi="Times New Roman" w:cs="Times New Roman"/>
        </w:rPr>
        <w:t>, 59(3): 410–415.</w:t>
      </w:r>
    </w:p>
    <w:p w14:paraId="18BD38D6"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Gomez, K.A. and Gomez, A.A. (1984). </w:t>
      </w:r>
      <w:r w:rsidRPr="005C4197">
        <w:rPr>
          <w:rFonts w:ascii="Times New Roman" w:hAnsi="Times New Roman" w:cs="Times New Roman"/>
          <w:i/>
          <w:iCs/>
        </w:rPr>
        <w:t>Statistical Procedures for Agricultural Research</w:t>
      </w:r>
      <w:r w:rsidRPr="005C4197">
        <w:rPr>
          <w:rFonts w:ascii="Times New Roman" w:hAnsi="Times New Roman" w:cs="Times New Roman"/>
        </w:rPr>
        <w:t xml:space="preserve"> (2nd ed.). John Wiley and Sons, New York.</w:t>
      </w:r>
    </w:p>
    <w:p w14:paraId="2E3A2490"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Kamalakar, J., Reddy, T. P., Pavan Chandra Reddy, K., Vijaya Lakshmi, D., Sahana, F. and Ravinder, J. (2020). Nutrient status of sugarcane growing soils of Nizamabad district of Telangana State. </w:t>
      </w:r>
      <w:r w:rsidRPr="005C4197">
        <w:rPr>
          <w:rFonts w:ascii="Times New Roman" w:hAnsi="Times New Roman" w:cs="Times New Roman"/>
          <w:i/>
          <w:iCs/>
        </w:rPr>
        <w:t>International Research Journal of Pure and Applied Chemistry</w:t>
      </w:r>
      <w:r w:rsidRPr="005C4197">
        <w:rPr>
          <w:rFonts w:ascii="Times New Roman" w:hAnsi="Times New Roman" w:cs="Times New Roman"/>
        </w:rPr>
        <w:t xml:space="preserve">, 21(23): 1–9. </w:t>
      </w:r>
    </w:p>
    <w:p w14:paraId="07997258"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Kaur, H., Singh, G. and Gill, M.S. (2021). Effect of integrated nutrient management on yield and quality of sugarcane. </w:t>
      </w:r>
      <w:r w:rsidRPr="005C4197">
        <w:rPr>
          <w:rFonts w:ascii="Times New Roman" w:hAnsi="Times New Roman" w:cs="Times New Roman"/>
          <w:i/>
          <w:iCs/>
        </w:rPr>
        <w:t>Sugar Tech</w:t>
      </w:r>
      <w:r w:rsidRPr="005C4197">
        <w:rPr>
          <w:rFonts w:ascii="Times New Roman" w:hAnsi="Times New Roman" w:cs="Times New Roman"/>
        </w:rPr>
        <w:t>, 23(2): 356–362.</w:t>
      </w:r>
    </w:p>
    <w:p w14:paraId="24C45F21"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Kumar, V., Singh, R. and Yadav, R.L. (2022). Long-term effect of nutrient management on yield, soil fertility and sustainability of sugarcane. </w:t>
      </w:r>
      <w:r w:rsidRPr="005C4197">
        <w:rPr>
          <w:rFonts w:ascii="Times New Roman" w:hAnsi="Times New Roman" w:cs="Times New Roman"/>
          <w:i/>
          <w:iCs/>
        </w:rPr>
        <w:t>Journal of Plant Nutrition</w:t>
      </w:r>
      <w:r w:rsidRPr="005C4197">
        <w:rPr>
          <w:rFonts w:ascii="Times New Roman" w:hAnsi="Times New Roman" w:cs="Times New Roman"/>
        </w:rPr>
        <w:t>, 45(6): 890–902.</w:t>
      </w:r>
    </w:p>
    <w:p w14:paraId="1C824191"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Lima, J.R. and White, P.J. (2025). Role of biochar and organic amendments in improving soil health and crop productivity. </w:t>
      </w:r>
      <w:r w:rsidRPr="005C4197">
        <w:rPr>
          <w:rFonts w:ascii="Times New Roman" w:hAnsi="Times New Roman" w:cs="Times New Roman"/>
          <w:i/>
          <w:iCs/>
        </w:rPr>
        <w:t>Agriculture, Ecosystems &amp; Environment</w:t>
      </w:r>
      <w:r w:rsidRPr="005C4197">
        <w:rPr>
          <w:rFonts w:ascii="Times New Roman" w:hAnsi="Times New Roman" w:cs="Times New Roman"/>
        </w:rPr>
        <w:t>, 355: 108–120.</w:t>
      </w:r>
    </w:p>
    <w:p w14:paraId="4C1A2394"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Mahajan, G., Sharma, R. and Gupta, R. (2008). Effect of organic and inorganic nutrient sources on sugarcane yield and quality. </w:t>
      </w:r>
      <w:r w:rsidRPr="005C4197">
        <w:rPr>
          <w:rFonts w:ascii="Times New Roman" w:hAnsi="Times New Roman" w:cs="Times New Roman"/>
          <w:i/>
          <w:iCs/>
        </w:rPr>
        <w:t>Indian Sugar</w:t>
      </w:r>
      <w:r w:rsidRPr="005C4197">
        <w:rPr>
          <w:rFonts w:ascii="Times New Roman" w:hAnsi="Times New Roman" w:cs="Times New Roman"/>
        </w:rPr>
        <w:t>, 58(5): 25–30.</w:t>
      </w:r>
    </w:p>
    <w:p w14:paraId="21D3BEAF"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Ministry of Agriculture and Farmers Welfare (2025). </w:t>
      </w:r>
      <w:r w:rsidRPr="005C4197">
        <w:rPr>
          <w:rFonts w:ascii="Times New Roman" w:hAnsi="Times New Roman" w:cs="Times New Roman"/>
          <w:i/>
          <w:iCs/>
        </w:rPr>
        <w:t>Agricultural Statistics at a Glance</w:t>
      </w:r>
      <w:r w:rsidRPr="005C4197">
        <w:rPr>
          <w:rFonts w:ascii="Times New Roman" w:hAnsi="Times New Roman" w:cs="Times New Roman"/>
        </w:rPr>
        <w:t>. Government of India, New Delhi.</w:t>
      </w:r>
    </w:p>
    <w:p w14:paraId="5346F1DA"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lastRenderedPageBreak/>
        <w:t xml:space="preserve">Patil, S.L., Deshmukh, S.S. and Pawar, V.P. (2022). Influence of organic and integrated nutrient management on sugarcane quality parameters. </w:t>
      </w:r>
      <w:r w:rsidRPr="005C4197">
        <w:rPr>
          <w:rFonts w:ascii="Times New Roman" w:hAnsi="Times New Roman" w:cs="Times New Roman"/>
          <w:i/>
          <w:iCs/>
        </w:rPr>
        <w:t>International Journal of Chemical Studies</w:t>
      </w:r>
      <w:r w:rsidRPr="005C4197">
        <w:rPr>
          <w:rFonts w:ascii="Times New Roman" w:hAnsi="Times New Roman" w:cs="Times New Roman"/>
        </w:rPr>
        <w:t>, 10(2): 145–149.</w:t>
      </w:r>
    </w:p>
    <w:p w14:paraId="63B90D76"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Ramesh, P., Singh, M. and Rao, A.S. (2005). Organic farming: Its relevance to sustainable agriculture. </w:t>
      </w:r>
      <w:r w:rsidRPr="005C4197">
        <w:rPr>
          <w:rFonts w:ascii="Times New Roman" w:hAnsi="Times New Roman" w:cs="Times New Roman"/>
          <w:i/>
          <w:iCs/>
        </w:rPr>
        <w:t>Current Science</w:t>
      </w:r>
      <w:r w:rsidRPr="005C4197">
        <w:rPr>
          <w:rFonts w:ascii="Times New Roman" w:hAnsi="Times New Roman" w:cs="Times New Roman"/>
        </w:rPr>
        <w:t>, 88(4): 561–568.</w:t>
      </w:r>
    </w:p>
    <w:p w14:paraId="4D465CD4"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Ramesh, P., Singh, M., &amp; Rao, A.S. (2005). Organic farming: Its relevance to Indian agriculture. </w:t>
      </w:r>
      <w:r w:rsidRPr="005C4197">
        <w:rPr>
          <w:rFonts w:ascii="Times New Roman" w:hAnsi="Times New Roman" w:cs="Times New Roman"/>
          <w:i/>
          <w:iCs/>
        </w:rPr>
        <w:t>Current Science</w:t>
      </w:r>
      <w:r w:rsidRPr="005C4197">
        <w:rPr>
          <w:rFonts w:ascii="Times New Roman" w:hAnsi="Times New Roman" w:cs="Times New Roman"/>
        </w:rPr>
        <w:t>, 88(4): 561–568.</w:t>
      </w:r>
    </w:p>
    <w:p w14:paraId="1F641F9D"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Rao, P.S., Reddy, B.V. and Kumar, A. (2024). Effect of micronutrients on growth, yield and juice quality of sugarcane. </w:t>
      </w:r>
      <w:r w:rsidRPr="005C4197">
        <w:rPr>
          <w:rFonts w:ascii="Times New Roman" w:hAnsi="Times New Roman" w:cs="Times New Roman"/>
          <w:i/>
          <w:iCs/>
        </w:rPr>
        <w:t>Journal of Soil Science and Plant Nutrition</w:t>
      </w:r>
      <w:r w:rsidRPr="005C4197">
        <w:rPr>
          <w:rFonts w:ascii="Times New Roman" w:hAnsi="Times New Roman" w:cs="Times New Roman"/>
        </w:rPr>
        <w:t>, 24(1): 215–223.</w:t>
      </w:r>
    </w:p>
    <w:p w14:paraId="5F1D8168"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Reddy, T. P., Srijaya, T., Madhavi, A., Sahana, F., Vijaya Lakshmi, D. and Ravindhar, K. (2022). Validation of soil test and yield </w:t>
      </w:r>
      <w:proofErr w:type="gramStart"/>
      <w:r w:rsidRPr="005C4197">
        <w:rPr>
          <w:rFonts w:ascii="Times New Roman" w:hAnsi="Times New Roman" w:cs="Times New Roman"/>
        </w:rPr>
        <w:t>target based</w:t>
      </w:r>
      <w:proofErr w:type="gramEnd"/>
      <w:r w:rsidRPr="005C4197">
        <w:rPr>
          <w:rFonts w:ascii="Times New Roman" w:hAnsi="Times New Roman" w:cs="Times New Roman"/>
        </w:rPr>
        <w:t xml:space="preserve"> fertilizer prescription equation for sugarcane on </w:t>
      </w:r>
      <w:proofErr w:type="spellStart"/>
      <w:r w:rsidRPr="005C4197">
        <w:rPr>
          <w:rFonts w:ascii="Times New Roman" w:hAnsi="Times New Roman" w:cs="Times New Roman"/>
        </w:rPr>
        <w:t>Vertisols</w:t>
      </w:r>
      <w:proofErr w:type="spellEnd"/>
      <w:r w:rsidRPr="005C4197">
        <w:rPr>
          <w:rFonts w:ascii="Times New Roman" w:hAnsi="Times New Roman" w:cs="Times New Roman"/>
        </w:rPr>
        <w:t xml:space="preserve"> of NTZ. </w:t>
      </w:r>
      <w:r w:rsidRPr="005C4197">
        <w:rPr>
          <w:rFonts w:ascii="Times New Roman" w:hAnsi="Times New Roman" w:cs="Times New Roman"/>
          <w:i/>
          <w:iCs/>
        </w:rPr>
        <w:t>Biological Forum – An International Journal</w:t>
      </w:r>
      <w:r w:rsidRPr="005C4197">
        <w:rPr>
          <w:rFonts w:ascii="Times New Roman" w:hAnsi="Times New Roman" w:cs="Times New Roman"/>
        </w:rPr>
        <w:t xml:space="preserve">, 14(4a): 385–389. </w:t>
      </w:r>
    </w:p>
    <w:p w14:paraId="09FA558A"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Reddy, T. P., Vijaya Lakshmi, D., Sahana, F., Swapna, N., Bharathi, Y., Eswar Reddy, G. and Rakesh, G. (2023). Nutrient requirement of pre-release sugarcane varieties in </w:t>
      </w:r>
      <w:proofErr w:type="spellStart"/>
      <w:r w:rsidRPr="005C4197">
        <w:rPr>
          <w:rFonts w:ascii="Times New Roman" w:hAnsi="Times New Roman" w:cs="Times New Roman"/>
        </w:rPr>
        <w:t>Vertisols</w:t>
      </w:r>
      <w:proofErr w:type="spellEnd"/>
      <w:r w:rsidRPr="005C4197">
        <w:rPr>
          <w:rFonts w:ascii="Times New Roman" w:hAnsi="Times New Roman" w:cs="Times New Roman"/>
        </w:rPr>
        <w:t xml:space="preserve"> of Northern Telangana Zone. </w:t>
      </w:r>
      <w:r w:rsidRPr="005C4197">
        <w:rPr>
          <w:rFonts w:ascii="Times New Roman" w:hAnsi="Times New Roman" w:cs="Times New Roman"/>
          <w:i/>
          <w:iCs/>
        </w:rPr>
        <w:t>International Journal of Plant &amp; Soil Science</w:t>
      </w:r>
      <w:r w:rsidRPr="005C4197">
        <w:rPr>
          <w:rFonts w:ascii="Times New Roman" w:hAnsi="Times New Roman" w:cs="Times New Roman"/>
        </w:rPr>
        <w:t xml:space="preserve">, 35(23): 494–499. </w:t>
      </w:r>
    </w:p>
    <w:p w14:paraId="63B0520B"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Reddy, T.P., Reddy, K.P.C., Kamalakar, J., and Bharathi, Y. (2016). Performance of sugarcane varieties for jaggery yield and quality in Telangana. </w:t>
      </w:r>
      <w:r w:rsidRPr="005C4197">
        <w:rPr>
          <w:rFonts w:ascii="Times New Roman" w:hAnsi="Times New Roman" w:cs="Times New Roman"/>
          <w:i/>
          <w:iCs/>
        </w:rPr>
        <w:t>Progressive Research – An International Journal</w:t>
      </w:r>
      <w:r w:rsidRPr="005C4197">
        <w:rPr>
          <w:rFonts w:ascii="Times New Roman" w:hAnsi="Times New Roman" w:cs="Times New Roman"/>
        </w:rPr>
        <w:t>, 11(VI): 2335–2338.</w:t>
      </w:r>
    </w:p>
    <w:p w14:paraId="7E4851B3"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Reddy, T.P., Srijaya, T., Madhavi, A., Sahana, F., Swapna, N., and Ravindhar, K. (2021). Validation of soil test based targeted yield equations for ratoon sugarcane on </w:t>
      </w:r>
      <w:proofErr w:type="spellStart"/>
      <w:r w:rsidRPr="005C4197">
        <w:rPr>
          <w:rFonts w:ascii="Times New Roman" w:hAnsi="Times New Roman" w:cs="Times New Roman"/>
        </w:rPr>
        <w:t>vertisols</w:t>
      </w:r>
      <w:proofErr w:type="spellEnd"/>
      <w:r w:rsidRPr="005C4197">
        <w:rPr>
          <w:rFonts w:ascii="Times New Roman" w:hAnsi="Times New Roman" w:cs="Times New Roman"/>
        </w:rPr>
        <w:t xml:space="preserve">. </w:t>
      </w:r>
      <w:r w:rsidRPr="005C4197">
        <w:rPr>
          <w:rFonts w:ascii="Times New Roman" w:hAnsi="Times New Roman" w:cs="Times New Roman"/>
          <w:i/>
          <w:iCs/>
        </w:rPr>
        <w:t>Chemical Engineering</w:t>
      </w:r>
      <w:r w:rsidRPr="005C4197">
        <w:rPr>
          <w:rFonts w:ascii="Times New Roman" w:hAnsi="Times New Roman" w:cs="Times New Roman"/>
        </w:rPr>
        <w:t>, 2(4): 29–31.</w:t>
      </w:r>
    </w:p>
    <w:p w14:paraId="37733AD6"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Sharma, R., Singh, K. and Kumar, A. (2013). Long-term effect of organic farming on soil health and crop productivity. </w:t>
      </w:r>
      <w:r w:rsidRPr="005C4197">
        <w:rPr>
          <w:rFonts w:ascii="Times New Roman" w:hAnsi="Times New Roman" w:cs="Times New Roman"/>
          <w:i/>
          <w:iCs/>
        </w:rPr>
        <w:t>Indian Journal of Agricultural Sciences</w:t>
      </w:r>
      <w:r w:rsidRPr="005C4197">
        <w:rPr>
          <w:rFonts w:ascii="Times New Roman" w:hAnsi="Times New Roman" w:cs="Times New Roman"/>
        </w:rPr>
        <w:t>, 83(3): 256–261.</w:t>
      </w:r>
    </w:p>
    <w:p w14:paraId="5AA4F27E"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Sharma, S., Verma, A. and Singh, P. (2023). Effect of organic nutrient sources on juice quality and sugar recovery in sugarcane. </w:t>
      </w:r>
      <w:r w:rsidRPr="005C4197">
        <w:rPr>
          <w:rFonts w:ascii="Times New Roman" w:hAnsi="Times New Roman" w:cs="Times New Roman"/>
          <w:i/>
          <w:iCs/>
        </w:rPr>
        <w:t>Sugar Tech</w:t>
      </w:r>
      <w:r w:rsidRPr="005C4197">
        <w:rPr>
          <w:rFonts w:ascii="Times New Roman" w:hAnsi="Times New Roman" w:cs="Times New Roman"/>
        </w:rPr>
        <w:t>, 25(1): 98–104.</w:t>
      </w:r>
    </w:p>
    <w:p w14:paraId="04F7A1F2"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Singh, A.K., Yadav, R.L. and Singh, S. (2020). Nutrient management for improving productivity and quality of sugarcane. </w:t>
      </w:r>
      <w:r w:rsidRPr="005C4197">
        <w:rPr>
          <w:rFonts w:ascii="Times New Roman" w:hAnsi="Times New Roman" w:cs="Times New Roman"/>
          <w:i/>
          <w:iCs/>
        </w:rPr>
        <w:t>Indian Journal of Agronomy</w:t>
      </w:r>
      <w:r w:rsidRPr="005C4197">
        <w:rPr>
          <w:rFonts w:ascii="Times New Roman" w:hAnsi="Times New Roman" w:cs="Times New Roman"/>
        </w:rPr>
        <w:t>, 65(2): 220–225.</w:t>
      </w:r>
    </w:p>
    <w:p w14:paraId="2B0C700C"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Singh, P., Kumar, V. and Singh, R. (2021). Effect of long-term fertilization on yield and soil properties under sugarcane cultivation. </w:t>
      </w:r>
      <w:r w:rsidRPr="005C4197">
        <w:rPr>
          <w:rFonts w:ascii="Times New Roman" w:hAnsi="Times New Roman" w:cs="Times New Roman"/>
          <w:i/>
          <w:iCs/>
        </w:rPr>
        <w:t>Journal of Plant Nutrition</w:t>
      </w:r>
      <w:r w:rsidRPr="005C4197">
        <w:rPr>
          <w:rFonts w:ascii="Times New Roman" w:hAnsi="Times New Roman" w:cs="Times New Roman"/>
        </w:rPr>
        <w:t>, 44(10): 1505–1516.</w:t>
      </w:r>
    </w:p>
    <w:p w14:paraId="17333981"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Singh, R. and Kumar, S. (2017). Integrated nutrient management in sugarcane: A review. </w:t>
      </w:r>
      <w:r w:rsidRPr="005C4197">
        <w:rPr>
          <w:rFonts w:ascii="Times New Roman" w:hAnsi="Times New Roman" w:cs="Times New Roman"/>
          <w:i/>
          <w:iCs/>
        </w:rPr>
        <w:t>Agricultural Reviews</w:t>
      </w:r>
      <w:r w:rsidRPr="005C4197">
        <w:rPr>
          <w:rFonts w:ascii="Times New Roman" w:hAnsi="Times New Roman" w:cs="Times New Roman"/>
        </w:rPr>
        <w:t>, 38(3): 202–208.</w:t>
      </w:r>
    </w:p>
    <w:p w14:paraId="2331C5BC"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Yadav, R.L., Kumar, V. and Singh, B. (2022). Pooled analysis approach in long-term agricultural experiments. </w:t>
      </w:r>
      <w:r w:rsidRPr="005C4197">
        <w:rPr>
          <w:rFonts w:ascii="Times New Roman" w:hAnsi="Times New Roman" w:cs="Times New Roman"/>
          <w:i/>
          <w:iCs/>
        </w:rPr>
        <w:t>Indian Journal of Agricultural Sciences</w:t>
      </w:r>
      <w:r w:rsidRPr="005C4197">
        <w:rPr>
          <w:rFonts w:ascii="Times New Roman" w:hAnsi="Times New Roman" w:cs="Times New Roman"/>
        </w:rPr>
        <w:t>, 92(5): 567–572.</w:t>
      </w:r>
    </w:p>
    <w:p w14:paraId="477B75CB" w14:textId="77777777" w:rsidR="003571ED" w:rsidRPr="005C4197" w:rsidRDefault="003571ED" w:rsidP="0071663B">
      <w:pPr>
        <w:pStyle w:val="ListParagraph"/>
        <w:numPr>
          <w:ilvl w:val="0"/>
          <w:numId w:val="12"/>
        </w:numPr>
        <w:spacing w:before="120" w:after="120" w:line="240" w:lineRule="auto"/>
        <w:contextualSpacing w:val="0"/>
        <w:jc w:val="both"/>
        <w:rPr>
          <w:rFonts w:ascii="Times New Roman" w:hAnsi="Times New Roman" w:cs="Times New Roman"/>
        </w:rPr>
      </w:pPr>
      <w:r w:rsidRPr="005C4197">
        <w:rPr>
          <w:rFonts w:ascii="Times New Roman" w:hAnsi="Times New Roman" w:cs="Times New Roman"/>
        </w:rPr>
        <w:t xml:space="preserve">Zia, M., Khan, I. and Ali, S. (2025). Enhancing nutrient use efficiency and productivity of sugarcane through integrated nutrient management. </w:t>
      </w:r>
      <w:r w:rsidRPr="005C4197">
        <w:rPr>
          <w:rFonts w:ascii="Times New Roman" w:hAnsi="Times New Roman" w:cs="Times New Roman"/>
          <w:i/>
          <w:iCs/>
        </w:rPr>
        <w:t>Field Crops Research</w:t>
      </w:r>
      <w:r w:rsidRPr="005C4197">
        <w:rPr>
          <w:rFonts w:ascii="Times New Roman" w:hAnsi="Times New Roman" w:cs="Times New Roman"/>
        </w:rPr>
        <w:t>, 310: 109–118.</w:t>
      </w:r>
    </w:p>
    <w:p w14:paraId="4FBFF761" w14:textId="77777777" w:rsidR="005C4197" w:rsidRDefault="005C4197" w:rsidP="0071663B">
      <w:pPr>
        <w:spacing w:before="120" w:after="120" w:line="240" w:lineRule="auto"/>
        <w:ind w:left="720" w:hanging="720"/>
        <w:jc w:val="both"/>
        <w:rPr>
          <w:rFonts w:ascii="Times New Roman" w:hAnsi="Times New Roman" w:cs="Times New Roman"/>
        </w:rPr>
      </w:pPr>
    </w:p>
    <w:p w14:paraId="2455BC1D" w14:textId="77777777" w:rsidR="005C4197" w:rsidRPr="00102494" w:rsidRDefault="005C4197" w:rsidP="003571ED">
      <w:pPr>
        <w:spacing w:before="120" w:line="240" w:lineRule="auto"/>
        <w:ind w:left="720" w:hanging="720"/>
        <w:jc w:val="both"/>
        <w:rPr>
          <w:rFonts w:ascii="Times New Roman" w:hAnsi="Times New Roman" w:cs="Times New Roman"/>
        </w:rPr>
      </w:pPr>
    </w:p>
    <w:p w14:paraId="68117DDE" w14:textId="77777777" w:rsidR="00595350" w:rsidRPr="00C00008" w:rsidRDefault="00595350" w:rsidP="00BF476F">
      <w:pPr>
        <w:jc w:val="both"/>
        <w:rPr>
          <w:rFonts w:ascii="Times New Roman" w:hAnsi="Times New Roman" w:cs="Times New Roman"/>
        </w:rPr>
      </w:pPr>
    </w:p>
    <w:sectPr w:rsidR="00595350" w:rsidRPr="00C000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14E8" w14:textId="77777777" w:rsidR="000B0ED0" w:rsidRDefault="000B0ED0" w:rsidP="009D0AFD">
      <w:pPr>
        <w:spacing w:after="0" w:line="240" w:lineRule="auto"/>
      </w:pPr>
      <w:r>
        <w:separator/>
      </w:r>
    </w:p>
  </w:endnote>
  <w:endnote w:type="continuationSeparator" w:id="0">
    <w:p w14:paraId="75C958F3" w14:textId="77777777" w:rsidR="000B0ED0" w:rsidRDefault="000B0ED0" w:rsidP="009D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464" w14:textId="77777777" w:rsidR="009D0AFD" w:rsidRDefault="009D0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610B" w14:textId="77777777" w:rsidR="009D0AFD" w:rsidRDefault="009D0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409" w14:textId="77777777" w:rsidR="009D0AFD" w:rsidRDefault="009D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A0B5" w14:textId="77777777" w:rsidR="000B0ED0" w:rsidRDefault="000B0ED0" w:rsidP="009D0AFD">
      <w:pPr>
        <w:spacing w:after="0" w:line="240" w:lineRule="auto"/>
      </w:pPr>
      <w:r>
        <w:separator/>
      </w:r>
    </w:p>
  </w:footnote>
  <w:footnote w:type="continuationSeparator" w:id="0">
    <w:p w14:paraId="369F2126" w14:textId="77777777" w:rsidR="000B0ED0" w:rsidRDefault="000B0ED0" w:rsidP="009D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A188" w14:textId="6492EC73" w:rsidR="009D0AFD" w:rsidRDefault="009D0AFD">
    <w:pPr>
      <w:pStyle w:val="Header"/>
    </w:pPr>
    <w:r>
      <w:rPr>
        <w:noProof/>
      </w:rPr>
      <w:pict w14:anchorId="7C1C4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C89A" w14:textId="7B92E75E" w:rsidR="009D0AFD" w:rsidRDefault="009D0AFD">
    <w:pPr>
      <w:pStyle w:val="Header"/>
    </w:pPr>
    <w:r>
      <w:rPr>
        <w:noProof/>
      </w:rPr>
      <w:pict w14:anchorId="24556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C8C3" w14:textId="6B2D3576" w:rsidR="009D0AFD" w:rsidRDefault="009D0AFD">
    <w:pPr>
      <w:pStyle w:val="Header"/>
    </w:pPr>
    <w:r>
      <w:rPr>
        <w:noProof/>
      </w:rPr>
      <w:pict w14:anchorId="7BBF0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38B"/>
    <w:multiLevelType w:val="multilevel"/>
    <w:tmpl w:val="C5B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135CE"/>
    <w:multiLevelType w:val="multilevel"/>
    <w:tmpl w:val="C02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97E75"/>
    <w:multiLevelType w:val="multilevel"/>
    <w:tmpl w:val="463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D3B15"/>
    <w:multiLevelType w:val="hybridMultilevel"/>
    <w:tmpl w:val="93BC15E8"/>
    <w:lvl w:ilvl="0" w:tplc="AA46CA5A">
      <w:start w:val="1"/>
      <w:numFmt w:val="bullet"/>
      <w:lvlText w:val=""/>
      <w:lvlJc w:val="left"/>
      <w:pPr>
        <w:tabs>
          <w:tab w:val="num" w:pos="720"/>
        </w:tabs>
        <w:ind w:left="720" w:hanging="360"/>
      </w:pPr>
      <w:rPr>
        <w:rFonts w:ascii="Wingdings" w:hAnsi="Wingdings" w:hint="default"/>
      </w:rPr>
    </w:lvl>
    <w:lvl w:ilvl="1" w:tplc="67DA8E86" w:tentative="1">
      <w:start w:val="1"/>
      <w:numFmt w:val="bullet"/>
      <w:lvlText w:val=""/>
      <w:lvlJc w:val="left"/>
      <w:pPr>
        <w:tabs>
          <w:tab w:val="num" w:pos="1440"/>
        </w:tabs>
        <w:ind w:left="1440" w:hanging="360"/>
      </w:pPr>
      <w:rPr>
        <w:rFonts w:ascii="Wingdings" w:hAnsi="Wingdings" w:hint="default"/>
      </w:rPr>
    </w:lvl>
    <w:lvl w:ilvl="2" w:tplc="290885A4" w:tentative="1">
      <w:start w:val="1"/>
      <w:numFmt w:val="bullet"/>
      <w:lvlText w:val=""/>
      <w:lvlJc w:val="left"/>
      <w:pPr>
        <w:tabs>
          <w:tab w:val="num" w:pos="2160"/>
        </w:tabs>
        <w:ind w:left="2160" w:hanging="360"/>
      </w:pPr>
      <w:rPr>
        <w:rFonts w:ascii="Wingdings" w:hAnsi="Wingdings" w:hint="default"/>
      </w:rPr>
    </w:lvl>
    <w:lvl w:ilvl="3" w:tplc="65FCEC52" w:tentative="1">
      <w:start w:val="1"/>
      <w:numFmt w:val="bullet"/>
      <w:lvlText w:val=""/>
      <w:lvlJc w:val="left"/>
      <w:pPr>
        <w:tabs>
          <w:tab w:val="num" w:pos="2880"/>
        </w:tabs>
        <w:ind w:left="2880" w:hanging="360"/>
      </w:pPr>
      <w:rPr>
        <w:rFonts w:ascii="Wingdings" w:hAnsi="Wingdings" w:hint="default"/>
      </w:rPr>
    </w:lvl>
    <w:lvl w:ilvl="4" w:tplc="B9D25B52" w:tentative="1">
      <w:start w:val="1"/>
      <w:numFmt w:val="bullet"/>
      <w:lvlText w:val=""/>
      <w:lvlJc w:val="left"/>
      <w:pPr>
        <w:tabs>
          <w:tab w:val="num" w:pos="3600"/>
        </w:tabs>
        <w:ind w:left="3600" w:hanging="360"/>
      </w:pPr>
      <w:rPr>
        <w:rFonts w:ascii="Wingdings" w:hAnsi="Wingdings" w:hint="default"/>
      </w:rPr>
    </w:lvl>
    <w:lvl w:ilvl="5" w:tplc="C6461D42" w:tentative="1">
      <w:start w:val="1"/>
      <w:numFmt w:val="bullet"/>
      <w:lvlText w:val=""/>
      <w:lvlJc w:val="left"/>
      <w:pPr>
        <w:tabs>
          <w:tab w:val="num" w:pos="4320"/>
        </w:tabs>
        <w:ind w:left="4320" w:hanging="360"/>
      </w:pPr>
      <w:rPr>
        <w:rFonts w:ascii="Wingdings" w:hAnsi="Wingdings" w:hint="default"/>
      </w:rPr>
    </w:lvl>
    <w:lvl w:ilvl="6" w:tplc="E61A0AC4" w:tentative="1">
      <w:start w:val="1"/>
      <w:numFmt w:val="bullet"/>
      <w:lvlText w:val=""/>
      <w:lvlJc w:val="left"/>
      <w:pPr>
        <w:tabs>
          <w:tab w:val="num" w:pos="5040"/>
        </w:tabs>
        <w:ind w:left="5040" w:hanging="360"/>
      </w:pPr>
      <w:rPr>
        <w:rFonts w:ascii="Wingdings" w:hAnsi="Wingdings" w:hint="default"/>
      </w:rPr>
    </w:lvl>
    <w:lvl w:ilvl="7" w:tplc="5CAA6792" w:tentative="1">
      <w:start w:val="1"/>
      <w:numFmt w:val="bullet"/>
      <w:lvlText w:val=""/>
      <w:lvlJc w:val="left"/>
      <w:pPr>
        <w:tabs>
          <w:tab w:val="num" w:pos="5760"/>
        </w:tabs>
        <w:ind w:left="5760" w:hanging="360"/>
      </w:pPr>
      <w:rPr>
        <w:rFonts w:ascii="Wingdings" w:hAnsi="Wingdings" w:hint="default"/>
      </w:rPr>
    </w:lvl>
    <w:lvl w:ilvl="8" w:tplc="DE32D0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F4C44"/>
    <w:multiLevelType w:val="hybridMultilevel"/>
    <w:tmpl w:val="FAFAF2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11664B"/>
    <w:multiLevelType w:val="multilevel"/>
    <w:tmpl w:val="0C2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537C5"/>
    <w:multiLevelType w:val="hybridMultilevel"/>
    <w:tmpl w:val="8AF2F282"/>
    <w:lvl w:ilvl="0" w:tplc="04FEC354">
      <w:start w:val="1"/>
      <w:numFmt w:val="bullet"/>
      <w:lvlText w:val=""/>
      <w:lvlJc w:val="left"/>
      <w:pPr>
        <w:tabs>
          <w:tab w:val="num" w:pos="720"/>
        </w:tabs>
        <w:ind w:left="720" w:hanging="360"/>
      </w:pPr>
      <w:rPr>
        <w:rFonts w:ascii="Wingdings" w:hAnsi="Wingdings" w:hint="default"/>
      </w:rPr>
    </w:lvl>
    <w:lvl w:ilvl="1" w:tplc="E2E87052" w:tentative="1">
      <w:start w:val="1"/>
      <w:numFmt w:val="bullet"/>
      <w:lvlText w:val=""/>
      <w:lvlJc w:val="left"/>
      <w:pPr>
        <w:tabs>
          <w:tab w:val="num" w:pos="1440"/>
        </w:tabs>
        <w:ind w:left="1440" w:hanging="360"/>
      </w:pPr>
      <w:rPr>
        <w:rFonts w:ascii="Wingdings" w:hAnsi="Wingdings" w:hint="default"/>
      </w:rPr>
    </w:lvl>
    <w:lvl w:ilvl="2" w:tplc="7A6AA7DC" w:tentative="1">
      <w:start w:val="1"/>
      <w:numFmt w:val="bullet"/>
      <w:lvlText w:val=""/>
      <w:lvlJc w:val="left"/>
      <w:pPr>
        <w:tabs>
          <w:tab w:val="num" w:pos="2160"/>
        </w:tabs>
        <w:ind w:left="2160" w:hanging="360"/>
      </w:pPr>
      <w:rPr>
        <w:rFonts w:ascii="Wingdings" w:hAnsi="Wingdings" w:hint="default"/>
      </w:rPr>
    </w:lvl>
    <w:lvl w:ilvl="3" w:tplc="4976890E" w:tentative="1">
      <w:start w:val="1"/>
      <w:numFmt w:val="bullet"/>
      <w:lvlText w:val=""/>
      <w:lvlJc w:val="left"/>
      <w:pPr>
        <w:tabs>
          <w:tab w:val="num" w:pos="2880"/>
        </w:tabs>
        <w:ind w:left="2880" w:hanging="360"/>
      </w:pPr>
      <w:rPr>
        <w:rFonts w:ascii="Wingdings" w:hAnsi="Wingdings" w:hint="default"/>
      </w:rPr>
    </w:lvl>
    <w:lvl w:ilvl="4" w:tplc="453443D8" w:tentative="1">
      <w:start w:val="1"/>
      <w:numFmt w:val="bullet"/>
      <w:lvlText w:val=""/>
      <w:lvlJc w:val="left"/>
      <w:pPr>
        <w:tabs>
          <w:tab w:val="num" w:pos="3600"/>
        </w:tabs>
        <w:ind w:left="3600" w:hanging="360"/>
      </w:pPr>
      <w:rPr>
        <w:rFonts w:ascii="Wingdings" w:hAnsi="Wingdings" w:hint="default"/>
      </w:rPr>
    </w:lvl>
    <w:lvl w:ilvl="5" w:tplc="195AF842" w:tentative="1">
      <w:start w:val="1"/>
      <w:numFmt w:val="bullet"/>
      <w:lvlText w:val=""/>
      <w:lvlJc w:val="left"/>
      <w:pPr>
        <w:tabs>
          <w:tab w:val="num" w:pos="4320"/>
        </w:tabs>
        <w:ind w:left="4320" w:hanging="360"/>
      </w:pPr>
      <w:rPr>
        <w:rFonts w:ascii="Wingdings" w:hAnsi="Wingdings" w:hint="default"/>
      </w:rPr>
    </w:lvl>
    <w:lvl w:ilvl="6" w:tplc="C6E84B6A" w:tentative="1">
      <w:start w:val="1"/>
      <w:numFmt w:val="bullet"/>
      <w:lvlText w:val=""/>
      <w:lvlJc w:val="left"/>
      <w:pPr>
        <w:tabs>
          <w:tab w:val="num" w:pos="5040"/>
        </w:tabs>
        <w:ind w:left="5040" w:hanging="360"/>
      </w:pPr>
      <w:rPr>
        <w:rFonts w:ascii="Wingdings" w:hAnsi="Wingdings" w:hint="default"/>
      </w:rPr>
    </w:lvl>
    <w:lvl w:ilvl="7" w:tplc="8B5CB6AE" w:tentative="1">
      <w:start w:val="1"/>
      <w:numFmt w:val="bullet"/>
      <w:lvlText w:val=""/>
      <w:lvlJc w:val="left"/>
      <w:pPr>
        <w:tabs>
          <w:tab w:val="num" w:pos="5760"/>
        </w:tabs>
        <w:ind w:left="5760" w:hanging="360"/>
      </w:pPr>
      <w:rPr>
        <w:rFonts w:ascii="Wingdings" w:hAnsi="Wingdings" w:hint="default"/>
      </w:rPr>
    </w:lvl>
    <w:lvl w:ilvl="8" w:tplc="B29C9D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DE7E15"/>
    <w:multiLevelType w:val="hybridMultilevel"/>
    <w:tmpl w:val="89ACF384"/>
    <w:lvl w:ilvl="0" w:tplc="C7A6DB4C">
      <w:start w:val="1"/>
      <w:numFmt w:val="bullet"/>
      <w:lvlText w:val=""/>
      <w:lvlJc w:val="left"/>
      <w:pPr>
        <w:tabs>
          <w:tab w:val="num" w:pos="720"/>
        </w:tabs>
        <w:ind w:left="720" w:hanging="360"/>
      </w:pPr>
      <w:rPr>
        <w:rFonts w:ascii="Wingdings" w:hAnsi="Wingdings" w:hint="default"/>
      </w:rPr>
    </w:lvl>
    <w:lvl w:ilvl="1" w:tplc="9C66A0A2" w:tentative="1">
      <w:start w:val="1"/>
      <w:numFmt w:val="bullet"/>
      <w:lvlText w:val=""/>
      <w:lvlJc w:val="left"/>
      <w:pPr>
        <w:tabs>
          <w:tab w:val="num" w:pos="1440"/>
        </w:tabs>
        <w:ind w:left="1440" w:hanging="360"/>
      </w:pPr>
      <w:rPr>
        <w:rFonts w:ascii="Wingdings" w:hAnsi="Wingdings" w:hint="default"/>
      </w:rPr>
    </w:lvl>
    <w:lvl w:ilvl="2" w:tplc="14681A2C" w:tentative="1">
      <w:start w:val="1"/>
      <w:numFmt w:val="bullet"/>
      <w:lvlText w:val=""/>
      <w:lvlJc w:val="left"/>
      <w:pPr>
        <w:tabs>
          <w:tab w:val="num" w:pos="2160"/>
        </w:tabs>
        <w:ind w:left="2160" w:hanging="360"/>
      </w:pPr>
      <w:rPr>
        <w:rFonts w:ascii="Wingdings" w:hAnsi="Wingdings" w:hint="default"/>
      </w:rPr>
    </w:lvl>
    <w:lvl w:ilvl="3" w:tplc="695A3B6C" w:tentative="1">
      <w:start w:val="1"/>
      <w:numFmt w:val="bullet"/>
      <w:lvlText w:val=""/>
      <w:lvlJc w:val="left"/>
      <w:pPr>
        <w:tabs>
          <w:tab w:val="num" w:pos="2880"/>
        </w:tabs>
        <w:ind w:left="2880" w:hanging="360"/>
      </w:pPr>
      <w:rPr>
        <w:rFonts w:ascii="Wingdings" w:hAnsi="Wingdings" w:hint="default"/>
      </w:rPr>
    </w:lvl>
    <w:lvl w:ilvl="4" w:tplc="24146A1A" w:tentative="1">
      <w:start w:val="1"/>
      <w:numFmt w:val="bullet"/>
      <w:lvlText w:val=""/>
      <w:lvlJc w:val="left"/>
      <w:pPr>
        <w:tabs>
          <w:tab w:val="num" w:pos="3600"/>
        </w:tabs>
        <w:ind w:left="3600" w:hanging="360"/>
      </w:pPr>
      <w:rPr>
        <w:rFonts w:ascii="Wingdings" w:hAnsi="Wingdings" w:hint="default"/>
      </w:rPr>
    </w:lvl>
    <w:lvl w:ilvl="5" w:tplc="D8667352" w:tentative="1">
      <w:start w:val="1"/>
      <w:numFmt w:val="bullet"/>
      <w:lvlText w:val=""/>
      <w:lvlJc w:val="left"/>
      <w:pPr>
        <w:tabs>
          <w:tab w:val="num" w:pos="4320"/>
        </w:tabs>
        <w:ind w:left="4320" w:hanging="360"/>
      </w:pPr>
      <w:rPr>
        <w:rFonts w:ascii="Wingdings" w:hAnsi="Wingdings" w:hint="default"/>
      </w:rPr>
    </w:lvl>
    <w:lvl w:ilvl="6" w:tplc="821CF1DA" w:tentative="1">
      <w:start w:val="1"/>
      <w:numFmt w:val="bullet"/>
      <w:lvlText w:val=""/>
      <w:lvlJc w:val="left"/>
      <w:pPr>
        <w:tabs>
          <w:tab w:val="num" w:pos="5040"/>
        </w:tabs>
        <w:ind w:left="5040" w:hanging="360"/>
      </w:pPr>
      <w:rPr>
        <w:rFonts w:ascii="Wingdings" w:hAnsi="Wingdings" w:hint="default"/>
      </w:rPr>
    </w:lvl>
    <w:lvl w:ilvl="7" w:tplc="D0586C82" w:tentative="1">
      <w:start w:val="1"/>
      <w:numFmt w:val="bullet"/>
      <w:lvlText w:val=""/>
      <w:lvlJc w:val="left"/>
      <w:pPr>
        <w:tabs>
          <w:tab w:val="num" w:pos="5760"/>
        </w:tabs>
        <w:ind w:left="5760" w:hanging="360"/>
      </w:pPr>
      <w:rPr>
        <w:rFonts w:ascii="Wingdings" w:hAnsi="Wingdings" w:hint="default"/>
      </w:rPr>
    </w:lvl>
    <w:lvl w:ilvl="8" w:tplc="36CA49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D1766"/>
    <w:multiLevelType w:val="multilevel"/>
    <w:tmpl w:val="CAF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2161"/>
    <w:multiLevelType w:val="hybridMultilevel"/>
    <w:tmpl w:val="7870EB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704433"/>
    <w:multiLevelType w:val="multilevel"/>
    <w:tmpl w:val="203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01063"/>
    <w:multiLevelType w:val="multilevel"/>
    <w:tmpl w:val="B94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2"/>
  </w:num>
  <w:num w:numId="5">
    <w:abstractNumId w:val="5"/>
  </w:num>
  <w:num w:numId="6">
    <w:abstractNumId w:val="10"/>
  </w:num>
  <w:num w:numId="7">
    <w:abstractNumId w:val="7"/>
  </w:num>
  <w:num w:numId="8">
    <w:abstractNumId w:val="3"/>
  </w:num>
  <w:num w:numId="9">
    <w:abstractNumId w:val="6"/>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FA"/>
    <w:rsid w:val="000048F6"/>
    <w:rsid w:val="00016FC9"/>
    <w:rsid w:val="00036ABC"/>
    <w:rsid w:val="0005223B"/>
    <w:rsid w:val="000814BA"/>
    <w:rsid w:val="00084C51"/>
    <w:rsid w:val="000900B0"/>
    <w:rsid w:val="000A3EEB"/>
    <w:rsid w:val="000B0ED0"/>
    <w:rsid w:val="000D3823"/>
    <w:rsid w:val="000F59B6"/>
    <w:rsid w:val="000F7C1F"/>
    <w:rsid w:val="00102494"/>
    <w:rsid w:val="0010654D"/>
    <w:rsid w:val="00106C44"/>
    <w:rsid w:val="0016041A"/>
    <w:rsid w:val="00171450"/>
    <w:rsid w:val="0017555D"/>
    <w:rsid w:val="001A70CD"/>
    <w:rsid w:val="001D243A"/>
    <w:rsid w:val="0026489F"/>
    <w:rsid w:val="002F3D26"/>
    <w:rsid w:val="0035427A"/>
    <w:rsid w:val="00356302"/>
    <w:rsid w:val="003571ED"/>
    <w:rsid w:val="00374995"/>
    <w:rsid w:val="00394381"/>
    <w:rsid w:val="003D1442"/>
    <w:rsid w:val="003D788C"/>
    <w:rsid w:val="00404A8C"/>
    <w:rsid w:val="00482FFB"/>
    <w:rsid w:val="004B0A04"/>
    <w:rsid w:val="004B4C57"/>
    <w:rsid w:val="004D15BB"/>
    <w:rsid w:val="004D29F0"/>
    <w:rsid w:val="004E09C1"/>
    <w:rsid w:val="005122AC"/>
    <w:rsid w:val="00513BF0"/>
    <w:rsid w:val="00524BA7"/>
    <w:rsid w:val="00524D7E"/>
    <w:rsid w:val="00530149"/>
    <w:rsid w:val="005332C4"/>
    <w:rsid w:val="00554E5D"/>
    <w:rsid w:val="005573AC"/>
    <w:rsid w:val="0057592E"/>
    <w:rsid w:val="00582DA2"/>
    <w:rsid w:val="005874DF"/>
    <w:rsid w:val="00595350"/>
    <w:rsid w:val="005A0549"/>
    <w:rsid w:val="005C011A"/>
    <w:rsid w:val="005C4197"/>
    <w:rsid w:val="005C7330"/>
    <w:rsid w:val="005D0968"/>
    <w:rsid w:val="005D1B47"/>
    <w:rsid w:val="005E1705"/>
    <w:rsid w:val="005E251D"/>
    <w:rsid w:val="005E2DFD"/>
    <w:rsid w:val="0061366A"/>
    <w:rsid w:val="00633E3F"/>
    <w:rsid w:val="00640BCF"/>
    <w:rsid w:val="006450FA"/>
    <w:rsid w:val="006B1597"/>
    <w:rsid w:val="006B2185"/>
    <w:rsid w:val="006F004B"/>
    <w:rsid w:val="006F5D36"/>
    <w:rsid w:val="006F6717"/>
    <w:rsid w:val="0071663B"/>
    <w:rsid w:val="00722BA2"/>
    <w:rsid w:val="00730049"/>
    <w:rsid w:val="007620E9"/>
    <w:rsid w:val="007A7241"/>
    <w:rsid w:val="007B64A8"/>
    <w:rsid w:val="007C2571"/>
    <w:rsid w:val="007F51BF"/>
    <w:rsid w:val="00811FAE"/>
    <w:rsid w:val="0081768A"/>
    <w:rsid w:val="008428F9"/>
    <w:rsid w:val="00845104"/>
    <w:rsid w:val="008C562D"/>
    <w:rsid w:val="008D0582"/>
    <w:rsid w:val="008F3256"/>
    <w:rsid w:val="0091696C"/>
    <w:rsid w:val="00923113"/>
    <w:rsid w:val="00941274"/>
    <w:rsid w:val="00942D47"/>
    <w:rsid w:val="009839CF"/>
    <w:rsid w:val="00986647"/>
    <w:rsid w:val="009D0AFD"/>
    <w:rsid w:val="009E061E"/>
    <w:rsid w:val="00A062F9"/>
    <w:rsid w:val="00A564CE"/>
    <w:rsid w:val="00A564D2"/>
    <w:rsid w:val="00A7283C"/>
    <w:rsid w:val="00A74114"/>
    <w:rsid w:val="00A84931"/>
    <w:rsid w:val="00AC63E6"/>
    <w:rsid w:val="00AD1B01"/>
    <w:rsid w:val="00AE508E"/>
    <w:rsid w:val="00B201A1"/>
    <w:rsid w:val="00B215D0"/>
    <w:rsid w:val="00B35648"/>
    <w:rsid w:val="00B36673"/>
    <w:rsid w:val="00B76065"/>
    <w:rsid w:val="00B76846"/>
    <w:rsid w:val="00B8744B"/>
    <w:rsid w:val="00BA56A5"/>
    <w:rsid w:val="00BB1347"/>
    <w:rsid w:val="00BC2E5E"/>
    <w:rsid w:val="00BC54FC"/>
    <w:rsid w:val="00BC5B07"/>
    <w:rsid w:val="00BF476F"/>
    <w:rsid w:val="00BF61B0"/>
    <w:rsid w:val="00C00008"/>
    <w:rsid w:val="00C06F11"/>
    <w:rsid w:val="00C107A7"/>
    <w:rsid w:val="00C2592B"/>
    <w:rsid w:val="00C61154"/>
    <w:rsid w:val="00C6738E"/>
    <w:rsid w:val="00C943A0"/>
    <w:rsid w:val="00CB236F"/>
    <w:rsid w:val="00CB28B4"/>
    <w:rsid w:val="00CC5ED2"/>
    <w:rsid w:val="00D10A9E"/>
    <w:rsid w:val="00D400D9"/>
    <w:rsid w:val="00D4660B"/>
    <w:rsid w:val="00D61376"/>
    <w:rsid w:val="00D70AC0"/>
    <w:rsid w:val="00D761F4"/>
    <w:rsid w:val="00D822F9"/>
    <w:rsid w:val="00D8459C"/>
    <w:rsid w:val="00D92CED"/>
    <w:rsid w:val="00DA0CC6"/>
    <w:rsid w:val="00DC67F8"/>
    <w:rsid w:val="00DE656F"/>
    <w:rsid w:val="00DF677E"/>
    <w:rsid w:val="00E4579B"/>
    <w:rsid w:val="00E47F24"/>
    <w:rsid w:val="00E50188"/>
    <w:rsid w:val="00E524F8"/>
    <w:rsid w:val="00E56421"/>
    <w:rsid w:val="00E94711"/>
    <w:rsid w:val="00E9658F"/>
    <w:rsid w:val="00E96C39"/>
    <w:rsid w:val="00EC1966"/>
    <w:rsid w:val="00ED00D7"/>
    <w:rsid w:val="00EF7DEA"/>
    <w:rsid w:val="00F03136"/>
    <w:rsid w:val="00F12FED"/>
    <w:rsid w:val="00F558B0"/>
    <w:rsid w:val="00F77C5B"/>
    <w:rsid w:val="00F804D5"/>
    <w:rsid w:val="00F83973"/>
    <w:rsid w:val="00F84009"/>
    <w:rsid w:val="00F8634C"/>
    <w:rsid w:val="00FA2371"/>
    <w:rsid w:val="00FB48DA"/>
    <w:rsid w:val="00FB5FA9"/>
    <w:rsid w:val="00FF5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C5633"/>
  <w15:chartTrackingRefBased/>
  <w15:docId w15:val="{4B761FFB-BFED-4339-BC99-88192114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0FA"/>
    <w:rPr>
      <w:rFonts w:eastAsiaTheme="majorEastAsia" w:cstheme="majorBidi"/>
      <w:color w:val="272727" w:themeColor="text1" w:themeTint="D8"/>
    </w:rPr>
  </w:style>
  <w:style w:type="paragraph" w:styleId="Title">
    <w:name w:val="Title"/>
    <w:basedOn w:val="Normal"/>
    <w:next w:val="Normal"/>
    <w:link w:val="TitleChar"/>
    <w:uiPriority w:val="10"/>
    <w:qFormat/>
    <w:rsid w:val="00645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0FA"/>
    <w:pPr>
      <w:spacing w:before="160"/>
      <w:jc w:val="center"/>
    </w:pPr>
    <w:rPr>
      <w:i/>
      <w:iCs/>
      <w:color w:val="404040" w:themeColor="text1" w:themeTint="BF"/>
    </w:rPr>
  </w:style>
  <w:style w:type="character" w:customStyle="1" w:styleId="QuoteChar">
    <w:name w:val="Quote Char"/>
    <w:basedOn w:val="DefaultParagraphFont"/>
    <w:link w:val="Quote"/>
    <w:uiPriority w:val="29"/>
    <w:rsid w:val="006450FA"/>
    <w:rPr>
      <w:i/>
      <w:iCs/>
      <w:color w:val="404040" w:themeColor="text1" w:themeTint="BF"/>
    </w:rPr>
  </w:style>
  <w:style w:type="paragraph" w:styleId="ListParagraph">
    <w:name w:val="List Paragraph"/>
    <w:basedOn w:val="Normal"/>
    <w:uiPriority w:val="34"/>
    <w:qFormat/>
    <w:rsid w:val="006450FA"/>
    <w:pPr>
      <w:ind w:left="720"/>
      <w:contextualSpacing/>
    </w:pPr>
  </w:style>
  <w:style w:type="character" w:styleId="IntenseEmphasis">
    <w:name w:val="Intense Emphasis"/>
    <w:basedOn w:val="DefaultParagraphFont"/>
    <w:uiPriority w:val="21"/>
    <w:qFormat/>
    <w:rsid w:val="006450FA"/>
    <w:rPr>
      <w:i/>
      <w:iCs/>
      <w:color w:val="0F4761" w:themeColor="accent1" w:themeShade="BF"/>
    </w:rPr>
  </w:style>
  <w:style w:type="paragraph" w:styleId="IntenseQuote">
    <w:name w:val="Intense Quote"/>
    <w:basedOn w:val="Normal"/>
    <w:next w:val="Normal"/>
    <w:link w:val="IntenseQuoteChar"/>
    <w:uiPriority w:val="30"/>
    <w:qFormat/>
    <w:rsid w:val="00645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0FA"/>
    <w:rPr>
      <w:i/>
      <w:iCs/>
      <w:color w:val="0F4761" w:themeColor="accent1" w:themeShade="BF"/>
    </w:rPr>
  </w:style>
  <w:style w:type="character" w:styleId="IntenseReference">
    <w:name w:val="Intense Reference"/>
    <w:basedOn w:val="DefaultParagraphFont"/>
    <w:uiPriority w:val="32"/>
    <w:qFormat/>
    <w:rsid w:val="006450FA"/>
    <w:rPr>
      <w:b/>
      <w:bCs/>
      <w:smallCaps/>
      <w:color w:val="0F4761" w:themeColor="accent1" w:themeShade="BF"/>
      <w:spacing w:val="5"/>
    </w:rPr>
  </w:style>
  <w:style w:type="paragraph" w:styleId="NormalWeb">
    <w:name w:val="Normal (Web)"/>
    <w:basedOn w:val="Normal"/>
    <w:uiPriority w:val="99"/>
    <w:unhideWhenUsed/>
    <w:rsid w:val="00BF61B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C2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43A"/>
    <w:rPr>
      <w:color w:val="467886" w:themeColor="hyperlink"/>
      <w:u w:val="single"/>
    </w:rPr>
  </w:style>
  <w:style w:type="character" w:styleId="UnresolvedMention">
    <w:name w:val="Unresolved Mention"/>
    <w:basedOn w:val="DefaultParagraphFont"/>
    <w:uiPriority w:val="99"/>
    <w:semiHidden/>
    <w:unhideWhenUsed/>
    <w:rsid w:val="001D243A"/>
    <w:rPr>
      <w:color w:val="605E5C"/>
      <w:shd w:val="clear" w:color="auto" w:fill="E1DFDD"/>
    </w:rPr>
  </w:style>
  <w:style w:type="paragraph" w:styleId="Header">
    <w:name w:val="header"/>
    <w:basedOn w:val="Normal"/>
    <w:link w:val="HeaderChar"/>
    <w:uiPriority w:val="99"/>
    <w:unhideWhenUsed/>
    <w:rsid w:val="009D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FD"/>
  </w:style>
  <w:style w:type="paragraph" w:styleId="Footer">
    <w:name w:val="footer"/>
    <w:basedOn w:val="Normal"/>
    <w:link w:val="FooterChar"/>
    <w:uiPriority w:val="99"/>
    <w:unhideWhenUsed/>
    <w:rsid w:val="009D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3280</Words>
  <Characters>18700</Characters>
  <Application>Microsoft Office Word</Application>
  <DocSecurity>0</DocSecurity>
  <Lines>155</Lines>
  <Paragraphs>43</Paragraphs>
  <ScaleCrop>false</ScaleCrop>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SDI 1084</cp:lastModifiedBy>
  <cp:revision>152</cp:revision>
  <dcterms:created xsi:type="dcterms:W3CDTF">2026-03-18T17:31:00Z</dcterms:created>
  <dcterms:modified xsi:type="dcterms:W3CDTF">2026-03-20T09:38:00Z</dcterms:modified>
</cp:coreProperties>
</file>