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9B5" w:rsidRDefault="00832689">
      <w:pPr>
        <w:jc w:val="both"/>
        <w:rPr>
          <w:rFonts w:ascii="Times New Roman" w:eastAsia="Times New Roman" w:hAnsi="Times New Roman" w:cs="Times New Roman"/>
          <w:b/>
          <w:bCs/>
          <w:sz w:val="24"/>
          <w:szCs w:val="24"/>
        </w:rPr>
      </w:pPr>
      <w:bookmarkStart w:id="0" w:name="_heading=h.fkbm2fkkhwo5" w:colFirst="0" w:colLast="0"/>
      <w:bookmarkEnd w:id="0"/>
      <w:r>
        <w:rPr>
          <w:rFonts w:ascii="Times New Roman" w:eastAsia="Times New Roman" w:hAnsi="Times New Roman" w:cs="Times New Roman"/>
          <w:b/>
          <w:bCs/>
          <w:sz w:val="24"/>
          <w:szCs w:val="24"/>
        </w:rPr>
        <w:t xml:space="preserve">Impact of the Farmer FIRST </w:t>
      </w:r>
      <w:proofErr w:type="spellStart"/>
      <w:r>
        <w:rPr>
          <w:rFonts w:ascii="Times New Roman" w:eastAsia="Times New Roman" w:hAnsi="Times New Roman" w:cs="Times New Roman"/>
          <w:b/>
          <w:bCs/>
          <w:sz w:val="24"/>
          <w:szCs w:val="24"/>
        </w:rPr>
        <w:t>Programme</w:t>
      </w:r>
      <w:proofErr w:type="spellEnd"/>
      <w:r>
        <w:rPr>
          <w:rFonts w:ascii="Times New Roman" w:eastAsia="Times New Roman" w:hAnsi="Times New Roman" w:cs="Times New Roman"/>
          <w:b/>
          <w:bCs/>
          <w:sz w:val="24"/>
          <w:szCs w:val="24"/>
        </w:rPr>
        <w:t xml:space="preserve"> on Socio-Economic and Psychological Characteristics of Farmers in Morena District, Madhya Pradesh</w:t>
      </w:r>
    </w:p>
    <w:p w:rsidR="00B339B5" w:rsidRDefault="00832689">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________________________________________________________________________</w:t>
      </w:r>
    </w:p>
    <w:p w:rsidR="00B339B5" w:rsidRDefault="00B339B5">
      <w:pPr>
        <w:spacing w:before="240" w:after="0" w:line="240" w:lineRule="auto"/>
        <w:jc w:val="center"/>
        <w:rPr>
          <w:rFonts w:ascii="Times New Roman" w:eastAsia="Times New Roman" w:hAnsi="Times New Roman" w:cs="Times New Roman"/>
          <w:b/>
          <w:bCs/>
        </w:rPr>
      </w:pPr>
      <w:bookmarkStart w:id="1" w:name="_GoBack"/>
      <w:bookmarkEnd w:id="1"/>
    </w:p>
    <w:p w:rsidR="00B339B5" w:rsidRDefault="00832689">
      <w:pPr>
        <w:spacing w:before="24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Abstract</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present study examined the socio-economic and psychologic</w:t>
      </w:r>
      <w:r>
        <w:rPr>
          <w:rFonts w:ascii="Times New Roman" w:eastAsia="Times New Roman" w:hAnsi="Times New Roman" w:cs="Times New Roman"/>
        </w:rPr>
        <w:t xml:space="preserve">al characteristics of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in Morena district of Madhya Pradesh. An ex-post facto research design was employed with a sample of 120 farmers comprising 60 beneficiaries and 60 non-beneficiaries. Data were</w:t>
      </w:r>
      <w:r>
        <w:rPr>
          <w:rFonts w:ascii="Times New Roman" w:eastAsia="Times New Roman" w:hAnsi="Times New Roman" w:cs="Times New Roman"/>
        </w:rPr>
        <w:t xml:space="preserve"> collected using a structured interview schedule and analyzed using mean and standard deviation methods. The findings revealed that FFP beneficiaries were relatively younger, better educated and possessed larger landholdings compared to non-beneficiaries. </w:t>
      </w:r>
      <w:r>
        <w:rPr>
          <w:rFonts w:ascii="Times New Roman" w:eastAsia="Times New Roman" w:hAnsi="Times New Roman" w:cs="Times New Roman"/>
        </w:rPr>
        <w:t xml:space="preserve">Beneficiaries also reported higher annual income, greater use of information sources, stronger extension contact and higher exposure to mass media. In terms of psychological attributes, beneficiaries showed higher levels of economic motivation, scientific </w:t>
      </w:r>
      <w:r>
        <w:rPr>
          <w:rFonts w:ascii="Times New Roman" w:eastAsia="Times New Roman" w:hAnsi="Times New Roman" w:cs="Times New Roman"/>
        </w:rPr>
        <w:t xml:space="preserve">orientation and risk-taking ability. The results indicate that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has contributed positively to improving farmers’ socio-economic conditions and strengthening their readiness to adopt innovative agricultural practices.</w:t>
      </w:r>
    </w:p>
    <w:p w:rsidR="00B339B5" w:rsidRDefault="00832689">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Keywords</w:t>
      </w:r>
      <w:r>
        <w:rPr>
          <w:rFonts w:ascii="Times New Roman" w:eastAsia="Times New Roman" w:hAnsi="Times New Roman" w:cs="Times New Roman"/>
        </w:rPr>
        <w:t>: Soc</w:t>
      </w:r>
      <w:r>
        <w:rPr>
          <w:rFonts w:ascii="Times New Roman" w:eastAsia="Times New Roman" w:hAnsi="Times New Roman" w:cs="Times New Roman"/>
        </w:rPr>
        <w:t xml:space="preserve">io-economic profile, Psychological attributes,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Integrated Farming System.</w:t>
      </w:r>
    </w:p>
    <w:p w:rsidR="00B339B5" w:rsidRDefault="00832689">
      <w:pPr>
        <w:spacing w:before="24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Introduction</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Agriculture remains a vital sector for livelihood security in rural India. The success of agricultural development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largely depends on </w:t>
      </w:r>
      <w:r>
        <w:rPr>
          <w:rFonts w:ascii="Times New Roman" w:eastAsia="Times New Roman" w:hAnsi="Times New Roman" w:cs="Times New Roman"/>
        </w:rPr>
        <w:t>the socio-economic and psychological characteristics of farmers. Factors such as age, education, landholding size, income level, access to information and extension contact influence farmers’ decision-making processes and their willingness to adopt improve</w:t>
      </w:r>
      <w:r>
        <w:rPr>
          <w:rFonts w:ascii="Times New Roman" w:eastAsia="Times New Roman" w:hAnsi="Times New Roman" w:cs="Times New Roman"/>
        </w:rPr>
        <w:t>d agricultural practices. Psychological attributes like economic motivation, scientific orientation and risk-taking ability also play an important role in determining the adoption of innovations in farming.</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To strengthen farmer-centered agricultural develo</w:t>
      </w:r>
      <w:r>
        <w:rPr>
          <w:rFonts w:ascii="Times New Roman" w:eastAsia="Times New Roman" w:hAnsi="Times New Roman" w:cs="Times New Roman"/>
        </w:rPr>
        <w:t xml:space="preserve">pment, the Indian Council of Agricultural Research (ICAR) launched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aims to reorient agricultural research and extension by placing farmers at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of innovation and technology dissemination. The acronym</w:t>
      </w:r>
      <w:r>
        <w:rPr>
          <w:rFonts w:ascii="Times New Roman" w:eastAsia="Times New Roman" w:hAnsi="Times New Roman" w:cs="Times New Roman"/>
        </w:rPr>
        <w:t xml:space="preserve"> “FIRST” represents Farm, Innovations, Resources, Science and Technology.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emphasizes participatory approaches, farmer–scientist interaction and location-specific technological interventions that integrate scientific knowledge with farmers’ pr</w:t>
      </w:r>
      <w:r>
        <w:rPr>
          <w:rFonts w:ascii="Times New Roman" w:eastAsia="Times New Roman" w:hAnsi="Times New Roman" w:cs="Times New Roman"/>
        </w:rPr>
        <w:t>actical experience.</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promotes integrated farming systems, capacity building, training and field demonstrations to improve farm productivity and livelihood security. By encouraging farmers’ participation in identifying problems and testing new technol</w:t>
      </w:r>
      <w:r>
        <w:rPr>
          <w:rFonts w:ascii="Times New Roman" w:eastAsia="Times New Roman" w:hAnsi="Times New Roman" w:cs="Times New Roman"/>
        </w:rPr>
        <w:t xml:space="preserve">ogies,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helps strengthen farmers’ knowledge, confidence and ability to adopt improved farming practices. Understanding the socio-economic background and psychological characteristics of farmers is therefore essential for assessing the effectiv</w:t>
      </w:r>
      <w:r>
        <w:rPr>
          <w:rFonts w:ascii="Times New Roman" w:eastAsia="Times New Roman" w:hAnsi="Times New Roman" w:cs="Times New Roman"/>
        </w:rPr>
        <w:t xml:space="preserve">eness of such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Morena district of Madhya Pradesh represents a region where agriculture is a major source of livelihood and farmers face diverse socio-economic challenges. Evaluating the impact of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FFP in such regions can provide v</w:t>
      </w:r>
      <w:r>
        <w:rPr>
          <w:rFonts w:ascii="Times New Roman" w:eastAsia="Times New Roman" w:hAnsi="Times New Roman" w:cs="Times New Roman"/>
        </w:rPr>
        <w:t>aluable insights for improving agricultural extension strategies and policy interventions.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Therefore, the present study was undertaken to analyze the socio-economic profile and psychological attributes of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 and to compare them with non-beneficiary farmers.</w:t>
      </w:r>
    </w:p>
    <w:p w:rsidR="00B339B5" w:rsidRDefault="00832689">
      <w:pPr>
        <w:spacing w:before="28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Research Methodology</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present study was conducted in Morena district of Madhya Pradesh to examine the socio-economic profile and psychological attributes of farmers </w:t>
      </w:r>
      <w:r>
        <w:rPr>
          <w:rFonts w:ascii="Times New Roman" w:eastAsia="Times New Roman" w:hAnsi="Times New Roman" w:cs="Times New Roman"/>
        </w:rPr>
        <w:t xml:space="preserve">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An ex-post facto research design was adopted for the study since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had already been implemented and the researchers had no control over the independent variables. </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Morena district was purposively selected</w:t>
      </w:r>
      <w:r>
        <w:rPr>
          <w:rFonts w:ascii="Times New Roman" w:eastAsia="Times New Roman" w:hAnsi="Times New Roman" w:cs="Times New Roman"/>
        </w:rPr>
        <w:t xml:space="preserve"> because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was actively implemented in the area. A total sample of 120 farmers was selected for the study. Out of these, 60 farmers were beneficiaries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and were selected based on their active participat</w:t>
      </w:r>
      <w:r>
        <w:rPr>
          <w:rFonts w:ascii="Times New Roman" w:eastAsia="Times New Roman" w:hAnsi="Times New Roman" w:cs="Times New Roman"/>
        </w:rPr>
        <w:t xml:space="preserve">ion in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activities. In addition, 60 non-beneficiary farmers were selected from the same villages to ensure similar socio-economic and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-ecological conditions for comparison.</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Primary data were collected using a pre-tested structured interview sc</w:t>
      </w:r>
      <w:r>
        <w:rPr>
          <w:rFonts w:ascii="Times New Roman" w:eastAsia="Times New Roman" w:hAnsi="Times New Roman" w:cs="Times New Roman"/>
        </w:rPr>
        <w:t>hedule through personal interviews with the selected respondents. The study included several independent variables such as age, education, landholding size, family size, Integrated Farming System (IFS) experience, annual income, information source utilizat</w:t>
      </w:r>
      <w:r>
        <w:rPr>
          <w:rFonts w:ascii="Times New Roman" w:eastAsia="Times New Roman" w:hAnsi="Times New Roman" w:cs="Times New Roman"/>
        </w:rPr>
        <w:t>ion, enterprise combination, extension contact and mass media exposure. Psychological variables such as economic motivation, scientific orientation and risk orientation were also considered for analysis.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collected data were classified, tabulated and analyzed using frequency, percentage and mean with standard deviation methods in order to compare the characteristics of beneficiary and non-beneficiary farmers. The results were presented in tables and int</w:t>
      </w:r>
      <w:r>
        <w:rPr>
          <w:rFonts w:ascii="Times New Roman" w:eastAsia="Times New Roman" w:hAnsi="Times New Roman" w:cs="Times New Roman"/>
        </w:rPr>
        <w:t>erpreted to understand the differences in socio-economic and psychological attributes between the two groups of respondents.</w:t>
      </w:r>
    </w:p>
    <w:p w:rsidR="00B339B5" w:rsidRDefault="0083268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Result and Discussion</w:t>
      </w:r>
    </w:p>
    <w:p w:rsidR="00B339B5" w:rsidRDefault="00832689">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socio-economic profile and psychological attributes of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are prese</w:t>
      </w:r>
      <w:r>
        <w:rPr>
          <w:rFonts w:ascii="Times New Roman" w:eastAsia="Times New Roman" w:hAnsi="Times New Roman" w:cs="Times New Roman"/>
        </w:rPr>
        <w:t>nted. The results highlight distinct differences between beneficiaries and non-beneficiaries.</w:t>
      </w:r>
    </w:p>
    <w:p w:rsidR="00B339B5" w:rsidRDefault="00832689">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1: Distribution of beneficiary and non-beneficiary according to their socio-economic profile and psychological attributes.</w:t>
      </w:r>
    </w:p>
    <w:tbl>
      <w:tblPr>
        <w:tblStyle w:val="a0"/>
        <w:tblW w:w="8610" w:type="dxa"/>
        <w:tblLayout w:type="fixed"/>
        <w:tblLook w:val="0400" w:firstRow="0" w:lastRow="0" w:firstColumn="0" w:lastColumn="0" w:noHBand="0" w:noVBand="1"/>
      </w:tblPr>
      <w:tblGrid>
        <w:gridCol w:w="600"/>
        <w:gridCol w:w="1530"/>
        <w:gridCol w:w="2790"/>
        <w:gridCol w:w="1575"/>
        <w:gridCol w:w="2115"/>
      </w:tblGrid>
      <w:tr w:rsidR="00B339B5">
        <w:tc>
          <w:tcPr>
            <w:tcW w:w="600" w:type="dxa"/>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1530" w:type="dxa"/>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Variable</w:t>
            </w:r>
          </w:p>
        </w:tc>
        <w:tc>
          <w:tcPr>
            <w:tcW w:w="2790" w:type="dxa"/>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Categories</w:t>
            </w:r>
          </w:p>
        </w:tc>
        <w:tc>
          <w:tcPr>
            <w:tcW w:w="1575" w:type="dxa"/>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Benefic</w:t>
            </w:r>
            <w:r>
              <w:rPr>
                <w:rFonts w:ascii="Times New Roman" w:eastAsia="Times New Roman" w:hAnsi="Times New Roman" w:cs="Times New Roman"/>
                <w:b/>
                <w:bCs/>
              </w:rPr>
              <w:t>iaries (Freq, %)</w:t>
            </w:r>
          </w:p>
        </w:tc>
        <w:tc>
          <w:tcPr>
            <w:tcW w:w="2115" w:type="dxa"/>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Non-Beneficiaries (Freq, %)</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Age</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Young age (Up to 28)</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age (29–47 years)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(58.33%)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Old age (Above 47 years)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Education</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Illiterate</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only</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Can read and write</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Primary school</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school</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school</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Graduate</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Size of Landholding</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Marginal (&lt;1 ha)</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(1.01–2.0 ha)</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(35.00%)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(31.67%)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Semi–medium (2.01–4 ha)</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(4.01–10 ha)</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ha)</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Family Size</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Small (Up to 4 members)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members)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(48.33%)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(41.67%)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Large (&gt;10 members)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IFS Experience</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(&lt;5 years)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(5–10 years)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(40.00%)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 years)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 (36.67%)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Annual Income</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sdt>
              <w:sdtPr>
                <w:tag w:val="goog_rdk_0"/>
                <w:id w:val="2094644658"/>
              </w:sdtPr>
              <w:sdtEndPr/>
              <w:sdtContent>
                <w:r>
                  <w:rPr>
                    <w:rFonts w:ascii="Gungsuh" w:eastAsia="Gungsuh" w:hAnsi="Gungsuh" w:cs="Gungsuh"/>
                  </w:rPr>
                  <w:t>Low (≤₹50,000)</w:t>
                </w:r>
              </w:sdtContent>
            </w:sdt>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(₹50,001–1,00,000)</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 (51.67%)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 (76.67%)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(&gt;₹1,00,001)</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(33.33%)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Information Source</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sdt>
              <w:sdtPr>
                <w:tag w:val="goog_rdk_1"/>
                <w:id w:val="-685867568"/>
              </w:sdtPr>
              <w:sdtEndPr/>
              <w:sdtContent>
                <w:r>
                  <w:rPr>
                    <w:rFonts w:ascii="Gungsuh" w:eastAsia="Gungsuh" w:hAnsi="Gungsuh" w:cs="Gungsuh"/>
                  </w:rPr>
                  <w:t>Low (≤9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(10–15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Enterprise Combination</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1 enterprise</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 (13.33%)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 (38.33%)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2 enterprises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(23.33%)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3 enterprises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any 4 enterprises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(20.00%)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all 5 enterprises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(28.33%)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(3.33%)</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Mass Media Exposure</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Low (</w:t>
            </w:r>
            <w:proofErr w:type="spellStart"/>
            <w:r>
              <w:rPr>
                <w:rFonts w:ascii="Times New Roman" w:eastAsia="Times New Roman" w:hAnsi="Times New Roman" w:cs="Times New Roman"/>
              </w:rPr>
              <w:t>upto</w:t>
            </w:r>
            <w:proofErr w:type="spellEnd"/>
            <w:r>
              <w:rPr>
                <w:rFonts w:ascii="Times New Roman" w:eastAsia="Times New Roman" w:hAnsi="Times New Roman" w:cs="Times New Roman"/>
              </w:rPr>
              <w:t xml:space="preserve"> 11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 (30.00%)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(12-15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 (61.67%)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(&gt;15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 (26.67%)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Economic Motivation</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sdt>
              <w:sdtPr>
                <w:tag w:val="goog_rdk_2"/>
                <w:id w:val="609934617"/>
              </w:sdtPr>
              <w:sdtEndPr/>
              <w:sdtContent>
                <w:r>
                  <w:rPr>
                    <w:rFonts w:ascii="Gungsuh" w:eastAsia="Gungsuh" w:hAnsi="Gungsuh" w:cs="Gungsuh"/>
                  </w:rPr>
                  <w:t>Low (≤20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(16.67%)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(21–25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 (70.00%)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(&gt;25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(18.33%)</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Scientific Orientation</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sdt>
              <w:sdtPr>
                <w:tag w:val="goog_rdk_3"/>
                <w:id w:val="-1680838985"/>
              </w:sdtPr>
              <w:sdtEndPr/>
              <w:sdtContent>
                <w:r>
                  <w:rPr>
                    <w:rFonts w:ascii="Gungsuh" w:eastAsia="Gungsuh" w:hAnsi="Gungsuh" w:cs="Gungsuh"/>
                  </w:rPr>
                  <w:t>Low (≤19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(6.67%)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(20–24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 (71.67%)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 (78.33%)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(&gt;24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(11.67%)</w:t>
            </w:r>
          </w:p>
        </w:tc>
      </w:tr>
      <w:tr w:rsidR="00B339B5">
        <w:trPr>
          <w:trHeight w:val="220"/>
        </w:trPr>
        <w:tc>
          <w:tcPr>
            <w:tcW w:w="60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Risk Orientation</w:t>
            </w: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sdt>
              <w:sdtPr>
                <w:tag w:val="goog_rdk_4"/>
                <w:id w:val="1514809055"/>
              </w:sdtPr>
              <w:sdtEndPr/>
              <w:sdtContent>
                <w:r>
                  <w:rPr>
                    <w:rFonts w:ascii="Gungsuh" w:eastAsia="Gungsuh" w:hAnsi="Gungsuh" w:cs="Gungsuh"/>
                  </w:rPr>
                  <w:t>Low (≤14 scores)</w:t>
                </w:r>
              </w:sdtContent>
            </w:sdt>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 (15.00%)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 (21.67%)</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Medium (15–19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 (60.00%)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 (68.33%)</w:t>
            </w:r>
          </w:p>
        </w:tc>
      </w:tr>
      <w:tr w:rsidR="00B339B5">
        <w:trPr>
          <w:trHeight w:val="220"/>
        </w:trPr>
        <w:tc>
          <w:tcPr>
            <w:tcW w:w="60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1530" w:type="dxa"/>
            <w:vMerge/>
            <w:tcBorders>
              <w:top w:val="single" w:sz="8" w:space="0" w:color="000000"/>
              <w:left w:val="single" w:sz="8" w:space="0" w:color="000000"/>
              <w:bottom w:val="single" w:sz="8" w:space="0" w:color="000000"/>
              <w:right w:val="single" w:sz="8" w:space="0" w:color="000000"/>
            </w:tcBorders>
            <w:vAlign w:val="center"/>
          </w:tcPr>
          <w:p w:rsidR="00B339B5" w:rsidRDefault="00B339B5">
            <w:pPr>
              <w:widowControl w:val="0"/>
              <w:pBdr>
                <w:top w:val="nil"/>
                <w:left w:val="nil"/>
                <w:bottom w:val="nil"/>
                <w:right w:val="nil"/>
                <w:between w:val="nil"/>
              </w:pBdr>
              <w:spacing w:after="0"/>
              <w:jc w:val="both"/>
              <w:rPr>
                <w:rFonts w:ascii="Times New Roman" w:eastAsia="Times New Roman" w:hAnsi="Times New Roman" w:cs="Times New Roman"/>
              </w:rPr>
            </w:pPr>
          </w:p>
        </w:tc>
        <w:tc>
          <w:tcPr>
            <w:tcW w:w="2790"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(&gt;19 scores)</w:t>
            </w:r>
          </w:p>
        </w:tc>
        <w:tc>
          <w:tcPr>
            <w:tcW w:w="157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(25.00%)</w:t>
            </w:r>
          </w:p>
        </w:tc>
        <w:tc>
          <w:tcPr>
            <w:tcW w:w="2115" w:type="dxa"/>
            <w:tcBorders>
              <w:top w:val="single" w:sz="8" w:space="0" w:color="000000"/>
              <w:left w:val="single" w:sz="8" w:space="0" w:color="000000"/>
              <w:bottom w:val="single" w:sz="8" w:space="0" w:color="000000"/>
              <w:right w:val="single" w:sz="8" w:space="0" w:color="000000"/>
            </w:tcBorders>
          </w:tcPr>
          <w:p w:rsidR="00B339B5" w:rsidRDefault="00832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 (10.00%)</w:t>
            </w:r>
          </w:p>
        </w:tc>
      </w:tr>
    </w:tbl>
    <w:p w:rsidR="00B339B5" w:rsidRDefault="00832689">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data presented in Table 1 shows the percentage distribution of beneficiaries and non-beneficiaries according to their categories.</w:t>
      </w:r>
    </w:p>
    <w:p w:rsidR="00B339B5" w:rsidRDefault="00832689">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2" w:name="_heading=h.fxctiduquyzh" w:colFirst="0" w:colLast="0"/>
      <w:bookmarkEnd w:id="2"/>
      <w:r>
        <w:rPr>
          <w:rFonts w:ascii="Times New Roman" w:eastAsia="Times New Roman" w:hAnsi="Times New Roman" w:cs="Times New Roman"/>
          <w:color w:val="000000"/>
          <w:sz w:val="22"/>
          <w:szCs w:val="22"/>
        </w:rPr>
        <w:t>Socio-economic characteristics of respondents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The data indicated that the majority of both beneficiary (48.33%) and non-beneficiary farmers (58.33%) belonged to the middle-age group. However, a higher proportion of beneficiaries (31.67%) were found in the young age category compared to non-beneficiari</w:t>
      </w:r>
      <w:r>
        <w:rPr>
          <w:rFonts w:ascii="Times New Roman" w:eastAsia="Times New Roman" w:hAnsi="Times New Roman" w:cs="Times New Roman"/>
        </w:rPr>
        <w:t xml:space="preserve">es (16.67%). Younger farmers are generally more receptive to new technologies and agricultural innovations, which may facilitate greater participation in development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In terms of education, beneficiary farmers were comparatively better educated </w:t>
      </w:r>
      <w:r>
        <w:rPr>
          <w:rFonts w:ascii="Times New Roman" w:eastAsia="Times New Roman" w:hAnsi="Times New Roman" w:cs="Times New Roman"/>
        </w:rPr>
        <w:t>than non-beneficiaries. Among beneficiaries, the highest proportion (33.33%) were graduates, followed by farmers with high school (21.67%) and middle school education (16.67%). In contrast, most non-beneficiaries (28.33%) could only read and write, while a</w:t>
      </w:r>
      <w:r>
        <w:rPr>
          <w:rFonts w:ascii="Times New Roman" w:eastAsia="Times New Roman" w:hAnsi="Times New Roman" w:cs="Times New Roman"/>
        </w:rPr>
        <w:t xml:space="preserve"> smaller proportion (10.00%) had graduate-level education. Higher educational attainment among beneficiaries may have improved their ability to access and utilize agricultural information and technologies.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Regarding landholding size, most respondents in bo</w:t>
      </w:r>
      <w:r>
        <w:rPr>
          <w:rFonts w:ascii="Times New Roman" w:eastAsia="Times New Roman" w:hAnsi="Times New Roman" w:cs="Times New Roman"/>
        </w:rPr>
        <w:t xml:space="preserve">th groups belonged to the small and marginal farmer categories. Among beneficiaries, 35.00% were small farmers and 31.67% were marginal farmers. Similarly, among non-beneficiaries, 31.67% were small farmers and 28.33% were marginal farmers. This indicates </w:t>
      </w:r>
      <w:r>
        <w:rPr>
          <w:rFonts w:ascii="Times New Roman" w:eastAsia="Times New Roman" w:hAnsi="Times New Roman" w:cs="Times New Roman"/>
        </w:rPr>
        <w:t>that integrated farming practices are particularly relevant for farmers with limited land resources.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distribution of respondents according to family size showed that the majority of farmers in both groups had medium-sized families. Among beneficiaries,</w:t>
      </w:r>
      <w:r>
        <w:rPr>
          <w:rFonts w:ascii="Times New Roman" w:eastAsia="Times New Roman" w:hAnsi="Times New Roman" w:cs="Times New Roman"/>
        </w:rPr>
        <w:t xml:space="preserve"> 48.33% had medium family size, followed by 36.67% with small families. A similar pattern was observed among non-beneficiaries, where 41.67% had medium family size and 38.33% had small families. Medium family size may contribute positively to farm labor av</w:t>
      </w:r>
      <w:r>
        <w:rPr>
          <w:rFonts w:ascii="Times New Roman" w:eastAsia="Times New Roman" w:hAnsi="Times New Roman" w:cs="Times New Roman"/>
        </w:rPr>
        <w:t>ailability.</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experience of farmers with Integrated Farming Systems (IFS) also differed between the two groups. Among beneficiaries, 40.00% had medium IFS experience and 36.67% had high experience. In comparison, a larger proportion of non-beneficiaries </w:t>
      </w:r>
      <w:r>
        <w:rPr>
          <w:rFonts w:ascii="Times New Roman" w:eastAsia="Times New Roman" w:hAnsi="Times New Roman" w:cs="Times New Roman"/>
        </w:rPr>
        <w:t>(38.33%) fell under the low experience category. This suggests that beneficiaries had greater exposure to integrated farming practices.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Income distribution revealed that most respondents belonged to the medium income category. However, the proportion of fa</w:t>
      </w:r>
      <w:r>
        <w:rPr>
          <w:rFonts w:ascii="Times New Roman" w:eastAsia="Times New Roman" w:hAnsi="Times New Roman" w:cs="Times New Roman"/>
        </w:rPr>
        <w:t xml:space="preserve">rmers in the </w:t>
      </w:r>
      <w:proofErr w:type="gramStart"/>
      <w:r>
        <w:rPr>
          <w:rFonts w:ascii="Times New Roman" w:eastAsia="Times New Roman" w:hAnsi="Times New Roman" w:cs="Times New Roman"/>
        </w:rPr>
        <w:t>high income</w:t>
      </w:r>
      <w:proofErr w:type="gramEnd"/>
      <w:r>
        <w:rPr>
          <w:rFonts w:ascii="Times New Roman" w:eastAsia="Times New Roman" w:hAnsi="Times New Roman" w:cs="Times New Roman"/>
        </w:rPr>
        <w:t xml:space="preserve"> category was higher among beneficiaries (33.33%) compared to non-beneficiaries (10.00%). This difference suggests that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participation may contribute to improved income opportunities through diversified farming enterprises.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Information source utilization was found to be moderate among most respondents in both groups (71.67%). However, beneficiaries showed slightly higher levels of high information utilization (16.67%) compared to non-beneficiaries (11.67%). Access to informa</w:t>
      </w:r>
      <w:r>
        <w:rPr>
          <w:rFonts w:ascii="Times New Roman" w:eastAsia="Times New Roman" w:hAnsi="Times New Roman" w:cs="Times New Roman"/>
        </w:rPr>
        <w:t>tion sources plays a crucial role in improving farmers’ awareness and adoption of improved agricultural practices.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analysis of enterprise combinations revealed a clear difference between the two groups. Among beneficiaries, 28.33% adopted all five ente</w:t>
      </w:r>
      <w:r>
        <w:rPr>
          <w:rFonts w:ascii="Times New Roman" w:eastAsia="Times New Roman" w:hAnsi="Times New Roman" w:cs="Times New Roman"/>
        </w:rPr>
        <w:t>rprise combinations under the Integrated Farming System, whereas only 3.33% of non-beneficiaries adopted all five enterprises. Conversely, a larger proportion of non-beneficiaries (38.33%) practiced only a single enterprise. This finding highlights the rol</w:t>
      </w:r>
      <w:r>
        <w:rPr>
          <w:rFonts w:ascii="Times New Roman" w:eastAsia="Times New Roman" w:hAnsi="Times New Roman" w:cs="Times New Roman"/>
        </w:rPr>
        <w:t>e of FFP in promoting diversified farming systems.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Extension contact levels were mostly moderate among both groups. Among beneficiaries, 66.67% had medium extension contact and 20.00% had high contact. In comparison, only 13.00% of non-</w:t>
      </w:r>
      <w:r>
        <w:rPr>
          <w:rFonts w:ascii="Times New Roman" w:eastAsia="Times New Roman" w:hAnsi="Times New Roman" w:cs="Times New Roman"/>
        </w:rPr>
        <w:lastRenderedPageBreak/>
        <w:t>beneficiaries report</w:t>
      </w:r>
      <w:r>
        <w:rPr>
          <w:rFonts w:ascii="Times New Roman" w:eastAsia="Times New Roman" w:hAnsi="Times New Roman" w:cs="Times New Roman"/>
        </w:rPr>
        <w:t>ed high extension contact. Increased interaction with extension personnel may enhance farmers’ access to technical guidance and new technologies.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Mass media exposure also showed noticeable variation. Among beneficiaries, 26.67% had high exposure to mass me</w:t>
      </w:r>
      <w:r>
        <w:rPr>
          <w:rFonts w:ascii="Times New Roman" w:eastAsia="Times New Roman" w:hAnsi="Times New Roman" w:cs="Times New Roman"/>
        </w:rPr>
        <w:t>dia, while only 10.00% of non-beneficiaries fell into this category. Mass media plays an important role in disseminating agricultural knowledge and awareness of improved practices.</w:t>
      </w:r>
    </w:p>
    <w:p w:rsidR="00B339B5" w:rsidRDefault="00832689">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3" w:name="_heading=h.pdpzjamxvjvo" w:colFirst="0" w:colLast="0"/>
      <w:bookmarkEnd w:id="3"/>
      <w:r>
        <w:rPr>
          <w:rFonts w:ascii="Times New Roman" w:eastAsia="Times New Roman" w:hAnsi="Times New Roman" w:cs="Times New Roman"/>
          <w:color w:val="000000"/>
          <w:sz w:val="22"/>
          <w:szCs w:val="22"/>
        </w:rPr>
        <w:t>Psychological characteristics of respondents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psychological attributes o</w:t>
      </w:r>
      <w:r>
        <w:rPr>
          <w:rFonts w:ascii="Times New Roman" w:eastAsia="Times New Roman" w:hAnsi="Times New Roman" w:cs="Times New Roman"/>
        </w:rPr>
        <w:t>f farmers also showed differences between beneficiaries and non-beneficiaries.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With regard to economic motivation, the majority of farmers in both groups exhibited a medium level of motivation. Among beneficiaries, 70.00% had medium economic motivation and</w:t>
      </w:r>
      <w:r>
        <w:rPr>
          <w:rFonts w:ascii="Times New Roman" w:eastAsia="Times New Roman" w:hAnsi="Times New Roman" w:cs="Times New Roman"/>
        </w:rPr>
        <w:t xml:space="preserve"> 18.33% had high motivation. Among non-beneficiaries, 68.33% had medium motivation while 15.00% had high motivation. Participation in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may enhance farmers’ interest in improving income through diversified agricultural activities.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Scientific or</w:t>
      </w:r>
      <w:r>
        <w:rPr>
          <w:rFonts w:ascii="Times New Roman" w:eastAsia="Times New Roman" w:hAnsi="Times New Roman" w:cs="Times New Roman"/>
        </w:rPr>
        <w:t>ientation among beneficiaries was relatively higher compared to non-beneficiaries. While the majority of farmers in both groups had medium scientific orientation, a higher proportion of beneficiaries (21.67%) exhibited a high level of scientific orientatio</w:t>
      </w:r>
      <w:r>
        <w:rPr>
          <w:rFonts w:ascii="Times New Roman" w:eastAsia="Times New Roman" w:hAnsi="Times New Roman" w:cs="Times New Roman"/>
        </w:rPr>
        <w:t>n compared to non-beneficiaries (11.67%). This indicates that beneficiaries were more inclined toward adopting scientifically recommended farming practices.</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Risk orientation also varied between the two groups. Among beneficiaries, 25.00% of farmers showed </w:t>
      </w:r>
      <w:r>
        <w:rPr>
          <w:rFonts w:ascii="Times New Roman" w:eastAsia="Times New Roman" w:hAnsi="Times New Roman" w:cs="Times New Roman"/>
        </w:rPr>
        <w:t xml:space="preserve">high risk orientation, whereas only 10.00% of non-beneficiaries fell into this category.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may develop greater confidence in trying new technologies due to training, demonstrations and extension support.</w:t>
      </w:r>
    </w:p>
    <w:p w:rsidR="00B339B5" w:rsidRDefault="00832689">
      <w:pPr>
        <w:pStyle w:val="Heading2"/>
        <w:keepNext w:val="0"/>
        <w:keepLines w:val="0"/>
        <w:spacing w:before="360" w:after="80" w:line="240" w:lineRule="auto"/>
        <w:jc w:val="both"/>
        <w:rPr>
          <w:rFonts w:ascii="Times New Roman" w:eastAsia="Times New Roman" w:hAnsi="Times New Roman" w:cs="Times New Roman"/>
          <w:color w:val="000000"/>
          <w:sz w:val="22"/>
          <w:szCs w:val="22"/>
        </w:rPr>
      </w:pPr>
      <w:bookmarkStart w:id="4" w:name="_heading=h.6um1hlaxbm6d" w:colFirst="0" w:colLast="0"/>
      <w:bookmarkEnd w:id="4"/>
      <w:r>
        <w:rPr>
          <w:rFonts w:ascii="Times New Roman" w:eastAsia="Times New Roman" w:hAnsi="Times New Roman" w:cs="Times New Roman"/>
          <w:color w:val="000000"/>
          <w:sz w:val="22"/>
          <w:szCs w:val="22"/>
        </w:rPr>
        <w:t>Ov</w:t>
      </w:r>
      <w:r>
        <w:rPr>
          <w:rFonts w:ascii="Times New Roman" w:eastAsia="Times New Roman" w:hAnsi="Times New Roman" w:cs="Times New Roman"/>
          <w:color w:val="000000"/>
          <w:sz w:val="22"/>
          <w:szCs w:val="22"/>
        </w:rPr>
        <w:t>erall interpretation</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Overall, the findings demonstrate that farmers participating in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possess comparatively better socio-economic conditions and stronger psychological attributes than non-beneficiaries. Beneficiaries showed higher</w:t>
      </w:r>
      <w:r>
        <w:rPr>
          <w:rFonts w:ascii="Times New Roman" w:eastAsia="Times New Roman" w:hAnsi="Times New Roman" w:cs="Times New Roman"/>
        </w:rPr>
        <w:t xml:space="preserve"> educational levels, greater enterprise diversification, stronger extension contact, improved information access and higher income levels. They also exhibited higher economic motivation, scientific orientation and risk-taking ability.</w:t>
      </w:r>
    </w:p>
    <w:p w:rsidR="00B339B5" w:rsidRDefault="00832689">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These results indicat</w:t>
      </w:r>
      <w:r>
        <w:rPr>
          <w:rFonts w:ascii="Times New Roman" w:eastAsia="Times New Roman" w:hAnsi="Times New Roman" w:cs="Times New Roman"/>
        </w:rPr>
        <w:t xml:space="preserve">e that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has played a positive role in strengthening farmers’ capacity to adopt integrated farming practices and improve their livelihood outcomes.</w:t>
      </w:r>
    </w:p>
    <w:p w:rsidR="00B339B5" w:rsidRDefault="00832689">
      <w:pPr>
        <w:spacing w:before="240" w:after="120" w:line="240" w:lineRule="auto"/>
        <w:jc w:val="both"/>
        <w:rPr>
          <w:rFonts w:ascii="Times New Roman" w:eastAsia="Times New Roman" w:hAnsi="Times New Roman" w:cs="Times New Roman"/>
          <w:b/>
          <w:bCs/>
        </w:rPr>
      </w:pPr>
      <w:bookmarkStart w:id="5" w:name="_heading=h.uy5jh9nqk7bc" w:colFirst="0" w:colLast="0"/>
      <w:bookmarkEnd w:id="5"/>
      <w:r>
        <w:rPr>
          <w:rFonts w:ascii="Times New Roman" w:eastAsia="Times New Roman" w:hAnsi="Times New Roman" w:cs="Times New Roman"/>
          <w:b/>
          <w:bCs/>
        </w:rPr>
        <w:t>Conclusion</w:t>
      </w:r>
    </w:p>
    <w:p w:rsidR="00B339B5" w:rsidRDefault="00832689">
      <w:pPr>
        <w:spacing w:after="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rPr>
        <w:t>The study revealed distinct differences between beneficiaries and non-be</w:t>
      </w:r>
      <w:r>
        <w:rPr>
          <w:rFonts w:ascii="Times New Roman" w:eastAsia="Times New Roman" w:hAnsi="Times New Roman" w:cs="Times New Roman"/>
        </w:rPr>
        <w:t xml:space="preserve">neficiaries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terms of socio-economic and psychological related characteristics. Beneficiaries were generally better educated, had higher annual incomes, greater IFS experience, stronger extension contact and wider enterprise</w:t>
      </w:r>
      <w:r>
        <w:rPr>
          <w:rFonts w:ascii="Times New Roman" w:eastAsia="Times New Roman" w:hAnsi="Times New Roman" w:cs="Times New Roman"/>
        </w:rPr>
        <w:t xml:space="preserve"> combinations compared to non-beneficiaries. They also exhibited higher levels of economic motivation, scientific orientation and risk orientation, highlighting the positive impact of FFP interventions such as training, demonstrations and participatory app</w:t>
      </w:r>
      <w:r>
        <w:rPr>
          <w:rFonts w:ascii="Times New Roman" w:eastAsia="Times New Roman" w:hAnsi="Times New Roman" w:cs="Times New Roman"/>
        </w:rPr>
        <w:t xml:space="preserve">roaches. These findings suggest that strengthening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like FFP can play </w:t>
      </w:r>
      <w:r>
        <w:rPr>
          <w:rFonts w:ascii="Times New Roman" w:eastAsia="Times New Roman" w:hAnsi="Times New Roman" w:cs="Times New Roman"/>
        </w:rPr>
        <w:lastRenderedPageBreak/>
        <w:t>a pivotal role in empowering farmers, enhancing livelihood security and promoting sustainable agricultural development.</w:t>
      </w:r>
    </w:p>
    <w:p w:rsidR="00B339B5" w:rsidRDefault="00832689">
      <w:pPr>
        <w:spacing w:before="240" w:after="120" w:line="24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Abbasi IA, Shamim A, Shad MK, </w:t>
      </w:r>
      <w:proofErr w:type="spellStart"/>
      <w:r>
        <w:rPr>
          <w:rFonts w:ascii="Times New Roman" w:eastAsia="Times New Roman" w:hAnsi="Times New Roman" w:cs="Times New Roman"/>
        </w:rPr>
        <w:t>Ashari</w:t>
      </w:r>
      <w:proofErr w:type="spellEnd"/>
      <w:r>
        <w:rPr>
          <w:rFonts w:ascii="Times New Roman" w:eastAsia="Times New Roman" w:hAnsi="Times New Roman" w:cs="Times New Roman"/>
        </w:rPr>
        <w:t xml:space="preserve"> H, Yusuf</w:t>
      </w:r>
      <w:r>
        <w:rPr>
          <w:rFonts w:ascii="Times New Roman" w:eastAsia="Times New Roman" w:hAnsi="Times New Roman" w:cs="Times New Roman"/>
        </w:rPr>
        <w:t xml:space="preserve"> I (2024) Circular economy-based integrated farming system for indigenous chicken: fostering food security and sustainability. J Clean Prod:140368.</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A M, Parsons J (2023) Integrated vs. specialized farming systems for sustainable food production: comparative analysis of systems’ technical efficiency in Nebraska. Sustain For 15(6):5413.</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Aguilera E, Díaz-</w:t>
      </w:r>
      <w:proofErr w:type="spellStart"/>
      <w:r>
        <w:rPr>
          <w:rFonts w:ascii="Times New Roman" w:eastAsia="Times New Roman" w:hAnsi="Times New Roman" w:cs="Times New Roman"/>
        </w:rPr>
        <w:t>Gaona</w:t>
      </w:r>
      <w:proofErr w:type="spellEnd"/>
      <w:r>
        <w:rPr>
          <w:rFonts w:ascii="Times New Roman" w:eastAsia="Times New Roman" w:hAnsi="Times New Roman" w:cs="Times New Roman"/>
        </w:rPr>
        <w:t xml:space="preserve"> C, García-Laureano R, Reyes-</w:t>
      </w:r>
      <w:proofErr w:type="spellStart"/>
      <w:r>
        <w:rPr>
          <w:rFonts w:ascii="Times New Roman" w:eastAsia="Times New Roman" w:hAnsi="Times New Roman" w:cs="Times New Roman"/>
        </w:rPr>
        <w:t>Palomo</w:t>
      </w:r>
      <w:proofErr w:type="spellEnd"/>
      <w:r>
        <w:rPr>
          <w:rFonts w:ascii="Times New Roman" w:eastAsia="Times New Roman" w:hAnsi="Times New Roman" w:cs="Times New Roman"/>
        </w:rPr>
        <w:t xml:space="preserve"> C, Guzmán</w:t>
      </w:r>
      <w:r>
        <w:rPr>
          <w:rFonts w:ascii="Times New Roman" w:eastAsia="Times New Roman" w:hAnsi="Times New Roman" w:cs="Times New Roman"/>
        </w:rPr>
        <w:t xml:space="preserve"> GI, Ortolani L, Sánchez-Rodríguez M, Rodríguez-</w:t>
      </w:r>
      <w:proofErr w:type="spellStart"/>
      <w:r>
        <w:rPr>
          <w:rFonts w:ascii="Times New Roman" w:eastAsia="Times New Roman" w:hAnsi="Times New Roman" w:cs="Times New Roman"/>
        </w:rPr>
        <w:t>Estévez</w:t>
      </w:r>
      <w:proofErr w:type="spellEnd"/>
      <w:r>
        <w:rPr>
          <w:rFonts w:ascii="Times New Roman" w:eastAsia="Times New Roman" w:hAnsi="Times New Roman" w:cs="Times New Roman"/>
        </w:rPr>
        <w:t xml:space="preserve"> V (2020) Agroecology for adaptation to climate change and resource depletion in the Mediterranean region. A review. Agric Syst 181:102809.</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Akhtar N, </w:t>
      </w:r>
      <w:proofErr w:type="spellStart"/>
      <w:r>
        <w:rPr>
          <w:rFonts w:ascii="Times New Roman" w:eastAsia="Times New Roman" w:hAnsi="Times New Roman" w:cs="Times New Roman"/>
        </w:rPr>
        <w:t>Syakir</w:t>
      </w:r>
      <w:proofErr w:type="spellEnd"/>
      <w:r>
        <w:rPr>
          <w:rFonts w:ascii="Times New Roman" w:eastAsia="Times New Roman" w:hAnsi="Times New Roman" w:cs="Times New Roman"/>
        </w:rPr>
        <w:t xml:space="preserve"> Ishak MI, Bhawani SA, Umar K (2021) Various </w:t>
      </w:r>
      <w:r>
        <w:rPr>
          <w:rFonts w:ascii="Times New Roman" w:eastAsia="Times New Roman" w:hAnsi="Times New Roman" w:cs="Times New Roman"/>
        </w:rPr>
        <w:t>natural and anthropogenic factors responsible for water quality degradation: a review. Water 13(19):2660</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AJ, Chastain JP, Moore PA Jr (2020) Nutrient characteristics of poultry manure and litter. In: </w:t>
      </w:r>
      <w:proofErr w:type="spellStart"/>
      <w:r>
        <w:rPr>
          <w:rFonts w:ascii="Times New Roman" w:eastAsia="Times New Roman" w:hAnsi="Times New Roman" w:cs="Times New Roman"/>
        </w:rPr>
        <w:t>Waldrip</w:t>
      </w:r>
      <w:proofErr w:type="spellEnd"/>
      <w:r>
        <w:rPr>
          <w:rFonts w:ascii="Times New Roman" w:eastAsia="Times New Roman" w:hAnsi="Times New Roman" w:cs="Times New Roman"/>
        </w:rPr>
        <w:t xml:space="preserve"> HM, </w:t>
      </w:r>
      <w:proofErr w:type="spellStart"/>
      <w:r>
        <w:rPr>
          <w:rFonts w:ascii="Times New Roman" w:eastAsia="Times New Roman" w:hAnsi="Times New Roman" w:cs="Times New Roman"/>
        </w:rPr>
        <w:t>Pagliari</w:t>
      </w:r>
      <w:proofErr w:type="spellEnd"/>
      <w:r>
        <w:rPr>
          <w:rFonts w:ascii="Times New Roman" w:eastAsia="Times New Roman" w:hAnsi="Times New Roman" w:cs="Times New Roman"/>
        </w:rPr>
        <w:t xml:space="preserve"> PH, He Z (eds) Animal manure: produ</w:t>
      </w:r>
      <w:r>
        <w:rPr>
          <w:rFonts w:ascii="Times New Roman" w:eastAsia="Times New Roman" w:hAnsi="Times New Roman" w:cs="Times New Roman"/>
        </w:rPr>
        <w:t>ction, characteristics, environmental concerns, and management, vol 67. ASA and SSSA, Madison, pp63–87</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AJ, Ranasinghe CS, </w:t>
      </w:r>
      <w:proofErr w:type="spellStart"/>
      <w:r>
        <w:rPr>
          <w:rFonts w:ascii="Times New Roman" w:eastAsia="Times New Roman" w:hAnsi="Times New Roman" w:cs="Times New Roman"/>
        </w:rPr>
        <w:t>Nuwarapaksha</w:t>
      </w:r>
      <w:proofErr w:type="spellEnd"/>
      <w:r>
        <w:rPr>
          <w:rFonts w:ascii="Times New Roman" w:eastAsia="Times New Roman" w:hAnsi="Times New Roman" w:cs="Times New Roman"/>
        </w:rPr>
        <w:t xml:space="preserve"> TD, </w:t>
      </w:r>
      <w:proofErr w:type="spellStart"/>
      <w:r>
        <w:rPr>
          <w:rFonts w:ascii="Times New Roman" w:eastAsia="Times New Roman" w:hAnsi="Times New Roman" w:cs="Times New Roman"/>
        </w:rPr>
        <w:t>Udumann</w:t>
      </w:r>
      <w:proofErr w:type="spellEnd"/>
      <w:r>
        <w:rPr>
          <w:rFonts w:ascii="Times New Roman" w:eastAsia="Times New Roman" w:hAnsi="Times New Roman" w:cs="Times New Roman"/>
        </w:rPr>
        <w:t xml:space="preserve"> SS, </w:t>
      </w:r>
      <w:proofErr w:type="spellStart"/>
      <w:r>
        <w:rPr>
          <w:rFonts w:ascii="Times New Roman" w:eastAsia="Times New Roman" w:hAnsi="Times New Roman" w:cs="Times New Roman"/>
        </w:rPr>
        <w:t>Dissanayaka</w:t>
      </w:r>
      <w:proofErr w:type="spellEnd"/>
      <w:r>
        <w:rPr>
          <w:rFonts w:ascii="Times New Roman" w:eastAsia="Times New Roman" w:hAnsi="Times New Roman" w:cs="Times New Roman"/>
        </w:rPr>
        <w:t xml:space="preserve"> NS (2024) Sustainable agriculture and sustainable development goals (SDGs). In: </w:t>
      </w:r>
      <w:proofErr w:type="spellStart"/>
      <w:r>
        <w:rPr>
          <w:rFonts w:ascii="Times New Roman" w:eastAsia="Times New Roman" w:hAnsi="Times New Roman" w:cs="Times New Roman"/>
        </w:rPr>
        <w:t>Garwi</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Mase</w:t>
      </w:r>
      <w:r>
        <w:rPr>
          <w:rFonts w:ascii="Times New Roman" w:eastAsia="Times New Roman" w:hAnsi="Times New Roman" w:cs="Times New Roman"/>
        </w:rPr>
        <w:t>ngu</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Chiwaridzo</w:t>
      </w:r>
      <w:proofErr w:type="spellEnd"/>
      <w:r>
        <w:rPr>
          <w:rFonts w:ascii="Times New Roman" w:eastAsia="Times New Roman" w:hAnsi="Times New Roman" w:cs="Times New Roman"/>
        </w:rPr>
        <w:t xml:space="preserve"> O (eds) Emerging technologies and marketing strategies for sustainable agriculture. IGI Global, Hershey, pp1–27.</w:t>
      </w:r>
    </w:p>
    <w:p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Avidov</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Sudharsan</w:t>
      </w:r>
      <w:proofErr w:type="spellEnd"/>
      <w:r>
        <w:rPr>
          <w:rFonts w:ascii="Times New Roman" w:eastAsia="Times New Roman" w:hAnsi="Times New Roman" w:cs="Times New Roman"/>
        </w:rPr>
        <w:t xml:space="preserve"> Varma V, </w:t>
      </w:r>
      <w:proofErr w:type="spellStart"/>
      <w:r>
        <w:rPr>
          <w:rFonts w:ascii="Times New Roman" w:eastAsia="Times New Roman" w:hAnsi="Times New Roman" w:cs="Times New Roman"/>
        </w:rPr>
        <w:t>Saadi</w:t>
      </w:r>
      <w:proofErr w:type="spellEnd"/>
      <w:r>
        <w:rPr>
          <w:rFonts w:ascii="Times New Roman" w:eastAsia="Times New Roman" w:hAnsi="Times New Roman" w:cs="Times New Roman"/>
        </w:rPr>
        <w:t xml:space="preserve"> I, Hanan A, </w:t>
      </w:r>
      <w:proofErr w:type="spellStart"/>
      <w:r>
        <w:rPr>
          <w:rFonts w:ascii="Times New Roman" w:eastAsia="Times New Roman" w:hAnsi="Times New Roman" w:cs="Times New Roman"/>
        </w:rPr>
        <w:t>Yoselevich</w:t>
      </w:r>
      <w:proofErr w:type="spellEnd"/>
      <w:r>
        <w:rPr>
          <w:rFonts w:ascii="Times New Roman" w:eastAsia="Times New Roman" w:hAnsi="Times New Roman" w:cs="Times New Roman"/>
        </w:rPr>
        <w:t xml:space="preserve"> I, Lublin A, Chen Y, </w:t>
      </w:r>
      <w:proofErr w:type="spellStart"/>
      <w:r>
        <w:rPr>
          <w:rFonts w:ascii="Times New Roman" w:eastAsia="Times New Roman" w:hAnsi="Times New Roman" w:cs="Times New Roman"/>
        </w:rPr>
        <w:t>Laor</w:t>
      </w:r>
      <w:proofErr w:type="spellEnd"/>
      <w:r>
        <w:rPr>
          <w:rFonts w:ascii="Times New Roman" w:eastAsia="Times New Roman" w:hAnsi="Times New Roman" w:cs="Times New Roman"/>
        </w:rPr>
        <w:t xml:space="preserve"> Y (2021) Physical and chemical indicators</w:t>
      </w:r>
      <w:r>
        <w:rPr>
          <w:rFonts w:ascii="Times New Roman" w:eastAsia="Times New Roman" w:hAnsi="Times New Roman" w:cs="Times New Roman"/>
        </w:rPr>
        <w:t xml:space="preserve"> of transformations of poultry carcass parts and broiler lit-</w:t>
      </w:r>
      <w:proofErr w:type="spellStart"/>
      <w:r>
        <w:rPr>
          <w:rFonts w:ascii="Times New Roman" w:eastAsia="Times New Roman" w:hAnsi="Times New Roman" w:cs="Times New Roman"/>
        </w:rPr>
        <w:t>ter</w:t>
      </w:r>
      <w:proofErr w:type="spellEnd"/>
      <w:r>
        <w:rPr>
          <w:rFonts w:ascii="Times New Roman" w:eastAsia="Times New Roman" w:hAnsi="Times New Roman" w:cs="Times New Roman"/>
        </w:rPr>
        <w:t xml:space="preserve"> during short term thermophilic composting. Waste </w:t>
      </w:r>
      <w:proofErr w:type="spellStart"/>
      <w:r>
        <w:rPr>
          <w:rFonts w:ascii="Times New Roman" w:eastAsia="Times New Roman" w:hAnsi="Times New Roman" w:cs="Times New Roman"/>
        </w:rPr>
        <w:t>Manag</w:t>
      </w:r>
      <w:proofErr w:type="spellEnd"/>
      <w:r>
        <w:rPr>
          <w:rFonts w:ascii="Times New Roman" w:eastAsia="Times New Roman" w:hAnsi="Times New Roman" w:cs="Times New Roman"/>
        </w:rPr>
        <w:t xml:space="preserve"> 119:202–214.</w:t>
      </w:r>
    </w:p>
    <w:p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Babu</w:t>
      </w:r>
      <w:proofErr w:type="spellEnd"/>
      <w:r>
        <w:rPr>
          <w:rFonts w:ascii="Times New Roman" w:eastAsia="Times New Roman" w:hAnsi="Times New Roman" w:cs="Times New Roman"/>
        </w:rPr>
        <w:t xml:space="preserve"> S, Das A, Singh R, Mohapatra KP, Kumar S, Rathore SS, Yadav SK, Yadav P, Ansari MA, Panwar AS, </w:t>
      </w:r>
      <w:proofErr w:type="spellStart"/>
      <w:r>
        <w:rPr>
          <w:rFonts w:ascii="Times New Roman" w:eastAsia="Times New Roman" w:hAnsi="Times New Roman" w:cs="Times New Roman"/>
        </w:rPr>
        <w:t>Wani</w:t>
      </w:r>
      <w:proofErr w:type="spellEnd"/>
      <w:r>
        <w:rPr>
          <w:rFonts w:ascii="Times New Roman" w:eastAsia="Times New Roman" w:hAnsi="Times New Roman" w:cs="Times New Roman"/>
        </w:rPr>
        <w:t xml:space="preserve"> OA (2023) Designin</w:t>
      </w:r>
      <w:r>
        <w:rPr>
          <w:rFonts w:ascii="Times New Roman" w:eastAsia="Times New Roman" w:hAnsi="Times New Roman" w:cs="Times New Roman"/>
        </w:rPr>
        <w:t>g an energy efficient, economically feasible, and environmentally robust integrated farming system model for sustainable food production in the Indian Himalayas. Sustainable Food Technol 1(1):126–142.</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Bao J, Jiang H, Li X (2022) Thirty years of rice-crab c</w:t>
      </w:r>
      <w:r>
        <w:rPr>
          <w:rFonts w:ascii="Times New Roman" w:eastAsia="Times New Roman" w:hAnsi="Times New Roman" w:cs="Times New Roman"/>
        </w:rPr>
        <w:t xml:space="preserve">oculture in China– research progress and prospects. Rev </w:t>
      </w:r>
      <w:proofErr w:type="spellStart"/>
      <w:r>
        <w:rPr>
          <w:rFonts w:ascii="Times New Roman" w:eastAsia="Times New Roman" w:hAnsi="Times New Roman" w:cs="Times New Roman"/>
        </w:rPr>
        <w:t>Aquac</w:t>
      </w:r>
      <w:proofErr w:type="spellEnd"/>
      <w:r>
        <w:rPr>
          <w:rFonts w:ascii="Times New Roman" w:eastAsia="Times New Roman" w:hAnsi="Times New Roman" w:cs="Times New Roman"/>
        </w:rPr>
        <w:t xml:space="preserve"> 14(3):1597–1612.</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Bashir O, Ali T, Baba ZA, Rather GH, </w:t>
      </w:r>
      <w:proofErr w:type="spellStart"/>
      <w:r>
        <w:rPr>
          <w:rFonts w:ascii="Times New Roman" w:eastAsia="Times New Roman" w:hAnsi="Times New Roman" w:cs="Times New Roman"/>
        </w:rPr>
        <w:t>Bangroo</w:t>
      </w:r>
      <w:proofErr w:type="spellEnd"/>
      <w:r>
        <w:rPr>
          <w:rFonts w:ascii="Times New Roman" w:eastAsia="Times New Roman" w:hAnsi="Times New Roman" w:cs="Times New Roman"/>
        </w:rPr>
        <w:t xml:space="preserve"> SA, Mukhtar SD, Naik N, Mohiuddin R, Bharati V,</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Bhat RA (2021) Soil organic matter and its impact on soil properties and nutrient st</w:t>
      </w:r>
      <w:r>
        <w:rPr>
          <w:rFonts w:ascii="Times New Roman" w:eastAsia="Times New Roman" w:hAnsi="Times New Roman" w:cs="Times New Roman"/>
        </w:rPr>
        <w:t>atus. In: Dar GH, Bhat RA, Mehmood MA, Hakeem KR (eds) Microbiota and biofertilizers, 2. Springer, Cham, pp129–159.</w:t>
      </w:r>
    </w:p>
    <w:p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Bayih</w:t>
      </w:r>
      <w:proofErr w:type="spellEnd"/>
      <w:r>
        <w:rPr>
          <w:rFonts w:ascii="Times New Roman" w:eastAsia="Times New Roman" w:hAnsi="Times New Roman" w:cs="Times New Roman"/>
        </w:rPr>
        <w:t xml:space="preserve"> AZ, Morales J, </w:t>
      </w:r>
      <w:proofErr w:type="spellStart"/>
      <w:r>
        <w:rPr>
          <w:rFonts w:ascii="Times New Roman" w:eastAsia="Times New Roman" w:hAnsi="Times New Roman" w:cs="Times New Roman"/>
        </w:rPr>
        <w:t>Assabie</w:t>
      </w:r>
      <w:proofErr w:type="spellEnd"/>
      <w:r>
        <w:rPr>
          <w:rFonts w:ascii="Times New Roman" w:eastAsia="Times New Roman" w:hAnsi="Times New Roman" w:cs="Times New Roman"/>
        </w:rPr>
        <w:t xml:space="preserve"> Y, de By RA (2022) Utilization of internet of things and wire-less sensor networks for sustainable smallholder </w:t>
      </w:r>
      <w:r>
        <w:rPr>
          <w:rFonts w:ascii="Times New Roman" w:eastAsia="Times New Roman" w:hAnsi="Times New Roman" w:cs="Times New Roman"/>
        </w:rPr>
        <w:t>agriculture. Sensors 22(9):3273.</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Behera UK, France J (2023) Farming systems research: concepts, design and methodology. Adv </w:t>
      </w:r>
      <w:proofErr w:type="spellStart"/>
      <w:r>
        <w:rPr>
          <w:rFonts w:ascii="Times New Roman" w:eastAsia="Times New Roman" w:hAnsi="Times New Roman" w:cs="Times New Roman"/>
        </w:rPr>
        <w:t>Agron</w:t>
      </w:r>
      <w:proofErr w:type="spellEnd"/>
      <w:r>
        <w:rPr>
          <w:rFonts w:ascii="Times New Roman" w:eastAsia="Times New Roman" w:hAnsi="Times New Roman" w:cs="Times New Roman"/>
        </w:rPr>
        <w:t xml:space="preserve"> 177:1–49.</w:t>
      </w:r>
    </w:p>
    <w:p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Billah</w:t>
      </w:r>
      <w:proofErr w:type="spellEnd"/>
      <w:r>
        <w:rPr>
          <w:rFonts w:ascii="Times New Roman" w:eastAsia="Times New Roman" w:hAnsi="Times New Roman" w:cs="Times New Roman"/>
        </w:rPr>
        <w:t xml:space="preserve">, A., Khan, S. and Rahman, M. (2024). Cropping patterns and extension linkages in smallholder integrated farming systems. </w:t>
      </w:r>
      <w:r>
        <w:rPr>
          <w:rFonts w:ascii="Times New Roman" w:eastAsia="Times New Roman" w:hAnsi="Times New Roman" w:cs="Times New Roman"/>
          <w:i/>
          <w:iCs/>
        </w:rPr>
        <w:t>International Journal of Farming Systems</w:t>
      </w:r>
      <w:r>
        <w:rPr>
          <w:rFonts w:ascii="Times New Roman" w:eastAsia="Times New Roman" w:hAnsi="Times New Roman" w:cs="Times New Roman"/>
        </w:rPr>
        <w:t xml:space="preserve">, </w:t>
      </w:r>
      <w:r>
        <w:rPr>
          <w:rFonts w:ascii="Times New Roman" w:eastAsia="Times New Roman" w:hAnsi="Times New Roman" w:cs="Times New Roman"/>
          <w:b/>
          <w:bCs/>
        </w:rPr>
        <w:t>21</w:t>
      </w:r>
      <w:r>
        <w:rPr>
          <w:rFonts w:ascii="Times New Roman" w:eastAsia="Times New Roman" w:hAnsi="Times New Roman" w:cs="Times New Roman"/>
        </w:rPr>
        <w:t>(1), 56–66.</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Bhattacharyya P, Pathak H, Pal S (2020) Crop management for climate-smar</w:t>
      </w:r>
      <w:r>
        <w:rPr>
          <w:rFonts w:ascii="Times New Roman" w:eastAsia="Times New Roman" w:hAnsi="Times New Roman" w:cs="Times New Roman"/>
        </w:rPr>
        <w:t>t agriculture. In: Climate smart agriculture. Springer, Singapore, pp 85–111.</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Black MJ, Roy A, </w:t>
      </w:r>
      <w:proofErr w:type="spellStart"/>
      <w:r>
        <w:rPr>
          <w:rFonts w:ascii="Times New Roman" w:eastAsia="Times New Roman" w:hAnsi="Times New Roman" w:cs="Times New Roman"/>
        </w:rPr>
        <w:t>Twinomunuji</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Kemausuor</w:t>
      </w:r>
      <w:proofErr w:type="spellEnd"/>
      <w:r>
        <w:rPr>
          <w:rFonts w:ascii="Times New Roman" w:eastAsia="Times New Roman" w:hAnsi="Times New Roman" w:cs="Times New Roman"/>
        </w:rPr>
        <w:t xml:space="preserve"> F, Oduro R, Leach M, </w:t>
      </w:r>
      <w:proofErr w:type="spellStart"/>
      <w:r>
        <w:rPr>
          <w:rFonts w:ascii="Times New Roman" w:eastAsia="Times New Roman" w:hAnsi="Times New Roman" w:cs="Times New Roman"/>
        </w:rPr>
        <w:t>Sadhukhan</w:t>
      </w:r>
      <w:proofErr w:type="spellEnd"/>
      <w:r>
        <w:rPr>
          <w:rFonts w:ascii="Times New Roman" w:eastAsia="Times New Roman" w:hAnsi="Times New Roman" w:cs="Times New Roman"/>
        </w:rPr>
        <w:t xml:space="preserve"> J, Murphy R (2021) Bottled biogas– an opportunity for clean cooking in Ghana and Uganda. Energies 14(13):</w:t>
      </w:r>
      <w:r>
        <w:rPr>
          <w:rFonts w:ascii="Times New Roman" w:eastAsia="Times New Roman" w:hAnsi="Times New Roman" w:cs="Times New Roman"/>
        </w:rPr>
        <w:t>3856.</w:t>
      </w:r>
    </w:p>
    <w:p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Blay</w:t>
      </w:r>
      <w:proofErr w:type="spellEnd"/>
      <w:r>
        <w:rPr>
          <w:rFonts w:ascii="Times New Roman" w:eastAsia="Times New Roman" w:hAnsi="Times New Roman" w:cs="Times New Roman"/>
        </w:rPr>
        <w:t xml:space="preserve">-Palmer A, van </w:t>
      </w:r>
      <w:proofErr w:type="spellStart"/>
      <w:r>
        <w:rPr>
          <w:rFonts w:ascii="Times New Roman" w:eastAsia="Times New Roman" w:hAnsi="Times New Roman" w:cs="Times New Roman"/>
        </w:rPr>
        <w:t>Veenhuizen</w:t>
      </w:r>
      <w:proofErr w:type="spellEnd"/>
      <w:r>
        <w:rPr>
          <w:rFonts w:ascii="Times New Roman" w:eastAsia="Times New Roman" w:hAnsi="Times New Roman" w:cs="Times New Roman"/>
        </w:rPr>
        <w:t xml:space="preserve"> R, Santini G, Hoffmann D, </w:t>
      </w:r>
      <w:proofErr w:type="spellStart"/>
      <w:r>
        <w:rPr>
          <w:rFonts w:ascii="Times New Roman" w:eastAsia="Times New Roman" w:hAnsi="Times New Roman" w:cs="Times New Roman"/>
        </w:rPr>
        <w:t>Wodni</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Stierand</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Stahlbrand</w:t>
      </w:r>
      <w:proofErr w:type="spellEnd"/>
      <w:r>
        <w:rPr>
          <w:rFonts w:ascii="Times New Roman" w:eastAsia="Times New Roman" w:hAnsi="Times New Roman" w:cs="Times New Roman"/>
        </w:rPr>
        <w:t xml:space="preserve"> L (2023) Urban–rural food system convergence as a vector for sustainable transformation. Urban Reg Agric:75–92.</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Chandana, S., Reddy, V., &amp; Rao, K. (2024). Landhol</w:t>
      </w:r>
      <w:r>
        <w:rPr>
          <w:rFonts w:ascii="Times New Roman" w:eastAsia="Times New Roman" w:hAnsi="Times New Roman" w:cs="Times New Roman"/>
        </w:rPr>
        <w:t xml:space="preserve">ding patterns and adoption of integrated farming systems. </w:t>
      </w:r>
      <w:r>
        <w:rPr>
          <w:rFonts w:ascii="Times New Roman" w:eastAsia="Times New Roman" w:hAnsi="Times New Roman" w:cs="Times New Roman"/>
          <w:i/>
          <w:iCs/>
        </w:rPr>
        <w:t>International Journal of Sustainable Agriculture</w:t>
      </w:r>
      <w:r>
        <w:rPr>
          <w:rFonts w:ascii="Times New Roman" w:eastAsia="Times New Roman" w:hAnsi="Times New Roman" w:cs="Times New Roman"/>
        </w:rPr>
        <w:t xml:space="preserve">, </w:t>
      </w:r>
      <w:r>
        <w:rPr>
          <w:rFonts w:ascii="Times New Roman" w:eastAsia="Times New Roman" w:hAnsi="Times New Roman" w:cs="Times New Roman"/>
          <w:b/>
          <w:bCs/>
        </w:rPr>
        <w:t>19</w:t>
      </w:r>
      <w:r>
        <w:rPr>
          <w:rFonts w:ascii="Times New Roman" w:eastAsia="Times New Roman" w:hAnsi="Times New Roman" w:cs="Times New Roman"/>
        </w:rPr>
        <w:t>(1), 74–82.</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Chandana, T.S., Reddy, P. V. and Rao, K. (2022). Socio-economic and psychological correlates of sustainable livelihood security among </w:t>
      </w:r>
      <w:r>
        <w:rPr>
          <w:rFonts w:ascii="Times New Roman" w:eastAsia="Times New Roman" w:hAnsi="Times New Roman" w:cs="Times New Roman"/>
        </w:rPr>
        <w:t xml:space="preserve">integrated farming system practitioners in Andhra Pradesh.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xml:space="preserve">, </w:t>
      </w:r>
      <w:r>
        <w:rPr>
          <w:rFonts w:ascii="Times New Roman" w:eastAsia="Times New Roman" w:hAnsi="Times New Roman" w:cs="Times New Roman"/>
          <w:b/>
          <w:bCs/>
        </w:rPr>
        <w:t>58</w:t>
      </w:r>
      <w:r>
        <w:rPr>
          <w:rFonts w:ascii="Times New Roman" w:eastAsia="Times New Roman" w:hAnsi="Times New Roman" w:cs="Times New Roman"/>
        </w:rPr>
        <w:t>(4), 65–74.</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Costa C, </w:t>
      </w:r>
      <w:proofErr w:type="spellStart"/>
      <w:r>
        <w:rPr>
          <w:rFonts w:ascii="Times New Roman" w:eastAsia="Times New Roman" w:hAnsi="Times New Roman" w:cs="Times New Roman"/>
        </w:rPr>
        <w:t>Azoia</w:t>
      </w:r>
      <w:proofErr w:type="spellEnd"/>
      <w:r>
        <w:rPr>
          <w:rFonts w:ascii="Times New Roman" w:eastAsia="Times New Roman" w:hAnsi="Times New Roman" w:cs="Times New Roman"/>
        </w:rPr>
        <w:t xml:space="preserve"> NG, Coelho L, </w:t>
      </w:r>
      <w:proofErr w:type="spellStart"/>
      <w:r>
        <w:rPr>
          <w:rFonts w:ascii="Times New Roman" w:eastAsia="Times New Roman" w:hAnsi="Times New Roman" w:cs="Times New Roman"/>
        </w:rPr>
        <w:t>Freixo</w:t>
      </w:r>
      <w:proofErr w:type="spellEnd"/>
      <w:r>
        <w:rPr>
          <w:rFonts w:ascii="Times New Roman" w:eastAsia="Times New Roman" w:hAnsi="Times New Roman" w:cs="Times New Roman"/>
        </w:rPr>
        <w:t xml:space="preserve"> R, Batista P, Pintado M (2021) Proteins derived from the dairy losses and by-products as raw materials for n</w:t>
      </w:r>
      <w:r>
        <w:rPr>
          <w:rFonts w:ascii="Times New Roman" w:eastAsia="Times New Roman" w:hAnsi="Times New Roman" w:cs="Times New Roman"/>
        </w:rPr>
        <w:t xml:space="preserve">on-food applications. Food </w:t>
      </w:r>
      <w:proofErr w:type="spellStart"/>
      <w:r>
        <w:rPr>
          <w:rFonts w:ascii="Times New Roman" w:eastAsia="Times New Roman" w:hAnsi="Times New Roman" w:cs="Times New Roman"/>
        </w:rPr>
        <w:t>Secur</w:t>
      </w:r>
      <w:proofErr w:type="spellEnd"/>
      <w:r>
        <w:rPr>
          <w:rFonts w:ascii="Times New Roman" w:eastAsia="Times New Roman" w:hAnsi="Times New Roman" w:cs="Times New Roman"/>
        </w:rPr>
        <w:t xml:space="preserve"> 10(1):135</w:t>
      </w:r>
    </w:p>
    <w:p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Dagar</w:t>
      </w:r>
      <w:proofErr w:type="spellEnd"/>
      <w:r>
        <w:rPr>
          <w:rFonts w:ascii="Times New Roman" w:eastAsia="Times New Roman" w:hAnsi="Times New Roman" w:cs="Times New Roman"/>
        </w:rPr>
        <w:t xml:space="preserve"> JC, Gupta SR, </w:t>
      </w:r>
      <w:proofErr w:type="spellStart"/>
      <w:r>
        <w:rPr>
          <w:rFonts w:ascii="Times New Roman" w:eastAsia="Times New Roman" w:hAnsi="Times New Roman" w:cs="Times New Roman"/>
        </w:rPr>
        <w:t>Sileshi</w:t>
      </w:r>
      <w:proofErr w:type="spellEnd"/>
      <w:r>
        <w:rPr>
          <w:rFonts w:ascii="Times New Roman" w:eastAsia="Times New Roman" w:hAnsi="Times New Roman" w:cs="Times New Roman"/>
        </w:rPr>
        <w:t xml:space="preserve"> GW (2023) Urban and peri-urban agroforestry to sustain </w:t>
      </w:r>
      <w:proofErr w:type="spellStart"/>
      <w:r>
        <w:rPr>
          <w:rFonts w:ascii="Times New Roman" w:eastAsia="Times New Roman" w:hAnsi="Times New Roman" w:cs="Times New Roman"/>
        </w:rPr>
        <w:t>liveli</w:t>
      </w:r>
      <w:proofErr w:type="spellEnd"/>
      <w:r>
        <w:rPr>
          <w:rFonts w:ascii="Times New Roman" w:eastAsia="Times New Roman" w:hAnsi="Times New Roman" w:cs="Times New Roman"/>
        </w:rPr>
        <w:t>-hood and food security in the face of global environmental change and epidemic threats. In: Agroforestry for sustainable in</w:t>
      </w:r>
      <w:r>
        <w:rPr>
          <w:rFonts w:ascii="Times New Roman" w:eastAsia="Times New Roman" w:hAnsi="Times New Roman" w:cs="Times New Roman"/>
        </w:rPr>
        <w:t>tensification of agriculture in Asia and Africa. Springer Nature Singapore, Singapore, pp89–118</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Das A, Datta D, </w:t>
      </w:r>
      <w:proofErr w:type="spellStart"/>
      <w:r>
        <w:rPr>
          <w:rFonts w:ascii="Times New Roman" w:eastAsia="Times New Roman" w:hAnsi="Times New Roman" w:cs="Times New Roman"/>
        </w:rPr>
        <w:t>Samajdar</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Idapuganti</w:t>
      </w:r>
      <w:proofErr w:type="spellEnd"/>
      <w:r>
        <w:rPr>
          <w:rFonts w:ascii="Times New Roman" w:eastAsia="Times New Roman" w:hAnsi="Times New Roman" w:cs="Times New Roman"/>
        </w:rPr>
        <w:t xml:space="preserve"> RG, Islam M, Choudhury BU, Mohapatra KP, </w:t>
      </w:r>
      <w:proofErr w:type="spellStart"/>
      <w:r>
        <w:rPr>
          <w:rFonts w:ascii="Times New Roman" w:eastAsia="Times New Roman" w:hAnsi="Times New Roman" w:cs="Times New Roman"/>
        </w:rPr>
        <w:t>Layek</w:t>
      </w:r>
      <w:proofErr w:type="spellEnd"/>
      <w:r>
        <w:rPr>
          <w:rFonts w:ascii="Times New Roman" w:eastAsia="Times New Roman" w:hAnsi="Times New Roman" w:cs="Times New Roman"/>
        </w:rPr>
        <w:t xml:space="preserve"> J, Subhash B, Yadav GS (2021) Livelihood security of small holder farmers </w:t>
      </w:r>
      <w:r>
        <w:rPr>
          <w:rFonts w:ascii="Times New Roman" w:eastAsia="Times New Roman" w:hAnsi="Times New Roman" w:cs="Times New Roman"/>
        </w:rPr>
        <w:t xml:space="preserve">in eastern Himalayas, India: pond based integrated farming system a sustainable approach. </w:t>
      </w:r>
      <w:proofErr w:type="spellStart"/>
      <w:r>
        <w:rPr>
          <w:rFonts w:ascii="Times New Roman" w:eastAsia="Times New Roman" w:hAnsi="Times New Roman" w:cs="Times New Roman"/>
        </w:rPr>
        <w:t>Curr</w:t>
      </w:r>
      <w:proofErr w:type="spellEnd"/>
      <w:r>
        <w:rPr>
          <w:rFonts w:ascii="Times New Roman" w:eastAsia="Times New Roman" w:hAnsi="Times New Roman" w:cs="Times New Roman"/>
        </w:rPr>
        <w:t xml:space="preserve"> Res Environ Sustain.</w:t>
      </w:r>
    </w:p>
    <w:p w:rsidR="00B339B5" w:rsidRDefault="00832689">
      <w:pPr>
        <w:jc w:val="both"/>
        <w:rPr>
          <w:rFonts w:ascii="Times New Roman" w:eastAsia="Times New Roman" w:hAnsi="Times New Roman" w:cs="Times New Roman"/>
        </w:rPr>
      </w:pPr>
      <w:r>
        <w:rPr>
          <w:rFonts w:ascii="Times New Roman" w:eastAsia="Times New Roman" w:hAnsi="Times New Roman" w:cs="Times New Roman"/>
        </w:rPr>
        <w:t xml:space="preserve">Delphin S, Snyder KA, Tanner S, </w:t>
      </w:r>
      <w:proofErr w:type="spellStart"/>
      <w:r>
        <w:rPr>
          <w:rFonts w:ascii="Times New Roman" w:eastAsia="Times New Roman" w:hAnsi="Times New Roman" w:cs="Times New Roman"/>
        </w:rPr>
        <w:t>Musálem</w:t>
      </w:r>
      <w:proofErr w:type="spellEnd"/>
      <w:r>
        <w:rPr>
          <w:rFonts w:ascii="Times New Roman" w:eastAsia="Times New Roman" w:hAnsi="Times New Roman" w:cs="Times New Roman"/>
        </w:rPr>
        <w:t xml:space="preserve"> K, Marsh SE, Soto JR (2022) Obstacles to the </w:t>
      </w:r>
      <w:proofErr w:type="spellStart"/>
      <w:r>
        <w:rPr>
          <w:rFonts w:ascii="Times New Roman" w:eastAsia="Times New Roman" w:hAnsi="Times New Roman" w:cs="Times New Roman"/>
        </w:rPr>
        <w:t>devel-opment</w:t>
      </w:r>
      <w:proofErr w:type="spellEnd"/>
      <w:r>
        <w:rPr>
          <w:rFonts w:ascii="Times New Roman" w:eastAsia="Times New Roman" w:hAnsi="Times New Roman" w:cs="Times New Roman"/>
        </w:rPr>
        <w:t xml:space="preserve"> of integrated land-use planning in develop</w:t>
      </w:r>
      <w:r>
        <w:rPr>
          <w:rFonts w:ascii="Times New Roman" w:eastAsia="Times New Roman" w:hAnsi="Times New Roman" w:cs="Times New Roman"/>
        </w:rPr>
        <w:t>ing countries: the case of Paraguay. Land 11(8):1339.</w:t>
      </w:r>
    </w:p>
    <w:p w:rsidR="00B339B5" w:rsidRDefault="00832689">
      <w:pPr>
        <w:jc w:val="both"/>
        <w:rPr>
          <w:rFonts w:ascii="Times New Roman" w:eastAsia="Times New Roman" w:hAnsi="Times New Roman" w:cs="Times New Roman"/>
        </w:rPr>
      </w:pPr>
      <w:proofErr w:type="spellStart"/>
      <w:r>
        <w:rPr>
          <w:rFonts w:ascii="Times New Roman" w:eastAsia="Times New Roman" w:hAnsi="Times New Roman" w:cs="Times New Roman"/>
        </w:rPr>
        <w:t>Dhonde</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Sahu</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Murty</w:t>
      </w:r>
      <w:proofErr w:type="spellEnd"/>
      <w:r>
        <w:rPr>
          <w:rFonts w:ascii="Times New Roman" w:eastAsia="Times New Roman" w:hAnsi="Times New Roman" w:cs="Times New Roman"/>
        </w:rPr>
        <w:t xml:space="preserve"> VVS (2022) The application of solar-driven technologies for the sustainable development of agriculture farming: a comprehensive review. Rev Environ Sci </w:t>
      </w:r>
      <w:proofErr w:type="spellStart"/>
      <w:r>
        <w:rPr>
          <w:rFonts w:ascii="Times New Roman" w:eastAsia="Times New Roman" w:hAnsi="Times New Roman" w:cs="Times New Roman"/>
        </w:rPr>
        <w:t>Biotechnol</w:t>
      </w:r>
      <w:proofErr w:type="spellEnd"/>
      <w:r>
        <w:rPr>
          <w:rFonts w:ascii="Times New Roman" w:eastAsia="Times New Roman" w:hAnsi="Times New Roman" w:cs="Times New Roman"/>
        </w:rPr>
        <w:t xml:space="preserve"> 21(1):139–167.</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Government Reports: Ministry of Agriculture &amp; Farmers Welfare (2022). Impact of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on Sustainable Agriculture in India. Government of India.</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Gupta, V. and Rao, S. (2024). Impact of IFS intervention on risk orientation of rice farmers in</w:t>
      </w:r>
      <w:r>
        <w:rPr>
          <w:rFonts w:ascii="Times New Roman" w:eastAsia="Times New Roman" w:hAnsi="Times New Roman" w:cs="Times New Roman"/>
        </w:rPr>
        <w:t xml:space="preserve"> Andhra Pradesh. </w:t>
      </w:r>
      <w:r>
        <w:rPr>
          <w:rFonts w:ascii="Times New Roman" w:eastAsia="Times New Roman" w:hAnsi="Times New Roman" w:cs="Times New Roman"/>
          <w:i/>
          <w:iCs/>
        </w:rPr>
        <w:t>Journal of Agricultural Extension Management</w:t>
      </w:r>
      <w:r>
        <w:rPr>
          <w:rFonts w:ascii="Times New Roman" w:eastAsia="Times New Roman" w:hAnsi="Times New Roman" w:cs="Times New Roman"/>
        </w:rPr>
        <w:t xml:space="preserve">, </w:t>
      </w:r>
      <w:r>
        <w:rPr>
          <w:rFonts w:ascii="Times New Roman" w:eastAsia="Times New Roman" w:hAnsi="Times New Roman" w:cs="Times New Roman"/>
          <w:b/>
          <w:bCs/>
        </w:rPr>
        <w:t>36</w:t>
      </w:r>
      <w:r>
        <w:rPr>
          <w:rFonts w:ascii="Times New Roman" w:eastAsia="Times New Roman" w:hAnsi="Times New Roman" w:cs="Times New Roman"/>
        </w:rPr>
        <w:t>(1), 33–40.</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ICAR Annual Reports: ICAR (2022). Annual Report on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Indian Council of Agricultural Research</w:t>
      </w:r>
      <w:r>
        <w:rPr>
          <w:rFonts w:ascii="Times New Roman" w:eastAsia="Times New Roman" w:hAnsi="Times New Roman" w:cs="Times New Roman"/>
        </w:rPr>
        <w:t>, New Delhi.</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ICAR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Overview – </w:t>
      </w:r>
      <w:hyperlink r:id="rId8">
        <w:r>
          <w:rPr>
            <w:rFonts w:ascii="Times New Roman" w:eastAsia="Times New Roman" w:hAnsi="Times New Roman" w:cs="Times New Roman"/>
            <w:color w:val="0000FF"/>
            <w:u w:val="single"/>
          </w:rPr>
          <w:t>ICAR Official Website</w:t>
        </w:r>
      </w:hyperlink>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ICAR-CRIDA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Objectives – </w:t>
      </w:r>
      <w:hyperlink r:id="rId9">
        <w:r>
          <w:rPr>
            <w:rFonts w:ascii="Times New Roman" w:eastAsia="Times New Roman" w:hAnsi="Times New Roman" w:cs="Times New Roman"/>
            <w:color w:val="0000FF"/>
            <w:u w:val="single"/>
          </w:rPr>
          <w:t>ICAR-CRIDA</w:t>
        </w:r>
      </w:hyperlink>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Joshi, M., Rawat, S. and Negi, R. (2023). Educational profile of farmers under integrated organic farming systems in Uttarakhand. </w:t>
      </w:r>
      <w:r>
        <w:rPr>
          <w:rFonts w:ascii="Times New Roman" w:eastAsia="Times New Roman" w:hAnsi="Times New Roman" w:cs="Times New Roman"/>
          <w:i/>
          <w:iCs/>
        </w:rPr>
        <w:t>Indian Journal of Organic Farming</w:t>
      </w:r>
      <w:r>
        <w:rPr>
          <w:rFonts w:ascii="Times New Roman" w:eastAsia="Times New Roman" w:hAnsi="Times New Roman" w:cs="Times New Roman"/>
        </w:rPr>
        <w:t xml:space="preserve">, </w:t>
      </w:r>
      <w:r>
        <w:rPr>
          <w:rFonts w:ascii="Times New Roman" w:eastAsia="Times New Roman" w:hAnsi="Times New Roman" w:cs="Times New Roman"/>
          <w:b/>
          <w:bCs/>
        </w:rPr>
        <w:t>9</w:t>
      </w:r>
      <w:r>
        <w:rPr>
          <w:rFonts w:ascii="Times New Roman" w:eastAsia="Times New Roman" w:hAnsi="Times New Roman" w:cs="Times New Roman"/>
        </w:rPr>
        <w:t>(1), 50–56.</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Kumar, A. and Meena, B.S. (2022). Assessment of IFS adoption in semi-arid Raja</w:t>
      </w:r>
      <w:r>
        <w:rPr>
          <w:rFonts w:ascii="Times New Roman" w:eastAsia="Times New Roman" w:hAnsi="Times New Roman" w:cs="Times New Roman"/>
        </w:rPr>
        <w:t xml:space="preserve">sthan: Integration trends and enterprise combinations. </w:t>
      </w:r>
      <w:r>
        <w:rPr>
          <w:rFonts w:ascii="Times New Roman" w:eastAsia="Times New Roman" w:hAnsi="Times New Roman" w:cs="Times New Roman"/>
          <w:i/>
          <w:iCs/>
        </w:rPr>
        <w:t>Journal of Agricultural Extension Management</w:t>
      </w:r>
      <w:r>
        <w:rPr>
          <w:rFonts w:ascii="Times New Roman" w:eastAsia="Times New Roman" w:hAnsi="Times New Roman" w:cs="Times New Roman"/>
        </w:rPr>
        <w:t xml:space="preserve">, </w:t>
      </w:r>
      <w:r>
        <w:rPr>
          <w:rFonts w:ascii="Times New Roman" w:eastAsia="Times New Roman" w:hAnsi="Times New Roman" w:cs="Times New Roman"/>
          <w:b/>
          <w:bCs/>
        </w:rPr>
        <w:t>23</w:t>
      </w:r>
      <w:r>
        <w:rPr>
          <w:rFonts w:ascii="Times New Roman" w:eastAsia="Times New Roman" w:hAnsi="Times New Roman" w:cs="Times New Roman"/>
        </w:rPr>
        <w:t>(1), 52–59.</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Kumar, P., Singh, A. and Devi, S. (2022). Integrated farming systems for fragmented holdings: A landholding-based study. </w:t>
      </w:r>
      <w:r>
        <w:rPr>
          <w:rFonts w:ascii="Times New Roman" w:eastAsia="Times New Roman" w:hAnsi="Times New Roman" w:cs="Times New Roman"/>
          <w:i/>
          <w:iCs/>
        </w:rPr>
        <w:t>Indian Journal of Ag</w:t>
      </w:r>
      <w:r>
        <w:rPr>
          <w:rFonts w:ascii="Times New Roman" w:eastAsia="Times New Roman" w:hAnsi="Times New Roman" w:cs="Times New Roman"/>
          <w:i/>
          <w:iCs/>
        </w:rPr>
        <w:t>ricultural Extension</w:t>
      </w:r>
      <w:r>
        <w:rPr>
          <w:rFonts w:ascii="Times New Roman" w:eastAsia="Times New Roman" w:hAnsi="Times New Roman" w:cs="Times New Roman"/>
        </w:rPr>
        <w:t xml:space="preserve">, </w:t>
      </w:r>
      <w:r>
        <w:rPr>
          <w:rFonts w:ascii="Times New Roman" w:eastAsia="Times New Roman" w:hAnsi="Times New Roman" w:cs="Times New Roman"/>
          <w:b/>
          <w:bCs/>
        </w:rPr>
        <w:t>58</w:t>
      </w:r>
      <w:r>
        <w:rPr>
          <w:rFonts w:ascii="Times New Roman" w:eastAsia="Times New Roman" w:hAnsi="Times New Roman" w:cs="Times New Roman"/>
        </w:rPr>
        <w:t>(3), 120–128.</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Pan, D., Sharma, P. and Das, S. (2023). Demographic factors influencing integrated farming adoption. </w:t>
      </w:r>
      <w:r>
        <w:rPr>
          <w:rFonts w:ascii="Times New Roman" w:eastAsia="Times New Roman" w:hAnsi="Times New Roman" w:cs="Times New Roman"/>
          <w:i/>
          <w:iCs/>
        </w:rPr>
        <w:t>Journal of Sustainable Rural Development</w:t>
      </w:r>
      <w:r>
        <w:rPr>
          <w:rFonts w:ascii="Times New Roman" w:eastAsia="Times New Roman" w:hAnsi="Times New Roman" w:cs="Times New Roman"/>
        </w:rPr>
        <w:t xml:space="preserve">, </w:t>
      </w:r>
      <w:r>
        <w:rPr>
          <w:rFonts w:ascii="Times New Roman" w:eastAsia="Times New Roman" w:hAnsi="Times New Roman" w:cs="Times New Roman"/>
          <w:b/>
          <w:bCs/>
        </w:rPr>
        <w:t>15</w:t>
      </w:r>
      <w:r>
        <w:rPr>
          <w:rFonts w:ascii="Times New Roman" w:eastAsia="Times New Roman" w:hAnsi="Times New Roman" w:cs="Times New Roman"/>
        </w:rPr>
        <w:t>(2), 101–109.</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Patel, M., Trivedi, D. and Joshi, N. (2022). Economic drivers and motivational behavior of IFS practitioners in Gujarat. </w:t>
      </w:r>
      <w:r>
        <w:rPr>
          <w:rFonts w:ascii="Times New Roman" w:eastAsia="Times New Roman" w:hAnsi="Times New Roman" w:cs="Times New Roman"/>
          <w:i/>
          <w:iCs/>
        </w:rPr>
        <w:t>Gujarat Journal of Extension Education,</w:t>
      </w:r>
      <w:r>
        <w:rPr>
          <w:rFonts w:ascii="Times New Roman" w:eastAsia="Times New Roman" w:hAnsi="Times New Roman" w:cs="Times New Roman"/>
        </w:rPr>
        <w:t xml:space="preserve"> </w:t>
      </w:r>
      <w:r>
        <w:rPr>
          <w:rFonts w:ascii="Times New Roman" w:eastAsia="Times New Roman" w:hAnsi="Times New Roman" w:cs="Times New Roman"/>
          <w:b/>
          <w:bCs/>
        </w:rPr>
        <w:t>33</w:t>
      </w:r>
      <w:r>
        <w:rPr>
          <w:rFonts w:ascii="Times New Roman" w:eastAsia="Times New Roman" w:hAnsi="Times New Roman" w:cs="Times New Roman"/>
        </w:rPr>
        <w:t>(1), 77–84.</w:t>
      </w:r>
    </w:p>
    <w:p w:rsidR="00B339B5" w:rsidRDefault="00832689">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Rani, P., Kaur, J. and Singh, H. (2021). Landholding size and accessibility of in</w:t>
      </w:r>
      <w:r>
        <w:rPr>
          <w:rFonts w:ascii="Times New Roman" w:eastAsia="Times New Roman" w:hAnsi="Times New Roman" w:cs="Times New Roman"/>
        </w:rPr>
        <w:t xml:space="preserve">tegrated farming systems. </w:t>
      </w:r>
      <w:r>
        <w:rPr>
          <w:rFonts w:ascii="Times New Roman" w:eastAsia="Times New Roman" w:hAnsi="Times New Roman" w:cs="Times New Roman"/>
          <w:i/>
          <w:iCs/>
        </w:rPr>
        <w:t>Indian Journal of Extension Research,</w:t>
      </w:r>
      <w:r>
        <w:rPr>
          <w:rFonts w:ascii="Times New Roman" w:eastAsia="Times New Roman" w:hAnsi="Times New Roman" w:cs="Times New Roman"/>
        </w:rPr>
        <w:t xml:space="preserve"> </w:t>
      </w:r>
      <w:r>
        <w:rPr>
          <w:rFonts w:ascii="Times New Roman" w:eastAsia="Times New Roman" w:hAnsi="Times New Roman" w:cs="Times New Roman"/>
          <w:b/>
          <w:bCs/>
        </w:rPr>
        <w:t>57</w:t>
      </w:r>
      <w:r>
        <w:rPr>
          <w:rFonts w:ascii="Times New Roman" w:eastAsia="Times New Roman" w:hAnsi="Times New Roman" w:cs="Times New Roman"/>
        </w:rPr>
        <w:t>(2), 98–105.</w:t>
      </w:r>
    </w:p>
    <w:sectPr w:rsidR="00B339B5">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689" w:rsidRDefault="00832689">
      <w:pPr>
        <w:spacing w:after="0" w:line="240" w:lineRule="auto"/>
      </w:pPr>
      <w:r>
        <w:separator/>
      </w:r>
    </w:p>
  </w:endnote>
  <w:endnote w:type="continuationSeparator" w:id="0">
    <w:p w:rsidR="00832689" w:rsidRDefault="00832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90012362-CB65-4EDE-BD93-1C4949134200}"/>
    <w:embedBold r:id="rId2" w:fontKey="{EC86ABC9-2FC7-4D72-B513-50C56791289B}"/>
    <w:embedItalic r:id="rId3" w:fontKey="{4434228A-9C70-4965-8555-D845B0C1576F}"/>
    <w:embedBoldItalic r:id="rId4" w:fontKey="{75FC8CF2-A056-4727-88A4-D9FF72812EB8}"/>
  </w:font>
  <w:font w:name="Calibri">
    <w:panose1 w:val="020F0502020204030204"/>
    <w:charset w:val="00"/>
    <w:family w:val="swiss"/>
    <w:pitch w:val="variable"/>
    <w:sig w:usb0="E4002EFF" w:usb1="C000247B" w:usb2="00000009" w:usb3="00000000" w:csb0="000001FF" w:csb1="00000000"/>
    <w:embedRegular r:id="rId5" w:fontKey="{0C99DBA9-7DD6-4027-8399-FDE1D93BD20C}"/>
    <w:embedBold r:id="rId6" w:fontKey="{36D7C1A4-7BA5-44B1-A3F8-247BE2A6AEB6}"/>
    <w:embedItalic r:id="rId7" w:fontKey="{FE10CC3F-2F3B-4923-8B67-FDE14D05524E}"/>
    <w:embedBoldItalic r:id="rId8" w:fontKey="{3A8D5FC7-C4B6-4A60-B6BD-B9217E3BAA1B}"/>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Gungsuh">
    <w:altName w:val="Gungsuh"/>
    <w:charset w:val="81"/>
    <w:family w:val="roman"/>
    <w:pitch w:val="variable"/>
    <w:sig w:usb0="B00002AF" w:usb1="69D77CFB" w:usb2="00000030" w:usb3="00000000" w:csb0="0008009F" w:csb1="00000000"/>
    <w:embedRegular r:id="rId9" w:subsetted="1" w:fontKey="{CBE0C673-118D-4CE2-889B-965DD759D1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865" w:rsidRDefault="007E48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9B5" w:rsidRDefault="00B339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865" w:rsidRDefault="007E4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689" w:rsidRDefault="00832689">
      <w:pPr>
        <w:spacing w:after="0" w:line="240" w:lineRule="auto"/>
      </w:pPr>
      <w:r>
        <w:separator/>
      </w:r>
    </w:p>
  </w:footnote>
  <w:footnote w:type="continuationSeparator" w:id="0">
    <w:p w:rsidR="00832689" w:rsidRDefault="008326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865" w:rsidRDefault="007E48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7501"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865" w:rsidRDefault="007E48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7502"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865" w:rsidRDefault="007E48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7500"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D1FD7"/>
    <w:multiLevelType w:val="multilevel"/>
    <w:tmpl w:val="885CAC3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9B5"/>
    <w:rsid w:val="007E4865"/>
    <w:rsid w:val="00832689"/>
    <w:rsid w:val="00B33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08A7F59-12B1-48E6-9622-29E25C581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F2510"/>
    <w:rPr>
      <w:color w:val="0000FF" w:themeColor="hyperlink"/>
      <w:u w:val="single"/>
    </w:rPr>
  </w:style>
  <w:style w:type="character" w:styleId="UnresolvedMention">
    <w:name w:val="Unresolved Mention"/>
    <w:basedOn w:val="DefaultParagraphFont"/>
    <w:uiPriority w:val="99"/>
    <w:semiHidden/>
    <w:unhideWhenUsed/>
    <w:rsid w:val="00BF2510"/>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icar.org.in/node/291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car-crida.res.in/FFP.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iRjwgxUOkN2UMxAAC8KOS4I/w==">CgMxLjAaJQoBMBIgCh4IB0IaCg9UaW1lcyBOZXcgUm9tYW4SB0d1bmdzdWgaJQoBMRIgCh4IB0IaCg9UaW1lcyBOZXcgUm9tYW4SB0d1bmdzdWgaJQoBMhIgCh4IB0IaCg9UaW1lcyBOZXcgUm9tYW4SB0d1bmdzdWgaJQoBMxIgCh4IB0IaCg9UaW1lcyBOZXcgUm9tYW4SB0d1bmdzdWgaJQoBNBIgCh4IB0IaCg9UaW1lcyBOZXcgUm9tYW4SB0d1bmdzdWgyDmguZmtibTJma2tod281Mg5oLmZ4Y3RpZHVxdXl6aDIOaC5wZHB6amFteHZqdm8yDmguNnVtMWhsYXhibTZkMg5oLnV5NWpoOW5xazdiYzgAciExZi1BVDdBYTE0THU2SFhXT1RkTEJ3WEVBY3U4bTV4N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3266</Words>
  <Characters>18620</Characters>
  <Application>Microsoft Office Word</Application>
  <DocSecurity>0</DocSecurity>
  <Lines>155</Lines>
  <Paragraphs>43</Paragraphs>
  <ScaleCrop>false</ScaleCrop>
  <Company/>
  <LinksUpToDate>false</LinksUpToDate>
  <CharactersWithSpaces>21843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1084</cp:lastModifiedBy>
  <cp:revision>2</cp:revision>
  <dcterms:created xsi:type="dcterms:W3CDTF">2013-12-23T23:15:00Z</dcterms:created>
  <dcterms:modified xsi:type="dcterms:W3CDTF">2026-03-16T11:43:00Z</dcterms:modified>
</cp:coreProperties>
</file>