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EE25" w14:textId="77777777" w:rsidR="003F616A" w:rsidRDefault="003F616A" w:rsidP="006506A7">
      <w:pPr>
        <w:spacing w:after="200"/>
        <w:jc w:val="center"/>
        <w:rPr>
          <w:b/>
          <w:bCs/>
          <w:sz w:val="32"/>
          <w:szCs w:val="32"/>
        </w:rPr>
      </w:pPr>
      <w:proofErr w:type="gramStart"/>
      <w:r w:rsidRPr="003F616A">
        <w:rPr>
          <w:b/>
          <w:bCs/>
          <w:sz w:val="32"/>
          <w:szCs w:val="32"/>
        </w:rPr>
        <w:t>Review  article</w:t>
      </w:r>
      <w:proofErr w:type="gramEnd"/>
      <w:r w:rsidRPr="003F616A">
        <w:rPr>
          <w:b/>
          <w:bCs/>
          <w:sz w:val="32"/>
          <w:szCs w:val="32"/>
        </w:rPr>
        <w:t xml:space="preserve"> </w:t>
      </w:r>
    </w:p>
    <w:p w14:paraId="78D51B6E" w14:textId="1A4FB080" w:rsidR="00B303BF" w:rsidRDefault="005B386D" w:rsidP="006506A7">
      <w:pPr>
        <w:spacing w:after="200"/>
        <w:jc w:val="center"/>
      </w:pPr>
      <w:r>
        <w:rPr>
          <w:b/>
          <w:bCs/>
          <w:sz w:val="32"/>
          <w:szCs w:val="32"/>
        </w:rPr>
        <w:t>Reproductive Control in the Bitch after Unplanned Mating (Misalliance):</w:t>
      </w:r>
      <w:r w:rsidR="006506A7">
        <w:t xml:space="preserve"> </w:t>
      </w:r>
      <w:r>
        <w:rPr>
          <w:b/>
          <w:bCs/>
          <w:sz w:val="32"/>
          <w:szCs w:val="32"/>
        </w:rPr>
        <w:t>A Comprehensive Narrative Review</w:t>
      </w:r>
    </w:p>
    <w:p w14:paraId="228A3729" w14:textId="77777777" w:rsidR="00B303BF" w:rsidRDefault="00B303BF">
      <w:pPr>
        <w:spacing w:after="120"/>
      </w:pPr>
    </w:p>
    <w:p w14:paraId="2B72DE76" w14:textId="77777777" w:rsidR="00B303BF" w:rsidRDefault="005B386D">
      <w:pPr>
        <w:pStyle w:val="Heading1"/>
      </w:pPr>
      <w:r>
        <w:t>Abstract</w:t>
      </w:r>
      <w:bookmarkStart w:id="0" w:name="_GoBack"/>
      <w:bookmarkEnd w:id="0"/>
    </w:p>
    <w:p w14:paraId="70CD220A" w14:textId="77777777" w:rsidR="00B303BF" w:rsidRDefault="005B386D">
      <w:pPr>
        <w:spacing w:after="120" w:line="360" w:lineRule="auto"/>
        <w:jc w:val="both"/>
      </w:pPr>
      <w:r>
        <w:t xml:space="preserve">Unplanned or unwanted mating, commonly referred to as misalliance or </w:t>
      </w:r>
      <w:proofErr w:type="spellStart"/>
      <w:r>
        <w:t>mismating</w:t>
      </w:r>
      <w:proofErr w:type="spellEnd"/>
      <w:r>
        <w:t>, remains one of the most frequently encountered reproductive emergencies in small animal veterinary practice. The clinical management of misalliance in the bitch has evolved substantially over the past four decades, transitioning from the widespread use o</w:t>
      </w:r>
      <w:r>
        <w:t>f oestrogenic compounds—which carried significant risks of bone marrow suppression and potentially fatal aplastic anaemia—to more targeted pharmacological strategies that exploit the unique endocrinology of canine pregnancy. The domestic bitch is unusual a</w:t>
      </w:r>
      <w:r>
        <w:t>mong domestic species in that the corpus luteum is the sole source of progesterone throughout gestation, with no placental progesterone production, rendering pregnancy entirely luteal-dependent. This characteristic has permitted the development of highly e</w:t>
      </w:r>
      <w:r>
        <w:t xml:space="preserve">ffective abortifacient protocols based upon progesterone receptor antagonism, </w:t>
      </w:r>
      <w:proofErr w:type="spellStart"/>
      <w:r>
        <w:t>luteolysis</w:t>
      </w:r>
      <w:proofErr w:type="spellEnd"/>
      <w:r>
        <w:t xml:space="preserve"> through prostaglandin administration, and suppression of the </w:t>
      </w:r>
      <w:proofErr w:type="spellStart"/>
      <w:r>
        <w:t>luteotrophic</w:t>
      </w:r>
      <w:proofErr w:type="spellEnd"/>
      <w:r>
        <w:t xml:space="preserve"> hormone prolactin via dopamine agonists. </w:t>
      </w:r>
      <w:proofErr w:type="spellStart"/>
      <w:r>
        <w:t>Aglepristone</w:t>
      </w:r>
      <w:proofErr w:type="spellEnd"/>
      <w:r>
        <w:t xml:space="preserve">, a synthetic </w:t>
      </w:r>
      <w:proofErr w:type="spellStart"/>
      <w:r>
        <w:t>antiprogestin</w:t>
      </w:r>
      <w:proofErr w:type="spellEnd"/>
      <w:r>
        <w:t>, has emerged</w:t>
      </w:r>
      <w:r>
        <w:t xml:space="preserve"> as the most widely used and best-characterised agent for pregnancy termination in the bitch, demonstrating efficacy rates exceeding ninety-five per cent when administered during the first half of gestation. Combination protocols employing </w:t>
      </w:r>
      <w:proofErr w:type="spellStart"/>
      <w:r>
        <w:t>aglepristone</w:t>
      </w:r>
      <w:proofErr w:type="spellEnd"/>
      <w:r>
        <w:t xml:space="preserve"> tog</w:t>
      </w:r>
      <w:r>
        <w:t xml:space="preserve">ether with prostaglandin analogues or dopamine agonists such as cabergoline have further improved success rates, particularly in mid- to late-gestation cases. Surgical ovariohysterectomy remains the definitive option when future breeding is not desired or </w:t>
      </w:r>
      <w:r>
        <w:t>when medical contraindications preclude pharmacological management. This review provides a comprehensive appraisal of the physiological basis, pharmacological mechanisms, clinical protocols, efficacy data, and safety profiles of the principal methods avail</w:t>
      </w:r>
      <w:r>
        <w:t>able for reproductive control following misalliance in the bitch, drawing upon evidence published in the peer-reviewed veterinary literature.</w:t>
      </w:r>
    </w:p>
    <w:p w14:paraId="089FDD49" w14:textId="77777777" w:rsidR="00B303BF" w:rsidRDefault="00B303BF">
      <w:pPr>
        <w:spacing w:after="120"/>
      </w:pPr>
    </w:p>
    <w:p w14:paraId="77F8F289" w14:textId="77777777" w:rsidR="00B303BF" w:rsidRDefault="005B386D">
      <w:pPr>
        <w:spacing w:after="120" w:line="360" w:lineRule="auto"/>
        <w:jc w:val="both"/>
      </w:pPr>
      <w:r>
        <w:rPr>
          <w:b/>
          <w:bCs/>
        </w:rPr>
        <w:t xml:space="preserve">Keywords: </w:t>
      </w:r>
      <w:r>
        <w:t xml:space="preserve">misalliance; </w:t>
      </w:r>
      <w:proofErr w:type="spellStart"/>
      <w:r>
        <w:t>mismating</w:t>
      </w:r>
      <w:proofErr w:type="spellEnd"/>
      <w:r>
        <w:t xml:space="preserve">; bitch; pregnancy termination; </w:t>
      </w:r>
      <w:proofErr w:type="spellStart"/>
      <w:r>
        <w:t>aglepristone</w:t>
      </w:r>
      <w:proofErr w:type="spellEnd"/>
      <w:r>
        <w:t xml:space="preserve">; prostaglandin; cabergoline; </w:t>
      </w:r>
      <w:proofErr w:type="spellStart"/>
      <w:r>
        <w:t>antipro</w:t>
      </w:r>
      <w:r>
        <w:t>gestin</w:t>
      </w:r>
      <w:proofErr w:type="spellEnd"/>
      <w:r>
        <w:t>; canine reproduction; abortifacient</w:t>
      </w:r>
    </w:p>
    <w:p w14:paraId="247D7ABE" w14:textId="77777777" w:rsidR="00B303BF" w:rsidRDefault="005B386D">
      <w:pPr>
        <w:pStyle w:val="Heading1"/>
      </w:pPr>
      <w:r>
        <w:t>1. Introduction</w:t>
      </w:r>
    </w:p>
    <w:p w14:paraId="7CDA7FFF" w14:textId="77777777" w:rsidR="00B303BF" w:rsidRDefault="005B386D">
      <w:pPr>
        <w:spacing w:after="120" w:line="360" w:lineRule="auto"/>
        <w:jc w:val="both"/>
      </w:pPr>
      <w:r>
        <w:lastRenderedPageBreak/>
        <w:t>The domestic dog (</w:t>
      </w:r>
      <w:proofErr w:type="spellStart"/>
      <w:r>
        <w:t>Canis</w:t>
      </w:r>
      <w:proofErr w:type="spellEnd"/>
      <w:r>
        <w:t xml:space="preserve"> lupus </w:t>
      </w:r>
      <w:proofErr w:type="spellStart"/>
      <w:r>
        <w:t>familiaris</w:t>
      </w:r>
      <w:proofErr w:type="spellEnd"/>
      <w:r>
        <w:t xml:space="preserve">) presents unique reproductive characteristics that distinguish it from most other domestic species. The bitch is a non-seasonal, </w:t>
      </w:r>
      <w:proofErr w:type="spellStart"/>
      <w:r>
        <w:t>monoestrous</w:t>
      </w:r>
      <w:proofErr w:type="spellEnd"/>
      <w:r>
        <w:t xml:space="preserve"> species with a </w:t>
      </w:r>
      <w:r>
        <w:t>prolonged obligatory luteal phase, an exceptionally long pro-oestrous and oestrous period, and a gestation length of approximately 63 days from ovulation (Concannon, 2011). Unlike ruminants, equids, and swine, the bitch does not exhibit a luteolytic mechan</w:t>
      </w:r>
      <w:r>
        <w:t xml:space="preserve">ism involving uterine prostaglandin secretion, and the corpus luteum persists for a comparable duration in both pregnant and non-pregnant cycles (Hoffmann et al., 1992; </w:t>
      </w:r>
      <w:proofErr w:type="spellStart"/>
      <w:r>
        <w:t>Okkens</w:t>
      </w:r>
      <w:proofErr w:type="spellEnd"/>
      <w:r>
        <w:t xml:space="preserve"> &amp; </w:t>
      </w:r>
      <w:proofErr w:type="spellStart"/>
      <w:r>
        <w:t>Kooistra</w:t>
      </w:r>
      <w:proofErr w:type="spellEnd"/>
      <w:r>
        <w:t>, 2006). Crucially, the bitch is obligately dependent upon luteal prog</w:t>
      </w:r>
      <w:r>
        <w:t>esterone for the maintenance of pregnancy throughout its entirety, as the canine placenta does not synthesise progesterone (Concannon et al., 1989; Kowalewski, 2014). This fundamental physiological feature underpins the rationale for the majority of pharma</w:t>
      </w:r>
      <w:r>
        <w:t>cological approaches to pregnancy termination following unwanted mating.</w:t>
      </w:r>
    </w:p>
    <w:p w14:paraId="656D4395" w14:textId="77777777" w:rsidR="00B303BF" w:rsidRDefault="005B386D">
      <w:pPr>
        <w:spacing w:after="120" w:line="360" w:lineRule="auto"/>
        <w:jc w:val="both"/>
      </w:pPr>
      <w:r>
        <w:t xml:space="preserve">Misalliance, also termed </w:t>
      </w:r>
      <w:proofErr w:type="spellStart"/>
      <w:r>
        <w:t>mismating</w:t>
      </w:r>
      <w:proofErr w:type="spellEnd"/>
      <w:r>
        <w:t>, refers to an unplanned or unwanted copulation, frequently involving a bitch intended for controlled breeding with a specific sire, an immature bitc</w:t>
      </w:r>
      <w:r>
        <w:t>h experiencing her first oestrous cycle, or a companion animal for which the owner did not intend breeding. It is among the most common reproductive presentations in first-opinion veterinary practice, and the attending clinician must be prepared to discuss</w:t>
      </w:r>
      <w:r>
        <w:t xml:space="preserve"> the available options with the owner in a timely, evidence-based, and compassionate manner. The urgency of the presentation varies considerably: some owners present immediately after witnessing the mating, whereas others may not seek veterinary attention </w:t>
      </w:r>
      <w:r>
        <w:t>until several weeks have elapsed, by which time the bitch may already be in established pregnancy. The diversity of clinical scenarios encountered underscores the necessity for a thorough understanding of the full range of available interventions.</w:t>
      </w:r>
    </w:p>
    <w:p w14:paraId="2BC6A557" w14:textId="77777777" w:rsidR="00B303BF" w:rsidRDefault="005B386D">
      <w:pPr>
        <w:spacing w:after="120" w:line="360" w:lineRule="auto"/>
        <w:jc w:val="both"/>
      </w:pPr>
      <w:r>
        <w:t>Historic</w:t>
      </w:r>
      <w:r>
        <w:t>ally, the management of misalliance relied upon the administration of oestrogenic compounds, most commonly oestradiol benzoate or diethylstilboestrol. These agents were believed to prevent implantation by altering oviductal transport and uterine receptivit</w:t>
      </w:r>
      <w:r>
        <w:t xml:space="preserve">y (Bowen et al., 1985). However, the use of oestrogens was associated with a disturbingly high incidence of serious and occasionally fatal adverse effects, including bone marrow suppression, </w:t>
      </w:r>
      <w:proofErr w:type="spellStart"/>
      <w:r>
        <w:t>pancytopaenia</w:t>
      </w:r>
      <w:proofErr w:type="spellEnd"/>
      <w:r>
        <w:t>, and pyometra (Bowen et al., 1985; Sutton et al., 1</w:t>
      </w:r>
      <w:r>
        <w:t>997). The recognition of these hazards prompted the veterinary profession to seek safer alternatives, and over the past three decades, a paradigm shift has occurred in favour of agents that target the endocrine mechanisms sustaining canine pregnancy.</w:t>
      </w:r>
    </w:p>
    <w:p w14:paraId="7EC1B7E5" w14:textId="77777777" w:rsidR="00B303BF" w:rsidRDefault="005B386D">
      <w:pPr>
        <w:spacing w:after="120" w:line="360" w:lineRule="auto"/>
        <w:jc w:val="both"/>
      </w:pPr>
      <w:r>
        <w:lastRenderedPageBreak/>
        <w:t>The p</w:t>
      </w:r>
      <w:r>
        <w:t>rincipal pharmacological strategies currently available may be classified according to their mechanism of action: progesterone receptor antagonists (</w:t>
      </w:r>
      <w:proofErr w:type="spellStart"/>
      <w:r>
        <w:t>antiprogestins</w:t>
      </w:r>
      <w:proofErr w:type="spellEnd"/>
      <w:r>
        <w:t xml:space="preserve">, notably </w:t>
      </w:r>
      <w:proofErr w:type="spellStart"/>
      <w:r>
        <w:t>aglepristone</w:t>
      </w:r>
      <w:proofErr w:type="spellEnd"/>
      <w:r>
        <w:t>), prostaglandins and their synthetic analogues, dopamine agonists that</w:t>
      </w:r>
      <w:r>
        <w:t xml:space="preserve"> suppress prolactin secretion (notably cabergoline and bromocriptine), gonadotrophin-releasing hormone (GnRH) agonists and antagonists, and glucocorticoids such as dexamethasone. Combination protocols employing two or more of these agents have been develop</w:t>
      </w:r>
      <w:r>
        <w:t>ed to enhance efficacy, particularly in advanced pregnancy. Surgical ovariohysterectomy remains the definitive solution when the owner does not wish to preserve the bitch’s reproductive capacity (</w:t>
      </w:r>
      <w:proofErr w:type="spellStart"/>
      <w:r>
        <w:t>Eilts</w:t>
      </w:r>
      <w:proofErr w:type="spellEnd"/>
      <w:r>
        <w:t xml:space="preserve">, 2002; </w:t>
      </w:r>
      <w:proofErr w:type="spellStart"/>
      <w:r>
        <w:t>Gobello</w:t>
      </w:r>
      <w:proofErr w:type="spellEnd"/>
      <w:r>
        <w:t>, 2006; Wiebe &amp; Howard, 2009).</w:t>
      </w:r>
    </w:p>
    <w:p w14:paraId="68B8BC5B" w14:textId="77777777" w:rsidR="00B303BF" w:rsidRDefault="005B386D">
      <w:pPr>
        <w:spacing w:after="120" w:line="360" w:lineRule="auto"/>
        <w:jc w:val="both"/>
      </w:pPr>
      <w:r>
        <w:t>The selec</w:t>
      </w:r>
      <w:r>
        <w:t>tion of an appropriate protocol requires a thorough understanding of canine reproductive endocrinology, accurate determination of the stage of the oestrous cycle or gestation, consideration of the bitch’s breeding value and general health, and an honest ap</w:t>
      </w:r>
      <w:r>
        <w:t xml:space="preserve">praisal of the efficacy and potential adverse effects of the available agents. The timing of intervention is critical: some protocols are effective only within a narrow window after mating, whereas others may be employed throughout the first two-thirds of </w:t>
      </w:r>
      <w:r>
        <w:t>gestation. Furthermore, the regulatory availability of specific agents varies considerably between jurisdictions, adding a practical dimension to clinical decision-making. In the present era of evidence-based veterinary medicine, practitioners require acce</w:t>
      </w:r>
      <w:r>
        <w:t>ss to a comprehensive, up-to-date synthesis of the available literature to guide their clinical judgement in this frequently encountered scenario.</w:t>
      </w:r>
    </w:p>
    <w:p w14:paraId="121EEC1E" w14:textId="77777777" w:rsidR="00B303BF" w:rsidRDefault="005B386D">
      <w:pPr>
        <w:pStyle w:val="Heading2"/>
      </w:pPr>
      <w:r>
        <w:t>1.1 Scope and Objectives of This Review</w:t>
      </w:r>
    </w:p>
    <w:p w14:paraId="4754F471" w14:textId="77777777" w:rsidR="00B303BF" w:rsidRDefault="005B386D">
      <w:pPr>
        <w:spacing w:after="120" w:line="360" w:lineRule="auto"/>
        <w:jc w:val="both"/>
      </w:pPr>
      <w:r>
        <w:t>This narrative review aims to provide a comprehensive, clinically ori</w:t>
      </w:r>
      <w:r>
        <w:t>ented synthesis of the current knowledge regarding reproductive control in the bitch following unplanned mating. The specific objectives are as follows. First, to outline the salient features of canine reproductive physiology that are pertinent to the unde</w:t>
      </w:r>
      <w:r>
        <w:t xml:space="preserve">rstanding of misalliance management. Second, to describe and critically evaluate the pharmacological agents and protocols available for pregnancy prevention and termination in the bitch, including oestrogenic compounds, prostaglandins, </w:t>
      </w:r>
      <w:proofErr w:type="spellStart"/>
      <w:r>
        <w:t>antiprogestins</w:t>
      </w:r>
      <w:proofErr w:type="spellEnd"/>
      <w:r>
        <w:t>, dopa</w:t>
      </w:r>
      <w:r>
        <w:t>mine agonists, GnRH analogues, glucocorticoids, and combination regimens. Third, to discuss the comparative efficacy, safety profiles, and practical considerations associated with each approach. Fourth, to address surgical options and the circumstances und</w:t>
      </w:r>
      <w:r>
        <w:t>er which they are indicated. Fifth, to consider the ethical and welfare dimensions of reproductive intervention in the bitch. The review is intended to serve as a reference for veterinary practitioners, clinical researchers, and postgraduate students seeki</w:t>
      </w:r>
      <w:r>
        <w:t xml:space="preserve">ng </w:t>
      </w:r>
      <w:r>
        <w:lastRenderedPageBreak/>
        <w:t>an evidence-based guide to this common and clinically important aspect of small animal reproductive medicine.</w:t>
      </w:r>
    </w:p>
    <w:p w14:paraId="21328013" w14:textId="77777777" w:rsidR="00B303BF" w:rsidRDefault="005B386D">
      <w:pPr>
        <w:pStyle w:val="Heading1"/>
      </w:pPr>
      <w:r>
        <w:t>2. Methods for Literature Selection</w:t>
      </w:r>
    </w:p>
    <w:p w14:paraId="29681765" w14:textId="77777777" w:rsidR="00B303BF" w:rsidRDefault="005B386D">
      <w:pPr>
        <w:spacing w:after="120" w:line="360" w:lineRule="auto"/>
        <w:jc w:val="both"/>
      </w:pPr>
      <w:r>
        <w:t>This narrative review was conducted by searching the electronic databases PubMed, Scopus, Web of Science, a</w:t>
      </w:r>
      <w:r>
        <w:t>nd Google Scholar using combinations of the following search terms: “misalliance,” “</w:t>
      </w:r>
      <w:proofErr w:type="spellStart"/>
      <w:r>
        <w:t>mismating</w:t>
      </w:r>
      <w:proofErr w:type="spellEnd"/>
      <w:r>
        <w:t>,” “pregnancy termination,” “abortion,” “bitch,” “canine,” “dog,” “</w:t>
      </w:r>
      <w:proofErr w:type="spellStart"/>
      <w:r>
        <w:t>aglepristone</w:t>
      </w:r>
      <w:proofErr w:type="spellEnd"/>
      <w:r>
        <w:t>,” “</w:t>
      </w:r>
      <w:proofErr w:type="spellStart"/>
      <w:r>
        <w:t>antiprogestin</w:t>
      </w:r>
      <w:proofErr w:type="spellEnd"/>
      <w:r>
        <w:t>,” “prostaglandin,” “cabergoline,” “bromocriptine,” “dopamine agoni</w:t>
      </w:r>
      <w:r>
        <w:t>st,” “oestrogen,” “GnRH,” “dexamethasone,” “canine reproductive physiology,” and “corpus luteum.” The primary date range for the search was 1990 to 2026, although classic and historically significant publications from earlier decades were also included whe</w:t>
      </w:r>
      <w:r>
        <w:t>re they provided essential context or remained the most authoritative source on a given topic. Inclusion criteria encompassed original research articles, clinical trials, and review articles published in peer-reviewed veterinary and biomedical journals. Ex</w:t>
      </w:r>
      <w:r>
        <w:t>clusion criteria included grey literature, conference abstracts not subsequently published as full papers, book chapters, and non-peer-reviewed sources. Reference lists of retrieved articles were manually screened to identify additional relevant publicatio</w:t>
      </w:r>
      <w:r>
        <w:t>ns.</w:t>
      </w:r>
    </w:p>
    <w:p w14:paraId="195643E7" w14:textId="77777777" w:rsidR="00B303BF" w:rsidRDefault="005B386D">
      <w:pPr>
        <w:spacing w:after="120" w:line="360" w:lineRule="auto"/>
        <w:jc w:val="both"/>
      </w:pPr>
      <w:r>
        <w:t>A narrative rather than systematic review methodology was adopted for several reasons. The pharmacological literature on canine misalliance management is characterised by considerable heterogeneity in study design, outcome measures, dosing regimens, an</w:t>
      </w:r>
      <w:r>
        <w:t>d gestational timing, rendering formal meta-analysis problematic. Furthermore, a narrative approach permits the integration of classical physiological studies with more recent clinical data, providing the broader contextual framework necessary for a clinic</w:t>
      </w:r>
      <w:r>
        <w:t>ally useful review. The authors acknowledge that a narrative review is inherently subject to selection bias and does not carry the same evidentiary weight as a formal systematic review; however, the approach was considered most appropriate given the breadt</w:t>
      </w:r>
      <w:r>
        <w:t>h and diversity of the subject matter.</w:t>
      </w:r>
    </w:p>
    <w:p w14:paraId="1D77AFF7" w14:textId="77777777" w:rsidR="00B303BF" w:rsidRDefault="005B386D">
      <w:pPr>
        <w:pStyle w:val="Heading1"/>
      </w:pPr>
      <w:r>
        <w:t>3. Reproductive Physiology of the Bitch Pertinent to Misalliance</w:t>
      </w:r>
    </w:p>
    <w:p w14:paraId="13A64F4E" w14:textId="77777777" w:rsidR="00B303BF" w:rsidRDefault="005B386D">
      <w:pPr>
        <w:pStyle w:val="Heading2"/>
      </w:pPr>
      <w:r>
        <w:t>3.1 The Oestrous Cycle</w:t>
      </w:r>
    </w:p>
    <w:p w14:paraId="6E3D1C21" w14:textId="77777777" w:rsidR="00B303BF" w:rsidRDefault="005B386D">
      <w:pPr>
        <w:spacing w:after="120" w:line="360" w:lineRule="auto"/>
        <w:jc w:val="both"/>
      </w:pPr>
      <w:r>
        <w:t xml:space="preserve">The domestic bitch is classified as a non-seasonal, </w:t>
      </w:r>
      <w:proofErr w:type="spellStart"/>
      <w:r>
        <w:t>monoestrous</w:t>
      </w:r>
      <w:proofErr w:type="spellEnd"/>
      <w:r>
        <w:t xml:space="preserve"> species, typically experiencing one or two oestrous cycles per ye</w:t>
      </w:r>
      <w:r>
        <w:t xml:space="preserve">ar depending upon breed, age, and individual variation (Concannon, 2011). The oestrous cycle comprises four phases: pro-oestrus, oestrus, dioestrus (also termed </w:t>
      </w:r>
      <w:proofErr w:type="spellStart"/>
      <w:r>
        <w:t>metoestrus</w:t>
      </w:r>
      <w:proofErr w:type="spellEnd"/>
      <w:r>
        <w:t xml:space="preserve">), and anoestrus. Pro-oestrus is characterised by rising oestradiol </w:t>
      </w:r>
      <w:r>
        <w:lastRenderedPageBreak/>
        <w:t>concentrations, v</w:t>
      </w:r>
      <w:r>
        <w:t>ulval swelling, and serosanguineous vaginal discharge, lasting on average nine days. Oestrus, the period of sexual receptivity and willingness to accept the male, follows and has a similar average duration. During late pro-oestrus and early oestrus, the pr</w:t>
      </w:r>
      <w:r>
        <w:t>e-ovulatory luteinising hormone (LH) surge occurs, triggering ovulation approximately two days later (Concannon et al., 1977). A distinctive feature of canine reproductive biology is that oocytes are ovulated as primary oocytes and require an additional tw</w:t>
      </w:r>
      <w:r>
        <w:t>o to three days to undergo meiotic maturation within the oviduct before they become fertilisable (Concannon, 2011). Consequently, the fertile period extends from approximately two days before to five days after the LH surge.</w:t>
      </w:r>
    </w:p>
    <w:p w14:paraId="396D120E" w14:textId="77777777" w:rsidR="00B303BF" w:rsidRDefault="005B386D">
      <w:pPr>
        <w:spacing w:after="120" w:line="360" w:lineRule="auto"/>
        <w:jc w:val="both"/>
      </w:pPr>
      <w:r>
        <w:t>Another remarkable feature is p</w:t>
      </w:r>
      <w:r>
        <w:t>re-ovulatory luteinisation, whereby the granulosa cells of the pre-ovulatory follicle begin to produce progesterone before ovulation occurs. Progesterone concentrations therefore begin to rise during late pro-oestrus, and this rising progesterone is essent</w:t>
      </w:r>
      <w:r>
        <w:t>ial for the expression of full sexual receptivity (Concannon et al., 1977). The clinician can exploit this phenomenon diagnostically by measuring serum progesterone concentrations to estimate the timing of ovulation and, by extension, the likely stage of g</w:t>
      </w:r>
      <w:r>
        <w:t xml:space="preserve">estation in a bitch presented after </w:t>
      </w:r>
      <w:proofErr w:type="spellStart"/>
      <w:r>
        <w:t>mismating</w:t>
      </w:r>
      <w:proofErr w:type="spellEnd"/>
      <w:r>
        <w:t>. The inter-oestrous interval in the bitch is remarkably variable, ranging from approximately four to thirteen months across different breeds and individuals, with a mean of approximately seven months (</w:t>
      </w:r>
      <w:proofErr w:type="spellStart"/>
      <w:r>
        <w:t>Okkens</w:t>
      </w:r>
      <w:proofErr w:type="spellEnd"/>
      <w:r>
        <w:t xml:space="preserve"> &amp; </w:t>
      </w:r>
      <w:proofErr w:type="spellStart"/>
      <w:r>
        <w:t>Kooistra</w:t>
      </w:r>
      <w:proofErr w:type="spellEnd"/>
      <w:r>
        <w:t>, 2006). This variability further complicates the clinical assessment of bitches presented after unplanned mating, as the precise timing of the fertile period relative to the observed mating may be difficult to establish without hormonal data.</w:t>
      </w:r>
    </w:p>
    <w:p w14:paraId="285A6480" w14:textId="77777777" w:rsidR="00B303BF" w:rsidRDefault="005B386D">
      <w:pPr>
        <w:pStyle w:val="Heading2"/>
      </w:pPr>
      <w:r>
        <w:t xml:space="preserve">3.2 </w:t>
      </w:r>
      <w:r>
        <w:t>Endocrine Regulation of Canine Pregnancy</w:t>
      </w:r>
    </w:p>
    <w:p w14:paraId="2ECE4BEE" w14:textId="77777777" w:rsidR="00B303BF" w:rsidRDefault="005B386D">
      <w:pPr>
        <w:spacing w:after="120" w:line="360" w:lineRule="auto"/>
        <w:jc w:val="both"/>
      </w:pPr>
      <w:r>
        <w:t xml:space="preserve">Following ovulation, the corpora lutea develop and become the exclusive source of progesterone required for the establishment and maintenance of pregnancy. In the bitch, unlike in species such as the mare, cow, and </w:t>
      </w:r>
      <w:r>
        <w:t>ewe, there is no placental contribution to circulating progesterone (Concannon et al., 1989; Kowalewski, 2014). This absolute dependence upon luteal progesterone is a pivotal feature that renders the bitch uniquely susceptible to abortifacient strategies t</w:t>
      </w:r>
      <w:r>
        <w:t>argeting the corpus luteum or progesterone action. Ovariectomy at any stage of gestation invariably results in pregnancy loss, confirming the indispensability of ovarian progesterone (Hoffmann et al., 1992).</w:t>
      </w:r>
    </w:p>
    <w:p w14:paraId="3B43C39A" w14:textId="77777777" w:rsidR="00B303BF" w:rsidRDefault="005B386D">
      <w:pPr>
        <w:spacing w:after="120" w:line="360" w:lineRule="auto"/>
        <w:jc w:val="both"/>
      </w:pPr>
      <w:r>
        <w:t>The maintenance of the canine corpus luteum is d</w:t>
      </w:r>
      <w:r>
        <w:t xml:space="preserve">ependent upon the </w:t>
      </w:r>
      <w:proofErr w:type="spellStart"/>
      <w:r>
        <w:t>luteotrophic</w:t>
      </w:r>
      <w:proofErr w:type="spellEnd"/>
      <w:r>
        <w:t xml:space="preserve"> support of both luteinising hormone (LH) and prolactin. During the first half of dioestrus, LH appears to </w:t>
      </w:r>
      <w:r>
        <w:lastRenderedPageBreak/>
        <w:t xml:space="preserve">be the dominant </w:t>
      </w:r>
      <w:proofErr w:type="spellStart"/>
      <w:r>
        <w:t>luteotrophic</w:t>
      </w:r>
      <w:proofErr w:type="spellEnd"/>
      <w:r>
        <w:t xml:space="preserve"> factor, whilst prolactin assumes increasing importance during the second half of the lutea</w:t>
      </w:r>
      <w:r>
        <w:t>l phase (</w:t>
      </w:r>
      <w:proofErr w:type="spellStart"/>
      <w:r>
        <w:t>Onclin</w:t>
      </w:r>
      <w:proofErr w:type="spellEnd"/>
      <w:r>
        <w:t xml:space="preserve"> et al., 1993; Kowalewski, 2014; Papa &amp; Kowalewski, 2020). This dual </w:t>
      </w:r>
      <w:proofErr w:type="spellStart"/>
      <w:r>
        <w:t>luteotrophic</w:t>
      </w:r>
      <w:proofErr w:type="spellEnd"/>
      <w:r>
        <w:t xml:space="preserve"> dependency provides two pharmacological targets for pregnancy termination: suppression of prolactin secretion using dopamine agonists, and direct blockade of p</w:t>
      </w:r>
      <w:r>
        <w:t xml:space="preserve">rogesterone receptors using </w:t>
      </w:r>
      <w:proofErr w:type="spellStart"/>
      <w:r>
        <w:t>antiprogestins</w:t>
      </w:r>
      <w:proofErr w:type="spellEnd"/>
      <w:r>
        <w:t>. The relative contributions of LH and prolactin vary dynamically throughout dioestrus, which has implications for the timing-dependent efficacy of different pharmacological agents.</w:t>
      </w:r>
    </w:p>
    <w:p w14:paraId="31B3B221" w14:textId="77777777" w:rsidR="00B303BF" w:rsidRDefault="005B386D">
      <w:pPr>
        <w:spacing w:after="120" w:line="360" w:lineRule="auto"/>
        <w:jc w:val="both"/>
      </w:pPr>
      <w:r>
        <w:t>Progesterone concentrations duri</w:t>
      </w:r>
      <w:r>
        <w:t>ng canine pregnancy typically peak at approximately 15 to 80 ng/mL between days 15 and 30 post-ovulation, thereafter declining gradually towards parturition (Concannon et al., 1989; Concannon, 2011). The decline in progesterone below a critical threshold o</w:t>
      </w:r>
      <w:r>
        <w:t xml:space="preserve">f approximately 2 ng/mL is the proximate endocrine trigger for parturition. Importantly, in the non-pregnant bitch, the luteal phase follows an almost identical hormonal profile, with progesterone concentrations declining over a similar timeframe; this is </w:t>
      </w:r>
      <w:r>
        <w:t>the endocrine basis for pseudopregnancy, a condition that is essentially a normal physiological phenomenon in the bitch rather than a pathological state (</w:t>
      </w:r>
      <w:proofErr w:type="spellStart"/>
      <w:r>
        <w:t>Gobello</w:t>
      </w:r>
      <w:proofErr w:type="spellEnd"/>
      <w:r>
        <w:t xml:space="preserve"> et al., 2001; </w:t>
      </w:r>
      <w:proofErr w:type="spellStart"/>
      <w:r>
        <w:t>Okkens</w:t>
      </w:r>
      <w:proofErr w:type="spellEnd"/>
      <w:r>
        <w:t xml:space="preserve"> &amp; </w:t>
      </w:r>
      <w:proofErr w:type="spellStart"/>
      <w:r>
        <w:t>Kooistra</w:t>
      </w:r>
      <w:proofErr w:type="spellEnd"/>
      <w:r>
        <w:t>, 2006). The similarities in the progesterone profile between p</w:t>
      </w:r>
      <w:r>
        <w:t>regnant and non-pregnant dioestrus also mean that progesterone measurement alone cannot be used to diagnose pregnancy in the bitch, necessitating ultrasonographic confirmation.</w:t>
      </w:r>
    </w:p>
    <w:p w14:paraId="55C564E4" w14:textId="77777777" w:rsidR="00B303BF" w:rsidRDefault="005B386D">
      <w:pPr>
        <w:pStyle w:val="Heading2"/>
      </w:pPr>
      <w:r>
        <w:t>3.3 Implantation and Placentation</w:t>
      </w:r>
    </w:p>
    <w:p w14:paraId="10BC74EB" w14:textId="77777777" w:rsidR="00B303BF" w:rsidRDefault="005B386D">
      <w:pPr>
        <w:spacing w:after="120" w:line="360" w:lineRule="auto"/>
        <w:jc w:val="both"/>
      </w:pPr>
      <w:r>
        <w:t>Canine embryos enter the uterus at approximately day 10 to 12 post-ovulation and implantation commences around day 17 to 18 (Concannon et al., 1989). The pre-implantation period represents a window during which intervention can prevent pregnancy by disrupt</w:t>
      </w:r>
      <w:r>
        <w:t xml:space="preserve">ing embryo transport or uterine receptivity without the need to disrupt an established placental attachment. The canine placenta is of the endotheliochorial zonary type and forms a belt-like band around the equatorial region of each conceptus. Critically, </w:t>
      </w:r>
      <w:r>
        <w:t xml:space="preserve">the canine placenta does not produce progesterone, as noted above, although it does produce </w:t>
      </w:r>
      <w:proofErr w:type="spellStart"/>
      <w:r>
        <w:t>relaxin</w:t>
      </w:r>
      <w:proofErr w:type="spellEnd"/>
      <w:r>
        <w:t xml:space="preserve"> from approximately day 25 of gestation, which can be exploited as a pregnancy-specific marker (Concannon, 2011). The placenta also becomes a source of prost</w:t>
      </w:r>
      <w:r>
        <w:t xml:space="preserve">aglandins, particularly prostaglandin F2α, towards the end of gestation, contributing to the </w:t>
      </w:r>
      <w:proofErr w:type="spellStart"/>
      <w:r>
        <w:t>prepartal</w:t>
      </w:r>
      <w:proofErr w:type="spellEnd"/>
      <w:r>
        <w:t xml:space="preserve"> </w:t>
      </w:r>
      <w:proofErr w:type="spellStart"/>
      <w:r>
        <w:t>luteolysis</w:t>
      </w:r>
      <w:proofErr w:type="spellEnd"/>
      <w:r>
        <w:t xml:space="preserve"> and the onset of parturition (Kowalewski et al., 2010).</w:t>
      </w:r>
    </w:p>
    <w:p w14:paraId="28DE190A" w14:textId="77777777" w:rsidR="00B303BF" w:rsidRDefault="005B386D">
      <w:pPr>
        <w:spacing w:after="120" w:line="360" w:lineRule="auto"/>
        <w:jc w:val="both"/>
      </w:pPr>
      <w:r>
        <w:t>The timing of implantation is clinically relevant because protocols intended to preven</w:t>
      </w:r>
      <w:r>
        <w:t xml:space="preserve">t implantation (such as oestrogen administration or early </w:t>
      </w:r>
      <w:proofErr w:type="spellStart"/>
      <w:r>
        <w:t>antiprogestin</w:t>
      </w:r>
      <w:proofErr w:type="spellEnd"/>
      <w:r>
        <w:t xml:space="preserve"> treatment) must be </w:t>
      </w:r>
      <w:r>
        <w:lastRenderedPageBreak/>
        <w:t>applied before this event, whereas protocols aimed at luteal disruption or progesterone blockade can, in principle, be employed at any stage of gestation prior to fo</w:t>
      </w:r>
      <w:r>
        <w:t>etal viability. The development of the endotheliochorial placenta also means that, following pharmacological pregnancy termination in mid- to late-gestation, the process of placental detachment and expulsion of foetal and placental tissues may be accompani</w:t>
      </w:r>
      <w:r>
        <w:t>ed by vaginal discharge of variable duration and character, requiring appropriate client counselling and clinical monitoring.</w:t>
      </w:r>
    </w:p>
    <w:p w14:paraId="6B735AEA" w14:textId="77777777" w:rsidR="00B303BF" w:rsidRDefault="005B386D">
      <w:pPr>
        <w:pStyle w:val="Heading1"/>
      </w:pPr>
      <w:r>
        <w:t>4. Historical Perspective: Oestrogenic Compounds</w:t>
      </w:r>
    </w:p>
    <w:p w14:paraId="4373AB62" w14:textId="77777777" w:rsidR="00B303BF" w:rsidRDefault="005B386D">
      <w:pPr>
        <w:pStyle w:val="Heading2"/>
      </w:pPr>
      <w:r>
        <w:t>4.1 Rationale and Mechanism of Action</w:t>
      </w:r>
    </w:p>
    <w:p w14:paraId="4782A97D" w14:textId="77777777" w:rsidR="00B303BF" w:rsidRDefault="005B386D">
      <w:pPr>
        <w:spacing w:after="120" w:line="360" w:lineRule="auto"/>
        <w:jc w:val="both"/>
      </w:pPr>
      <w:r>
        <w:t>Oestrogens were for many years the first-li</w:t>
      </w:r>
      <w:r>
        <w:t xml:space="preserve">ne treatment for </w:t>
      </w:r>
      <w:proofErr w:type="spellStart"/>
      <w:r>
        <w:t>mismating</w:t>
      </w:r>
      <w:proofErr w:type="spellEnd"/>
      <w:r>
        <w:t xml:space="preserve"> in the bitch. Their proposed mechanism of action involved alteration of oviductal motility and uterine secretory activity, thereby disrupting embryo transport and preventing implantation (Bowen et al., 1985). The most commonly us</w:t>
      </w:r>
      <w:r>
        <w:t>ed agents were oestradiol benzoate, oestradiol cypionate, and diethylstilboestrol (DES). These were typically administered as a single or repeated intramuscular injection within the first few days after mating. The popularity of oestrogen treatment was lar</w:t>
      </w:r>
      <w:r>
        <w:t>gely based upon convenience and perceived effectiveness, combined with the absence at the time of safer alternatives.</w:t>
      </w:r>
    </w:p>
    <w:p w14:paraId="7AAD06E9" w14:textId="77777777" w:rsidR="00B303BF" w:rsidRDefault="005B386D">
      <w:pPr>
        <w:pStyle w:val="Heading2"/>
      </w:pPr>
      <w:r>
        <w:t>4.2 Efficacy and Adverse Effects</w:t>
      </w:r>
    </w:p>
    <w:p w14:paraId="5AEF0511" w14:textId="77777777" w:rsidR="00B303BF" w:rsidRDefault="005B386D">
      <w:pPr>
        <w:spacing w:after="120" w:line="360" w:lineRule="auto"/>
        <w:jc w:val="both"/>
      </w:pPr>
      <w:r>
        <w:t>Although oestrogen treatment was reported to be effective in preventing pregnancy when administered withi</w:t>
      </w:r>
      <w:r>
        <w:t>n the first five days post-mating, the evidence base for efficacy was never robust, consisting largely of uncontrolled case series and clinical impressions rather than randomised trials. Sutton et al. (1997) conducted a clinical trial of low-dose oestradio</w:t>
      </w:r>
      <w:r>
        <w:t>l benzoate and reported some efficacy in preventing pregnancy, although the study also highlighted concerns regarding adverse effects. Even when apparently effective, it was often unclear whether the treated bitches had actually conceived, making it diffic</w:t>
      </w:r>
      <w:r>
        <w:t>ult to distinguish genuine therapeutic efficacy from the natural non-conception rate.</w:t>
      </w:r>
    </w:p>
    <w:p w14:paraId="1EA230B9" w14:textId="77777777" w:rsidR="00B303BF" w:rsidRDefault="005B386D">
      <w:pPr>
        <w:spacing w:after="120" w:line="360" w:lineRule="auto"/>
        <w:jc w:val="both"/>
      </w:pPr>
      <w:r>
        <w:t xml:space="preserve">The principal concern with oestrogen therapy was its well-documented and potentially catastrophic toxicity to the haematopoietic system. Bowen et al. (1985) demonstrated </w:t>
      </w:r>
      <w:r>
        <w:t xml:space="preserve">that oestrogens commonly used for pregnancy prevention in the bitch were associated with bone marrow suppression, which could progress to fatal aplastic anaemia and </w:t>
      </w:r>
      <w:proofErr w:type="spellStart"/>
      <w:r>
        <w:t>pancytopaenia</w:t>
      </w:r>
      <w:proofErr w:type="spellEnd"/>
      <w:r>
        <w:t>. The dose-response relationship for bone marrow toxicity was unpredictable, a</w:t>
      </w:r>
      <w:r>
        <w:t xml:space="preserve">nd severe complications could occur even at doses considered to be within the therapeutic range. </w:t>
      </w:r>
      <w:r>
        <w:lastRenderedPageBreak/>
        <w:t>Additional adverse effects included prolongation of oestrus, attraction of male dogs for extended periods, cystic endometrial hyperplasia, pyometra, and ovaria</w:t>
      </w:r>
      <w:r>
        <w:t>n cysts. The pyometra risk was particularly significant, as the oestrogen-primed uterus became more susceptible to subsequent progesterone-driven cystic endometrial changes and secondary bacterial infection, a pathological cascade that could result in a li</w:t>
      </w:r>
      <w:r>
        <w:t>fe-threatening condition requiring emergency surgery.</w:t>
      </w:r>
    </w:p>
    <w:p w14:paraId="4F33F0FD" w14:textId="77777777" w:rsidR="00B303BF" w:rsidRDefault="005B386D">
      <w:pPr>
        <w:spacing w:after="120" w:line="360" w:lineRule="auto"/>
        <w:jc w:val="both"/>
      </w:pPr>
      <w:r>
        <w:t>The severity and unpredictability of these adverse effects, particularly bone marrow suppression, led to a progressive abandonment of oestrogenic compounds for misalliance management from the 1990s onwa</w:t>
      </w:r>
      <w:r>
        <w:t xml:space="preserve">rds. In many jurisdictions, no oestrogenic product currently carries a veterinary marketing authorisation for this indication, and several regulatory authorities have issued explicit guidance against their use. Contemporary veterinary consensus holds that </w:t>
      </w:r>
      <w:r>
        <w:t xml:space="preserve">the risks of oestrogen therapy substantially outweigh any benefits, and these agents should no longer be recommended for pregnancy prevention or termination in the bitch (Wiebe &amp; Howard, 2009; Eilts, 2002). The historical experience with oestrogens serves </w:t>
      </w:r>
      <w:r>
        <w:t>as a cautionary example of the importance of rigorous safety evaluation before the widespread adoption of pharmacological interventions in veterinary medicine.</w:t>
      </w:r>
    </w:p>
    <w:p w14:paraId="16B0F434" w14:textId="77777777" w:rsidR="00B303BF" w:rsidRDefault="005B386D">
      <w:pPr>
        <w:pStyle w:val="Heading1"/>
      </w:pPr>
      <w:r>
        <w:t>5. Prostaglandins</w:t>
      </w:r>
    </w:p>
    <w:p w14:paraId="1D951DA6" w14:textId="77777777" w:rsidR="00B303BF" w:rsidRDefault="005B386D">
      <w:pPr>
        <w:pStyle w:val="Heading2"/>
      </w:pPr>
      <w:r>
        <w:t>5.1 Pharmacological Basis</w:t>
      </w:r>
    </w:p>
    <w:p w14:paraId="7C9F29F7" w14:textId="77777777" w:rsidR="00B303BF" w:rsidRDefault="005B386D">
      <w:pPr>
        <w:spacing w:after="120" w:line="360" w:lineRule="auto"/>
        <w:jc w:val="both"/>
      </w:pPr>
      <w:r>
        <w:t>Prostaglandin F2α (PGF2α) and its synthetic analogue</w:t>
      </w:r>
      <w:r>
        <w:t>s represent an important class of luteolytic agents with established utility in canine pregnancy termination. The primary mechanism of action involves direct lysis of the corpora lutea, resulting in a precipitous decline in circulating progesterone and con</w:t>
      </w:r>
      <w:r>
        <w:t>sequent loss of the hormonal support required for pregnancy maintenance (Romagnoli et al., 1991; Eilts, 2002). In addition, prostaglandins exert direct contractile effects on uterine smooth muscle, promoting evacuation of uterine contents, and may also cau</w:t>
      </w:r>
      <w:r>
        <w:t>se cervical relaxation. These multiple sites of action make prostaglandins versatile agents, although their clinical utility is modulated by the timing of administration relative to the stage of the luteal phase.</w:t>
      </w:r>
    </w:p>
    <w:p w14:paraId="0119DF92" w14:textId="77777777" w:rsidR="00B303BF" w:rsidRDefault="005B386D">
      <w:pPr>
        <w:pStyle w:val="Heading2"/>
      </w:pPr>
      <w:r>
        <w:t>5.2 Natural Prostaglandin F2α</w:t>
      </w:r>
    </w:p>
    <w:p w14:paraId="58A29ACF" w14:textId="77777777" w:rsidR="00B303BF" w:rsidRDefault="005B386D">
      <w:pPr>
        <w:spacing w:after="120" w:line="360" w:lineRule="auto"/>
        <w:jc w:val="both"/>
      </w:pPr>
      <w:r>
        <w:t>The natural f</w:t>
      </w:r>
      <w:r>
        <w:t xml:space="preserve">orm of prostaglandin F2α, </w:t>
      </w:r>
      <w:proofErr w:type="spellStart"/>
      <w:r>
        <w:t>dinoprost</w:t>
      </w:r>
      <w:proofErr w:type="spellEnd"/>
      <w:r>
        <w:t xml:space="preserve"> tromethamine, has been used for pregnancy termination in the bitch, typically at doses of 0.1 to 0.25 mg/kg administered subcutaneously two to three times daily for a minimum of four to five days (Romagnoli et al., 1991;</w:t>
      </w:r>
      <w:r>
        <w:t xml:space="preserve"> Eilts, </w:t>
      </w:r>
      <w:r>
        <w:lastRenderedPageBreak/>
        <w:t xml:space="preserve">2002). The relatively high dose requirement and the need for repeated administration reflect the fact that the canine corpus luteum is comparatively resistant to the luteolytic effects of PGF2α during the first three weeks of dioestrus, when LH is </w:t>
      </w:r>
      <w:r>
        <w:t xml:space="preserve">the dominant </w:t>
      </w:r>
      <w:proofErr w:type="spellStart"/>
      <w:r>
        <w:t>luteotrophic</w:t>
      </w:r>
      <w:proofErr w:type="spellEnd"/>
      <w:r>
        <w:t xml:space="preserve"> factor and the corpora lutea have not yet developed full sensitivity to prostaglandin-mediated lysis. This resistance to early </w:t>
      </w:r>
      <w:proofErr w:type="spellStart"/>
      <w:r>
        <w:t>luteolysis</w:t>
      </w:r>
      <w:proofErr w:type="spellEnd"/>
      <w:r>
        <w:t xml:space="preserve"> is a well-recognised feature of canine reproductive biology and distinguishes the bitch from</w:t>
      </w:r>
      <w:r>
        <w:t xml:space="preserve"> species such as the cow and mare, in which a single dose of prostaglandin can reliably induce </w:t>
      </w:r>
      <w:proofErr w:type="spellStart"/>
      <w:r>
        <w:t>luteolysis</w:t>
      </w:r>
      <w:proofErr w:type="spellEnd"/>
      <w:r>
        <w:t xml:space="preserve"> throughout much of the luteal phase.</w:t>
      </w:r>
    </w:p>
    <w:p w14:paraId="7119EEEF" w14:textId="77777777" w:rsidR="00B303BF" w:rsidRDefault="005B386D">
      <w:pPr>
        <w:spacing w:after="120" w:line="360" w:lineRule="auto"/>
        <w:jc w:val="both"/>
      </w:pPr>
      <w:r>
        <w:t>Consequently, natural PGF2α protocols are most effective when initiated after day 25 to 30 of gestation, by which</w:t>
      </w:r>
      <w:r>
        <w:t xml:space="preserve"> time the corpora lutea have acquired adequate prostaglandin receptors and prolactin has assumed a more prominent </w:t>
      </w:r>
      <w:proofErr w:type="spellStart"/>
      <w:r>
        <w:t>luteotrophic</w:t>
      </w:r>
      <w:proofErr w:type="spellEnd"/>
      <w:r>
        <w:t xml:space="preserve"> role (</w:t>
      </w:r>
      <w:proofErr w:type="spellStart"/>
      <w:r>
        <w:t>Onclin</w:t>
      </w:r>
      <w:proofErr w:type="spellEnd"/>
      <w:r>
        <w:t xml:space="preserve"> et al., 1993; Kowalewski, 2014). When applied at this stage, reported success rates range from approximately 80 to 9</w:t>
      </w:r>
      <w:r>
        <w:t xml:space="preserve">5 per cent. However, the efficacy is markedly lower when treatment is attempted during the first two to three weeks after mating, representing a significant clinical limitation for owners who present their bitch shortly after an observed </w:t>
      </w:r>
      <w:proofErr w:type="spellStart"/>
      <w:r>
        <w:t>mismating</w:t>
      </w:r>
      <w:proofErr w:type="spellEnd"/>
      <w:r>
        <w:t>.</w:t>
      </w:r>
    </w:p>
    <w:p w14:paraId="0AF0362C" w14:textId="77777777" w:rsidR="00B303BF" w:rsidRDefault="005B386D">
      <w:pPr>
        <w:pStyle w:val="Heading2"/>
      </w:pPr>
      <w:r>
        <w:t xml:space="preserve">5.3 </w:t>
      </w:r>
      <w:r>
        <w:t>Synthetic Prostaglandin Analogues</w:t>
      </w:r>
    </w:p>
    <w:p w14:paraId="3C5AE677" w14:textId="77777777" w:rsidR="00B303BF" w:rsidRDefault="005B386D">
      <w:pPr>
        <w:spacing w:after="120" w:line="360" w:lineRule="auto"/>
        <w:jc w:val="both"/>
      </w:pPr>
      <w:r>
        <w:t xml:space="preserve">Synthetic analogues of PGF2α, notably </w:t>
      </w:r>
      <w:proofErr w:type="spellStart"/>
      <w:r>
        <w:t>cloprostenol</w:t>
      </w:r>
      <w:proofErr w:type="spellEnd"/>
      <w:r>
        <w:t xml:space="preserve"> and </w:t>
      </w:r>
      <w:proofErr w:type="spellStart"/>
      <w:r>
        <w:t>alfaprostol</w:t>
      </w:r>
      <w:proofErr w:type="spellEnd"/>
      <w:r>
        <w:t xml:space="preserve">, offer enhanced potency and somewhat greater selectivity for uterine and luteal prostaglandin receptors compared with the natural compound. </w:t>
      </w:r>
      <w:proofErr w:type="spellStart"/>
      <w:r>
        <w:t>Cloprostenol</w:t>
      </w:r>
      <w:proofErr w:type="spellEnd"/>
      <w:r>
        <w:t xml:space="preserve"> ha</w:t>
      </w:r>
      <w:r>
        <w:t xml:space="preserve">s been used at doses of 1 to 3 </w:t>
      </w:r>
      <w:proofErr w:type="spellStart"/>
      <w:r>
        <w:t>μg</w:t>
      </w:r>
      <w:proofErr w:type="spellEnd"/>
      <w:r>
        <w:t>/kg administered subcutaneously at intervals of 24 to 48 hours, with treatment typically continued for several days (</w:t>
      </w:r>
      <w:proofErr w:type="spellStart"/>
      <w:r>
        <w:t>Gobello</w:t>
      </w:r>
      <w:proofErr w:type="spellEnd"/>
      <w:r>
        <w:t>, 2006). The synthetic analogues share the same fundamental mechanism of action as natural PGF2α bu</w:t>
      </w:r>
      <w:r>
        <w:t xml:space="preserve">t may achieve </w:t>
      </w:r>
      <w:proofErr w:type="spellStart"/>
      <w:r>
        <w:t>luteolysis</w:t>
      </w:r>
      <w:proofErr w:type="spellEnd"/>
      <w:r>
        <w:t xml:space="preserve"> at lower doses, potentially reducing the severity of systemic side effects. </w:t>
      </w:r>
      <w:proofErr w:type="spellStart"/>
      <w:r>
        <w:t>Cloprostenol</w:t>
      </w:r>
      <w:proofErr w:type="spellEnd"/>
      <w:r>
        <w:t xml:space="preserve"> is the most extensively studied synthetic analogue in this context and is available in veterinary formulations in many countries, although its</w:t>
      </w:r>
      <w:r>
        <w:t xml:space="preserve"> use for pregnancy termination in the bitch may constitute off-label use depending upon the jurisdiction.</w:t>
      </w:r>
    </w:p>
    <w:p w14:paraId="06482AB7" w14:textId="77777777" w:rsidR="00B303BF" w:rsidRDefault="005B386D">
      <w:pPr>
        <w:pStyle w:val="Heading2"/>
      </w:pPr>
      <w:r>
        <w:t>5.4 Adverse Effects of Prostaglandins</w:t>
      </w:r>
    </w:p>
    <w:p w14:paraId="199B6CE6" w14:textId="77777777" w:rsidR="00B303BF" w:rsidRDefault="005B386D">
      <w:pPr>
        <w:spacing w:after="120" w:line="360" w:lineRule="auto"/>
        <w:jc w:val="both"/>
      </w:pPr>
      <w:r>
        <w:t>The adverse effects of prostaglandin administration in the bitch are well characterised and include restlessness</w:t>
      </w:r>
      <w:r>
        <w:t>, panting, hypersalivation, vomiting, diarrhoea, abdominal discomfort, and transient tachycardia. These effects are dose-dependent and typically resolve within 30 to 60 minutes of injection, but they may be distressing to both the animal and the owner (Eil</w:t>
      </w:r>
      <w:r>
        <w:t xml:space="preserve">ts, 2002; Wiebe &amp; Howard, 2009). In rare instances, more serious complications including bronchoconstriction and cardiovascular collapse have been reported at higher doses. It is </w:t>
      </w:r>
      <w:r>
        <w:lastRenderedPageBreak/>
        <w:t>recommended that prostaglandin treatment be administered under direct veterin</w:t>
      </w:r>
      <w:r>
        <w:t xml:space="preserve">ary supervision, with the bitch monitored for at least one hour following each injection. Walking the bitch for 20 to 30 minutes after injection may help to alleviate some of the gastrointestinal and behavioural side effects. The adverse effect profile of </w:t>
      </w:r>
      <w:r>
        <w:t xml:space="preserve">prostaglandins, together with their limited efficacy during early dioestrus, has prompted many clinicians to favour </w:t>
      </w:r>
      <w:proofErr w:type="spellStart"/>
      <w:r>
        <w:t>antiprogestin</w:t>
      </w:r>
      <w:proofErr w:type="spellEnd"/>
      <w:r>
        <w:t xml:space="preserve">-based protocols when available. Nevertheless, prostaglandins retain an important role in combination regimens and in settings </w:t>
      </w:r>
      <w:r>
        <w:t xml:space="preserve">where </w:t>
      </w:r>
      <w:proofErr w:type="spellStart"/>
      <w:r>
        <w:t>antiprogestins</w:t>
      </w:r>
      <w:proofErr w:type="spellEnd"/>
      <w:r>
        <w:t xml:space="preserve"> are not accessible.</w:t>
      </w:r>
    </w:p>
    <w:p w14:paraId="7AAD72CA" w14:textId="77777777" w:rsidR="00B303BF" w:rsidRDefault="005B386D">
      <w:pPr>
        <w:pStyle w:val="Heading1"/>
      </w:pPr>
      <w:r>
        <w:t xml:space="preserve">6. </w:t>
      </w:r>
      <w:proofErr w:type="spellStart"/>
      <w:r>
        <w:t>Antiprogestins</w:t>
      </w:r>
      <w:proofErr w:type="spellEnd"/>
    </w:p>
    <w:p w14:paraId="6B19BB46" w14:textId="77777777" w:rsidR="00B303BF" w:rsidRDefault="005B386D">
      <w:pPr>
        <w:pStyle w:val="Heading2"/>
      </w:pPr>
      <w:r>
        <w:t xml:space="preserve">6.1 </w:t>
      </w:r>
      <w:proofErr w:type="spellStart"/>
      <w:r>
        <w:t>Aglepristone</w:t>
      </w:r>
      <w:proofErr w:type="spellEnd"/>
      <w:r>
        <w:t xml:space="preserve"> (RU 534)</w:t>
      </w:r>
    </w:p>
    <w:p w14:paraId="55324B10" w14:textId="77777777" w:rsidR="00B303BF" w:rsidRDefault="005B386D">
      <w:pPr>
        <w:spacing w:after="120" w:line="360" w:lineRule="auto"/>
        <w:jc w:val="both"/>
      </w:pPr>
      <w:proofErr w:type="spellStart"/>
      <w:r>
        <w:t>Aglepristone</w:t>
      </w:r>
      <w:proofErr w:type="spellEnd"/>
      <w:r>
        <w:t xml:space="preserve"> is a synthetic steroid that acts as a competitive antagonist at the progesterone receptor. It was developed specifically for veterinary use and is marketed in</w:t>
      </w:r>
      <w:r>
        <w:t xml:space="preserve"> many European and South American countries for pregnancy termination and the medical management of pyometra in the bitch and queen. </w:t>
      </w:r>
      <w:proofErr w:type="spellStart"/>
      <w:r>
        <w:t>Aglepristone</w:t>
      </w:r>
      <w:proofErr w:type="spellEnd"/>
      <w:r>
        <w:t xml:space="preserve"> binds to progesterone receptors with an affinity approximately three times greater than that of progesterone i</w:t>
      </w:r>
      <w:r>
        <w:t xml:space="preserve">tself, thereby effectively blocking progesterone action at the target tissue level without reducing circulating progesterone concentrations (Hoffmann &amp; Schuler, 2000; </w:t>
      </w:r>
      <w:proofErr w:type="spellStart"/>
      <w:r>
        <w:t>Galac</w:t>
      </w:r>
      <w:proofErr w:type="spellEnd"/>
      <w:r>
        <w:t xml:space="preserve"> et al., 2000; </w:t>
      </w:r>
      <w:proofErr w:type="spellStart"/>
      <w:r>
        <w:t>Gobello</w:t>
      </w:r>
      <w:proofErr w:type="spellEnd"/>
      <w:r>
        <w:t>, 2006). This distinction between receptor blockade and hormon</w:t>
      </w:r>
      <w:r>
        <w:t xml:space="preserve">al reduction is clinically important: because </w:t>
      </w:r>
      <w:proofErr w:type="spellStart"/>
      <w:r>
        <w:t>aglepristone</w:t>
      </w:r>
      <w:proofErr w:type="spellEnd"/>
      <w:r>
        <w:t xml:space="preserve"> does not cause </w:t>
      </w:r>
      <w:proofErr w:type="spellStart"/>
      <w:r>
        <w:t>luteolysis</w:t>
      </w:r>
      <w:proofErr w:type="spellEnd"/>
      <w:r>
        <w:t>, progesterone concentrations remain elevated following administration, and pregnancy termination occurs through functional progesterone withdrawal at the receptor level ra</w:t>
      </w:r>
      <w:r>
        <w:t>ther than through removal of the hormone itself.</w:t>
      </w:r>
    </w:p>
    <w:p w14:paraId="05768E8A" w14:textId="77777777" w:rsidR="00B303BF" w:rsidRDefault="005B386D">
      <w:pPr>
        <w:pStyle w:val="Heading2"/>
      </w:pPr>
      <w:r>
        <w:t>6.2 Mechanism of Action</w:t>
      </w:r>
    </w:p>
    <w:p w14:paraId="304702ED" w14:textId="77777777" w:rsidR="00B303BF" w:rsidRDefault="005B386D">
      <w:pPr>
        <w:spacing w:after="120" w:line="360" w:lineRule="auto"/>
        <w:jc w:val="both"/>
      </w:pPr>
      <w:r>
        <w:t xml:space="preserve">At the molecular level, </w:t>
      </w:r>
      <w:proofErr w:type="spellStart"/>
      <w:r>
        <w:t>aglepristone</w:t>
      </w:r>
      <w:proofErr w:type="spellEnd"/>
      <w:r>
        <w:t xml:space="preserve"> occupies the ligand-binding domain of the progesterone receptor, preventing the receptor from adopting the active conformation required for transc</w:t>
      </w:r>
      <w:r>
        <w:t>riptional activation of progesterone-responsive genes. The consequences of progesterone receptor blockade depend upon the stage of pregnancy. During the pre-implantation period, blockade of progesterone action inhibits the uterine endometrial changes neces</w:t>
      </w:r>
      <w:r>
        <w:t xml:space="preserve">sary for embryo reception and implantation, including glandular development, stromal decidualisation, and the secretion of uterine </w:t>
      </w:r>
      <w:proofErr w:type="spellStart"/>
      <w:r>
        <w:t>histotrophe</w:t>
      </w:r>
      <w:proofErr w:type="spellEnd"/>
      <w:r>
        <w:t>. After implantation, functional progesterone withdrawal leads to decidual necrosis, placental detachment, and foe</w:t>
      </w:r>
      <w:r>
        <w:t>tal death, followed by resorption of the products of conception or, in more advanced pregnancy, expulsion through vaginal discharge (</w:t>
      </w:r>
      <w:proofErr w:type="spellStart"/>
      <w:r>
        <w:t>Galac</w:t>
      </w:r>
      <w:proofErr w:type="spellEnd"/>
      <w:r>
        <w:t xml:space="preserve"> et al., 2000; Kowalewski et al., 2010). In late gestation, </w:t>
      </w:r>
      <w:proofErr w:type="spellStart"/>
      <w:r>
        <w:t>antiprogestin</w:t>
      </w:r>
      <w:proofErr w:type="spellEnd"/>
      <w:r>
        <w:t xml:space="preserve"> administration </w:t>
      </w:r>
      <w:r>
        <w:lastRenderedPageBreak/>
        <w:t>may induce parturition-like e</w:t>
      </w:r>
      <w:r>
        <w:t>vents with delivery of non-viable foetuses, accompanied by myometrial contractions and cervical dilatation.</w:t>
      </w:r>
    </w:p>
    <w:p w14:paraId="2F47F9D1" w14:textId="77777777" w:rsidR="00B303BF" w:rsidRDefault="005B386D">
      <w:pPr>
        <w:pStyle w:val="Heading2"/>
      </w:pPr>
      <w:r>
        <w:t>6.3 Clinical Protocols and Efficacy</w:t>
      </w:r>
    </w:p>
    <w:p w14:paraId="774797D8" w14:textId="77777777" w:rsidR="00B303BF" w:rsidRDefault="005B386D">
      <w:pPr>
        <w:spacing w:after="120" w:line="360" w:lineRule="auto"/>
        <w:jc w:val="both"/>
      </w:pPr>
      <w:r>
        <w:t xml:space="preserve">The standard protocol for </w:t>
      </w:r>
      <w:proofErr w:type="spellStart"/>
      <w:r>
        <w:t>aglepristone</w:t>
      </w:r>
      <w:proofErr w:type="spellEnd"/>
      <w:r>
        <w:t xml:space="preserve"> administration involves two subcutaneous injections of 10 mg/kg body weig</w:t>
      </w:r>
      <w:r>
        <w:t>ht, given 24 hours apart. This protocol is typically effective when applied between day 0 and day 45 after mating, although the highest efficacy rates are reported when treatment is initiated before day 25 of gestation (</w:t>
      </w:r>
      <w:proofErr w:type="spellStart"/>
      <w:r>
        <w:t>Galac</w:t>
      </w:r>
      <w:proofErr w:type="spellEnd"/>
      <w:r>
        <w:t xml:space="preserve"> et al., 2000; </w:t>
      </w:r>
      <w:proofErr w:type="spellStart"/>
      <w:r>
        <w:t>Gobello</w:t>
      </w:r>
      <w:proofErr w:type="spellEnd"/>
      <w:r>
        <w:t xml:space="preserve">, 2006). </w:t>
      </w:r>
      <w:r>
        <w:t>When administered during the first three weeks after mating, that is, before or around the time of implantation, reported efficacy rates exceed 95 per cent. The mechanism at this early stage is primarily prevention of implantation, and the treatment is cli</w:t>
      </w:r>
      <w:r>
        <w:t>nically straightforward as there is no requirement for expulsion of developed foetal tissues.</w:t>
      </w:r>
    </w:p>
    <w:p w14:paraId="10994045" w14:textId="77777777" w:rsidR="00B303BF" w:rsidRDefault="005B386D">
      <w:pPr>
        <w:spacing w:after="120" w:line="360" w:lineRule="auto"/>
        <w:jc w:val="both"/>
      </w:pPr>
      <w:r>
        <w:t xml:space="preserve">When </w:t>
      </w:r>
      <w:proofErr w:type="spellStart"/>
      <w:r>
        <w:t>aglepristone</w:t>
      </w:r>
      <w:proofErr w:type="spellEnd"/>
      <w:r>
        <w:t xml:space="preserve"> is administered during mid-gestation, between approximately days 25 and 45, the efficacy remains high but the clinical picture differs. At this </w:t>
      </w:r>
      <w:r>
        <w:t>stage, the conceptuses have implanted and undergone variable degrees of development. Progesterone receptor blockade leads to foetal death and subsequent resorption or expulsion, which may be accompanied by a mucoid or haemorrhagic vaginal discharge persist</w:t>
      </w:r>
      <w:r>
        <w:t>ing for several days to two weeks. Ultrasonographic monitoring is advisable to confirm the cessation of foetal cardiac activity and the progressive reduction in uterine size (</w:t>
      </w:r>
      <w:proofErr w:type="spellStart"/>
      <w:r>
        <w:t>Galac</w:t>
      </w:r>
      <w:proofErr w:type="spellEnd"/>
      <w:r>
        <w:t xml:space="preserve"> et al., 2000). In cases where a single course of two injections does not ac</w:t>
      </w:r>
      <w:r>
        <w:t>hieve complete pregnancy termination, a repeat course may be administered after an interval of approximately ten days.</w:t>
      </w:r>
    </w:p>
    <w:p w14:paraId="624341D9" w14:textId="77777777" w:rsidR="00B303BF" w:rsidRDefault="005B386D">
      <w:pPr>
        <w:spacing w:after="120" w:line="360" w:lineRule="auto"/>
        <w:jc w:val="both"/>
      </w:pPr>
      <w:r>
        <w:t xml:space="preserve">The use of </w:t>
      </w:r>
      <w:proofErr w:type="spellStart"/>
      <w:r>
        <w:t>aglepristone</w:t>
      </w:r>
      <w:proofErr w:type="spellEnd"/>
      <w:r>
        <w:t xml:space="preserve"> beyond day 45 of gestation is less well characterised and generally less reliable as a sole agent. In late gestation, the foetuses have reached a stage of substantial development, and the process of pregnancy termination more closely resembles induced par</w:t>
      </w:r>
      <w:r>
        <w:t xml:space="preserve">turition, with the attendant risks of dystocia, retained foetal tissues, and haemorrhage. For this reason, combination protocols incorporating a prostaglandin analogue or a dopamine agonist alongside </w:t>
      </w:r>
      <w:proofErr w:type="spellStart"/>
      <w:r>
        <w:t>aglepristone</w:t>
      </w:r>
      <w:proofErr w:type="spellEnd"/>
      <w:r>
        <w:t xml:space="preserve"> are generally recommended for advanced preg</w:t>
      </w:r>
      <w:r>
        <w:t>nancies (</w:t>
      </w:r>
      <w:proofErr w:type="spellStart"/>
      <w:r>
        <w:t>Gobello</w:t>
      </w:r>
      <w:proofErr w:type="spellEnd"/>
      <w:r>
        <w:t>, 2006; Wiebe &amp; Howard, 2009). It is also important to note that termination beyond day 45 raises additional welfare considerations, as the foetuses may have achieved a degree of neurological development sufficient to warrant concern regard</w:t>
      </w:r>
      <w:r>
        <w:t>ing the humaneness of the procedure.</w:t>
      </w:r>
    </w:p>
    <w:p w14:paraId="4942172B" w14:textId="77777777" w:rsidR="00B303BF" w:rsidRDefault="005B386D">
      <w:pPr>
        <w:pStyle w:val="Heading2"/>
      </w:pPr>
      <w:r>
        <w:t>6.4 Safety Profile</w:t>
      </w:r>
    </w:p>
    <w:p w14:paraId="077FB7B3" w14:textId="77777777" w:rsidR="00B303BF" w:rsidRDefault="005B386D">
      <w:pPr>
        <w:spacing w:after="120" w:line="360" w:lineRule="auto"/>
        <w:jc w:val="both"/>
      </w:pPr>
      <w:proofErr w:type="spellStart"/>
      <w:r>
        <w:lastRenderedPageBreak/>
        <w:t>Aglepristone</w:t>
      </w:r>
      <w:proofErr w:type="spellEnd"/>
      <w:r>
        <w:t xml:space="preserve"> is generally well tolerated in the bitch. The most commonly reported adverse effects are local reactions at the injection site, including transient pain, swelling, and inflammation, which</w:t>
      </w:r>
      <w:r>
        <w:t xml:space="preserve"> resolve spontaneously within a few days. Systemic adverse effects are uncommon and generally mild, and may include transient lethargy, reduced appetite, or mild gastrointestinal signs. No clinically significant haematological, hepatic, or renal toxicity h</w:t>
      </w:r>
      <w:r>
        <w:t xml:space="preserve">as been reported in association with </w:t>
      </w:r>
      <w:proofErr w:type="spellStart"/>
      <w:r>
        <w:t>aglepristone</w:t>
      </w:r>
      <w:proofErr w:type="spellEnd"/>
      <w:r>
        <w:t xml:space="preserve"> use at recommended doses (</w:t>
      </w:r>
      <w:proofErr w:type="spellStart"/>
      <w:r>
        <w:t>Galac</w:t>
      </w:r>
      <w:proofErr w:type="spellEnd"/>
      <w:r>
        <w:t xml:space="preserve"> et al., 2000; </w:t>
      </w:r>
      <w:proofErr w:type="spellStart"/>
      <w:r>
        <w:t>Gobello</w:t>
      </w:r>
      <w:proofErr w:type="spellEnd"/>
      <w:r>
        <w:t xml:space="preserve">, 2006; </w:t>
      </w:r>
      <w:proofErr w:type="spellStart"/>
      <w:r>
        <w:t>Fieni</w:t>
      </w:r>
      <w:proofErr w:type="spellEnd"/>
      <w:r>
        <w:t xml:space="preserve"> et al., 2014). The injection site reactions can be minimised by warming the product to room temperature before administration and by distri</w:t>
      </w:r>
      <w:r>
        <w:t>buting the injection volume across multiple sites in large bitches.</w:t>
      </w:r>
    </w:p>
    <w:p w14:paraId="49B6F0CB" w14:textId="77777777" w:rsidR="00B303BF" w:rsidRDefault="005B386D">
      <w:pPr>
        <w:spacing w:after="120" w:line="360" w:lineRule="auto"/>
        <w:jc w:val="both"/>
      </w:pPr>
      <w:r>
        <w:t xml:space="preserve">An important clinical consideration is that, because </w:t>
      </w:r>
      <w:proofErr w:type="spellStart"/>
      <w:r>
        <w:t>aglepristone</w:t>
      </w:r>
      <w:proofErr w:type="spellEnd"/>
      <w:r>
        <w:t xml:space="preserve"> does not directly affect ovarian function, the subsequent oestrous cycle is not significantly disrupted. Bitches treated w</w:t>
      </w:r>
      <w:r>
        <w:t xml:space="preserve">ith </w:t>
      </w:r>
      <w:proofErr w:type="spellStart"/>
      <w:r>
        <w:t>aglepristone</w:t>
      </w:r>
      <w:proofErr w:type="spellEnd"/>
      <w:r>
        <w:t xml:space="preserve"> typically return to oestrus at the expected time and retain normal fertility, making this agent particularly suitable for bitches of high breeding value that the owner wishes to breed in a subsequent cycle (</w:t>
      </w:r>
      <w:proofErr w:type="spellStart"/>
      <w:r>
        <w:t>Gobello</w:t>
      </w:r>
      <w:proofErr w:type="spellEnd"/>
      <w:r>
        <w:t>, 2006). This preservatio</w:t>
      </w:r>
      <w:r>
        <w:t>n of future fertility represents a significant advantage over oestrogen therapy, which was associated with pyometra and cystic endometrial changes that could permanently impair reproductive function. Some practitioners have reported that bitches may return</w:t>
      </w:r>
      <w:r>
        <w:t xml:space="preserve"> to oestrus slightly earlier than expected following </w:t>
      </w:r>
      <w:proofErr w:type="spellStart"/>
      <w:r>
        <w:t>aglepristone</w:t>
      </w:r>
      <w:proofErr w:type="spellEnd"/>
      <w:r>
        <w:t xml:space="preserve"> treatment, possibly reflecting the functional progesterone withdrawal caused by receptor blockade, but this appears to be of limited clinical significance.</w:t>
      </w:r>
    </w:p>
    <w:p w14:paraId="0A408061" w14:textId="77777777" w:rsidR="00B303BF" w:rsidRDefault="005B386D">
      <w:pPr>
        <w:pStyle w:val="Heading2"/>
      </w:pPr>
      <w:r>
        <w:t>6.5 Mifepristone (RU 486)</w:t>
      </w:r>
    </w:p>
    <w:p w14:paraId="6789BA8A" w14:textId="77777777" w:rsidR="00B303BF" w:rsidRDefault="005B386D">
      <w:pPr>
        <w:spacing w:after="120" w:line="360" w:lineRule="auto"/>
        <w:jc w:val="both"/>
      </w:pPr>
      <w:r>
        <w:t>Mifepris</w:t>
      </w:r>
      <w:r>
        <w:t xml:space="preserve">tone, the prototypical </w:t>
      </w:r>
      <w:proofErr w:type="spellStart"/>
      <w:r>
        <w:t>antiprogestin</w:t>
      </w:r>
      <w:proofErr w:type="spellEnd"/>
      <w:r>
        <w:t xml:space="preserve"> originally developed for human medicine, has also been investigated for pregnancy termination in the bitch. Its mechanism of action is analogous to that of </w:t>
      </w:r>
      <w:proofErr w:type="spellStart"/>
      <w:r>
        <w:t>aglepristone</w:t>
      </w:r>
      <w:proofErr w:type="spellEnd"/>
      <w:r>
        <w:t>, involving competitive antagonism at the progester</w:t>
      </w:r>
      <w:r>
        <w:t>one receptor. However, mifepristone also possesses significant anti-glucocorticoid activity, which may contribute to unwanted adverse effects including perturbation of the hypothalamic-pituitary-adrenal axis (Hoffmann &amp; Schuler, 2000). Furthermore, mifepri</w:t>
      </w:r>
      <w:r>
        <w:t>stone is not licensed for veterinary use in most jurisdictions, and its availability for canine patients is therefore limited. Legal and regulatory restrictions on mifepristone, which is classified as a controlled substance in many countries due to its hum</w:t>
      </w:r>
      <w:r>
        <w:t xml:space="preserve">an reproductive applications, further preclude its routine use in veterinary practice. For these reasons, </w:t>
      </w:r>
      <w:proofErr w:type="spellStart"/>
      <w:r>
        <w:t>aglepristone</w:t>
      </w:r>
      <w:proofErr w:type="spellEnd"/>
      <w:r>
        <w:t xml:space="preserve"> is generally preferred over mifepristone for pregnancy termination in the bitch.</w:t>
      </w:r>
    </w:p>
    <w:p w14:paraId="29C62DE8" w14:textId="77777777" w:rsidR="00B303BF" w:rsidRDefault="005B386D">
      <w:pPr>
        <w:pStyle w:val="Heading1"/>
      </w:pPr>
      <w:r>
        <w:lastRenderedPageBreak/>
        <w:t>7. Dopamine Agonists</w:t>
      </w:r>
    </w:p>
    <w:p w14:paraId="32DBD4BB" w14:textId="77777777" w:rsidR="00B303BF" w:rsidRDefault="005B386D">
      <w:pPr>
        <w:pStyle w:val="Heading2"/>
      </w:pPr>
      <w:r>
        <w:t>7.1 Pharmacological Rationale</w:t>
      </w:r>
    </w:p>
    <w:p w14:paraId="367CCD4C" w14:textId="77777777" w:rsidR="00B303BF" w:rsidRDefault="005B386D">
      <w:pPr>
        <w:spacing w:after="120" w:line="360" w:lineRule="auto"/>
        <w:jc w:val="both"/>
      </w:pPr>
      <w:r>
        <w:t xml:space="preserve">The </w:t>
      </w:r>
      <w:proofErr w:type="spellStart"/>
      <w:r>
        <w:t>l</w:t>
      </w:r>
      <w:r>
        <w:t>uteotrophic</w:t>
      </w:r>
      <w:proofErr w:type="spellEnd"/>
      <w:r>
        <w:t xml:space="preserve"> role of prolactin in the bitch provides a rationale for the use of dopamine agonists as abortifacient agents. Prolactin secretion from the anterior pituitary is tonically inhibited by hypothalamic dopamine acting at dopamine D2 receptors on lac</w:t>
      </w:r>
      <w:r>
        <w:t xml:space="preserve">totroph cells. Administration of a dopamine agonist enhances this inhibitory tone, resulting in sustained suppression of prolactin release. Because prolactin is essential for the maintenance of the canine corpus luteum, particularly during the second half </w:t>
      </w:r>
      <w:r>
        <w:t>of dioestrus, prolactin suppression leads to luteal regression, a decline in progesterone concentrations, and consequent termination of pregnancy (</w:t>
      </w:r>
      <w:proofErr w:type="spellStart"/>
      <w:r>
        <w:t>Onclin</w:t>
      </w:r>
      <w:proofErr w:type="spellEnd"/>
      <w:r>
        <w:t xml:space="preserve"> et al., 1993; </w:t>
      </w:r>
      <w:proofErr w:type="spellStart"/>
      <w:r>
        <w:t>Gobello</w:t>
      </w:r>
      <w:proofErr w:type="spellEnd"/>
      <w:r>
        <w:t xml:space="preserve">, 2006; </w:t>
      </w:r>
      <w:proofErr w:type="spellStart"/>
      <w:r>
        <w:t>Kowalewski</w:t>
      </w:r>
      <w:proofErr w:type="spellEnd"/>
      <w:r>
        <w:t xml:space="preserve">, 2014). The timing-dependent nature of prolactin’s </w:t>
      </w:r>
      <w:proofErr w:type="spellStart"/>
      <w:r>
        <w:t>luteotrophi</w:t>
      </w:r>
      <w:r>
        <w:t>c</w:t>
      </w:r>
      <w:proofErr w:type="spellEnd"/>
      <w:r>
        <w:t xml:space="preserve"> role means that dopamine agonists are most effective when initiated after the corpus luteum has transitioned from predominantly LH-dependent to predominantly prolactin-dependent maintenance, which occurs at approximately day 25 to 30 of gestation.</w:t>
      </w:r>
    </w:p>
    <w:p w14:paraId="6CDC9B66" w14:textId="77777777" w:rsidR="00B303BF" w:rsidRDefault="005B386D">
      <w:pPr>
        <w:pStyle w:val="Heading2"/>
      </w:pPr>
      <w:r>
        <w:t>7.2 Ca</w:t>
      </w:r>
      <w:r>
        <w:t>bergoline</w:t>
      </w:r>
    </w:p>
    <w:p w14:paraId="66427A22" w14:textId="77777777" w:rsidR="00B303BF" w:rsidRDefault="005B386D">
      <w:pPr>
        <w:spacing w:after="120" w:line="360" w:lineRule="auto"/>
        <w:jc w:val="both"/>
      </w:pPr>
      <w:r>
        <w:t>Cabergoline is a long-acting ergot-derived dopamine D2 receptor agonist that has become the most widely used dopamine agonist for reproductive manipulation in the bitch. It offers several advantages over the earlier agent bromocriptine, including</w:t>
      </w:r>
      <w:r>
        <w:t xml:space="preserve"> a longer duration of action permitting once-daily oral administration, greater selectivity for the D2 receptor, and a markedly lower incidence of gastrointestinal adverse effects (</w:t>
      </w:r>
      <w:proofErr w:type="spellStart"/>
      <w:r>
        <w:t>Gobello</w:t>
      </w:r>
      <w:proofErr w:type="spellEnd"/>
      <w:r>
        <w:t xml:space="preserve">, 2006; Wiebe &amp; Howard, 2009). The standard dose of cabergoline for </w:t>
      </w:r>
      <w:r>
        <w:t xml:space="preserve">pregnancy termination in the bitch is 5 </w:t>
      </w:r>
      <w:proofErr w:type="spellStart"/>
      <w:r>
        <w:t>μg</w:t>
      </w:r>
      <w:proofErr w:type="spellEnd"/>
      <w:r>
        <w:t>/kg administered orally once daily. Treatment is typically commenced after day 25 to 30 of gestation, when the corpus luteum has become sufficiently dependent upon prolactin to be susceptible to prolactin withdrawa</w:t>
      </w:r>
      <w:r>
        <w:t>l. Treatment is continued until pregnancy termination is confirmed, usually by ultrasonographic examination demonstrating absence of foetal heartbeats and progressive uterine involution, which may require 7 to 14 days of daily administration (</w:t>
      </w:r>
      <w:proofErr w:type="spellStart"/>
      <w:r>
        <w:t>Onclin</w:t>
      </w:r>
      <w:proofErr w:type="spellEnd"/>
      <w:r>
        <w:t xml:space="preserve"> et al.</w:t>
      </w:r>
      <w:r>
        <w:t xml:space="preserve">, 1993; </w:t>
      </w:r>
      <w:proofErr w:type="spellStart"/>
      <w:r>
        <w:t>Gobello</w:t>
      </w:r>
      <w:proofErr w:type="spellEnd"/>
      <w:r>
        <w:t>, 2006).</w:t>
      </w:r>
    </w:p>
    <w:p w14:paraId="1F5461B7" w14:textId="77777777" w:rsidR="00B303BF" w:rsidRDefault="005B386D">
      <w:pPr>
        <w:spacing w:after="120" w:line="360" w:lineRule="auto"/>
        <w:jc w:val="both"/>
      </w:pPr>
      <w:r>
        <w:t xml:space="preserve">When used as a sole agent, the efficacy of cabergoline for pregnancy termination is variable and generally lower than that of </w:t>
      </w:r>
      <w:proofErr w:type="spellStart"/>
      <w:r>
        <w:t>aglepristone</w:t>
      </w:r>
      <w:proofErr w:type="spellEnd"/>
      <w:r>
        <w:t xml:space="preserve">, with reported success rates ranging from approximately 60 to 90 per cent depending upon the </w:t>
      </w:r>
      <w:r>
        <w:t>stage of gestation and the individual response (</w:t>
      </w:r>
      <w:proofErr w:type="spellStart"/>
      <w:r>
        <w:t>Gobello</w:t>
      </w:r>
      <w:proofErr w:type="spellEnd"/>
      <w:r>
        <w:t xml:space="preserve">, 2006). The variability in efficacy reflects the fact that prolactin is not the sole </w:t>
      </w:r>
      <w:proofErr w:type="spellStart"/>
      <w:r>
        <w:t>luteotrophic</w:t>
      </w:r>
      <w:proofErr w:type="spellEnd"/>
      <w:r>
        <w:t xml:space="preserve"> factor in the bitch; LH also contributes to luteal support, particularly during </w:t>
      </w:r>
      <w:r>
        <w:lastRenderedPageBreak/>
        <w:t>the first half of dioe</w:t>
      </w:r>
      <w:r>
        <w:t xml:space="preserve">strus, and its </w:t>
      </w:r>
      <w:proofErr w:type="spellStart"/>
      <w:r>
        <w:t>luteotrophic</w:t>
      </w:r>
      <w:proofErr w:type="spellEnd"/>
      <w:r>
        <w:t xml:space="preserve"> action may partially compensate for the loss of prolactin-mediated support. For this reason, cabergoline is most commonly used in combination with other agents, particularly </w:t>
      </w:r>
      <w:proofErr w:type="spellStart"/>
      <w:r>
        <w:t>aglepristone</w:t>
      </w:r>
      <w:proofErr w:type="spellEnd"/>
      <w:r>
        <w:t xml:space="preserve"> or prostaglandins, rather than as monothe</w:t>
      </w:r>
      <w:r>
        <w:t>rapy. The oral route of administration and the good tolerability of cabergoline make it a convenient adjunctive agent for home administration between veterinary appointments.</w:t>
      </w:r>
    </w:p>
    <w:p w14:paraId="03356A86" w14:textId="77777777" w:rsidR="00B303BF" w:rsidRDefault="005B386D">
      <w:pPr>
        <w:pStyle w:val="Heading2"/>
      </w:pPr>
      <w:r>
        <w:t>7.3 Bromocriptine</w:t>
      </w:r>
    </w:p>
    <w:p w14:paraId="33443D45" w14:textId="77777777" w:rsidR="00B303BF" w:rsidRDefault="005B386D">
      <w:pPr>
        <w:spacing w:after="120" w:line="360" w:lineRule="auto"/>
        <w:jc w:val="both"/>
      </w:pPr>
      <w:r>
        <w:t>Bromocriptine, an earlier-generation ergot-derived dopamine ago</w:t>
      </w:r>
      <w:r>
        <w:t xml:space="preserve">nist, has also been used for pregnancy termination in the bitch. The recommended dose is 20 to 100 </w:t>
      </w:r>
      <w:proofErr w:type="spellStart"/>
      <w:r>
        <w:t>μg</w:t>
      </w:r>
      <w:proofErr w:type="spellEnd"/>
      <w:r>
        <w:t>/kg administered orally twice daily. However, bromocriptine is associated with a substantially higher incidence of emesis, nausea, and other gastrointestin</w:t>
      </w:r>
      <w:r>
        <w:t>al disturbances compared with cabergoline, likely reflecting its lower D2 receptor selectivity and additional serotonergic activity (</w:t>
      </w:r>
      <w:proofErr w:type="spellStart"/>
      <w:r>
        <w:t>Gobello</w:t>
      </w:r>
      <w:proofErr w:type="spellEnd"/>
      <w:r>
        <w:t>, 2006). These adverse effects limit owner compliance and patient tolerance, and bromocriptine has been largely supe</w:t>
      </w:r>
      <w:r>
        <w:t>rseded by cabergoline in contemporary practice. In settings where cabergoline is unavailable, bromocriptine may be considered, but the clinician should counsel the owner regarding the expected gastrointestinal side effects and the need for careful dose tit</w:t>
      </w:r>
      <w:r>
        <w:t>ration.</w:t>
      </w:r>
    </w:p>
    <w:p w14:paraId="5BEF4873" w14:textId="77777777" w:rsidR="00B303BF" w:rsidRDefault="005B386D">
      <w:pPr>
        <w:pStyle w:val="Heading1"/>
      </w:pPr>
      <w:r>
        <w:t>8. Combination Protocols</w:t>
      </w:r>
    </w:p>
    <w:p w14:paraId="05BB4018" w14:textId="77777777" w:rsidR="00B303BF" w:rsidRDefault="005B386D">
      <w:pPr>
        <w:pStyle w:val="Heading2"/>
      </w:pPr>
      <w:r>
        <w:t>8.1 Rationale for Combination Therapy</w:t>
      </w:r>
    </w:p>
    <w:p w14:paraId="7B9683CD" w14:textId="77777777" w:rsidR="00B303BF" w:rsidRDefault="005B386D">
      <w:pPr>
        <w:spacing w:after="120" w:line="360" w:lineRule="auto"/>
        <w:jc w:val="both"/>
      </w:pPr>
      <w:r>
        <w:t>The recognition that no single pharmacological agent is uniformly effective at all stages of canine gestation, and that the mechanisms sustaining pregnancy involve multiple endocrine pa</w:t>
      </w:r>
      <w:r>
        <w:t xml:space="preserve">thways, has led to the development of combination protocols. By targeting multiple components of the </w:t>
      </w:r>
      <w:proofErr w:type="spellStart"/>
      <w:r>
        <w:t>luteotrophic</w:t>
      </w:r>
      <w:proofErr w:type="spellEnd"/>
      <w:r>
        <w:t xml:space="preserve"> axis simultaneously—for example, blocking progesterone receptors whilst also promoting </w:t>
      </w:r>
      <w:proofErr w:type="spellStart"/>
      <w:r>
        <w:t>luteolysis</w:t>
      </w:r>
      <w:proofErr w:type="spellEnd"/>
      <w:r>
        <w:t xml:space="preserve"> and suppressing prolactin—combination regime</w:t>
      </w:r>
      <w:r>
        <w:t>ns aim to achieve higher and more reliable efficacy rates with potentially lower doses of individual agents and fewer adverse effects (</w:t>
      </w:r>
      <w:proofErr w:type="spellStart"/>
      <w:r>
        <w:t>Gobello</w:t>
      </w:r>
      <w:proofErr w:type="spellEnd"/>
      <w:r>
        <w:t>, 2006; Wiebe &amp; Howard, 2009). The synergistic or additive interactions between different classes of agents provid</w:t>
      </w:r>
      <w:r>
        <w:t>e a sound pharmacological rationale for this approach.</w:t>
      </w:r>
    </w:p>
    <w:p w14:paraId="584B3A52" w14:textId="77777777" w:rsidR="00B303BF" w:rsidRDefault="005B386D">
      <w:pPr>
        <w:pStyle w:val="Heading2"/>
      </w:pPr>
      <w:r>
        <w:t xml:space="preserve">8.2 </w:t>
      </w:r>
      <w:proofErr w:type="spellStart"/>
      <w:r>
        <w:t>Aglepristone</w:t>
      </w:r>
      <w:proofErr w:type="spellEnd"/>
      <w:r>
        <w:t xml:space="preserve"> Combined with Prostaglandin Analogues</w:t>
      </w:r>
    </w:p>
    <w:p w14:paraId="59093687" w14:textId="77777777" w:rsidR="00B303BF" w:rsidRDefault="005B386D">
      <w:pPr>
        <w:spacing w:after="120" w:line="360" w:lineRule="auto"/>
        <w:jc w:val="both"/>
      </w:pPr>
      <w:r>
        <w:t xml:space="preserve">The combination of </w:t>
      </w:r>
      <w:proofErr w:type="spellStart"/>
      <w:r>
        <w:t>aglepristone</w:t>
      </w:r>
      <w:proofErr w:type="spellEnd"/>
      <w:r>
        <w:t xml:space="preserve"> with a prostaglandin analogue, typically </w:t>
      </w:r>
      <w:proofErr w:type="spellStart"/>
      <w:r>
        <w:t>cloprostenol</w:t>
      </w:r>
      <w:proofErr w:type="spellEnd"/>
      <w:r>
        <w:t>, represents one of the best-characterised and most effective</w:t>
      </w:r>
      <w:r>
        <w:t xml:space="preserve"> protocols for pregnancy termination in the bitch. The standard regimen involves administration of </w:t>
      </w:r>
      <w:proofErr w:type="spellStart"/>
      <w:r>
        <w:t>aglepristone</w:t>
      </w:r>
      <w:proofErr w:type="spellEnd"/>
      <w:r>
        <w:t xml:space="preserve"> at 10 mg/kg subcutaneously on days 1 and 2 of treatment, combined with a low dose of </w:t>
      </w:r>
      <w:proofErr w:type="spellStart"/>
      <w:r>
        <w:t>cloprostenol</w:t>
      </w:r>
      <w:proofErr w:type="spellEnd"/>
      <w:r>
        <w:t xml:space="preserve"> (1 to </w:t>
      </w:r>
      <w:r>
        <w:lastRenderedPageBreak/>
        <w:t xml:space="preserve">3 </w:t>
      </w:r>
      <w:proofErr w:type="spellStart"/>
      <w:r>
        <w:t>μg</w:t>
      </w:r>
      <w:proofErr w:type="spellEnd"/>
      <w:r>
        <w:t>/kg subcutaneously) commencing on da</w:t>
      </w:r>
      <w:r>
        <w:t>y 3 and continuing for 3 to 5 additional days (</w:t>
      </w:r>
      <w:proofErr w:type="spellStart"/>
      <w:r>
        <w:t>Gobello</w:t>
      </w:r>
      <w:proofErr w:type="spellEnd"/>
      <w:r>
        <w:t xml:space="preserve"> et al., 2003; </w:t>
      </w:r>
      <w:proofErr w:type="spellStart"/>
      <w:r>
        <w:t>Gobello</w:t>
      </w:r>
      <w:proofErr w:type="spellEnd"/>
      <w:r>
        <w:t xml:space="preserve">, 2006). The </w:t>
      </w:r>
      <w:proofErr w:type="spellStart"/>
      <w:r>
        <w:t>aglepristone</w:t>
      </w:r>
      <w:proofErr w:type="spellEnd"/>
      <w:r>
        <w:t xml:space="preserve"> component provides immediate blockade of progesterone action at the receptor level, whilst the prostaglandin component induces </w:t>
      </w:r>
      <w:proofErr w:type="spellStart"/>
      <w:r>
        <w:t>luteolysis</w:t>
      </w:r>
      <w:proofErr w:type="spellEnd"/>
      <w:r>
        <w:t>, thereby reducin</w:t>
      </w:r>
      <w:r>
        <w:t>g circulating progesterone and complementing the functional progesterone withdrawal. This dual mechanism results in efficacy rates approaching 100 per cent even when applied during mid-gestation, and the protocol has been reported to be effective from appr</w:t>
      </w:r>
      <w:r>
        <w:t>oximately day 25 onwards.</w:t>
      </w:r>
    </w:p>
    <w:p w14:paraId="517DB19C" w14:textId="77777777" w:rsidR="00B303BF" w:rsidRDefault="005B386D">
      <w:pPr>
        <w:spacing w:after="120" w:line="360" w:lineRule="auto"/>
        <w:jc w:val="both"/>
      </w:pPr>
      <w:r>
        <w:t xml:space="preserve">The prostaglandin component of the combination regimen may cause the typical adverse effects of prostaglandin administration (vomiting, diarrhoea, restlessness, panting), but these tend to be milder and of shorter duration at the </w:t>
      </w:r>
      <w:r>
        <w:t xml:space="preserve">low doses used in combination protocols compared with prostaglandin monotherapy. The addition of prostaglandin is most beneficial in mid- to late-gestation cases where </w:t>
      </w:r>
      <w:proofErr w:type="spellStart"/>
      <w:r>
        <w:t>aglepristone</w:t>
      </w:r>
      <w:proofErr w:type="spellEnd"/>
      <w:r>
        <w:t xml:space="preserve"> alone may be less reliable, and the combination has become the protocol of </w:t>
      </w:r>
      <w:r>
        <w:t>choice for many reproductive specialists when treating confirmed pregnancies beyond the first trimester of gestation.</w:t>
      </w:r>
    </w:p>
    <w:p w14:paraId="5E137BF8" w14:textId="77777777" w:rsidR="00B303BF" w:rsidRDefault="005B386D">
      <w:pPr>
        <w:pStyle w:val="Heading2"/>
      </w:pPr>
      <w:r>
        <w:t xml:space="preserve">8.3 </w:t>
      </w:r>
      <w:proofErr w:type="spellStart"/>
      <w:r>
        <w:t>Aglepristone</w:t>
      </w:r>
      <w:proofErr w:type="spellEnd"/>
      <w:r>
        <w:t xml:space="preserve"> Combined with Dopamine Agonists</w:t>
      </w:r>
    </w:p>
    <w:p w14:paraId="2C87D22E" w14:textId="77777777" w:rsidR="00B303BF" w:rsidRDefault="005B386D">
      <w:pPr>
        <w:spacing w:after="120" w:line="360" w:lineRule="auto"/>
        <w:jc w:val="both"/>
      </w:pPr>
      <w:r>
        <w:t xml:space="preserve">Another well-described combination involves </w:t>
      </w:r>
      <w:proofErr w:type="spellStart"/>
      <w:r>
        <w:t>aglepristone</w:t>
      </w:r>
      <w:proofErr w:type="spellEnd"/>
      <w:r>
        <w:t xml:space="preserve"> administered according to the st</w:t>
      </w:r>
      <w:r>
        <w:t xml:space="preserve">andard two-injection protocol, together with daily oral cabergoline at 5 </w:t>
      </w:r>
      <w:proofErr w:type="spellStart"/>
      <w:r>
        <w:t>μg</w:t>
      </w:r>
      <w:proofErr w:type="spellEnd"/>
      <w:r>
        <w:t>/kg for seven to ten days. This combination targets progesterone action at both the receptor level (</w:t>
      </w:r>
      <w:proofErr w:type="spellStart"/>
      <w:r>
        <w:t>aglepristone</w:t>
      </w:r>
      <w:proofErr w:type="spellEnd"/>
      <w:r>
        <w:t>) and the source level (cabergoline, through prolactin suppression an</w:t>
      </w:r>
      <w:r>
        <w:t xml:space="preserve">d consequent luteal regression). The efficacy of this combination has been reported to be very high, approaching that of the </w:t>
      </w:r>
      <w:proofErr w:type="spellStart"/>
      <w:r>
        <w:t>aglepristone</w:t>
      </w:r>
      <w:proofErr w:type="spellEnd"/>
      <w:r>
        <w:t>-prostaglandin combination, with the advantage that cabergoline is administered orally and is generally better tolerate</w:t>
      </w:r>
      <w:r>
        <w:t>d than prostaglandin injections (</w:t>
      </w:r>
      <w:proofErr w:type="spellStart"/>
      <w:r>
        <w:t>Gobello</w:t>
      </w:r>
      <w:proofErr w:type="spellEnd"/>
      <w:r>
        <w:t>, 2006; Wiebe &amp; Howard, 2009). This protocol may be preferred by owners who are unable to return to the veterinary clinic for daily prostaglandin injections, as the cabergoline can be administered at home with approp</w:t>
      </w:r>
      <w:r>
        <w:t>riate instruction.</w:t>
      </w:r>
    </w:p>
    <w:p w14:paraId="7196F691" w14:textId="77777777" w:rsidR="00B303BF" w:rsidRDefault="005B386D">
      <w:pPr>
        <w:pStyle w:val="Heading2"/>
      </w:pPr>
      <w:r>
        <w:t>8.4 Triple Combination and Other Protocols</w:t>
      </w:r>
    </w:p>
    <w:p w14:paraId="477DF9EF" w14:textId="77777777" w:rsidR="00B303BF" w:rsidRDefault="005B386D">
      <w:pPr>
        <w:spacing w:after="120" w:line="360" w:lineRule="auto"/>
        <w:jc w:val="both"/>
      </w:pPr>
      <w:r>
        <w:t xml:space="preserve">In particularly challenging cases, such as advanced pregnancies beyond day 40, some authors have described triple combination protocols incorporating </w:t>
      </w:r>
      <w:proofErr w:type="spellStart"/>
      <w:r>
        <w:t>aglepristone</w:t>
      </w:r>
      <w:proofErr w:type="spellEnd"/>
      <w:r>
        <w:t xml:space="preserve">, a prostaglandin analogue, and </w:t>
      </w:r>
      <w:r>
        <w:t>cabergoline. While the evidence base for triple therapy is more limited, the theoretical rationale is sound: the three agents target different components of the progesterone axis, and their combined use may maximise the likelihood of complete pregnancy ter</w:t>
      </w:r>
      <w:r>
        <w:t xml:space="preserve">mination. Such protocols are typically reserved for cases in which simpler regimens have failed or where </w:t>
      </w:r>
      <w:r>
        <w:lastRenderedPageBreak/>
        <w:t xml:space="preserve">the advanced stage of gestation necessitates the most aggressive pharmacological approach compatible with patient safety (Wiebe &amp; Howard, 2009). Other </w:t>
      </w:r>
      <w:r>
        <w:t xml:space="preserve">investigational combinations, including prostaglandins with dopamine agonists without an </w:t>
      </w:r>
      <w:proofErr w:type="spellStart"/>
      <w:r>
        <w:t>antiprogestin</w:t>
      </w:r>
      <w:proofErr w:type="spellEnd"/>
      <w:r>
        <w:t xml:space="preserve">, have also been described, although these are less well studied than </w:t>
      </w:r>
      <w:proofErr w:type="spellStart"/>
      <w:r>
        <w:t>aglepristone</w:t>
      </w:r>
      <w:proofErr w:type="spellEnd"/>
      <w:r>
        <w:t>-containing regimens.</w:t>
      </w:r>
    </w:p>
    <w:p w14:paraId="46EA16F9" w14:textId="77777777" w:rsidR="00B303BF" w:rsidRDefault="005B386D">
      <w:pPr>
        <w:pStyle w:val="Heading1"/>
      </w:pPr>
      <w:r>
        <w:t>9. Gonadotrophin-Releasing Hormone Analogues</w:t>
      </w:r>
    </w:p>
    <w:p w14:paraId="1D801D6F" w14:textId="77777777" w:rsidR="00B303BF" w:rsidRDefault="005B386D">
      <w:pPr>
        <w:pStyle w:val="Heading2"/>
      </w:pPr>
      <w:r>
        <w:t>9.1 G</w:t>
      </w:r>
      <w:r>
        <w:t>nRH Agonists</w:t>
      </w:r>
    </w:p>
    <w:p w14:paraId="56F5F008" w14:textId="77777777" w:rsidR="00B303BF" w:rsidRDefault="005B386D">
      <w:pPr>
        <w:spacing w:after="120" w:line="360" w:lineRule="auto"/>
        <w:jc w:val="both"/>
      </w:pPr>
      <w:r>
        <w:t xml:space="preserve">Gonadotrophin-releasing hormone (GnRH) agonists, when administered in a continuous or sustained-release formulation, </w:t>
      </w:r>
      <w:proofErr w:type="gramStart"/>
      <w:r>
        <w:t>cause</w:t>
      </w:r>
      <w:proofErr w:type="gramEnd"/>
      <w:r>
        <w:t xml:space="preserve"> initial stimulation followed by desensitisation and downregulation of pituitary GnRH receptors, resulting in suppression</w:t>
      </w:r>
      <w:r>
        <w:t xml:space="preserve"> of LH and follicle-stimulating hormone (FSH) secretion. Because LH is one of the two principal </w:t>
      </w:r>
      <w:proofErr w:type="spellStart"/>
      <w:r>
        <w:t>luteotrophic</w:t>
      </w:r>
      <w:proofErr w:type="spellEnd"/>
      <w:r>
        <w:t xml:space="preserve"> factors in the bitch, sustained GnRH agonist treatment can theoretically induce luteal regression and pregnancy loss (</w:t>
      </w:r>
      <w:proofErr w:type="spellStart"/>
      <w:r>
        <w:t>Gobello</w:t>
      </w:r>
      <w:proofErr w:type="spellEnd"/>
      <w:r>
        <w:t xml:space="preserve">, 2006). However, the </w:t>
      </w:r>
      <w:r>
        <w:t>practical utility of GnRH agonists for misalliance management is limited by several factors. The initial stimulatory phase, commonly referred to as the “flare effect,” may transiently increase gonadotrophin secretion before suppression is achieved, and the</w:t>
      </w:r>
      <w:r>
        <w:t xml:space="preserve"> time to achieve effective downregulation may be too prolonged to be clinically useful in an acute misalliance presentation. Furthermore, the availability and cost of sustained-release GnRH agonist implants designed for the canine species may be limiting. </w:t>
      </w:r>
      <w:r>
        <w:t xml:space="preserve">GnRH agonist implants such as </w:t>
      </w:r>
      <w:proofErr w:type="spellStart"/>
      <w:r>
        <w:t>deslorelin</w:t>
      </w:r>
      <w:proofErr w:type="spellEnd"/>
      <w:r>
        <w:t xml:space="preserve"> are more commonly employed for contraception or suppression of reproductive function in the long term, rather than for acute pregnancy termination.</w:t>
      </w:r>
    </w:p>
    <w:p w14:paraId="34065267" w14:textId="77777777" w:rsidR="00B303BF" w:rsidRDefault="005B386D">
      <w:pPr>
        <w:pStyle w:val="Heading2"/>
      </w:pPr>
      <w:r>
        <w:t>9.2 GnRH Antagonists</w:t>
      </w:r>
    </w:p>
    <w:p w14:paraId="7193F7AE" w14:textId="77777777" w:rsidR="00B303BF" w:rsidRDefault="005B386D">
      <w:pPr>
        <w:spacing w:after="120" w:line="360" w:lineRule="auto"/>
        <w:jc w:val="both"/>
      </w:pPr>
      <w:r>
        <w:t>GnRH antagonists, unlike agonists, produce immediate suppression of gonadotrophin release without an initial stimulatory flare, making them theoretically more suitable for acute pregnancy termination. By causing rapid suppression of LH secretion, GnRH anta</w:t>
      </w:r>
      <w:r>
        <w:t xml:space="preserve">gonists can induce </w:t>
      </w:r>
      <w:proofErr w:type="spellStart"/>
      <w:r>
        <w:t>luteolysis</w:t>
      </w:r>
      <w:proofErr w:type="spellEnd"/>
      <w:r>
        <w:t xml:space="preserve"> and progesterone decline. Experimental studies in bitches have demonstrated the abortifacient potential of GnRH antagonists when administered during the luteal phase (</w:t>
      </w:r>
      <w:proofErr w:type="spellStart"/>
      <w:r>
        <w:t>Gobello</w:t>
      </w:r>
      <w:proofErr w:type="spellEnd"/>
      <w:r>
        <w:t xml:space="preserve">, 2006). However, the clinical application of these </w:t>
      </w:r>
      <w:r>
        <w:t>agents in canine practice remains limited by their high cost, the need for repeated parenteral administration, and the absence of licensed veterinary formulations. At present, GnRH antagonists are considered experimental for misalliance management in the b</w:t>
      </w:r>
      <w:r>
        <w:t>itch and are not routinely available for clinical use, although they represent an area of ongoing research interest.</w:t>
      </w:r>
    </w:p>
    <w:p w14:paraId="5491CC3D" w14:textId="77777777" w:rsidR="00B303BF" w:rsidRDefault="005B386D">
      <w:pPr>
        <w:pStyle w:val="Heading1"/>
      </w:pPr>
      <w:r>
        <w:lastRenderedPageBreak/>
        <w:t>10. Glucocorticoids: Dexamethasone</w:t>
      </w:r>
    </w:p>
    <w:p w14:paraId="78552E14" w14:textId="77777777" w:rsidR="00B303BF" w:rsidRDefault="005B386D">
      <w:pPr>
        <w:spacing w:after="120" w:line="360" w:lineRule="auto"/>
        <w:jc w:val="both"/>
      </w:pPr>
      <w:r>
        <w:t>Dexamethasone, a potent synthetic glucocorticoid, has been investigated as an abortifacient in the bitch</w:t>
      </w:r>
      <w:r>
        <w:t xml:space="preserve">. The proposed mechanism involves suppression of pituitary LH and prolactin secretion via negative feedback on the hypothalamic-pituitary axis, leading to inadequate </w:t>
      </w:r>
      <w:proofErr w:type="spellStart"/>
      <w:r>
        <w:t>luteotrophic</w:t>
      </w:r>
      <w:proofErr w:type="spellEnd"/>
      <w:r>
        <w:t xml:space="preserve"> support and secondary </w:t>
      </w:r>
      <w:proofErr w:type="spellStart"/>
      <w:r>
        <w:t>luteolysis</w:t>
      </w:r>
      <w:proofErr w:type="spellEnd"/>
      <w:r>
        <w:t>. Protocols described in the literature typic</w:t>
      </w:r>
      <w:r>
        <w:t>ally involve oral administration of dexamethasone at relatively high doses (0.2 mg/kg twice daily) for a period of seven to ten days, commencing after day 30 of gestation (Eilts, 2002; Wiebe &amp; Howard, 2009).</w:t>
      </w:r>
    </w:p>
    <w:p w14:paraId="76D5A102" w14:textId="77777777" w:rsidR="00B303BF" w:rsidRDefault="005B386D">
      <w:pPr>
        <w:spacing w:after="120" w:line="360" w:lineRule="auto"/>
        <w:jc w:val="both"/>
      </w:pPr>
      <w:r>
        <w:t>The efficacy of dexamethasone as a sole abortifa</w:t>
      </w:r>
      <w:r>
        <w:t xml:space="preserve">cient agent is variable and generally inferior to that achieved with </w:t>
      </w:r>
      <w:proofErr w:type="spellStart"/>
      <w:r>
        <w:t>aglepristone</w:t>
      </w:r>
      <w:proofErr w:type="spellEnd"/>
      <w:r>
        <w:t xml:space="preserve"> or combination protocols, with success rates that are difficult to summarise precisely due to the heterogeneity of reported protocols. Furthermore, the prolonged administrati</w:t>
      </w:r>
      <w:r>
        <w:t>on of supraphysiological glucocorticoid doses is associated with significant and predictable adverse effects, including polyuria, polydipsia, polyphagia, immunosuppression, iatrogenic hyperadrenocorticism, delayed wound healing, and potentially life-threat</w:t>
      </w:r>
      <w:r>
        <w:t>ening adrenal suppression following abrupt withdrawal. The risk of iatrogenic Cushing’s syndrome and the possibility of triggering secondary infections in an immunocompromised patient represent serious concerns. These substantial disadvantages have relegat</w:t>
      </w:r>
      <w:r>
        <w:t xml:space="preserve">ed dexamethasone to a secondary or last-resort option, and it is generally not recommended when </w:t>
      </w:r>
      <w:proofErr w:type="spellStart"/>
      <w:r>
        <w:t>aglepristone</w:t>
      </w:r>
      <w:proofErr w:type="spellEnd"/>
      <w:r>
        <w:t xml:space="preserve"> or prostaglandin-based protocols are available. Its use may be considered in resource-limited settings where access to </w:t>
      </w:r>
      <w:proofErr w:type="spellStart"/>
      <w:r>
        <w:t>antiprogestins</w:t>
      </w:r>
      <w:proofErr w:type="spellEnd"/>
      <w:r>
        <w:t xml:space="preserve"> is restricted</w:t>
      </w:r>
      <w:r>
        <w:t>, but only with careful monitoring, gradual dose tapering, and full informed consent regarding the associated risks.</w:t>
      </w:r>
    </w:p>
    <w:p w14:paraId="7C8ED1B8" w14:textId="77777777" w:rsidR="00B303BF" w:rsidRDefault="005B386D">
      <w:pPr>
        <w:pStyle w:val="Heading1"/>
      </w:pPr>
      <w:r>
        <w:t>11. Surgical Intervention: Ovariohysterectomy</w:t>
      </w:r>
    </w:p>
    <w:p w14:paraId="0E1073C3" w14:textId="77777777" w:rsidR="00B303BF" w:rsidRDefault="005B386D">
      <w:pPr>
        <w:spacing w:after="120" w:line="360" w:lineRule="auto"/>
        <w:jc w:val="both"/>
      </w:pPr>
      <w:r>
        <w:t>Ovariohysterectomy (OVH) remains the most definitive method of reproductive control following</w:t>
      </w:r>
      <w:r>
        <w:t xml:space="preserve"> misalliance, as it simultaneously terminates any existing pregnancy and permanently prevents future conception. For owners who do not wish to breed their bitch, OVH performed as early as possible after the unwanted mating provides a one-step solution that</w:t>
      </w:r>
      <w:r>
        <w:t xml:space="preserve"> eliminates the need for pharmacological intervention and its associated monitoring requirements. The procedure can be performed at any stage of the oestrous cycle or pregnancy, although the surgeon should be aware that the uterus during dioestrus or early</w:t>
      </w:r>
      <w:r>
        <w:t xml:space="preserve"> pregnancy is vascular and oedematous, potentially increasing the technical difficulty and the risk of intraoperative haemorrhage compared with OVH performed during anoestrus (Eilts, 2002).</w:t>
      </w:r>
    </w:p>
    <w:p w14:paraId="2835B351" w14:textId="77777777" w:rsidR="00B303BF" w:rsidRDefault="005B386D">
      <w:pPr>
        <w:spacing w:after="120" w:line="360" w:lineRule="auto"/>
        <w:jc w:val="both"/>
      </w:pPr>
      <w:r>
        <w:lastRenderedPageBreak/>
        <w:t xml:space="preserve">In bitches presented with advanced pregnancy where the owner does </w:t>
      </w:r>
      <w:r>
        <w:t>not wish to retain breeding potential, OVH offers the advantages of certainty and immediacy. It also eliminates the risks of pyometra and other reproductive tract disorders in the long term, providing additional health benefits beyond the immediate managem</w:t>
      </w:r>
      <w:r>
        <w:t>ent of the misalliance. The risks of OVH are those common to any major abdominal surgery, including anaesthetic complications, haemorrhage, wound infection, and, in rare instances, ureteral or ureteric injury. These risks are generally well characterised a</w:t>
      </w:r>
      <w:r>
        <w:t>nd manageable within the context of standard veterinary surgical practice. Laparoscopic-assisted techniques may be employed where available, offering the potential benefits of reduced surgical trauma, smaller incisions, and faster recovery.</w:t>
      </w:r>
    </w:p>
    <w:p w14:paraId="2F2CFC19" w14:textId="77777777" w:rsidR="00B303BF" w:rsidRDefault="005B386D">
      <w:pPr>
        <w:spacing w:after="120" w:line="360" w:lineRule="auto"/>
        <w:jc w:val="both"/>
      </w:pPr>
      <w:r>
        <w:t>The primary dis</w:t>
      </w:r>
      <w:r>
        <w:t>advantage of OVH is its irreversibility: the bitch’s reproductive capacity is permanently eliminated. This is clearly unacceptable for bitches of high genetic or breeding value, for whom pharmacological management is strongly preferred. Additionally, the l</w:t>
      </w:r>
      <w:r>
        <w:t>ong-term health implications of gonadectomy, including potential effects on metabolic rate, body composition, urinary continence, and orthopaedic development in young dogs, have been the subject of increasing discussion in recent years, and these considera</w:t>
      </w:r>
      <w:r>
        <w:t xml:space="preserve">tions may influence the owner’s decision. The decision between medical and surgical management should be made collaboratively between the clinician and the owner, </w:t>
      </w:r>
      <w:proofErr w:type="gramStart"/>
      <w:r>
        <w:t>taking into account</w:t>
      </w:r>
      <w:proofErr w:type="gramEnd"/>
      <w:r>
        <w:t xml:space="preserve"> the bitch’s breeding value, age, general health, stage of gestation, owne</w:t>
      </w:r>
      <w:r>
        <w:t>r preferences, and the availability of pharmacological agents.</w:t>
      </w:r>
    </w:p>
    <w:p w14:paraId="6BD02478" w14:textId="77777777" w:rsidR="00B303BF" w:rsidRDefault="005B386D">
      <w:pPr>
        <w:pStyle w:val="Heading1"/>
      </w:pPr>
      <w:r>
        <w:t>12. Comparative Efficacy and Clinical Decision-Making</w:t>
      </w:r>
    </w:p>
    <w:p w14:paraId="2B14042F" w14:textId="77777777" w:rsidR="00B303BF" w:rsidRDefault="005B386D">
      <w:pPr>
        <w:spacing w:after="120" w:line="360" w:lineRule="auto"/>
        <w:jc w:val="both"/>
      </w:pPr>
      <w:r>
        <w:t xml:space="preserve">The selection of an appropriate misalliance management protocol requires careful consideration of several interconnected factors. Foremost </w:t>
      </w:r>
      <w:r>
        <w:t xml:space="preserve">among these is the timing of presentation relative to mating and the estimated stage of the oestrous cycle or gestation. Serological progesterone measurement is invaluable in this context, as it enables the clinician to confirm that ovulation has occurred </w:t>
      </w:r>
      <w:r>
        <w:t>and to estimate the approximate day of gestation. Ultrasonographic examination is the gold standard for confirming pregnancy from approximately day 20 to 25 onwards and is essential for monitoring the response to pharmacological treatment.</w:t>
      </w:r>
    </w:p>
    <w:p w14:paraId="39F14AD4" w14:textId="77777777" w:rsidR="00B303BF" w:rsidRDefault="005B386D">
      <w:pPr>
        <w:spacing w:after="120" w:line="360" w:lineRule="auto"/>
        <w:jc w:val="both"/>
      </w:pPr>
      <w:r>
        <w:t>If the bitch is presented within the first few days after mating and pregnancy confirmation is not yet possible, the clinician faces a decision about whether to initiate preventive treatment or to adopt a watch-and-wait approach. Some authors advocate earl</w:t>
      </w:r>
      <w:r>
        <w:t xml:space="preserve">y administration of </w:t>
      </w:r>
      <w:proofErr w:type="spellStart"/>
      <w:r>
        <w:t>aglepristone</w:t>
      </w:r>
      <w:proofErr w:type="spellEnd"/>
      <w:r>
        <w:t xml:space="preserve"> to prevent implantation, reasoning that the excellent safety profile of the drug </w:t>
      </w:r>
      <w:r>
        <w:lastRenderedPageBreak/>
        <w:t>justifies treatment even in the absence of confirmed pregnancy (</w:t>
      </w:r>
      <w:proofErr w:type="spellStart"/>
      <w:r>
        <w:t>Gobello</w:t>
      </w:r>
      <w:proofErr w:type="spellEnd"/>
      <w:r>
        <w:t xml:space="preserve">, 2006). Others prefer to wait until pregnancy can be confirmed </w:t>
      </w:r>
      <w:proofErr w:type="spellStart"/>
      <w:r>
        <w:t>ultraso</w:t>
      </w:r>
      <w:r>
        <w:t>nographically</w:t>
      </w:r>
      <w:proofErr w:type="spellEnd"/>
      <w:r>
        <w:t xml:space="preserve"> before initiating treatment, in order to avoid treating bitches that may not have conceived. Both approaches have merit, and the decision should be individualised based upon the clinical circumstances, the perceived probability of conception </w:t>
      </w:r>
      <w:r>
        <w:t>given the timing of the mating relative to ovulation, and the owner’s preferences.</w:t>
      </w:r>
    </w:p>
    <w:p w14:paraId="78D072FD" w14:textId="77777777" w:rsidR="00B303BF" w:rsidRDefault="005B386D">
      <w:pPr>
        <w:spacing w:after="120" w:line="360" w:lineRule="auto"/>
        <w:jc w:val="both"/>
      </w:pPr>
      <w:r>
        <w:t xml:space="preserve">For confirmed pregnancies in the first half of gestation, </w:t>
      </w:r>
      <w:proofErr w:type="spellStart"/>
      <w:r>
        <w:t>aglepristone</w:t>
      </w:r>
      <w:proofErr w:type="spellEnd"/>
      <w:r>
        <w:t xml:space="preserve"> monotherapy is widely regarded as the protocol of first choice, offering efficacy rates exceeding 95 p</w:t>
      </w:r>
      <w:r>
        <w:t>er cent with a favourable safety profile and preservation of future fertility (</w:t>
      </w:r>
      <w:proofErr w:type="spellStart"/>
      <w:r>
        <w:t>Galac</w:t>
      </w:r>
      <w:proofErr w:type="spellEnd"/>
      <w:r>
        <w:t xml:space="preserve"> et al., 2000; </w:t>
      </w:r>
      <w:proofErr w:type="spellStart"/>
      <w:r>
        <w:t>Gobello</w:t>
      </w:r>
      <w:proofErr w:type="spellEnd"/>
      <w:r>
        <w:t xml:space="preserve">, 2006). For mid-gestation pregnancies, the combination of </w:t>
      </w:r>
      <w:proofErr w:type="spellStart"/>
      <w:r>
        <w:t>aglepristone</w:t>
      </w:r>
      <w:proofErr w:type="spellEnd"/>
      <w:r>
        <w:t xml:space="preserve"> with a prostaglandin analogue or cabergoline provides enhanced reliability. Fo</w:t>
      </w:r>
      <w:r>
        <w:t>r advanced pregnancies beyond approximately day 45, combination protocols are strongly recommended, and the clinician should be prepared for a more protracted and clinically complex termination process that may require multiple ultrasonographic follow-up e</w:t>
      </w:r>
      <w:r>
        <w:t xml:space="preserve">xaminations. In jurisdictions where </w:t>
      </w:r>
      <w:proofErr w:type="spellStart"/>
      <w:r>
        <w:t>aglepristone</w:t>
      </w:r>
      <w:proofErr w:type="spellEnd"/>
      <w:r>
        <w:t xml:space="preserve"> is not marketed, clinicians may need to rely upon prostaglandin-based protocols, dopamine agonists, or surgical intervention. The lack of universal availability of the most effective pharmacological agent fo</w:t>
      </w:r>
      <w:r>
        <w:t>r canine misalliance management remains a significant impediment to optimal patient care in some parts of the world.</w:t>
      </w:r>
    </w:p>
    <w:p w14:paraId="6FD85B27" w14:textId="77777777" w:rsidR="00B303BF" w:rsidRDefault="005B386D">
      <w:pPr>
        <w:pStyle w:val="Heading1"/>
      </w:pPr>
      <w:r>
        <w:t>13. Monitoring Pregnancy Termination</w:t>
      </w:r>
    </w:p>
    <w:p w14:paraId="5A2DE220" w14:textId="77777777" w:rsidR="00B303BF" w:rsidRDefault="005B386D">
      <w:pPr>
        <w:spacing w:after="120" w:line="360" w:lineRule="auto"/>
        <w:jc w:val="both"/>
      </w:pPr>
      <w:r>
        <w:t xml:space="preserve">Regardless of the protocol selected, adequate monitoring is essential to confirm successful pregnancy </w:t>
      </w:r>
      <w:r>
        <w:t>termination and to detect potential complications. Ultrasonographic examination is the cornerstone of monitoring. Following treatment, the clinician should perform serial ultrasound examinations at intervals of 7 to 10 days to confirm cessation of foetal c</w:t>
      </w:r>
      <w:r>
        <w:t>ardiac activity, progressive reduction in the size of gestational vesicles, and ultimately complete resolution of uterine contents (</w:t>
      </w:r>
      <w:proofErr w:type="spellStart"/>
      <w:r>
        <w:t>Galac</w:t>
      </w:r>
      <w:proofErr w:type="spellEnd"/>
      <w:r>
        <w:t xml:space="preserve"> et al., 2000; Concannon, 2011). The timing of complete ultrasonographic resolution varies: in early-gestation terminat</w:t>
      </w:r>
      <w:r>
        <w:t>ions, the products of conception may be resorbed within 7 to 14 days, whereas in mid- to late-gestation cases, a mucoid or haemorrhagic vaginal discharge may persist for two to three weeks as the uterus expels retained material.</w:t>
      </w:r>
    </w:p>
    <w:p w14:paraId="2D48C250" w14:textId="77777777" w:rsidR="00B303BF" w:rsidRDefault="005B386D">
      <w:pPr>
        <w:spacing w:after="120" w:line="360" w:lineRule="auto"/>
        <w:jc w:val="both"/>
      </w:pPr>
      <w:r>
        <w:t>Serum progesterone measurem</w:t>
      </w:r>
      <w:r>
        <w:t xml:space="preserve">ent may also be of value, particularly in protocols employing prostaglandins or dopamine agonists, as a decline in progesterone below 2 ng/mL provides biochemical confirmation of </w:t>
      </w:r>
      <w:proofErr w:type="spellStart"/>
      <w:r>
        <w:t>luteolysis</w:t>
      </w:r>
      <w:proofErr w:type="spellEnd"/>
      <w:r>
        <w:t xml:space="preserve">. However, it is important to recall that </w:t>
      </w:r>
      <w:proofErr w:type="spellStart"/>
      <w:r>
        <w:t>aglepristone</w:t>
      </w:r>
      <w:proofErr w:type="spellEnd"/>
      <w:r>
        <w:t xml:space="preserve"> does </w:t>
      </w:r>
      <w:r>
        <w:lastRenderedPageBreak/>
        <w:t>not red</w:t>
      </w:r>
      <w:r>
        <w:t xml:space="preserve">uce circulating progesterone, so progesterone measurement is not a useful marker of treatment success following </w:t>
      </w:r>
      <w:proofErr w:type="spellStart"/>
      <w:r>
        <w:t>antiprogestin</w:t>
      </w:r>
      <w:proofErr w:type="spellEnd"/>
      <w:r>
        <w:t xml:space="preserve"> administration alone. </w:t>
      </w:r>
      <w:proofErr w:type="spellStart"/>
      <w:r>
        <w:t>Relaxin</w:t>
      </w:r>
      <w:proofErr w:type="spellEnd"/>
      <w:r>
        <w:t xml:space="preserve"> testing, which becomes positive from approximately day 25 of pregnancy, may serve as an adjunctive t</w:t>
      </w:r>
      <w:r>
        <w:t>ool for confirming pregnancy prior to treatment and for monitoring the decline of this pregnancy-specific hormone following successful termination.</w:t>
      </w:r>
    </w:p>
    <w:p w14:paraId="5B5344FD" w14:textId="77777777" w:rsidR="00B303BF" w:rsidRDefault="005B386D">
      <w:pPr>
        <w:spacing w:after="120" w:line="360" w:lineRule="auto"/>
        <w:jc w:val="both"/>
      </w:pPr>
      <w:r>
        <w:t>Clinical signs warranting concern during the monitoring period include persistent or worsening vaginal disch</w:t>
      </w:r>
      <w:r>
        <w:t>arge, pyrexia, lethargy, inappetence, and abdominal pain, which may indicate incomplete pregnancy termination, retained products of conception, or secondary endometritis. In such cases, repeat pharmacological treatment, uterine lavage, or surgical interven</w:t>
      </w:r>
      <w:r>
        <w:t>tion may be required. The owner should be counselled regarding these potential complications at the outset of treatment and should be instructed to seek prompt veterinary attention if the bitch develops any signs of systemic illness during the post-treatme</w:t>
      </w:r>
      <w:r>
        <w:t>nt period.</w:t>
      </w:r>
    </w:p>
    <w:p w14:paraId="248A7428" w14:textId="77777777" w:rsidR="00B303BF" w:rsidRDefault="005B386D">
      <w:pPr>
        <w:pStyle w:val="Heading1"/>
      </w:pPr>
      <w:r>
        <w:t>14. Ethical and Welfare Considerations</w:t>
      </w:r>
    </w:p>
    <w:p w14:paraId="6E96D8A1" w14:textId="77777777" w:rsidR="00B303BF" w:rsidRDefault="005B386D">
      <w:pPr>
        <w:spacing w:after="120" w:line="360" w:lineRule="auto"/>
        <w:jc w:val="both"/>
      </w:pPr>
      <w:r>
        <w:t>The management of misalliance in the bitch raises several ethical and welfare considerations that merit discussion. From a welfare perspective, the prevention of unwanted pregnancies is generally considered</w:t>
      </w:r>
      <w:r>
        <w:t xml:space="preserve"> beneficial, as it avoids the production of puppies for which responsible homes may not be available, reduces the risk of pregnancy-related complications in the bitch, and prevents the potential welfare compromise associated with large litters in breeds pr</w:t>
      </w:r>
      <w:r>
        <w:t>edisposed to dystocia. The pharmacological termination of an established pregnancy, whilst generating less ethical controversy in veterinary practice than in human medicine, nevertheless requires sensitivity in communication with owners, some of whom may h</w:t>
      </w:r>
      <w:r>
        <w:t>ave reservations about pregnancy termination on moral or religious grounds.</w:t>
      </w:r>
    </w:p>
    <w:p w14:paraId="2C0177E0" w14:textId="77777777" w:rsidR="00B303BF" w:rsidRDefault="005B386D">
      <w:pPr>
        <w:spacing w:after="120" w:line="360" w:lineRule="auto"/>
        <w:jc w:val="both"/>
      </w:pPr>
      <w:r>
        <w:t>The clinician has a responsibility to ensure that the owner is fully informed of all available options, including the option of allowing the pregnancy to proceed if the owner is wi</w:t>
      </w:r>
      <w:r>
        <w:t>lling and able to care for the resulting litter. The discussion should encompass the expected efficacy, potential adverse effects, and costs of each approach, as well as the implications for the bitch’s future reproductive health and breeding potential. In</w:t>
      </w:r>
      <w:r>
        <w:t>formed consent should be obtained and documented before any intervention is performed. From a broader population perspective, effective management of misalliance is an important component of responsible breeding practice and canine population control. Unpl</w:t>
      </w:r>
      <w:r>
        <w:t xml:space="preserve">anned matings, if allowed to proceed, contribute to overpopulation, abandonment, and the associated welfare concerns that disproportionately affect dogs in many regions of the world. The availability of safe, effective, and accessible </w:t>
      </w:r>
      <w:r>
        <w:lastRenderedPageBreak/>
        <w:t>pharmacological tools</w:t>
      </w:r>
      <w:r>
        <w:t xml:space="preserve"> for pregnancy prevention and termination therefore serves important public health and welfare objectives.</w:t>
      </w:r>
    </w:p>
    <w:p w14:paraId="4F6088B1" w14:textId="77777777" w:rsidR="00B303BF" w:rsidRDefault="005B386D">
      <w:pPr>
        <w:spacing w:after="120" w:line="360" w:lineRule="auto"/>
        <w:jc w:val="both"/>
      </w:pPr>
      <w:r>
        <w:t>Veterinary professional bodies and regulatory authorities also have a role in ensuring that the most effective agents for misalliance management, par</w:t>
      </w:r>
      <w:r>
        <w:t xml:space="preserve">ticularly </w:t>
      </w:r>
      <w:proofErr w:type="spellStart"/>
      <w:r>
        <w:t>aglepristone</w:t>
      </w:r>
      <w:proofErr w:type="spellEnd"/>
      <w:r>
        <w:t xml:space="preserve">, are made available to practitioners in all jurisdictions. The continued restriction or unavailability of </w:t>
      </w:r>
      <w:proofErr w:type="spellStart"/>
      <w:r>
        <w:t>aglepristone</w:t>
      </w:r>
      <w:proofErr w:type="spellEnd"/>
      <w:r>
        <w:t xml:space="preserve"> in some countries, including notably the United States, forces clinicians to resort to less effective or less safe</w:t>
      </w:r>
      <w:r>
        <w:t xml:space="preserve"> alternatives, representing a preventable gap in the standard of care. Advocacy for the regulatory approval of </w:t>
      </w:r>
      <w:proofErr w:type="spellStart"/>
      <w:r>
        <w:t>aglepristone</w:t>
      </w:r>
      <w:proofErr w:type="spellEnd"/>
      <w:r>
        <w:t xml:space="preserve"> in additional markets should be considered a priority for the profession.</w:t>
      </w:r>
    </w:p>
    <w:p w14:paraId="4568D09B" w14:textId="77777777" w:rsidR="00B303BF" w:rsidRDefault="005B386D">
      <w:pPr>
        <w:pStyle w:val="Heading1"/>
      </w:pPr>
      <w:r>
        <w:t>15. Future Directions</w:t>
      </w:r>
    </w:p>
    <w:p w14:paraId="6117B022" w14:textId="77777777" w:rsidR="00B303BF" w:rsidRDefault="005B386D">
      <w:pPr>
        <w:spacing w:after="120" w:line="360" w:lineRule="auto"/>
        <w:jc w:val="both"/>
      </w:pPr>
      <w:r>
        <w:t xml:space="preserve">Several areas of ongoing and future </w:t>
      </w:r>
      <w:r>
        <w:t xml:space="preserve">research hold promise for improving the management of misalliance in the bitch. The development and regulatory approval of novel </w:t>
      </w:r>
      <w:proofErr w:type="spellStart"/>
      <w:r>
        <w:t>antiprogestin</w:t>
      </w:r>
      <w:proofErr w:type="spellEnd"/>
      <w:r>
        <w:t xml:space="preserve"> formulations with enhanced pharmacokinetic profiles, including longer-acting preparations that might reduce the n</w:t>
      </w:r>
      <w:r>
        <w:t xml:space="preserve">umber of required administrations, would be of significant clinical value. Further characterisation of the molecular mechanisms governing canine luteal function, including the relative contributions of LH and prolactin at different stages of dioestrus and </w:t>
      </w:r>
      <w:r>
        <w:t xml:space="preserve">the intracellular signalling pathways mediating </w:t>
      </w:r>
      <w:proofErr w:type="spellStart"/>
      <w:r>
        <w:t>luteotrophic</w:t>
      </w:r>
      <w:proofErr w:type="spellEnd"/>
      <w:r>
        <w:t xml:space="preserve"> and luteolytic stimuli, may identify new pharmacological targets (Papa &amp; Kowalewski, 2020; Kowalewski, 2014). The potential of sustained-release GnRH antagonist formulations to achieve rapid and </w:t>
      </w:r>
      <w:r>
        <w:t xml:space="preserve">reliable </w:t>
      </w:r>
      <w:proofErr w:type="spellStart"/>
      <w:r>
        <w:t>luteolysis</w:t>
      </w:r>
      <w:proofErr w:type="spellEnd"/>
      <w:r>
        <w:t xml:space="preserve"> warrants continued investigation, as such agents could theoretically offer a single-injection solution for pregnancy termination. Advances in non-invasive diagnostic techniques, particularly high-resolution ultrasonography and novel bio</w:t>
      </w:r>
      <w:r>
        <w:t>markers of early pregnancy, may permit earlier and more accurate detection of pregnancy, facilitating timelier intervention. Finally, comparative clinical trials employing standardised protocols, outcome measures, and reporting criteria are needed to stren</w:t>
      </w:r>
      <w:r>
        <w:t>gthen the evidence base and permit more rigorous comparisons between the available treatment modalities.</w:t>
      </w:r>
    </w:p>
    <w:p w14:paraId="64CD02C8" w14:textId="77777777" w:rsidR="00B303BF" w:rsidRDefault="005B386D">
      <w:pPr>
        <w:pStyle w:val="Heading1"/>
      </w:pPr>
      <w:r>
        <w:t>16. Conclusions</w:t>
      </w:r>
    </w:p>
    <w:p w14:paraId="27F0AB38" w14:textId="77777777" w:rsidR="00B303BF" w:rsidRDefault="005B386D">
      <w:pPr>
        <w:spacing w:after="120" w:line="360" w:lineRule="auto"/>
        <w:jc w:val="both"/>
      </w:pPr>
      <w:r>
        <w:t>The management of unplanned mating in the bitch has undergone a profound transformation over the past three decades, evolving from reli</w:t>
      </w:r>
      <w:r>
        <w:t xml:space="preserve">ance upon oestrogenic compounds with an unacceptable adverse effect profile to sophisticated pharmacological strategies that exploit the unique features of canine reproductive endocrinology. The absolute dependence of canine </w:t>
      </w:r>
      <w:r>
        <w:lastRenderedPageBreak/>
        <w:t>pregnancy upon luteal progester</w:t>
      </w:r>
      <w:r>
        <w:t xml:space="preserve">one, the dual </w:t>
      </w:r>
      <w:proofErr w:type="spellStart"/>
      <w:r>
        <w:t>luteotrophic</w:t>
      </w:r>
      <w:proofErr w:type="spellEnd"/>
      <w:r>
        <w:t xml:space="preserve"> roles of LH and prolactin, and the absence of placental progesterone production collectively provide a favourable endocrine landscape for pharmacological pregnancy termination.</w:t>
      </w:r>
    </w:p>
    <w:p w14:paraId="56E540C9" w14:textId="77777777" w:rsidR="00B303BF" w:rsidRDefault="005B386D">
      <w:pPr>
        <w:spacing w:after="120" w:line="360" w:lineRule="auto"/>
        <w:jc w:val="both"/>
      </w:pPr>
      <w:proofErr w:type="spellStart"/>
      <w:r>
        <w:t>Aglepristone</w:t>
      </w:r>
      <w:proofErr w:type="spellEnd"/>
      <w:r>
        <w:t xml:space="preserve">, the progesterone receptor antagonist, </w:t>
      </w:r>
      <w:r>
        <w:t xml:space="preserve">has established itself as the agent of first choice for misalliance management in jurisdictions where it is available, offering high efficacy, a favourable safety profile, and preservation of future fertility. Combination protocols employing </w:t>
      </w:r>
      <w:proofErr w:type="spellStart"/>
      <w:r>
        <w:t>aglepristone</w:t>
      </w:r>
      <w:proofErr w:type="spellEnd"/>
      <w:r>
        <w:t xml:space="preserve"> t</w:t>
      </w:r>
      <w:r>
        <w:t>ogether with prostaglandin analogues or cabergoline further enhance reliability, particularly in mid- to late-gestation cases. Prostaglandins and dopamine agonists retain an important role, either as components of combination regimens or as alternatives wh</w:t>
      </w:r>
      <w:r>
        <w:t xml:space="preserve">en </w:t>
      </w:r>
      <w:proofErr w:type="spellStart"/>
      <w:r>
        <w:t>antiprogestins</w:t>
      </w:r>
      <w:proofErr w:type="spellEnd"/>
      <w:r>
        <w:t xml:space="preserve"> are unavailable. Surgical ovariohysterectomy remains the definitive option for bitches in which future breeding is not desired.</w:t>
      </w:r>
    </w:p>
    <w:p w14:paraId="33F336C3" w14:textId="77777777" w:rsidR="00B303BF" w:rsidRDefault="005B386D">
      <w:pPr>
        <w:spacing w:after="120" w:line="360" w:lineRule="auto"/>
        <w:jc w:val="both"/>
      </w:pPr>
      <w:r>
        <w:t>The clinical management of misalliance requires accurate assessment of the stage of the oestrous cycle or gest</w:t>
      </w:r>
      <w:r>
        <w:t>ation, careful selection of an appropriate protocol, and diligent monitoring of the response to treatment. The attending veterinarian must balance considerations of efficacy, safety, cost, regulatory availability, and the owner’s wishes in arriving at an i</w:t>
      </w:r>
      <w:r>
        <w:t>ndividualised management plan. Effective communication with the owner, including a frank discussion of all available options and their implications, is an essential component of responsible clinical practice. As the understanding of canine reproductive phy</w:t>
      </w:r>
      <w:r>
        <w:t>siology continues to advance and novel pharmacological agents are developed, it is anticipated that the options for misalliance management will continue to expand, offering improved efficacy, convenience, and safety for both the patient and the practitione</w:t>
      </w:r>
      <w:r>
        <w:t>r.</w:t>
      </w:r>
    </w:p>
    <w:p w14:paraId="1488A538" w14:textId="77777777" w:rsidR="00B303BF" w:rsidRDefault="005B386D">
      <w:pPr>
        <w:pStyle w:val="Heading1"/>
      </w:pPr>
      <w:r>
        <w:t>17. Limitations</w:t>
      </w:r>
    </w:p>
    <w:p w14:paraId="593708AB" w14:textId="77777777" w:rsidR="00B303BF" w:rsidRDefault="005B386D">
      <w:pPr>
        <w:spacing w:after="120" w:line="360" w:lineRule="auto"/>
        <w:jc w:val="both"/>
      </w:pPr>
      <w:r>
        <w:t>Several limitations of this review should be acknowledged. First, as a narrative review, the literature selection and synthesis are subject to the inherent risk of selection bias, and the conclusions drawn do not carry the same evidentia</w:t>
      </w:r>
      <w:r>
        <w:t>ry weight as those derived from a formal systematic review or meta-analysis. Second, the pharmacological literature on canine misalliance management is characterised by considerable heterogeneity in study design, including variation in breed composition, s</w:t>
      </w:r>
      <w:r>
        <w:t>ample sizes, dosing regimens, gestational staging methods, and outcome definitions, which complicates direct comparison between studies and limits the strength of conclusions that can be drawn regarding comparative efficacy. Third, the majority of clinical</w:t>
      </w:r>
      <w:r>
        <w:t xml:space="preserve"> studies have been conducted in a relatively small number of research centres, predominantly in Europe and South America, raising questions about the external </w:t>
      </w:r>
      <w:r>
        <w:lastRenderedPageBreak/>
        <w:t>validity and generalisability of their findings to diverse clinical populations and practice sett</w:t>
      </w:r>
      <w:r>
        <w:t xml:space="preserve">ings worldwide. Fourth, many of the available studies have relatively small sample sizes, and there is a paucity of large-scale, multicentre, randomised controlled trials comparing different protocols under standardised conditions. Fifth, publication bias </w:t>
      </w:r>
      <w:r>
        <w:t xml:space="preserve">may have resulted in overrepresentation of positive results in the literature, potentially leading to an overestimation of treatment efficacy. Sixth, the regulatory availability and commercial formulations of key agents, particularly </w:t>
      </w:r>
      <w:proofErr w:type="spellStart"/>
      <w:r>
        <w:t>aglepristone</w:t>
      </w:r>
      <w:proofErr w:type="spellEnd"/>
      <w:r>
        <w:t>, vary bet</w:t>
      </w:r>
      <w:r>
        <w:t>ween jurisdictions, and the clinical recommendations made in this review may not be equally applicable in all practice contexts. Finally, the rapidly evolving nature of the field means that newer evidence may have become available since the literature sear</w:t>
      </w:r>
      <w:r>
        <w:t>ch was conducted, and practitioners are encouraged to remain attentive to emerging publications and to update their clinical practice accordingly.</w:t>
      </w:r>
    </w:p>
    <w:p w14:paraId="2F547239" w14:textId="77777777" w:rsidR="00B303BF" w:rsidRDefault="005B386D">
      <w:pPr>
        <w:pStyle w:val="Heading1"/>
      </w:pPr>
      <w:r>
        <w:t>References</w:t>
      </w:r>
    </w:p>
    <w:p w14:paraId="55AEAFF9" w14:textId="77777777" w:rsidR="00B303BF" w:rsidRDefault="005B386D">
      <w:pPr>
        <w:spacing w:after="160" w:line="360" w:lineRule="auto"/>
        <w:ind w:left="720" w:hanging="720"/>
      </w:pPr>
      <w:r>
        <w:t xml:space="preserve">Bowen, R. A., Olson, P. N., Behrendt, M. D., Wheeler, S. L., Husted, P. W., &amp; Nett, T. M. (1985). Efficacy and toxicity of </w:t>
      </w:r>
      <w:proofErr w:type="spellStart"/>
      <w:r>
        <w:t>estrogens</w:t>
      </w:r>
      <w:proofErr w:type="spellEnd"/>
      <w:r>
        <w:t xml:space="preserve"> commonly used to terminate canine pregnancy. Journal of the American Veterinary Medical Association, 186(8), 783–788. https</w:t>
      </w:r>
      <w:r>
        <w:t>://doi.org/10.2460/javma.1985.186.08.783</w:t>
      </w:r>
    </w:p>
    <w:p w14:paraId="29A1D74C" w14:textId="77777777" w:rsidR="00B303BF" w:rsidRDefault="005B386D">
      <w:pPr>
        <w:spacing w:after="160" w:line="360" w:lineRule="auto"/>
        <w:ind w:left="720" w:hanging="720"/>
      </w:pPr>
      <w:r>
        <w:t>Concannon, P. W. (2011). Reproductive cycles of the domestic bitch. Animal Reproduction Science, 124(3–4), 200–210. https://doi.org/10.1016/j.anireprosci.2010.08.028</w:t>
      </w:r>
    </w:p>
    <w:p w14:paraId="40CD5168" w14:textId="77777777" w:rsidR="00B303BF" w:rsidRDefault="005B386D">
      <w:pPr>
        <w:spacing w:after="160" w:line="360" w:lineRule="auto"/>
        <w:ind w:left="720" w:hanging="720"/>
      </w:pPr>
      <w:r>
        <w:t>Concannon, P. W., Hansel, W., &amp; McEntee, K. (1977</w:t>
      </w:r>
      <w:r>
        <w:t xml:space="preserve">). Changes in LH, progesterone and sexual </w:t>
      </w:r>
      <w:proofErr w:type="spellStart"/>
      <w:r>
        <w:t>behavior</w:t>
      </w:r>
      <w:proofErr w:type="spellEnd"/>
      <w:r>
        <w:t xml:space="preserve"> associated with preovulatory luteinization in the bitch. Biology of Reproduction, 17(4), 604–613. https://doi.org/10.1095/biolreprod17.4.604</w:t>
      </w:r>
    </w:p>
    <w:p w14:paraId="1FB8D19C" w14:textId="77777777" w:rsidR="00B303BF" w:rsidRDefault="005B386D">
      <w:pPr>
        <w:spacing w:after="160" w:line="360" w:lineRule="auto"/>
        <w:ind w:left="720" w:hanging="720"/>
      </w:pPr>
      <w:r>
        <w:t>Concannon, P. W., McCann, J. P., &amp; Temple, M. (1989). Biology an</w:t>
      </w:r>
      <w:r>
        <w:t>d endocrinology of ovulation, pregnancy and parturition in the dog. Journal of Reproduction and Fertility. Supplement, 39, 3–25.</w:t>
      </w:r>
    </w:p>
    <w:p w14:paraId="104E0473" w14:textId="77777777" w:rsidR="00B303BF" w:rsidRDefault="005B386D">
      <w:pPr>
        <w:spacing w:after="160" w:line="360" w:lineRule="auto"/>
        <w:ind w:left="720" w:hanging="720"/>
      </w:pPr>
      <w:r>
        <w:t>Eilts, B. E. (2002). Pregnancy termination in the bitch and queen. Clinical Techniques in Small Animal Practice, 17(3), 116–123</w:t>
      </w:r>
      <w:r>
        <w:t>. https://doi.org/10.1053/svms.2002.34325</w:t>
      </w:r>
    </w:p>
    <w:p w14:paraId="1C0D5ACA" w14:textId="77777777" w:rsidR="00B303BF" w:rsidRDefault="005B386D">
      <w:pPr>
        <w:spacing w:after="160" w:line="360" w:lineRule="auto"/>
        <w:ind w:left="720" w:hanging="720"/>
      </w:pPr>
      <w:r>
        <w:t xml:space="preserve">Fieni, F., </w:t>
      </w:r>
      <w:proofErr w:type="spellStart"/>
      <w:r>
        <w:t>Gogny</w:t>
      </w:r>
      <w:proofErr w:type="spellEnd"/>
      <w:r>
        <w:t xml:space="preserve">, A., &amp; </w:t>
      </w:r>
      <w:proofErr w:type="spellStart"/>
      <w:r>
        <w:t>Topie</w:t>
      </w:r>
      <w:proofErr w:type="spellEnd"/>
      <w:r>
        <w:t>, E. (2014). Medical treatment for pyometra in dogs. Reproduction in Domestic Animals, 49(Suppl. 2), 28–32. https://doi.org/10.1111/rda.12302</w:t>
      </w:r>
    </w:p>
    <w:p w14:paraId="4760B4E6" w14:textId="77777777" w:rsidR="00B303BF" w:rsidRDefault="005B386D">
      <w:pPr>
        <w:spacing w:after="160" w:line="360" w:lineRule="auto"/>
        <w:ind w:left="720" w:hanging="720"/>
      </w:pPr>
      <w:proofErr w:type="spellStart"/>
      <w:r>
        <w:lastRenderedPageBreak/>
        <w:t>Galac</w:t>
      </w:r>
      <w:proofErr w:type="spellEnd"/>
      <w:r>
        <w:t xml:space="preserve">, S., Kooistra, H. S., </w:t>
      </w:r>
      <w:proofErr w:type="spellStart"/>
      <w:r>
        <w:t>Butinar</w:t>
      </w:r>
      <w:proofErr w:type="spellEnd"/>
      <w:r>
        <w:t>, J., Be</w:t>
      </w:r>
      <w:r>
        <w:t xml:space="preserve">vers, M. M., Dieleman, S. J., </w:t>
      </w:r>
      <w:proofErr w:type="spellStart"/>
      <w:r>
        <w:t>Voorhout</w:t>
      </w:r>
      <w:proofErr w:type="spellEnd"/>
      <w:r>
        <w:t xml:space="preserve">, G., &amp; </w:t>
      </w:r>
      <w:proofErr w:type="spellStart"/>
      <w:r>
        <w:t>Okkens</w:t>
      </w:r>
      <w:proofErr w:type="spellEnd"/>
      <w:r>
        <w:t xml:space="preserve">, A. C. (2000). Termination of mid-gestation pregnancy in bitches with </w:t>
      </w:r>
      <w:proofErr w:type="spellStart"/>
      <w:r>
        <w:t>aglepristone</w:t>
      </w:r>
      <w:proofErr w:type="spellEnd"/>
      <w:r>
        <w:t>, a progesterone receptor antagonist. Theriogenology, 53(4), 941–950. https://doi.org/10.1016/S0093-691X(00)00241-7</w:t>
      </w:r>
    </w:p>
    <w:p w14:paraId="6408BA43" w14:textId="77777777" w:rsidR="00B303BF" w:rsidRDefault="005B386D">
      <w:pPr>
        <w:spacing w:after="160" w:line="360" w:lineRule="auto"/>
        <w:ind w:left="720" w:hanging="720"/>
      </w:pPr>
      <w:proofErr w:type="spellStart"/>
      <w:r>
        <w:t>Gobel</w:t>
      </w:r>
      <w:r>
        <w:t>lo</w:t>
      </w:r>
      <w:proofErr w:type="spellEnd"/>
      <w:r>
        <w:t>, C. (2006). Dopamine agonists, anti-progestins, anti-androgens, long-term-release GnRH agonists and anti-</w:t>
      </w:r>
      <w:proofErr w:type="spellStart"/>
      <w:r>
        <w:t>estrogens</w:t>
      </w:r>
      <w:proofErr w:type="spellEnd"/>
      <w:r>
        <w:t xml:space="preserve"> in canine reproduction. Theriogenology, 66(6–7), 1560–1567. https://doi.org/10.1016/j.theriogenology.2006.02.005</w:t>
      </w:r>
    </w:p>
    <w:p w14:paraId="3DDE8CF5" w14:textId="77777777" w:rsidR="00B303BF" w:rsidRDefault="005B386D">
      <w:pPr>
        <w:spacing w:after="160" w:line="360" w:lineRule="auto"/>
        <w:ind w:left="720" w:hanging="720"/>
      </w:pPr>
      <w:proofErr w:type="spellStart"/>
      <w:r>
        <w:t>Gobello</w:t>
      </w:r>
      <w:proofErr w:type="spellEnd"/>
      <w:r>
        <w:t xml:space="preserve">, C., Castex, G., </w:t>
      </w:r>
      <w:r>
        <w:t xml:space="preserve">Klima, L., Rodríguez, R., &amp; Corrada, Y. (2003). A study of two protocols combining </w:t>
      </w:r>
      <w:proofErr w:type="spellStart"/>
      <w:r>
        <w:t>aglepristone</w:t>
      </w:r>
      <w:proofErr w:type="spellEnd"/>
      <w:r>
        <w:t xml:space="preserve"> and </w:t>
      </w:r>
      <w:proofErr w:type="spellStart"/>
      <w:r>
        <w:t>cloprostenol</w:t>
      </w:r>
      <w:proofErr w:type="spellEnd"/>
      <w:r>
        <w:t xml:space="preserve"> to treat open cervix pyometra in the bitch. Theriogenology, 60(5), 901–908. https://doi.org/10.1016/S0093-691X(03)00094-7</w:t>
      </w:r>
    </w:p>
    <w:p w14:paraId="1DD26D12" w14:textId="77777777" w:rsidR="00B303BF" w:rsidRDefault="005B386D">
      <w:pPr>
        <w:spacing w:after="160" w:line="360" w:lineRule="auto"/>
        <w:ind w:left="720" w:hanging="720"/>
      </w:pPr>
      <w:proofErr w:type="spellStart"/>
      <w:r>
        <w:t>Gobello</w:t>
      </w:r>
      <w:proofErr w:type="spellEnd"/>
      <w:r>
        <w:t>, C., de la So</w:t>
      </w:r>
      <w:r>
        <w:t>ta, R. L., &amp; Goya, R. G. (2001). A review of canine pseudocyesis. Reproduction in Domestic Animals, 36(6), 283–288. https://doi.org/10.1046/j.1439-0531.2001.00322.x</w:t>
      </w:r>
    </w:p>
    <w:p w14:paraId="2CAF0BC1" w14:textId="77777777" w:rsidR="00B303BF" w:rsidRDefault="005B386D">
      <w:pPr>
        <w:spacing w:after="160" w:line="360" w:lineRule="auto"/>
        <w:ind w:left="720" w:hanging="720"/>
      </w:pPr>
      <w:r>
        <w:t>Hoffmann, B., &amp; Schuler, G. (2000). Receptor blockers – general aspects with respect to the</w:t>
      </w:r>
      <w:r>
        <w:t>ir use in domestic animal reproduction. Animal Reproduction Science, 60–61, 295–312. https://doi.org/10.1016/S0378-4320(00)00129-8</w:t>
      </w:r>
    </w:p>
    <w:p w14:paraId="5262B824" w14:textId="77777777" w:rsidR="00B303BF" w:rsidRDefault="005B386D">
      <w:pPr>
        <w:spacing w:after="160" w:line="360" w:lineRule="auto"/>
        <w:ind w:left="720" w:hanging="720"/>
      </w:pPr>
      <w:r>
        <w:t>Hoffmann, B., Höveler, R., Hasan, S. H., &amp; Failing, K. (1992). Ovarian and pituitary function in dogs after hysterectomy. Jou</w:t>
      </w:r>
      <w:r>
        <w:t>rnal of Reproduction and Fertility, 96(2), 837–845. https://doi.org/10.1530/jrf.0.0960837</w:t>
      </w:r>
    </w:p>
    <w:p w14:paraId="303F0C6E" w14:textId="77777777" w:rsidR="00B303BF" w:rsidRDefault="005B386D">
      <w:pPr>
        <w:spacing w:after="160" w:line="360" w:lineRule="auto"/>
        <w:ind w:left="720" w:hanging="720"/>
      </w:pPr>
      <w:r>
        <w:t xml:space="preserve">Kowalewski, M. P. (2014). Luteal regression vs. prepartum </w:t>
      </w:r>
      <w:proofErr w:type="spellStart"/>
      <w:r>
        <w:t>luteolysis</w:t>
      </w:r>
      <w:proofErr w:type="spellEnd"/>
      <w:r>
        <w:t>: Regulatory mechanisms governing canine corpus luteum function. Reproductive Biology, 14(2), 89–9</w:t>
      </w:r>
      <w:r>
        <w:t>6. https://doi.org/10.1016/j.repbio.2014.03.004</w:t>
      </w:r>
    </w:p>
    <w:p w14:paraId="7DCC9925" w14:textId="77777777" w:rsidR="00B303BF" w:rsidRDefault="005B386D">
      <w:pPr>
        <w:spacing w:after="160" w:line="360" w:lineRule="auto"/>
        <w:ind w:left="720" w:hanging="720"/>
      </w:pPr>
      <w:r>
        <w:t xml:space="preserve">Kowalewski, M. P., </w:t>
      </w:r>
      <w:proofErr w:type="spellStart"/>
      <w:r>
        <w:t>Beceriklisoy</w:t>
      </w:r>
      <w:proofErr w:type="spellEnd"/>
      <w:r>
        <w:t xml:space="preserve">, H. B., Pfarrer, C., Aslan, S., </w:t>
      </w:r>
      <w:proofErr w:type="spellStart"/>
      <w:r>
        <w:t>Kindahl</w:t>
      </w:r>
      <w:proofErr w:type="spellEnd"/>
      <w:r>
        <w:t xml:space="preserve">, H., </w:t>
      </w:r>
      <w:proofErr w:type="spellStart"/>
      <w:r>
        <w:t>Küçükaslan</w:t>
      </w:r>
      <w:proofErr w:type="spellEnd"/>
      <w:r>
        <w:t xml:space="preserve">, I., &amp; Hoffmann, B. (2010). Canine placenta: A source of </w:t>
      </w:r>
      <w:proofErr w:type="spellStart"/>
      <w:r>
        <w:t>prepartal</w:t>
      </w:r>
      <w:proofErr w:type="spellEnd"/>
      <w:r>
        <w:t xml:space="preserve"> prostaglandins during normal and </w:t>
      </w:r>
      <w:proofErr w:type="spellStart"/>
      <w:r>
        <w:t>antiprogestin</w:t>
      </w:r>
      <w:proofErr w:type="spellEnd"/>
      <w:r>
        <w:t>-induce</w:t>
      </w:r>
      <w:r>
        <w:t>d parturition. Reproduction, 139(3), 655–664. https://doi.org/10.1530/REP-09-0140</w:t>
      </w:r>
    </w:p>
    <w:p w14:paraId="2D1C21B2" w14:textId="77777777" w:rsidR="00B303BF" w:rsidRDefault="005B386D">
      <w:pPr>
        <w:spacing w:after="160" w:line="360" w:lineRule="auto"/>
        <w:ind w:left="720" w:hanging="720"/>
      </w:pPr>
      <w:proofErr w:type="spellStart"/>
      <w:r>
        <w:t>Okkens</w:t>
      </w:r>
      <w:proofErr w:type="spellEnd"/>
      <w:r>
        <w:t>, A. C., &amp; Kooistra, H. S. (2006). Anoestrus in the dog: A fascinating story. Reproduction in Domestic Animals, 41(4), 291–296. https://doi.org/10.1111/j.1439-0531.2006</w:t>
      </w:r>
      <w:r>
        <w:t>.00702.x</w:t>
      </w:r>
    </w:p>
    <w:p w14:paraId="2B4569E1" w14:textId="77777777" w:rsidR="00B303BF" w:rsidRDefault="005B386D">
      <w:pPr>
        <w:spacing w:after="160" w:line="360" w:lineRule="auto"/>
        <w:ind w:left="720" w:hanging="720"/>
      </w:pPr>
      <w:proofErr w:type="spellStart"/>
      <w:r>
        <w:lastRenderedPageBreak/>
        <w:t>Onclin</w:t>
      </w:r>
      <w:proofErr w:type="spellEnd"/>
      <w:r>
        <w:t xml:space="preserve">, K., Silva, L. D. M., Donnay, I., &amp; Verstegen, J. P. (1993). </w:t>
      </w:r>
      <w:proofErr w:type="spellStart"/>
      <w:r>
        <w:t>Luteotrophic</w:t>
      </w:r>
      <w:proofErr w:type="spellEnd"/>
      <w:r>
        <w:t xml:space="preserve"> action of prolactin in dogs and the effects of a dopamine agonist, cabergoline. Journal of Reproduction and Fertility. Supplement, 47, 403–409.</w:t>
      </w:r>
    </w:p>
    <w:p w14:paraId="20FBA9C4" w14:textId="77777777" w:rsidR="00B303BF" w:rsidRDefault="005B386D">
      <w:pPr>
        <w:spacing w:after="160" w:line="360" w:lineRule="auto"/>
        <w:ind w:left="720" w:hanging="720"/>
      </w:pPr>
      <w:r>
        <w:t>Papa, P. C., &amp; Kowalew</w:t>
      </w:r>
      <w:r>
        <w:t>ski, M. P. (2020). Factors affecting the fate of the canine corpus luteum: Potential contributors to pregnancy and non-pregnancy. Theriogenology, 150, 339–346. https://doi.org/10.1016/j.theriogenology.2020.01.081</w:t>
      </w:r>
    </w:p>
    <w:p w14:paraId="71AC938D" w14:textId="77777777" w:rsidR="00B303BF" w:rsidRDefault="005B386D">
      <w:pPr>
        <w:spacing w:after="160" w:line="360" w:lineRule="auto"/>
        <w:ind w:left="720" w:hanging="720"/>
      </w:pPr>
      <w:r>
        <w:t>Romagnoli, S. E., Cela, M., &amp; Camillo, F. (</w:t>
      </w:r>
      <w:r>
        <w:t xml:space="preserve">1991). Use of prostaglandin F2α for early pregnancy termination in the </w:t>
      </w:r>
      <w:proofErr w:type="spellStart"/>
      <w:r>
        <w:t>mismated</w:t>
      </w:r>
      <w:proofErr w:type="spellEnd"/>
      <w:r>
        <w:t xml:space="preserve"> bitch. Veterinary Clinics of North America: Small Animal Practice, 21(3), 487–499. https://doi.org/10.1016/S0195-5616(91)50055-0</w:t>
      </w:r>
    </w:p>
    <w:p w14:paraId="04A56FC7" w14:textId="77777777" w:rsidR="00B303BF" w:rsidRDefault="005B386D">
      <w:pPr>
        <w:spacing w:after="160" w:line="360" w:lineRule="auto"/>
        <w:ind w:left="720" w:hanging="720"/>
      </w:pPr>
      <w:r>
        <w:t>Sutton, D. J., Geary, M. R., &amp; Bergman, J. G. E</w:t>
      </w:r>
      <w:r>
        <w:t>. H. (1997). Prevention of pregnancy in bitches following unwanted mating: A clinical trial using low dose oestradiol benzoate. Journal of Reproduction and Fertility. Supplement, 51, 239–243.</w:t>
      </w:r>
    </w:p>
    <w:p w14:paraId="59BDD9F7" w14:textId="77777777" w:rsidR="00B303BF" w:rsidRDefault="005B386D">
      <w:pPr>
        <w:spacing w:after="160" w:line="360" w:lineRule="auto"/>
        <w:ind w:left="720" w:hanging="720"/>
      </w:pPr>
      <w:r>
        <w:t xml:space="preserve">Wiebe, V. J., &amp; Howard, J. P. (2009). Pharmacologic advances in </w:t>
      </w:r>
      <w:r>
        <w:t>canine and feline reproduction. Topics in Companion Animal Medicine, 24(2), 71–99. https://doi.org/10.1053/j.tcam.2008.12.004</w:t>
      </w:r>
    </w:p>
    <w:sectPr w:rsidR="00B303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4995D" w14:textId="77777777" w:rsidR="005B386D" w:rsidRDefault="005B386D">
      <w:r>
        <w:separator/>
      </w:r>
    </w:p>
  </w:endnote>
  <w:endnote w:type="continuationSeparator" w:id="0">
    <w:p w14:paraId="688C7579" w14:textId="77777777" w:rsidR="005B386D" w:rsidRDefault="005B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C53E" w14:textId="77777777" w:rsidR="00C62E5B" w:rsidRDefault="00C6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A29B" w14:textId="77777777" w:rsidR="00B303BF" w:rsidRDefault="005B386D">
    <w:pPr>
      <w:jc w:val="center"/>
    </w:pPr>
    <w:r>
      <w:rPr>
        <w:sz w:val="20"/>
        <w:szCs w:val="20"/>
      </w:rPr>
      <w:fldChar w:fldCharType="begin"/>
    </w:r>
    <w:r>
      <w:rPr>
        <w:sz w:val="20"/>
        <w:szCs w:val="20"/>
      </w:rPr>
      <w:instrText>PAGE</w:instrText>
    </w:r>
    <w:r>
      <w:rPr>
        <w:sz w:val="20"/>
        <w:szCs w:val="20"/>
      </w:rPr>
      <w:fldChar w:fldCharType="separate"/>
    </w:r>
    <w:r w:rsidR="006506A7">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7597" w14:textId="77777777" w:rsidR="00C62E5B" w:rsidRDefault="00C6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B29A" w14:textId="77777777" w:rsidR="005B386D" w:rsidRDefault="005B386D">
      <w:r>
        <w:separator/>
      </w:r>
    </w:p>
  </w:footnote>
  <w:footnote w:type="continuationSeparator" w:id="0">
    <w:p w14:paraId="2D2BCDD2" w14:textId="77777777" w:rsidR="005B386D" w:rsidRDefault="005B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6413" w14:textId="33DBB961" w:rsidR="00C62E5B" w:rsidRDefault="00C62E5B">
    <w:pPr>
      <w:pStyle w:val="Header"/>
    </w:pPr>
    <w:r>
      <w:rPr>
        <w:noProof/>
      </w:rPr>
      <w:pict w14:anchorId="017D0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524C" w14:textId="507A1848" w:rsidR="00C62E5B" w:rsidRDefault="00C62E5B">
    <w:pPr>
      <w:pStyle w:val="Header"/>
    </w:pPr>
    <w:r>
      <w:rPr>
        <w:noProof/>
      </w:rPr>
      <w:pict w14:anchorId="6AD3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6552" w14:textId="5C514ACE" w:rsidR="00C62E5B" w:rsidRDefault="00C62E5B">
    <w:pPr>
      <w:pStyle w:val="Header"/>
    </w:pPr>
    <w:r>
      <w:rPr>
        <w:noProof/>
      </w:rPr>
      <w:pict w14:anchorId="5FCD2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94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76AA4"/>
    <w:multiLevelType w:val="hybridMultilevel"/>
    <w:tmpl w:val="D2DCCE4C"/>
    <w:lvl w:ilvl="0" w:tplc="B0DA1C92">
      <w:start w:val="1"/>
      <w:numFmt w:val="bullet"/>
      <w:lvlText w:val="●"/>
      <w:lvlJc w:val="left"/>
      <w:pPr>
        <w:ind w:left="720" w:hanging="360"/>
      </w:pPr>
    </w:lvl>
    <w:lvl w:ilvl="1" w:tplc="5224B688">
      <w:start w:val="1"/>
      <w:numFmt w:val="bullet"/>
      <w:lvlText w:val="○"/>
      <w:lvlJc w:val="left"/>
      <w:pPr>
        <w:ind w:left="1440" w:hanging="360"/>
      </w:pPr>
    </w:lvl>
    <w:lvl w:ilvl="2" w:tplc="1528E2D2">
      <w:start w:val="1"/>
      <w:numFmt w:val="bullet"/>
      <w:lvlText w:val="■"/>
      <w:lvlJc w:val="left"/>
      <w:pPr>
        <w:ind w:left="2160" w:hanging="360"/>
      </w:pPr>
    </w:lvl>
    <w:lvl w:ilvl="3" w:tplc="1B48F6FE">
      <w:start w:val="1"/>
      <w:numFmt w:val="bullet"/>
      <w:lvlText w:val="●"/>
      <w:lvlJc w:val="left"/>
      <w:pPr>
        <w:ind w:left="2880" w:hanging="360"/>
      </w:pPr>
    </w:lvl>
    <w:lvl w:ilvl="4" w:tplc="2D34B01C">
      <w:start w:val="1"/>
      <w:numFmt w:val="bullet"/>
      <w:lvlText w:val="○"/>
      <w:lvlJc w:val="left"/>
      <w:pPr>
        <w:ind w:left="3600" w:hanging="360"/>
      </w:pPr>
    </w:lvl>
    <w:lvl w:ilvl="5" w:tplc="B5CCF1BC">
      <w:start w:val="1"/>
      <w:numFmt w:val="bullet"/>
      <w:lvlText w:val="■"/>
      <w:lvlJc w:val="left"/>
      <w:pPr>
        <w:ind w:left="4320" w:hanging="360"/>
      </w:pPr>
    </w:lvl>
    <w:lvl w:ilvl="6" w:tplc="6234F630">
      <w:start w:val="1"/>
      <w:numFmt w:val="bullet"/>
      <w:lvlText w:val="●"/>
      <w:lvlJc w:val="left"/>
      <w:pPr>
        <w:ind w:left="5040" w:hanging="360"/>
      </w:pPr>
    </w:lvl>
    <w:lvl w:ilvl="7" w:tplc="59FED35E">
      <w:start w:val="1"/>
      <w:numFmt w:val="bullet"/>
      <w:lvlText w:val="●"/>
      <w:lvlJc w:val="left"/>
      <w:pPr>
        <w:ind w:left="5760" w:hanging="360"/>
      </w:pPr>
    </w:lvl>
    <w:lvl w:ilvl="8" w:tplc="6F34A9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BF"/>
    <w:rsid w:val="003F616A"/>
    <w:rsid w:val="004020CD"/>
    <w:rsid w:val="005B386D"/>
    <w:rsid w:val="006506A7"/>
    <w:rsid w:val="00B303BF"/>
    <w:rsid w:val="00C62E5B"/>
    <w:rsid w:val="00D5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F8707"/>
  <w15:docId w15:val="{78A1F06B-1392-45A8-B2A8-F0CA3339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8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62E5B"/>
    <w:pPr>
      <w:tabs>
        <w:tab w:val="center" w:pos="4680"/>
        <w:tab w:val="right" w:pos="9360"/>
      </w:tabs>
    </w:pPr>
  </w:style>
  <w:style w:type="character" w:customStyle="1" w:styleId="HeaderChar">
    <w:name w:val="Header Char"/>
    <w:basedOn w:val="DefaultParagraphFont"/>
    <w:link w:val="Header"/>
    <w:uiPriority w:val="99"/>
    <w:rsid w:val="00C62E5B"/>
  </w:style>
  <w:style w:type="paragraph" w:styleId="Footer">
    <w:name w:val="footer"/>
    <w:basedOn w:val="Normal"/>
    <w:link w:val="FooterChar"/>
    <w:uiPriority w:val="99"/>
    <w:unhideWhenUsed/>
    <w:rsid w:val="00C62E5B"/>
    <w:pPr>
      <w:tabs>
        <w:tab w:val="center" w:pos="4680"/>
        <w:tab w:val="right" w:pos="9360"/>
      </w:tabs>
    </w:pPr>
  </w:style>
  <w:style w:type="character" w:customStyle="1" w:styleId="FooterChar">
    <w:name w:val="Footer Char"/>
    <w:basedOn w:val="DefaultParagraphFont"/>
    <w:link w:val="Footer"/>
    <w:uiPriority w:val="99"/>
    <w:rsid w:val="00C6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9477</Words>
  <Characters>54025</Characters>
  <Application>Microsoft Office Word</Application>
  <DocSecurity>0</DocSecurity>
  <Lines>450</Lines>
  <Paragraphs>126</Paragraphs>
  <ScaleCrop>false</ScaleCrop>
  <Company/>
  <LinksUpToDate>false</LinksUpToDate>
  <CharactersWithSpaces>63376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2026-04-02T03:08:00Z</dcterms:created>
  <dcterms:modified xsi:type="dcterms:W3CDTF">2026-04-02T13:23:00Z</dcterms:modified>
</cp:coreProperties>
</file>