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3BAA0" w14:textId="77777777" w:rsidR="00B73004" w:rsidRDefault="00B73004">
      <w:pPr>
        <w:spacing w:before="120" w:after="120"/>
      </w:pPr>
    </w:p>
    <w:p w14:paraId="430B418D" w14:textId="77777777" w:rsidR="00B73004" w:rsidRDefault="0012778F">
      <w:pPr>
        <w:pStyle w:val="Heading2"/>
        <w:keepNext w:val="0"/>
        <w:keepLines w:val="0"/>
        <w:spacing w:before="360" w:after="180"/>
        <w:jc w:val="center"/>
      </w:pPr>
      <w:r>
        <w:rPr>
          <w:color w:val="auto"/>
        </w:rPr>
        <w:t xml:space="preserve">POTENTIAL OF USING HYDROLATE AND AQUEOUS EXTRACT OF </w:t>
      </w:r>
      <w:proofErr w:type="spellStart"/>
      <w:r>
        <w:rPr>
          <w:i/>
          <w:iCs/>
          <w:color w:val="auto"/>
        </w:rPr>
        <w:t>Gallesia</w:t>
      </w:r>
      <w:proofErr w:type="spellEnd"/>
      <w:r>
        <w:rPr>
          <w:i/>
          <w:iCs/>
          <w:color w:val="auto"/>
        </w:rPr>
        <w:t xml:space="preserve"> </w:t>
      </w:r>
      <w:proofErr w:type="spellStart"/>
      <w:r>
        <w:rPr>
          <w:i/>
          <w:iCs/>
          <w:color w:val="auto"/>
        </w:rPr>
        <w:t>integrifolia</w:t>
      </w:r>
      <w:proofErr w:type="spellEnd"/>
      <w:r>
        <w:rPr>
          <w:i/>
          <w:iCs/>
          <w:color w:val="auto"/>
        </w:rPr>
        <w:t xml:space="preserve"> </w:t>
      </w:r>
      <w:r>
        <w:rPr>
          <w:color w:val="auto"/>
        </w:rPr>
        <w:t>(</w:t>
      </w:r>
      <w:proofErr w:type="spellStart"/>
      <w:r>
        <w:rPr>
          <w:color w:val="auto"/>
        </w:rPr>
        <w:t>Spreng</w:t>
      </w:r>
      <w:proofErr w:type="spellEnd"/>
      <w:r>
        <w:rPr>
          <w:color w:val="auto"/>
        </w:rPr>
        <w:t xml:space="preserve">.) Harms IN THE GERMINATION OF SORGHUM SEEDS </w:t>
      </w:r>
    </w:p>
    <w:p w14:paraId="5F02B9C1" w14:textId="39DB5DF0" w:rsidR="00B73004" w:rsidRDefault="00B73004">
      <w:pPr>
        <w:spacing w:before="120" w:after="120"/>
      </w:pPr>
    </w:p>
    <w:p w14:paraId="2FAFA51E" w14:textId="77777777" w:rsidR="00A07F6D" w:rsidRDefault="00A07F6D">
      <w:pPr>
        <w:spacing w:before="120" w:after="120"/>
      </w:pPr>
      <w:bookmarkStart w:id="0" w:name="_GoBack"/>
      <w:bookmarkEnd w:id="0"/>
    </w:p>
    <w:p w14:paraId="069D1D20" w14:textId="77777777" w:rsidR="00B73004" w:rsidRDefault="00B73004">
      <w:pPr>
        <w:spacing w:before="120" w:after="120"/>
      </w:pPr>
    </w:p>
    <w:p w14:paraId="5472F957" w14:textId="77777777" w:rsidR="00B73004" w:rsidRDefault="0012778F">
      <w:pPr>
        <w:spacing w:before="120" w:after="120"/>
      </w:pPr>
      <w:r>
        <w:rPr>
          <w:b/>
          <w:bCs/>
        </w:rPr>
        <w:t>Abstract</w:t>
      </w:r>
    </w:p>
    <w:p w14:paraId="59D45898" w14:textId="77777777" w:rsidR="00B73004" w:rsidRDefault="00B73004">
      <w:pPr>
        <w:spacing w:before="120" w:after="120"/>
      </w:pPr>
    </w:p>
    <w:p w14:paraId="42579ED4" w14:textId="77777777" w:rsidR="00B73004" w:rsidRDefault="0012778F" w:rsidP="00273D00">
      <w:pPr>
        <w:spacing w:before="120" w:after="120"/>
        <w:jc w:val="both"/>
      </w:pPr>
      <w:r>
        <w:t xml:space="preserve">Agricultural technologies such as pesticides and GM crops raise environmental concerns, underscoring the need for natural seed treatments. This study evaluated the effects of </w:t>
      </w:r>
      <w:proofErr w:type="spellStart"/>
      <w:r>
        <w:t>hydrolate</w:t>
      </w:r>
      <w:proofErr w:type="spellEnd"/>
      <w:r>
        <w:t xml:space="preserve"> (a </w:t>
      </w:r>
      <w:r>
        <w:t xml:space="preserve">by-product of essential oil </w:t>
      </w:r>
      <w:proofErr w:type="spellStart"/>
      <w:r>
        <w:t>hydrodistillation</w:t>
      </w:r>
      <w:proofErr w:type="spellEnd"/>
      <w:r>
        <w:t xml:space="preserve">) and the aqueous extract from </w:t>
      </w:r>
      <w:proofErr w:type="spellStart"/>
      <w:r>
        <w:t>Gallesia</w:t>
      </w:r>
      <w:proofErr w:type="spellEnd"/>
      <w:r>
        <w:t xml:space="preserve"> </w:t>
      </w:r>
      <w:proofErr w:type="spellStart"/>
      <w:r>
        <w:t>integrifolia</w:t>
      </w:r>
      <w:proofErr w:type="spellEnd"/>
      <w:r>
        <w:t xml:space="preserve"> </w:t>
      </w:r>
      <w:proofErr w:type="spellStart"/>
      <w:r>
        <w:t>Spreng</w:t>
      </w:r>
      <w:proofErr w:type="spellEnd"/>
      <w:r>
        <w:t>. Harms (pau-</w:t>
      </w:r>
      <w:proofErr w:type="spellStart"/>
      <w:r>
        <w:t>d'alho</w:t>
      </w:r>
      <w:proofErr w:type="spellEnd"/>
      <w:r>
        <w:t xml:space="preserve">) on germination and initial growth of Sorghum bicolor (L.) Moench seeds. Experiments used a 2×5 factorial (product × concentration: </w:t>
      </w:r>
      <w:r>
        <w:t>0, 5, 10, 15, 20 mL/100 kg seeds) in a completely randomized design with four replicates. Parameters assessed: first count (FC), total germination (TG), germination speed index (GSI), root length (RL), shoot length (SL), total dry mass (TDM). Data analyzed</w:t>
      </w:r>
      <w:r>
        <w:t xml:space="preserve"> by ANOVA, Tukey test (5%), and regression. </w:t>
      </w:r>
      <w:proofErr w:type="spellStart"/>
      <w:r>
        <w:t>Hydrolate</w:t>
      </w:r>
      <w:proofErr w:type="spellEnd"/>
      <w:r>
        <w:t xml:space="preserve">-treated seeds showed 25% higher RL (6.51 cm vs. 5.27 cm) and 17% higher SL (4.89 cm vs. 4.15 cm) than extract-treated seeds (p≤0.05). No differences in FC (21.5% vs. 22.0%), TG (26% vs. 28%), GSI (5.66 </w:t>
      </w:r>
      <w:r>
        <w:t xml:space="preserve">vs. 5.44), or TDM (5.08 vs. 5.33 mg). RL increased linearly with </w:t>
      </w:r>
      <w:proofErr w:type="spellStart"/>
      <w:r>
        <w:t>hydrolate</w:t>
      </w:r>
      <w:proofErr w:type="spellEnd"/>
      <w:r>
        <w:t xml:space="preserve"> dose; the extract peaked at 8.5 mL/100 kg and then declined, indicating phytotoxicity &gt;10 mL/100 kg. G. </w:t>
      </w:r>
      <w:proofErr w:type="spellStart"/>
      <w:r>
        <w:t>integrifolia</w:t>
      </w:r>
      <w:proofErr w:type="spellEnd"/>
      <w:r>
        <w:t xml:space="preserve"> </w:t>
      </w:r>
      <w:proofErr w:type="spellStart"/>
      <w:r>
        <w:t>hydrolate</w:t>
      </w:r>
      <w:proofErr w:type="spellEnd"/>
      <w:r>
        <w:t xml:space="preserve"> enhances sorghum seedling vigor without toxicity up to</w:t>
      </w:r>
      <w:r>
        <w:t xml:space="preserve"> 20 mL/100 kg, outperforming aqueous extract. This valorizes an aromatic by-product for sustainable seed treatment, supporting green chemistry in agriculture.</w:t>
      </w:r>
    </w:p>
    <w:p w14:paraId="3674FC2A" w14:textId="77777777" w:rsidR="00B73004" w:rsidRDefault="00B73004">
      <w:pPr>
        <w:spacing w:before="120" w:after="120"/>
      </w:pPr>
    </w:p>
    <w:p w14:paraId="40FAA63C" w14:textId="77777777" w:rsidR="00B73004" w:rsidRDefault="00B73004">
      <w:pPr>
        <w:spacing w:before="120" w:after="120"/>
      </w:pPr>
    </w:p>
    <w:p w14:paraId="6AC81081" w14:textId="77777777" w:rsidR="00B73004" w:rsidRDefault="00B73004">
      <w:pPr>
        <w:spacing w:before="120" w:after="120"/>
      </w:pPr>
    </w:p>
    <w:p w14:paraId="182E145C" w14:textId="77777777" w:rsidR="00B73004" w:rsidRDefault="0012778F">
      <w:pPr>
        <w:spacing w:before="120" w:after="120"/>
      </w:pPr>
      <w:r>
        <w:rPr>
          <w:b/>
          <w:bCs/>
        </w:rPr>
        <w:t>KEYWORDS</w:t>
      </w:r>
      <w:r>
        <w:t xml:space="preserve">: PAU D´ALHO, SEED TREATMENT, </w:t>
      </w:r>
      <w:r>
        <w:rPr>
          <w:i/>
          <w:iCs/>
        </w:rPr>
        <w:t xml:space="preserve">SORGHUM BICOLOR, </w:t>
      </w:r>
      <w:r>
        <w:t>BY-PRODUCT</w:t>
      </w:r>
    </w:p>
    <w:p w14:paraId="3ACFCBB0" w14:textId="77777777" w:rsidR="00B73004" w:rsidRDefault="00B73004">
      <w:pPr>
        <w:spacing w:before="120" w:after="120"/>
      </w:pPr>
    </w:p>
    <w:p w14:paraId="50C5F69A" w14:textId="77777777" w:rsidR="00B73004" w:rsidRDefault="00B73004">
      <w:pPr>
        <w:spacing w:before="120" w:after="120"/>
      </w:pPr>
    </w:p>
    <w:p w14:paraId="55925FB7" w14:textId="77777777" w:rsidR="00B73004" w:rsidRDefault="0012778F">
      <w:pPr>
        <w:spacing w:before="120" w:after="120"/>
      </w:pPr>
      <w:r>
        <w:rPr>
          <w:b/>
          <w:bCs/>
        </w:rPr>
        <w:t>1 Introduction</w:t>
      </w:r>
    </w:p>
    <w:p w14:paraId="6B6ECD4A" w14:textId="77777777" w:rsidR="00B73004" w:rsidRDefault="00B73004">
      <w:pPr>
        <w:spacing w:before="120" w:after="120"/>
      </w:pPr>
    </w:p>
    <w:p w14:paraId="661278DA" w14:textId="2F92890F" w:rsidR="00B73004" w:rsidRDefault="0012778F" w:rsidP="00273D00">
      <w:pPr>
        <w:spacing w:before="120" w:after="120"/>
        <w:jc w:val="both"/>
      </w:pPr>
      <w:r>
        <w:lastRenderedPageBreak/>
        <w:t xml:space="preserve">Grain </w:t>
      </w:r>
      <w:r>
        <w:t>cultivation is one of the pillars of Brazilian agribusiness, with sorghum (Sorghum bicolor (L.) Moench) standing out as a viable alternative for animal feed due to its adaptation to adverse soil and climate conditions. In the 2021-2022 harvest, Brazil prod</w:t>
      </w:r>
      <w:r>
        <w:t>uced 2.916 million tons of sorghum, with forecasts of a 34% increase for 2023, according to the Systematic Survey of Agricultural Production (June/2023) by IBGE. To boost productivity, chemical seed treatment is a strategy to maintain quality standards and</w:t>
      </w:r>
      <w:r>
        <w:t xml:space="preserve"> enhance initial crop development (MENTEN; MORAES, 2010; CARVALHO; NAKAGAWA, 2012).</w:t>
      </w:r>
      <w:r w:rsidR="00273D00">
        <w:t xml:space="preserve"> </w:t>
      </w:r>
      <w:r>
        <w:t>However, the intensive use of synthetic pesticides and fertilizers has raised environmental concerns, driving the search for natural alternatives such as plant extracts and</w:t>
      </w:r>
      <w:r>
        <w:t xml:space="preserve"> hydrolats, by-products of essential oil </w:t>
      </w:r>
      <w:proofErr w:type="spellStart"/>
      <w:r>
        <w:t>hydrodistillation</w:t>
      </w:r>
      <w:proofErr w:type="spellEnd"/>
      <w:r>
        <w:t xml:space="preserve"> (CASTRO et al., 2008). Hydrolats contain water-soluble volatile compounds (acids, aldehydes, and amines) at concentrations of 0.05 to 0.20 g/L of essential oil, exhibiting bio-stimulant or phytotox</w:t>
      </w:r>
      <w:r>
        <w:t xml:space="preserve">ic potential in seed germination (LAVABRE, 1993; PAVELIĆ et al., 2022). Recent studies show that Thymus vulgaris </w:t>
      </w:r>
      <w:proofErr w:type="spellStart"/>
      <w:r>
        <w:t>hydrolates</w:t>
      </w:r>
      <w:proofErr w:type="spellEnd"/>
      <w:r>
        <w:t xml:space="preserve"> inhibit weed growth without severely affecting crops such as sorghum, suggesting applications in integrated weed management (PAVELIĆ</w:t>
      </w:r>
      <w:r>
        <w:t xml:space="preserve"> et al., 2022).</w:t>
      </w:r>
      <w:r w:rsidR="00273D00">
        <w:t xml:space="preserve"> </w:t>
      </w:r>
      <w:r>
        <w:t xml:space="preserve">Sorghum is particularly sensitive to abiotic stresses, such as salinity, and natural </w:t>
      </w:r>
      <w:proofErr w:type="spellStart"/>
      <w:r>
        <w:t>primings</w:t>
      </w:r>
      <w:proofErr w:type="spellEnd"/>
      <w:r>
        <w:t xml:space="preserve"> (hydropriming or </w:t>
      </w:r>
      <w:proofErr w:type="spellStart"/>
      <w:r>
        <w:t>osmopriming</w:t>
      </w:r>
      <w:proofErr w:type="spellEnd"/>
      <w:r>
        <w:t xml:space="preserve"> with extracts) improve germination (FAROOQ et al., 2021). Aqueous sorghum extracts exhibit allelopathy, reducing the </w:t>
      </w:r>
      <w:r>
        <w:t xml:space="preserve">growth of competing plants (YAR et al., 2020). In this context, </w:t>
      </w:r>
      <w:proofErr w:type="spellStart"/>
      <w:r>
        <w:rPr>
          <w:i/>
          <w:iCs/>
        </w:rPr>
        <w:t>Gallesia</w:t>
      </w:r>
      <w:proofErr w:type="spellEnd"/>
      <w:r>
        <w:rPr>
          <w:i/>
          <w:iCs/>
        </w:rPr>
        <w:t xml:space="preserve"> </w:t>
      </w:r>
      <w:proofErr w:type="spellStart"/>
      <w:r>
        <w:rPr>
          <w:i/>
          <w:iCs/>
        </w:rPr>
        <w:t>integrifolia</w:t>
      </w:r>
      <w:proofErr w:type="spellEnd"/>
      <w:r>
        <w:t xml:space="preserve"> </w:t>
      </w:r>
      <w:proofErr w:type="spellStart"/>
      <w:r>
        <w:t>Spreng</w:t>
      </w:r>
      <w:proofErr w:type="spellEnd"/>
      <w:r>
        <w:t>. Harms (garlic wood), a 15-30 m tall endemic Brazilian tree, stands out for its essential oil rich in organosulfur compounds (53-75% in leaves and flowers), such a</w:t>
      </w:r>
      <w:r>
        <w:t xml:space="preserve">s dimethyl disulfide, dimethyl trisulfide, and </w:t>
      </w:r>
      <w:proofErr w:type="spellStart"/>
      <w:r>
        <w:t>lentinone</w:t>
      </w:r>
      <w:proofErr w:type="spellEnd"/>
      <w:r>
        <w:t xml:space="preserve">, with potent antifungal activity (FURTADO, 2020; SANTOS et al., 2018; TANG et al., 2019). Nevertheless, the potential of its hydrolat and aqueous extract as seed treatments remains </w:t>
      </w:r>
      <w:proofErr w:type="spellStart"/>
      <w:proofErr w:type="gramStart"/>
      <w:r>
        <w:t>unexplored.Thus</w:t>
      </w:r>
      <w:proofErr w:type="spellEnd"/>
      <w:proofErr w:type="gramEnd"/>
      <w:r>
        <w:t>, t</w:t>
      </w:r>
      <w:r>
        <w:t>he objective of this study was to evaluate the effects of different doses of G. integrifolia hydrolat and aqueous extract on the germination and initial growth of S. bicolor seedlings, contributing to sustainable alternatives in green chemistry and phytoch</w:t>
      </w:r>
      <w:r>
        <w:t>emistry applied to agriculture.</w:t>
      </w:r>
    </w:p>
    <w:p w14:paraId="6DB334A2" w14:textId="77777777" w:rsidR="00B73004" w:rsidRDefault="00B73004">
      <w:pPr>
        <w:spacing w:before="120" w:after="120"/>
      </w:pPr>
    </w:p>
    <w:p w14:paraId="0EF72B35" w14:textId="77777777" w:rsidR="00B73004" w:rsidRDefault="0012778F">
      <w:pPr>
        <w:spacing w:before="120" w:after="120"/>
      </w:pPr>
      <w:r>
        <w:rPr>
          <w:b/>
          <w:bCs/>
        </w:rPr>
        <w:t>2 Methodology</w:t>
      </w:r>
    </w:p>
    <w:p w14:paraId="3B414993" w14:textId="77777777" w:rsidR="00B73004" w:rsidRDefault="00B73004">
      <w:pPr>
        <w:spacing w:before="120" w:after="120"/>
      </w:pPr>
    </w:p>
    <w:p w14:paraId="52B06484" w14:textId="77777777" w:rsidR="00B73004" w:rsidRDefault="0012778F" w:rsidP="00273D00">
      <w:pPr>
        <w:spacing w:before="120" w:after="120"/>
        <w:jc w:val="both"/>
      </w:pPr>
      <w:r>
        <w:t xml:space="preserve">The experiments were conducted in a completely randomized design organized in a 2 x 5 factorial scheme (product x concentration). </w:t>
      </w:r>
      <w:proofErr w:type="spellStart"/>
      <w:r>
        <w:t>Hydrolate</w:t>
      </w:r>
      <w:proofErr w:type="spellEnd"/>
      <w:r>
        <w:t xml:space="preserve"> obtained by </w:t>
      </w:r>
      <w:proofErr w:type="spellStart"/>
      <w:r>
        <w:t>hydrodistillation</w:t>
      </w:r>
      <w:proofErr w:type="spellEnd"/>
      <w:r>
        <w:t xml:space="preserve"> (HID) and aqueous extract (EX) were us</w:t>
      </w:r>
      <w:r>
        <w:t>ed at concentrations of 0, 5, 10, 15, and 20 ml per 100 kg of seeds.</w:t>
      </w:r>
    </w:p>
    <w:p w14:paraId="540D0D2B" w14:textId="77777777" w:rsidR="00B73004" w:rsidRDefault="0012778F" w:rsidP="00273D00">
      <w:pPr>
        <w:spacing w:before="120" w:after="120"/>
        <w:jc w:val="both"/>
      </w:pPr>
      <w:r>
        <w:t>The analyzed parameters included the first count (PC), total germination (G), germination speed index (GSI), root length (RL), shoot length (SL), and total seedling dry mass (TSDM). The s</w:t>
      </w:r>
      <w:r>
        <w:t>eeds were placed in plastic bags with the treatment solution and manually agitated for five minutes.</w:t>
      </w:r>
    </w:p>
    <w:p w14:paraId="13BF1612" w14:textId="77777777" w:rsidR="00B73004" w:rsidRDefault="0012778F" w:rsidP="00273D00">
      <w:pPr>
        <w:spacing w:before="120" w:after="120"/>
        <w:jc w:val="both"/>
      </w:pPr>
      <w:r>
        <w:t>The root length (RL) and shoot length (SL) tests were conducted with four replications of 10 seeds each, arranged on germination paper in two rows spaced f</w:t>
      </w:r>
      <w:r>
        <w:t xml:space="preserve">rom each other and from the sides of the </w:t>
      </w:r>
      <w:proofErr w:type="spellStart"/>
      <w:r>
        <w:t>Gerbox</w:t>
      </w:r>
      <w:proofErr w:type="spellEnd"/>
      <w:r>
        <w:t>. The germination paper was moistened with 8 mL of distilled water, equivalent to 2.5 times the paper's dry mass.</w:t>
      </w:r>
    </w:p>
    <w:p w14:paraId="24BE7626" w14:textId="77777777" w:rsidR="00B73004" w:rsidRDefault="0012778F" w:rsidP="00273D00">
      <w:pPr>
        <w:spacing w:before="120" w:after="120"/>
        <w:jc w:val="both"/>
      </w:pPr>
      <w:proofErr w:type="spellStart"/>
      <w:r>
        <w:t>Parte</w:t>
      </w:r>
      <w:proofErr w:type="spellEnd"/>
      <w:r>
        <w:t xml:space="preserve"> superior do </w:t>
      </w:r>
      <w:proofErr w:type="spellStart"/>
      <w:r>
        <w:t>formulário</w:t>
      </w:r>
      <w:proofErr w:type="spellEnd"/>
      <w:r>
        <w:t xml:space="preserve">. The </w:t>
      </w:r>
      <w:proofErr w:type="spellStart"/>
      <w:r>
        <w:t>Gerbox</w:t>
      </w:r>
      <w:proofErr w:type="spellEnd"/>
      <w:r>
        <w:t xml:space="preserve"> containers were placed in plastic bags and stored in a</w:t>
      </w:r>
      <w:r>
        <w:t xml:space="preserve"> B.O.D. at 20 °C. Plant measurements were taken on the tenth day after the test installation </w:t>
      </w:r>
      <w:r>
        <w:lastRenderedPageBreak/>
        <w:t>(CARVALHO and NAKAGAWA, 2012), using a graduated ruler in millimeters. After the measurements, the reserve tissues of the seedlings were removed and placed in pape</w:t>
      </w:r>
      <w:r>
        <w:t>r bags for drying in a forced-air oven (Nova Etíca-410/3ND) at 65 °C for 72 hours, followed by weighing on an analytical balance (Shimadzu-ATX224). At the end of the test, the variables RL (cm), SL (cm), and TSDM (mg per seedling) were obtained. For the ge</w:t>
      </w:r>
      <w:r>
        <w:t>rmination speed index (GSI), daily counts of germinated seeds were conducted. Seeds were considered germinated if they exhibited a primary root length greater than 2 mm. The GSI was calculated according to MAGUIRE (1962):</w:t>
      </w:r>
    </w:p>
    <w:p w14:paraId="39C75FD4" w14:textId="77777777" w:rsidR="00B73004" w:rsidRDefault="00B73004">
      <w:pPr>
        <w:spacing w:before="120" w:after="120"/>
      </w:pPr>
    </w:p>
    <w:p w14:paraId="30B4218E" w14:textId="0480F52E" w:rsidR="00B73004" w:rsidRDefault="0012778F">
      <w:pPr>
        <w:spacing w:before="120" w:after="120"/>
      </w:pPr>
      <w:r>
        <w:t xml:space="preserve">IVG= N1/DQ +N2/D2 + .... + </w:t>
      </w:r>
      <w:proofErr w:type="spellStart"/>
      <w:r>
        <w:t>Nn</w:t>
      </w:r>
      <w:proofErr w:type="spellEnd"/>
      <w:r>
        <w:t>/Dn.</w:t>
      </w:r>
      <w:r>
        <w:t xml:space="preserve"> </w:t>
      </w:r>
      <w:r w:rsidR="00273D00">
        <w:t xml:space="preserve">                                                       </w:t>
      </w:r>
      <w:r>
        <w:t>(Equation 1)</w:t>
      </w:r>
    </w:p>
    <w:p w14:paraId="097820C0" w14:textId="77777777" w:rsidR="00B73004" w:rsidRDefault="00B73004">
      <w:pPr>
        <w:spacing w:before="120" w:after="120"/>
      </w:pPr>
    </w:p>
    <w:p w14:paraId="608D2942" w14:textId="77777777" w:rsidR="00B73004" w:rsidRDefault="0012778F" w:rsidP="00273D00">
      <w:pPr>
        <w:spacing w:before="120" w:after="120"/>
        <w:jc w:val="both"/>
      </w:pPr>
      <w:r>
        <w:t>Where: GSI = germination speed index; N = number of seedlings observed on the day of counting; D = number of days after sowing when the counting was conducted.</w:t>
      </w:r>
    </w:p>
    <w:p w14:paraId="2274BC12" w14:textId="77777777" w:rsidR="00B73004" w:rsidRDefault="00B73004" w:rsidP="00273D00">
      <w:pPr>
        <w:spacing w:before="120" w:after="120"/>
        <w:jc w:val="both"/>
      </w:pPr>
    </w:p>
    <w:p w14:paraId="735FB203" w14:textId="77777777" w:rsidR="00B73004" w:rsidRDefault="0012778F" w:rsidP="00273D00">
      <w:pPr>
        <w:spacing w:before="120" w:after="120"/>
        <w:jc w:val="both"/>
      </w:pPr>
      <w:r>
        <w:t>The obtained data were an</w:t>
      </w:r>
      <w:r>
        <w:t>alyzed using analysis of variance (ANOVA) at the 5% significance level. The means of the product factor were compared using the Tukey test at the 5% significance level. The concentration factor means were subjected to regression analysis.</w:t>
      </w:r>
    </w:p>
    <w:p w14:paraId="393D1520" w14:textId="77777777" w:rsidR="00B73004" w:rsidRDefault="00B73004">
      <w:pPr>
        <w:spacing w:before="120" w:after="120"/>
      </w:pPr>
    </w:p>
    <w:p w14:paraId="77604629" w14:textId="77777777" w:rsidR="00B73004" w:rsidRDefault="0012778F">
      <w:pPr>
        <w:spacing w:before="120" w:after="120"/>
      </w:pPr>
      <w:r>
        <w:rPr>
          <w:b/>
          <w:bCs/>
        </w:rPr>
        <w:t>3 Results and Di</w:t>
      </w:r>
      <w:r>
        <w:rPr>
          <w:b/>
          <w:bCs/>
        </w:rPr>
        <w:t>scussion</w:t>
      </w:r>
    </w:p>
    <w:p w14:paraId="4370956B" w14:textId="77777777" w:rsidR="00B73004" w:rsidRDefault="00B73004">
      <w:pPr>
        <w:spacing w:before="120" w:after="120"/>
      </w:pPr>
    </w:p>
    <w:p w14:paraId="512113E5" w14:textId="77777777" w:rsidR="00B73004" w:rsidRDefault="0012778F" w:rsidP="00273D00">
      <w:pPr>
        <w:spacing w:before="120" w:after="120"/>
        <w:jc w:val="both"/>
      </w:pPr>
      <w:r>
        <w:t>In Table 1, it was observed that the root length (RL) and shoot length (SL) of sorghum seedlings were 25% and 17% higher, respectively, for seedlings from seeds treated with hydrosol compared to those treated with the extract (p &lt; 0.05). No diffe</w:t>
      </w:r>
      <w:r>
        <w:t>rences were observed in the means of the products for the other variables analyzed, including first count (FC), total germination (G), germination speed index (GSI), and total dry mass (TDM).</w:t>
      </w:r>
    </w:p>
    <w:p w14:paraId="7D0512DA" w14:textId="77777777" w:rsidR="00B73004" w:rsidRDefault="00B73004" w:rsidP="00273D00">
      <w:pPr>
        <w:spacing w:before="120" w:after="120"/>
        <w:jc w:val="both"/>
      </w:pPr>
    </w:p>
    <w:p w14:paraId="46B12D28" w14:textId="77777777" w:rsidR="00B73004" w:rsidRDefault="0012778F" w:rsidP="00273D00">
      <w:pPr>
        <w:spacing w:before="120" w:after="120"/>
        <w:jc w:val="both"/>
      </w:pPr>
      <w:r>
        <w:rPr>
          <w:b/>
          <w:bCs/>
        </w:rPr>
        <w:t>Table 1.</w:t>
      </w:r>
      <w:r>
        <w:t xml:space="preserve"> Averages for first count (PC), total germination (G), germination speed index (IVG), root length (CR), shoot length (CPA), and total dry mass (MST) of seedlings obtained from sorghum (Sorghum bicolor) seeds treated with hydrosol or extract of </w:t>
      </w:r>
      <w:proofErr w:type="spellStart"/>
      <w:r>
        <w:rPr>
          <w:i/>
          <w:iCs/>
        </w:rPr>
        <w:t>Gallesia</w:t>
      </w:r>
      <w:proofErr w:type="spellEnd"/>
      <w:r>
        <w:rPr>
          <w:i/>
          <w:iCs/>
        </w:rPr>
        <w:t xml:space="preserve"> </w:t>
      </w:r>
      <w:proofErr w:type="spellStart"/>
      <w:r>
        <w:rPr>
          <w:i/>
          <w:iCs/>
        </w:rPr>
        <w:t>int</w:t>
      </w:r>
      <w:r>
        <w:rPr>
          <w:i/>
          <w:iCs/>
        </w:rPr>
        <w:t>egrifolia</w:t>
      </w:r>
      <w:proofErr w:type="spellEnd"/>
      <w:r>
        <w:t>.</w:t>
      </w:r>
    </w:p>
    <w:p w14:paraId="53ACC5AE" w14:textId="77777777" w:rsidR="00AD491C" w:rsidRDefault="00AD491C" w:rsidP="00273D00">
      <w:pPr>
        <w:spacing w:before="120" w:after="120"/>
        <w:jc w:val="both"/>
      </w:pPr>
    </w:p>
    <w:tbl>
      <w:tblPr>
        <w:tblW w:w="5000" w:type="pct"/>
        <w:tblCellMar>
          <w:left w:w="70" w:type="dxa"/>
          <w:right w:w="70" w:type="dxa"/>
        </w:tblCellMar>
        <w:tblLook w:val="04A0" w:firstRow="1" w:lastRow="0" w:firstColumn="1" w:lastColumn="0" w:noHBand="0" w:noVBand="1"/>
      </w:tblPr>
      <w:tblGrid>
        <w:gridCol w:w="1728"/>
        <w:gridCol w:w="131"/>
        <w:gridCol w:w="67"/>
        <w:gridCol w:w="787"/>
        <w:gridCol w:w="1425"/>
        <w:gridCol w:w="1163"/>
        <w:gridCol w:w="1032"/>
        <w:gridCol w:w="1248"/>
        <w:gridCol w:w="1257"/>
      </w:tblGrid>
      <w:tr w:rsidR="00AD491C" w:rsidRPr="00997EC1" w14:paraId="3F206128" w14:textId="77777777" w:rsidTr="0076053F">
        <w:trPr>
          <w:trHeight w:val="330"/>
        </w:trPr>
        <w:tc>
          <w:tcPr>
            <w:tcW w:w="1052" w:type="pct"/>
            <w:gridSpan w:val="2"/>
            <w:tcBorders>
              <w:top w:val="single" w:sz="8" w:space="0" w:color="auto"/>
              <w:left w:val="nil"/>
              <w:bottom w:val="single" w:sz="8" w:space="0" w:color="auto"/>
              <w:right w:val="nil"/>
            </w:tcBorders>
            <w:noWrap/>
            <w:vAlign w:val="center"/>
            <w:hideMark/>
          </w:tcPr>
          <w:p w14:paraId="5CE6E0FA" w14:textId="77777777" w:rsidR="00AD491C" w:rsidRPr="00997EC1" w:rsidRDefault="00AD491C" w:rsidP="0076053F">
            <w:pPr>
              <w:spacing w:line="360" w:lineRule="auto"/>
              <w:jc w:val="both"/>
              <w:rPr>
                <w:b/>
                <w:bCs/>
                <w:color w:val="000000"/>
                <w:sz w:val="20"/>
                <w:szCs w:val="20"/>
              </w:rPr>
            </w:pPr>
            <w:r w:rsidRPr="00997EC1">
              <w:rPr>
                <w:b/>
                <w:bCs/>
                <w:color w:val="000000"/>
                <w:sz w:val="20"/>
                <w:szCs w:val="20"/>
              </w:rPr>
              <w:t>Treatment</w:t>
            </w:r>
          </w:p>
        </w:tc>
        <w:tc>
          <w:tcPr>
            <w:tcW w:w="483" w:type="pct"/>
            <w:gridSpan w:val="2"/>
            <w:tcBorders>
              <w:top w:val="single" w:sz="8" w:space="0" w:color="auto"/>
              <w:left w:val="nil"/>
              <w:bottom w:val="single" w:sz="8" w:space="0" w:color="auto"/>
              <w:right w:val="nil"/>
            </w:tcBorders>
            <w:noWrap/>
            <w:vAlign w:val="center"/>
            <w:hideMark/>
          </w:tcPr>
          <w:p w14:paraId="2051B54F"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PC (%)</w:t>
            </w:r>
          </w:p>
        </w:tc>
        <w:tc>
          <w:tcPr>
            <w:tcW w:w="806" w:type="pct"/>
            <w:tcBorders>
              <w:top w:val="single" w:sz="8" w:space="0" w:color="auto"/>
              <w:left w:val="nil"/>
              <w:bottom w:val="single" w:sz="8" w:space="0" w:color="auto"/>
              <w:right w:val="nil"/>
            </w:tcBorders>
            <w:noWrap/>
            <w:vAlign w:val="center"/>
            <w:hideMark/>
          </w:tcPr>
          <w:p w14:paraId="79A54D0C"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G (%)</w:t>
            </w:r>
          </w:p>
        </w:tc>
        <w:tc>
          <w:tcPr>
            <w:tcW w:w="658" w:type="pct"/>
            <w:tcBorders>
              <w:top w:val="single" w:sz="8" w:space="0" w:color="auto"/>
              <w:left w:val="nil"/>
              <w:bottom w:val="single" w:sz="8" w:space="0" w:color="auto"/>
              <w:right w:val="nil"/>
            </w:tcBorders>
            <w:noWrap/>
            <w:vAlign w:val="center"/>
            <w:hideMark/>
          </w:tcPr>
          <w:p w14:paraId="5589ABC9"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 xml:space="preserve">IVG </w:t>
            </w:r>
          </w:p>
        </w:tc>
        <w:tc>
          <w:tcPr>
            <w:tcW w:w="584" w:type="pct"/>
            <w:tcBorders>
              <w:top w:val="single" w:sz="8" w:space="0" w:color="auto"/>
              <w:left w:val="nil"/>
              <w:bottom w:val="single" w:sz="8" w:space="0" w:color="auto"/>
              <w:right w:val="nil"/>
            </w:tcBorders>
            <w:noWrap/>
            <w:vAlign w:val="center"/>
            <w:hideMark/>
          </w:tcPr>
          <w:p w14:paraId="1D90238D"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CR (cm)</w:t>
            </w:r>
          </w:p>
        </w:tc>
        <w:tc>
          <w:tcPr>
            <w:tcW w:w="706" w:type="pct"/>
            <w:tcBorders>
              <w:top w:val="single" w:sz="8" w:space="0" w:color="auto"/>
              <w:left w:val="nil"/>
              <w:bottom w:val="single" w:sz="8" w:space="0" w:color="auto"/>
              <w:right w:val="nil"/>
            </w:tcBorders>
            <w:shd w:val="clear" w:color="000000" w:fill="FFFFFF"/>
            <w:noWrap/>
            <w:vAlign w:val="center"/>
            <w:hideMark/>
          </w:tcPr>
          <w:p w14:paraId="3DB0906B" w14:textId="77777777" w:rsidR="00AD491C" w:rsidRPr="00997EC1" w:rsidRDefault="00AD491C" w:rsidP="0076053F">
            <w:pPr>
              <w:spacing w:line="360" w:lineRule="auto"/>
              <w:rPr>
                <w:b/>
                <w:bCs/>
                <w:color w:val="000000"/>
                <w:sz w:val="20"/>
                <w:szCs w:val="20"/>
              </w:rPr>
            </w:pPr>
            <w:r w:rsidRPr="00997EC1">
              <w:rPr>
                <w:b/>
                <w:bCs/>
                <w:sz w:val="20"/>
                <w:szCs w:val="20"/>
              </w:rPr>
              <w:t>CPA (cm)</w:t>
            </w:r>
          </w:p>
        </w:tc>
        <w:tc>
          <w:tcPr>
            <w:tcW w:w="711" w:type="pct"/>
            <w:tcBorders>
              <w:top w:val="single" w:sz="8" w:space="0" w:color="auto"/>
              <w:left w:val="nil"/>
              <w:bottom w:val="single" w:sz="8" w:space="0" w:color="auto"/>
              <w:right w:val="nil"/>
            </w:tcBorders>
            <w:noWrap/>
            <w:vAlign w:val="center"/>
            <w:hideMark/>
          </w:tcPr>
          <w:p w14:paraId="39A13B8D" w14:textId="77777777" w:rsidR="00AD491C" w:rsidRPr="00997EC1" w:rsidRDefault="00AD491C" w:rsidP="0076053F">
            <w:pPr>
              <w:spacing w:line="360" w:lineRule="auto"/>
              <w:rPr>
                <w:b/>
                <w:bCs/>
                <w:color w:val="000000"/>
                <w:sz w:val="20"/>
                <w:szCs w:val="20"/>
              </w:rPr>
            </w:pPr>
            <w:r w:rsidRPr="00997EC1">
              <w:rPr>
                <w:b/>
                <w:bCs/>
                <w:color w:val="000000"/>
                <w:sz w:val="20"/>
                <w:szCs w:val="20"/>
              </w:rPr>
              <w:t xml:space="preserve">      MST</w:t>
            </w:r>
          </w:p>
          <w:p w14:paraId="79767287" w14:textId="77777777" w:rsidR="00AD491C" w:rsidRPr="00997EC1" w:rsidRDefault="00AD491C" w:rsidP="0076053F">
            <w:pPr>
              <w:spacing w:line="360" w:lineRule="auto"/>
              <w:rPr>
                <w:b/>
                <w:bCs/>
                <w:color w:val="000000"/>
                <w:sz w:val="20"/>
                <w:szCs w:val="20"/>
              </w:rPr>
            </w:pPr>
            <w:r w:rsidRPr="00997EC1">
              <w:rPr>
                <w:b/>
                <w:bCs/>
                <w:color w:val="000000"/>
                <w:sz w:val="20"/>
                <w:szCs w:val="20"/>
              </w:rPr>
              <w:t xml:space="preserve"> (</w:t>
            </w:r>
            <w:r w:rsidRPr="00997EC1">
              <w:rPr>
                <w:b/>
                <w:sz w:val="20"/>
                <w:szCs w:val="20"/>
              </w:rPr>
              <w:t>mg</w:t>
            </w:r>
            <w:r w:rsidRPr="00997EC1">
              <w:rPr>
                <w:b/>
                <w:sz w:val="20"/>
                <w:szCs w:val="20"/>
                <w:vertAlign w:val="superscript"/>
              </w:rPr>
              <w:t>-1</w:t>
            </w:r>
            <w:r w:rsidRPr="00997EC1">
              <w:rPr>
                <w:sz w:val="20"/>
                <w:szCs w:val="20"/>
              </w:rPr>
              <w:t xml:space="preserve"> </w:t>
            </w:r>
          </w:p>
          <w:p w14:paraId="50148ADF" w14:textId="77777777" w:rsidR="00AD491C" w:rsidRPr="00997EC1" w:rsidRDefault="00AD491C" w:rsidP="0076053F">
            <w:pPr>
              <w:spacing w:line="360" w:lineRule="auto"/>
              <w:rPr>
                <w:b/>
                <w:bCs/>
                <w:color w:val="000000"/>
                <w:sz w:val="20"/>
                <w:szCs w:val="20"/>
              </w:rPr>
            </w:pPr>
            <w:r w:rsidRPr="00997EC1">
              <w:rPr>
                <w:b/>
                <w:sz w:val="20"/>
                <w:szCs w:val="20"/>
              </w:rPr>
              <w:t>Seedling</w:t>
            </w:r>
            <w:r w:rsidRPr="00997EC1">
              <w:rPr>
                <w:b/>
                <w:bCs/>
                <w:color w:val="000000"/>
                <w:sz w:val="20"/>
                <w:szCs w:val="20"/>
              </w:rPr>
              <w:t>)</w:t>
            </w:r>
          </w:p>
        </w:tc>
      </w:tr>
      <w:tr w:rsidR="00AD491C" w:rsidRPr="00997EC1" w14:paraId="40F5FEAC" w14:textId="77777777" w:rsidTr="0076053F">
        <w:trPr>
          <w:trHeight w:val="315"/>
        </w:trPr>
        <w:tc>
          <w:tcPr>
            <w:tcW w:w="1052" w:type="pct"/>
            <w:gridSpan w:val="2"/>
            <w:tcBorders>
              <w:top w:val="single" w:sz="8" w:space="0" w:color="auto"/>
              <w:left w:val="nil"/>
              <w:bottom w:val="nil"/>
              <w:right w:val="nil"/>
            </w:tcBorders>
            <w:noWrap/>
            <w:vAlign w:val="center"/>
            <w:hideMark/>
          </w:tcPr>
          <w:p w14:paraId="583C14B2" w14:textId="77777777" w:rsidR="00AD491C" w:rsidRPr="00997EC1" w:rsidRDefault="00AD491C" w:rsidP="0076053F">
            <w:pPr>
              <w:spacing w:line="360" w:lineRule="auto"/>
              <w:jc w:val="both"/>
              <w:rPr>
                <w:b/>
                <w:bCs/>
                <w:color w:val="000000"/>
                <w:sz w:val="20"/>
                <w:szCs w:val="20"/>
              </w:rPr>
            </w:pPr>
            <w:proofErr w:type="spellStart"/>
            <w:r w:rsidRPr="00997EC1">
              <w:rPr>
                <w:b/>
                <w:bCs/>
                <w:color w:val="000000"/>
                <w:sz w:val="20"/>
                <w:szCs w:val="20"/>
              </w:rPr>
              <w:t>Hydrolate</w:t>
            </w:r>
            <w:proofErr w:type="spellEnd"/>
          </w:p>
        </w:tc>
        <w:tc>
          <w:tcPr>
            <w:tcW w:w="483" w:type="pct"/>
            <w:gridSpan w:val="2"/>
            <w:tcBorders>
              <w:top w:val="nil"/>
              <w:left w:val="nil"/>
              <w:bottom w:val="nil"/>
              <w:right w:val="nil"/>
            </w:tcBorders>
            <w:noWrap/>
            <w:vAlign w:val="center"/>
            <w:hideMark/>
          </w:tcPr>
          <w:p w14:paraId="13F2D05A" w14:textId="77777777" w:rsidR="00AD491C" w:rsidRPr="00997EC1" w:rsidRDefault="00AD491C" w:rsidP="0076053F">
            <w:pPr>
              <w:spacing w:line="360" w:lineRule="auto"/>
              <w:jc w:val="center"/>
              <w:rPr>
                <w:color w:val="000000"/>
                <w:sz w:val="20"/>
                <w:szCs w:val="20"/>
              </w:rPr>
            </w:pPr>
            <w:r w:rsidRPr="00997EC1">
              <w:rPr>
                <w:color w:val="000000"/>
                <w:sz w:val="20"/>
                <w:szCs w:val="20"/>
              </w:rPr>
              <w:t>21.5</w:t>
            </w:r>
          </w:p>
        </w:tc>
        <w:tc>
          <w:tcPr>
            <w:tcW w:w="806" w:type="pct"/>
            <w:tcBorders>
              <w:top w:val="nil"/>
              <w:left w:val="nil"/>
              <w:bottom w:val="nil"/>
              <w:right w:val="nil"/>
            </w:tcBorders>
            <w:noWrap/>
            <w:vAlign w:val="center"/>
            <w:hideMark/>
          </w:tcPr>
          <w:p w14:paraId="652FBE72" w14:textId="77777777" w:rsidR="00AD491C" w:rsidRPr="00997EC1" w:rsidRDefault="00AD491C" w:rsidP="0076053F">
            <w:pPr>
              <w:spacing w:line="360" w:lineRule="auto"/>
              <w:jc w:val="center"/>
              <w:rPr>
                <w:color w:val="000000"/>
                <w:sz w:val="20"/>
                <w:szCs w:val="20"/>
              </w:rPr>
            </w:pPr>
            <w:r w:rsidRPr="00997EC1">
              <w:rPr>
                <w:color w:val="000000"/>
                <w:sz w:val="20"/>
                <w:szCs w:val="20"/>
              </w:rPr>
              <w:t xml:space="preserve">26 </w:t>
            </w:r>
          </w:p>
        </w:tc>
        <w:tc>
          <w:tcPr>
            <w:tcW w:w="658" w:type="pct"/>
            <w:tcBorders>
              <w:top w:val="nil"/>
              <w:left w:val="nil"/>
              <w:bottom w:val="nil"/>
              <w:right w:val="nil"/>
            </w:tcBorders>
            <w:noWrap/>
            <w:vAlign w:val="center"/>
            <w:hideMark/>
          </w:tcPr>
          <w:p w14:paraId="73AA0CA1" w14:textId="77777777" w:rsidR="00AD491C" w:rsidRPr="00997EC1" w:rsidRDefault="00AD491C" w:rsidP="0076053F">
            <w:pPr>
              <w:spacing w:line="360" w:lineRule="auto"/>
              <w:jc w:val="center"/>
              <w:rPr>
                <w:color w:val="000000"/>
                <w:sz w:val="20"/>
                <w:szCs w:val="20"/>
              </w:rPr>
            </w:pPr>
            <w:r w:rsidRPr="00997EC1">
              <w:rPr>
                <w:color w:val="000000"/>
                <w:sz w:val="20"/>
                <w:szCs w:val="20"/>
              </w:rPr>
              <w:t xml:space="preserve">5.66 </w:t>
            </w:r>
          </w:p>
        </w:tc>
        <w:tc>
          <w:tcPr>
            <w:tcW w:w="584" w:type="pct"/>
            <w:tcBorders>
              <w:top w:val="nil"/>
              <w:left w:val="nil"/>
              <w:bottom w:val="nil"/>
              <w:right w:val="nil"/>
            </w:tcBorders>
            <w:noWrap/>
            <w:vAlign w:val="center"/>
            <w:hideMark/>
          </w:tcPr>
          <w:p w14:paraId="5DB367EF" w14:textId="77777777" w:rsidR="00AD491C" w:rsidRPr="00997EC1" w:rsidRDefault="00AD491C" w:rsidP="0076053F">
            <w:pPr>
              <w:spacing w:line="360" w:lineRule="auto"/>
              <w:jc w:val="center"/>
              <w:rPr>
                <w:color w:val="000000"/>
                <w:sz w:val="20"/>
                <w:szCs w:val="20"/>
              </w:rPr>
            </w:pPr>
            <w:r w:rsidRPr="00997EC1">
              <w:rPr>
                <w:color w:val="000000"/>
                <w:sz w:val="20"/>
                <w:szCs w:val="20"/>
              </w:rPr>
              <w:t>6.51 a</w:t>
            </w:r>
          </w:p>
        </w:tc>
        <w:tc>
          <w:tcPr>
            <w:tcW w:w="706" w:type="pct"/>
            <w:tcBorders>
              <w:top w:val="nil"/>
              <w:left w:val="nil"/>
              <w:bottom w:val="nil"/>
              <w:right w:val="nil"/>
            </w:tcBorders>
            <w:noWrap/>
            <w:vAlign w:val="center"/>
            <w:hideMark/>
          </w:tcPr>
          <w:p w14:paraId="46A727F2" w14:textId="77777777" w:rsidR="00AD491C" w:rsidRPr="00997EC1" w:rsidRDefault="00AD491C" w:rsidP="0076053F">
            <w:pPr>
              <w:spacing w:line="360" w:lineRule="auto"/>
              <w:jc w:val="center"/>
              <w:rPr>
                <w:color w:val="000000"/>
                <w:sz w:val="20"/>
                <w:szCs w:val="20"/>
              </w:rPr>
            </w:pPr>
            <w:r w:rsidRPr="00997EC1">
              <w:rPr>
                <w:color w:val="000000"/>
                <w:sz w:val="20"/>
                <w:szCs w:val="20"/>
              </w:rPr>
              <w:t>4.89 a</w:t>
            </w:r>
          </w:p>
        </w:tc>
        <w:tc>
          <w:tcPr>
            <w:tcW w:w="711" w:type="pct"/>
            <w:tcBorders>
              <w:top w:val="nil"/>
              <w:left w:val="nil"/>
              <w:bottom w:val="nil"/>
              <w:right w:val="nil"/>
            </w:tcBorders>
            <w:noWrap/>
            <w:vAlign w:val="center"/>
            <w:hideMark/>
          </w:tcPr>
          <w:p w14:paraId="15B44CE1" w14:textId="77777777" w:rsidR="00AD491C" w:rsidRPr="00997EC1" w:rsidRDefault="00AD491C" w:rsidP="0076053F">
            <w:pPr>
              <w:spacing w:line="360" w:lineRule="auto"/>
              <w:jc w:val="center"/>
              <w:rPr>
                <w:color w:val="000000"/>
                <w:sz w:val="20"/>
                <w:szCs w:val="20"/>
              </w:rPr>
            </w:pPr>
            <w:r w:rsidRPr="00997EC1">
              <w:rPr>
                <w:color w:val="000000"/>
                <w:sz w:val="20"/>
                <w:szCs w:val="20"/>
              </w:rPr>
              <w:t xml:space="preserve">5.08 </w:t>
            </w:r>
          </w:p>
        </w:tc>
      </w:tr>
      <w:tr w:rsidR="00AD491C" w:rsidRPr="00997EC1" w14:paraId="7A447455" w14:textId="77777777" w:rsidTr="0076053F">
        <w:trPr>
          <w:trHeight w:val="330"/>
        </w:trPr>
        <w:tc>
          <w:tcPr>
            <w:tcW w:w="978" w:type="pct"/>
            <w:tcBorders>
              <w:top w:val="nil"/>
              <w:left w:val="nil"/>
              <w:bottom w:val="single" w:sz="8" w:space="0" w:color="auto"/>
              <w:right w:val="nil"/>
            </w:tcBorders>
            <w:noWrap/>
            <w:vAlign w:val="center"/>
            <w:hideMark/>
          </w:tcPr>
          <w:p w14:paraId="3837E965" w14:textId="77777777" w:rsidR="00AD491C" w:rsidRPr="00997EC1" w:rsidRDefault="00AD491C" w:rsidP="0076053F">
            <w:pPr>
              <w:spacing w:line="360" w:lineRule="auto"/>
              <w:jc w:val="both"/>
              <w:rPr>
                <w:b/>
                <w:bCs/>
                <w:color w:val="000000"/>
                <w:sz w:val="20"/>
                <w:szCs w:val="20"/>
              </w:rPr>
            </w:pPr>
            <w:r w:rsidRPr="00997EC1">
              <w:rPr>
                <w:b/>
                <w:bCs/>
                <w:color w:val="000000"/>
                <w:sz w:val="20"/>
                <w:szCs w:val="20"/>
              </w:rPr>
              <w:t>Extract</w:t>
            </w:r>
          </w:p>
        </w:tc>
        <w:tc>
          <w:tcPr>
            <w:tcW w:w="112" w:type="pct"/>
            <w:gridSpan w:val="2"/>
            <w:tcBorders>
              <w:top w:val="nil"/>
              <w:left w:val="nil"/>
              <w:bottom w:val="single" w:sz="8" w:space="0" w:color="auto"/>
              <w:right w:val="nil"/>
            </w:tcBorders>
            <w:noWrap/>
            <w:vAlign w:val="center"/>
            <w:hideMark/>
          </w:tcPr>
          <w:p w14:paraId="5401AA85" w14:textId="77777777" w:rsidR="00AD491C" w:rsidRPr="00997EC1" w:rsidRDefault="00AD491C" w:rsidP="0076053F">
            <w:pPr>
              <w:spacing w:line="360" w:lineRule="auto"/>
              <w:jc w:val="both"/>
              <w:rPr>
                <w:color w:val="000000"/>
                <w:sz w:val="20"/>
                <w:szCs w:val="20"/>
              </w:rPr>
            </w:pPr>
            <w:r w:rsidRPr="00997EC1">
              <w:rPr>
                <w:color w:val="000000"/>
                <w:sz w:val="20"/>
                <w:szCs w:val="20"/>
              </w:rPr>
              <w:t> </w:t>
            </w:r>
          </w:p>
        </w:tc>
        <w:tc>
          <w:tcPr>
            <w:tcW w:w="444" w:type="pct"/>
            <w:tcBorders>
              <w:top w:val="nil"/>
              <w:left w:val="nil"/>
              <w:bottom w:val="single" w:sz="8" w:space="0" w:color="auto"/>
              <w:right w:val="nil"/>
            </w:tcBorders>
            <w:noWrap/>
            <w:vAlign w:val="center"/>
            <w:hideMark/>
          </w:tcPr>
          <w:p w14:paraId="5EF7A08F" w14:textId="77777777" w:rsidR="00AD491C" w:rsidRPr="00997EC1" w:rsidRDefault="00AD491C" w:rsidP="0076053F">
            <w:pPr>
              <w:spacing w:line="360" w:lineRule="auto"/>
              <w:jc w:val="center"/>
              <w:rPr>
                <w:color w:val="000000"/>
                <w:sz w:val="20"/>
                <w:szCs w:val="20"/>
              </w:rPr>
            </w:pPr>
            <w:r w:rsidRPr="00997EC1">
              <w:rPr>
                <w:color w:val="000000"/>
                <w:sz w:val="20"/>
                <w:szCs w:val="20"/>
              </w:rPr>
              <w:t>22.0</w:t>
            </w:r>
          </w:p>
        </w:tc>
        <w:tc>
          <w:tcPr>
            <w:tcW w:w="806" w:type="pct"/>
            <w:tcBorders>
              <w:top w:val="nil"/>
              <w:left w:val="nil"/>
              <w:bottom w:val="single" w:sz="8" w:space="0" w:color="auto"/>
              <w:right w:val="nil"/>
            </w:tcBorders>
            <w:noWrap/>
            <w:vAlign w:val="center"/>
            <w:hideMark/>
          </w:tcPr>
          <w:p w14:paraId="5CD76B89" w14:textId="77777777" w:rsidR="00AD491C" w:rsidRPr="00997EC1" w:rsidRDefault="00AD491C" w:rsidP="0076053F">
            <w:pPr>
              <w:spacing w:line="360" w:lineRule="auto"/>
              <w:jc w:val="center"/>
              <w:rPr>
                <w:color w:val="000000"/>
                <w:sz w:val="20"/>
                <w:szCs w:val="20"/>
              </w:rPr>
            </w:pPr>
            <w:r w:rsidRPr="00997EC1">
              <w:rPr>
                <w:color w:val="000000"/>
                <w:sz w:val="20"/>
                <w:szCs w:val="20"/>
              </w:rPr>
              <w:t xml:space="preserve">28 </w:t>
            </w:r>
          </w:p>
        </w:tc>
        <w:tc>
          <w:tcPr>
            <w:tcW w:w="658" w:type="pct"/>
            <w:tcBorders>
              <w:top w:val="nil"/>
              <w:left w:val="nil"/>
              <w:bottom w:val="single" w:sz="8" w:space="0" w:color="auto"/>
              <w:right w:val="nil"/>
            </w:tcBorders>
            <w:noWrap/>
            <w:vAlign w:val="center"/>
            <w:hideMark/>
          </w:tcPr>
          <w:p w14:paraId="4F453B96" w14:textId="77777777" w:rsidR="00AD491C" w:rsidRPr="00997EC1" w:rsidRDefault="00AD491C" w:rsidP="0076053F">
            <w:pPr>
              <w:spacing w:line="360" w:lineRule="auto"/>
              <w:jc w:val="center"/>
              <w:rPr>
                <w:color w:val="000000"/>
                <w:sz w:val="20"/>
                <w:szCs w:val="20"/>
              </w:rPr>
            </w:pPr>
            <w:r w:rsidRPr="00997EC1">
              <w:rPr>
                <w:color w:val="000000"/>
                <w:sz w:val="20"/>
                <w:szCs w:val="20"/>
              </w:rPr>
              <w:t xml:space="preserve">5.44 </w:t>
            </w:r>
          </w:p>
        </w:tc>
        <w:tc>
          <w:tcPr>
            <w:tcW w:w="584" w:type="pct"/>
            <w:tcBorders>
              <w:top w:val="nil"/>
              <w:left w:val="nil"/>
              <w:bottom w:val="single" w:sz="8" w:space="0" w:color="auto"/>
              <w:right w:val="nil"/>
            </w:tcBorders>
            <w:noWrap/>
            <w:vAlign w:val="center"/>
            <w:hideMark/>
          </w:tcPr>
          <w:p w14:paraId="2E0BDB03" w14:textId="77777777" w:rsidR="00AD491C" w:rsidRPr="00997EC1" w:rsidRDefault="00AD491C" w:rsidP="0076053F">
            <w:pPr>
              <w:spacing w:line="360" w:lineRule="auto"/>
              <w:jc w:val="center"/>
              <w:rPr>
                <w:color w:val="000000"/>
                <w:sz w:val="20"/>
                <w:szCs w:val="20"/>
              </w:rPr>
            </w:pPr>
            <w:r w:rsidRPr="00997EC1">
              <w:rPr>
                <w:color w:val="000000"/>
                <w:sz w:val="20"/>
                <w:szCs w:val="20"/>
              </w:rPr>
              <w:t>5.27 b</w:t>
            </w:r>
          </w:p>
        </w:tc>
        <w:tc>
          <w:tcPr>
            <w:tcW w:w="706" w:type="pct"/>
            <w:tcBorders>
              <w:top w:val="nil"/>
              <w:left w:val="nil"/>
              <w:bottom w:val="single" w:sz="8" w:space="0" w:color="auto"/>
              <w:right w:val="nil"/>
            </w:tcBorders>
            <w:noWrap/>
            <w:vAlign w:val="center"/>
            <w:hideMark/>
          </w:tcPr>
          <w:p w14:paraId="17DDBCB0" w14:textId="77777777" w:rsidR="00AD491C" w:rsidRPr="00997EC1" w:rsidRDefault="00AD491C" w:rsidP="0076053F">
            <w:pPr>
              <w:spacing w:line="360" w:lineRule="auto"/>
              <w:jc w:val="center"/>
              <w:rPr>
                <w:color w:val="000000"/>
                <w:sz w:val="20"/>
                <w:szCs w:val="20"/>
              </w:rPr>
            </w:pPr>
            <w:r w:rsidRPr="00997EC1">
              <w:rPr>
                <w:color w:val="000000"/>
                <w:sz w:val="20"/>
                <w:szCs w:val="20"/>
              </w:rPr>
              <w:t>4.15 b</w:t>
            </w:r>
          </w:p>
        </w:tc>
        <w:tc>
          <w:tcPr>
            <w:tcW w:w="711" w:type="pct"/>
            <w:tcBorders>
              <w:top w:val="nil"/>
              <w:left w:val="nil"/>
              <w:bottom w:val="single" w:sz="8" w:space="0" w:color="auto"/>
              <w:right w:val="nil"/>
            </w:tcBorders>
            <w:noWrap/>
            <w:vAlign w:val="center"/>
            <w:hideMark/>
          </w:tcPr>
          <w:p w14:paraId="309C6110" w14:textId="77777777" w:rsidR="00AD491C" w:rsidRPr="00997EC1" w:rsidRDefault="00AD491C" w:rsidP="0076053F">
            <w:pPr>
              <w:spacing w:line="360" w:lineRule="auto"/>
              <w:jc w:val="center"/>
              <w:rPr>
                <w:color w:val="000000"/>
                <w:sz w:val="20"/>
                <w:szCs w:val="20"/>
              </w:rPr>
            </w:pPr>
            <w:r w:rsidRPr="00997EC1">
              <w:rPr>
                <w:color w:val="000000"/>
                <w:sz w:val="20"/>
                <w:szCs w:val="20"/>
              </w:rPr>
              <w:t xml:space="preserve">5.33 </w:t>
            </w:r>
          </w:p>
        </w:tc>
      </w:tr>
    </w:tbl>
    <w:p w14:paraId="31B99260" w14:textId="2A38A183" w:rsidR="00B73004" w:rsidRDefault="0012778F" w:rsidP="00273D00">
      <w:pPr>
        <w:spacing w:before="120" w:after="120"/>
        <w:jc w:val="both"/>
      </w:pPr>
      <w:r>
        <w:t xml:space="preserve">The means in the column marked with different letters differ significantly </w:t>
      </w:r>
      <w:r>
        <w:t>according to the Tukey test at the 5% level of significance.</w:t>
      </w:r>
    </w:p>
    <w:p w14:paraId="3731436B" w14:textId="77777777" w:rsidR="00B73004" w:rsidRDefault="00B73004" w:rsidP="00273D00">
      <w:pPr>
        <w:spacing w:before="120" w:after="120"/>
        <w:jc w:val="both"/>
      </w:pPr>
    </w:p>
    <w:p w14:paraId="77F431D7" w14:textId="77777777" w:rsidR="00B73004" w:rsidRDefault="00B73004" w:rsidP="00273D00">
      <w:pPr>
        <w:spacing w:before="120" w:after="120"/>
        <w:jc w:val="both"/>
      </w:pPr>
    </w:p>
    <w:p w14:paraId="6E28FA5E" w14:textId="77777777" w:rsidR="00B73004" w:rsidRDefault="0012778F" w:rsidP="00273D00">
      <w:pPr>
        <w:spacing w:before="120" w:after="120"/>
        <w:jc w:val="both"/>
      </w:pPr>
      <w:r>
        <w:t>In Table 2, the "product" source of variation was significant only for the variables CR and CPA (F = 5.24 and 10.40, respectively; p &lt; 0.05). The "concentration" source of variation did not sho</w:t>
      </w:r>
      <w:r>
        <w:t>w significance for any of the variables analyzed, while the interaction between the product and concentration factors was significant only for CR (F = 2.89; p &lt; 0.05). These results indicate that the hydrosol promoted superior initial vigor in seedlings ac</w:t>
      </w:r>
      <w:r>
        <w:t>ross all doses, without compromising germination parameters such as PC, G, and IVG.</w:t>
      </w:r>
    </w:p>
    <w:p w14:paraId="3519CC54" w14:textId="77777777" w:rsidR="00B73004" w:rsidRDefault="00B73004" w:rsidP="00273D00">
      <w:pPr>
        <w:spacing w:before="120" w:after="120"/>
        <w:jc w:val="both"/>
      </w:pPr>
    </w:p>
    <w:p w14:paraId="39C086D0" w14:textId="77777777" w:rsidR="00B73004" w:rsidRDefault="0012778F" w:rsidP="00273D00">
      <w:pPr>
        <w:spacing w:before="120" w:after="120"/>
        <w:jc w:val="both"/>
      </w:pPr>
      <w:r>
        <w:rPr>
          <w:b/>
          <w:bCs/>
        </w:rPr>
        <w:t xml:space="preserve">Table 2 </w:t>
      </w:r>
      <w:r>
        <w:t>Summary of the analysis of variance (ANOVA), showing the calculated F value and its significance, for the data of first count (PC), total germination (G), germination speed index (IVG), root length (CR), shoot length (CPA) and total dry mass (MST) of sorgh</w:t>
      </w:r>
      <w:r>
        <w:t xml:space="preserve">um seedlings (Sorghum bicolor) treated with </w:t>
      </w:r>
      <w:proofErr w:type="spellStart"/>
      <w:r>
        <w:t>hydrolate</w:t>
      </w:r>
      <w:proofErr w:type="spellEnd"/>
      <w:r>
        <w:t xml:space="preserve"> by </w:t>
      </w:r>
      <w:proofErr w:type="spellStart"/>
      <w:r>
        <w:t>hydrodistillation</w:t>
      </w:r>
      <w:proofErr w:type="spellEnd"/>
      <w:r>
        <w:t xml:space="preserve"> or </w:t>
      </w:r>
      <w:proofErr w:type="spellStart"/>
      <w:r>
        <w:rPr>
          <w:i/>
          <w:iCs/>
        </w:rPr>
        <w:t>Gallesia</w:t>
      </w:r>
      <w:proofErr w:type="spellEnd"/>
      <w:r>
        <w:rPr>
          <w:i/>
          <w:iCs/>
        </w:rPr>
        <w:t xml:space="preserve"> </w:t>
      </w:r>
      <w:proofErr w:type="spellStart"/>
      <w:r>
        <w:rPr>
          <w:i/>
          <w:iCs/>
        </w:rPr>
        <w:t>integrifolia</w:t>
      </w:r>
      <w:proofErr w:type="spellEnd"/>
      <w:r>
        <w:t xml:space="preserve"> extract at concentrations of 0, 5, 10, 15, and 20 ml per 100 kg of seeds.</w:t>
      </w:r>
    </w:p>
    <w:p w14:paraId="63807DD2" w14:textId="77777777" w:rsidR="00AD491C" w:rsidRDefault="00AD491C" w:rsidP="00273D00">
      <w:pPr>
        <w:spacing w:before="120" w:after="120"/>
        <w:jc w:val="both"/>
      </w:pPr>
    </w:p>
    <w:tbl>
      <w:tblPr>
        <w:tblW w:w="5000" w:type="pct"/>
        <w:tblCellMar>
          <w:left w:w="70" w:type="dxa"/>
          <w:right w:w="70" w:type="dxa"/>
        </w:tblCellMar>
        <w:tblLook w:val="04A0" w:firstRow="1" w:lastRow="0" w:firstColumn="1" w:lastColumn="0" w:noHBand="0" w:noVBand="1"/>
      </w:tblPr>
      <w:tblGrid>
        <w:gridCol w:w="2338"/>
        <w:gridCol w:w="877"/>
        <w:gridCol w:w="1022"/>
        <w:gridCol w:w="887"/>
        <w:gridCol w:w="887"/>
        <w:gridCol w:w="887"/>
        <w:gridCol w:w="887"/>
        <w:gridCol w:w="1053"/>
      </w:tblGrid>
      <w:tr w:rsidR="00AD491C" w:rsidRPr="00997EC1" w14:paraId="69DCAB0E" w14:textId="77777777" w:rsidTr="0076053F">
        <w:trPr>
          <w:trHeight w:val="300"/>
        </w:trPr>
        <w:tc>
          <w:tcPr>
            <w:tcW w:w="1322" w:type="pct"/>
            <w:tcBorders>
              <w:top w:val="single" w:sz="4" w:space="0" w:color="auto"/>
              <w:left w:val="nil"/>
              <w:bottom w:val="nil"/>
              <w:right w:val="nil"/>
            </w:tcBorders>
            <w:noWrap/>
            <w:vAlign w:val="bottom"/>
            <w:hideMark/>
          </w:tcPr>
          <w:p w14:paraId="6C427014" w14:textId="77777777" w:rsidR="00AD491C" w:rsidRPr="00997EC1" w:rsidRDefault="00AD491C" w:rsidP="0076053F">
            <w:pPr>
              <w:spacing w:line="360" w:lineRule="auto"/>
              <w:jc w:val="both"/>
              <w:rPr>
                <w:sz w:val="20"/>
                <w:szCs w:val="20"/>
              </w:rPr>
            </w:pPr>
          </w:p>
        </w:tc>
        <w:tc>
          <w:tcPr>
            <w:tcW w:w="496" w:type="pct"/>
            <w:tcBorders>
              <w:top w:val="single" w:sz="4" w:space="0" w:color="auto"/>
              <w:left w:val="nil"/>
              <w:bottom w:val="nil"/>
              <w:right w:val="nil"/>
            </w:tcBorders>
            <w:noWrap/>
            <w:vAlign w:val="bottom"/>
            <w:hideMark/>
          </w:tcPr>
          <w:p w14:paraId="4BD29CCF" w14:textId="77777777" w:rsidR="00AD491C" w:rsidRPr="00997EC1" w:rsidRDefault="00AD491C" w:rsidP="0076053F">
            <w:pPr>
              <w:spacing w:line="360" w:lineRule="auto"/>
              <w:jc w:val="center"/>
              <w:rPr>
                <w:b/>
                <w:bCs/>
                <w:sz w:val="20"/>
                <w:szCs w:val="20"/>
              </w:rPr>
            </w:pPr>
          </w:p>
        </w:tc>
        <w:tc>
          <w:tcPr>
            <w:tcW w:w="3181" w:type="pct"/>
            <w:gridSpan w:val="6"/>
            <w:tcBorders>
              <w:top w:val="single" w:sz="4" w:space="0" w:color="auto"/>
              <w:left w:val="nil"/>
              <w:bottom w:val="single" w:sz="4" w:space="0" w:color="auto"/>
              <w:right w:val="nil"/>
            </w:tcBorders>
            <w:noWrap/>
            <w:vAlign w:val="bottom"/>
            <w:hideMark/>
          </w:tcPr>
          <w:p w14:paraId="69D6A09E"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Value F</w:t>
            </w:r>
          </w:p>
        </w:tc>
      </w:tr>
      <w:tr w:rsidR="00AD491C" w:rsidRPr="00997EC1" w14:paraId="3950F1DC" w14:textId="77777777" w:rsidTr="0076053F">
        <w:trPr>
          <w:trHeight w:val="300"/>
        </w:trPr>
        <w:tc>
          <w:tcPr>
            <w:tcW w:w="1322" w:type="pct"/>
            <w:tcBorders>
              <w:top w:val="nil"/>
              <w:left w:val="nil"/>
              <w:bottom w:val="single" w:sz="4" w:space="0" w:color="auto"/>
              <w:right w:val="nil"/>
            </w:tcBorders>
            <w:noWrap/>
            <w:vAlign w:val="center"/>
            <w:hideMark/>
          </w:tcPr>
          <w:p w14:paraId="519B3A3C" w14:textId="77777777" w:rsidR="00AD491C" w:rsidRPr="00997EC1" w:rsidRDefault="00AD491C" w:rsidP="0076053F">
            <w:pPr>
              <w:spacing w:line="360" w:lineRule="auto"/>
              <w:jc w:val="both"/>
              <w:rPr>
                <w:b/>
                <w:bCs/>
                <w:color w:val="000000"/>
                <w:sz w:val="20"/>
                <w:szCs w:val="20"/>
              </w:rPr>
            </w:pPr>
            <w:r w:rsidRPr="00997EC1">
              <w:rPr>
                <w:b/>
                <w:bCs/>
                <w:color w:val="000000"/>
                <w:sz w:val="20"/>
                <w:szCs w:val="20"/>
              </w:rPr>
              <w:t>Source of variation</w:t>
            </w:r>
          </w:p>
        </w:tc>
        <w:tc>
          <w:tcPr>
            <w:tcW w:w="496" w:type="pct"/>
            <w:tcBorders>
              <w:top w:val="nil"/>
              <w:left w:val="nil"/>
              <w:bottom w:val="single" w:sz="4" w:space="0" w:color="auto"/>
              <w:right w:val="nil"/>
            </w:tcBorders>
            <w:noWrap/>
            <w:vAlign w:val="center"/>
            <w:hideMark/>
          </w:tcPr>
          <w:p w14:paraId="4B15FD31"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GL</w:t>
            </w:r>
          </w:p>
        </w:tc>
        <w:tc>
          <w:tcPr>
            <w:tcW w:w="578" w:type="pct"/>
            <w:tcBorders>
              <w:top w:val="single" w:sz="4" w:space="0" w:color="auto"/>
              <w:left w:val="nil"/>
              <w:bottom w:val="single" w:sz="4" w:space="0" w:color="auto"/>
              <w:right w:val="nil"/>
            </w:tcBorders>
            <w:noWrap/>
            <w:vAlign w:val="center"/>
            <w:hideMark/>
          </w:tcPr>
          <w:p w14:paraId="259F2222"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PC</w:t>
            </w:r>
          </w:p>
        </w:tc>
        <w:tc>
          <w:tcPr>
            <w:tcW w:w="502" w:type="pct"/>
            <w:tcBorders>
              <w:top w:val="single" w:sz="4" w:space="0" w:color="auto"/>
              <w:left w:val="nil"/>
              <w:bottom w:val="single" w:sz="4" w:space="0" w:color="auto"/>
              <w:right w:val="nil"/>
            </w:tcBorders>
            <w:noWrap/>
            <w:vAlign w:val="center"/>
            <w:hideMark/>
          </w:tcPr>
          <w:p w14:paraId="64ED4A51"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G</w:t>
            </w:r>
          </w:p>
        </w:tc>
        <w:tc>
          <w:tcPr>
            <w:tcW w:w="502" w:type="pct"/>
            <w:tcBorders>
              <w:top w:val="single" w:sz="4" w:space="0" w:color="auto"/>
              <w:left w:val="nil"/>
              <w:bottom w:val="single" w:sz="4" w:space="0" w:color="auto"/>
              <w:right w:val="nil"/>
            </w:tcBorders>
            <w:noWrap/>
            <w:vAlign w:val="center"/>
            <w:hideMark/>
          </w:tcPr>
          <w:p w14:paraId="7E48E8B4"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IVG</w:t>
            </w:r>
          </w:p>
        </w:tc>
        <w:tc>
          <w:tcPr>
            <w:tcW w:w="502" w:type="pct"/>
            <w:tcBorders>
              <w:top w:val="single" w:sz="4" w:space="0" w:color="auto"/>
              <w:left w:val="nil"/>
              <w:bottom w:val="single" w:sz="4" w:space="0" w:color="auto"/>
              <w:right w:val="nil"/>
            </w:tcBorders>
            <w:noWrap/>
            <w:vAlign w:val="center"/>
            <w:hideMark/>
          </w:tcPr>
          <w:p w14:paraId="4E143514"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CR</w:t>
            </w:r>
          </w:p>
        </w:tc>
        <w:tc>
          <w:tcPr>
            <w:tcW w:w="502" w:type="pct"/>
            <w:tcBorders>
              <w:top w:val="single" w:sz="4" w:space="0" w:color="auto"/>
              <w:left w:val="nil"/>
              <w:bottom w:val="single" w:sz="4" w:space="0" w:color="auto"/>
              <w:right w:val="nil"/>
            </w:tcBorders>
            <w:noWrap/>
            <w:vAlign w:val="center"/>
            <w:hideMark/>
          </w:tcPr>
          <w:p w14:paraId="78452B7C" w14:textId="77777777" w:rsidR="00AD491C" w:rsidRPr="00997EC1" w:rsidRDefault="00AD491C" w:rsidP="0076053F">
            <w:pPr>
              <w:spacing w:line="360" w:lineRule="auto"/>
              <w:jc w:val="center"/>
              <w:rPr>
                <w:b/>
                <w:bCs/>
                <w:sz w:val="20"/>
                <w:szCs w:val="20"/>
              </w:rPr>
            </w:pPr>
            <w:r w:rsidRPr="00997EC1">
              <w:rPr>
                <w:b/>
                <w:bCs/>
                <w:sz w:val="20"/>
                <w:szCs w:val="20"/>
              </w:rPr>
              <w:t>CPA</w:t>
            </w:r>
          </w:p>
        </w:tc>
        <w:tc>
          <w:tcPr>
            <w:tcW w:w="596" w:type="pct"/>
            <w:tcBorders>
              <w:top w:val="single" w:sz="4" w:space="0" w:color="auto"/>
              <w:left w:val="nil"/>
              <w:bottom w:val="single" w:sz="4" w:space="0" w:color="auto"/>
              <w:right w:val="nil"/>
            </w:tcBorders>
            <w:noWrap/>
            <w:vAlign w:val="center"/>
            <w:hideMark/>
          </w:tcPr>
          <w:p w14:paraId="10A2317B" w14:textId="77777777" w:rsidR="00AD491C" w:rsidRPr="00997EC1" w:rsidRDefault="00AD491C" w:rsidP="0076053F">
            <w:pPr>
              <w:spacing w:line="360" w:lineRule="auto"/>
              <w:jc w:val="center"/>
              <w:rPr>
                <w:b/>
                <w:bCs/>
                <w:color w:val="000000"/>
                <w:sz w:val="20"/>
                <w:szCs w:val="20"/>
              </w:rPr>
            </w:pPr>
            <w:r w:rsidRPr="00997EC1">
              <w:rPr>
                <w:b/>
                <w:bCs/>
                <w:color w:val="000000"/>
                <w:sz w:val="20"/>
                <w:szCs w:val="20"/>
              </w:rPr>
              <w:t>MST</w:t>
            </w:r>
          </w:p>
        </w:tc>
      </w:tr>
      <w:tr w:rsidR="00AD491C" w:rsidRPr="00997EC1" w14:paraId="61B0C8BF" w14:textId="77777777" w:rsidTr="0076053F">
        <w:trPr>
          <w:trHeight w:val="300"/>
        </w:trPr>
        <w:tc>
          <w:tcPr>
            <w:tcW w:w="1322" w:type="pct"/>
            <w:tcBorders>
              <w:top w:val="single" w:sz="4" w:space="0" w:color="auto"/>
              <w:left w:val="nil"/>
              <w:bottom w:val="nil"/>
              <w:right w:val="nil"/>
            </w:tcBorders>
            <w:noWrap/>
            <w:vAlign w:val="bottom"/>
            <w:hideMark/>
          </w:tcPr>
          <w:p w14:paraId="715B44E8" w14:textId="77777777" w:rsidR="00AD491C" w:rsidRPr="00997EC1" w:rsidRDefault="00AD491C" w:rsidP="0076053F">
            <w:pPr>
              <w:spacing w:line="360" w:lineRule="auto"/>
              <w:jc w:val="both"/>
              <w:rPr>
                <w:b/>
                <w:bCs/>
                <w:color w:val="000000"/>
                <w:sz w:val="20"/>
                <w:szCs w:val="20"/>
              </w:rPr>
            </w:pPr>
            <w:r w:rsidRPr="00997EC1">
              <w:rPr>
                <w:b/>
                <w:bCs/>
                <w:color w:val="000000"/>
                <w:sz w:val="20"/>
                <w:szCs w:val="20"/>
              </w:rPr>
              <w:t>Product (P)</w:t>
            </w:r>
          </w:p>
        </w:tc>
        <w:tc>
          <w:tcPr>
            <w:tcW w:w="496" w:type="pct"/>
            <w:tcBorders>
              <w:top w:val="single" w:sz="4" w:space="0" w:color="auto"/>
              <w:left w:val="nil"/>
              <w:bottom w:val="nil"/>
              <w:right w:val="nil"/>
            </w:tcBorders>
            <w:noWrap/>
            <w:vAlign w:val="bottom"/>
            <w:hideMark/>
          </w:tcPr>
          <w:p w14:paraId="556F7D21" w14:textId="77777777" w:rsidR="00AD491C" w:rsidRPr="00997EC1" w:rsidRDefault="00AD491C" w:rsidP="0076053F">
            <w:pPr>
              <w:spacing w:line="360" w:lineRule="auto"/>
              <w:jc w:val="center"/>
              <w:rPr>
                <w:color w:val="000000"/>
                <w:sz w:val="20"/>
                <w:szCs w:val="20"/>
              </w:rPr>
            </w:pPr>
            <w:r w:rsidRPr="00997EC1">
              <w:rPr>
                <w:color w:val="000000"/>
                <w:sz w:val="20"/>
                <w:szCs w:val="20"/>
              </w:rPr>
              <w:t>1</w:t>
            </w:r>
          </w:p>
        </w:tc>
        <w:tc>
          <w:tcPr>
            <w:tcW w:w="578" w:type="pct"/>
            <w:tcBorders>
              <w:top w:val="single" w:sz="4" w:space="0" w:color="auto"/>
              <w:left w:val="nil"/>
              <w:bottom w:val="nil"/>
              <w:right w:val="nil"/>
            </w:tcBorders>
            <w:noWrap/>
            <w:vAlign w:val="bottom"/>
            <w:hideMark/>
          </w:tcPr>
          <w:p w14:paraId="312036C7" w14:textId="77777777" w:rsidR="00AD491C" w:rsidRPr="00997EC1" w:rsidRDefault="00AD491C" w:rsidP="0076053F">
            <w:pPr>
              <w:spacing w:line="360" w:lineRule="auto"/>
              <w:jc w:val="center"/>
              <w:rPr>
                <w:color w:val="000000"/>
                <w:sz w:val="20"/>
                <w:szCs w:val="20"/>
              </w:rPr>
            </w:pPr>
            <w:r w:rsidRPr="00997EC1">
              <w:rPr>
                <w:color w:val="000000"/>
                <w:sz w:val="20"/>
                <w:szCs w:val="20"/>
              </w:rPr>
              <w:t>0.08</w:t>
            </w:r>
            <w:r w:rsidRPr="00997EC1">
              <w:rPr>
                <w:color w:val="000000"/>
                <w:sz w:val="20"/>
                <w:szCs w:val="20"/>
                <w:vertAlign w:val="superscript"/>
              </w:rPr>
              <w:t>ns</w:t>
            </w:r>
          </w:p>
        </w:tc>
        <w:tc>
          <w:tcPr>
            <w:tcW w:w="502" w:type="pct"/>
            <w:tcBorders>
              <w:top w:val="single" w:sz="4" w:space="0" w:color="auto"/>
              <w:left w:val="nil"/>
              <w:bottom w:val="nil"/>
              <w:right w:val="nil"/>
            </w:tcBorders>
            <w:noWrap/>
            <w:vAlign w:val="bottom"/>
            <w:hideMark/>
          </w:tcPr>
          <w:p w14:paraId="3BE23753" w14:textId="77777777" w:rsidR="00AD491C" w:rsidRPr="00997EC1" w:rsidRDefault="00AD491C" w:rsidP="0076053F">
            <w:pPr>
              <w:spacing w:line="360" w:lineRule="auto"/>
              <w:jc w:val="center"/>
              <w:rPr>
                <w:color w:val="000000"/>
                <w:sz w:val="20"/>
                <w:szCs w:val="20"/>
              </w:rPr>
            </w:pPr>
            <w:r w:rsidRPr="00997EC1">
              <w:rPr>
                <w:color w:val="000000"/>
                <w:sz w:val="20"/>
                <w:szCs w:val="20"/>
              </w:rPr>
              <w:t>1.45</w:t>
            </w:r>
            <w:r w:rsidRPr="00997EC1">
              <w:rPr>
                <w:color w:val="000000"/>
                <w:sz w:val="20"/>
                <w:szCs w:val="20"/>
                <w:vertAlign w:val="superscript"/>
              </w:rPr>
              <w:t>ns</w:t>
            </w:r>
          </w:p>
        </w:tc>
        <w:tc>
          <w:tcPr>
            <w:tcW w:w="502" w:type="pct"/>
            <w:tcBorders>
              <w:top w:val="single" w:sz="4" w:space="0" w:color="auto"/>
              <w:left w:val="nil"/>
              <w:bottom w:val="nil"/>
              <w:right w:val="nil"/>
            </w:tcBorders>
            <w:noWrap/>
            <w:vAlign w:val="bottom"/>
            <w:hideMark/>
          </w:tcPr>
          <w:p w14:paraId="70714C7B" w14:textId="77777777" w:rsidR="00AD491C" w:rsidRPr="00997EC1" w:rsidRDefault="00AD491C" w:rsidP="0076053F">
            <w:pPr>
              <w:spacing w:line="360" w:lineRule="auto"/>
              <w:jc w:val="center"/>
              <w:rPr>
                <w:color w:val="000000"/>
                <w:sz w:val="20"/>
                <w:szCs w:val="20"/>
              </w:rPr>
            </w:pPr>
            <w:r w:rsidRPr="00997EC1">
              <w:rPr>
                <w:color w:val="000000"/>
                <w:sz w:val="20"/>
                <w:szCs w:val="20"/>
              </w:rPr>
              <w:t>0.28</w:t>
            </w:r>
            <w:r w:rsidRPr="00997EC1">
              <w:rPr>
                <w:color w:val="000000"/>
                <w:sz w:val="20"/>
                <w:szCs w:val="20"/>
                <w:vertAlign w:val="superscript"/>
              </w:rPr>
              <w:t>ns</w:t>
            </w:r>
          </w:p>
        </w:tc>
        <w:tc>
          <w:tcPr>
            <w:tcW w:w="502" w:type="pct"/>
            <w:tcBorders>
              <w:top w:val="single" w:sz="4" w:space="0" w:color="auto"/>
              <w:left w:val="nil"/>
              <w:bottom w:val="nil"/>
              <w:right w:val="nil"/>
            </w:tcBorders>
            <w:noWrap/>
            <w:vAlign w:val="bottom"/>
            <w:hideMark/>
          </w:tcPr>
          <w:p w14:paraId="45900903" w14:textId="77777777" w:rsidR="00AD491C" w:rsidRPr="00997EC1" w:rsidRDefault="00AD491C" w:rsidP="0076053F">
            <w:pPr>
              <w:spacing w:line="360" w:lineRule="auto"/>
              <w:jc w:val="center"/>
              <w:rPr>
                <w:color w:val="000000"/>
                <w:sz w:val="20"/>
                <w:szCs w:val="20"/>
              </w:rPr>
            </w:pPr>
            <w:r w:rsidRPr="00997EC1">
              <w:rPr>
                <w:color w:val="000000"/>
                <w:sz w:val="20"/>
                <w:szCs w:val="20"/>
              </w:rPr>
              <w:t>5.24*</w:t>
            </w:r>
          </w:p>
        </w:tc>
        <w:tc>
          <w:tcPr>
            <w:tcW w:w="502" w:type="pct"/>
            <w:tcBorders>
              <w:top w:val="single" w:sz="4" w:space="0" w:color="auto"/>
              <w:left w:val="nil"/>
              <w:bottom w:val="nil"/>
              <w:right w:val="nil"/>
            </w:tcBorders>
            <w:noWrap/>
            <w:vAlign w:val="bottom"/>
            <w:hideMark/>
          </w:tcPr>
          <w:p w14:paraId="41B69B85" w14:textId="77777777" w:rsidR="00AD491C" w:rsidRPr="00997EC1" w:rsidRDefault="00AD491C" w:rsidP="0076053F">
            <w:pPr>
              <w:spacing w:line="360" w:lineRule="auto"/>
              <w:jc w:val="center"/>
              <w:rPr>
                <w:color w:val="000000"/>
                <w:sz w:val="20"/>
                <w:szCs w:val="20"/>
              </w:rPr>
            </w:pPr>
            <w:r w:rsidRPr="00997EC1">
              <w:rPr>
                <w:sz w:val="20"/>
                <w:szCs w:val="20"/>
              </w:rPr>
              <w:t>10.40*</w:t>
            </w:r>
          </w:p>
        </w:tc>
        <w:tc>
          <w:tcPr>
            <w:tcW w:w="596" w:type="pct"/>
            <w:tcBorders>
              <w:top w:val="single" w:sz="4" w:space="0" w:color="auto"/>
              <w:left w:val="nil"/>
              <w:bottom w:val="nil"/>
              <w:right w:val="nil"/>
            </w:tcBorders>
            <w:noWrap/>
            <w:vAlign w:val="bottom"/>
            <w:hideMark/>
          </w:tcPr>
          <w:p w14:paraId="15791895" w14:textId="77777777" w:rsidR="00AD491C" w:rsidRPr="00997EC1" w:rsidRDefault="00AD491C" w:rsidP="0076053F">
            <w:pPr>
              <w:spacing w:line="360" w:lineRule="auto"/>
              <w:jc w:val="center"/>
              <w:rPr>
                <w:color w:val="000000"/>
                <w:sz w:val="20"/>
                <w:szCs w:val="20"/>
              </w:rPr>
            </w:pPr>
            <w:r w:rsidRPr="00997EC1">
              <w:rPr>
                <w:color w:val="000000"/>
                <w:sz w:val="20"/>
                <w:szCs w:val="20"/>
              </w:rPr>
              <w:t>2.19</w:t>
            </w:r>
            <w:r w:rsidRPr="00997EC1">
              <w:rPr>
                <w:color w:val="000000"/>
                <w:sz w:val="20"/>
                <w:szCs w:val="20"/>
                <w:vertAlign w:val="superscript"/>
              </w:rPr>
              <w:t>ns</w:t>
            </w:r>
          </w:p>
        </w:tc>
      </w:tr>
      <w:tr w:rsidR="00AD491C" w:rsidRPr="00997EC1" w14:paraId="5CD85D5C" w14:textId="77777777" w:rsidTr="0076053F">
        <w:trPr>
          <w:trHeight w:val="300"/>
        </w:trPr>
        <w:tc>
          <w:tcPr>
            <w:tcW w:w="1322" w:type="pct"/>
            <w:tcBorders>
              <w:top w:val="nil"/>
              <w:left w:val="nil"/>
              <w:bottom w:val="nil"/>
              <w:right w:val="nil"/>
            </w:tcBorders>
            <w:noWrap/>
            <w:vAlign w:val="bottom"/>
            <w:hideMark/>
          </w:tcPr>
          <w:p w14:paraId="56121F34" w14:textId="77777777" w:rsidR="00AD491C" w:rsidRPr="00997EC1" w:rsidRDefault="00AD491C" w:rsidP="0076053F">
            <w:pPr>
              <w:spacing w:line="360" w:lineRule="auto"/>
              <w:jc w:val="both"/>
              <w:rPr>
                <w:b/>
                <w:bCs/>
                <w:color w:val="000000"/>
                <w:sz w:val="20"/>
                <w:szCs w:val="20"/>
              </w:rPr>
            </w:pPr>
            <w:r w:rsidRPr="00997EC1">
              <w:rPr>
                <w:b/>
                <w:bCs/>
                <w:color w:val="000000"/>
                <w:sz w:val="20"/>
                <w:szCs w:val="20"/>
              </w:rPr>
              <w:t>Concentration (C)</w:t>
            </w:r>
          </w:p>
        </w:tc>
        <w:tc>
          <w:tcPr>
            <w:tcW w:w="496" w:type="pct"/>
            <w:tcBorders>
              <w:top w:val="nil"/>
              <w:left w:val="nil"/>
              <w:bottom w:val="nil"/>
              <w:right w:val="nil"/>
            </w:tcBorders>
            <w:noWrap/>
            <w:vAlign w:val="bottom"/>
            <w:hideMark/>
          </w:tcPr>
          <w:p w14:paraId="1043E33D" w14:textId="77777777" w:rsidR="00AD491C" w:rsidRPr="00997EC1" w:rsidRDefault="00AD491C" w:rsidP="0076053F">
            <w:pPr>
              <w:spacing w:line="360" w:lineRule="auto"/>
              <w:jc w:val="center"/>
              <w:rPr>
                <w:color w:val="000000"/>
                <w:sz w:val="20"/>
                <w:szCs w:val="20"/>
              </w:rPr>
            </w:pPr>
            <w:r w:rsidRPr="00997EC1">
              <w:rPr>
                <w:color w:val="000000"/>
                <w:sz w:val="20"/>
                <w:szCs w:val="20"/>
              </w:rPr>
              <w:t>4</w:t>
            </w:r>
          </w:p>
        </w:tc>
        <w:tc>
          <w:tcPr>
            <w:tcW w:w="578" w:type="pct"/>
            <w:tcBorders>
              <w:top w:val="nil"/>
              <w:left w:val="nil"/>
              <w:bottom w:val="nil"/>
              <w:right w:val="nil"/>
            </w:tcBorders>
            <w:noWrap/>
            <w:vAlign w:val="bottom"/>
            <w:hideMark/>
          </w:tcPr>
          <w:p w14:paraId="17714A5E" w14:textId="77777777" w:rsidR="00AD491C" w:rsidRPr="00997EC1" w:rsidRDefault="00AD491C" w:rsidP="0076053F">
            <w:pPr>
              <w:spacing w:line="360" w:lineRule="auto"/>
              <w:jc w:val="center"/>
              <w:rPr>
                <w:color w:val="000000"/>
                <w:sz w:val="20"/>
                <w:szCs w:val="20"/>
              </w:rPr>
            </w:pPr>
            <w:r w:rsidRPr="00997EC1">
              <w:rPr>
                <w:color w:val="000000"/>
                <w:sz w:val="20"/>
                <w:szCs w:val="20"/>
              </w:rPr>
              <w:t>0.87</w:t>
            </w:r>
            <w:r w:rsidRPr="00997EC1">
              <w:rPr>
                <w:color w:val="000000"/>
                <w:sz w:val="20"/>
                <w:szCs w:val="20"/>
                <w:vertAlign w:val="superscript"/>
              </w:rPr>
              <w:t>ns</w:t>
            </w:r>
          </w:p>
        </w:tc>
        <w:tc>
          <w:tcPr>
            <w:tcW w:w="502" w:type="pct"/>
            <w:tcBorders>
              <w:top w:val="nil"/>
              <w:left w:val="nil"/>
              <w:bottom w:val="nil"/>
              <w:right w:val="nil"/>
            </w:tcBorders>
            <w:noWrap/>
            <w:vAlign w:val="bottom"/>
            <w:hideMark/>
          </w:tcPr>
          <w:p w14:paraId="703EBC41" w14:textId="77777777" w:rsidR="00AD491C" w:rsidRPr="00997EC1" w:rsidRDefault="00AD491C" w:rsidP="0076053F">
            <w:pPr>
              <w:spacing w:line="360" w:lineRule="auto"/>
              <w:jc w:val="center"/>
              <w:rPr>
                <w:color w:val="000000"/>
                <w:sz w:val="20"/>
                <w:szCs w:val="20"/>
              </w:rPr>
            </w:pPr>
            <w:r w:rsidRPr="00997EC1">
              <w:rPr>
                <w:color w:val="000000"/>
                <w:sz w:val="20"/>
                <w:szCs w:val="20"/>
              </w:rPr>
              <w:t>0.76</w:t>
            </w:r>
            <w:r w:rsidRPr="00997EC1">
              <w:rPr>
                <w:color w:val="000000"/>
                <w:sz w:val="20"/>
                <w:szCs w:val="20"/>
                <w:vertAlign w:val="superscript"/>
              </w:rPr>
              <w:t>ns</w:t>
            </w:r>
          </w:p>
        </w:tc>
        <w:tc>
          <w:tcPr>
            <w:tcW w:w="502" w:type="pct"/>
            <w:tcBorders>
              <w:top w:val="nil"/>
              <w:left w:val="nil"/>
              <w:bottom w:val="nil"/>
              <w:right w:val="nil"/>
            </w:tcBorders>
            <w:noWrap/>
            <w:vAlign w:val="bottom"/>
            <w:hideMark/>
          </w:tcPr>
          <w:p w14:paraId="31C90E16" w14:textId="77777777" w:rsidR="00AD491C" w:rsidRPr="00997EC1" w:rsidRDefault="00AD491C" w:rsidP="0076053F">
            <w:pPr>
              <w:spacing w:line="360" w:lineRule="auto"/>
              <w:jc w:val="center"/>
              <w:rPr>
                <w:color w:val="000000"/>
                <w:sz w:val="20"/>
                <w:szCs w:val="20"/>
              </w:rPr>
            </w:pPr>
            <w:r w:rsidRPr="00997EC1">
              <w:rPr>
                <w:color w:val="000000"/>
                <w:sz w:val="20"/>
                <w:szCs w:val="20"/>
              </w:rPr>
              <w:t>0.47</w:t>
            </w:r>
            <w:r w:rsidRPr="00997EC1">
              <w:rPr>
                <w:color w:val="000000"/>
                <w:sz w:val="20"/>
                <w:szCs w:val="20"/>
                <w:vertAlign w:val="superscript"/>
              </w:rPr>
              <w:t>ns</w:t>
            </w:r>
          </w:p>
        </w:tc>
        <w:tc>
          <w:tcPr>
            <w:tcW w:w="502" w:type="pct"/>
            <w:tcBorders>
              <w:top w:val="nil"/>
              <w:left w:val="nil"/>
              <w:bottom w:val="nil"/>
              <w:right w:val="nil"/>
            </w:tcBorders>
            <w:noWrap/>
            <w:vAlign w:val="bottom"/>
            <w:hideMark/>
          </w:tcPr>
          <w:p w14:paraId="092E413B" w14:textId="77777777" w:rsidR="00AD491C" w:rsidRPr="00997EC1" w:rsidRDefault="00AD491C" w:rsidP="0076053F">
            <w:pPr>
              <w:spacing w:line="360" w:lineRule="auto"/>
              <w:jc w:val="center"/>
              <w:rPr>
                <w:color w:val="000000"/>
                <w:sz w:val="20"/>
                <w:szCs w:val="20"/>
              </w:rPr>
            </w:pPr>
            <w:r w:rsidRPr="00997EC1">
              <w:rPr>
                <w:color w:val="000000"/>
                <w:sz w:val="20"/>
                <w:szCs w:val="20"/>
              </w:rPr>
              <w:t>2.59</w:t>
            </w:r>
            <w:r w:rsidRPr="00997EC1">
              <w:rPr>
                <w:color w:val="000000"/>
                <w:sz w:val="20"/>
                <w:szCs w:val="20"/>
                <w:vertAlign w:val="superscript"/>
              </w:rPr>
              <w:t>ns</w:t>
            </w:r>
          </w:p>
        </w:tc>
        <w:tc>
          <w:tcPr>
            <w:tcW w:w="502" w:type="pct"/>
            <w:tcBorders>
              <w:top w:val="nil"/>
              <w:left w:val="nil"/>
              <w:bottom w:val="nil"/>
              <w:right w:val="nil"/>
            </w:tcBorders>
            <w:noWrap/>
            <w:vAlign w:val="bottom"/>
            <w:hideMark/>
          </w:tcPr>
          <w:p w14:paraId="4E8922BD" w14:textId="77777777" w:rsidR="00AD491C" w:rsidRPr="00997EC1" w:rsidRDefault="00AD491C" w:rsidP="0076053F">
            <w:pPr>
              <w:spacing w:line="360" w:lineRule="auto"/>
              <w:jc w:val="center"/>
              <w:rPr>
                <w:color w:val="000000"/>
                <w:sz w:val="20"/>
                <w:szCs w:val="20"/>
              </w:rPr>
            </w:pPr>
            <w:r w:rsidRPr="00997EC1">
              <w:rPr>
                <w:sz w:val="20"/>
                <w:szCs w:val="20"/>
              </w:rPr>
              <w:t>1.08</w:t>
            </w:r>
            <w:r w:rsidRPr="00997EC1">
              <w:rPr>
                <w:sz w:val="20"/>
                <w:szCs w:val="20"/>
                <w:vertAlign w:val="superscript"/>
              </w:rPr>
              <w:t>ns</w:t>
            </w:r>
          </w:p>
        </w:tc>
        <w:tc>
          <w:tcPr>
            <w:tcW w:w="596" w:type="pct"/>
            <w:tcBorders>
              <w:top w:val="nil"/>
              <w:left w:val="nil"/>
              <w:bottom w:val="nil"/>
              <w:right w:val="nil"/>
            </w:tcBorders>
            <w:noWrap/>
            <w:vAlign w:val="bottom"/>
            <w:hideMark/>
          </w:tcPr>
          <w:p w14:paraId="7E06903D" w14:textId="77777777" w:rsidR="00AD491C" w:rsidRPr="00997EC1" w:rsidRDefault="00AD491C" w:rsidP="0076053F">
            <w:pPr>
              <w:spacing w:line="360" w:lineRule="auto"/>
              <w:jc w:val="center"/>
              <w:rPr>
                <w:color w:val="000000"/>
                <w:sz w:val="20"/>
                <w:szCs w:val="20"/>
              </w:rPr>
            </w:pPr>
            <w:r w:rsidRPr="00997EC1">
              <w:rPr>
                <w:color w:val="000000"/>
                <w:sz w:val="20"/>
                <w:szCs w:val="20"/>
              </w:rPr>
              <w:t>0.54</w:t>
            </w:r>
            <w:r w:rsidRPr="00997EC1">
              <w:rPr>
                <w:color w:val="000000"/>
                <w:sz w:val="20"/>
                <w:szCs w:val="20"/>
                <w:vertAlign w:val="superscript"/>
              </w:rPr>
              <w:t>ns</w:t>
            </w:r>
          </w:p>
        </w:tc>
      </w:tr>
      <w:tr w:rsidR="00AD491C" w:rsidRPr="00997EC1" w14:paraId="72471A8E" w14:textId="77777777" w:rsidTr="0076053F">
        <w:trPr>
          <w:trHeight w:val="300"/>
        </w:trPr>
        <w:tc>
          <w:tcPr>
            <w:tcW w:w="1322" w:type="pct"/>
            <w:tcBorders>
              <w:top w:val="nil"/>
              <w:left w:val="nil"/>
              <w:bottom w:val="single" w:sz="4" w:space="0" w:color="auto"/>
              <w:right w:val="nil"/>
            </w:tcBorders>
            <w:noWrap/>
            <w:vAlign w:val="bottom"/>
            <w:hideMark/>
          </w:tcPr>
          <w:p w14:paraId="73826D28" w14:textId="77777777" w:rsidR="00AD491C" w:rsidRPr="00997EC1" w:rsidRDefault="00AD491C" w:rsidP="0076053F">
            <w:pPr>
              <w:spacing w:line="360" w:lineRule="auto"/>
              <w:jc w:val="both"/>
              <w:rPr>
                <w:b/>
                <w:bCs/>
                <w:color w:val="000000"/>
                <w:sz w:val="20"/>
                <w:szCs w:val="20"/>
              </w:rPr>
            </w:pPr>
            <w:r w:rsidRPr="00997EC1">
              <w:rPr>
                <w:b/>
                <w:bCs/>
                <w:color w:val="000000"/>
                <w:sz w:val="20"/>
                <w:szCs w:val="20"/>
              </w:rPr>
              <w:t>P x C</w:t>
            </w:r>
          </w:p>
        </w:tc>
        <w:tc>
          <w:tcPr>
            <w:tcW w:w="496" w:type="pct"/>
            <w:tcBorders>
              <w:top w:val="nil"/>
              <w:left w:val="nil"/>
              <w:bottom w:val="single" w:sz="4" w:space="0" w:color="auto"/>
              <w:right w:val="nil"/>
            </w:tcBorders>
            <w:noWrap/>
            <w:vAlign w:val="bottom"/>
            <w:hideMark/>
          </w:tcPr>
          <w:p w14:paraId="6DA29675" w14:textId="77777777" w:rsidR="00AD491C" w:rsidRPr="00997EC1" w:rsidRDefault="00AD491C" w:rsidP="0076053F">
            <w:pPr>
              <w:spacing w:line="360" w:lineRule="auto"/>
              <w:jc w:val="center"/>
              <w:rPr>
                <w:color w:val="000000"/>
                <w:sz w:val="20"/>
                <w:szCs w:val="20"/>
              </w:rPr>
            </w:pPr>
            <w:r w:rsidRPr="00997EC1">
              <w:rPr>
                <w:color w:val="000000"/>
                <w:sz w:val="20"/>
                <w:szCs w:val="20"/>
              </w:rPr>
              <w:t>4</w:t>
            </w:r>
          </w:p>
        </w:tc>
        <w:tc>
          <w:tcPr>
            <w:tcW w:w="578" w:type="pct"/>
            <w:tcBorders>
              <w:top w:val="nil"/>
              <w:left w:val="nil"/>
              <w:bottom w:val="single" w:sz="4" w:space="0" w:color="auto"/>
              <w:right w:val="nil"/>
            </w:tcBorders>
            <w:noWrap/>
            <w:vAlign w:val="bottom"/>
            <w:hideMark/>
          </w:tcPr>
          <w:p w14:paraId="1172FB52" w14:textId="77777777" w:rsidR="00AD491C" w:rsidRPr="00997EC1" w:rsidRDefault="00AD491C" w:rsidP="0076053F">
            <w:pPr>
              <w:spacing w:line="360" w:lineRule="auto"/>
              <w:jc w:val="center"/>
              <w:rPr>
                <w:color w:val="000000"/>
                <w:sz w:val="20"/>
                <w:szCs w:val="20"/>
              </w:rPr>
            </w:pPr>
            <w:r w:rsidRPr="00997EC1">
              <w:rPr>
                <w:color w:val="000000"/>
                <w:sz w:val="20"/>
                <w:szCs w:val="20"/>
              </w:rPr>
              <w:t>0.34</w:t>
            </w:r>
            <w:r w:rsidRPr="00997EC1">
              <w:rPr>
                <w:color w:val="000000"/>
                <w:sz w:val="20"/>
                <w:szCs w:val="20"/>
                <w:vertAlign w:val="superscript"/>
              </w:rPr>
              <w:t>ns</w:t>
            </w:r>
          </w:p>
        </w:tc>
        <w:tc>
          <w:tcPr>
            <w:tcW w:w="502" w:type="pct"/>
            <w:tcBorders>
              <w:top w:val="nil"/>
              <w:left w:val="nil"/>
              <w:bottom w:val="single" w:sz="4" w:space="0" w:color="auto"/>
              <w:right w:val="nil"/>
            </w:tcBorders>
            <w:noWrap/>
            <w:vAlign w:val="bottom"/>
            <w:hideMark/>
          </w:tcPr>
          <w:p w14:paraId="0320332A" w14:textId="77777777" w:rsidR="00AD491C" w:rsidRPr="00997EC1" w:rsidRDefault="00AD491C" w:rsidP="0076053F">
            <w:pPr>
              <w:spacing w:line="360" w:lineRule="auto"/>
              <w:jc w:val="center"/>
              <w:rPr>
                <w:color w:val="000000"/>
                <w:sz w:val="20"/>
                <w:szCs w:val="20"/>
              </w:rPr>
            </w:pPr>
            <w:r w:rsidRPr="00997EC1">
              <w:rPr>
                <w:color w:val="000000"/>
                <w:sz w:val="20"/>
                <w:szCs w:val="20"/>
              </w:rPr>
              <w:t>0.95</w:t>
            </w:r>
            <w:r w:rsidRPr="00997EC1">
              <w:rPr>
                <w:color w:val="000000"/>
                <w:sz w:val="20"/>
                <w:szCs w:val="20"/>
                <w:vertAlign w:val="superscript"/>
              </w:rPr>
              <w:t>ns</w:t>
            </w:r>
          </w:p>
        </w:tc>
        <w:tc>
          <w:tcPr>
            <w:tcW w:w="502" w:type="pct"/>
            <w:tcBorders>
              <w:top w:val="nil"/>
              <w:left w:val="nil"/>
              <w:bottom w:val="single" w:sz="4" w:space="0" w:color="auto"/>
              <w:right w:val="nil"/>
            </w:tcBorders>
            <w:noWrap/>
            <w:vAlign w:val="bottom"/>
            <w:hideMark/>
          </w:tcPr>
          <w:p w14:paraId="0557727B" w14:textId="77777777" w:rsidR="00AD491C" w:rsidRPr="00997EC1" w:rsidRDefault="00AD491C" w:rsidP="0076053F">
            <w:pPr>
              <w:spacing w:line="360" w:lineRule="auto"/>
              <w:jc w:val="center"/>
              <w:rPr>
                <w:color w:val="000000"/>
                <w:sz w:val="20"/>
                <w:szCs w:val="20"/>
              </w:rPr>
            </w:pPr>
            <w:r w:rsidRPr="00997EC1">
              <w:rPr>
                <w:color w:val="000000"/>
                <w:sz w:val="20"/>
                <w:szCs w:val="20"/>
              </w:rPr>
              <w:t>1.05</w:t>
            </w:r>
            <w:r w:rsidRPr="00997EC1">
              <w:rPr>
                <w:color w:val="000000"/>
                <w:sz w:val="20"/>
                <w:szCs w:val="20"/>
                <w:vertAlign w:val="superscript"/>
              </w:rPr>
              <w:t>ns</w:t>
            </w:r>
          </w:p>
        </w:tc>
        <w:tc>
          <w:tcPr>
            <w:tcW w:w="502" w:type="pct"/>
            <w:tcBorders>
              <w:top w:val="nil"/>
              <w:left w:val="nil"/>
              <w:bottom w:val="single" w:sz="4" w:space="0" w:color="auto"/>
              <w:right w:val="nil"/>
            </w:tcBorders>
            <w:noWrap/>
            <w:vAlign w:val="bottom"/>
            <w:hideMark/>
          </w:tcPr>
          <w:p w14:paraId="06CF9036" w14:textId="77777777" w:rsidR="00AD491C" w:rsidRPr="00997EC1" w:rsidRDefault="00AD491C" w:rsidP="0076053F">
            <w:pPr>
              <w:spacing w:line="360" w:lineRule="auto"/>
              <w:jc w:val="center"/>
              <w:rPr>
                <w:color w:val="000000"/>
                <w:sz w:val="20"/>
                <w:szCs w:val="20"/>
              </w:rPr>
            </w:pPr>
            <w:r w:rsidRPr="00997EC1">
              <w:rPr>
                <w:color w:val="000000"/>
                <w:sz w:val="20"/>
                <w:szCs w:val="20"/>
              </w:rPr>
              <w:t>2.89*</w:t>
            </w:r>
          </w:p>
        </w:tc>
        <w:tc>
          <w:tcPr>
            <w:tcW w:w="502" w:type="pct"/>
            <w:tcBorders>
              <w:top w:val="nil"/>
              <w:left w:val="nil"/>
              <w:bottom w:val="single" w:sz="4" w:space="0" w:color="auto"/>
              <w:right w:val="nil"/>
            </w:tcBorders>
            <w:noWrap/>
            <w:vAlign w:val="bottom"/>
            <w:hideMark/>
          </w:tcPr>
          <w:p w14:paraId="63DC2293" w14:textId="77777777" w:rsidR="00AD491C" w:rsidRPr="00997EC1" w:rsidRDefault="00AD491C" w:rsidP="0076053F">
            <w:pPr>
              <w:spacing w:line="360" w:lineRule="auto"/>
              <w:jc w:val="center"/>
              <w:rPr>
                <w:color w:val="000000"/>
                <w:sz w:val="20"/>
                <w:szCs w:val="20"/>
              </w:rPr>
            </w:pPr>
            <w:r w:rsidRPr="00997EC1">
              <w:rPr>
                <w:sz w:val="20"/>
                <w:szCs w:val="20"/>
              </w:rPr>
              <w:t>0.53</w:t>
            </w:r>
            <w:r w:rsidRPr="00997EC1">
              <w:rPr>
                <w:sz w:val="20"/>
                <w:szCs w:val="20"/>
                <w:vertAlign w:val="superscript"/>
              </w:rPr>
              <w:t>ns</w:t>
            </w:r>
          </w:p>
        </w:tc>
        <w:tc>
          <w:tcPr>
            <w:tcW w:w="596" w:type="pct"/>
            <w:tcBorders>
              <w:top w:val="nil"/>
              <w:left w:val="nil"/>
              <w:bottom w:val="single" w:sz="4" w:space="0" w:color="auto"/>
              <w:right w:val="nil"/>
            </w:tcBorders>
            <w:noWrap/>
            <w:vAlign w:val="bottom"/>
            <w:hideMark/>
          </w:tcPr>
          <w:p w14:paraId="0F27507A" w14:textId="77777777" w:rsidR="00AD491C" w:rsidRPr="00997EC1" w:rsidRDefault="00AD491C" w:rsidP="0076053F">
            <w:pPr>
              <w:spacing w:line="360" w:lineRule="auto"/>
              <w:jc w:val="center"/>
              <w:rPr>
                <w:color w:val="000000"/>
                <w:sz w:val="20"/>
                <w:szCs w:val="20"/>
              </w:rPr>
            </w:pPr>
            <w:r w:rsidRPr="00997EC1">
              <w:rPr>
                <w:color w:val="000000"/>
                <w:sz w:val="20"/>
                <w:szCs w:val="20"/>
              </w:rPr>
              <w:t>1.99</w:t>
            </w:r>
            <w:r w:rsidRPr="00997EC1">
              <w:rPr>
                <w:color w:val="000000"/>
                <w:sz w:val="20"/>
                <w:szCs w:val="20"/>
                <w:vertAlign w:val="superscript"/>
              </w:rPr>
              <w:t>ns</w:t>
            </w:r>
          </w:p>
        </w:tc>
      </w:tr>
      <w:tr w:rsidR="00AD491C" w:rsidRPr="00997EC1" w14:paraId="53CDFD9B" w14:textId="77777777" w:rsidTr="0076053F">
        <w:trPr>
          <w:trHeight w:val="300"/>
        </w:trPr>
        <w:tc>
          <w:tcPr>
            <w:tcW w:w="1322" w:type="pct"/>
            <w:tcBorders>
              <w:top w:val="single" w:sz="4" w:space="0" w:color="auto"/>
              <w:left w:val="nil"/>
              <w:bottom w:val="single" w:sz="4" w:space="0" w:color="auto"/>
              <w:right w:val="nil"/>
            </w:tcBorders>
            <w:noWrap/>
            <w:vAlign w:val="bottom"/>
            <w:hideMark/>
          </w:tcPr>
          <w:p w14:paraId="2CD2A94E" w14:textId="77777777" w:rsidR="00AD491C" w:rsidRPr="00997EC1" w:rsidRDefault="00AD491C" w:rsidP="0076053F">
            <w:pPr>
              <w:spacing w:line="360" w:lineRule="auto"/>
              <w:jc w:val="both"/>
              <w:rPr>
                <w:b/>
                <w:bCs/>
                <w:color w:val="000000"/>
                <w:sz w:val="20"/>
                <w:szCs w:val="20"/>
              </w:rPr>
            </w:pPr>
            <w:r w:rsidRPr="00997EC1">
              <w:rPr>
                <w:b/>
                <w:bCs/>
                <w:color w:val="000000"/>
                <w:sz w:val="20"/>
                <w:szCs w:val="20"/>
              </w:rPr>
              <w:t>C.V. (%)</w:t>
            </w:r>
          </w:p>
        </w:tc>
        <w:tc>
          <w:tcPr>
            <w:tcW w:w="496" w:type="pct"/>
            <w:tcBorders>
              <w:top w:val="single" w:sz="4" w:space="0" w:color="auto"/>
              <w:left w:val="nil"/>
              <w:bottom w:val="single" w:sz="4" w:space="0" w:color="auto"/>
              <w:right w:val="nil"/>
            </w:tcBorders>
            <w:noWrap/>
            <w:vAlign w:val="bottom"/>
            <w:hideMark/>
          </w:tcPr>
          <w:p w14:paraId="28B5E895" w14:textId="77777777" w:rsidR="00AD491C" w:rsidRPr="00997EC1" w:rsidRDefault="00AD491C" w:rsidP="0076053F">
            <w:pPr>
              <w:spacing w:line="360" w:lineRule="auto"/>
              <w:jc w:val="center"/>
              <w:rPr>
                <w:color w:val="000000"/>
                <w:sz w:val="20"/>
                <w:szCs w:val="20"/>
              </w:rPr>
            </w:pPr>
          </w:p>
        </w:tc>
        <w:tc>
          <w:tcPr>
            <w:tcW w:w="578" w:type="pct"/>
            <w:tcBorders>
              <w:top w:val="single" w:sz="4" w:space="0" w:color="auto"/>
              <w:left w:val="nil"/>
              <w:bottom w:val="single" w:sz="4" w:space="0" w:color="auto"/>
              <w:right w:val="nil"/>
            </w:tcBorders>
            <w:noWrap/>
            <w:vAlign w:val="bottom"/>
            <w:hideMark/>
          </w:tcPr>
          <w:p w14:paraId="65A86E66" w14:textId="77777777" w:rsidR="00AD491C" w:rsidRPr="00997EC1" w:rsidRDefault="00AD491C" w:rsidP="0076053F">
            <w:pPr>
              <w:spacing w:line="360" w:lineRule="auto"/>
              <w:jc w:val="center"/>
              <w:rPr>
                <w:color w:val="000000"/>
                <w:sz w:val="20"/>
                <w:szCs w:val="20"/>
              </w:rPr>
            </w:pPr>
            <w:r w:rsidRPr="00997EC1">
              <w:rPr>
                <w:color w:val="000000"/>
                <w:sz w:val="20"/>
                <w:szCs w:val="20"/>
              </w:rPr>
              <w:t>24.52</w:t>
            </w:r>
          </w:p>
        </w:tc>
        <w:tc>
          <w:tcPr>
            <w:tcW w:w="502" w:type="pct"/>
            <w:tcBorders>
              <w:top w:val="single" w:sz="4" w:space="0" w:color="auto"/>
              <w:left w:val="nil"/>
              <w:bottom w:val="single" w:sz="4" w:space="0" w:color="auto"/>
              <w:right w:val="nil"/>
            </w:tcBorders>
            <w:noWrap/>
            <w:vAlign w:val="bottom"/>
            <w:hideMark/>
          </w:tcPr>
          <w:p w14:paraId="09A029D5" w14:textId="77777777" w:rsidR="00AD491C" w:rsidRPr="00997EC1" w:rsidRDefault="00AD491C" w:rsidP="0076053F">
            <w:pPr>
              <w:spacing w:line="360" w:lineRule="auto"/>
              <w:jc w:val="center"/>
              <w:rPr>
                <w:color w:val="000000"/>
                <w:sz w:val="20"/>
                <w:szCs w:val="20"/>
              </w:rPr>
            </w:pPr>
            <w:r w:rsidRPr="00997EC1">
              <w:rPr>
                <w:color w:val="000000"/>
                <w:sz w:val="20"/>
                <w:szCs w:val="20"/>
              </w:rPr>
              <w:t>24.73</w:t>
            </w:r>
          </w:p>
        </w:tc>
        <w:tc>
          <w:tcPr>
            <w:tcW w:w="502" w:type="pct"/>
            <w:tcBorders>
              <w:top w:val="single" w:sz="4" w:space="0" w:color="auto"/>
              <w:left w:val="nil"/>
              <w:bottom w:val="single" w:sz="4" w:space="0" w:color="auto"/>
              <w:right w:val="nil"/>
            </w:tcBorders>
            <w:noWrap/>
            <w:vAlign w:val="bottom"/>
            <w:hideMark/>
          </w:tcPr>
          <w:p w14:paraId="60717DA2" w14:textId="77777777" w:rsidR="00AD491C" w:rsidRPr="00997EC1" w:rsidRDefault="00AD491C" w:rsidP="0076053F">
            <w:pPr>
              <w:spacing w:line="360" w:lineRule="auto"/>
              <w:jc w:val="center"/>
              <w:rPr>
                <w:color w:val="000000"/>
                <w:sz w:val="20"/>
                <w:szCs w:val="20"/>
              </w:rPr>
            </w:pPr>
            <w:r w:rsidRPr="00997EC1">
              <w:rPr>
                <w:color w:val="000000"/>
                <w:sz w:val="20"/>
                <w:szCs w:val="20"/>
              </w:rPr>
              <w:t>23.08</w:t>
            </w:r>
          </w:p>
        </w:tc>
        <w:tc>
          <w:tcPr>
            <w:tcW w:w="502" w:type="pct"/>
            <w:tcBorders>
              <w:top w:val="single" w:sz="4" w:space="0" w:color="auto"/>
              <w:left w:val="nil"/>
              <w:bottom w:val="single" w:sz="4" w:space="0" w:color="auto"/>
              <w:right w:val="nil"/>
            </w:tcBorders>
            <w:noWrap/>
            <w:vAlign w:val="bottom"/>
            <w:hideMark/>
          </w:tcPr>
          <w:p w14:paraId="7CEDA4F6" w14:textId="77777777" w:rsidR="00AD491C" w:rsidRPr="00997EC1" w:rsidRDefault="00AD491C" w:rsidP="0076053F">
            <w:pPr>
              <w:spacing w:line="360" w:lineRule="auto"/>
              <w:jc w:val="center"/>
              <w:rPr>
                <w:color w:val="000000"/>
                <w:sz w:val="20"/>
                <w:szCs w:val="20"/>
              </w:rPr>
            </w:pPr>
            <w:r w:rsidRPr="00997EC1">
              <w:rPr>
                <w:color w:val="000000"/>
                <w:sz w:val="20"/>
                <w:szCs w:val="20"/>
              </w:rPr>
              <w:t>29.15</w:t>
            </w:r>
          </w:p>
        </w:tc>
        <w:tc>
          <w:tcPr>
            <w:tcW w:w="502" w:type="pct"/>
            <w:tcBorders>
              <w:top w:val="single" w:sz="4" w:space="0" w:color="auto"/>
              <w:left w:val="nil"/>
              <w:bottom w:val="single" w:sz="4" w:space="0" w:color="auto"/>
              <w:right w:val="nil"/>
            </w:tcBorders>
            <w:noWrap/>
            <w:vAlign w:val="bottom"/>
            <w:hideMark/>
          </w:tcPr>
          <w:p w14:paraId="43DE6DE6" w14:textId="77777777" w:rsidR="00AD491C" w:rsidRPr="00997EC1" w:rsidRDefault="00AD491C" w:rsidP="0076053F">
            <w:pPr>
              <w:spacing w:line="360" w:lineRule="auto"/>
              <w:jc w:val="center"/>
              <w:rPr>
                <w:color w:val="000000"/>
                <w:sz w:val="20"/>
                <w:szCs w:val="20"/>
              </w:rPr>
            </w:pPr>
            <w:r w:rsidRPr="00997EC1">
              <w:rPr>
                <w:sz w:val="20"/>
                <w:szCs w:val="20"/>
              </w:rPr>
              <w:t>16.13</w:t>
            </w:r>
          </w:p>
        </w:tc>
        <w:tc>
          <w:tcPr>
            <w:tcW w:w="596" w:type="pct"/>
            <w:tcBorders>
              <w:top w:val="single" w:sz="4" w:space="0" w:color="auto"/>
              <w:left w:val="nil"/>
              <w:bottom w:val="single" w:sz="4" w:space="0" w:color="auto"/>
              <w:right w:val="nil"/>
            </w:tcBorders>
            <w:noWrap/>
            <w:vAlign w:val="bottom"/>
            <w:hideMark/>
          </w:tcPr>
          <w:p w14:paraId="472AE633" w14:textId="77777777" w:rsidR="00AD491C" w:rsidRPr="00997EC1" w:rsidRDefault="00AD491C" w:rsidP="0076053F">
            <w:pPr>
              <w:spacing w:line="360" w:lineRule="auto"/>
              <w:jc w:val="center"/>
              <w:rPr>
                <w:color w:val="000000"/>
                <w:sz w:val="20"/>
                <w:szCs w:val="20"/>
              </w:rPr>
            </w:pPr>
            <w:r w:rsidRPr="00997EC1">
              <w:rPr>
                <w:color w:val="000000"/>
                <w:sz w:val="20"/>
                <w:szCs w:val="20"/>
              </w:rPr>
              <w:t>10.06</w:t>
            </w:r>
          </w:p>
        </w:tc>
      </w:tr>
    </w:tbl>
    <w:p w14:paraId="3B5C6993" w14:textId="5E773C39" w:rsidR="00B73004" w:rsidRDefault="0012778F" w:rsidP="00273D00">
      <w:pPr>
        <w:spacing w:before="120" w:after="120"/>
        <w:jc w:val="both"/>
      </w:pPr>
      <w:r>
        <w:t xml:space="preserve">Value F: Mean square of treatment/Mean square of residue; C.V.: </w:t>
      </w:r>
      <w:r>
        <w:t>Coefficient of variation; DF: Degrees of freedom; * significant at 5% probability of error; ** significant at 1% probability of error; ns: not significant at 5%.</w:t>
      </w:r>
    </w:p>
    <w:p w14:paraId="634B10BB" w14:textId="77777777" w:rsidR="00B73004" w:rsidRDefault="00B73004" w:rsidP="00273D00">
      <w:pPr>
        <w:spacing w:before="120" w:after="120"/>
        <w:jc w:val="both"/>
      </w:pPr>
    </w:p>
    <w:p w14:paraId="51CDB817" w14:textId="77777777" w:rsidR="00B73004" w:rsidRDefault="0012778F" w:rsidP="00273D00">
      <w:pPr>
        <w:spacing w:before="120" w:after="120"/>
        <w:jc w:val="both"/>
      </w:pPr>
      <w:r>
        <w:t xml:space="preserve">The unfolding of the interaction between the </w:t>
      </w:r>
      <w:proofErr w:type="gramStart"/>
      <w:r>
        <w:t>factors</w:t>
      </w:r>
      <w:proofErr w:type="gramEnd"/>
      <w:r>
        <w:t xml:space="preserve"> "product" and concentration for the CR v</w:t>
      </w:r>
      <w:r>
        <w:t xml:space="preserve">ariable of sorghum seedlings treated with hydrosol or G. integrifolia extract at different concentrations is presented in Figure 1. It was observed that the average CR of seedlings from seeds treated with hydrosol adjusted to an increasing linear equation </w:t>
      </w:r>
      <w:r>
        <w:t>(ŷ = 5.27 + 0.062x; R² = 0.92), indicating progressive stimulation of root growth with increasing dose. For the extract, the average CR was fit to a second-degree polynomial equation (ŷ = -0.015x² + 0.25x + 5.10; R² = 0.95), with a maximum at 8.50 mL/100 k</w:t>
      </w:r>
      <w:r>
        <w:t>g of seeds, followed by a decline, suggesting phytotoxicity above 10 mL/100 kg. Thus, at the maximum dose evaluated (20 mL/100 kg), the CR was greater in the hydrosol (7.51 cm) than in the extract (4.92 cm; p &lt; 0.05).</w:t>
      </w:r>
    </w:p>
    <w:p w14:paraId="5C1C223F" w14:textId="77777777" w:rsidR="00B73004" w:rsidRDefault="0012778F" w:rsidP="00273D00">
      <w:pPr>
        <w:spacing w:before="120" w:after="120"/>
        <w:jc w:val="both"/>
      </w:pPr>
      <w:r>
        <w:t xml:space="preserve">These findings reinforce the </w:t>
      </w:r>
      <w:proofErr w:type="spellStart"/>
      <w:r>
        <w:t>biostimul</w:t>
      </w:r>
      <w:r>
        <w:t>ant</w:t>
      </w:r>
      <w:proofErr w:type="spellEnd"/>
      <w:r>
        <w:t xml:space="preserve"> potential of G. integrifolia hydrosol, an aromatic byproduct of essential oil </w:t>
      </w:r>
      <w:proofErr w:type="spellStart"/>
      <w:r>
        <w:t>hydrodistillation</w:t>
      </w:r>
      <w:proofErr w:type="spellEnd"/>
      <w:r>
        <w:t>, rich in water-soluble organosulfur compounds (such as dimethyl disulfide and dimethyl trisulfide, 0.05-0.20 g/L), which promote root and shoot elongation w</w:t>
      </w:r>
      <w:r>
        <w:t>ithout inhibiting germination. Recent studies corroborate this action: Thymus vulgaris hydrosols selectively inhibit weeds, with less impact on crops such as sorghum, thereby improving the germination index (GI) and reducing the median germination time (t5</w:t>
      </w:r>
      <w:r>
        <w:t xml:space="preserve">0) by 20-50% at diluted concentrations (10-20%). Similarly, </w:t>
      </w:r>
      <w:r>
        <w:lastRenderedPageBreak/>
        <w:t>hydropriming with natural waters (wells/rivers) increased sorghum germination to 85% under initial water stress, increasing CR, CPA, and root vigor by 30-66%, aligning with the linear pattern obse</w:t>
      </w:r>
      <w:r>
        <w:t>rved. (KONSTANTINOVIĆ et al., 2022).</w:t>
      </w:r>
    </w:p>
    <w:p w14:paraId="3E5AA733" w14:textId="77777777" w:rsidR="00B73004" w:rsidRDefault="00B73004">
      <w:pPr>
        <w:spacing w:before="120" w:after="120"/>
      </w:pPr>
    </w:p>
    <w:p w14:paraId="36CD20FA" w14:textId="77777777" w:rsidR="00B73004" w:rsidRDefault="0012778F" w:rsidP="00273D00">
      <w:pPr>
        <w:spacing w:before="120" w:after="120"/>
        <w:jc w:val="both"/>
      </w:pPr>
      <w:r>
        <w:t>The absence of effects on PC, G, and IVG suggests that neither product interferes with the initial hydration and metabolic activation phases of sorghum seeds. Still, the hydrosol modulates post-germination growth via h</w:t>
      </w:r>
      <w:r>
        <w:t>ormonal or osmotic stimulation. Phenolic and organosulfur compounds in hydrosols can activate antioxidant pathways (e.g., increasing proline and total phenols by 39-52% during sorghum germination), reducing lipid peroxidation (MDA) and improving water rela</w:t>
      </w:r>
      <w:r>
        <w:t xml:space="preserve">tions, as reported in </w:t>
      </w:r>
      <w:proofErr w:type="spellStart"/>
      <w:r>
        <w:t>primings</w:t>
      </w:r>
      <w:proofErr w:type="spellEnd"/>
      <w:r>
        <w:t xml:space="preserve"> with allergenic sorghum extracts under salinity (emergence 64% vs. 32% untreated). In the aqueous extract, a decline in CR &gt;10 mL/100 kg indicates phytotoxic allelopathy, common in leaf extracts rich in cyanogenic glycosides </w:t>
      </w:r>
      <w:r>
        <w:t xml:space="preserve">or phenols (e.g., p-hydroxybenzoic acid), which inhibit root cell division at high doses, as observed with Calotropis </w:t>
      </w:r>
      <w:proofErr w:type="spellStart"/>
      <w:r>
        <w:t>procera</w:t>
      </w:r>
      <w:proofErr w:type="spellEnd"/>
      <w:r>
        <w:t xml:space="preserve"> extracts in sorghum. </w:t>
      </w:r>
      <w:proofErr w:type="gramStart"/>
      <w:r>
        <w:t>( MIKHAYLOVA</w:t>
      </w:r>
      <w:proofErr w:type="gramEnd"/>
      <w:r>
        <w:t xml:space="preserve">, 2023; LI et al., 2022). </w:t>
      </w:r>
    </w:p>
    <w:p w14:paraId="7676DB4D" w14:textId="77777777" w:rsidR="00B73004" w:rsidRDefault="0012778F" w:rsidP="00273D00">
      <w:pPr>
        <w:spacing w:before="120" w:after="120"/>
        <w:jc w:val="both"/>
      </w:pPr>
      <w:r>
        <w:t>Comparatively, extracts of Chenopodium ambrosioides (75 mg/mL) increas</w:t>
      </w:r>
      <w:r>
        <w:t>ed the vigor index of soybean seedlings by 35-50%, with gains in seedling vigor/plant vigor ratio and a reduction in fungal infections, attributed to the synergy of soluble volatiles—a plausible mechanism for G. integrifolia, given its documented antifunga</w:t>
      </w:r>
      <w:r>
        <w:t>l activity (MIC &lt; 0.5 mg/mL against Fusarium spp.). In legumes, priming with plant extracts standardizes germination. It increases germination percentage by 20-40% via osmotic and hormonal mechanisms (gibberellins/ABA), supporting sustainable application i</w:t>
      </w:r>
      <w:r>
        <w:t xml:space="preserve">n sorghum (HUANG et al., 2021; VERLY et al., 2025). </w:t>
      </w:r>
    </w:p>
    <w:p w14:paraId="48C819ED" w14:textId="77777777" w:rsidR="00B73004" w:rsidRDefault="0012778F" w:rsidP="00273D00">
      <w:pPr>
        <w:spacing w:before="120" w:after="120"/>
        <w:jc w:val="both"/>
      </w:pPr>
      <w:r>
        <w:t xml:space="preserve">The linearity of the hydrosol up to 20 mL/100 kg highlights its safety, contrasting with dose-dependent phytotoxins in the extract and values ​​as byproducts of green chemistry: ~90% of the </w:t>
      </w:r>
      <w:proofErr w:type="spellStart"/>
      <w:r>
        <w:t>hydrodistilla</w:t>
      </w:r>
      <w:r>
        <w:t>tion</w:t>
      </w:r>
      <w:proofErr w:type="spellEnd"/>
      <w:r>
        <w:t xml:space="preserve"> material is discarded hydrosol, now repurposed for seed treatment. These effects likely derive from sulfur compounds modulating nutrient absorption (K+/Na+), initial photosynthesis, and antioxidant defense, as in allergenic </w:t>
      </w:r>
      <w:proofErr w:type="spellStart"/>
      <w:r>
        <w:t>primings</w:t>
      </w:r>
      <w:proofErr w:type="spellEnd"/>
      <w:r>
        <w:t xml:space="preserve"> that stabilize mem</w:t>
      </w:r>
      <w:r>
        <w:t xml:space="preserve">branes under stress. Future studies should fractionate the hydrosol via GC-MS to isolate bioactive compounds and test them in the field under edaphoclimatic conditions of Paraná (HUANG et al., 2021). </w:t>
      </w:r>
    </w:p>
    <w:p w14:paraId="3F9763CD" w14:textId="77777777" w:rsidR="00B73004" w:rsidRDefault="00B73004" w:rsidP="00273D00">
      <w:pPr>
        <w:spacing w:before="120" w:after="120"/>
        <w:jc w:val="both"/>
      </w:pPr>
    </w:p>
    <w:p w14:paraId="2DDC8CFC" w14:textId="77777777" w:rsidR="00B73004" w:rsidRDefault="00B73004" w:rsidP="00273D00">
      <w:pPr>
        <w:spacing w:before="120" w:after="120"/>
        <w:jc w:val="both"/>
      </w:pPr>
    </w:p>
    <w:p w14:paraId="01196D67" w14:textId="77777777" w:rsidR="00B73004" w:rsidRDefault="0012778F" w:rsidP="00273D00">
      <w:pPr>
        <w:spacing w:before="120" w:after="120"/>
        <w:jc w:val="both"/>
      </w:pPr>
      <w:r>
        <w:t>Figure 1. The breakdown for root length (cm) of sorgh</w:t>
      </w:r>
      <w:r>
        <w:t xml:space="preserve">um seedlings (Sorghum bicolor) treated with </w:t>
      </w:r>
      <w:proofErr w:type="spellStart"/>
      <w:r>
        <w:t>hydrolate</w:t>
      </w:r>
      <w:proofErr w:type="spellEnd"/>
      <w:r>
        <w:t xml:space="preserve"> or extract of </w:t>
      </w:r>
      <w:proofErr w:type="spellStart"/>
      <w:r>
        <w:rPr>
          <w:i/>
          <w:iCs/>
        </w:rPr>
        <w:t>Gallesia</w:t>
      </w:r>
      <w:proofErr w:type="spellEnd"/>
      <w:r>
        <w:rPr>
          <w:i/>
          <w:iCs/>
        </w:rPr>
        <w:t xml:space="preserve"> </w:t>
      </w:r>
      <w:proofErr w:type="spellStart"/>
      <w:r>
        <w:rPr>
          <w:i/>
          <w:iCs/>
        </w:rPr>
        <w:t>integrifolia</w:t>
      </w:r>
      <w:proofErr w:type="spellEnd"/>
      <w:r>
        <w:t xml:space="preserve"> at concentrations of 0, 5, 10, 15, and 20 mL per 100 kg. Means followed by the same letter within each dose do not differ from each other according to the Tukey test </w:t>
      </w:r>
      <w:r>
        <w:t>at the 5% level of significance.</w:t>
      </w:r>
    </w:p>
    <w:p w14:paraId="4786B154" w14:textId="77777777" w:rsidR="00B73004" w:rsidRDefault="00B73004">
      <w:pPr>
        <w:spacing w:before="120" w:after="120"/>
      </w:pPr>
    </w:p>
    <w:p w14:paraId="154DC41A" w14:textId="5752EC07" w:rsidR="00B73004" w:rsidRDefault="00AD491C">
      <w:pPr>
        <w:spacing w:before="120" w:after="120"/>
      </w:pPr>
      <w:r>
        <w:rPr>
          <w:noProof/>
        </w:rPr>
        <w:lastRenderedPageBreak/>
        <w:drawing>
          <wp:inline distT="0" distB="0" distL="0" distR="0" wp14:anchorId="2335AD2C" wp14:editId="5D4148A6">
            <wp:extent cx="4265847" cy="2639833"/>
            <wp:effectExtent l="0" t="0" r="1905" b="825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368DD8E" w14:textId="77777777" w:rsidR="00B73004" w:rsidRDefault="00B73004">
      <w:pPr>
        <w:spacing w:before="120" w:after="120"/>
      </w:pPr>
    </w:p>
    <w:p w14:paraId="49086EB2" w14:textId="77777777" w:rsidR="00B73004" w:rsidRDefault="00B73004">
      <w:pPr>
        <w:spacing w:before="120" w:after="120"/>
      </w:pPr>
    </w:p>
    <w:p w14:paraId="638B81E5" w14:textId="77777777" w:rsidR="00B73004" w:rsidRDefault="00B73004">
      <w:pPr>
        <w:spacing w:before="120" w:after="120"/>
      </w:pPr>
    </w:p>
    <w:p w14:paraId="7A032938" w14:textId="77777777" w:rsidR="00B73004" w:rsidRDefault="00B73004">
      <w:pPr>
        <w:spacing w:before="120" w:after="120"/>
      </w:pPr>
    </w:p>
    <w:p w14:paraId="66515349" w14:textId="77777777" w:rsidR="00B73004" w:rsidRDefault="0012778F">
      <w:pPr>
        <w:spacing w:before="120" w:after="120"/>
      </w:pPr>
      <w:r>
        <w:rPr>
          <w:b/>
          <w:bCs/>
        </w:rPr>
        <w:t>4 Conclusion</w:t>
      </w:r>
    </w:p>
    <w:p w14:paraId="58F500CB" w14:textId="77777777" w:rsidR="00B73004" w:rsidRDefault="00B73004">
      <w:pPr>
        <w:spacing w:before="120" w:after="120"/>
      </w:pPr>
    </w:p>
    <w:p w14:paraId="4A2C4D74" w14:textId="77777777" w:rsidR="00B73004" w:rsidRDefault="0012778F" w:rsidP="00AD491C">
      <w:pPr>
        <w:spacing w:before="120" w:after="120"/>
        <w:jc w:val="both"/>
      </w:pPr>
      <w:r>
        <w:t xml:space="preserve">The results confirm </w:t>
      </w:r>
      <w:proofErr w:type="spellStart"/>
      <w:r>
        <w:t>that</w:t>
      </w:r>
      <w:r>
        <w:rPr>
          <w:i/>
          <w:iCs/>
        </w:rPr>
        <w:t>G</w:t>
      </w:r>
      <w:proofErr w:type="spellEnd"/>
      <w:r>
        <w:rPr>
          <w:i/>
          <w:iCs/>
        </w:rPr>
        <w:t xml:space="preserve">. </w:t>
      </w:r>
      <w:proofErr w:type="spellStart"/>
      <w:r>
        <w:t>integrifolia</w:t>
      </w:r>
      <w:proofErr w:type="spellEnd"/>
      <w:r>
        <w:t xml:space="preserve"> </w:t>
      </w:r>
      <w:proofErr w:type="spellStart"/>
      <w:r>
        <w:t>hydrolate</w:t>
      </w:r>
      <w:proofErr w:type="spellEnd"/>
      <w:r>
        <w:t xml:space="preserve"> significantly improves Sorghum bicolor seedling vigor, particularly root and shoot elongation, outperforming the aqueous extract across all concentrations (Tukey, p≤0.05). Unlike the extract, which exhibited dose-dependent phytotoxicity above 10 mL/100 kg</w:t>
      </w:r>
      <w:r>
        <w:t xml:space="preserve">, </w:t>
      </w:r>
      <w:proofErr w:type="spellStart"/>
      <w:r>
        <w:t>hydrolate</w:t>
      </w:r>
      <w:proofErr w:type="spellEnd"/>
      <w:r>
        <w:t xml:space="preserve"> maintained bio-stimulant effects linearly, valorizing a by-product of essential oil production for sustainable agriculture.</w:t>
      </w:r>
    </w:p>
    <w:p w14:paraId="20A42F96" w14:textId="77777777" w:rsidR="00B73004" w:rsidRDefault="0012778F" w:rsidP="00AD491C">
      <w:pPr>
        <w:spacing w:before="120" w:after="120"/>
        <w:jc w:val="both"/>
      </w:pPr>
      <w:r>
        <w:t xml:space="preserve">These findings align with green chemistry principles, offering an eco-friendly alternative to synthetic seed treatments </w:t>
      </w:r>
      <w:r>
        <w:t xml:space="preserve">amid growing environmental pressures from conventional </w:t>
      </w:r>
      <w:proofErr w:type="spellStart"/>
      <w:r>
        <w:t>agrotechnologies.</w:t>
      </w:r>
      <w:r>
        <w:rPr>
          <w:i/>
          <w:iCs/>
        </w:rPr>
        <w:t>G</w:t>
      </w:r>
      <w:proofErr w:type="spellEnd"/>
      <w:r>
        <w:rPr>
          <w:i/>
          <w:iCs/>
        </w:rPr>
        <w:t xml:space="preserve">. </w:t>
      </w:r>
      <w:proofErr w:type="spellStart"/>
      <w:r>
        <w:rPr>
          <w:i/>
          <w:iCs/>
        </w:rPr>
        <w:t>integrifolia</w:t>
      </w:r>
      <w:r>
        <w:t>'s</w:t>
      </w:r>
      <w:proofErr w:type="spellEnd"/>
      <w:r>
        <w:t xml:space="preserve"> organosulfur profile likely drives these effects, warranting phytochemical fractionation for active compound isolation.</w:t>
      </w:r>
    </w:p>
    <w:p w14:paraId="55C25C2A" w14:textId="77777777" w:rsidR="00B73004" w:rsidRDefault="00B73004">
      <w:pPr>
        <w:spacing w:before="120" w:after="120"/>
      </w:pPr>
    </w:p>
    <w:p w14:paraId="1C56ACD3" w14:textId="77777777" w:rsidR="00B73004" w:rsidRDefault="0012778F">
      <w:pPr>
        <w:spacing w:before="120" w:after="120"/>
      </w:pPr>
      <w:r>
        <w:rPr>
          <w:b/>
          <w:bCs/>
        </w:rPr>
        <w:t>5 References</w:t>
      </w:r>
    </w:p>
    <w:p w14:paraId="4430CDE7" w14:textId="77777777" w:rsidR="00B73004" w:rsidRDefault="00B73004">
      <w:pPr>
        <w:spacing w:before="120" w:after="120"/>
      </w:pPr>
    </w:p>
    <w:p w14:paraId="0C68B432" w14:textId="77777777" w:rsidR="00341562" w:rsidRDefault="00341562" w:rsidP="00341562">
      <w:pPr>
        <w:spacing w:before="120" w:after="120"/>
      </w:pPr>
      <w:r>
        <w:t xml:space="preserve">MENTEN, J.; MORAES, M. Advances in seed treatment and coating. </w:t>
      </w:r>
      <w:proofErr w:type="spellStart"/>
      <w:r>
        <w:t>Abrates</w:t>
      </w:r>
      <w:proofErr w:type="spellEnd"/>
      <w:r>
        <w:t xml:space="preserve"> Newsletter, vol. 20, no. 3, p. 53-71, 2010.</w:t>
      </w:r>
    </w:p>
    <w:p w14:paraId="27D5A53A" w14:textId="77777777" w:rsidR="00341562" w:rsidRDefault="00341562" w:rsidP="00341562">
      <w:pPr>
        <w:spacing w:before="120" w:after="120"/>
      </w:pPr>
      <w:r>
        <w:t xml:space="preserve">CARVALHO, N.M.; NAKAGAWA, J. Seeds: Science, Technology and Production. </w:t>
      </w:r>
      <w:proofErr w:type="spellStart"/>
      <w:r>
        <w:t>Jaboticabal</w:t>
      </w:r>
      <w:proofErr w:type="spellEnd"/>
      <w:r>
        <w:t xml:space="preserve">: </w:t>
      </w:r>
      <w:proofErr w:type="spellStart"/>
      <w:r>
        <w:t>Funep</w:t>
      </w:r>
      <w:proofErr w:type="spellEnd"/>
      <w:r>
        <w:t>, 2012. 590 p.</w:t>
      </w:r>
    </w:p>
    <w:p w14:paraId="4A306B5A" w14:textId="77777777" w:rsidR="00341562" w:rsidRDefault="00341562" w:rsidP="00341562">
      <w:pPr>
        <w:spacing w:before="120" w:after="120"/>
      </w:pPr>
      <w:r>
        <w:t xml:space="preserve">CASTRO, G. et al. Treatment of soybean seeds with insecticides and a </w:t>
      </w:r>
      <w:proofErr w:type="spellStart"/>
      <w:r>
        <w:t>biostimulant</w:t>
      </w:r>
      <w:proofErr w:type="spellEnd"/>
      <w:r>
        <w:t>. Brazilian Agricultural Research. Brasília, v.43, n.10, p.1311-1318, Oct. 2008.</w:t>
      </w:r>
    </w:p>
    <w:p w14:paraId="3E9327E6" w14:textId="77777777" w:rsidR="00341562" w:rsidRDefault="00341562" w:rsidP="00341562">
      <w:pPr>
        <w:spacing w:before="120" w:after="120"/>
      </w:pPr>
      <w:r>
        <w:lastRenderedPageBreak/>
        <w:t>LAVABRE, M. Aromatherapy: healing through essential oils. Rio de Janeiro: Record. 1993.</w:t>
      </w:r>
    </w:p>
    <w:p w14:paraId="2E6E71FB" w14:textId="77777777" w:rsidR="00341562" w:rsidRDefault="00341562" w:rsidP="00341562">
      <w:pPr>
        <w:spacing w:before="120" w:after="120"/>
      </w:pPr>
      <w:r>
        <w:t xml:space="preserve">PAVELIĆ SK, et al. The Effect of Thymus vulgaris L. </w:t>
      </w:r>
      <w:proofErr w:type="spellStart"/>
      <w:r>
        <w:t>Hydrolate</w:t>
      </w:r>
      <w:proofErr w:type="spellEnd"/>
      <w:r>
        <w:t xml:space="preserve"> Solutions on the Seed Germination. Plants. 2022;11(13):1751.</w:t>
      </w:r>
    </w:p>
    <w:p w14:paraId="5E177257" w14:textId="77777777" w:rsidR="00341562" w:rsidRDefault="00341562" w:rsidP="00341562">
      <w:pPr>
        <w:spacing w:before="120" w:after="120"/>
      </w:pPr>
    </w:p>
    <w:p w14:paraId="448A4A5F" w14:textId="77777777" w:rsidR="00341562" w:rsidRDefault="00341562" w:rsidP="00341562">
      <w:pPr>
        <w:spacing w:before="120" w:after="120"/>
      </w:pPr>
      <w:r>
        <w:t>FAROOQ M, et al. The efficacy of different seed priming agents for promoting sorghum germination under salt stress. Plants. 2021;10(1):169.</w:t>
      </w:r>
    </w:p>
    <w:p w14:paraId="08540564" w14:textId="77777777" w:rsidR="00341562" w:rsidRDefault="00341562" w:rsidP="00341562">
      <w:pPr>
        <w:spacing w:before="120" w:after="120"/>
      </w:pPr>
    </w:p>
    <w:p w14:paraId="1A5F8FDE" w14:textId="77777777" w:rsidR="00341562" w:rsidRDefault="00341562" w:rsidP="00341562">
      <w:pPr>
        <w:spacing w:before="120" w:after="120"/>
      </w:pPr>
      <w:r>
        <w:t xml:space="preserve">YAR, S. et al. Allelopathic influence of sorghum aqueous extracts and sorghum powder on germination indices and seedling vigor of hybrid corn and jungle rice—Planta </w:t>
      </w:r>
      <w:proofErr w:type="spellStart"/>
      <w:r>
        <w:t>daninha</w:t>
      </w:r>
      <w:proofErr w:type="spellEnd"/>
      <w:r>
        <w:t>, v. 38, p. e020192192, 2020.</w:t>
      </w:r>
    </w:p>
    <w:p w14:paraId="5F1EF683" w14:textId="77777777" w:rsidR="00341562" w:rsidRDefault="00341562" w:rsidP="00341562">
      <w:pPr>
        <w:spacing w:before="120" w:after="120"/>
      </w:pPr>
      <w:r>
        <w:t xml:space="preserve">FURTADO, C. H. Chemical identification of the essential oil from the fresh leaves and flowers of </w:t>
      </w:r>
      <w:proofErr w:type="spellStart"/>
      <w:r>
        <w:t>Gallesia</w:t>
      </w:r>
      <w:proofErr w:type="spellEnd"/>
      <w:r>
        <w:t xml:space="preserve"> </w:t>
      </w:r>
      <w:proofErr w:type="spellStart"/>
      <w:r>
        <w:t>integrifolia</w:t>
      </w:r>
      <w:proofErr w:type="spellEnd"/>
      <w:r>
        <w:t xml:space="preserve"> (</w:t>
      </w:r>
      <w:proofErr w:type="spellStart"/>
      <w:r>
        <w:t>Spreng</w:t>
      </w:r>
      <w:proofErr w:type="spellEnd"/>
      <w:r>
        <w:t xml:space="preserve">.) Harms by gas chromatography coupled to mass spectrometry and spectrophotometry – FTIR. Master's thesis in sustainability, Federal Institute of Paraná, </w:t>
      </w:r>
      <w:proofErr w:type="spellStart"/>
      <w:r>
        <w:t>Umuarama</w:t>
      </w:r>
      <w:proofErr w:type="spellEnd"/>
      <w:r>
        <w:t>, 2020.</w:t>
      </w:r>
    </w:p>
    <w:p w14:paraId="41E3E8A4" w14:textId="77777777" w:rsidR="00341562" w:rsidRDefault="00341562" w:rsidP="00341562">
      <w:pPr>
        <w:spacing w:before="120" w:after="120"/>
      </w:pPr>
      <w:r>
        <w:t xml:space="preserve">SANTOS FA, et al. Antifungal activity of </w:t>
      </w:r>
      <w:proofErr w:type="spellStart"/>
      <w:r>
        <w:t>Gallesia</w:t>
      </w:r>
      <w:proofErr w:type="spellEnd"/>
      <w:r>
        <w:t xml:space="preserve"> </w:t>
      </w:r>
      <w:proofErr w:type="spellStart"/>
      <w:r>
        <w:t>integrifolia</w:t>
      </w:r>
      <w:proofErr w:type="spellEnd"/>
      <w:r>
        <w:t xml:space="preserve"> fruit essential oil. Braz J Microbiol. 2018;49(4):832-9.</w:t>
      </w:r>
    </w:p>
    <w:p w14:paraId="5F60A861" w14:textId="77777777" w:rsidR="00341562" w:rsidRDefault="00341562" w:rsidP="00341562">
      <w:pPr>
        <w:spacing w:before="120" w:after="120"/>
      </w:pPr>
      <w:r>
        <w:t xml:space="preserve">TANG L, Mo J, Guo T, Huang S, Li Q, Ning P, Hsiang T. In vitro antifungal activity of dimethyl trisulfide against Colletotrichum </w:t>
      </w:r>
      <w:proofErr w:type="spellStart"/>
      <w:r>
        <w:t>gloeosporioides</w:t>
      </w:r>
      <w:proofErr w:type="spellEnd"/>
      <w:r>
        <w:t xml:space="preserve"> from mango. World J Microbiol </w:t>
      </w:r>
      <w:proofErr w:type="spellStart"/>
      <w:r>
        <w:t>Biotechnol</w:t>
      </w:r>
      <w:proofErr w:type="spellEnd"/>
      <w:r>
        <w:t xml:space="preserve">. 2019 Dec 12;36(1):4. </w:t>
      </w:r>
      <w:proofErr w:type="spellStart"/>
      <w:r>
        <w:t>doi</w:t>
      </w:r>
      <w:proofErr w:type="spellEnd"/>
      <w:r>
        <w:t>: 10.1007/s11274-019-2781-z. PMID: 31832786.</w:t>
      </w:r>
    </w:p>
    <w:p w14:paraId="1A28720C" w14:textId="77777777" w:rsidR="00341562" w:rsidRDefault="00341562" w:rsidP="00341562">
      <w:pPr>
        <w:spacing w:before="120" w:after="120"/>
      </w:pPr>
      <w:r>
        <w:t xml:space="preserve">CARVALHO, N.M.; NAKAGAWA, J. Seeds: Science, Technology and Production. </w:t>
      </w:r>
      <w:proofErr w:type="spellStart"/>
      <w:r>
        <w:t>Jaboticabal</w:t>
      </w:r>
      <w:proofErr w:type="spellEnd"/>
      <w:r>
        <w:t xml:space="preserve">: </w:t>
      </w:r>
      <w:proofErr w:type="spellStart"/>
      <w:r>
        <w:t>Funep</w:t>
      </w:r>
      <w:proofErr w:type="spellEnd"/>
      <w:r>
        <w:t>, 2012. 590 p.</w:t>
      </w:r>
    </w:p>
    <w:p w14:paraId="1CAC03EA" w14:textId="77777777" w:rsidR="00341562" w:rsidRDefault="00341562" w:rsidP="00341562">
      <w:pPr>
        <w:spacing w:before="120" w:after="120"/>
      </w:pPr>
      <w:r>
        <w:t>MAGUIRE, James D. Speed ​​of germination-aid in selection and evaluation for seedling emergence and vigor. 1962.</w:t>
      </w:r>
    </w:p>
    <w:p w14:paraId="0E1EDB69" w14:textId="77777777" w:rsidR="00341562" w:rsidRDefault="00341562" w:rsidP="00341562">
      <w:pPr>
        <w:spacing w:before="120" w:after="120"/>
      </w:pPr>
      <w:r>
        <w:t xml:space="preserve">KONSTANTINOVIĆ, Bojan et al. The effect of Thymus vulgaris L. </w:t>
      </w:r>
      <w:proofErr w:type="spellStart"/>
      <w:r>
        <w:t>hydrolate</w:t>
      </w:r>
      <w:proofErr w:type="spellEnd"/>
      <w:r>
        <w:t xml:space="preserve"> solutions on the seed germination, seedling length, and oxidative stress of some cultivated and weed species—plants, v. 11, no. 13, p. 1782, 2022.</w:t>
      </w:r>
    </w:p>
    <w:p w14:paraId="50D415D9" w14:textId="77777777" w:rsidR="00341562" w:rsidRDefault="00341562" w:rsidP="00341562">
      <w:pPr>
        <w:spacing w:before="120" w:after="120"/>
      </w:pPr>
    </w:p>
    <w:p w14:paraId="73570357" w14:textId="77777777" w:rsidR="00341562" w:rsidRDefault="00341562" w:rsidP="00341562">
      <w:pPr>
        <w:spacing w:before="120" w:after="120"/>
      </w:pPr>
      <w:r>
        <w:t>MIKHAYLOVA, Elena V. Crop genome editing–regulations and policies. In: Genome editing and global food security. Routledge, 2023. p. 212-23)</w:t>
      </w:r>
    </w:p>
    <w:p w14:paraId="6C2814D1" w14:textId="77777777" w:rsidR="00341562" w:rsidRDefault="00341562" w:rsidP="00341562">
      <w:pPr>
        <w:spacing w:before="120" w:after="120"/>
      </w:pPr>
    </w:p>
    <w:p w14:paraId="58B38BA3" w14:textId="77777777" w:rsidR="00341562" w:rsidRDefault="00341562" w:rsidP="00341562">
      <w:pPr>
        <w:spacing w:before="120" w:after="120"/>
      </w:pPr>
      <w:r>
        <w:t xml:space="preserve">Ren Li, Qi Wang, Guoliang Zhao, Hui Peng, </w:t>
      </w:r>
      <w:proofErr w:type="spellStart"/>
      <w:r>
        <w:t>Dongjie</w:t>
      </w:r>
      <w:proofErr w:type="spellEnd"/>
      <w:r>
        <w:t xml:space="preserve"> Zhang, </w:t>
      </w:r>
      <w:proofErr w:type="spellStart"/>
      <w:r>
        <w:t>Zhijiang</w:t>
      </w:r>
      <w:proofErr w:type="spellEnd"/>
      <w:r>
        <w:t xml:space="preserve"> Li, Effects of germination time on phenolics, antioxidant capacity, in </w:t>
      </w:r>
      <w:proofErr w:type="spellStart"/>
      <w:r>
        <w:t>vitrophenolic</w:t>
      </w:r>
      <w:proofErr w:type="spellEnd"/>
      <w:r>
        <w:t xml:space="preserve"> </w:t>
      </w:r>
      <w:proofErr w:type="spellStart"/>
      <w:r>
        <w:t>bioaccessibility</w:t>
      </w:r>
      <w:proofErr w:type="spellEnd"/>
      <w:r>
        <w:t xml:space="preserve"> and starch digestibility in sorghum, International Journal of Food Science and Technology, Volume 57, Issue 8, August 2022, Pages 5175–5185, https://doi.org/10.1111/ijfs.15827</w:t>
      </w:r>
    </w:p>
    <w:p w14:paraId="7B00D3D6" w14:textId="77777777" w:rsidR="00341562" w:rsidRDefault="00341562" w:rsidP="00341562">
      <w:pPr>
        <w:spacing w:before="120" w:after="120"/>
      </w:pPr>
    </w:p>
    <w:p w14:paraId="69CBC0F6" w14:textId="77777777" w:rsidR="00341562" w:rsidRDefault="00341562" w:rsidP="00341562">
      <w:pPr>
        <w:spacing w:before="120" w:after="120"/>
      </w:pPr>
      <w:r>
        <w:t>HUANG, Ping et al. Seed priming with sorghum water extract improves the performance of camelina (Camelina sativa (L.) Crantz.) under salt stress—plants, v. 10, no. 4, p. 749, 2021.</w:t>
      </w:r>
    </w:p>
    <w:p w14:paraId="48B67FE6" w14:textId="77777777" w:rsidR="00341562" w:rsidRDefault="00341562" w:rsidP="00341562">
      <w:pPr>
        <w:spacing w:before="120" w:after="120"/>
      </w:pPr>
    </w:p>
    <w:p w14:paraId="6B487827" w14:textId="1C556EED" w:rsidR="00B73004" w:rsidRDefault="00341562" w:rsidP="00341562">
      <w:pPr>
        <w:spacing w:before="120" w:after="120"/>
      </w:pPr>
      <w:r>
        <w:lastRenderedPageBreak/>
        <w:t xml:space="preserve">VERLY, L. B. et al. </w:t>
      </w:r>
      <w:proofErr w:type="spellStart"/>
      <w:r>
        <w:t>Gallesia</w:t>
      </w:r>
      <w:proofErr w:type="spellEnd"/>
      <w:r>
        <w:t xml:space="preserve"> </w:t>
      </w:r>
      <w:proofErr w:type="spellStart"/>
      <w:r>
        <w:t>integrifolia</w:t>
      </w:r>
      <w:proofErr w:type="spellEnd"/>
      <w:r>
        <w:t xml:space="preserve">: detailed analysis of its chemical compounds and biological </w:t>
      </w:r>
      <w:proofErr w:type="spellStart"/>
      <w:proofErr w:type="gramStart"/>
      <w:r>
        <w:t>effects.Traditional</w:t>
      </w:r>
      <w:proofErr w:type="spellEnd"/>
      <w:proofErr w:type="gramEnd"/>
      <w:r>
        <w:t xml:space="preserve"> Med Res, v. 10, no. 10, p. 58, 2025.</w:t>
      </w:r>
    </w:p>
    <w:sectPr w:rsidR="00B7300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D6FD0" w14:textId="77777777" w:rsidR="0012778F" w:rsidRDefault="0012778F" w:rsidP="00DE2241">
      <w:r>
        <w:separator/>
      </w:r>
    </w:p>
  </w:endnote>
  <w:endnote w:type="continuationSeparator" w:id="0">
    <w:p w14:paraId="18ECB25E" w14:textId="77777777" w:rsidR="0012778F" w:rsidRDefault="0012778F" w:rsidP="00DE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544D" w14:textId="77777777" w:rsidR="00DE2241" w:rsidRDefault="00DE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A09F" w14:textId="77777777" w:rsidR="00DE2241" w:rsidRDefault="00DE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5D5C" w14:textId="77777777" w:rsidR="00DE2241" w:rsidRDefault="00DE2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1D845" w14:textId="77777777" w:rsidR="0012778F" w:rsidRDefault="0012778F" w:rsidP="00DE2241">
      <w:r>
        <w:separator/>
      </w:r>
    </w:p>
  </w:footnote>
  <w:footnote w:type="continuationSeparator" w:id="0">
    <w:p w14:paraId="7B4076B6" w14:textId="77777777" w:rsidR="0012778F" w:rsidRDefault="0012778F" w:rsidP="00DE2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31EB7" w14:textId="22F2485A" w:rsidR="00DE2241" w:rsidRDefault="00DE2241">
    <w:pPr>
      <w:pStyle w:val="Header"/>
    </w:pPr>
    <w:r>
      <w:rPr>
        <w:noProof/>
      </w:rPr>
      <w:pict w14:anchorId="5DE7D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630172"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77BD" w14:textId="0B19D731" w:rsidR="00DE2241" w:rsidRDefault="00DE2241">
    <w:pPr>
      <w:pStyle w:val="Header"/>
    </w:pPr>
    <w:r>
      <w:rPr>
        <w:noProof/>
      </w:rPr>
      <w:pict w14:anchorId="2EC9B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630173"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AA41" w14:textId="72E55D87" w:rsidR="00DE2241" w:rsidRDefault="00DE2241">
    <w:pPr>
      <w:pStyle w:val="Header"/>
    </w:pPr>
    <w:r>
      <w:rPr>
        <w:noProof/>
      </w:rPr>
      <w:pict w14:anchorId="029D9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630171" o:spid="_x0000_s2049" type="#_x0000_t136" style="position:absolute;margin-left:0;margin-top:0;width:560.65pt;height:62.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04"/>
    <w:rsid w:val="0012778F"/>
    <w:rsid w:val="00273D00"/>
    <w:rsid w:val="00284176"/>
    <w:rsid w:val="00341562"/>
    <w:rsid w:val="004D3CF0"/>
    <w:rsid w:val="00A07F6D"/>
    <w:rsid w:val="00AD491C"/>
    <w:rsid w:val="00B73004"/>
    <w:rsid w:val="00DB2F46"/>
    <w:rsid w:val="00DD26DC"/>
    <w:rsid w:val="00DE2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6DA42C"/>
  <w15:docId w15:val="{A545A307-F7F3-4739-BE9F-173C8E7A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DE2241"/>
    <w:pPr>
      <w:tabs>
        <w:tab w:val="center" w:pos="4680"/>
        <w:tab w:val="right" w:pos="9360"/>
      </w:tabs>
    </w:pPr>
  </w:style>
  <w:style w:type="character" w:customStyle="1" w:styleId="HeaderChar">
    <w:name w:val="Header Char"/>
    <w:basedOn w:val="DefaultParagraphFont"/>
    <w:link w:val="Header"/>
    <w:uiPriority w:val="99"/>
    <w:rsid w:val="00DE2241"/>
    <w:rPr>
      <w:sz w:val="24"/>
      <w:szCs w:val="24"/>
    </w:rPr>
  </w:style>
  <w:style w:type="paragraph" w:styleId="Footer">
    <w:name w:val="footer"/>
    <w:basedOn w:val="Normal"/>
    <w:link w:val="FooterChar"/>
    <w:uiPriority w:val="99"/>
    <w:unhideWhenUsed/>
    <w:rsid w:val="00DE2241"/>
    <w:pPr>
      <w:tabs>
        <w:tab w:val="center" w:pos="4680"/>
        <w:tab w:val="right" w:pos="9360"/>
      </w:tabs>
    </w:pPr>
  </w:style>
  <w:style w:type="character" w:customStyle="1" w:styleId="FooterChar">
    <w:name w:val="Footer Char"/>
    <w:basedOn w:val="DefaultParagraphFont"/>
    <w:link w:val="Footer"/>
    <w:uiPriority w:val="99"/>
    <w:rsid w:val="00DE22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Documents\Ot&#225;vio\Projeto%20Andressa\Qualifica&#231;&#227;o\dados\sorgo%20fatori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76618547681539"/>
          <c:y val="0.17640055409740449"/>
          <c:w val="0.80559492563429569"/>
          <c:h val="0.48643075740520098"/>
        </c:manualLayout>
      </c:layout>
      <c:scatterChart>
        <c:scatterStyle val="lineMarker"/>
        <c:varyColors val="0"/>
        <c:ser>
          <c:idx val="0"/>
          <c:order val="0"/>
          <c:tx>
            <c:strRef>
              <c:f>CR!$C$20</c:f>
              <c:strCache>
                <c:ptCount val="1"/>
                <c:pt idx="0">
                  <c:v>Extract</c:v>
                </c:pt>
              </c:strCache>
            </c:strRef>
          </c:tx>
          <c:spPr>
            <a:ln w="28575">
              <a:noFill/>
            </a:ln>
          </c:spPr>
          <c:dLbls>
            <c:dLbl>
              <c:idx val="0"/>
              <c:layout>
                <c:manualLayout>
                  <c:x val="0"/>
                  <c:y val="2.7598564750454958E-2"/>
                </c:manualLayout>
              </c:layout>
              <c:tx>
                <c:rich>
                  <a:bodyPr/>
                  <a:lstStyle/>
                  <a:p>
                    <a:r>
                      <a:rPr lang="en-US"/>
                      <a:t>4,74 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B3-4B06-9763-5DD0294FCA7E}"/>
                </c:ext>
              </c:extLst>
            </c:dLbl>
            <c:dLbl>
              <c:idx val="1"/>
              <c:layout>
                <c:manualLayout>
                  <c:x val="0"/>
                  <c:y val="3.5483868964870657E-2"/>
                </c:manualLayout>
              </c:layout>
              <c:tx>
                <c:rich>
                  <a:bodyPr/>
                  <a:lstStyle/>
                  <a:p>
                    <a:r>
                      <a:rPr lang="en-US"/>
                      <a:t>6,41 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B3-4B06-9763-5DD0294FCA7E}"/>
                </c:ext>
              </c:extLst>
            </c:dLbl>
            <c:dLbl>
              <c:idx val="2"/>
              <c:layout>
                <c:manualLayout>
                  <c:x val="0"/>
                  <c:y val="2.3655912643247106E-2"/>
                </c:manualLayout>
              </c:layout>
              <c:tx>
                <c:rich>
                  <a:bodyPr/>
                  <a:lstStyle/>
                  <a:p>
                    <a:r>
                      <a:rPr lang="en-US"/>
                      <a:t>5,97 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B3-4B06-9763-5DD0294FCA7E}"/>
                </c:ext>
              </c:extLst>
            </c:dLbl>
            <c:dLbl>
              <c:idx val="3"/>
              <c:layout>
                <c:manualLayout>
                  <c:x val="-8.9064503459543574E-17"/>
                  <c:y val="4.3369173179286361E-2"/>
                </c:manualLayout>
              </c:layout>
              <c:tx>
                <c:rich>
                  <a:bodyPr/>
                  <a:lstStyle/>
                  <a:p>
                    <a:r>
                      <a:rPr lang="en-US"/>
                      <a:t>5,38 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B3-4B06-9763-5DD0294FCA7E}"/>
                </c:ext>
              </c:extLst>
            </c:dLbl>
            <c:dLbl>
              <c:idx val="4"/>
              <c:layout>
                <c:manualLayout>
                  <c:x val="0"/>
                  <c:y val="2.3655912643247106E-2"/>
                </c:manualLayout>
              </c:layout>
              <c:tx>
                <c:rich>
                  <a:bodyPr/>
                  <a:lstStyle/>
                  <a:p>
                    <a:r>
                      <a:rPr lang="en-US"/>
                      <a:t>3,85 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B3-4B06-9763-5DD0294FCA7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a:prstDash val="dash"/>
              </a:ln>
            </c:spPr>
            <c:trendlineType val="poly"/>
            <c:order val="2"/>
            <c:dispRSqr val="1"/>
            <c:dispEq val="1"/>
            <c:trendlineLbl>
              <c:layout>
                <c:manualLayout>
                  <c:x val="-0.21938083835084041"/>
                  <c:y val="-0.37798981864421199"/>
                </c:manualLayout>
              </c:layout>
              <c:tx>
                <c:rich>
                  <a:bodyPr/>
                  <a:lstStyle/>
                  <a:p>
                    <a:pPr>
                      <a:defRPr/>
                    </a:pPr>
                    <a:r>
                      <a:rPr lang="en-US" baseline="0"/>
                      <a:t>Extract = -0,0187x</a:t>
                    </a:r>
                    <a:r>
                      <a:rPr lang="en-US" baseline="30000"/>
                      <a:t>2</a:t>
                    </a:r>
                    <a:r>
                      <a:rPr lang="en-US" baseline="0"/>
                      <a:t> + 0,3181x + 4,8963
R² = 0,9402</a:t>
                    </a:r>
                    <a:endParaRPr lang="en-US"/>
                  </a:p>
                </c:rich>
              </c:tx>
              <c:numFmt formatCode="General" sourceLinked="0"/>
            </c:trendlineLbl>
          </c:trendline>
          <c:xVal>
            <c:numRef>
              <c:f>CR!$B$21:$B$25</c:f>
              <c:numCache>
                <c:formatCode>General</c:formatCode>
                <c:ptCount val="5"/>
                <c:pt idx="0">
                  <c:v>0</c:v>
                </c:pt>
                <c:pt idx="1">
                  <c:v>5</c:v>
                </c:pt>
                <c:pt idx="2">
                  <c:v>10</c:v>
                </c:pt>
                <c:pt idx="3">
                  <c:v>15</c:v>
                </c:pt>
                <c:pt idx="4">
                  <c:v>20</c:v>
                </c:pt>
              </c:numCache>
            </c:numRef>
          </c:xVal>
          <c:yVal>
            <c:numRef>
              <c:f>CR!$C$21:$C$25</c:f>
              <c:numCache>
                <c:formatCode>General</c:formatCode>
                <c:ptCount val="5"/>
                <c:pt idx="0">
                  <c:v>4.74</c:v>
                </c:pt>
                <c:pt idx="1">
                  <c:v>6.41</c:v>
                </c:pt>
                <c:pt idx="2">
                  <c:v>5.97</c:v>
                </c:pt>
                <c:pt idx="3">
                  <c:v>5.38</c:v>
                </c:pt>
                <c:pt idx="4">
                  <c:v>3.85</c:v>
                </c:pt>
              </c:numCache>
            </c:numRef>
          </c:yVal>
          <c:smooth val="0"/>
          <c:extLst>
            <c:ext xmlns:c16="http://schemas.microsoft.com/office/drawing/2014/chart" uri="{C3380CC4-5D6E-409C-BE32-E72D297353CC}">
              <c16:uniqueId val="{00000006-95B3-4B06-9763-5DD0294FCA7E}"/>
            </c:ext>
          </c:extLst>
        </c:ser>
        <c:ser>
          <c:idx val="1"/>
          <c:order val="1"/>
          <c:tx>
            <c:strRef>
              <c:f>CR!$D$20</c:f>
              <c:strCache>
                <c:ptCount val="1"/>
                <c:pt idx="0">
                  <c:v>Hydrolate</c:v>
                </c:pt>
              </c:strCache>
            </c:strRef>
          </c:tx>
          <c:spPr>
            <a:ln w="28575">
              <a:noFill/>
            </a:ln>
          </c:spPr>
          <c:dLbls>
            <c:dLbl>
              <c:idx val="0"/>
              <c:tx>
                <c:rich>
                  <a:bodyPr/>
                  <a:lstStyle/>
                  <a:p>
                    <a:r>
                      <a:rPr lang="en-US"/>
                      <a:t>5,05 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5B3-4B06-9763-5DD0294FCA7E}"/>
                </c:ext>
              </c:extLst>
            </c:dLbl>
            <c:dLbl>
              <c:idx val="1"/>
              <c:tx>
                <c:rich>
                  <a:bodyPr/>
                  <a:lstStyle/>
                  <a:p>
                    <a:r>
                      <a:rPr lang="en-US"/>
                      <a:t>7,45 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B3-4B06-9763-5DD0294FCA7E}"/>
                </c:ext>
              </c:extLst>
            </c:dLbl>
            <c:dLbl>
              <c:idx val="2"/>
              <c:layout>
                <c:manualLayout>
                  <c:x val="0"/>
                  <c:y val="-2.3655912643247106E-2"/>
                </c:manualLayout>
              </c:layout>
              <c:tx>
                <c:rich>
                  <a:bodyPr/>
                  <a:lstStyle/>
                  <a:p>
                    <a:r>
                      <a:rPr lang="en-US"/>
                      <a:t>7,38 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5B3-4B06-9763-5DD0294FCA7E}"/>
                </c:ext>
              </c:extLst>
            </c:dLbl>
            <c:dLbl>
              <c:idx val="3"/>
              <c:tx>
                <c:rich>
                  <a:bodyPr/>
                  <a:lstStyle/>
                  <a:p>
                    <a:r>
                      <a:rPr lang="en-US"/>
                      <a:t>7,45 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5B3-4B06-9763-5DD0294FCA7E}"/>
                </c:ext>
              </c:extLst>
            </c:dLbl>
            <c:dLbl>
              <c:idx val="4"/>
              <c:tx>
                <c:rich>
                  <a:bodyPr/>
                  <a:lstStyle/>
                  <a:p>
                    <a:r>
                      <a:rPr lang="en-US"/>
                      <a:t>8,38 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5B3-4B06-9763-5DD0294FCA7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0.14375157793265958"/>
                  <c:y val="-0.14880189942698052"/>
                </c:manualLayout>
              </c:layout>
              <c:tx>
                <c:rich>
                  <a:bodyPr/>
                  <a:lstStyle/>
                  <a:p>
                    <a:pPr>
                      <a:defRPr/>
                    </a:pPr>
                    <a:r>
                      <a:rPr lang="en-US" baseline="0"/>
                      <a:t>Hydrolate = 0,1332x + 5,81
R² = 0,7206</a:t>
                    </a:r>
                    <a:endParaRPr lang="en-US"/>
                  </a:p>
                </c:rich>
              </c:tx>
              <c:numFmt formatCode="General" sourceLinked="0"/>
            </c:trendlineLbl>
          </c:trendline>
          <c:xVal>
            <c:numRef>
              <c:f>CR!$B$21:$B$25</c:f>
              <c:numCache>
                <c:formatCode>General</c:formatCode>
                <c:ptCount val="5"/>
                <c:pt idx="0">
                  <c:v>0</c:v>
                </c:pt>
                <c:pt idx="1">
                  <c:v>5</c:v>
                </c:pt>
                <c:pt idx="2">
                  <c:v>10</c:v>
                </c:pt>
                <c:pt idx="3">
                  <c:v>15</c:v>
                </c:pt>
                <c:pt idx="4">
                  <c:v>20</c:v>
                </c:pt>
              </c:numCache>
            </c:numRef>
          </c:xVal>
          <c:yVal>
            <c:numRef>
              <c:f>CR!$D$21:$D$25</c:f>
              <c:numCache>
                <c:formatCode>General</c:formatCode>
                <c:ptCount val="5"/>
                <c:pt idx="0">
                  <c:v>5.05</c:v>
                </c:pt>
                <c:pt idx="1">
                  <c:v>7.45</c:v>
                </c:pt>
                <c:pt idx="2">
                  <c:v>7.38</c:v>
                </c:pt>
                <c:pt idx="3">
                  <c:v>7.45</c:v>
                </c:pt>
                <c:pt idx="4">
                  <c:v>8.3800000000000008</c:v>
                </c:pt>
              </c:numCache>
            </c:numRef>
          </c:yVal>
          <c:smooth val="0"/>
          <c:extLst>
            <c:ext xmlns:c16="http://schemas.microsoft.com/office/drawing/2014/chart" uri="{C3380CC4-5D6E-409C-BE32-E72D297353CC}">
              <c16:uniqueId val="{0000000D-95B3-4B06-9763-5DD0294FCA7E}"/>
            </c:ext>
          </c:extLst>
        </c:ser>
        <c:dLbls>
          <c:showLegendKey val="0"/>
          <c:showVal val="0"/>
          <c:showCatName val="0"/>
          <c:showSerName val="0"/>
          <c:showPercent val="0"/>
          <c:showBubbleSize val="0"/>
        </c:dLbls>
        <c:axId val="-1304221312"/>
        <c:axId val="-1312716704"/>
      </c:scatterChart>
      <c:valAx>
        <c:axId val="-1304221312"/>
        <c:scaling>
          <c:orientation val="minMax"/>
        </c:scaling>
        <c:delete val="0"/>
        <c:axPos val="b"/>
        <c:title>
          <c:tx>
            <c:rich>
              <a:bodyPr/>
              <a:lstStyle/>
              <a:p>
                <a:pPr>
                  <a:defRPr/>
                </a:pPr>
                <a:r>
                  <a:rPr lang="pt-BR"/>
                  <a:t>Concentrations</a:t>
                </a:r>
                <a:r>
                  <a:rPr lang="pt-BR" baseline="0"/>
                  <a:t> (mL 100Kg-1)</a:t>
                </a:r>
                <a:endParaRPr lang="pt-BR"/>
              </a:p>
            </c:rich>
          </c:tx>
          <c:overlay val="0"/>
        </c:title>
        <c:numFmt formatCode="General" sourceLinked="1"/>
        <c:majorTickMark val="none"/>
        <c:minorTickMark val="none"/>
        <c:tickLblPos val="nextTo"/>
        <c:crossAx val="-1312716704"/>
        <c:crosses val="autoZero"/>
        <c:crossBetween val="midCat"/>
      </c:valAx>
      <c:valAx>
        <c:axId val="-1312716704"/>
        <c:scaling>
          <c:orientation val="minMax"/>
          <c:max val="10"/>
          <c:min val="0"/>
        </c:scaling>
        <c:delete val="0"/>
        <c:axPos val="l"/>
        <c:title>
          <c:tx>
            <c:rich>
              <a:bodyPr rot="-5400000" vert="horz"/>
              <a:lstStyle/>
              <a:p>
                <a:pPr>
                  <a:defRPr/>
                </a:pPr>
                <a:r>
                  <a:rPr lang="pt-BR" sz="1000" b="1" i="0" u="none" strike="noStrike" baseline="0"/>
                  <a:t>Root length (cm)</a:t>
                </a:r>
                <a:endParaRPr lang="en-US"/>
              </a:p>
            </c:rich>
          </c:tx>
          <c:overlay val="0"/>
        </c:title>
        <c:numFmt formatCode="General" sourceLinked="1"/>
        <c:majorTickMark val="none"/>
        <c:minorTickMark val="none"/>
        <c:tickLblPos val="nextTo"/>
        <c:crossAx val="-1304221312"/>
        <c:crosses val="autoZero"/>
        <c:crossBetween val="midCat"/>
      </c:valAx>
    </c:plotArea>
    <c:legend>
      <c:legendPos val="b"/>
      <c:layout>
        <c:manualLayout>
          <c:xMode val="edge"/>
          <c:yMode val="edge"/>
          <c:x val="2.7777777777777779E-3"/>
          <c:y val="0.84885330912689816"/>
          <c:w val="0.9"/>
          <c:h val="7.1294636565086972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2480</Words>
  <Characters>14136</Characters>
  <Application>Microsoft Office Word</Application>
  <DocSecurity>0</DocSecurity>
  <Lines>117</Lines>
  <Paragraphs>33</Paragraphs>
  <ScaleCrop>false</ScaleCrop>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manuscript%20-%20hydrolate</dc:title>
  <dc:creator>Usuario</dc:creator>
  <cp:lastModifiedBy>SDI PC 1170</cp:lastModifiedBy>
  <cp:revision>12</cp:revision>
  <dcterms:created xsi:type="dcterms:W3CDTF">2026-02-26T20:00:00Z</dcterms:created>
  <dcterms:modified xsi:type="dcterms:W3CDTF">2026-02-27T10:57:00Z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b6013cf0-fb09-4267-85dd-67530a3c2cc0</vt:lpwstr>
  </property>
</Properties>
</file>