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F5374" w14:textId="1BC8D883" w:rsidR="00A55A75" w:rsidRDefault="001571E0" w:rsidP="00A55A75">
      <w:pPr>
        <w:jc w:val="center"/>
        <w:rPr>
          <w:sz w:val="28"/>
          <w:szCs w:val="28"/>
        </w:rPr>
      </w:pPr>
      <w:r w:rsidRPr="001571E0">
        <w:rPr>
          <w:b/>
          <w:bCs/>
          <w:sz w:val="36"/>
          <w:szCs w:val="36"/>
        </w:rPr>
        <w:t>Impact of superstructure type on interleukin-1β and interleukin-6 levels in peri-implant crevicular fluid: screw-retained zirconia crowns versus cement-retained metal-ceramic crowns in healthy and peri-implantitis sites</w:t>
      </w:r>
    </w:p>
    <w:p w14:paraId="20C2428F" w14:textId="77777777" w:rsidR="001571E0" w:rsidRDefault="001571E0" w:rsidP="00A55A75">
      <w:pPr>
        <w:jc w:val="center"/>
        <w:rPr>
          <w:sz w:val="28"/>
          <w:szCs w:val="28"/>
        </w:rPr>
      </w:pPr>
    </w:p>
    <w:p w14:paraId="6A32C48D" w14:textId="77777777" w:rsidR="001571E0" w:rsidRPr="001509DF" w:rsidRDefault="001571E0" w:rsidP="00A55A75">
      <w:pPr>
        <w:jc w:val="center"/>
        <w:rPr>
          <w:sz w:val="28"/>
          <w:szCs w:val="28"/>
        </w:rPr>
      </w:pPr>
    </w:p>
    <w:p w14:paraId="6BB4A189" w14:textId="4036F9AC" w:rsidR="00E102B7" w:rsidRDefault="00E102B7" w:rsidP="00E102B7">
      <w:pPr>
        <w:jc w:val="both"/>
      </w:pPr>
    </w:p>
    <w:p w14:paraId="18150F8F" w14:textId="77777777" w:rsidR="004A7896" w:rsidRPr="00000EC8" w:rsidRDefault="004A7896" w:rsidP="00E102B7">
      <w:pPr>
        <w:jc w:val="both"/>
      </w:pPr>
      <w:bookmarkStart w:id="0" w:name="_GoBack"/>
      <w:bookmarkEnd w:id="0"/>
    </w:p>
    <w:p w14:paraId="74A40421" w14:textId="77777777" w:rsidR="00624E61" w:rsidRPr="001509DF" w:rsidRDefault="00F03429" w:rsidP="00000CD1">
      <w:pPr>
        <w:jc w:val="both"/>
        <w:rPr>
          <w:b/>
          <w:bCs/>
          <w:sz w:val="28"/>
          <w:szCs w:val="28"/>
        </w:rPr>
      </w:pPr>
      <w:r w:rsidRPr="001509DF">
        <w:rPr>
          <w:b/>
          <w:bCs/>
          <w:sz w:val="28"/>
          <w:szCs w:val="28"/>
        </w:rPr>
        <w:t>Abstract</w:t>
      </w:r>
    </w:p>
    <w:p w14:paraId="4D030F8D" w14:textId="3DF89857" w:rsidR="000E2AE9" w:rsidRPr="000E2AE9" w:rsidRDefault="000724C0" w:rsidP="000724C0">
      <w:pPr>
        <w:spacing w:line="360" w:lineRule="auto"/>
        <w:ind w:firstLine="720"/>
        <w:jc w:val="both"/>
        <w:rPr>
          <w:sz w:val="28"/>
          <w:szCs w:val="28"/>
        </w:rPr>
      </w:pPr>
      <w:r w:rsidRPr="000724C0">
        <w:rPr>
          <w:sz w:val="28"/>
          <w:szCs w:val="28"/>
        </w:rPr>
        <w:t xml:space="preserve">Introduction: The effect of configuration of implant superstructure, namely screw-retained zirconia crowns versus cement retained metal-ceramic crowns on local inflammatory biomarker profiles is not yet fully characterized although emerging evidence demonstrates the effects of superstructure material or retention mechanism on peri-implant health outcomes. Objectives: The aim of this study was to investigate whether the concentrations of IL-1β and IL-6 in PICF were different between screw-retained zirconia crowns and cement-retained metal-ceramic crowns, as well as correlate these inflammatory biomarkers with peri-implant conditions. Methods: A comparative study in cross-sectional design was performed at </w:t>
      </w:r>
      <w:r w:rsidR="0065415F" w:rsidRPr="0065415F">
        <w:rPr>
          <w:sz w:val="28"/>
          <w:szCs w:val="28"/>
        </w:rPr>
        <w:t xml:space="preserve">University of </w:t>
      </w:r>
      <w:proofErr w:type="spellStart"/>
      <w:r w:rsidR="0065415F" w:rsidRPr="0065415F">
        <w:rPr>
          <w:sz w:val="28"/>
          <w:szCs w:val="28"/>
        </w:rPr>
        <w:t>Kufa</w:t>
      </w:r>
      <w:proofErr w:type="spellEnd"/>
      <w:r w:rsidR="0065415F">
        <w:rPr>
          <w:sz w:val="28"/>
          <w:szCs w:val="28"/>
        </w:rPr>
        <w:t xml:space="preserve">, </w:t>
      </w:r>
      <w:r w:rsidR="0065415F" w:rsidRPr="0065415F">
        <w:rPr>
          <w:sz w:val="28"/>
          <w:szCs w:val="28"/>
        </w:rPr>
        <w:t>Najaf City in Iraq</w:t>
      </w:r>
      <w:r w:rsidR="0065415F">
        <w:rPr>
          <w:sz w:val="28"/>
          <w:szCs w:val="28"/>
        </w:rPr>
        <w:t>,</w:t>
      </w:r>
      <w:r w:rsidRPr="000724C0">
        <w:rPr>
          <w:sz w:val="28"/>
          <w:szCs w:val="28"/>
        </w:rPr>
        <w:t xml:space="preserve"> from April 2024–February 2025 on 66 adult patients with single-tooth implant-supported restorations. Patients received an SLA implant and were randomly assigned into either Group 1 (n=24) with screw-retained monolithic zirconia crowns or Group 2 (n=42) cement-retained metal-ceramic crowns. Peri-implant crevicular fluid samples were obtained from the </w:t>
      </w:r>
      <w:proofErr w:type="spellStart"/>
      <w:r w:rsidRPr="000724C0">
        <w:rPr>
          <w:sz w:val="28"/>
          <w:szCs w:val="28"/>
        </w:rPr>
        <w:t>mesiobuccal</w:t>
      </w:r>
      <w:proofErr w:type="spellEnd"/>
      <w:r w:rsidRPr="000724C0">
        <w:rPr>
          <w:sz w:val="28"/>
          <w:szCs w:val="28"/>
        </w:rPr>
        <w:t xml:space="preserve"> aspect of each implant and quantified for IL-1β and IL-6 using enzyme-linked immunosorbent assay (ELISA). Recording of clinical parameters including probing depth and bleeding on probing. Patients were categorized in accordance with peri-implant health status as healthy implants or peri-implantitis sites. Results: The cohort had 56% healthy implants and 44% peri-implantitis systems. Screw-retained zirconia crowns (34.8 ± 7.6 </w:t>
      </w:r>
      <w:proofErr w:type="spellStart"/>
      <w:r w:rsidRPr="000724C0">
        <w:rPr>
          <w:sz w:val="28"/>
          <w:szCs w:val="28"/>
        </w:rPr>
        <w:t>pg</w:t>
      </w:r>
      <w:proofErr w:type="spellEnd"/>
      <w:r w:rsidRPr="000724C0">
        <w:rPr>
          <w:sz w:val="28"/>
          <w:szCs w:val="28"/>
        </w:rPr>
        <w:t xml:space="preserve">/mL) exhibited significantly lower levels of IL-1β </w:t>
      </w:r>
      <w:r w:rsidRPr="000724C0">
        <w:rPr>
          <w:sz w:val="28"/>
          <w:szCs w:val="28"/>
        </w:rPr>
        <w:lastRenderedPageBreak/>
        <w:t xml:space="preserve">compared to cement-retained metal-ceramic crowns (45.7 ± 9.2 </w:t>
      </w:r>
      <w:proofErr w:type="spellStart"/>
      <w:r w:rsidRPr="000724C0">
        <w:rPr>
          <w:sz w:val="28"/>
          <w:szCs w:val="28"/>
        </w:rPr>
        <w:t>pg</w:t>
      </w:r>
      <w:proofErr w:type="spellEnd"/>
      <w:r w:rsidRPr="000724C0">
        <w:rPr>
          <w:sz w:val="28"/>
          <w:szCs w:val="28"/>
        </w:rPr>
        <w:t xml:space="preserve">/mL); t-value = 4.52, p &lt;0.004. Likewise, levels of IL-6 in the cement-retained metal-ceramic group (30.8 ± 7.5 </w:t>
      </w:r>
      <w:proofErr w:type="spellStart"/>
      <w:r w:rsidRPr="000724C0">
        <w:rPr>
          <w:sz w:val="28"/>
          <w:szCs w:val="28"/>
        </w:rPr>
        <w:t>pg</w:t>
      </w:r>
      <w:proofErr w:type="spellEnd"/>
      <w:r w:rsidRPr="000724C0">
        <w:rPr>
          <w:sz w:val="28"/>
          <w:szCs w:val="28"/>
        </w:rPr>
        <w:t xml:space="preserve">/mL) were significantly higher than levels in the screw-retained zirconia group (19.6 ± 5.4 </w:t>
      </w:r>
      <w:proofErr w:type="spellStart"/>
      <w:r w:rsidRPr="000724C0">
        <w:rPr>
          <w:sz w:val="28"/>
          <w:szCs w:val="28"/>
        </w:rPr>
        <w:t>pg</w:t>
      </w:r>
      <w:proofErr w:type="spellEnd"/>
      <w:r w:rsidRPr="000724C0">
        <w:rPr>
          <w:sz w:val="28"/>
          <w:szCs w:val="28"/>
        </w:rPr>
        <w:t xml:space="preserve">/mL), with a t-value of 5.18 and p&lt;0.002 found to be statistically significant as well. In general, IL-1β (48.6 ± 10.1 </w:t>
      </w:r>
      <w:proofErr w:type="spellStart"/>
      <w:r w:rsidRPr="000724C0">
        <w:rPr>
          <w:sz w:val="28"/>
          <w:szCs w:val="28"/>
        </w:rPr>
        <w:t>pg</w:t>
      </w:r>
      <w:proofErr w:type="spellEnd"/>
      <w:r w:rsidRPr="000724C0">
        <w:rPr>
          <w:sz w:val="28"/>
          <w:szCs w:val="28"/>
        </w:rPr>
        <w:t xml:space="preserve">/mL vs. 28.9 ± 6.5 </w:t>
      </w:r>
      <w:proofErr w:type="spellStart"/>
      <w:r w:rsidRPr="000724C0">
        <w:rPr>
          <w:sz w:val="28"/>
          <w:szCs w:val="28"/>
        </w:rPr>
        <w:t>pg</w:t>
      </w:r>
      <w:proofErr w:type="spellEnd"/>
      <w:r w:rsidRPr="000724C0">
        <w:rPr>
          <w:sz w:val="28"/>
          <w:szCs w:val="28"/>
        </w:rPr>
        <w:t xml:space="preserve">/mL, p&lt;0.005) and IL-6 (32.4 ± 8.3 </w:t>
      </w:r>
      <w:proofErr w:type="spellStart"/>
      <w:r w:rsidRPr="000724C0">
        <w:rPr>
          <w:sz w:val="28"/>
          <w:szCs w:val="28"/>
        </w:rPr>
        <w:t>pg</w:t>
      </w:r>
      <w:proofErr w:type="spellEnd"/>
      <w:r w:rsidRPr="000724C0">
        <w:rPr>
          <w:sz w:val="28"/>
          <w:szCs w:val="28"/>
        </w:rPr>
        <w:t>/mL vs. 16.7 ± 4.8: Healthy implants p&lt;0·003) levels were significantly higher for peri-implantitis sites in comparison to healthy implants</w:t>
      </w:r>
      <w:r>
        <w:rPr>
          <w:sz w:val="28"/>
          <w:szCs w:val="28"/>
        </w:rPr>
        <w:t>.</w:t>
      </w:r>
      <w:r w:rsidRPr="000724C0">
        <w:rPr>
          <w:sz w:val="28"/>
          <w:szCs w:val="28"/>
        </w:rPr>
        <w:t xml:space="preserve"> Conclusion: Screw-retained zirconia crowns have significantly lower IL-1β and IL-6 levels in the peri-implant crevicular fluid than cement-retained metal-ceramic crowns, indicating that superstructure configuration is an important modifiable determinant of peri-implant inflammatory burden. </w:t>
      </w:r>
    </w:p>
    <w:p w14:paraId="1B6BCD48" w14:textId="78D57BFF" w:rsidR="00987A5F" w:rsidRPr="001509DF" w:rsidRDefault="00AB5FE4" w:rsidP="000724C0">
      <w:pPr>
        <w:spacing w:line="360" w:lineRule="auto"/>
        <w:jc w:val="both"/>
        <w:rPr>
          <w:b/>
          <w:bCs/>
          <w:color w:val="000000" w:themeColor="text1"/>
        </w:rPr>
      </w:pPr>
      <w:r w:rsidRPr="001509DF">
        <w:rPr>
          <w:b/>
          <w:bCs/>
          <w:color w:val="000000" w:themeColor="text1"/>
        </w:rPr>
        <w:t xml:space="preserve">Keywords: </w:t>
      </w:r>
      <w:r w:rsidR="000724C0">
        <w:rPr>
          <w:b/>
          <w:bCs/>
          <w:color w:val="000000" w:themeColor="text1"/>
        </w:rPr>
        <w:t>IL-</w:t>
      </w:r>
      <w:r w:rsidR="000724C0" w:rsidRPr="000724C0">
        <w:rPr>
          <w:b/>
          <w:bCs/>
          <w:color w:val="000000" w:themeColor="text1"/>
        </w:rPr>
        <w:t>1β</w:t>
      </w:r>
      <w:r w:rsidR="000724C0">
        <w:rPr>
          <w:b/>
          <w:bCs/>
          <w:color w:val="000000" w:themeColor="text1"/>
        </w:rPr>
        <w:t>,</w:t>
      </w:r>
      <w:r w:rsidR="000724C0" w:rsidRPr="000724C0">
        <w:rPr>
          <w:b/>
          <w:bCs/>
          <w:color w:val="000000" w:themeColor="text1"/>
        </w:rPr>
        <w:t xml:space="preserve"> </w:t>
      </w:r>
      <w:r w:rsidR="000724C0">
        <w:rPr>
          <w:b/>
          <w:bCs/>
          <w:color w:val="000000" w:themeColor="text1"/>
        </w:rPr>
        <w:t>IL</w:t>
      </w:r>
      <w:r w:rsidR="000724C0" w:rsidRPr="000724C0">
        <w:rPr>
          <w:b/>
          <w:bCs/>
          <w:color w:val="000000" w:themeColor="text1"/>
        </w:rPr>
        <w:t>-6</w:t>
      </w:r>
      <w:r w:rsidR="000724C0">
        <w:rPr>
          <w:b/>
          <w:bCs/>
          <w:color w:val="000000" w:themeColor="text1"/>
        </w:rPr>
        <w:t xml:space="preserve">, </w:t>
      </w:r>
      <w:r w:rsidR="000724C0" w:rsidRPr="000724C0">
        <w:rPr>
          <w:b/>
          <w:bCs/>
          <w:color w:val="000000" w:themeColor="text1"/>
        </w:rPr>
        <w:t>Crevicular Fluid</w:t>
      </w:r>
      <w:r w:rsidR="000724C0">
        <w:rPr>
          <w:b/>
          <w:bCs/>
          <w:color w:val="000000" w:themeColor="text1"/>
        </w:rPr>
        <w:t>,</w:t>
      </w:r>
      <w:r w:rsidR="000724C0" w:rsidRPr="000724C0">
        <w:rPr>
          <w:b/>
          <w:bCs/>
          <w:color w:val="000000" w:themeColor="text1"/>
        </w:rPr>
        <w:t xml:space="preserve"> Zirconia Crowns</w:t>
      </w:r>
      <w:r w:rsidR="000724C0">
        <w:rPr>
          <w:b/>
          <w:bCs/>
          <w:color w:val="000000" w:themeColor="text1"/>
        </w:rPr>
        <w:t xml:space="preserve">, </w:t>
      </w:r>
      <w:r w:rsidR="000724C0" w:rsidRPr="000724C0">
        <w:rPr>
          <w:b/>
          <w:bCs/>
          <w:color w:val="000000" w:themeColor="text1"/>
        </w:rPr>
        <w:t xml:space="preserve">Metal-Ceramic Crowns </w:t>
      </w:r>
    </w:p>
    <w:p w14:paraId="55248DD6" w14:textId="77777777" w:rsidR="002D0CD8" w:rsidRPr="001509DF" w:rsidRDefault="00D33854" w:rsidP="00000CD1">
      <w:pPr>
        <w:spacing w:line="360" w:lineRule="auto"/>
        <w:jc w:val="both"/>
        <w:rPr>
          <w:b/>
          <w:bCs/>
          <w:color w:val="000000" w:themeColor="text1"/>
          <w:sz w:val="28"/>
          <w:szCs w:val="28"/>
        </w:rPr>
      </w:pPr>
      <w:r w:rsidRPr="001509DF">
        <w:rPr>
          <w:b/>
          <w:bCs/>
          <w:color w:val="000000" w:themeColor="text1"/>
          <w:sz w:val="28"/>
          <w:szCs w:val="28"/>
        </w:rPr>
        <w:t xml:space="preserve"> </w:t>
      </w:r>
    </w:p>
    <w:p w14:paraId="3AD0F6D6" w14:textId="7313AEC4" w:rsidR="007310AC" w:rsidRPr="001509DF" w:rsidRDefault="007310AC" w:rsidP="00000CD1">
      <w:pPr>
        <w:spacing w:line="360" w:lineRule="auto"/>
        <w:jc w:val="both"/>
        <w:rPr>
          <w:b/>
          <w:bCs/>
          <w:color w:val="000000" w:themeColor="text1"/>
          <w:sz w:val="28"/>
          <w:szCs w:val="28"/>
        </w:rPr>
      </w:pPr>
      <w:r w:rsidRPr="001509DF">
        <w:rPr>
          <w:b/>
          <w:bCs/>
          <w:color w:val="000000" w:themeColor="text1"/>
          <w:sz w:val="28"/>
          <w:szCs w:val="28"/>
        </w:rPr>
        <w:t>Introduction</w:t>
      </w:r>
      <w:r w:rsidR="008D534E" w:rsidRPr="001509DF">
        <w:rPr>
          <w:b/>
          <w:bCs/>
          <w:color w:val="000000" w:themeColor="text1"/>
          <w:sz w:val="28"/>
          <w:szCs w:val="28"/>
        </w:rPr>
        <w:tab/>
      </w:r>
      <w:r w:rsidR="008D534E" w:rsidRPr="001509DF">
        <w:rPr>
          <w:b/>
          <w:bCs/>
          <w:color w:val="000000" w:themeColor="text1"/>
          <w:sz w:val="28"/>
          <w:szCs w:val="28"/>
        </w:rPr>
        <w:tab/>
      </w:r>
    </w:p>
    <w:p w14:paraId="502EFB4D" w14:textId="77777777" w:rsidR="00F04494" w:rsidRPr="00F04494" w:rsidRDefault="00D51100" w:rsidP="00F04494">
      <w:pPr>
        <w:spacing w:line="360" w:lineRule="auto"/>
        <w:jc w:val="both"/>
        <w:rPr>
          <w:sz w:val="28"/>
          <w:szCs w:val="28"/>
        </w:rPr>
      </w:pPr>
      <w:r w:rsidRPr="001509DF">
        <w:rPr>
          <w:sz w:val="28"/>
          <w:szCs w:val="28"/>
        </w:rPr>
        <w:t xml:space="preserve">     </w:t>
      </w:r>
      <w:r w:rsidR="00CE5263">
        <w:rPr>
          <w:sz w:val="28"/>
          <w:szCs w:val="28"/>
        </w:rPr>
        <w:t xml:space="preserve">    </w:t>
      </w:r>
      <w:r w:rsidRPr="001509DF">
        <w:rPr>
          <w:sz w:val="28"/>
          <w:szCs w:val="28"/>
        </w:rPr>
        <w:t xml:space="preserve">  </w:t>
      </w:r>
      <w:r w:rsidR="00F04494" w:rsidRPr="00F04494">
        <w:rPr>
          <w:sz w:val="28"/>
          <w:szCs w:val="28"/>
        </w:rPr>
        <w:t>Since its introduction, dental implant therapy has changed the paradigm of prosthodontic rehabilitation, providing predictable results for both partially and fully edentulous patients. While high survival rates &gt; 95% are reported over five-year periods, the long-term success of implant-supported restorations is progressively compromised by biological complications, most notably peri-implant diseases (Al-Ahmari et al., 2024). Peri-implantitis (inflammation of peri-implant tissues with associated progressive bone loss) has emerged as an important clinical problem, with a reported prevalence ranging from 19% to 65% in implant patients, with higher incidence rates expected as more individuals enter the implanted population and age (Máximo et al., 2023). An intricate interplay between microbial biofilms and host immune responses has been recognized in the inflammatory cascade that defines peri-implant pathogenesis with pro-inflammatory cytokines acting as important mediators of tissue damage (</w:t>
      </w:r>
      <w:proofErr w:type="spellStart"/>
      <w:r w:rsidR="00F04494" w:rsidRPr="00F04494">
        <w:rPr>
          <w:sz w:val="28"/>
          <w:szCs w:val="28"/>
        </w:rPr>
        <w:t>Pärnänen</w:t>
      </w:r>
      <w:proofErr w:type="spellEnd"/>
      <w:r w:rsidR="00F04494" w:rsidRPr="00F04494">
        <w:rPr>
          <w:sz w:val="28"/>
          <w:szCs w:val="28"/>
        </w:rPr>
        <w:t xml:space="preserve"> et al., 2024).</w:t>
      </w:r>
    </w:p>
    <w:p w14:paraId="356B950F" w14:textId="201A559A" w:rsidR="00F04494" w:rsidRPr="00F04494" w:rsidRDefault="00F04494" w:rsidP="00F04494">
      <w:pPr>
        <w:spacing w:line="360" w:lineRule="auto"/>
        <w:jc w:val="both"/>
        <w:rPr>
          <w:sz w:val="28"/>
          <w:szCs w:val="28"/>
        </w:rPr>
      </w:pPr>
      <w:r w:rsidRPr="00F04494">
        <w:rPr>
          <w:sz w:val="28"/>
          <w:szCs w:val="28"/>
        </w:rPr>
        <w:lastRenderedPageBreak/>
        <w:t xml:space="preserve">Of a wide variety of biomarkers that regulate the peri-implant disease progression, interleukin-1β (IL-1β) and interleukin 6 (IL-6) in particular were recognized as an important indicator of the inflammatory status and tissue homeostasis. IL-1β, predominantly derived from activated macrophages and epithelial cells, plays a key role in the initiation and propagation of inflammatory responses by inducing prostaglandin generation, matrix metalloproteinase production, and osteoclast activation (Máximo et al., 2023). IL-6 is a pleiotropic cytokine that displays both pro- and anti-inflammatory characteristics and plays a central role in the differentiation of immune cells and the acute-phase response but also regulates bone metabolism through RANKL-induced </w:t>
      </w:r>
      <w:r w:rsidR="00A236A4" w:rsidRPr="00F04494">
        <w:rPr>
          <w:sz w:val="28"/>
          <w:szCs w:val="28"/>
        </w:rPr>
        <w:t>osteoclast genesis</w:t>
      </w:r>
      <w:r w:rsidRPr="00F04494">
        <w:rPr>
          <w:sz w:val="28"/>
          <w:szCs w:val="28"/>
        </w:rPr>
        <w:t xml:space="preserve"> (</w:t>
      </w:r>
      <w:proofErr w:type="spellStart"/>
      <w:r w:rsidRPr="00F04494">
        <w:rPr>
          <w:sz w:val="28"/>
          <w:szCs w:val="28"/>
        </w:rPr>
        <w:t>Pärnänen</w:t>
      </w:r>
      <w:proofErr w:type="spellEnd"/>
      <w:r w:rsidRPr="00F04494">
        <w:rPr>
          <w:sz w:val="28"/>
          <w:szCs w:val="28"/>
        </w:rPr>
        <w:t xml:space="preserve"> et al., 2024). Recent systematic reviews and meta-analyses have shown the highest levels of IL-1β and IL-6 in peri-implant crevicular fluid (PICF) around implants with the presence of peri-implantitis in comparison to healthy controls, underscoring these cytokines as a reliable diagnostic biomarker for disease detection and monitoring (Máximo et al., 2023; </w:t>
      </w:r>
      <w:proofErr w:type="spellStart"/>
      <w:r w:rsidRPr="00F04494">
        <w:rPr>
          <w:sz w:val="28"/>
          <w:szCs w:val="28"/>
        </w:rPr>
        <w:t>Yaghobee</w:t>
      </w:r>
      <w:proofErr w:type="spellEnd"/>
      <w:r w:rsidRPr="00F04494">
        <w:rPr>
          <w:sz w:val="28"/>
          <w:szCs w:val="28"/>
        </w:rPr>
        <w:t xml:space="preserve"> et al., 2014).</w:t>
      </w:r>
    </w:p>
    <w:p w14:paraId="30A37FEC" w14:textId="77777777" w:rsidR="00181555" w:rsidRPr="00181555" w:rsidRDefault="00F04494" w:rsidP="00181555">
      <w:pPr>
        <w:spacing w:line="360" w:lineRule="auto"/>
        <w:jc w:val="both"/>
        <w:rPr>
          <w:sz w:val="28"/>
          <w:szCs w:val="28"/>
        </w:rPr>
      </w:pPr>
      <w:r w:rsidRPr="00F04494">
        <w:rPr>
          <w:sz w:val="28"/>
          <w:szCs w:val="28"/>
        </w:rPr>
        <w:t xml:space="preserve">Essentially a major clinical decision that guides both technical results and biological responses is the choice between screw-retained vs cement-retained implant superstructures. </w:t>
      </w:r>
      <w:r w:rsidR="00181555" w:rsidRPr="00181555">
        <w:rPr>
          <w:sz w:val="28"/>
          <w:szCs w:val="28"/>
        </w:rPr>
        <w:t xml:space="preserve">The three-dimensional positioning of the screw access channels during surgery and digital planning enables creation of screw-retained restorations, especially with a monolithic zirconia framework, which are associated with a number of clinical advantages, including removal of fractured or dislodged components on implant abutments if the fabrics are soiled (Jung et al., 2024). Zirconia ceramics exhibit extremely high biocompatibility and low bacterial adhesion with very minimal ion release, potentially resulting in less inflammatory triggering compared to metal implants (Schmitt et al., 2016). In contrast, cement-retained metal-ceramic crowns provide a known and predictable aesthetic outcome but have the potential for excess cement remaining in peri-implant sulcus around </w:t>
      </w:r>
      <w:r w:rsidR="00181555" w:rsidRPr="00181555">
        <w:rPr>
          <w:sz w:val="28"/>
          <w:szCs w:val="28"/>
        </w:rPr>
        <w:lastRenderedPageBreak/>
        <w:t>implant apex which is considered as an established etiologic factor leading to the pathology of peri-implantitis (Jung et al., 2024). The most recent prospective evidence indicated a much higher biological complication rate with fixed cement-retained restoration such as increased bleeding on probing and inflammatory indices (Jung et al., 2024).</w:t>
      </w:r>
    </w:p>
    <w:p w14:paraId="381ECAE8" w14:textId="2ED915B4" w:rsidR="00F04494" w:rsidRPr="00F04494" w:rsidRDefault="00181555" w:rsidP="00181555">
      <w:pPr>
        <w:spacing w:line="360" w:lineRule="auto"/>
        <w:jc w:val="both"/>
        <w:rPr>
          <w:sz w:val="28"/>
          <w:szCs w:val="28"/>
        </w:rPr>
      </w:pPr>
      <w:r w:rsidRPr="00181555">
        <w:rPr>
          <w:sz w:val="28"/>
          <w:szCs w:val="28"/>
        </w:rPr>
        <w:t>The combination of superstructure material composition with a retention mechanism generates an elaborate biological microenvironment which can differentially affect local inflammation. Nonetheless, metal-ceramic restorations have not preferred without disadvantages as they are leaking a small amount of metal ions which has been related to oxidative stress and also increase in pro-inflammatory cytokine ex</w:t>
      </w:r>
      <w:proofErr w:type="gramStart"/>
      <w:r w:rsidRPr="00181555">
        <w:rPr>
          <w:sz w:val="28"/>
          <w:szCs w:val="28"/>
        </w:rPr>
        <w:t>250;pression</w:t>
      </w:r>
      <w:proofErr w:type="gramEnd"/>
      <w:r w:rsidRPr="00181555">
        <w:rPr>
          <w:sz w:val="28"/>
          <w:szCs w:val="28"/>
        </w:rPr>
        <w:t xml:space="preserve">: whereas a significant advan255;tage with zirconia is that it is free from ceramics and the surface topography used here is ideal due to their low bacterial retention and gingival irritation (Schmitt et al., 2016). Moreover, cement-retained prosthesis </w:t>
      </w:r>
      <w:proofErr w:type="gramStart"/>
      <w:r w:rsidRPr="00181555">
        <w:rPr>
          <w:sz w:val="28"/>
          <w:szCs w:val="28"/>
        </w:rPr>
        <w:t>have</w:t>
      </w:r>
      <w:proofErr w:type="gramEnd"/>
      <w:r w:rsidRPr="00181555">
        <w:rPr>
          <w:sz w:val="28"/>
          <w:szCs w:val="28"/>
        </w:rPr>
        <w:t xml:space="preserve"> thin film of dentals cement which is considered as bacterial reservoir and can initiate foreign body reactions when characterized by subgingival margins. Such biological behaviors that differ may represent material specific pathways in the inflammatory response between two different bases that can provide an avenue for niobium oxide zirconia superstructures to be fused with screw-retained designs to prompt ideal peri-implant tissue health through reducing innate immune activation</w:t>
      </w:r>
      <w:r>
        <w:rPr>
          <w:sz w:val="28"/>
          <w:szCs w:val="28"/>
        </w:rPr>
        <w:t xml:space="preserve"> </w:t>
      </w:r>
      <w:r w:rsidR="00F04494" w:rsidRPr="00F04494">
        <w:rPr>
          <w:sz w:val="28"/>
          <w:szCs w:val="28"/>
        </w:rPr>
        <w:t>(Wang et al., 2026).</w:t>
      </w:r>
    </w:p>
    <w:p w14:paraId="105AFFD3" w14:textId="17C3C4C6" w:rsidR="00F04494" w:rsidRPr="00F04494" w:rsidRDefault="00F04494" w:rsidP="00F04494">
      <w:pPr>
        <w:spacing w:line="360" w:lineRule="auto"/>
        <w:jc w:val="both"/>
        <w:rPr>
          <w:sz w:val="28"/>
          <w:szCs w:val="28"/>
        </w:rPr>
      </w:pPr>
      <w:r w:rsidRPr="00F04494">
        <w:rPr>
          <w:sz w:val="28"/>
          <w:szCs w:val="28"/>
        </w:rPr>
        <w:t xml:space="preserve">The existing literature regarding PICF biomarkers has largely concentrated on the contrast of healthy versus diseased implant locations or analyses comparing distinct implant surface types, while there has been minimal research exploring the impact of superstructure characteristics upon cytokine profiles (Máximo et al., 2023; Oliveira et al., 2025). An important 12-month prospective study established that higher levels of IL-1β in PICF at three months after surgery were a predictive factor for the future development of peri-implant disease, underscoring the necessity for </w:t>
      </w:r>
      <w:r w:rsidRPr="00F04494">
        <w:rPr>
          <w:sz w:val="28"/>
          <w:szCs w:val="28"/>
        </w:rPr>
        <w:lastRenderedPageBreak/>
        <w:t xml:space="preserve">inflammatory studies around this time-point (Liu et al., 2026). Nevertheless, the different contributions of zirconia as opposed to metal-ceramic materials and screw-retained versus cement-retained designs toward IL-1β and IL-6 expression patterns are incompletely characterized. Such knowledge is </w:t>
      </w:r>
      <w:r w:rsidR="00181555">
        <w:rPr>
          <w:sz w:val="28"/>
          <w:szCs w:val="28"/>
        </w:rPr>
        <w:t xml:space="preserve">a </w:t>
      </w:r>
      <w:r w:rsidRPr="00F04494">
        <w:rPr>
          <w:sz w:val="28"/>
          <w:szCs w:val="28"/>
        </w:rPr>
        <w:t>vital for evidence-based prosthodontic decision-making and customized implant therapy.</w:t>
      </w:r>
    </w:p>
    <w:p w14:paraId="6D07CB4E" w14:textId="367F6181" w:rsidR="009C21A7" w:rsidRPr="001509DF" w:rsidRDefault="00800189" w:rsidP="00800189">
      <w:pPr>
        <w:spacing w:line="360" w:lineRule="auto"/>
        <w:jc w:val="both"/>
        <w:rPr>
          <w:sz w:val="28"/>
          <w:szCs w:val="28"/>
        </w:rPr>
      </w:pPr>
      <w:r>
        <w:rPr>
          <w:sz w:val="28"/>
          <w:szCs w:val="28"/>
        </w:rPr>
        <w:t>T</w:t>
      </w:r>
      <w:r w:rsidRPr="00800189">
        <w:rPr>
          <w:sz w:val="28"/>
          <w:szCs w:val="28"/>
        </w:rPr>
        <w:t>he current study is aimed at addressing this question by investigating the effect of superstructure type on peri-implant crevicular fluid concentration levels of IL-1β and IL-6 in healthy sites compared to those affected by periimplantitis. This study quantitatively measures such major inflammatory mediators across diverse clinical conditions and restoration designs in an effort to provide insight into the biological consequences of material and retention system selection that will guide improvements in longitudinal implant supported rehabilitation outcomes</w:t>
      </w:r>
      <w:r w:rsidR="00955E7D" w:rsidRPr="00955E7D">
        <w:rPr>
          <w:sz w:val="28"/>
          <w:szCs w:val="28"/>
        </w:rPr>
        <w:t xml:space="preserve">. </w:t>
      </w:r>
    </w:p>
    <w:p w14:paraId="140A980B" w14:textId="77777777" w:rsidR="005F17F3" w:rsidRPr="001509DF" w:rsidRDefault="005F17F3" w:rsidP="00000CD1">
      <w:pPr>
        <w:spacing w:line="360" w:lineRule="auto"/>
        <w:jc w:val="both"/>
        <w:rPr>
          <w:b/>
          <w:bCs/>
          <w:color w:val="000000" w:themeColor="text1"/>
          <w:sz w:val="28"/>
          <w:szCs w:val="28"/>
        </w:rPr>
      </w:pPr>
    </w:p>
    <w:p w14:paraId="11195CA3" w14:textId="75A5B26E" w:rsidR="00D876CF" w:rsidRPr="001509DF" w:rsidRDefault="005F17F3" w:rsidP="00000CD1">
      <w:pPr>
        <w:spacing w:line="360" w:lineRule="auto"/>
        <w:jc w:val="both"/>
        <w:rPr>
          <w:b/>
          <w:bCs/>
          <w:color w:val="000000" w:themeColor="text1"/>
          <w:sz w:val="28"/>
          <w:szCs w:val="28"/>
        </w:rPr>
      </w:pPr>
      <w:r w:rsidRPr="001509DF">
        <w:rPr>
          <w:b/>
          <w:bCs/>
          <w:color w:val="000000" w:themeColor="text1"/>
          <w:sz w:val="28"/>
          <w:szCs w:val="28"/>
        </w:rPr>
        <w:t>Patients</w:t>
      </w:r>
      <w:r w:rsidR="00D876CF" w:rsidRPr="001509DF">
        <w:rPr>
          <w:b/>
          <w:bCs/>
          <w:color w:val="000000" w:themeColor="text1"/>
          <w:sz w:val="28"/>
          <w:szCs w:val="28"/>
        </w:rPr>
        <w:t xml:space="preserve"> and Methods</w:t>
      </w:r>
    </w:p>
    <w:p w14:paraId="6CF314A8" w14:textId="228C648F" w:rsidR="00797631" w:rsidRPr="001509DF" w:rsidRDefault="00797631" w:rsidP="00797631">
      <w:pPr>
        <w:spacing w:line="360" w:lineRule="auto"/>
        <w:jc w:val="both"/>
        <w:rPr>
          <w:b/>
          <w:bCs/>
          <w:sz w:val="28"/>
          <w:szCs w:val="28"/>
        </w:rPr>
      </w:pPr>
      <w:r w:rsidRPr="001509DF">
        <w:rPr>
          <w:b/>
          <w:bCs/>
          <w:sz w:val="28"/>
          <w:szCs w:val="28"/>
        </w:rPr>
        <w:t>Study Design and Setting</w:t>
      </w:r>
    </w:p>
    <w:p w14:paraId="1743A423" w14:textId="6E8D4460" w:rsidR="005C36BE" w:rsidRPr="005C36BE" w:rsidRDefault="00800189" w:rsidP="00800189">
      <w:pPr>
        <w:spacing w:line="360" w:lineRule="auto"/>
        <w:jc w:val="both"/>
        <w:rPr>
          <w:sz w:val="28"/>
          <w:szCs w:val="28"/>
        </w:rPr>
      </w:pPr>
      <w:r w:rsidRPr="00800189">
        <w:rPr>
          <w:sz w:val="28"/>
          <w:szCs w:val="28"/>
        </w:rPr>
        <w:t>This is a cross-sectional comparative study conducted at University of Kufa, Najaf City in Iraq from May 2025 to January 2026. This study included 66 adult patients who received single-tooth implant-supported restorations in the posterior maxilla (52 teeth, 79.0%) or mandible (14 teeth, 21.0%), including those with screw-retained zirconia crowns (Group 1; n = 24) and cement-retained metal-ceramic crowns (Group 2; n = 42)</w:t>
      </w:r>
      <w:r w:rsidR="005C36BE" w:rsidRPr="005C36BE">
        <w:rPr>
          <w:sz w:val="28"/>
          <w:szCs w:val="28"/>
        </w:rPr>
        <w:t>. No healthy control group was added, since the main point is to compare inflammatory biomarker profiles on both these two different superstructure configurations at patients with varying peri-implant health statuses. The study received ethical approval from the Institutional Review Board of Medical College at University of Kufa before conducting, and informed written consent was obtained from all participants prior to enrollment.</w:t>
      </w:r>
    </w:p>
    <w:p w14:paraId="18FC8A2A" w14:textId="77777777" w:rsidR="005C36BE" w:rsidRPr="005C36BE" w:rsidRDefault="005C36BE" w:rsidP="005C36BE">
      <w:pPr>
        <w:spacing w:line="360" w:lineRule="auto"/>
        <w:jc w:val="both"/>
        <w:rPr>
          <w:b/>
          <w:bCs/>
          <w:sz w:val="28"/>
          <w:szCs w:val="28"/>
        </w:rPr>
      </w:pPr>
      <w:r w:rsidRPr="005C36BE">
        <w:rPr>
          <w:b/>
          <w:bCs/>
          <w:sz w:val="28"/>
          <w:szCs w:val="28"/>
        </w:rPr>
        <w:t>Study Population</w:t>
      </w:r>
    </w:p>
    <w:p w14:paraId="2B4D309F" w14:textId="6A1C0442" w:rsidR="005C36BE" w:rsidRPr="005C36BE" w:rsidRDefault="005C36BE" w:rsidP="005C36BE">
      <w:pPr>
        <w:spacing w:line="360" w:lineRule="auto"/>
        <w:jc w:val="both"/>
        <w:rPr>
          <w:sz w:val="28"/>
          <w:szCs w:val="28"/>
        </w:rPr>
      </w:pPr>
      <w:r w:rsidRPr="005C36BE">
        <w:rPr>
          <w:sz w:val="28"/>
          <w:szCs w:val="28"/>
        </w:rPr>
        <w:lastRenderedPageBreak/>
        <w:t>Eligible participants were adults aged 30–70 years and functionally loaded single dental implants (≥6 months post-prosthetic loading) restored with screw-retained monolithic zirconia crowns or cement-retained metal-ceramic crowns. The screw-retained zirconia group (n=24) involved CAD/CAM-fabricated monolithic zirconia superstructures anchored via titanium alloy screws, and the cement-retained metal-ceramic group (n=42) examined cobalt-chromium or noble alloy-based metal-ceramic crowns bonded with either resin-modified glass ionomer or resin cement. Peri-implant health status was defined according to the criteria of the 2017 World Workshop on the Classification of Periodontal and Peri-Implant Diseases and Conditions with healthy peri-implant sites (absence of clinical signs) (no clinical signs of inflammation).</w:t>
      </w:r>
    </w:p>
    <w:p w14:paraId="4B4F028D" w14:textId="77777777" w:rsidR="005C36BE" w:rsidRPr="005C36BE" w:rsidRDefault="005C36BE" w:rsidP="005C36BE">
      <w:pPr>
        <w:spacing w:line="360" w:lineRule="auto"/>
        <w:jc w:val="both"/>
        <w:rPr>
          <w:b/>
          <w:bCs/>
          <w:sz w:val="28"/>
          <w:szCs w:val="28"/>
        </w:rPr>
      </w:pPr>
      <w:r w:rsidRPr="005C36BE">
        <w:rPr>
          <w:b/>
          <w:bCs/>
          <w:sz w:val="28"/>
          <w:szCs w:val="28"/>
        </w:rPr>
        <w:t>Clinical Examination and Sample Collection</w:t>
      </w:r>
    </w:p>
    <w:p w14:paraId="3121BD4E" w14:textId="36F8BEA6" w:rsidR="005C36BE" w:rsidRDefault="005C36BE" w:rsidP="005C36BE">
      <w:pPr>
        <w:spacing w:line="360" w:lineRule="auto"/>
        <w:jc w:val="both"/>
        <w:rPr>
          <w:sz w:val="28"/>
          <w:szCs w:val="28"/>
        </w:rPr>
      </w:pPr>
      <w:r w:rsidRPr="005C36BE">
        <w:rPr>
          <w:sz w:val="28"/>
          <w:szCs w:val="28"/>
        </w:rPr>
        <w:t xml:space="preserve">All the participants were examined clinically, which was done by a single calibrated examiner using standardized diagnostic criteria. Peri-implant crevicular fluid (PICT) samples were obtained from the </w:t>
      </w:r>
      <w:proofErr w:type="spellStart"/>
      <w:r w:rsidRPr="005C36BE">
        <w:rPr>
          <w:sz w:val="28"/>
          <w:szCs w:val="28"/>
        </w:rPr>
        <w:t>mesiobuccal</w:t>
      </w:r>
      <w:proofErr w:type="spellEnd"/>
      <w:r w:rsidRPr="005C36BE">
        <w:rPr>
          <w:sz w:val="28"/>
          <w:szCs w:val="28"/>
        </w:rPr>
        <w:t xml:space="preserve"> aspect of each implant and collected using standardized methodology to minimize contamination and variation in volume. After lightly drying the peri-implant sulcus using sterile cotton pellets, </w:t>
      </w:r>
      <w:proofErr w:type="spellStart"/>
      <w:r w:rsidRPr="005C36BE">
        <w:rPr>
          <w:sz w:val="28"/>
          <w:szCs w:val="28"/>
        </w:rPr>
        <w:t>Periopaper</w:t>
      </w:r>
      <w:proofErr w:type="spellEnd"/>
      <w:r w:rsidRPr="005C36BE">
        <w:rPr>
          <w:sz w:val="28"/>
          <w:szCs w:val="28"/>
        </w:rPr>
        <w:t xml:space="preserve"> (</w:t>
      </w:r>
      <w:proofErr w:type="spellStart"/>
      <w:r w:rsidRPr="005C36BE">
        <w:rPr>
          <w:sz w:val="28"/>
          <w:szCs w:val="28"/>
        </w:rPr>
        <w:t>Oraflow</w:t>
      </w:r>
      <w:proofErr w:type="spellEnd"/>
      <w:r w:rsidRPr="005C36BE">
        <w:rPr>
          <w:sz w:val="28"/>
          <w:szCs w:val="28"/>
        </w:rPr>
        <w:t xml:space="preserve">, Smithtown, NY. USA) paper strips were gently inserted until mild resistance was felt and kept for 30 seconds. Strips soiled with blood or saliva were thrown away. The volume of sampled PICF was measured using a calibrated </w:t>
      </w:r>
      <w:proofErr w:type="spellStart"/>
      <w:r w:rsidRPr="005C36BE">
        <w:rPr>
          <w:sz w:val="28"/>
          <w:szCs w:val="28"/>
        </w:rPr>
        <w:t>Periotron</w:t>
      </w:r>
      <w:proofErr w:type="spellEnd"/>
      <w:r w:rsidRPr="005C36BE">
        <w:rPr>
          <w:sz w:val="28"/>
          <w:szCs w:val="28"/>
        </w:rPr>
        <w:t xml:space="preserve"> 8000 device (</w:t>
      </w:r>
      <w:proofErr w:type="spellStart"/>
      <w:r w:rsidRPr="005C36BE">
        <w:rPr>
          <w:sz w:val="28"/>
          <w:szCs w:val="28"/>
        </w:rPr>
        <w:t>Oraflow</w:t>
      </w:r>
      <w:proofErr w:type="spellEnd"/>
      <w:r w:rsidRPr="005C36BE">
        <w:rPr>
          <w:sz w:val="28"/>
          <w:szCs w:val="28"/>
        </w:rPr>
        <w:t xml:space="preserve">) and samples were then immediately transferred to sterile Eppendorf tubes containing 200 </w:t>
      </w:r>
      <w:proofErr w:type="spellStart"/>
      <w:r w:rsidRPr="005C36BE">
        <w:rPr>
          <w:sz w:val="28"/>
          <w:szCs w:val="28"/>
        </w:rPr>
        <w:t>μL</w:t>
      </w:r>
      <w:proofErr w:type="spellEnd"/>
      <w:r w:rsidRPr="005C36BE">
        <w:rPr>
          <w:sz w:val="28"/>
          <w:szCs w:val="28"/>
        </w:rPr>
        <w:t xml:space="preserve"> phosphate-buffered saline (pH 7.2), supplemented with protease inhibitor cocktail. Samples were centrifuged (3,000 rpm, 10 min, 4 °C), and the supernatants were stored at −80 °C for subsequent biochemical analysis.</w:t>
      </w:r>
    </w:p>
    <w:p w14:paraId="58F6F32E" w14:textId="77777777" w:rsidR="00A236A4" w:rsidRDefault="00A236A4" w:rsidP="005C36BE">
      <w:pPr>
        <w:spacing w:line="360" w:lineRule="auto"/>
        <w:jc w:val="both"/>
        <w:rPr>
          <w:sz w:val="28"/>
          <w:szCs w:val="28"/>
        </w:rPr>
      </w:pPr>
    </w:p>
    <w:p w14:paraId="577787C6" w14:textId="758F854A" w:rsidR="00A236A4" w:rsidRPr="00A236A4" w:rsidRDefault="00A236A4" w:rsidP="005C36BE">
      <w:pPr>
        <w:spacing w:line="360" w:lineRule="auto"/>
        <w:jc w:val="both"/>
        <w:rPr>
          <w:b/>
          <w:bCs/>
          <w:sz w:val="28"/>
          <w:szCs w:val="28"/>
        </w:rPr>
      </w:pPr>
      <w:r w:rsidRPr="00A236A4">
        <w:rPr>
          <w:b/>
          <w:bCs/>
          <w:sz w:val="28"/>
          <w:szCs w:val="28"/>
        </w:rPr>
        <w:t xml:space="preserve">Pain Assessment </w:t>
      </w:r>
    </w:p>
    <w:p w14:paraId="4BB0D06F" w14:textId="4E6AAE07" w:rsidR="00A236A4" w:rsidRPr="00A236A4" w:rsidRDefault="00A236A4" w:rsidP="00A236A4">
      <w:pPr>
        <w:spacing w:line="360" w:lineRule="auto"/>
        <w:jc w:val="both"/>
        <w:rPr>
          <w:sz w:val="28"/>
          <w:szCs w:val="28"/>
        </w:rPr>
      </w:pPr>
      <w:r w:rsidRPr="00A236A4">
        <w:rPr>
          <w:sz w:val="28"/>
          <w:szCs w:val="28"/>
        </w:rPr>
        <w:lastRenderedPageBreak/>
        <w:t xml:space="preserve">Pain intensity and duration were recorded manually by the physician for each patient on a standardized paper-based template that incorporated a numerical rating scale (0–5) to improve patient understanding. 0 </w:t>
      </w:r>
      <w:r>
        <w:rPr>
          <w:sz w:val="28"/>
          <w:szCs w:val="28"/>
        </w:rPr>
        <w:t xml:space="preserve">(Level 1) </w:t>
      </w:r>
      <w:r w:rsidRPr="00A236A4">
        <w:rPr>
          <w:sz w:val="28"/>
          <w:szCs w:val="28"/>
        </w:rPr>
        <w:t>on this scale meant no pain during the procedure and follow-up period. In particular, scores were awarded as follows: 1</w:t>
      </w:r>
      <w:r>
        <w:rPr>
          <w:sz w:val="28"/>
          <w:szCs w:val="28"/>
        </w:rPr>
        <w:t xml:space="preserve"> (Level </w:t>
      </w:r>
      <w:proofErr w:type="gramStart"/>
      <w:r>
        <w:rPr>
          <w:sz w:val="28"/>
          <w:szCs w:val="28"/>
        </w:rPr>
        <w:t>2)</w:t>
      </w:r>
      <w:r w:rsidRPr="00A236A4">
        <w:rPr>
          <w:sz w:val="28"/>
          <w:szCs w:val="28"/>
        </w:rPr>
        <w:t>=</w:t>
      </w:r>
      <w:proofErr w:type="gramEnd"/>
      <w:r w:rsidRPr="00A236A4">
        <w:rPr>
          <w:sz w:val="28"/>
          <w:szCs w:val="28"/>
        </w:rPr>
        <w:t xml:space="preserve"> pain lasting no more than 10 minutes; 2</w:t>
      </w:r>
      <w:r>
        <w:rPr>
          <w:sz w:val="28"/>
          <w:szCs w:val="28"/>
        </w:rPr>
        <w:t xml:space="preserve"> (Level 3)</w:t>
      </w:r>
      <w:r w:rsidRPr="00A236A4">
        <w:rPr>
          <w:sz w:val="28"/>
          <w:szCs w:val="28"/>
        </w:rPr>
        <w:t>=pain resolving within 24 hours; 3</w:t>
      </w:r>
      <w:r>
        <w:rPr>
          <w:sz w:val="28"/>
          <w:szCs w:val="28"/>
        </w:rPr>
        <w:t xml:space="preserve"> (Level 4)</w:t>
      </w:r>
      <w:r w:rsidRPr="00A236A4">
        <w:rPr>
          <w:sz w:val="28"/>
          <w:szCs w:val="28"/>
        </w:rPr>
        <w:t>= pain lasting between 24 and 48 hours after placement; 4</w:t>
      </w:r>
      <w:r>
        <w:rPr>
          <w:sz w:val="28"/>
          <w:szCs w:val="28"/>
        </w:rPr>
        <w:t xml:space="preserve"> (Level 5)</w:t>
      </w:r>
      <w:r w:rsidRPr="00A236A4">
        <w:rPr>
          <w:sz w:val="28"/>
          <w:szCs w:val="28"/>
        </w:rPr>
        <w:t>= pain persisting for up to 72 hours; and 5</w:t>
      </w:r>
      <w:r>
        <w:rPr>
          <w:sz w:val="28"/>
          <w:szCs w:val="28"/>
        </w:rPr>
        <w:t xml:space="preserve"> (Level 6)</w:t>
      </w:r>
      <w:r w:rsidRPr="00A236A4">
        <w:rPr>
          <w:sz w:val="28"/>
          <w:szCs w:val="28"/>
        </w:rPr>
        <w:t>= pain lasting over 72 hours.</w:t>
      </w:r>
    </w:p>
    <w:p w14:paraId="044323EF" w14:textId="77777777" w:rsidR="00A236A4" w:rsidRPr="005C36BE" w:rsidRDefault="00A236A4" w:rsidP="005C36BE">
      <w:pPr>
        <w:spacing w:line="360" w:lineRule="auto"/>
        <w:jc w:val="both"/>
        <w:rPr>
          <w:sz w:val="28"/>
          <w:szCs w:val="28"/>
        </w:rPr>
      </w:pPr>
    </w:p>
    <w:p w14:paraId="76682A41" w14:textId="77777777" w:rsidR="005C36BE" w:rsidRPr="005C36BE" w:rsidRDefault="005C36BE" w:rsidP="005C36BE">
      <w:pPr>
        <w:spacing w:line="360" w:lineRule="auto"/>
        <w:jc w:val="both"/>
        <w:rPr>
          <w:b/>
          <w:bCs/>
          <w:sz w:val="28"/>
          <w:szCs w:val="28"/>
        </w:rPr>
      </w:pPr>
      <w:r w:rsidRPr="005C36BE">
        <w:rPr>
          <w:b/>
          <w:bCs/>
          <w:sz w:val="28"/>
          <w:szCs w:val="28"/>
        </w:rPr>
        <w:t>Biochemical Analysis</w:t>
      </w:r>
    </w:p>
    <w:p w14:paraId="152A066A" w14:textId="77777777" w:rsidR="005C36BE" w:rsidRPr="005C36BE" w:rsidRDefault="005C36BE" w:rsidP="005C36BE">
      <w:pPr>
        <w:spacing w:line="360" w:lineRule="auto"/>
        <w:jc w:val="both"/>
        <w:rPr>
          <w:sz w:val="28"/>
          <w:szCs w:val="28"/>
        </w:rPr>
      </w:pPr>
      <w:r w:rsidRPr="005C36BE">
        <w:rPr>
          <w:sz w:val="28"/>
          <w:szCs w:val="28"/>
        </w:rPr>
        <w:t xml:space="preserve">Interleukin-1β (IL-1β) and interleukin-6 (IL-6) levels were measured in PICF samples by using commercially available enzyme-linked immunosorbent assay (ELISA) kits [Human IL-1β/IL-6 </w:t>
      </w:r>
      <w:proofErr w:type="spellStart"/>
      <w:r w:rsidRPr="005C36BE">
        <w:rPr>
          <w:sz w:val="28"/>
          <w:szCs w:val="28"/>
        </w:rPr>
        <w:t>Quantikine</w:t>
      </w:r>
      <w:proofErr w:type="spellEnd"/>
      <w:r w:rsidRPr="005C36BE">
        <w:rPr>
          <w:sz w:val="28"/>
          <w:szCs w:val="28"/>
        </w:rPr>
        <w:t xml:space="preserve"> ELISA, R&amp;D Systems, Minneapolis, MN, USA] according to the manufacturer’s instructions. All samples were run in duplicate, and concentrations were interpolated from standard curves with recombinant human cytokine standards. The detection limits were 0.06 </w:t>
      </w:r>
      <w:proofErr w:type="spellStart"/>
      <w:r w:rsidRPr="005C36BE">
        <w:rPr>
          <w:sz w:val="28"/>
          <w:szCs w:val="28"/>
        </w:rPr>
        <w:t>pg</w:t>
      </w:r>
      <w:proofErr w:type="spellEnd"/>
      <w:r w:rsidRPr="005C36BE">
        <w:rPr>
          <w:sz w:val="28"/>
          <w:szCs w:val="28"/>
        </w:rPr>
        <w:t xml:space="preserve">/mL for IL-1β and 0.11 </w:t>
      </w:r>
      <w:proofErr w:type="spellStart"/>
      <w:r w:rsidRPr="005C36BE">
        <w:rPr>
          <w:sz w:val="28"/>
          <w:szCs w:val="28"/>
        </w:rPr>
        <w:t>pg</w:t>
      </w:r>
      <w:proofErr w:type="spellEnd"/>
      <w:r w:rsidRPr="005C36BE">
        <w:rPr>
          <w:sz w:val="28"/>
          <w:szCs w:val="28"/>
        </w:rPr>
        <w:t>/mL for IL-6, respectively. Intra-assay and inter-assay co-</w:t>
      </w:r>
      <w:proofErr w:type="spellStart"/>
      <w:r w:rsidRPr="005C36BE">
        <w:rPr>
          <w:sz w:val="28"/>
          <w:szCs w:val="28"/>
        </w:rPr>
        <w:t>efficients</w:t>
      </w:r>
      <w:proofErr w:type="spellEnd"/>
      <w:r w:rsidRPr="005C36BE">
        <w:rPr>
          <w:sz w:val="28"/>
          <w:szCs w:val="28"/>
        </w:rPr>
        <w:t xml:space="preserve"> of variation were &lt;8% and &lt;10%, respectively. All results are reported as picograms per milliliter (</w:t>
      </w:r>
      <w:proofErr w:type="spellStart"/>
      <w:r w:rsidRPr="005C36BE">
        <w:rPr>
          <w:sz w:val="28"/>
          <w:szCs w:val="28"/>
        </w:rPr>
        <w:t>pg</w:t>
      </w:r>
      <w:proofErr w:type="spellEnd"/>
      <w:r w:rsidRPr="005C36BE">
        <w:rPr>
          <w:sz w:val="28"/>
          <w:szCs w:val="28"/>
        </w:rPr>
        <w:t>/mL) and adjusted for total PICF volume.</w:t>
      </w:r>
    </w:p>
    <w:p w14:paraId="0844BB4C" w14:textId="77777777" w:rsidR="005C36BE" w:rsidRPr="005C36BE" w:rsidRDefault="005C36BE" w:rsidP="005C36BE">
      <w:pPr>
        <w:spacing w:line="360" w:lineRule="auto"/>
        <w:jc w:val="both"/>
        <w:rPr>
          <w:b/>
          <w:bCs/>
          <w:sz w:val="28"/>
          <w:szCs w:val="28"/>
        </w:rPr>
      </w:pPr>
      <w:r w:rsidRPr="005C36BE">
        <w:rPr>
          <w:b/>
          <w:bCs/>
          <w:sz w:val="28"/>
          <w:szCs w:val="28"/>
        </w:rPr>
        <w:t>Statistical Analysis</w:t>
      </w:r>
    </w:p>
    <w:p w14:paraId="4FD1FB38" w14:textId="77777777" w:rsidR="005C36BE" w:rsidRPr="005C36BE" w:rsidRDefault="005C36BE" w:rsidP="005C36BE">
      <w:pPr>
        <w:spacing w:line="360" w:lineRule="auto"/>
        <w:jc w:val="both"/>
        <w:rPr>
          <w:sz w:val="28"/>
          <w:szCs w:val="28"/>
        </w:rPr>
      </w:pPr>
      <w:r w:rsidRPr="005C36BE">
        <w:rPr>
          <w:sz w:val="28"/>
          <w:szCs w:val="28"/>
        </w:rPr>
        <w:t xml:space="preserve">Statistical analyses were conducted using SPSS version 26.0 (IBM Corp., Armonk, NY, USA). Means, standard deviations, medians, interquartile ranges, frequencies and percentages were computed for demographic and clinical variables. Normality of data distribution was evaluated using the Shapiro-Wilk test. Independent samples t-test or Mann-Whitney U test were used for the comparisons of IL-1β and IL-6 levels between screw-retained zirconia and cement-retained metal-ceramic groups. Two-way analysis of variance (ANOVA) with Bonferroni post-hoc corrections were </w:t>
      </w:r>
      <w:r w:rsidRPr="005C36BE">
        <w:rPr>
          <w:sz w:val="28"/>
          <w:szCs w:val="28"/>
        </w:rPr>
        <w:lastRenderedPageBreak/>
        <w:t>used to conduct interaction analyses stratified by peri-implant health status (healthy vs. peri-implantitis).</w:t>
      </w:r>
    </w:p>
    <w:p w14:paraId="459F7E6B" w14:textId="77777777" w:rsidR="005C36BE" w:rsidRPr="005C36BE" w:rsidRDefault="005C36BE" w:rsidP="005C36BE">
      <w:pPr>
        <w:spacing w:line="360" w:lineRule="auto"/>
        <w:jc w:val="both"/>
        <w:rPr>
          <w:b/>
          <w:bCs/>
          <w:sz w:val="28"/>
          <w:szCs w:val="28"/>
        </w:rPr>
      </w:pPr>
      <w:r w:rsidRPr="005C36BE">
        <w:rPr>
          <w:b/>
          <w:bCs/>
          <w:sz w:val="28"/>
          <w:szCs w:val="28"/>
        </w:rPr>
        <w:t>Ethical Considerations</w:t>
      </w:r>
    </w:p>
    <w:p w14:paraId="24BEE2E2" w14:textId="643F4E15" w:rsidR="00797631" w:rsidRPr="00797631" w:rsidRDefault="005C36BE" w:rsidP="005C36BE">
      <w:pPr>
        <w:spacing w:line="360" w:lineRule="auto"/>
        <w:jc w:val="both"/>
        <w:rPr>
          <w:sz w:val="28"/>
          <w:szCs w:val="28"/>
        </w:rPr>
      </w:pPr>
      <w:r w:rsidRPr="005C36BE">
        <w:rPr>
          <w:sz w:val="28"/>
          <w:szCs w:val="28"/>
        </w:rPr>
        <w:t>This study complied with the Declaration of Helsinki (2013). Ethics approval was obtained from the Research and Ethics Committee of Medical College, University of Kufa. Written informed consent was obtained from all participants after a thorough description of the study objectives, procedures, potential risks and assurance of confidentiality of data</w:t>
      </w:r>
      <w:r w:rsidR="00797631" w:rsidRPr="00797631">
        <w:rPr>
          <w:sz w:val="28"/>
          <w:szCs w:val="28"/>
        </w:rPr>
        <w:t>.</w:t>
      </w:r>
    </w:p>
    <w:p w14:paraId="5D2F1D59" w14:textId="77777777" w:rsidR="0098157F" w:rsidRPr="001509DF" w:rsidRDefault="0098157F" w:rsidP="00000CD1">
      <w:pPr>
        <w:spacing w:line="360" w:lineRule="auto"/>
        <w:jc w:val="both"/>
        <w:rPr>
          <w:b/>
          <w:bCs/>
          <w:sz w:val="36"/>
          <w:szCs w:val="36"/>
        </w:rPr>
      </w:pPr>
    </w:p>
    <w:p w14:paraId="02B4404C" w14:textId="6DD9F23E" w:rsidR="009D56DE" w:rsidRPr="001509DF" w:rsidRDefault="009D56DE" w:rsidP="00000CD1">
      <w:pPr>
        <w:spacing w:line="360" w:lineRule="auto"/>
        <w:jc w:val="both"/>
        <w:rPr>
          <w:b/>
          <w:bCs/>
          <w:sz w:val="36"/>
          <w:szCs w:val="36"/>
        </w:rPr>
      </w:pPr>
      <w:r w:rsidRPr="001509DF">
        <w:rPr>
          <w:b/>
          <w:bCs/>
          <w:sz w:val="36"/>
          <w:szCs w:val="36"/>
        </w:rPr>
        <w:t>Results</w:t>
      </w:r>
      <w:r w:rsidR="00D62293" w:rsidRPr="001509DF">
        <w:rPr>
          <w:b/>
          <w:bCs/>
          <w:sz w:val="36"/>
          <w:szCs w:val="36"/>
        </w:rPr>
        <w:t xml:space="preserve"> </w:t>
      </w:r>
    </w:p>
    <w:p w14:paraId="22506FD9" w14:textId="77777777" w:rsidR="00C718E0" w:rsidRDefault="006A6791" w:rsidP="00C718E0">
      <w:pPr>
        <w:spacing w:after="33" w:line="360" w:lineRule="auto"/>
        <w:ind w:left="10" w:right="4" w:hanging="10"/>
        <w:jc w:val="both"/>
        <w:rPr>
          <w:bCs/>
          <w:color w:val="000000"/>
          <w:sz w:val="28"/>
          <w:lang w:eastAsia="ar-IQ" w:bidi="ar-IQ"/>
        </w:rPr>
      </w:pPr>
      <w:r w:rsidRPr="001509DF">
        <w:rPr>
          <w:bCs/>
          <w:color w:val="000000"/>
          <w:sz w:val="28"/>
          <w:lang w:eastAsia="ar-IQ" w:bidi="ar-IQ"/>
        </w:rPr>
        <w:t xml:space="preserve">         </w:t>
      </w:r>
      <w:r w:rsidR="005C36BE" w:rsidRPr="005C36BE">
        <w:rPr>
          <w:bCs/>
          <w:color w:val="000000"/>
          <w:sz w:val="28"/>
          <w:lang w:eastAsia="ar-IQ" w:bidi="ar-IQ"/>
        </w:rPr>
        <w:t xml:space="preserve">The demographic characteristics of the participants in this study (N = 66) indicate that age was relatively evenly distributed, the largest group being aged between 40–49 years (30.3%), followed by those in the 50–59 years age range (27.3%). </w:t>
      </w:r>
      <w:r w:rsidR="00C718E0" w:rsidRPr="00C718E0">
        <w:rPr>
          <w:bCs/>
          <w:color w:val="000000"/>
          <w:sz w:val="28"/>
          <w:lang w:eastAsia="ar-IQ" w:bidi="ar-IQ"/>
        </w:rPr>
        <w:t>The proportion of younger participants (30–39 years) was comparable with older ones (≥ 60 years) (21.2% each), a measure indicative of relatively moderate representation across adult/older age categories, and absence of extreme skewness. In terms of gender distribution, males (54.5%) comprised a slightly higher percentage of the sample compared to females (45.5%). This modest male predominance may reflect the underlying disease prevalence in the population, or sampling variability</w:t>
      </w:r>
      <w:r w:rsidR="00204333" w:rsidRPr="00204333">
        <w:rPr>
          <w:bCs/>
          <w:color w:val="000000"/>
          <w:sz w:val="28"/>
          <w:lang w:eastAsia="ar-IQ" w:bidi="ar-IQ"/>
        </w:rPr>
        <w:t>.</w:t>
      </w:r>
    </w:p>
    <w:p w14:paraId="59FDAD2C" w14:textId="77777777" w:rsidR="00C718E0" w:rsidRDefault="00C718E0" w:rsidP="00C718E0">
      <w:pPr>
        <w:spacing w:after="33" w:line="360" w:lineRule="auto"/>
        <w:ind w:left="10" w:right="4" w:hanging="10"/>
        <w:jc w:val="both"/>
        <w:rPr>
          <w:bCs/>
          <w:color w:val="000000"/>
          <w:sz w:val="28"/>
          <w:lang w:eastAsia="ar-IQ" w:bidi="ar-IQ"/>
        </w:rPr>
      </w:pPr>
    </w:p>
    <w:p w14:paraId="64C7AD63" w14:textId="02DFAD08" w:rsidR="00204333" w:rsidRPr="00204333" w:rsidRDefault="00204333" w:rsidP="00C718E0">
      <w:pPr>
        <w:spacing w:after="33" w:line="360" w:lineRule="auto"/>
        <w:ind w:left="10" w:right="4" w:hanging="10"/>
        <w:jc w:val="both"/>
        <w:rPr>
          <w:bCs/>
          <w:color w:val="000000"/>
          <w:sz w:val="28"/>
          <w:lang w:eastAsia="ar-IQ" w:bidi="ar-IQ"/>
        </w:rPr>
      </w:pPr>
      <w:r w:rsidRPr="00204333">
        <w:rPr>
          <w:bCs/>
          <w:color w:val="000000"/>
          <w:sz w:val="28"/>
          <w:lang w:eastAsia="ar-IQ" w:bidi="ar-IQ"/>
        </w:rPr>
        <w:t xml:space="preserve"> </w:t>
      </w:r>
    </w:p>
    <w:p w14:paraId="2A10984D" w14:textId="44350394" w:rsidR="009D56DE" w:rsidRPr="001509DF" w:rsidRDefault="007828C8" w:rsidP="003F7903">
      <w:pPr>
        <w:spacing w:after="33" w:line="360" w:lineRule="auto"/>
        <w:ind w:left="10" w:right="4" w:hanging="10"/>
        <w:jc w:val="both"/>
        <w:rPr>
          <w:b/>
          <w:color w:val="000000"/>
          <w:sz w:val="28"/>
          <w:lang w:eastAsia="ar-IQ" w:bidi="ar-IQ"/>
        </w:rPr>
      </w:pPr>
      <w:proofErr w:type="gramStart"/>
      <w:r>
        <w:rPr>
          <w:bCs/>
          <w:color w:val="000000"/>
          <w:sz w:val="28"/>
          <w:lang w:eastAsia="ar-IQ" w:bidi="ar-IQ"/>
        </w:rPr>
        <w:t>.</w:t>
      </w:r>
      <w:r w:rsidR="009D56DE" w:rsidRPr="001509DF">
        <w:rPr>
          <w:b/>
          <w:color w:val="000000"/>
          <w:sz w:val="28"/>
          <w:lang w:eastAsia="ar-IQ" w:bidi="ar-IQ"/>
        </w:rPr>
        <w:t>Table</w:t>
      </w:r>
      <w:proofErr w:type="gramEnd"/>
      <w:r w:rsidR="009D56DE" w:rsidRPr="001509DF">
        <w:rPr>
          <w:b/>
          <w:color w:val="000000"/>
          <w:sz w:val="28"/>
          <w:lang w:eastAsia="ar-IQ" w:bidi="ar-IQ"/>
        </w:rPr>
        <w:t xml:space="preserve"> 1</w:t>
      </w:r>
      <w:r w:rsidR="00F21150" w:rsidRPr="001509DF">
        <w:rPr>
          <w:b/>
          <w:color w:val="000000"/>
          <w:sz w:val="28"/>
          <w:lang w:eastAsia="ar-IQ" w:bidi="ar-IQ"/>
        </w:rPr>
        <w:t>.</w:t>
      </w:r>
      <w:r w:rsidR="009D56DE" w:rsidRPr="001509DF">
        <w:rPr>
          <w:b/>
          <w:color w:val="000000"/>
          <w:sz w:val="28"/>
          <w:lang w:eastAsia="ar-IQ" w:bidi="ar-IQ"/>
        </w:rPr>
        <w:t xml:space="preserve"> </w:t>
      </w:r>
      <w:r w:rsidR="005C5944">
        <w:rPr>
          <w:b/>
          <w:color w:val="000000"/>
          <w:sz w:val="26"/>
          <w:lang w:eastAsia="ar-IQ" w:bidi="ar-IQ"/>
        </w:rPr>
        <w:t>General characteristics for</w:t>
      </w:r>
      <w:r w:rsidR="00D01D8E" w:rsidRPr="001509DF">
        <w:rPr>
          <w:b/>
          <w:color w:val="000000"/>
          <w:sz w:val="26"/>
          <w:lang w:eastAsia="ar-IQ" w:bidi="ar-IQ"/>
        </w:rPr>
        <w:t xml:space="preserve"> distribution </w:t>
      </w:r>
      <w:r w:rsidR="009D56DE" w:rsidRPr="001509DF">
        <w:rPr>
          <w:b/>
          <w:color w:val="000000"/>
          <w:sz w:val="26"/>
          <w:lang w:eastAsia="ar-IQ" w:bidi="ar-IQ"/>
        </w:rPr>
        <w:t xml:space="preserve">of </w:t>
      </w:r>
      <w:r w:rsidR="009F5288" w:rsidRPr="001509DF">
        <w:rPr>
          <w:b/>
          <w:color w:val="000000"/>
          <w:sz w:val="26"/>
          <w:lang w:eastAsia="ar-IQ" w:bidi="ar-IQ"/>
        </w:rPr>
        <w:t xml:space="preserve">patients </w:t>
      </w:r>
      <w:r w:rsidR="00E64D90">
        <w:rPr>
          <w:b/>
          <w:color w:val="000000"/>
          <w:sz w:val="26"/>
          <w:lang w:eastAsia="ar-IQ" w:bidi="ar-IQ"/>
        </w:rPr>
        <w:t>group</w:t>
      </w:r>
    </w:p>
    <w:tbl>
      <w:tblPr>
        <w:tblStyle w:val="TableGrid1"/>
        <w:tblW w:w="8095" w:type="dxa"/>
        <w:tblLayout w:type="fixed"/>
        <w:tblLook w:val="04A0" w:firstRow="1" w:lastRow="0" w:firstColumn="1" w:lastColumn="0" w:noHBand="0" w:noVBand="1"/>
      </w:tblPr>
      <w:tblGrid>
        <w:gridCol w:w="1648"/>
        <w:gridCol w:w="2577"/>
        <w:gridCol w:w="1710"/>
        <w:gridCol w:w="2160"/>
      </w:tblGrid>
      <w:tr w:rsidR="000A7730" w:rsidRPr="001509DF" w14:paraId="6E915CE7" w14:textId="77777777" w:rsidTr="000A7730">
        <w:trPr>
          <w:trHeight w:val="340"/>
        </w:trPr>
        <w:tc>
          <w:tcPr>
            <w:tcW w:w="4225" w:type="dxa"/>
            <w:gridSpan w:val="2"/>
            <w:vMerge w:val="restart"/>
            <w:noWrap/>
            <w:vAlign w:val="center"/>
            <w:hideMark/>
          </w:tcPr>
          <w:p w14:paraId="02F63734" w14:textId="77777777" w:rsidR="000A7730" w:rsidRPr="001509DF" w:rsidRDefault="000A7730" w:rsidP="00211625">
            <w:pPr>
              <w:contextualSpacing/>
              <w:jc w:val="center"/>
              <w:rPr>
                <w:b/>
                <w:bCs/>
                <w:color w:val="000000"/>
                <w:lang w:bidi="ar-IQ"/>
              </w:rPr>
            </w:pPr>
            <w:r w:rsidRPr="001509DF">
              <w:rPr>
                <w:b/>
                <w:bCs/>
                <w:color w:val="000000"/>
                <w:lang w:bidi="ar-IQ"/>
              </w:rPr>
              <w:t>Indicators</w:t>
            </w:r>
          </w:p>
        </w:tc>
        <w:tc>
          <w:tcPr>
            <w:tcW w:w="3870" w:type="dxa"/>
            <w:gridSpan w:val="2"/>
            <w:vAlign w:val="center"/>
          </w:tcPr>
          <w:p w14:paraId="3AB06F40" w14:textId="77777777" w:rsidR="000A7730" w:rsidRPr="001509DF" w:rsidRDefault="000A7730" w:rsidP="00211625">
            <w:pPr>
              <w:contextualSpacing/>
              <w:jc w:val="center"/>
              <w:rPr>
                <w:b/>
                <w:bCs/>
                <w:color w:val="000000"/>
                <w:lang w:bidi="ar-IQ"/>
              </w:rPr>
            </w:pPr>
            <w:r w:rsidRPr="001509DF">
              <w:rPr>
                <w:b/>
                <w:bCs/>
                <w:color w:val="000000"/>
                <w:lang w:bidi="ar-IQ"/>
              </w:rPr>
              <w:t>`Patients</w:t>
            </w:r>
          </w:p>
          <w:p w14:paraId="1DA8CE49" w14:textId="1ACE6014" w:rsidR="000A7730" w:rsidRPr="001509DF" w:rsidRDefault="000A7730" w:rsidP="00211625">
            <w:pPr>
              <w:contextualSpacing/>
              <w:jc w:val="center"/>
              <w:rPr>
                <w:b/>
                <w:bCs/>
                <w:color w:val="000000"/>
                <w:lang w:bidi="ar-IQ"/>
              </w:rPr>
            </w:pPr>
            <w:r w:rsidRPr="001509DF">
              <w:rPr>
                <w:b/>
                <w:bCs/>
                <w:color w:val="000000"/>
                <w:lang w:bidi="ar-IQ"/>
              </w:rPr>
              <w:t xml:space="preserve">(No. = </w:t>
            </w:r>
            <w:r>
              <w:rPr>
                <w:b/>
                <w:bCs/>
                <w:color w:val="000000"/>
                <w:lang w:bidi="ar-IQ"/>
              </w:rPr>
              <w:t>66</w:t>
            </w:r>
            <w:r w:rsidRPr="001509DF">
              <w:rPr>
                <w:b/>
                <w:bCs/>
                <w:color w:val="000000"/>
                <w:lang w:bidi="ar-IQ"/>
              </w:rPr>
              <w:t>)</w:t>
            </w:r>
          </w:p>
        </w:tc>
      </w:tr>
      <w:tr w:rsidR="000A7730" w:rsidRPr="001509DF" w14:paraId="2D0CC6EB" w14:textId="77777777" w:rsidTr="000A7730">
        <w:trPr>
          <w:trHeight w:val="340"/>
        </w:trPr>
        <w:tc>
          <w:tcPr>
            <w:tcW w:w="4225" w:type="dxa"/>
            <w:gridSpan w:val="2"/>
            <w:vMerge/>
            <w:noWrap/>
            <w:vAlign w:val="center"/>
          </w:tcPr>
          <w:p w14:paraId="59A5FD15" w14:textId="77777777" w:rsidR="000A7730" w:rsidRPr="001509DF" w:rsidRDefault="000A7730" w:rsidP="00211625">
            <w:pPr>
              <w:contextualSpacing/>
              <w:jc w:val="center"/>
              <w:rPr>
                <w:b/>
                <w:bCs/>
                <w:color w:val="000000"/>
                <w:lang w:bidi="ar-IQ"/>
              </w:rPr>
            </w:pPr>
          </w:p>
        </w:tc>
        <w:tc>
          <w:tcPr>
            <w:tcW w:w="1710" w:type="dxa"/>
            <w:vAlign w:val="center"/>
          </w:tcPr>
          <w:p w14:paraId="4FEAEF83" w14:textId="77777777" w:rsidR="000A7730" w:rsidRPr="001509DF" w:rsidRDefault="000A7730" w:rsidP="00211625">
            <w:pPr>
              <w:contextualSpacing/>
              <w:jc w:val="center"/>
              <w:rPr>
                <w:b/>
                <w:bCs/>
                <w:color w:val="000000"/>
                <w:lang w:bidi="ar-IQ"/>
              </w:rPr>
            </w:pPr>
            <w:r w:rsidRPr="001509DF">
              <w:rPr>
                <w:b/>
                <w:bCs/>
                <w:color w:val="000000"/>
                <w:lang w:bidi="ar-IQ"/>
              </w:rPr>
              <w:t>Freq.</w:t>
            </w:r>
          </w:p>
        </w:tc>
        <w:tc>
          <w:tcPr>
            <w:tcW w:w="2160" w:type="dxa"/>
            <w:vAlign w:val="center"/>
          </w:tcPr>
          <w:p w14:paraId="02F3491D" w14:textId="77777777" w:rsidR="000A7730" w:rsidRPr="001509DF" w:rsidRDefault="000A7730" w:rsidP="00211625">
            <w:pPr>
              <w:contextualSpacing/>
              <w:jc w:val="center"/>
              <w:rPr>
                <w:b/>
                <w:bCs/>
                <w:color w:val="000000"/>
                <w:lang w:bidi="ar-IQ"/>
              </w:rPr>
            </w:pPr>
            <w:r w:rsidRPr="001509DF">
              <w:rPr>
                <w:b/>
                <w:bCs/>
                <w:color w:val="000000"/>
                <w:lang w:bidi="ar-IQ"/>
              </w:rPr>
              <w:t>%</w:t>
            </w:r>
          </w:p>
        </w:tc>
      </w:tr>
      <w:tr w:rsidR="00204333" w:rsidRPr="001509DF" w14:paraId="331A2528" w14:textId="77777777" w:rsidTr="0005435E">
        <w:trPr>
          <w:trHeight w:val="340"/>
        </w:trPr>
        <w:tc>
          <w:tcPr>
            <w:tcW w:w="1648" w:type="dxa"/>
            <w:vMerge w:val="restart"/>
            <w:noWrap/>
            <w:vAlign w:val="center"/>
          </w:tcPr>
          <w:p w14:paraId="5E37F46B" w14:textId="77777777" w:rsidR="00204333" w:rsidRPr="001509DF" w:rsidRDefault="00204333" w:rsidP="00204333">
            <w:pPr>
              <w:contextualSpacing/>
              <w:jc w:val="center"/>
              <w:rPr>
                <w:b/>
                <w:bCs/>
                <w:color w:val="000000"/>
                <w:lang w:bidi="ar-IQ"/>
              </w:rPr>
            </w:pPr>
            <w:r w:rsidRPr="001509DF">
              <w:rPr>
                <w:b/>
                <w:bCs/>
                <w:color w:val="000000"/>
                <w:lang w:bidi="ar-IQ"/>
              </w:rPr>
              <w:t>Age/Years</w:t>
            </w:r>
          </w:p>
        </w:tc>
        <w:tc>
          <w:tcPr>
            <w:tcW w:w="2577" w:type="dxa"/>
            <w:vAlign w:val="center"/>
          </w:tcPr>
          <w:p w14:paraId="23A89EEA" w14:textId="604540F0" w:rsidR="00204333" w:rsidRPr="001509DF" w:rsidRDefault="00204333" w:rsidP="00204333">
            <w:pPr>
              <w:contextualSpacing/>
              <w:jc w:val="center"/>
              <w:rPr>
                <w:b/>
                <w:bCs/>
                <w:color w:val="000000"/>
                <w:lang w:bidi="ar-IQ"/>
              </w:rPr>
            </w:pPr>
            <w:r>
              <w:rPr>
                <w:b/>
                <w:bCs/>
                <w:color w:val="000000"/>
                <w:lang w:bidi="ar-IQ"/>
              </w:rPr>
              <w:t>30</w:t>
            </w:r>
            <w:r w:rsidRPr="001509DF">
              <w:rPr>
                <w:b/>
                <w:bCs/>
                <w:color w:val="000000"/>
                <w:lang w:bidi="ar-IQ"/>
              </w:rPr>
              <w:t>-</w:t>
            </w:r>
            <w:r>
              <w:rPr>
                <w:b/>
                <w:bCs/>
                <w:color w:val="000000"/>
                <w:lang w:bidi="ar-IQ"/>
              </w:rPr>
              <w:t>39</w:t>
            </w:r>
          </w:p>
        </w:tc>
        <w:tc>
          <w:tcPr>
            <w:tcW w:w="1710" w:type="dxa"/>
            <w:vAlign w:val="bottom"/>
          </w:tcPr>
          <w:p w14:paraId="16E53C05" w14:textId="292C88AF" w:rsidR="00204333" w:rsidRPr="001509DF" w:rsidRDefault="00204333" w:rsidP="00204333">
            <w:pPr>
              <w:contextualSpacing/>
              <w:jc w:val="center"/>
              <w:rPr>
                <w:b/>
                <w:bCs/>
                <w:color w:val="000000"/>
                <w:lang w:bidi="ar-IQ"/>
              </w:rPr>
            </w:pPr>
            <w:r>
              <w:rPr>
                <w:rFonts w:ascii="Arial" w:hAnsi="Arial" w:cs="Arial"/>
                <w:color w:val="000000"/>
                <w:sz w:val="22"/>
                <w:szCs w:val="22"/>
              </w:rPr>
              <w:t>14</w:t>
            </w:r>
          </w:p>
        </w:tc>
        <w:tc>
          <w:tcPr>
            <w:tcW w:w="2160" w:type="dxa"/>
            <w:vAlign w:val="bottom"/>
          </w:tcPr>
          <w:p w14:paraId="733C4A74" w14:textId="2C8470A0" w:rsidR="00204333" w:rsidRPr="001509DF" w:rsidRDefault="00204333" w:rsidP="00204333">
            <w:pPr>
              <w:contextualSpacing/>
              <w:jc w:val="center"/>
              <w:rPr>
                <w:b/>
                <w:bCs/>
                <w:color w:val="000000"/>
                <w:lang w:bidi="ar-IQ"/>
              </w:rPr>
            </w:pPr>
            <w:r>
              <w:rPr>
                <w:rFonts w:ascii="Arial" w:hAnsi="Arial" w:cs="Arial"/>
                <w:color w:val="000000"/>
                <w:sz w:val="22"/>
                <w:szCs w:val="22"/>
              </w:rPr>
              <w:t>21.2</w:t>
            </w:r>
          </w:p>
        </w:tc>
      </w:tr>
      <w:tr w:rsidR="00204333" w:rsidRPr="001509DF" w14:paraId="49304158" w14:textId="77777777" w:rsidTr="0005435E">
        <w:trPr>
          <w:trHeight w:val="340"/>
        </w:trPr>
        <w:tc>
          <w:tcPr>
            <w:tcW w:w="1648" w:type="dxa"/>
            <w:vMerge/>
            <w:noWrap/>
            <w:vAlign w:val="center"/>
          </w:tcPr>
          <w:p w14:paraId="0D104361" w14:textId="77777777" w:rsidR="00204333" w:rsidRPr="001509DF" w:rsidRDefault="00204333" w:rsidP="00204333">
            <w:pPr>
              <w:contextualSpacing/>
              <w:jc w:val="center"/>
              <w:rPr>
                <w:b/>
                <w:bCs/>
                <w:color w:val="000000"/>
                <w:lang w:bidi="ar-IQ"/>
              </w:rPr>
            </w:pPr>
          </w:p>
        </w:tc>
        <w:tc>
          <w:tcPr>
            <w:tcW w:w="2577" w:type="dxa"/>
            <w:vAlign w:val="center"/>
          </w:tcPr>
          <w:p w14:paraId="43F59D88" w14:textId="5BE5535B" w:rsidR="00204333" w:rsidRPr="001509DF" w:rsidRDefault="00204333" w:rsidP="00204333">
            <w:pPr>
              <w:contextualSpacing/>
              <w:jc w:val="center"/>
              <w:rPr>
                <w:b/>
                <w:bCs/>
                <w:color w:val="000000"/>
                <w:lang w:bidi="ar-IQ"/>
              </w:rPr>
            </w:pPr>
            <w:r>
              <w:rPr>
                <w:b/>
                <w:bCs/>
                <w:color w:val="000000"/>
                <w:lang w:bidi="ar-IQ"/>
              </w:rPr>
              <w:t>40</w:t>
            </w:r>
            <w:r w:rsidRPr="001509DF">
              <w:rPr>
                <w:b/>
                <w:bCs/>
                <w:color w:val="000000"/>
                <w:lang w:bidi="ar-IQ"/>
              </w:rPr>
              <w:t>-</w:t>
            </w:r>
            <w:r>
              <w:rPr>
                <w:b/>
                <w:bCs/>
                <w:color w:val="000000"/>
                <w:lang w:bidi="ar-IQ"/>
              </w:rPr>
              <w:t>49</w:t>
            </w:r>
          </w:p>
        </w:tc>
        <w:tc>
          <w:tcPr>
            <w:tcW w:w="1710" w:type="dxa"/>
            <w:vAlign w:val="bottom"/>
          </w:tcPr>
          <w:p w14:paraId="40A93436" w14:textId="6FE175CD" w:rsidR="00204333" w:rsidRPr="001509DF" w:rsidRDefault="00204333" w:rsidP="00204333">
            <w:pPr>
              <w:contextualSpacing/>
              <w:jc w:val="center"/>
              <w:rPr>
                <w:b/>
                <w:bCs/>
                <w:color w:val="000000"/>
                <w:lang w:bidi="ar-IQ"/>
              </w:rPr>
            </w:pPr>
            <w:r>
              <w:rPr>
                <w:rFonts w:ascii="Arial" w:hAnsi="Arial" w:cs="Arial"/>
                <w:color w:val="000000"/>
                <w:sz w:val="22"/>
                <w:szCs w:val="22"/>
              </w:rPr>
              <w:t>20</w:t>
            </w:r>
          </w:p>
        </w:tc>
        <w:tc>
          <w:tcPr>
            <w:tcW w:w="2160" w:type="dxa"/>
            <w:vAlign w:val="bottom"/>
          </w:tcPr>
          <w:p w14:paraId="3644D23C" w14:textId="377124D9" w:rsidR="00204333" w:rsidRPr="001509DF" w:rsidRDefault="00204333" w:rsidP="00204333">
            <w:pPr>
              <w:contextualSpacing/>
              <w:jc w:val="center"/>
              <w:rPr>
                <w:b/>
                <w:bCs/>
                <w:color w:val="000000"/>
                <w:lang w:bidi="ar-IQ"/>
              </w:rPr>
            </w:pPr>
            <w:r>
              <w:rPr>
                <w:rFonts w:ascii="Arial" w:hAnsi="Arial" w:cs="Arial"/>
                <w:color w:val="000000"/>
                <w:sz w:val="22"/>
                <w:szCs w:val="22"/>
              </w:rPr>
              <w:t>30.3</w:t>
            </w:r>
          </w:p>
        </w:tc>
      </w:tr>
      <w:tr w:rsidR="00204333" w:rsidRPr="001509DF" w14:paraId="5E1C532E" w14:textId="77777777" w:rsidTr="0005435E">
        <w:trPr>
          <w:trHeight w:val="340"/>
        </w:trPr>
        <w:tc>
          <w:tcPr>
            <w:tcW w:w="1648" w:type="dxa"/>
            <w:vMerge/>
            <w:noWrap/>
            <w:vAlign w:val="center"/>
          </w:tcPr>
          <w:p w14:paraId="0AC19498" w14:textId="77777777" w:rsidR="00204333" w:rsidRPr="001509DF" w:rsidRDefault="00204333" w:rsidP="00204333">
            <w:pPr>
              <w:contextualSpacing/>
              <w:jc w:val="center"/>
              <w:rPr>
                <w:b/>
                <w:bCs/>
                <w:color w:val="000000"/>
                <w:lang w:bidi="ar-IQ"/>
              </w:rPr>
            </w:pPr>
          </w:p>
        </w:tc>
        <w:tc>
          <w:tcPr>
            <w:tcW w:w="2577" w:type="dxa"/>
            <w:vAlign w:val="center"/>
          </w:tcPr>
          <w:p w14:paraId="3F6E3DCC" w14:textId="50466BB6" w:rsidR="00204333" w:rsidRPr="001509DF" w:rsidRDefault="00204333" w:rsidP="00204333">
            <w:pPr>
              <w:contextualSpacing/>
              <w:jc w:val="center"/>
              <w:rPr>
                <w:b/>
                <w:bCs/>
                <w:color w:val="000000"/>
                <w:lang w:bidi="ar-IQ"/>
              </w:rPr>
            </w:pPr>
            <w:r>
              <w:rPr>
                <w:b/>
                <w:bCs/>
                <w:color w:val="000000"/>
                <w:lang w:bidi="ar-IQ"/>
              </w:rPr>
              <w:t>50</w:t>
            </w:r>
            <w:r w:rsidRPr="001509DF">
              <w:rPr>
                <w:b/>
                <w:bCs/>
                <w:color w:val="000000"/>
                <w:lang w:bidi="ar-IQ"/>
              </w:rPr>
              <w:t>-</w:t>
            </w:r>
            <w:r>
              <w:rPr>
                <w:b/>
                <w:bCs/>
                <w:color w:val="000000"/>
                <w:lang w:bidi="ar-IQ"/>
              </w:rPr>
              <w:t>59</w:t>
            </w:r>
          </w:p>
        </w:tc>
        <w:tc>
          <w:tcPr>
            <w:tcW w:w="1710" w:type="dxa"/>
            <w:vAlign w:val="bottom"/>
          </w:tcPr>
          <w:p w14:paraId="034585E4" w14:textId="0A9F578D" w:rsidR="00204333" w:rsidRPr="001509DF" w:rsidRDefault="00204333" w:rsidP="00204333">
            <w:pPr>
              <w:contextualSpacing/>
              <w:jc w:val="center"/>
              <w:rPr>
                <w:b/>
                <w:bCs/>
                <w:color w:val="000000"/>
                <w:lang w:bidi="ar-IQ"/>
              </w:rPr>
            </w:pPr>
            <w:r>
              <w:rPr>
                <w:rFonts w:ascii="Arial" w:hAnsi="Arial" w:cs="Arial"/>
                <w:color w:val="000000"/>
                <w:sz w:val="22"/>
                <w:szCs w:val="22"/>
              </w:rPr>
              <w:t>18</w:t>
            </w:r>
          </w:p>
        </w:tc>
        <w:tc>
          <w:tcPr>
            <w:tcW w:w="2160" w:type="dxa"/>
            <w:vAlign w:val="bottom"/>
          </w:tcPr>
          <w:p w14:paraId="1D2E39F2" w14:textId="1DEE70F9" w:rsidR="00204333" w:rsidRPr="001509DF" w:rsidRDefault="00204333" w:rsidP="00204333">
            <w:pPr>
              <w:contextualSpacing/>
              <w:jc w:val="center"/>
              <w:rPr>
                <w:b/>
                <w:bCs/>
                <w:color w:val="000000"/>
                <w:lang w:bidi="ar-IQ"/>
              </w:rPr>
            </w:pPr>
            <w:r>
              <w:rPr>
                <w:rFonts w:ascii="Arial" w:hAnsi="Arial" w:cs="Arial"/>
                <w:color w:val="000000"/>
                <w:sz w:val="22"/>
                <w:szCs w:val="22"/>
              </w:rPr>
              <w:t>27.3</w:t>
            </w:r>
          </w:p>
        </w:tc>
      </w:tr>
      <w:tr w:rsidR="00204333" w:rsidRPr="001509DF" w14:paraId="780BC548" w14:textId="77777777" w:rsidTr="0005435E">
        <w:trPr>
          <w:trHeight w:val="340"/>
        </w:trPr>
        <w:tc>
          <w:tcPr>
            <w:tcW w:w="1648" w:type="dxa"/>
            <w:vMerge/>
            <w:noWrap/>
            <w:vAlign w:val="center"/>
          </w:tcPr>
          <w:p w14:paraId="5B47AA07" w14:textId="77777777" w:rsidR="00204333" w:rsidRPr="001509DF" w:rsidRDefault="00204333" w:rsidP="00204333">
            <w:pPr>
              <w:contextualSpacing/>
              <w:jc w:val="center"/>
              <w:rPr>
                <w:b/>
                <w:bCs/>
                <w:color w:val="000000"/>
                <w:lang w:bidi="ar-IQ"/>
              </w:rPr>
            </w:pPr>
          </w:p>
        </w:tc>
        <w:tc>
          <w:tcPr>
            <w:tcW w:w="2577" w:type="dxa"/>
            <w:vAlign w:val="center"/>
          </w:tcPr>
          <w:p w14:paraId="6752BF4F" w14:textId="09B032E6" w:rsidR="00204333" w:rsidRPr="001509DF" w:rsidRDefault="00204333" w:rsidP="00204333">
            <w:pPr>
              <w:contextualSpacing/>
              <w:jc w:val="center"/>
              <w:rPr>
                <w:b/>
                <w:bCs/>
                <w:color w:val="000000"/>
                <w:lang w:bidi="ar-IQ"/>
              </w:rPr>
            </w:pPr>
            <w:r w:rsidRPr="001509DF">
              <w:rPr>
                <w:b/>
                <w:bCs/>
                <w:color w:val="000000"/>
                <w:lang w:bidi="ar-IQ"/>
              </w:rPr>
              <w:t xml:space="preserve">≥ </w:t>
            </w:r>
            <w:r>
              <w:rPr>
                <w:b/>
                <w:bCs/>
                <w:color w:val="000000"/>
                <w:lang w:bidi="ar-IQ"/>
              </w:rPr>
              <w:t>60</w:t>
            </w:r>
          </w:p>
        </w:tc>
        <w:tc>
          <w:tcPr>
            <w:tcW w:w="1710" w:type="dxa"/>
            <w:vAlign w:val="bottom"/>
          </w:tcPr>
          <w:p w14:paraId="6C8221B3" w14:textId="5F70D580" w:rsidR="00204333" w:rsidRPr="001509DF" w:rsidRDefault="00204333" w:rsidP="00204333">
            <w:pPr>
              <w:contextualSpacing/>
              <w:jc w:val="center"/>
              <w:rPr>
                <w:b/>
                <w:bCs/>
                <w:color w:val="000000"/>
                <w:lang w:bidi="ar-IQ"/>
              </w:rPr>
            </w:pPr>
            <w:r>
              <w:rPr>
                <w:rFonts w:ascii="Arial" w:hAnsi="Arial" w:cs="Arial"/>
                <w:color w:val="000000"/>
                <w:sz w:val="22"/>
                <w:szCs w:val="22"/>
              </w:rPr>
              <w:t>14</w:t>
            </w:r>
          </w:p>
        </w:tc>
        <w:tc>
          <w:tcPr>
            <w:tcW w:w="2160" w:type="dxa"/>
            <w:vAlign w:val="bottom"/>
          </w:tcPr>
          <w:p w14:paraId="5753AE5C" w14:textId="06BB6F90" w:rsidR="00204333" w:rsidRPr="001509DF" w:rsidRDefault="00204333" w:rsidP="00204333">
            <w:pPr>
              <w:contextualSpacing/>
              <w:jc w:val="center"/>
              <w:rPr>
                <w:b/>
                <w:bCs/>
                <w:color w:val="000000"/>
                <w:lang w:bidi="ar-IQ"/>
              </w:rPr>
            </w:pPr>
            <w:r>
              <w:rPr>
                <w:rFonts w:ascii="Arial" w:hAnsi="Arial" w:cs="Arial"/>
                <w:color w:val="000000"/>
                <w:sz w:val="22"/>
                <w:szCs w:val="22"/>
              </w:rPr>
              <w:t>21.2</w:t>
            </w:r>
          </w:p>
        </w:tc>
      </w:tr>
      <w:tr w:rsidR="00204333" w:rsidRPr="001509DF" w14:paraId="7D0FDD85" w14:textId="77777777" w:rsidTr="0005435E">
        <w:trPr>
          <w:trHeight w:val="340"/>
        </w:trPr>
        <w:tc>
          <w:tcPr>
            <w:tcW w:w="1648" w:type="dxa"/>
            <w:vMerge w:val="restart"/>
            <w:noWrap/>
            <w:vAlign w:val="center"/>
          </w:tcPr>
          <w:p w14:paraId="769C4B19" w14:textId="2EF8F13D" w:rsidR="00204333" w:rsidRPr="001509DF" w:rsidRDefault="00204333" w:rsidP="00204333">
            <w:pPr>
              <w:contextualSpacing/>
              <w:jc w:val="center"/>
              <w:rPr>
                <w:b/>
                <w:bCs/>
                <w:color w:val="000000"/>
                <w:lang w:bidi="ar-IQ"/>
              </w:rPr>
            </w:pPr>
            <w:r w:rsidRPr="001509DF">
              <w:rPr>
                <w:b/>
                <w:bCs/>
                <w:color w:val="000000"/>
                <w:lang w:bidi="ar-IQ"/>
              </w:rPr>
              <w:t>Gender</w:t>
            </w:r>
          </w:p>
        </w:tc>
        <w:tc>
          <w:tcPr>
            <w:tcW w:w="2577" w:type="dxa"/>
            <w:vAlign w:val="center"/>
          </w:tcPr>
          <w:p w14:paraId="64F9E64E" w14:textId="018C52D0" w:rsidR="00204333" w:rsidRPr="001509DF" w:rsidRDefault="00204333" w:rsidP="00204333">
            <w:pPr>
              <w:contextualSpacing/>
              <w:jc w:val="center"/>
              <w:rPr>
                <w:b/>
                <w:bCs/>
                <w:color w:val="000000"/>
                <w:lang w:bidi="ar-IQ"/>
              </w:rPr>
            </w:pPr>
            <w:r w:rsidRPr="001509DF">
              <w:rPr>
                <w:b/>
                <w:bCs/>
                <w:color w:val="000000"/>
                <w:lang w:bidi="ar-IQ"/>
              </w:rPr>
              <w:t>Male</w:t>
            </w:r>
          </w:p>
        </w:tc>
        <w:tc>
          <w:tcPr>
            <w:tcW w:w="1710" w:type="dxa"/>
            <w:vAlign w:val="bottom"/>
          </w:tcPr>
          <w:p w14:paraId="620531A6" w14:textId="5FB3958B" w:rsidR="00204333" w:rsidRPr="001509DF" w:rsidRDefault="00204333" w:rsidP="00204333">
            <w:pPr>
              <w:contextualSpacing/>
              <w:jc w:val="center"/>
              <w:rPr>
                <w:b/>
                <w:bCs/>
                <w:color w:val="000000"/>
                <w:lang w:bidi="ar-IQ"/>
              </w:rPr>
            </w:pPr>
            <w:r>
              <w:rPr>
                <w:rFonts w:ascii="Arial" w:hAnsi="Arial" w:cs="Arial"/>
                <w:color w:val="000000"/>
                <w:sz w:val="22"/>
                <w:szCs w:val="22"/>
              </w:rPr>
              <w:t>36</w:t>
            </w:r>
          </w:p>
        </w:tc>
        <w:tc>
          <w:tcPr>
            <w:tcW w:w="2160" w:type="dxa"/>
            <w:vAlign w:val="bottom"/>
          </w:tcPr>
          <w:p w14:paraId="7C4E9C0C" w14:textId="077CD21C" w:rsidR="00204333" w:rsidRPr="001509DF" w:rsidRDefault="00204333" w:rsidP="00204333">
            <w:pPr>
              <w:contextualSpacing/>
              <w:jc w:val="center"/>
              <w:rPr>
                <w:b/>
                <w:bCs/>
                <w:color w:val="000000"/>
                <w:lang w:bidi="ar-IQ"/>
              </w:rPr>
            </w:pPr>
            <w:r>
              <w:rPr>
                <w:rFonts w:ascii="Arial" w:hAnsi="Arial" w:cs="Arial"/>
                <w:color w:val="000000"/>
                <w:sz w:val="22"/>
                <w:szCs w:val="22"/>
              </w:rPr>
              <w:t>54.5</w:t>
            </w:r>
          </w:p>
        </w:tc>
      </w:tr>
      <w:tr w:rsidR="00204333" w:rsidRPr="001509DF" w14:paraId="64ED5DCB" w14:textId="77777777" w:rsidTr="0005435E">
        <w:trPr>
          <w:trHeight w:val="340"/>
        </w:trPr>
        <w:tc>
          <w:tcPr>
            <w:tcW w:w="1648" w:type="dxa"/>
            <w:vMerge/>
            <w:noWrap/>
            <w:vAlign w:val="center"/>
          </w:tcPr>
          <w:p w14:paraId="64B23E43" w14:textId="77777777" w:rsidR="00204333" w:rsidRPr="001509DF" w:rsidRDefault="00204333" w:rsidP="00204333">
            <w:pPr>
              <w:contextualSpacing/>
              <w:jc w:val="center"/>
              <w:rPr>
                <w:b/>
                <w:bCs/>
                <w:color w:val="000000"/>
                <w:lang w:bidi="ar-IQ"/>
              </w:rPr>
            </w:pPr>
          </w:p>
        </w:tc>
        <w:tc>
          <w:tcPr>
            <w:tcW w:w="2577" w:type="dxa"/>
            <w:vAlign w:val="center"/>
          </w:tcPr>
          <w:p w14:paraId="250B6F6D" w14:textId="5CC17FB8" w:rsidR="00204333" w:rsidRPr="001509DF" w:rsidRDefault="00204333" w:rsidP="00204333">
            <w:pPr>
              <w:contextualSpacing/>
              <w:jc w:val="center"/>
              <w:rPr>
                <w:b/>
                <w:bCs/>
                <w:color w:val="000000"/>
                <w:lang w:bidi="ar-IQ"/>
              </w:rPr>
            </w:pPr>
            <w:r w:rsidRPr="001509DF">
              <w:rPr>
                <w:b/>
                <w:bCs/>
                <w:color w:val="000000"/>
                <w:lang w:bidi="ar-IQ"/>
              </w:rPr>
              <w:t>Female</w:t>
            </w:r>
          </w:p>
        </w:tc>
        <w:tc>
          <w:tcPr>
            <w:tcW w:w="1710" w:type="dxa"/>
            <w:vAlign w:val="bottom"/>
          </w:tcPr>
          <w:p w14:paraId="42BE6F55" w14:textId="5A954321" w:rsidR="00204333" w:rsidRPr="001509DF" w:rsidRDefault="00204333" w:rsidP="00204333">
            <w:pPr>
              <w:contextualSpacing/>
              <w:jc w:val="center"/>
              <w:rPr>
                <w:b/>
                <w:bCs/>
                <w:color w:val="000000"/>
                <w:lang w:bidi="ar-IQ"/>
              </w:rPr>
            </w:pPr>
            <w:r>
              <w:rPr>
                <w:rFonts w:ascii="Arial" w:hAnsi="Arial" w:cs="Arial"/>
                <w:color w:val="000000"/>
                <w:sz w:val="22"/>
                <w:szCs w:val="22"/>
              </w:rPr>
              <w:t>30</w:t>
            </w:r>
          </w:p>
        </w:tc>
        <w:tc>
          <w:tcPr>
            <w:tcW w:w="2160" w:type="dxa"/>
            <w:vAlign w:val="bottom"/>
          </w:tcPr>
          <w:p w14:paraId="1EC1D557" w14:textId="2B3D235A" w:rsidR="00204333" w:rsidRPr="001509DF" w:rsidRDefault="00204333" w:rsidP="00204333">
            <w:pPr>
              <w:contextualSpacing/>
              <w:jc w:val="center"/>
              <w:rPr>
                <w:b/>
                <w:bCs/>
                <w:color w:val="000000"/>
                <w:lang w:bidi="ar-IQ"/>
              </w:rPr>
            </w:pPr>
            <w:r>
              <w:rPr>
                <w:rFonts w:ascii="Arial" w:hAnsi="Arial" w:cs="Arial"/>
                <w:color w:val="000000"/>
                <w:sz w:val="22"/>
                <w:szCs w:val="22"/>
              </w:rPr>
              <w:t>45.5</w:t>
            </w:r>
          </w:p>
        </w:tc>
      </w:tr>
    </w:tbl>
    <w:p w14:paraId="682BD637" w14:textId="77777777" w:rsidR="003908D8" w:rsidRPr="001509DF" w:rsidRDefault="003908D8" w:rsidP="00000CD1">
      <w:pPr>
        <w:spacing w:line="360" w:lineRule="auto"/>
        <w:ind w:right="1" w:firstLine="720"/>
        <w:jc w:val="both"/>
        <w:rPr>
          <w:bCs/>
          <w:color w:val="000000" w:themeColor="text1"/>
          <w:sz w:val="28"/>
          <w:szCs w:val="28"/>
        </w:rPr>
      </w:pPr>
    </w:p>
    <w:p w14:paraId="7AC94955" w14:textId="3AC52093" w:rsidR="001C3BB0" w:rsidRDefault="005C5944" w:rsidP="00C718E0">
      <w:pPr>
        <w:spacing w:after="33" w:line="360" w:lineRule="auto"/>
        <w:ind w:left="10" w:right="4" w:hanging="10"/>
        <w:jc w:val="both"/>
        <w:rPr>
          <w:bCs/>
          <w:color w:val="000000"/>
          <w:sz w:val="28"/>
          <w:lang w:eastAsia="ar-IQ" w:bidi="ar-IQ"/>
        </w:rPr>
      </w:pPr>
      <w:r>
        <w:rPr>
          <w:bCs/>
          <w:color w:val="000000"/>
          <w:sz w:val="28"/>
          <w:lang w:eastAsia="ar-IQ" w:bidi="ar-IQ"/>
        </w:rPr>
        <w:t xml:space="preserve">              </w:t>
      </w:r>
      <w:r w:rsidR="00C718E0" w:rsidRPr="00C718E0">
        <w:rPr>
          <w:bCs/>
          <w:color w:val="000000"/>
          <w:sz w:val="28"/>
          <w:lang w:eastAsia="ar-IQ" w:bidi="ar-IQ"/>
        </w:rPr>
        <w:t>The distribution of patients according to the inflammatory status of the implanted sites is depicted in figure 1. Healthy implants accounted for 56% of the study group, followed by peri-implantitis sites (44%).</w:t>
      </w:r>
    </w:p>
    <w:p w14:paraId="1BB36FDF" w14:textId="77777777" w:rsidR="007856FE" w:rsidRPr="001C3BB0" w:rsidRDefault="007856FE" w:rsidP="001C3BB0">
      <w:pPr>
        <w:spacing w:after="33" w:line="360" w:lineRule="auto"/>
        <w:ind w:left="10" w:right="4" w:hanging="10"/>
        <w:jc w:val="both"/>
        <w:rPr>
          <w:bCs/>
          <w:color w:val="000000"/>
          <w:sz w:val="28"/>
          <w:lang w:eastAsia="ar-IQ" w:bidi="ar-IQ"/>
        </w:rPr>
      </w:pPr>
    </w:p>
    <w:p w14:paraId="3DA1BF61" w14:textId="72A23AF1" w:rsidR="001C3BB0" w:rsidRPr="001509DF" w:rsidRDefault="002F68D1" w:rsidP="00452381">
      <w:pPr>
        <w:spacing w:after="33" w:line="360" w:lineRule="auto"/>
        <w:ind w:left="10" w:right="4" w:hanging="10"/>
        <w:jc w:val="both"/>
        <w:rPr>
          <w:bCs/>
          <w:color w:val="000000"/>
          <w:sz w:val="28"/>
          <w:lang w:eastAsia="ar-IQ" w:bidi="ar-IQ"/>
        </w:rPr>
      </w:pPr>
      <w:r>
        <w:rPr>
          <w:bCs/>
          <w:noProof/>
          <w:color w:val="000000"/>
          <w:sz w:val="28"/>
          <w:lang w:eastAsia="ar-IQ" w:bidi="ar-IQ"/>
        </w:rPr>
        <w:drawing>
          <wp:inline distT="0" distB="0" distL="0" distR="0" wp14:anchorId="3403ED92" wp14:editId="25BE3D42">
            <wp:extent cx="4584700" cy="2749550"/>
            <wp:effectExtent l="19050" t="19050" r="25400" b="12700"/>
            <wp:docPr id="1330644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49550"/>
                    </a:xfrm>
                    <a:prstGeom prst="rect">
                      <a:avLst/>
                    </a:prstGeom>
                    <a:noFill/>
                    <a:ln w="19050">
                      <a:solidFill>
                        <a:schemeClr val="tx1"/>
                      </a:solidFill>
                    </a:ln>
                  </pic:spPr>
                </pic:pic>
              </a:graphicData>
            </a:graphic>
          </wp:inline>
        </w:drawing>
      </w:r>
    </w:p>
    <w:p w14:paraId="331AC3A7" w14:textId="18D1CFD9" w:rsidR="007856FE" w:rsidRDefault="007856FE" w:rsidP="007856FE">
      <w:pPr>
        <w:spacing w:after="33" w:line="360" w:lineRule="auto"/>
        <w:ind w:left="10" w:right="4" w:hanging="10"/>
        <w:jc w:val="both"/>
        <w:rPr>
          <w:b/>
          <w:color w:val="000000"/>
          <w:sz w:val="28"/>
          <w:lang w:eastAsia="ar-IQ" w:bidi="ar-IQ"/>
        </w:rPr>
      </w:pPr>
      <w:r>
        <w:rPr>
          <w:b/>
          <w:color w:val="000000"/>
          <w:sz w:val="28"/>
          <w:lang w:eastAsia="ar-IQ" w:bidi="ar-IQ"/>
        </w:rPr>
        <w:t>Figure</w:t>
      </w:r>
      <w:r w:rsidRPr="001509DF">
        <w:rPr>
          <w:b/>
          <w:color w:val="000000"/>
          <w:sz w:val="28"/>
          <w:lang w:eastAsia="ar-IQ" w:bidi="ar-IQ"/>
        </w:rPr>
        <w:t xml:space="preserve"> </w:t>
      </w:r>
      <w:r>
        <w:rPr>
          <w:b/>
          <w:color w:val="000000"/>
          <w:sz w:val="28"/>
          <w:lang w:eastAsia="ar-IQ" w:bidi="ar-IQ"/>
        </w:rPr>
        <w:t>1</w:t>
      </w:r>
      <w:r w:rsidRPr="001509DF">
        <w:rPr>
          <w:b/>
          <w:color w:val="000000"/>
          <w:sz w:val="28"/>
          <w:lang w:eastAsia="ar-IQ" w:bidi="ar-IQ"/>
        </w:rPr>
        <w:t xml:space="preserve">. </w:t>
      </w:r>
      <w:r w:rsidR="00C718E0">
        <w:rPr>
          <w:b/>
          <w:color w:val="000000"/>
          <w:sz w:val="28"/>
          <w:lang w:eastAsia="ar-IQ" w:bidi="ar-IQ"/>
        </w:rPr>
        <w:t>The p</w:t>
      </w:r>
      <w:r>
        <w:rPr>
          <w:b/>
          <w:color w:val="000000"/>
          <w:sz w:val="28"/>
          <w:lang w:eastAsia="ar-IQ" w:bidi="ar-IQ"/>
        </w:rPr>
        <w:t xml:space="preserve">ercentage of </w:t>
      </w:r>
      <w:r>
        <w:rPr>
          <w:b/>
          <w:color w:val="000000"/>
          <w:sz w:val="26"/>
          <w:lang w:eastAsia="ar-IQ" w:bidi="ar-IQ"/>
        </w:rPr>
        <w:t>patients group</w:t>
      </w:r>
      <w:r>
        <w:rPr>
          <w:b/>
          <w:color w:val="000000"/>
          <w:sz w:val="28"/>
          <w:lang w:eastAsia="ar-IQ" w:bidi="ar-IQ"/>
        </w:rPr>
        <w:t xml:space="preserve"> </w:t>
      </w:r>
      <w:r w:rsidR="00C718E0">
        <w:rPr>
          <w:b/>
          <w:color w:val="000000"/>
          <w:sz w:val="28"/>
          <w:lang w:eastAsia="ar-IQ" w:bidi="ar-IQ"/>
        </w:rPr>
        <w:t>based on</w:t>
      </w:r>
      <w:r>
        <w:rPr>
          <w:b/>
          <w:color w:val="000000"/>
          <w:sz w:val="28"/>
          <w:lang w:eastAsia="ar-IQ" w:bidi="ar-IQ"/>
        </w:rPr>
        <w:t xml:space="preserve"> </w:t>
      </w:r>
      <w:r w:rsidR="002F68D1">
        <w:rPr>
          <w:b/>
          <w:color w:val="000000"/>
          <w:sz w:val="28"/>
          <w:lang w:eastAsia="ar-IQ" w:bidi="ar-IQ"/>
        </w:rPr>
        <w:t xml:space="preserve">inflammatory status of the implanted sites </w:t>
      </w:r>
    </w:p>
    <w:p w14:paraId="795CA087" w14:textId="77777777" w:rsidR="00134756" w:rsidRDefault="00134756" w:rsidP="007856FE">
      <w:pPr>
        <w:spacing w:after="33" w:line="360" w:lineRule="auto"/>
        <w:ind w:left="10" w:right="4" w:hanging="10"/>
        <w:jc w:val="both"/>
        <w:rPr>
          <w:b/>
          <w:color w:val="000000"/>
          <w:sz w:val="28"/>
          <w:lang w:eastAsia="ar-IQ" w:bidi="ar-IQ"/>
        </w:rPr>
      </w:pPr>
    </w:p>
    <w:p w14:paraId="6602B858" w14:textId="3C1A33C0" w:rsidR="00217922" w:rsidRPr="00217922" w:rsidRDefault="006776D4" w:rsidP="006776D4">
      <w:pPr>
        <w:spacing w:after="33" w:line="360" w:lineRule="auto"/>
        <w:ind w:left="10" w:right="4" w:hanging="10"/>
        <w:jc w:val="both"/>
        <w:rPr>
          <w:bCs/>
          <w:color w:val="000000"/>
          <w:sz w:val="28"/>
          <w:lang w:eastAsia="ar-IQ" w:bidi="ar-IQ"/>
        </w:rPr>
      </w:pPr>
      <w:r w:rsidRPr="006776D4">
        <w:rPr>
          <w:bCs/>
          <w:color w:val="000000"/>
          <w:sz w:val="28"/>
          <w:lang w:eastAsia="ar-IQ" w:bidi="ar-IQ"/>
        </w:rPr>
        <w:t xml:space="preserve">The bar plot shows how each level of analgesia is distributed by anatomical hierarchy against the duration of patient-reported pain, with the characteristically positively skewed distribution in which most patients reported moderate-duration pain (figure 2). The most frequently encountered level is 3 (36%): pain between 24 hours and 48 hours. The aggregate frequencies suggest that for those patients being </w:t>
      </w:r>
      <w:r w:rsidRPr="006776D4">
        <w:rPr>
          <w:bCs/>
          <w:color w:val="000000"/>
          <w:sz w:val="28"/>
          <w:lang w:eastAsia="ar-IQ" w:bidi="ar-IQ"/>
        </w:rPr>
        <w:lastRenderedPageBreak/>
        <w:t xml:space="preserve">treated, close to three-fifths have a resolution of their pain within 48 hours (59%) consistent with normal physiological healing </w:t>
      </w:r>
      <w:r>
        <w:rPr>
          <w:bCs/>
          <w:color w:val="000000"/>
          <w:sz w:val="28"/>
          <w:lang w:eastAsia="ar-IQ" w:bidi="ar-IQ"/>
        </w:rPr>
        <w:t>mechanisms</w:t>
      </w:r>
      <w:r w:rsidR="00217922" w:rsidRPr="00217922">
        <w:rPr>
          <w:bCs/>
          <w:color w:val="000000"/>
          <w:sz w:val="28"/>
          <w:lang w:eastAsia="ar-IQ" w:bidi="ar-IQ"/>
        </w:rPr>
        <w:t>; The low prevalence of Level 5 (7%) represents pain that lasts longer than 72 hours—this is clinically reassuring because prolonged duration may indicate complications leading to operative intervention. Nonetheless, we must pay attention to these 22% of patients with Level 4 pain for up to 72 hours; in fact, this subgroup could be composed of individuals with increased inflammatory sensitivity or even subclinical complications.</w:t>
      </w:r>
    </w:p>
    <w:p w14:paraId="562E1E71" w14:textId="77777777" w:rsidR="004C60BB" w:rsidRDefault="004C60BB" w:rsidP="007856FE">
      <w:pPr>
        <w:spacing w:after="33" w:line="360" w:lineRule="auto"/>
        <w:ind w:left="10" w:right="4" w:hanging="10"/>
        <w:jc w:val="both"/>
        <w:rPr>
          <w:b/>
          <w:color w:val="000000"/>
          <w:sz w:val="28"/>
          <w:lang w:eastAsia="ar-IQ" w:bidi="ar-IQ"/>
        </w:rPr>
      </w:pPr>
    </w:p>
    <w:p w14:paraId="7C36CE07" w14:textId="6E191A78" w:rsidR="004C60BB" w:rsidRPr="001509DF" w:rsidRDefault="004C60BB" w:rsidP="007856FE">
      <w:pPr>
        <w:spacing w:after="33" w:line="360" w:lineRule="auto"/>
        <w:ind w:left="10" w:right="4" w:hanging="10"/>
        <w:jc w:val="both"/>
        <w:rPr>
          <w:b/>
          <w:color w:val="000000"/>
          <w:sz w:val="28"/>
          <w:lang w:eastAsia="ar-IQ" w:bidi="ar-IQ"/>
        </w:rPr>
      </w:pPr>
      <w:r>
        <w:rPr>
          <w:b/>
          <w:noProof/>
          <w:color w:val="000000"/>
          <w:sz w:val="28"/>
          <w:lang w:eastAsia="ar-IQ" w:bidi="ar-IQ"/>
        </w:rPr>
        <w:drawing>
          <wp:inline distT="0" distB="0" distL="0" distR="0" wp14:anchorId="05E2F0C5" wp14:editId="6AA0A0DD">
            <wp:extent cx="5773327" cy="3241040"/>
            <wp:effectExtent l="19050" t="19050" r="18415" b="16510"/>
            <wp:docPr id="1818238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5446"/>
                    <a:stretch>
                      <a:fillRect/>
                    </a:stretch>
                  </pic:blipFill>
                  <pic:spPr bwMode="auto">
                    <a:xfrm>
                      <a:off x="0" y="0"/>
                      <a:ext cx="5788284" cy="3249436"/>
                    </a:xfrm>
                    <a:prstGeom prst="rect">
                      <a:avLst/>
                    </a:prstGeom>
                    <a:noFill/>
                    <a:ln w="19050"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F19AF88" w14:textId="21D8D968" w:rsidR="004C60BB" w:rsidRDefault="004C60BB" w:rsidP="004C60BB">
      <w:pPr>
        <w:spacing w:after="33" w:line="360" w:lineRule="auto"/>
        <w:ind w:left="10" w:right="4" w:hanging="10"/>
        <w:jc w:val="both"/>
        <w:rPr>
          <w:b/>
          <w:color w:val="000000"/>
          <w:sz w:val="28"/>
          <w:lang w:eastAsia="ar-IQ" w:bidi="ar-IQ"/>
        </w:rPr>
      </w:pPr>
      <w:r>
        <w:rPr>
          <w:b/>
          <w:color w:val="000000"/>
          <w:sz w:val="28"/>
          <w:lang w:eastAsia="ar-IQ" w:bidi="ar-IQ"/>
        </w:rPr>
        <w:t>Figure</w:t>
      </w:r>
      <w:r w:rsidRPr="001509DF">
        <w:rPr>
          <w:b/>
          <w:color w:val="000000"/>
          <w:sz w:val="28"/>
          <w:lang w:eastAsia="ar-IQ" w:bidi="ar-IQ"/>
        </w:rPr>
        <w:t xml:space="preserve"> </w:t>
      </w:r>
      <w:r>
        <w:rPr>
          <w:b/>
          <w:color w:val="000000"/>
          <w:sz w:val="28"/>
          <w:lang w:eastAsia="ar-IQ" w:bidi="ar-IQ"/>
        </w:rPr>
        <w:t>2</w:t>
      </w:r>
      <w:r w:rsidRPr="001509DF">
        <w:rPr>
          <w:b/>
          <w:color w:val="000000"/>
          <w:sz w:val="28"/>
          <w:lang w:eastAsia="ar-IQ" w:bidi="ar-IQ"/>
        </w:rPr>
        <w:t xml:space="preserve">. </w:t>
      </w:r>
      <w:r>
        <w:rPr>
          <w:b/>
          <w:color w:val="000000"/>
          <w:sz w:val="28"/>
          <w:lang w:eastAsia="ar-IQ" w:bidi="ar-IQ"/>
        </w:rPr>
        <w:t xml:space="preserve">Percentage of </w:t>
      </w:r>
      <w:r>
        <w:rPr>
          <w:b/>
          <w:color w:val="000000"/>
          <w:sz w:val="26"/>
          <w:lang w:eastAsia="ar-IQ" w:bidi="ar-IQ"/>
        </w:rPr>
        <w:t>patients groups</w:t>
      </w:r>
      <w:r>
        <w:rPr>
          <w:b/>
          <w:color w:val="000000"/>
          <w:sz w:val="28"/>
          <w:lang w:eastAsia="ar-IQ" w:bidi="ar-IQ"/>
        </w:rPr>
        <w:t xml:space="preserve"> according to assessment of pain </w:t>
      </w:r>
    </w:p>
    <w:p w14:paraId="6D910D7F" w14:textId="77777777" w:rsidR="004C60BB" w:rsidRDefault="004C60BB" w:rsidP="00C60BF1">
      <w:pPr>
        <w:spacing w:after="33" w:line="360" w:lineRule="auto"/>
        <w:ind w:left="10" w:right="4" w:hanging="10"/>
        <w:jc w:val="both"/>
        <w:rPr>
          <w:bCs/>
          <w:color w:val="000000"/>
          <w:sz w:val="28"/>
          <w:lang w:eastAsia="ar-IQ" w:bidi="ar-IQ"/>
        </w:rPr>
      </w:pPr>
    </w:p>
    <w:p w14:paraId="7056A0F1" w14:textId="2A7B838F" w:rsidR="002E3B6D" w:rsidRPr="002E3B6D" w:rsidRDefault="00C60BF1" w:rsidP="00217922">
      <w:pPr>
        <w:spacing w:after="33" w:line="360" w:lineRule="auto"/>
        <w:ind w:left="10" w:right="4" w:hanging="10"/>
        <w:jc w:val="both"/>
        <w:rPr>
          <w:bCs/>
          <w:color w:val="000000"/>
          <w:sz w:val="28"/>
          <w:lang w:eastAsia="ar-IQ" w:bidi="ar-IQ"/>
        </w:rPr>
      </w:pPr>
      <w:r w:rsidRPr="00C60BF1">
        <w:rPr>
          <w:bCs/>
          <w:color w:val="000000"/>
          <w:sz w:val="28"/>
          <w:lang w:eastAsia="ar-IQ" w:bidi="ar-IQ"/>
        </w:rPr>
        <w:t xml:space="preserve">The effect of implant superstructure type on inflammatory cytokine levels in peri-implant crevicular fluid was evaluated in the current study (table 2). Statistical analysis was performed and showed significant differences statistically between those with screw-retained zirconia crowns (Group 1) compared to cement-retained </w:t>
      </w:r>
      <w:r w:rsidRPr="00C60BF1">
        <w:rPr>
          <w:bCs/>
          <w:color w:val="000000"/>
          <w:sz w:val="28"/>
          <w:lang w:eastAsia="ar-IQ" w:bidi="ar-IQ"/>
        </w:rPr>
        <w:lastRenderedPageBreak/>
        <w:t xml:space="preserve">metal-ceramic crowns (Group 2). More specifically, IL-1β levels were significantly higher in Group 2 (45.7 ± 9.2 </w:t>
      </w:r>
      <w:proofErr w:type="spellStart"/>
      <w:r w:rsidRPr="00C60BF1">
        <w:rPr>
          <w:bCs/>
          <w:color w:val="000000"/>
          <w:sz w:val="28"/>
          <w:lang w:eastAsia="ar-IQ" w:bidi="ar-IQ"/>
        </w:rPr>
        <w:t>pg</w:t>
      </w:r>
      <w:proofErr w:type="spellEnd"/>
      <w:r w:rsidRPr="00C60BF1">
        <w:rPr>
          <w:bCs/>
          <w:color w:val="000000"/>
          <w:sz w:val="28"/>
          <w:lang w:eastAsia="ar-IQ" w:bidi="ar-IQ"/>
        </w:rPr>
        <w:t xml:space="preserve">/mL) than Group 1 (34.8 ± 7.6 </w:t>
      </w:r>
      <w:proofErr w:type="spellStart"/>
      <w:r w:rsidRPr="00C60BF1">
        <w:rPr>
          <w:bCs/>
          <w:color w:val="000000"/>
          <w:sz w:val="28"/>
          <w:lang w:eastAsia="ar-IQ" w:bidi="ar-IQ"/>
        </w:rPr>
        <w:t>pg</w:t>
      </w:r>
      <w:proofErr w:type="spellEnd"/>
      <w:r w:rsidRPr="00C60BF1">
        <w:rPr>
          <w:bCs/>
          <w:color w:val="000000"/>
          <w:sz w:val="28"/>
          <w:lang w:eastAsia="ar-IQ" w:bidi="ar-IQ"/>
        </w:rPr>
        <w:t xml:space="preserve">/mL), with t-value = 4·52 and p &lt;0.004. Likewise, in Group 2 (30.8 ± 7.5 </w:t>
      </w:r>
      <w:proofErr w:type="spellStart"/>
      <w:r w:rsidRPr="00C60BF1">
        <w:rPr>
          <w:bCs/>
          <w:color w:val="000000"/>
          <w:sz w:val="28"/>
          <w:lang w:eastAsia="ar-IQ" w:bidi="ar-IQ"/>
        </w:rPr>
        <w:t>pg</w:t>
      </w:r>
      <w:proofErr w:type="spellEnd"/>
      <w:r w:rsidRPr="00C60BF1">
        <w:rPr>
          <w:bCs/>
          <w:color w:val="000000"/>
          <w:sz w:val="28"/>
          <w:lang w:eastAsia="ar-IQ" w:bidi="ar-IQ"/>
        </w:rPr>
        <w:t xml:space="preserve">/mL), the IL-6 levels were significantly higher than those from Group 1 (19.6 ± 5.4 </w:t>
      </w:r>
      <w:proofErr w:type="spellStart"/>
      <w:r w:rsidRPr="00C60BF1">
        <w:rPr>
          <w:bCs/>
          <w:color w:val="000000"/>
          <w:sz w:val="28"/>
          <w:lang w:eastAsia="ar-IQ" w:bidi="ar-IQ"/>
        </w:rPr>
        <w:t>pg</w:t>
      </w:r>
      <w:proofErr w:type="spellEnd"/>
      <w:r w:rsidRPr="00C60BF1">
        <w:rPr>
          <w:bCs/>
          <w:color w:val="000000"/>
          <w:sz w:val="28"/>
          <w:lang w:eastAsia="ar-IQ" w:bidi="ar-IQ"/>
        </w:rPr>
        <w:t xml:space="preserve">/mL) with a t-value of 5.18 and p value &lt;0.002. </w:t>
      </w:r>
      <w:r w:rsidR="00217922" w:rsidRPr="00217922">
        <w:rPr>
          <w:bCs/>
          <w:color w:val="000000"/>
          <w:sz w:val="28"/>
          <w:lang w:eastAsia="ar-IQ" w:bidi="ar-IQ"/>
        </w:rPr>
        <w:t>The analysis of pain levels revealed a statistically significant difference between the two study groups. Patients with screw-retained zirconia crowns (Group 1) reported lower pain scores (2.3 ± 1.1) compared to those with cement-retained metal-ceramic crowns (Group 2), who exhibited higher pain levels (4.1 ± 1.5). This difference was statistically significant (t = 5.06, p &lt; 0.003).</w:t>
      </w:r>
    </w:p>
    <w:p w14:paraId="237E681D" w14:textId="55FA078B" w:rsidR="00452381" w:rsidRDefault="00452381" w:rsidP="006964ED">
      <w:pPr>
        <w:spacing w:after="33" w:line="360" w:lineRule="auto"/>
        <w:ind w:left="10" w:right="4" w:hanging="10"/>
        <w:jc w:val="both"/>
        <w:rPr>
          <w:b/>
          <w:color w:val="000000"/>
          <w:sz w:val="28"/>
          <w:lang w:eastAsia="ar-IQ" w:bidi="ar-IQ"/>
        </w:rPr>
      </w:pPr>
      <w:r w:rsidRPr="001509DF">
        <w:rPr>
          <w:b/>
          <w:color w:val="000000"/>
          <w:sz w:val="28"/>
          <w:lang w:eastAsia="ar-IQ" w:bidi="ar-IQ"/>
        </w:rPr>
        <w:t xml:space="preserve">Table </w:t>
      </w:r>
      <w:r w:rsidR="001C3BB0" w:rsidRPr="001509DF">
        <w:rPr>
          <w:b/>
          <w:color w:val="000000"/>
          <w:sz w:val="28"/>
          <w:lang w:eastAsia="ar-IQ" w:bidi="ar-IQ"/>
        </w:rPr>
        <w:t>2</w:t>
      </w:r>
      <w:r w:rsidRPr="001509DF">
        <w:rPr>
          <w:b/>
          <w:color w:val="000000"/>
          <w:sz w:val="28"/>
          <w:lang w:eastAsia="ar-IQ" w:bidi="ar-IQ"/>
        </w:rPr>
        <w:t xml:space="preserve">. </w:t>
      </w:r>
      <w:r w:rsidR="000937E4">
        <w:rPr>
          <w:b/>
          <w:color w:val="000000"/>
          <w:sz w:val="26"/>
          <w:lang w:eastAsia="ar-IQ" w:bidi="ar-IQ"/>
        </w:rPr>
        <w:t xml:space="preserve">Comparison of </w:t>
      </w:r>
      <w:r w:rsidR="006964ED" w:rsidRPr="00CE5263">
        <w:rPr>
          <w:b/>
          <w:color w:val="000000"/>
          <w:sz w:val="26"/>
          <w:lang w:eastAsia="ar-IQ" w:bidi="ar-IQ"/>
        </w:rPr>
        <w:t>IL-1β and IL-6 levels in peri-implant crevicular fluid</w:t>
      </w:r>
      <w:r w:rsidR="006964ED">
        <w:rPr>
          <w:b/>
          <w:color w:val="000000"/>
          <w:sz w:val="28"/>
          <w:lang w:eastAsia="ar-IQ" w:bidi="ar-IQ"/>
        </w:rPr>
        <w:t xml:space="preserve"> of the </w:t>
      </w:r>
      <w:r w:rsidR="002156FE">
        <w:rPr>
          <w:b/>
          <w:color w:val="000000"/>
          <w:sz w:val="28"/>
          <w:lang w:eastAsia="ar-IQ" w:bidi="ar-IQ"/>
        </w:rPr>
        <w:t>patients'</w:t>
      </w:r>
      <w:r w:rsidR="006964ED">
        <w:rPr>
          <w:b/>
          <w:color w:val="000000"/>
          <w:sz w:val="28"/>
          <w:lang w:eastAsia="ar-IQ" w:bidi="ar-IQ"/>
        </w:rPr>
        <w:t xml:space="preserve"> subgroups according to the superstructure of the implanted teeth </w:t>
      </w:r>
    </w:p>
    <w:tbl>
      <w:tblPr>
        <w:tblStyle w:val="TableGrid0"/>
        <w:tblW w:w="0" w:type="auto"/>
        <w:tblInd w:w="10" w:type="dxa"/>
        <w:tblLook w:val="04A0" w:firstRow="1" w:lastRow="0" w:firstColumn="1" w:lastColumn="0" w:noHBand="0" w:noVBand="1"/>
      </w:tblPr>
      <w:tblGrid>
        <w:gridCol w:w="2685"/>
        <w:gridCol w:w="1980"/>
        <w:gridCol w:w="2070"/>
        <w:gridCol w:w="1080"/>
        <w:gridCol w:w="1525"/>
      </w:tblGrid>
      <w:tr w:rsidR="00C7747B" w:rsidRPr="00C7747B" w14:paraId="5960271D" w14:textId="77777777" w:rsidTr="00C7747B">
        <w:tc>
          <w:tcPr>
            <w:tcW w:w="2685" w:type="dxa"/>
            <w:vAlign w:val="center"/>
          </w:tcPr>
          <w:p w14:paraId="355F7EDC" w14:textId="4A0B3EC7" w:rsidR="00C7747B" w:rsidRPr="00C7747B" w:rsidRDefault="002F68D1" w:rsidP="00C7747B">
            <w:pPr>
              <w:spacing w:after="33" w:line="360" w:lineRule="auto"/>
              <w:ind w:right="4"/>
              <w:jc w:val="center"/>
              <w:rPr>
                <w:rFonts w:asciiTheme="majorBidi" w:hAnsiTheme="majorBidi" w:cstheme="majorBidi"/>
                <w:b/>
                <w:color w:val="000000"/>
                <w:sz w:val="28"/>
                <w:szCs w:val="28"/>
                <w:lang w:eastAsia="ar-IQ" w:bidi="ar-IQ"/>
              </w:rPr>
            </w:pPr>
            <w:r>
              <w:rPr>
                <w:rFonts w:asciiTheme="majorBidi" w:hAnsiTheme="majorBidi" w:cstheme="majorBidi"/>
                <w:b/>
                <w:color w:val="000000"/>
                <w:sz w:val="28"/>
                <w:szCs w:val="28"/>
                <w:lang w:eastAsia="ar-IQ" w:bidi="ar-IQ"/>
              </w:rPr>
              <w:t>Markers</w:t>
            </w:r>
          </w:p>
        </w:tc>
        <w:tc>
          <w:tcPr>
            <w:tcW w:w="1980" w:type="dxa"/>
            <w:vAlign w:val="center"/>
          </w:tcPr>
          <w:p w14:paraId="05684590" w14:textId="14E3D7DB" w:rsidR="00C7747B" w:rsidRPr="00C7747B" w:rsidRDefault="00C7747B" w:rsidP="00C7747B">
            <w:pPr>
              <w:spacing w:after="33" w:line="360" w:lineRule="auto"/>
              <w:ind w:right="4"/>
              <w:jc w:val="center"/>
              <w:rPr>
                <w:rFonts w:asciiTheme="majorBidi" w:hAnsiTheme="majorBidi" w:cstheme="majorBidi"/>
                <w:b/>
                <w:bCs/>
                <w:color w:val="000000"/>
                <w:sz w:val="28"/>
                <w:szCs w:val="28"/>
              </w:rPr>
            </w:pPr>
            <w:r w:rsidRPr="00C7747B">
              <w:rPr>
                <w:rFonts w:asciiTheme="majorBidi" w:hAnsiTheme="majorBidi" w:cstheme="majorBidi"/>
                <w:b/>
                <w:bCs/>
                <w:color w:val="000000"/>
                <w:sz w:val="28"/>
                <w:szCs w:val="28"/>
              </w:rPr>
              <w:t>Group</w:t>
            </w:r>
            <w:r w:rsidR="002F68D1">
              <w:rPr>
                <w:rFonts w:asciiTheme="majorBidi" w:hAnsiTheme="majorBidi" w:cstheme="majorBidi"/>
                <w:b/>
                <w:bCs/>
                <w:color w:val="000000"/>
                <w:sz w:val="28"/>
                <w:szCs w:val="28"/>
              </w:rPr>
              <w:t xml:space="preserve"> 1</w:t>
            </w:r>
          </w:p>
          <w:p w14:paraId="2B9287F4" w14:textId="2BFF1DCB" w:rsidR="00C7747B" w:rsidRPr="00C7747B" w:rsidRDefault="00C7747B" w:rsidP="00C7747B">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 xml:space="preserve">(n = </w:t>
            </w:r>
            <w:r w:rsidR="006D52EC">
              <w:rPr>
                <w:rFonts w:asciiTheme="majorBidi" w:hAnsiTheme="majorBidi" w:cstheme="majorBidi"/>
                <w:b/>
                <w:bCs/>
                <w:color w:val="000000"/>
                <w:sz w:val="28"/>
                <w:szCs w:val="28"/>
              </w:rPr>
              <w:t>24</w:t>
            </w:r>
            <w:r w:rsidRPr="00C7747B">
              <w:rPr>
                <w:rFonts w:asciiTheme="majorBidi" w:hAnsiTheme="majorBidi" w:cstheme="majorBidi"/>
                <w:b/>
                <w:bCs/>
                <w:color w:val="000000"/>
                <w:sz w:val="28"/>
                <w:szCs w:val="28"/>
              </w:rPr>
              <w:t>)</w:t>
            </w:r>
          </w:p>
        </w:tc>
        <w:tc>
          <w:tcPr>
            <w:tcW w:w="2070" w:type="dxa"/>
            <w:vAlign w:val="center"/>
          </w:tcPr>
          <w:p w14:paraId="13CB98C6" w14:textId="67CA8D53" w:rsidR="00C7747B" w:rsidRPr="00C7747B" w:rsidRDefault="00C7747B" w:rsidP="00C7747B">
            <w:pPr>
              <w:spacing w:after="33" w:line="360" w:lineRule="auto"/>
              <w:ind w:right="4"/>
              <w:jc w:val="center"/>
              <w:rPr>
                <w:rFonts w:asciiTheme="majorBidi" w:hAnsiTheme="majorBidi" w:cstheme="majorBidi"/>
                <w:b/>
                <w:bCs/>
                <w:color w:val="000000"/>
                <w:sz w:val="28"/>
                <w:szCs w:val="28"/>
              </w:rPr>
            </w:pPr>
            <w:r w:rsidRPr="00C7747B">
              <w:rPr>
                <w:rFonts w:asciiTheme="majorBidi" w:hAnsiTheme="majorBidi" w:cstheme="majorBidi"/>
                <w:b/>
                <w:bCs/>
                <w:color w:val="000000"/>
                <w:sz w:val="28"/>
                <w:szCs w:val="28"/>
              </w:rPr>
              <w:t>Group</w:t>
            </w:r>
            <w:r w:rsidR="002F68D1">
              <w:rPr>
                <w:rFonts w:asciiTheme="majorBidi" w:hAnsiTheme="majorBidi" w:cstheme="majorBidi"/>
                <w:b/>
                <w:bCs/>
                <w:color w:val="000000"/>
                <w:sz w:val="28"/>
                <w:szCs w:val="28"/>
              </w:rPr>
              <w:t xml:space="preserve"> 2</w:t>
            </w:r>
          </w:p>
          <w:p w14:paraId="2F7660CD" w14:textId="5494BD7D" w:rsidR="00C7747B" w:rsidRPr="00C7747B" w:rsidRDefault="00C7747B" w:rsidP="00C7747B">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 xml:space="preserve">(n = </w:t>
            </w:r>
            <w:r w:rsidR="006D52EC">
              <w:rPr>
                <w:rFonts w:asciiTheme="majorBidi" w:hAnsiTheme="majorBidi" w:cstheme="majorBidi"/>
                <w:b/>
                <w:bCs/>
                <w:color w:val="000000"/>
                <w:sz w:val="28"/>
                <w:szCs w:val="28"/>
              </w:rPr>
              <w:t>42</w:t>
            </w:r>
            <w:r w:rsidRPr="00C7747B">
              <w:rPr>
                <w:rFonts w:asciiTheme="majorBidi" w:hAnsiTheme="majorBidi" w:cstheme="majorBidi"/>
                <w:b/>
                <w:bCs/>
                <w:color w:val="000000"/>
                <w:sz w:val="28"/>
                <w:szCs w:val="28"/>
              </w:rPr>
              <w:t>)</w:t>
            </w:r>
          </w:p>
        </w:tc>
        <w:tc>
          <w:tcPr>
            <w:tcW w:w="1080" w:type="dxa"/>
            <w:vAlign w:val="center"/>
          </w:tcPr>
          <w:p w14:paraId="6B6C650C" w14:textId="2CC1FFDA" w:rsidR="00C7747B" w:rsidRPr="00C7747B" w:rsidRDefault="002F68D1" w:rsidP="00C7747B">
            <w:pPr>
              <w:spacing w:after="33" w:line="360" w:lineRule="auto"/>
              <w:ind w:right="4"/>
              <w:jc w:val="center"/>
              <w:rPr>
                <w:rFonts w:asciiTheme="majorBidi" w:hAnsiTheme="majorBidi" w:cstheme="majorBidi"/>
                <w:b/>
                <w:bCs/>
                <w:color w:val="000000"/>
                <w:sz w:val="28"/>
                <w:szCs w:val="28"/>
                <w:lang w:eastAsia="ar-IQ" w:bidi="ar-IQ"/>
              </w:rPr>
            </w:pPr>
            <w:r>
              <w:rPr>
                <w:rFonts w:asciiTheme="majorBidi" w:hAnsiTheme="majorBidi" w:cstheme="majorBidi"/>
                <w:b/>
                <w:bCs/>
                <w:color w:val="000000"/>
                <w:sz w:val="28"/>
                <w:szCs w:val="28"/>
              </w:rPr>
              <w:t>T Test</w:t>
            </w:r>
            <w:r w:rsidR="00C7747B" w:rsidRPr="00C7747B">
              <w:rPr>
                <w:rFonts w:asciiTheme="majorBidi" w:hAnsiTheme="majorBidi" w:cstheme="majorBidi"/>
                <w:b/>
                <w:bCs/>
                <w:color w:val="000000"/>
                <w:sz w:val="28"/>
                <w:szCs w:val="28"/>
              </w:rPr>
              <w:t xml:space="preserve"> </w:t>
            </w:r>
          </w:p>
        </w:tc>
        <w:tc>
          <w:tcPr>
            <w:tcW w:w="1525" w:type="dxa"/>
            <w:vAlign w:val="center"/>
          </w:tcPr>
          <w:p w14:paraId="386D6FA0" w14:textId="3BEF1EBE" w:rsidR="00C7747B" w:rsidRPr="00C7747B" w:rsidRDefault="00C7747B" w:rsidP="00C7747B">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P-value</w:t>
            </w:r>
          </w:p>
        </w:tc>
      </w:tr>
      <w:tr w:rsidR="006A56D2" w:rsidRPr="00C7747B" w14:paraId="0E5EE68D" w14:textId="77777777" w:rsidTr="00AE6618">
        <w:tc>
          <w:tcPr>
            <w:tcW w:w="2685" w:type="dxa"/>
            <w:vAlign w:val="center"/>
          </w:tcPr>
          <w:p w14:paraId="58C96324" w14:textId="1F8B267C" w:rsidR="006A56D2" w:rsidRPr="00C7747B" w:rsidRDefault="006A56D2" w:rsidP="006A56D2">
            <w:pPr>
              <w:spacing w:after="33" w:line="360" w:lineRule="auto"/>
              <w:ind w:right="4"/>
              <w:jc w:val="center"/>
              <w:rPr>
                <w:rFonts w:asciiTheme="majorBidi" w:hAnsiTheme="majorBidi" w:cstheme="majorBidi"/>
                <w:b/>
                <w:bCs/>
                <w:color w:val="000000"/>
                <w:sz w:val="28"/>
                <w:szCs w:val="28"/>
                <w:lang w:eastAsia="ar-IQ" w:bidi="ar-IQ"/>
              </w:rPr>
            </w:pPr>
            <w:r w:rsidRPr="004A619F">
              <w:rPr>
                <w:rFonts w:asciiTheme="majorBidi" w:hAnsiTheme="majorBidi" w:cstheme="majorBidi"/>
                <w:b/>
                <w:bCs/>
                <w:color w:val="000000"/>
                <w:sz w:val="28"/>
                <w:szCs w:val="28"/>
              </w:rPr>
              <w:t xml:space="preserve">IL-1β </w:t>
            </w:r>
          </w:p>
        </w:tc>
        <w:tc>
          <w:tcPr>
            <w:tcW w:w="1980" w:type="dxa"/>
            <w:vAlign w:val="bottom"/>
          </w:tcPr>
          <w:p w14:paraId="40ED5397" w14:textId="1B0064F0"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34.8 ± 7.6</w:t>
            </w:r>
          </w:p>
        </w:tc>
        <w:tc>
          <w:tcPr>
            <w:tcW w:w="2070" w:type="dxa"/>
            <w:vAlign w:val="bottom"/>
          </w:tcPr>
          <w:p w14:paraId="6BAC96D4" w14:textId="51CD47EA"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45.7 ± 9.2</w:t>
            </w:r>
          </w:p>
        </w:tc>
        <w:tc>
          <w:tcPr>
            <w:tcW w:w="1080" w:type="dxa"/>
            <w:vAlign w:val="bottom"/>
          </w:tcPr>
          <w:p w14:paraId="57232E16" w14:textId="5BD475E1"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4.52</w:t>
            </w:r>
          </w:p>
        </w:tc>
        <w:tc>
          <w:tcPr>
            <w:tcW w:w="1525" w:type="dxa"/>
            <w:vAlign w:val="center"/>
          </w:tcPr>
          <w:p w14:paraId="7BABF18F" w14:textId="4040345E" w:rsidR="006A56D2" w:rsidRPr="00C7747B" w:rsidRDefault="006A56D2" w:rsidP="006A56D2">
            <w:pPr>
              <w:spacing w:after="33" w:line="360" w:lineRule="auto"/>
              <w:ind w:right="4"/>
              <w:jc w:val="center"/>
              <w:rPr>
                <w:rFonts w:asciiTheme="majorBidi" w:hAnsiTheme="majorBidi" w:cstheme="majorBidi"/>
                <w:b/>
                <w:color w:val="000000"/>
                <w:sz w:val="28"/>
                <w:szCs w:val="28"/>
                <w:lang w:eastAsia="ar-IQ" w:bidi="ar-IQ"/>
              </w:rPr>
            </w:pPr>
            <w:r w:rsidRPr="00C7747B">
              <w:rPr>
                <w:rFonts w:asciiTheme="majorBidi" w:hAnsiTheme="majorBidi" w:cstheme="majorBidi"/>
                <w:color w:val="000000"/>
                <w:sz w:val="28"/>
                <w:szCs w:val="28"/>
              </w:rPr>
              <w:t>&lt; 0.00</w:t>
            </w:r>
            <w:r>
              <w:rPr>
                <w:rFonts w:asciiTheme="majorBidi" w:hAnsiTheme="majorBidi" w:cstheme="majorBidi"/>
                <w:color w:val="000000"/>
                <w:sz w:val="28"/>
                <w:szCs w:val="28"/>
              </w:rPr>
              <w:t>4</w:t>
            </w:r>
            <w:r w:rsidRPr="00C7747B">
              <w:rPr>
                <w:rFonts w:asciiTheme="majorBidi" w:hAnsiTheme="majorBidi" w:cstheme="majorBidi"/>
                <w:color w:val="000000"/>
                <w:sz w:val="28"/>
                <w:szCs w:val="28"/>
              </w:rPr>
              <w:t>*</w:t>
            </w:r>
          </w:p>
        </w:tc>
      </w:tr>
      <w:tr w:rsidR="006A56D2" w:rsidRPr="00C7747B" w14:paraId="05683E79" w14:textId="77777777" w:rsidTr="00AE6618">
        <w:tc>
          <w:tcPr>
            <w:tcW w:w="2685" w:type="dxa"/>
            <w:vAlign w:val="center"/>
          </w:tcPr>
          <w:p w14:paraId="69BF5C67" w14:textId="51678A17" w:rsidR="006A56D2" w:rsidRPr="00C7747B" w:rsidRDefault="006A56D2" w:rsidP="006A56D2">
            <w:pPr>
              <w:spacing w:after="33" w:line="360" w:lineRule="auto"/>
              <w:ind w:right="4"/>
              <w:jc w:val="center"/>
              <w:rPr>
                <w:rFonts w:asciiTheme="majorBidi" w:hAnsiTheme="majorBidi" w:cstheme="majorBidi"/>
                <w:b/>
                <w:bCs/>
                <w:color w:val="000000"/>
                <w:sz w:val="28"/>
                <w:szCs w:val="28"/>
                <w:lang w:eastAsia="ar-IQ" w:bidi="ar-IQ"/>
              </w:rPr>
            </w:pPr>
            <w:r w:rsidRPr="004A619F">
              <w:rPr>
                <w:rFonts w:asciiTheme="majorBidi" w:hAnsiTheme="majorBidi" w:cstheme="majorBidi"/>
                <w:b/>
                <w:bCs/>
                <w:color w:val="000000"/>
                <w:sz w:val="28"/>
                <w:szCs w:val="28"/>
              </w:rPr>
              <w:t>IL-6</w:t>
            </w:r>
          </w:p>
        </w:tc>
        <w:tc>
          <w:tcPr>
            <w:tcW w:w="1980" w:type="dxa"/>
            <w:vAlign w:val="bottom"/>
          </w:tcPr>
          <w:p w14:paraId="6D48C98F" w14:textId="241AC58F"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19.6 ± 5.4</w:t>
            </w:r>
          </w:p>
        </w:tc>
        <w:tc>
          <w:tcPr>
            <w:tcW w:w="2070" w:type="dxa"/>
            <w:vAlign w:val="bottom"/>
          </w:tcPr>
          <w:p w14:paraId="1C69739B" w14:textId="2345AA14"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30.8 ± 7.5</w:t>
            </w:r>
          </w:p>
        </w:tc>
        <w:tc>
          <w:tcPr>
            <w:tcW w:w="1080" w:type="dxa"/>
            <w:vAlign w:val="bottom"/>
          </w:tcPr>
          <w:p w14:paraId="1484B024" w14:textId="3BFD2D6E" w:rsidR="006A56D2" w:rsidRPr="00EB0F10" w:rsidRDefault="006A56D2" w:rsidP="006A56D2">
            <w:pPr>
              <w:spacing w:after="33" w:line="360" w:lineRule="auto"/>
              <w:ind w:right="4"/>
              <w:jc w:val="center"/>
              <w:rPr>
                <w:rFonts w:asciiTheme="majorBidi" w:hAnsiTheme="majorBidi" w:cstheme="majorBidi"/>
                <w:color w:val="000000"/>
                <w:sz w:val="28"/>
                <w:szCs w:val="28"/>
              </w:rPr>
            </w:pPr>
            <w:r w:rsidRPr="002E3B6D">
              <w:rPr>
                <w:rFonts w:asciiTheme="majorBidi" w:hAnsiTheme="majorBidi" w:cstheme="majorBidi"/>
                <w:color w:val="000000"/>
                <w:sz w:val="28"/>
                <w:szCs w:val="28"/>
              </w:rPr>
              <w:t>5.18</w:t>
            </w:r>
          </w:p>
        </w:tc>
        <w:tc>
          <w:tcPr>
            <w:tcW w:w="1525" w:type="dxa"/>
            <w:vAlign w:val="center"/>
          </w:tcPr>
          <w:p w14:paraId="41661CB6" w14:textId="1698F5BA" w:rsidR="006A56D2" w:rsidRPr="00C7747B" w:rsidRDefault="006A56D2" w:rsidP="006A56D2">
            <w:pPr>
              <w:spacing w:after="33" w:line="360" w:lineRule="auto"/>
              <w:ind w:right="4"/>
              <w:jc w:val="center"/>
              <w:rPr>
                <w:rFonts w:asciiTheme="majorBidi" w:hAnsiTheme="majorBidi" w:cstheme="majorBidi"/>
                <w:b/>
                <w:color w:val="000000"/>
                <w:sz w:val="28"/>
                <w:szCs w:val="28"/>
                <w:lang w:eastAsia="ar-IQ" w:bidi="ar-IQ"/>
              </w:rPr>
            </w:pPr>
            <w:r w:rsidRPr="00C7747B">
              <w:rPr>
                <w:rFonts w:asciiTheme="majorBidi" w:hAnsiTheme="majorBidi" w:cstheme="majorBidi"/>
                <w:color w:val="000000"/>
                <w:sz w:val="28"/>
                <w:szCs w:val="28"/>
              </w:rPr>
              <w:t>&lt; 0.00</w:t>
            </w:r>
            <w:r>
              <w:rPr>
                <w:rFonts w:asciiTheme="majorBidi" w:hAnsiTheme="majorBidi" w:cstheme="majorBidi"/>
                <w:color w:val="000000"/>
                <w:sz w:val="28"/>
                <w:szCs w:val="28"/>
              </w:rPr>
              <w:t>2</w:t>
            </w:r>
            <w:r w:rsidRPr="00C7747B">
              <w:rPr>
                <w:rFonts w:asciiTheme="majorBidi" w:hAnsiTheme="majorBidi" w:cstheme="majorBidi"/>
                <w:color w:val="000000"/>
                <w:sz w:val="28"/>
                <w:szCs w:val="28"/>
              </w:rPr>
              <w:t>*</w:t>
            </w:r>
          </w:p>
        </w:tc>
      </w:tr>
      <w:tr w:rsidR="00217922" w:rsidRPr="00C7747B" w14:paraId="2943D0FE" w14:textId="77777777" w:rsidTr="008968B0">
        <w:tc>
          <w:tcPr>
            <w:tcW w:w="2685" w:type="dxa"/>
            <w:vAlign w:val="center"/>
          </w:tcPr>
          <w:p w14:paraId="68BA98F8" w14:textId="74249F0B" w:rsidR="00217922" w:rsidRPr="004A619F" w:rsidRDefault="00217922" w:rsidP="00217922">
            <w:pPr>
              <w:spacing w:after="33" w:line="360" w:lineRule="auto"/>
              <w:ind w:right="4"/>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Pain level</w:t>
            </w:r>
          </w:p>
        </w:tc>
        <w:tc>
          <w:tcPr>
            <w:tcW w:w="1980" w:type="dxa"/>
            <w:vAlign w:val="bottom"/>
          </w:tcPr>
          <w:p w14:paraId="598B5901" w14:textId="76DF59E7" w:rsidR="00217922" w:rsidRPr="002E3B6D"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2.3 ± 1.1</w:t>
            </w:r>
          </w:p>
        </w:tc>
        <w:tc>
          <w:tcPr>
            <w:tcW w:w="2070" w:type="dxa"/>
            <w:vAlign w:val="bottom"/>
          </w:tcPr>
          <w:p w14:paraId="51E25F51" w14:textId="7188F644" w:rsidR="00217922" w:rsidRPr="002E3B6D"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4.1 ± 1.5</w:t>
            </w:r>
          </w:p>
        </w:tc>
        <w:tc>
          <w:tcPr>
            <w:tcW w:w="1080" w:type="dxa"/>
            <w:vAlign w:val="bottom"/>
          </w:tcPr>
          <w:p w14:paraId="746F8C1A" w14:textId="2E5C7894" w:rsidR="00217922" w:rsidRPr="002E3B6D"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5.06</w:t>
            </w:r>
          </w:p>
        </w:tc>
        <w:tc>
          <w:tcPr>
            <w:tcW w:w="1525" w:type="dxa"/>
            <w:vAlign w:val="bottom"/>
          </w:tcPr>
          <w:p w14:paraId="765EADF0" w14:textId="2C8A9292" w:rsidR="00217922" w:rsidRPr="00C7747B"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&lt; 0.003*</w:t>
            </w:r>
          </w:p>
        </w:tc>
      </w:tr>
    </w:tbl>
    <w:p w14:paraId="5D597793" w14:textId="77777777" w:rsidR="002750FF" w:rsidRDefault="002750FF" w:rsidP="00452381">
      <w:pPr>
        <w:spacing w:after="33" w:line="360" w:lineRule="auto"/>
        <w:ind w:left="10" w:right="4" w:hanging="10"/>
        <w:jc w:val="both"/>
        <w:rPr>
          <w:b/>
          <w:color w:val="000000"/>
          <w:sz w:val="28"/>
          <w:lang w:eastAsia="ar-IQ" w:bidi="ar-IQ"/>
        </w:rPr>
      </w:pPr>
    </w:p>
    <w:p w14:paraId="3B8FE833" w14:textId="32F01174" w:rsidR="00CC3D78" w:rsidRPr="00CC3D78" w:rsidRDefault="00DF20E5" w:rsidP="000D01C1">
      <w:pPr>
        <w:spacing w:after="33" w:line="360" w:lineRule="auto"/>
        <w:ind w:left="10" w:right="4" w:hanging="10"/>
        <w:jc w:val="both"/>
        <w:rPr>
          <w:bCs/>
          <w:color w:val="000000"/>
          <w:sz w:val="28"/>
          <w:lang w:eastAsia="ar-IQ" w:bidi="ar-IQ"/>
        </w:rPr>
      </w:pPr>
      <w:r>
        <w:rPr>
          <w:bCs/>
          <w:color w:val="000000"/>
          <w:sz w:val="28"/>
          <w:lang w:eastAsia="ar-IQ" w:bidi="ar-IQ"/>
        </w:rPr>
        <w:t xml:space="preserve">          </w:t>
      </w:r>
      <w:r w:rsidR="00C60BF1" w:rsidRPr="00C60BF1">
        <w:rPr>
          <w:bCs/>
          <w:color w:val="000000"/>
          <w:sz w:val="28"/>
          <w:lang w:eastAsia="ar-IQ" w:bidi="ar-IQ"/>
        </w:rPr>
        <w:t xml:space="preserve">Level of inflammatory cytokines in peri-implant crevicular fluid (table 3) comparing healthy implant and peri-implantitis sites showed extremely significant results. Mean IL-1β levels were significantly higher in peri-implantitis sites (48.6 ± 10.1 </w:t>
      </w:r>
      <w:proofErr w:type="spellStart"/>
      <w:r w:rsidR="00C60BF1" w:rsidRPr="00C60BF1">
        <w:rPr>
          <w:bCs/>
          <w:color w:val="000000"/>
          <w:sz w:val="28"/>
          <w:lang w:eastAsia="ar-IQ" w:bidi="ar-IQ"/>
        </w:rPr>
        <w:t>pg</w:t>
      </w:r>
      <w:proofErr w:type="spellEnd"/>
      <w:r w:rsidR="00C60BF1" w:rsidRPr="00C60BF1">
        <w:rPr>
          <w:bCs/>
          <w:color w:val="000000"/>
          <w:sz w:val="28"/>
          <w:lang w:eastAsia="ar-IQ" w:bidi="ar-IQ"/>
        </w:rPr>
        <w:t xml:space="preserve">/mL) than healthy implants (28.9 ± 6.5 </w:t>
      </w:r>
      <w:proofErr w:type="spellStart"/>
      <w:r w:rsidR="00C60BF1" w:rsidRPr="00C60BF1">
        <w:rPr>
          <w:bCs/>
          <w:color w:val="000000"/>
          <w:sz w:val="28"/>
          <w:lang w:eastAsia="ar-IQ" w:bidi="ar-IQ"/>
        </w:rPr>
        <w:t>pg</w:t>
      </w:r>
      <w:proofErr w:type="spellEnd"/>
      <w:r w:rsidR="00C60BF1" w:rsidRPr="00C60BF1">
        <w:rPr>
          <w:bCs/>
          <w:color w:val="000000"/>
          <w:sz w:val="28"/>
          <w:lang w:eastAsia="ar-IQ" w:bidi="ar-IQ"/>
        </w:rPr>
        <w:t xml:space="preserve">/mL), p &lt;0.005, t-value=8·32 Likewise, levels of IL-6 were significantly higher in peri-implantitis sites (32.4 ± 8.3 </w:t>
      </w:r>
      <w:proofErr w:type="spellStart"/>
      <w:r w:rsidR="00C60BF1" w:rsidRPr="00C60BF1">
        <w:rPr>
          <w:bCs/>
          <w:color w:val="000000"/>
          <w:sz w:val="28"/>
          <w:lang w:eastAsia="ar-IQ" w:bidi="ar-IQ"/>
        </w:rPr>
        <w:t>pg</w:t>
      </w:r>
      <w:proofErr w:type="spellEnd"/>
      <w:r w:rsidR="00C60BF1" w:rsidRPr="00C60BF1">
        <w:rPr>
          <w:bCs/>
          <w:color w:val="000000"/>
          <w:sz w:val="28"/>
          <w:lang w:eastAsia="ar-IQ" w:bidi="ar-IQ"/>
        </w:rPr>
        <w:t xml:space="preserve">/mL) compared to healthy implants (16.7 ± 4.8 </w:t>
      </w:r>
      <w:proofErr w:type="spellStart"/>
      <w:r w:rsidR="00C60BF1" w:rsidRPr="00C60BF1">
        <w:rPr>
          <w:bCs/>
          <w:color w:val="000000"/>
          <w:sz w:val="28"/>
          <w:lang w:eastAsia="ar-IQ" w:bidi="ar-IQ"/>
        </w:rPr>
        <w:t>pg</w:t>
      </w:r>
      <w:proofErr w:type="spellEnd"/>
      <w:r w:rsidR="00C60BF1" w:rsidRPr="00C60BF1">
        <w:rPr>
          <w:bCs/>
          <w:color w:val="000000"/>
          <w:sz w:val="28"/>
          <w:lang w:eastAsia="ar-IQ" w:bidi="ar-IQ"/>
        </w:rPr>
        <w:t xml:space="preserve">/mL), yielding a t-value of 9.14 and a p &lt;0.003 with similar findings for TNF-α as well as rates of tissue destruction at implant surfaces in relation to IL-1β </w:t>
      </w:r>
      <w:r w:rsidR="000D01C1">
        <w:rPr>
          <w:bCs/>
          <w:color w:val="000000"/>
          <w:sz w:val="28"/>
          <w:lang w:eastAsia="ar-IQ" w:bidi="ar-IQ"/>
        </w:rPr>
        <w:t xml:space="preserve">. </w:t>
      </w:r>
      <w:r w:rsidR="000D01C1" w:rsidRPr="000D01C1">
        <w:rPr>
          <w:bCs/>
          <w:color w:val="000000"/>
          <w:sz w:val="28"/>
          <w:lang w:eastAsia="ar-IQ" w:bidi="ar-IQ"/>
        </w:rPr>
        <w:t xml:space="preserve">The comparison of pain levels between healthy implants and peri-implantitis sites demonstrated a highly </w:t>
      </w:r>
      <w:r w:rsidR="000D01C1" w:rsidRPr="000D01C1">
        <w:rPr>
          <w:bCs/>
          <w:color w:val="000000"/>
          <w:sz w:val="28"/>
          <w:lang w:eastAsia="ar-IQ" w:bidi="ar-IQ"/>
        </w:rPr>
        <w:lastRenderedPageBreak/>
        <w:t>significant difference. Patients with peri-implantitis reported markedly higher pain scores (5.2 ± 1.7) compared to those with healthy implants (1.8 ± 0.9), with a strong statistical significance (t = 10.27, p &lt; 0.001).</w:t>
      </w:r>
    </w:p>
    <w:p w14:paraId="6B37E306" w14:textId="035E0133" w:rsidR="00DF20E5" w:rsidRDefault="00DF20E5" w:rsidP="005C36BE">
      <w:pPr>
        <w:spacing w:after="33" w:line="360" w:lineRule="auto"/>
        <w:ind w:left="10" w:right="4" w:hanging="10"/>
        <w:jc w:val="both"/>
        <w:rPr>
          <w:bCs/>
          <w:color w:val="000000"/>
          <w:sz w:val="28"/>
          <w:lang w:eastAsia="ar-IQ" w:bidi="ar-IQ"/>
        </w:rPr>
      </w:pPr>
      <w:r w:rsidRPr="00DF20E5">
        <w:rPr>
          <w:bCs/>
          <w:color w:val="000000"/>
          <w:sz w:val="28"/>
          <w:lang w:eastAsia="ar-IQ" w:bidi="ar-IQ"/>
        </w:rPr>
        <w:t xml:space="preserve"> </w:t>
      </w:r>
    </w:p>
    <w:p w14:paraId="012D045B" w14:textId="2CE33DDA" w:rsidR="002E3B6D" w:rsidRDefault="002E3B6D" w:rsidP="002E3B6D">
      <w:pPr>
        <w:spacing w:after="33" w:line="360" w:lineRule="auto"/>
        <w:ind w:left="10" w:right="4" w:hanging="10"/>
        <w:jc w:val="both"/>
        <w:rPr>
          <w:b/>
          <w:color w:val="000000"/>
          <w:sz w:val="28"/>
          <w:lang w:eastAsia="ar-IQ" w:bidi="ar-IQ"/>
        </w:rPr>
      </w:pPr>
      <w:r w:rsidRPr="001509DF">
        <w:rPr>
          <w:b/>
          <w:color w:val="000000"/>
          <w:sz w:val="28"/>
          <w:lang w:eastAsia="ar-IQ" w:bidi="ar-IQ"/>
        </w:rPr>
        <w:t xml:space="preserve">Table </w:t>
      </w:r>
      <w:r w:rsidR="006A56D2">
        <w:rPr>
          <w:b/>
          <w:color w:val="000000"/>
          <w:sz w:val="28"/>
          <w:lang w:eastAsia="ar-IQ" w:bidi="ar-IQ"/>
        </w:rPr>
        <w:t>3</w:t>
      </w:r>
      <w:r w:rsidRPr="001509DF">
        <w:rPr>
          <w:b/>
          <w:color w:val="000000"/>
          <w:sz w:val="28"/>
          <w:lang w:eastAsia="ar-IQ" w:bidi="ar-IQ"/>
        </w:rPr>
        <w:t xml:space="preserve">. </w:t>
      </w:r>
      <w:r>
        <w:rPr>
          <w:b/>
          <w:color w:val="000000"/>
          <w:sz w:val="26"/>
          <w:lang w:eastAsia="ar-IQ" w:bidi="ar-IQ"/>
        </w:rPr>
        <w:t xml:space="preserve">Comparison of </w:t>
      </w:r>
      <w:r w:rsidRPr="00CE5263">
        <w:rPr>
          <w:b/>
          <w:color w:val="000000"/>
          <w:sz w:val="26"/>
          <w:lang w:eastAsia="ar-IQ" w:bidi="ar-IQ"/>
        </w:rPr>
        <w:t>IL-1β and IL-6 levels in peri-implant crevicular fluid</w:t>
      </w:r>
      <w:r>
        <w:rPr>
          <w:b/>
          <w:color w:val="000000"/>
          <w:sz w:val="28"/>
          <w:lang w:eastAsia="ar-IQ" w:bidi="ar-IQ"/>
        </w:rPr>
        <w:t xml:space="preserve"> of the patients' subgroups according to the superstructure of the implanted teeth </w:t>
      </w:r>
    </w:p>
    <w:tbl>
      <w:tblPr>
        <w:tblStyle w:val="TableGrid0"/>
        <w:tblW w:w="0" w:type="auto"/>
        <w:tblInd w:w="10" w:type="dxa"/>
        <w:tblLook w:val="04A0" w:firstRow="1" w:lastRow="0" w:firstColumn="1" w:lastColumn="0" w:noHBand="0" w:noVBand="1"/>
      </w:tblPr>
      <w:tblGrid>
        <w:gridCol w:w="2685"/>
        <w:gridCol w:w="1800"/>
        <w:gridCol w:w="2250"/>
        <w:gridCol w:w="1080"/>
        <w:gridCol w:w="1525"/>
      </w:tblGrid>
      <w:tr w:rsidR="002E3B6D" w:rsidRPr="00C7747B" w14:paraId="7ED5C29D" w14:textId="77777777" w:rsidTr="006A56D2">
        <w:tc>
          <w:tcPr>
            <w:tcW w:w="2685" w:type="dxa"/>
            <w:vAlign w:val="center"/>
          </w:tcPr>
          <w:p w14:paraId="370CC0DF" w14:textId="77777777" w:rsidR="002E3B6D" w:rsidRPr="00C7747B" w:rsidRDefault="002E3B6D" w:rsidP="008A469E">
            <w:pPr>
              <w:spacing w:after="33" w:line="360" w:lineRule="auto"/>
              <w:ind w:right="4"/>
              <w:jc w:val="center"/>
              <w:rPr>
                <w:rFonts w:asciiTheme="majorBidi" w:hAnsiTheme="majorBidi" w:cstheme="majorBidi"/>
                <w:b/>
                <w:color w:val="000000"/>
                <w:sz w:val="28"/>
                <w:szCs w:val="28"/>
                <w:lang w:eastAsia="ar-IQ" w:bidi="ar-IQ"/>
              </w:rPr>
            </w:pPr>
            <w:r>
              <w:rPr>
                <w:rFonts w:asciiTheme="majorBidi" w:hAnsiTheme="majorBidi" w:cstheme="majorBidi"/>
                <w:b/>
                <w:color w:val="000000"/>
                <w:sz w:val="28"/>
                <w:szCs w:val="28"/>
                <w:lang w:eastAsia="ar-IQ" w:bidi="ar-IQ"/>
              </w:rPr>
              <w:t>Markers</w:t>
            </w:r>
          </w:p>
        </w:tc>
        <w:tc>
          <w:tcPr>
            <w:tcW w:w="1800" w:type="dxa"/>
            <w:vAlign w:val="center"/>
          </w:tcPr>
          <w:p w14:paraId="7F4FEC1F" w14:textId="69798C05" w:rsidR="002E3B6D" w:rsidRPr="00C7747B" w:rsidRDefault="002E3B6D" w:rsidP="008A469E">
            <w:pPr>
              <w:spacing w:after="33" w:line="360" w:lineRule="auto"/>
              <w:ind w:right="4"/>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Healthy Implants </w:t>
            </w:r>
          </w:p>
          <w:p w14:paraId="38226702" w14:textId="4DCABE57" w:rsidR="002E3B6D" w:rsidRPr="00C7747B" w:rsidRDefault="002E3B6D" w:rsidP="008A469E">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 xml:space="preserve">(n = </w:t>
            </w:r>
            <w:r w:rsidR="006A56D2">
              <w:rPr>
                <w:rFonts w:asciiTheme="majorBidi" w:hAnsiTheme="majorBidi" w:cstheme="majorBidi"/>
                <w:b/>
                <w:bCs/>
                <w:color w:val="000000"/>
                <w:sz w:val="28"/>
                <w:szCs w:val="28"/>
              </w:rPr>
              <w:t>37</w:t>
            </w:r>
            <w:r w:rsidRPr="00C7747B">
              <w:rPr>
                <w:rFonts w:asciiTheme="majorBidi" w:hAnsiTheme="majorBidi" w:cstheme="majorBidi"/>
                <w:b/>
                <w:bCs/>
                <w:color w:val="000000"/>
                <w:sz w:val="28"/>
                <w:szCs w:val="28"/>
              </w:rPr>
              <w:t>)</w:t>
            </w:r>
          </w:p>
        </w:tc>
        <w:tc>
          <w:tcPr>
            <w:tcW w:w="2250" w:type="dxa"/>
            <w:vAlign w:val="center"/>
          </w:tcPr>
          <w:p w14:paraId="1AD69A69" w14:textId="0BC055FB" w:rsidR="002E3B6D" w:rsidRPr="00C7747B" w:rsidRDefault="002E3B6D" w:rsidP="008A469E">
            <w:pPr>
              <w:spacing w:after="33" w:line="360" w:lineRule="auto"/>
              <w:ind w:right="4"/>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 xml:space="preserve">Peri-implantitis Sites </w:t>
            </w:r>
          </w:p>
          <w:p w14:paraId="35EE6A17" w14:textId="1D43DD54" w:rsidR="002E3B6D" w:rsidRPr="00C7747B" w:rsidRDefault="002E3B6D" w:rsidP="008A469E">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 xml:space="preserve">(n = </w:t>
            </w:r>
            <w:r w:rsidR="006A56D2">
              <w:rPr>
                <w:rFonts w:asciiTheme="majorBidi" w:hAnsiTheme="majorBidi" w:cstheme="majorBidi"/>
                <w:b/>
                <w:bCs/>
                <w:color w:val="000000"/>
                <w:sz w:val="28"/>
                <w:szCs w:val="28"/>
              </w:rPr>
              <w:t>29</w:t>
            </w:r>
            <w:r w:rsidRPr="00C7747B">
              <w:rPr>
                <w:rFonts w:asciiTheme="majorBidi" w:hAnsiTheme="majorBidi" w:cstheme="majorBidi"/>
                <w:b/>
                <w:bCs/>
                <w:color w:val="000000"/>
                <w:sz w:val="28"/>
                <w:szCs w:val="28"/>
              </w:rPr>
              <w:t>)</w:t>
            </w:r>
          </w:p>
        </w:tc>
        <w:tc>
          <w:tcPr>
            <w:tcW w:w="1080" w:type="dxa"/>
            <w:vAlign w:val="center"/>
          </w:tcPr>
          <w:p w14:paraId="1668B3D3" w14:textId="77777777" w:rsidR="002E3B6D" w:rsidRPr="00C7747B" w:rsidRDefault="002E3B6D" w:rsidP="008A469E">
            <w:pPr>
              <w:spacing w:after="33" w:line="360" w:lineRule="auto"/>
              <w:ind w:right="4"/>
              <w:jc w:val="center"/>
              <w:rPr>
                <w:rFonts w:asciiTheme="majorBidi" w:hAnsiTheme="majorBidi" w:cstheme="majorBidi"/>
                <w:b/>
                <w:bCs/>
                <w:color w:val="000000"/>
                <w:sz w:val="28"/>
                <w:szCs w:val="28"/>
                <w:lang w:eastAsia="ar-IQ" w:bidi="ar-IQ"/>
              </w:rPr>
            </w:pPr>
            <w:r>
              <w:rPr>
                <w:rFonts w:asciiTheme="majorBidi" w:hAnsiTheme="majorBidi" w:cstheme="majorBidi"/>
                <w:b/>
                <w:bCs/>
                <w:color w:val="000000"/>
                <w:sz w:val="28"/>
                <w:szCs w:val="28"/>
              </w:rPr>
              <w:t>T Test</w:t>
            </w:r>
            <w:r w:rsidRPr="00C7747B">
              <w:rPr>
                <w:rFonts w:asciiTheme="majorBidi" w:hAnsiTheme="majorBidi" w:cstheme="majorBidi"/>
                <w:b/>
                <w:bCs/>
                <w:color w:val="000000"/>
                <w:sz w:val="28"/>
                <w:szCs w:val="28"/>
              </w:rPr>
              <w:t xml:space="preserve"> </w:t>
            </w:r>
          </w:p>
        </w:tc>
        <w:tc>
          <w:tcPr>
            <w:tcW w:w="1525" w:type="dxa"/>
            <w:vAlign w:val="center"/>
          </w:tcPr>
          <w:p w14:paraId="49C7535C" w14:textId="77777777" w:rsidR="002E3B6D" w:rsidRPr="00C7747B" w:rsidRDefault="002E3B6D" w:rsidP="008A469E">
            <w:pPr>
              <w:spacing w:after="33" w:line="360" w:lineRule="auto"/>
              <w:ind w:right="4"/>
              <w:jc w:val="center"/>
              <w:rPr>
                <w:rFonts w:asciiTheme="majorBidi" w:hAnsiTheme="majorBidi" w:cstheme="majorBidi"/>
                <w:b/>
                <w:bCs/>
                <w:color w:val="000000"/>
                <w:sz w:val="28"/>
                <w:szCs w:val="28"/>
                <w:lang w:eastAsia="ar-IQ" w:bidi="ar-IQ"/>
              </w:rPr>
            </w:pPr>
            <w:r w:rsidRPr="00C7747B">
              <w:rPr>
                <w:rFonts w:asciiTheme="majorBidi" w:hAnsiTheme="majorBidi" w:cstheme="majorBidi"/>
                <w:b/>
                <w:bCs/>
                <w:color w:val="000000"/>
                <w:sz w:val="28"/>
                <w:szCs w:val="28"/>
              </w:rPr>
              <w:t>P-value</w:t>
            </w:r>
          </w:p>
        </w:tc>
      </w:tr>
      <w:tr w:rsidR="004112FF" w:rsidRPr="00C7747B" w14:paraId="3194A909" w14:textId="77777777" w:rsidTr="006A56D2">
        <w:tc>
          <w:tcPr>
            <w:tcW w:w="2685" w:type="dxa"/>
            <w:vAlign w:val="center"/>
          </w:tcPr>
          <w:p w14:paraId="69980B33" w14:textId="77777777" w:rsidR="004112FF" w:rsidRPr="00C7747B" w:rsidRDefault="004112FF" w:rsidP="004112FF">
            <w:pPr>
              <w:spacing w:after="33" w:line="360" w:lineRule="auto"/>
              <w:ind w:right="4"/>
              <w:jc w:val="center"/>
              <w:rPr>
                <w:rFonts w:asciiTheme="majorBidi" w:hAnsiTheme="majorBidi" w:cstheme="majorBidi"/>
                <w:b/>
                <w:bCs/>
                <w:color w:val="000000"/>
                <w:sz w:val="28"/>
                <w:szCs w:val="28"/>
                <w:lang w:eastAsia="ar-IQ" w:bidi="ar-IQ"/>
              </w:rPr>
            </w:pPr>
            <w:r w:rsidRPr="004A619F">
              <w:rPr>
                <w:rFonts w:asciiTheme="majorBidi" w:hAnsiTheme="majorBidi" w:cstheme="majorBidi"/>
                <w:b/>
                <w:bCs/>
                <w:color w:val="000000"/>
                <w:sz w:val="28"/>
                <w:szCs w:val="28"/>
              </w:rPr>
              <w:t xml:space="preserve">IL-1β </w:t>
            </w:r>
          </w:p>
        </w:tc>
        <w:tc>
          <w:tcPr>
            <w:tcW w:w="1800" w:type="dxa"/>
            <w:vAlign w:val="bottom"/>
          </w:tcPr>
          <w:p w14:paraId="08F2A1A3" w14:textId="4296C20F" w:rsidR="004112FF" w:rsidRPr="00EB0F10" w:rsidRDefault="004112FF" w:rsidP="004112FF">
            <w:pPr>
              <w:spacing w:after="33" w:line="360" w:lineRule="auto"/>
              <w:ind w:right="4"/>
              <w:jc w:val="center"/>
              <w:rPr>
                <w:rFonts w:asciiTheme="majorBidi" w:hAnsiTheme="majorBidi" w:cstheme="majorBidi"/>
                <w:color w:val="000000"/>
                <w:sz w:val="28"/>
                <w:szCs w:val="28"/>
              </w:rPr>
            </w:pPr>
            <w:r w:rsidRPr="004112FF">
              <w:rPr>
                <w:rFonts w:asciiTheme="majorBidi" w:hAnsiTheme="majorBidi" w:cstheme="majorBidi"/>
                <w:color w:val="000000"/>
                <w:sz w:val="28"/>
                <w:szCs w:val="28"/>
              </w:rPr>
              <w:t>28.9 ± 6.5</w:t>
            </w:r>
          </w:p>
        </w:tc>
        <w:tc>
          <w:tcPr>
            <w:tcW w:w="2250" w:type="dxa"/>
            <w:vAlign w:val="bottom"/>
          </w:tcPr>
          <w:p w14:paraId="5F2F923A" w14:textId="2C9F96D0" w:rsidR="004112FF" w:rsidRPr="00EB0F10" w:rsidRDefault="004112FF" w:rsidP="004112FF">
            <w:pPr>
              <w:spacing w:after="33" w:line="360" w:lineRule="auto"/>
              <w:ind w:right="4"/>
              <w:jc w:val="center"/>
              <w:rPr>
                <w:rFonts w:asciiTheme="majorBidi" w:hAnsiTheme="majorBidi" w:cstheme="majorBidi"/>
                <w:color w:val="000000"/>
                <w:sz w:val="28"/>
                <w:szCs w:val="28"/>
              </w:rPr>
            </w:pPr>
            <w:r w:rsidRPr="004112FF">
              <w:rPr>
                <w:rFonts w:asciiTheme="majorBidi" w:hAnsiTheme="majorBidi" w:cstheme="majorBidi"/>
                <w:color w:val="000000"/>
                <w:sz w:val="28"/>
                <w:szCs w:val="28"/>
              </w:rPr>
              <w:t>48.6 ± 10.1</w:t>
            </w:r>
          </w:p>
        </w:tc>
        <w:tc>
          <w:tcPr>
            <w:tcW w:w="1080" w:type="dxa"/>
            <w:vAlign w:val="bottom"/>
          </w:tcPr>
          <w:p w14:paraId="3F0994C3" w14:textId="0169697B" w:rsidR="004112FF" w:rsidRPr="00EB0F10" w:rsidRDefault="004112FF" w:rsidP="004112FF">
            <w:pPr>
              <w:spacing w:after="33" w:line="360" w:lineRule="auto"/>
              <w:ind w:right="4"/>
              <w:jc w:val="center"/>
              <w:rPr>
                <w:rFonts w:asciiTheme="majorBidi" w:hAnsiTheme="majorBidi" w:cstheme="majorBidi"/>
                <w:color w:val="000000"/>
                <w:sz w:val="28"/>
                <w:szCs w:val="28"/>
              </w:rPr>
            </w:pPr>
            <w:r w:rsidRPr="004112FF">
              <w:rPr>
                <w:rFonts w:asciiTheme="majorBidi" w:hAnsiTheme="majorBidi" w:cstheme="majorBidi"/>
                <w:color w:val="000000"/>
                <w:sz w:val="28"/>
                <w:szCs w:val="28"/>
              </w:rPr>
              <w:t>8.32</w:t>
            </w:r>
          </w:p>
        </w:tc>
        <w:tc>
          <w:tcPr>
            <w:tcW w:w="1525" w:type="dxa"/>
            <w:vAlign w:val="center"/>
          </w:tcPr>
          <w:p w14:paraId="6D9CC093" w14:textId="3DA4B0AA" w:rsidR="004112FF" w:rsidRPr="00C7747B" w:rsidRDefault="004112FF" w:rsidP="004112FF">
            <w:pPr>
              <w:spacing w:after="33" w:line="360" w:lineRule="auto"/>
              <w:ind w:right="4"/>
              <w:jc w:val="center"/>
              <w:rPr>
                <w:rFonts w:asciiTheme="majorBidi" w:hAnsiTheme="majorBidi" w:cstheme="majorBidi"/>
                <w:b/>
                <w:color w:val="000000"/>
                <w:sz w:val="28"/>
                <w:szCs w:val="28"/>
                <w:lang w:eastAsia="ar-IQ" w:bidi="ar-IQ"/>
              </w:rPr>
            </w:pPr>
            <w:r w:rsidRPr="00C7747B">
              <w:rPr>
                <w:rFonts w:asciiTheme="majorBidi" w:hAnsiTheme="majorBidi" w:cstheme="majorBidi"/>
                <w:color w:val="000000"/>
                <w:sz w:val="28"/>
                <w:szCs w:val="28"/>
              </w:rPr>
              <w:t>&lt; 0.00</w:t>
            </w:r>
            <w:r>
              <w:rPr>
                <w:rFonts w:asciiTheme="majorBidi" w:hAnsiTheme="majorBidi" w:cstheme="majorBidi"/>
                <w:color w:val="000000"/>
                <w:sz w:val="28"/>
                <w:szCs w:val="28"/>
              </w:rPr>
              <w:t>5</w:t>
            </w:r>
            <w:r w:rsidRPr="00C7747B">
              <w:rPr>
                <w:rFonts w:asciiTheme="majorBidi" w:hAnsiTheme="majorBidi" w:cstheme="majorBidi"/>
                <w:color w:val="000000"/>
                <w:sz w:val="28"/>
                <w:szCs w:val="28"/>
              </w:rPr>
              <w:t>*</w:t>
            </w:r>
          </w:p>
        </w:tc>
      </w:tr>
      <w:tr w:rsidR="004112FF" w:rsidRPr="00C7747B" w14:paraId="3C637A45" w14:textId="77777777" w:rsidTr="006A56D2">
        <w:tc>
          <w:tcPr>
            <w:tcW w:w="2685" w:type="dxa"/>
            <w:vAlign w:val="center"/>
          </w:tcPr>
          <w:p w14:paraId="2F258BD2" w14:textId="77777777" w:rsidR="004112FF" w:rsidRPr="00C7747B" w:rsidRDefault="004112FF" w:rsidP="004112FF">
            <w:pPr>
              <w:spacing w:after="33" w:line="360" w:lineRule="auto"/>
              <w:ind w:right="4"/>
              <w:jc w:val="center"/>
              <w:rPr>
                <w:rFonts w:asciiTheme="majorBidi" w:hAnsiTheme="majorBidi" w:cstheme="majorBidi"/>
                <w:b/>
                <w:bCs/>
                <w:color w:val="000000"/>
                <w:sz w:val="28"/>
                <w:szCs w:val="28"/>
                <w:lang w:eastAsia="ar-IQ" w:bidi="ar-IQ"/>
              </w:rPr>
            </w:pPr>
            <w:r w:rsidRPr="004A619F">
              <w:rPr>
                <w:rFonts w:asciiTheme="majorBidi" w:hAnsiTheme="majorBidi" w:cstheme="majorBidi"/>
                <w:b/>
                <w:bCs/>
                <w:color w:val="000000"/>
                <w:sz w:val="28"/>
                <w:szCs w:val="28"/>
              </w:rPr>
              <w:t>IL-6</w:t>
            </w:r>
          </w:p>
        </w:tc>
        <w:tc>
          <w:tcPr>
            <w:tcW w:w="1800" w:type="dxa"/>
            <w:vAlign w:val="bottom"/>
          </w:tcPr>
          <w:p w14:paraId="4E71D10D" w14:textId="440044D6" w:rsidR="004112FF" w:rsidRPr="00EB0F10" w:rsidRDefault="004112FF" w:rsidP="004112FF">
            <w:pPr>
              <w:spacing w:after="33" w:line="360" w:lineRule="auto"/>
              <w:ind w:right="4"/>
              <w:jc w:val="center"/>
              <w:rPr>
                <w:rFonts w:asciiTheme="majorBidi" w:hAnsiTheme="majorBidi" w:cstheme="majorBidi"/>
                <w:color w:val="000000"/>
                <w:sz w:val="28"/>
                <w:szCs w:val="28"/>
              </w:rPr>
            </w:pPr>
            <w:r w:rsidRPr="004112FF">
              <w:rPr>
                <w:rFonts w:asciiTheme="majorBidi" w:hAnsiTheme="majorBidi" w:cstheme="majorBidi"/>
                <w:color w:val="000000"/>
                <w:sz w:val="28"/>
                <w:szCs w:val="28"/>
              </w:rPr>
              <w:t>16.7 ± 4.8</w:t>
            </w:r>
          </w:p>
        </w:tc>
        <w:tc>
          <w:tcPr>
            <w:tcW w:w="2250" w:type="dxa"/>
            <w:vAlign w:val="bottom"/>
          </w:tcPr>
          <w:p w14:paraId="7F6DD0C9" w14:textId="595DA593" w:rsidR="004112FF" w:rsidRPr="00EB0F10" w:rsidRDefault="004112FF" w:rsidP="004112FF">
            <w:pPr>
              <w:spacing w:after="33" w:line="360" w:lineRule="auto"/>
              <w:ind w:right="4"/>
              <w:jc w:val="center"/>
              <w:rPr>
                <w:rFonts w:asciiTheme="majorBidi" w:hAnsiTheme="majorBidi" w:cstheme="majorBidi"/>
                <w:color w:val="000000"/>
                <w:sz w:val="28"/>
                <w:szCs w:val="28"/>
              </w:rPr>
            </w:pPr>
            <w:r w:rsidRPr="004112FF">
              <w:rPr>
                <w:rFonts w:asciiTheme="majorBidi" w:hAnsiTheme="majorBidi" w:cstheme="majorBidi"/>
                <w:color w:val="000000"/>
                <w:sz w:val="28"/>
                <w:szCs w:val="28"/>
              </w:rPr>
              <w:t>32.4 ± 8.3</w:t>
            </w:r>
          </w:p>
        </w:tc>
        <w:tc>
          <w:tcPr>
            <w:tcW w:w="1080" w:type="dxa"/>
            <w:vAlign w:val="bottom"/>
          </w:tcPr>
          <w:p w14:paraId="32EFB2E5" w14:textId="78A5E9EA" w:rsidR="004112FF" w:rsidRPr="00EB0F10" w:rsidRDefault="004112FF" w:rsidP="004112FF">
            <w:pPr>
              <w:spacing w:after="33" w:line="360" w:lineRule="auto"/>
              <w:ind w:right="4"/>
              <w:jc w:val="center"/>
              <w:rPr>
                <w:rFonts w:asciiTheme="majorBidi" w:hAnsiTheme="majorBidi" w:cstheme="majorBidi"/>
                <w:color w:val="000000"/>
                <w:sz w:val="28"/>
                <w:szCs w:val="28"/>
              </w:rPr>
            </w:pPr>
            <w:r w:rsidRPr="004112FF">
              <w:rPr>
                <w:rFonts w:asciiTheme="majorBidi" w:hAnsiTheme="majorBidi" w:cstheme="majorBidi"/>
                <w:color w:val="000000"/>
                <w:sz w:val="28"/>
                <w:szCs w:val="28"/>
              </w:rPr>
              <w:t>9.14</w:t>
            </w:r>
          </w:p>
        </w:tc>
        <w:tc>
          <w:tcPr>
            <w:tcW w:w="1525" w:type="dxa"/>
            <w:vAlign w:val="center"/>
          </w:tcPr>
          <w:p w14:paraId="30AEC90B" w14:textId="727B0EF4" w:rsidR="004112FF" w:rsidRPr="00C7747B" w:rsidRDefault="004112FF" w:rsidP="004112FF">
            <w:pPr>
              <w:spacing w:after="33" w:line="360" w:lineRule="auto"/>
              <w:ind w:right="4"/>
              <w:jc w:val="center"/>
              <w:rPr>
                <w:rFonts w:asciiTheme="majorBidi" w:hAnsiTheme="majorBidi" w:cstheme="majorBidi"/>
                <w:b/>
                <w:color w:val="000000"/>
                <w:sz w:val="28"/>
                <w:szCs w:val="28"/>
                <w:lang w:eastAsia="ar-IQ" w:bidi="ar-IQ"/>
              </w:rPr>
            </w:pPr>
            <w:r w:rsidRPr="00C7747B">
              <w:rPr>
                <w:rFonts w:asciiTheme="majorBidi" w:hAnsiTheme="majorBidi" w:cstheme="majorBidi"/>
                <w:color w:val="000000"/>
                <w:sz w:val="28"/>
                <w:szCs w:val="28"/>
              </w:rPr>
              <w:t>&lt; 0.00</w:t>
            </w:r>
            <w:r>
              <w:rPr>
                <w:rFonts w:asciiTheme="majorBidi" w:hAnsiTheme="majorBidi" w:cstheme="majorBidi"/>
                <w:color w:val="000000"/>
                <w:sz w:val="28"/>
                <w:szCs w:val="28"/>
              </w:rPr>
              <w:t>3</w:t>
            </w:r>
            <w:r w:rsidRPr="00C7747B">
              <w:rPr>
                <w:rFonts w:asciiTheme="majorBidi" w:hAnsiTheme="majorBidi" w:cstheme="majorBidi"/>
                <w:color w:val="000000"/>
                <w:sz w:val="28"/>
                <w:szCs w:val="28"/>
              </w:rPr>
              <w:t>*</w:t>
            </w:r>
          </w:p>
        </w:tc>
      </w:tr>
      <w:tr w:rsidR="00217922" w:rsidRPr="00C7747B" w14:paraId="5D99A10F" w14:textId="77777777" w:rsidTr="00356BB2">
        <w:tc>
          <w:tcPr>
            <w:tcW w:w="2685" w:type="dxa"/>
            <w:vAlign w:val="center"/>
          </w:tcPr>
          <w:p w14:paraId="2B0FBDFA" w14:textId="382AC87D" w:rsidR="00217922" w:rsidRPr="004A619F" w:rsidRDefault="00217922" w:rsidP="00217922">
            <w:pPr>
              <w:spacing w:after="33" w:line="360" w:lineRule="auto"/>
              <w:ind w:right="4"/>
              <w:jc w:val="center"/>
              <w:rPr>
                <w:rFonts w:asciiTheme="majorBidi" w:hAnsiTheme="majorBidi" w:cstheme="majorBidi"/>
                <w:b/>
                <w:bCs/>
                <w:color w:val="000000"/>
                <w:sz w:val="28"/>
                <w:szCs w:val="28"/>
              </w:rPr>
            </w:pPr>
            <w:r>
              <w:rPr>
                <w:rFonts w:asciiTheme="majorBidi" w:hAnsiTheme="majorBidi" w:cstheme="majorBidi"/>
                <w:b/>
                <w:bCs/>
                <w:color w:val="000000"/>
                <w:sz w:val="28"/>
                <w:szCs w:val="28"/>
              </w:rPr>
              <w:t>Pain level</w:t>
            </w:r>
          </w:p>
        </w:tc>
        <w:tc>
          <w:tcPr>
            <w:tcW w:w="1800" w:type="dxa"/>
            <w:vAlign w:val="bottom"/>
          </w:tcPr>
          <w:p w14:paraId="15F7DA44" w14:textId="4F9BF808" w:rsidR="00217922" w:rsidRPr="004112FF"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1.8 ± 0.9</w:t>
            </w:r>
          </w:p>
        </w:tc>
        <w:tc>
          <w:tcPr>
            <w:tcW w:w="2250" w:type="dxa"/>
            <w:vAlign w:val="bottom"/>
          </w:tcPr>
          <w:p w14:paraId="607D3041" w14:textId="2D8738D4" w:rsidR="00217922" w:rsidRPr="004112FF"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5.2 ± 1.7</w:t>
            </w:r>
          </w:p>
        </w:tc>
        <w:tc>
          <w:tcPr>
            <w:tcW w:w="1080" w:type="dxa"/>
            <w:vAlign w:val="bottom"/>
          </w:tcPr>
          <w:p w14:paraId="3DB10761" w14:textId="379BE266" w:rsidR="00217922" w:rsidRPr="004112FF"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10.27</w:t>
            </w:r>
          </w:p>
        </w:tc>
        <w:tc>
          <w:tcPr>
            <w:tcW w:w="1525" w:type="dxa"/>
            <w:vAlign w:val="bottom"/>
          </w:tcPr>
          <w:p w14:paraId="4B74DEF1" w14:textId="72494489" w:rsidR="00217922" w:rsidRPr="00C7747B" w:rsidRDefault="00217922" w:rsidP="00217922">
            <w:pPr>
              <w:spacing w:after="33" w:line="360" w:lineRule="auto"/>
              <w:ind w:right="4"/>
              <w:jc w:val="center"/>
              <w:rPr>
                <w:rFonts w:asciiTheme="majorBidi" w:hAnsiTheme="majorBidi" w:cstheme="majorBidi"/>
                <w:color w:val="000000"/>
                <w:sz w:val="28"/>
                <w:szCs w:val="28"/>
              </w:rPr>
            </w:pPr>
            <w:r w:rsidRPr="00217922">
              <w:rPr>
                <w:rFonts w:asciiTheme="majorBidi" w:hAnsiTheme="majorBidi" w:cstheme="majorBidi"/>
                <w:color w:val="000000"/>
                <w:sz w:val="28"/>
                <w:szCs w:val="28"/>
              </w:rPr>
              <w:t>&lt; 0.001*</w:t>
            </w:r>
          </w:p>
        </w:tc>
      </w:tr>
    </w:tbl>
    <w:p w14:paraId="55A0E198" w14:textId="77777777" w:rsidR="002E3B6D" w:rsidRDefault="002E3B6D" w:rsidP="00000CD1">
      <w:pPr>
        <w:autoSpaceDE w:val="0"/>
        <w:autoSpaceDN w:val="0"/>
        <w:adjustRightInd w:val="0"/>
        <w:spacing w:line="360" w:lineRule="auto"/>
        <w:ind w:firstLine="720"/>
        <w:jc w:val="both"/>
        <w:rPr>
          <w:b/>
          <w:bCs/>
          <w:color w:val="2E2E2E"/>
          <w:sz w:val="32"/>
          <w:szCs w:val="32"/>
        </w:rPr>
      </w:pPr>
    </w:p>
    <w:p w14:paraId="6AE478F7" w14:textId="19330704" w:rsidR="00950911" w:rsidRPr="001509DF" w:rsidRDefault="00950911" w:rsidP="00000CD1">
      <w:pPr>
        <w:autoSpaceDE w:val="0"/>
        <w:autoSpaceDN w:val="0"/>
        <w:adjustRightInd w:val="0"/>
        <w:spacing w:line="360" w:lineRule="auto"/>
        <w:ind w:firstLine="720"/>
        <w:jc w:val="both"/>
        <w:rPr>
          <w:b/>
          <w:bCs/>
          <w:color w:val="2E2E2E"/>
          <w:sz w:val="32"/>
          <w:szCs w:val="32"/>
        </w:rPr>
      </w:pPr>
      <w:r w:rsidRPr="001509DF">
        <w:rPr>
          <w:b/>
          <w:bCs/>
          <w:color w:val="2E2E2E"/>
          <w:sz w:val="32"/>
          <w:szCs w:val="32"/>
        </w:rPr>
        <w:t>Discussion</w:t>
      </w:r>
    </w:p>
    <w:p w14:paraId="64085A7B" w14:textId="77777777" w:rsidR="00A83A35" w:rsidRPr="00A83A35" w:rsidRDefault="00EC5BC8" w:rsidP="00A83A35">
      <w:pPr>
        <w:autoSpaceDE w:val="0"/>
        <w:autoSpaceDN w:val="0"/>
        <w:adjustRightInd w:val="0"/>
        <w:spacing w:line="360" w:lineRule="auto"/>
        <w:ind w:firstLine="10"/>
        <w:jc w:val="both"/>
        <w:rPr>
          <w:bCs/>
          <w:color w:val="000000" w:themeColor="text1"/>
          <w:sz w:val="28"/>
          <w:szCs w:val="28"/>
        </w:rPr>
      </w:pPr>
      <w:r w:rsidRPr="001509DF">
        <w:rPr>
          <w:bCs/>
          <w:color w:val="000000" w:themeColor="text1"/>
          <w:sz w:val="28"/>
          <w:szCs w:val="28"/>
        </w:rPr>
        <w:t xml:space="preserve">       </w:t>
      </w:r>
      <w:r w:rsidR="006B36FA" w:rsidRPr="001509DF">
        <w:rPr>
          <w:bCs/>
          <w:color w:val="000000" w:themeColor="text1"/>
          <w:sz w:val="28"/>
          <w:szCs w:val="28"/>
        </w:rPr>
        <w:t xml:space="preserve">   </w:t>
      </w:r>
      <w:r w:rsidRPr="001509DF">
        <w:rPr>
          <w:bCs/>
          <w:color w:val="000000" w:themeColor="text1"/>
          <w:sz w:val="28"/>
          <w:szCs w:val="28"/>
        </w:rPr>
        <w:t xml:space="preserve">  </w:t>
      </w:r>
      <w:r w:rsidR="00A83A35" w:rsidRPr="00A83A35">
        <w:rPr>
          <w:bCs/>
          <w:color w:val="000000" w:themeColor="text1"/>
          <w:sz w:val="28"/>
          <w:szCs w:val="28"/>
        </w:rPr>
        <w:t xml:space="preserve">The current study provides strong evidence that the implant superstructure configuration markedly impacts local inflammatory microenvironment, as shown by differential expression of IL-1β and IL-6 in peri-implant crevicular fluid. Cement-retained metal-ceramic crowns yield significantly higher levels of IL-1β (31%) and IL-6 (57%) than screw-retained zirconia crowns. These findings are consistent with the increasing awareness that what materials are used and how they are retained is an important driver of peri-implant biological consequences (Máximo et al., 2023; </w:t>
      </w:r>
      <w:proofErr w:type="spellStart"/>
      <w:r w:rsidR="00A83A35" w:rsidRPr="00A83A35">
        <w:rPr>
          <w:bCs/>
          <w:color w:val="000000" w:themeColor="text1"/>
          <w:sz w:val="28"/>
          <w:szCs w:val="28"/>
        </w:rPr>
        <w:t>Pärnänen</w:t>
      </w:r>
      <w:proofErr w:type="spellEnd"/>
      <w:r w:rsidR="00A83A35" w:rsidRPr="00A83A35">
        <w:rPr>
          <w:bCs/>
          <w:color w:val="000000" w:themeColor="text1"/>
          <w:sz w:val="28"/>
          <w:szCs w:val="28"/>
        </w:rPr>
        <w:t xml:space="preserve"> et al., 2024</w:t>
      </w:r>
      <w:proofErr w:type="gramStart"/>
      <w:r w:rsidR="00A83A35" w:rsidRPr="00A83A35">
        <w:rPr>
          <w:bCs/>
          <w:color w:val="000000" w:themeColor="text1"/>
          <w:sz w:val="28"/>
          <w:szCs w:val="28"/>
        </w:rPr>
        <w:t>)..</w:t>
      </w:r>
      <w:proofErr w:type="gramEnd"/>
    </w:p>
    <w:p w14:paraId="2F84028B" w14:textId="77777777" w:rsidR="00A83A35" w:rsidRPr="00A83A35" w:rsidRDefault="00A83A35" w:rsidP="00A83A35">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 xml:space="preserve">Factors contributing to the higher levels of IL-1β and IL-6 in cement-retained metal-ceramic restorations are interconnected. First, in cement-retained designs however the characteristic cement layer can harbor bacteria and stimulate foreign body reactions, especially if excess cement extends </w:t>
      </w:r>
      <w:proofErr w:type="spellStart"/>
      <w:r w:rsidRPr="00A83A35">
        <w:rPr>
          <w:bCs/>
          <w:color w:val="000000" w:themeColor="text1"/>
          <w:sz w:val="28"/>
          <w:szCs w:val="28"/>
        </w:rPr>
        <w:t>subgingivally</w:t>
      </w:r>
      <w:proofErr w:type="spellEnd"/>
      <w:r w:rsidRPr="00A83A35">
        <w:rPr>
          <w:bCs/>
          <w:color w:val="000000" w:themeColor="text1"/>
          <w:sz w:val="28"/>
          <w:szCs w:val="28"/>
        </w:rPr>
        <w:t xml:space="preserve"> (Jung et al., 2024). </w:t>
      </w:r>
      <w:r w:rsidRPr="00A83A35">
        <w:rPr>
          <w:bCs/>
          <w:color w:val="000000" w:themeColor="text1"/>
          <w:sz w:val="28"/>
          <w:szCs w:val="28"/>
        </w:rPr>
        <w:lastRenderedPageBreak/>
        <w:t xml:space="preserve">Consider traces of resin cement consistently implicated as an etiological factor in development of peri-implantitis and associated </w:t>
      </w:r>
      <w:proofErr w:type="spellStart"/>
      <w:r w:rsidRPr="00A83A35">
        <w:rPr>
          <w:bCs/>
          <w:color w:val="000000" w:themeColor="text1"/>
          <w:sz w:val="28"/>
          <w:szCs w:val="28"/>
        </w:rPr>
        <w:t>dysbiotic</w:t>
      </w:r>
      <w:proofErr w:type="spellEnd"/>
      <w:r w:rsidRPr="00A83A35">
        <w:rPr>
          <w:bCs/>
          <w:color w:val="000000" w:themeColor="text1"/>
          <w:sz w:val="28"/>
          <w:szCs w:val="28"/>
        </w:rPr>
        <w:t xml:space="preserve"> microbiome shift and sustained inflammatory response. Second, although metal-ceramic restorations have demonstrated an adequate clinical history of success, they can leach trace metals ions (</w:t>
      </w:r>
      <w:proofErr w:type="spellStart"/>
      <w:r w:rsidRPr="00A83A35">
        <w:rPr>
          <w:bCs/>
          <w:color w:val="000000" w:themeColor="text1"/>
          <w:sz w:val="28"/>
          <w:szCs w:val="28"/>
        </w:rPr>
        <w:t>eg</w:t>
      </w:r>
      <w:proofErr w:type="spellEnd"/>
      <w:r w:rsidRPr="00A83A35">
        <w:rPr>
          <w:bCs/>
          <w:color w:val="000000" w:themeColor="text1"/>
          <w:sz w:val="28"/>
          <w:szCs w:val="28"/>
        </w:rPr>
        <w:t>, nickel, chromium and cobalt) that may lead to oxidative stress and increase the expression of pro-inflammatory cytokines by acting on nuclear factor-kappa B (NF-kB) signaling pathways (Schmitt et al., 2016). Conversely, zirconia ceramics possess unique chemical inertness, ion release, and bacterial adhesion characteristics that promote better biological conditions (Pesce et al., 2024).</w:t>
      </w:r>
    </w:p>
    <w:p w14:paraId="4F128488" w14:textId="77777777" w:rsidR="00BB6061" w:rsidRPr="00BB6061" w:rsidRDefault="00A83A35" w:rsidP="00BB6061">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 xml:space="preserve">The degree of cytokine up-regulation in our peri-implantitis sites compared to healthy implants is comparable with the published literature that describes the inflammatory profile of these peri-implant diseases. </w:t>
      </w:r>
      <w:r w:rsidR="00BB6061" w:rsidRPr="00BB6061">
        <w:rPr>
          <w:bCs/>
          <w:color w:val="000000" w:themeColor="text1"/>
          <w:sz w:val="28"/>
          <w:szCs w:val="28"/>
        </w:rPr>
        <w:t xml:space="preserve">Both the 68% increase in IL-1β levels and 94% increase in IL-6 at peri-implant sites compared to corresponding healthy tissues are compatible with more recent systematic reviews and meta-analyses where these markers were seen up-regulated during disease states (Máximo et al., 2023; Shi et al., 2022). Specifically, Máximo et al. (2023) and Wong et al. (2023) pooled standardized mean differences of 1.89 for IL-1β and 1.56 for IL-6 comparing periimplantitis with healthy implants, indicating the diagnostic feasibility of these cytokines. Notably, in our study IL-6 was certainly the most significantly elevated cytokine, which is particularly interesting considering that this pro-inflammatory cytokine participates not only in </w:t>
      </w:r>
      <w:proofErr w:type="spellStart"/>
      <w:r w:rsidR="00BB6061" w:rsidRPr="00BB6061">
        <w:rPr>
          <w:bCs/>
          <w:color w:val="000000" w:themeColor="text1"/>
          <w:sz w:val="28"/>
          <w:szCs w:val="28"/>
        </w:rPr>
        <w:t>osteoclastogenesis</w:t>
      </w:r>
      <w:proofErr w:type="spellEnd"/>
      <w:r w:rsidR="00BB6061" w:rsidRPr="00BB6061">
        <w:rPr>
          <w:bCs/>
          <w:color w:val="000000" w:themeColor="text1"/>
          <w:sz w:val="28"/>
          <w:szCs w:val="28"/>
        </w:rPr>
        <w:t xml:space="preserve"> through RANKL-mediated pathways but also in sustaining extensive inflammation-driving cascades through positive feedback loops (</w:t>
      </w:r>
      <w:proofErr w:type="spellStart"/>
      <w:r w:rsidR="00BB6061" w:rsidRPr="00BB6061">
        <w:rPr>
          <w:bCs/>
          <w:color w:val="000000" w:themeColor="text1"/>
          <w:sz w:val="28"/>
          <w:szCs w:val="28"/>
        </w:rPr>
        <w:t>Pärnänen</w:t>
      </w:r>
      <w:proofErr w:type="spellEnd"/>
      <w:r w:rsidR="00BB6061" w:rsidRPr="00BB6061">
        <w:rPr>
          <w:bCs/>
          <w:color w:val="000000" w:themeColor="text1"/>
          <w:sz w:val="28"/>
          <w:szCs w:val="28"/>
        </w:rPr>
        <w:t xml:space="preserve"> et al., 2024).</w:t>
      </w:r>
    </w:p>
    <w:p w14:paraId="33D17063" w14:textId="0B8A0B88" w:rsidR="00A83A35" w:rsidRPr="00A83A35"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t xml:space="preserve">The predictive power of our findings was impressive not only for immediate clinical intervention but also for longer-range prognostication. Liu et al. This highlights the importance of early inflammatory monitoring, as it was recently suggested (2026) that predictive </w:t>
      </w:r>
      <w:proofErr w:type="spellStart"/>
      <w:r w:rsidRPr="00BB6061">
        <w:rPr>
          <w:bCs/>
          <w:color w:val="000000" w:themeColor="text1"/>
          <w:sz w:val="28"/>
          <w:szCs w:val="28"/>
        </w:rPr>
        <w:t>periimplant</w:t>
      </w:r>
      <w:proofErr w:type="spellEnd"/>
      <w:r w:rsidRPr="00BB6061">
        <w:rPr>
          <w:bCs/>
          <w:color w:val="000000" w:themeColor="text1"/>
          <w:sz w:val="28"/>
          <w:szCs w:val="28"/>
        </w:rPr>
        <w:t xml:space="preserve"> disease could be identified with an accuracy of 78% </w:t>
      </w:r>
      <w:r w:rsidRPr="00BB6061">
        <w:rPr>
          <w:bCs/>
          <w:color w:val="000000" w:themeColor="text1"/>
          <w:sz w:val="28"/>
          <w:szCs w:val="28"/>
        </w:rPr>
        <w:lastRenderedPageBreak/>
        <w:t>based on pre-operative measurements of IL-1β at three months post-operatively. Such consistently high baseline values for all cytokine measures in our study of cement retained metal-ceramic configurations may require patients receiving these types of restorations to adhere to more aggressive monitoring protocols, as well as booster therapeutic efforts</w:t>
      </w:r>
      <w:r w:rsidR="00A83A35" w:rsidRPr="00A83A35">
        <w:rPr>
          <w:bCs/>
          <w:color w:val="000000" w:themeColor="text1"/>
          <w:sz w:val="28"/>
          <w:szCs w:val="28"/>
        </w:rPr>
        <w:t>.</w:t>
      </w:r>
    </w:p>
    <w:p w14:paraId="04D155EB" w14:textId="77777777" w:rsidR="00A83A35" w:rsidRPr="00A83A35" w:rsidRDefault="00A83A35" w:rsidP="00A83A35">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From a mechanistic standpoint, increased concentration of IL-1β seen with cement-retained metal-ceramic crowns likely reflect an activation of the NLRP3 inflammasome complex by pathogen-associated molecular patterns and damage-associated molecular patterns. IL-1β is the main pro-inflammatory cytokine released during peri-implant inflammation that induces prostaglandin E2 production and matrix metalloproteinase release, which leads to osteoclast activation and alveolar bone resorption (Máximo et al., 2023). Concurrently rising IL-6 adds to these destructive pathways whilst mediating acute-phase responses and immune cell differentiation, creating a self-perpetuating tissue-destructive cycle that manifests in homeostatic mechanisms giving-way (</w:t>
      </w:r>
      <w:proofErr w:type="spellStart"/>
      <w:r w:rsidRPr="00A83A35">
        <w:rPr>
          <w:bCs/>
          <w:color w:val="000000" w:themeColor="text1"/>
          <w:sz w:val="28"/>
          <w:szCs w:val="28"/>
        </w:rPr>
        <w:t>Pärnänen</w:t>
      </w:r>
      <w:proofErr w:type="spellEnd"/>
      <w:r w:rsidRPr="00A83A35">
        <w:rPr>
          <w:bCs/>
          <w:color w:val="000000" w:themeColor="text1"/>
          <w:sz w:val="28"/>
          <w:szCs w:val="28"/>
        </w:rPr>
        <w:t xml:space="preserve"> et al., 2024).</w:t>
      </w:r>
    </w:p>
    <w:p w14:paraId="4B4FE6E5" w14:textId="4E4512A9" w:rsidR="00BB6061" w:rsidRPr="00BB6061" w:rsidRDefault="00A83A35" w:rsidP="00BB6061">
      <w:pPr>
        <w:autoSpaceDE w:val="0"/>
        <w:autoSpaceDN w:val="0"/>
        <w:adjustRightInd w:val="0"/>
        <w:spacing w:line="360" w:lineRule="auto"/>
        <w:ind w:firstLine="10"/>
        <w:jc w:val="both"/>
        <w:rPr>
          <w:bCs/>
          <w:color w:val="000000" w:themeColor="text1"/>
          <w:sz w:val="28"/>
          <w:szCs w:val="28"/>
        </w:rPr>
      </w:pPr>
      <w:r w:rsidRPr="00A83A35">
        <w:rPr>
          <w:bCs/>
          <w:color w:val="000000" w:themeColor="text1"/>
          <w:sz w:val="28"/>
          <w:szCs w:val="28"/>
        </w:rPr>
        <w:t xml:space="preserve">Results </w:t>
      </w:r>
      <w:r w:rsidR="00E16B55">
        <w:rPr>
          <w:bCs/>
          <w:color w:val="000000" w:themeColor="text1"/>
          <w:sz w:val="28"/>
          <w:szCs w:val="28"/>
        </w:rPr>
        <w:t>may</w:t>
      </w:r>
      <w:r w:rsidRPr="00A83A35">
        <w:rPr>
          <w:bCs/>
          <w:color w:val="000000" w:themeColor="text1"/>
          <w:sz w:val="28"/>
          <w:szCs w:val="28"/>
        </w:rPr>
        <w:t xml:space="preserve"> be interpreted in the context of study limitations. </w:t>
      </w:r>
      <w:r w:rsidR="00BB6061" w:rsidRPr="00BB6061">
        <w:rPr>
          <w:bCs/>
          <w:color w:val="000000" w:themeColor="text1"/>
          <w:sz w:val="28"/>
          <w:szCs w:val="28"/>
        </w:rPr>
        <w:t xml:space="preserve">As a cross-sectional study, we cannot definitively conclude temporal precedence between superstructure placement and cytokine elevation. Additionally, though we had sufficient power for primary comparison </w:t>
      </w:r>
      <w:proofErr w:type="gramStart"/>
      <w:r w:rsidR="00BB6061" w:rsidRPr="00BB6061">
        <w:rPr>
          <w:bCs/>
          <w:color w:val="000000" w:themeColor="text1"/>
          <w:sz w:val="28"/>
          <w:szCs w:val="28"/>
        </w:rPr>
        <w:t>( cement</w:t>
      </w:r>
      <w:proofErr w:type="gramEnd"/>
      <w:r w:rsidR="00BB6061" w:rsidRPr="00BB6061">
        <w:rPr>
          <w:bCs/>
          <w:color w:val="000000" w:themeColor="text1"/>
          <w:sz w:val="28"/>
          <w:szCs w:val="28"/>
        </w:rPr>
        <w:t>-retained metal-ceramic group, 42; vs. screw-retained zirconia group, 24), the unequal number of groups may generate statically imbalances. We did not control for confounding variables such as loading time, implant surface characteristics and individual genetic polymorphisms which may modulate the inflammatory responses of a patient and therefore influence peri-implant cytokine profiles (Oliveira et al., 2025). Furthermore, our ELISA-based quantification presented total circulation cytokine concentrations and did not allow distinctions of bioactive and receptor-bound fractions that could explain mechanistic insight.</w:t>
      </w:r>
    </w:p>
    <w:p w14:paraId="5359CD30" w14:textId="34387801" w:rsidR="00BB6061" w:rsidRPr="00BB6061"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lastRenderedPageBreak/>
        <w:t xml:space="preserve">Longitudinal studies </w:t>
      </w:r>
      <w:proofErr w:type="gramStart"/>
      <w:r w:rsidR="00E16B55">
        <w:rPr>
          <w:bCs/>
          <w:color w:val="000000" w:themeColor="text1"/>
          <w:sz w:val="28"/>
          <w:szCs w:val="28"/>
        </w:rPr>
        <w:t>has</w:t>
      </w:r>
      <w:proofErr w:type="gramEnd"/>
      <w:r w:rsidR="00E16B55">
        <w:rPr>
          <w:bCs/>
          <w:color w:val="000000" w:themeColor="text1"/>
          <w:sz w:val="28"/>
          <w:szCs w:val="28"/>
        </w:rPr>
        <w:t xml:space="preserve"> been</w:t>
      </w:r>
      <w:r w:rsidRPr="00BB6061">
        <w:rPr>
          <w:bCs/>
          <w:color w:val="000000" w:themeColor="text1"/>
          <w:sz w:val="28"/>
          <w:szCs w:val="28"/>
        </w:rPr>
        <w:t xml:space="preserve"> needed to track cytokine trajectories post-superstructure placement and determine threshold values that predict whether a patient is likely to progress or not. Hence, integration of multi-omics approaches which include microbiome profiles coupled with metabolomic and host transcriptomic analyses would provide a comprehensive characterization of the dynamic interplay in the peri-implant microenvironment under different restoration configurations. In fact, recent integrated analyses suggested particular microbial genera (XIG-1 streptococci and Treponema) that showed strong correlation with IL-1β and IL-6 upregulation in peri-</w:t>
      </w:r>
      <w:proofErr w:type="gramStart"/>
      <w:r w:rsidRPr="00BB6061">
        <w:rPr>
          <w:bCs/>
          <w:color w:val="000000" w:themeColor="text1"/>
          <w:sz w:val="28"/>
          <w:szCs w:val="28"/>
        </w:rPr>
        <w:t>implantitis( Shi</w:t>
      </w:r>
      <w:proofErr w:type="gramEnd"/>
      <w:r w:rsidRPr="00BB6061">
        <w:rPr>
          <w:bCs/>
          <w:color w:val="000000" w:themeColor="text1"/>
          <w:sz w:val="28"/>
          <w:szCs w:val="28"/>
        </w:rPr>
        <w:t xml:space="preserve"> et al., 2022), suggesting that inflammatory differences mediated by the superstructure may partially overcharge inter-individual variations of bacterial colonization patterns.</w:t>
      </w:r>
    </w:p>
    <w:p w14:paraId="37218DCB" w14:textId="71D9995A" w:rsidR="00BB6061" w:rsidRPr="00BB6061"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t xml:space="preserve">Our findings thus </w:t>
      </w:r>
      <w:proofErr w:type="gramStart"/>
      <w:r w:rsidRPr="00BB6061">
        <w:rPr>
          <w:bCs/>
          <w:color w:val="000000" w:themeColor="text1"/>
          <w:sz w:val="28"/>
          <w:szCs w:val="28"/>
        </w:rPr>
        <w:t>translate</w:t>
      </w:r>
      <w:r w:rsidR="00E16B55">
        <w:rPr>
          <w:bCs/>
          <w:color w:val="000000" w:themeColor="text1"/>
          <w:sz w:val="28"/>
          <w:szCs w:val="28"/>
        </w:rPr>
        <w:t>s</w:t>
      </w:r>
      <w:proofErr w:type="gramEnd"/>
      <w:r w:rsidRPr="00BB6061">
        <w:rPr>
          <w:bCs/>
          <w:color w:val="000000" w:themeColor="text1"/>
          <w:sz w:val="28"/>
          <w:szCs w:val="28"/>
        </w:rPr>
        <w:t xml:space="preserve"> into favoring screw-retained zirconia restorations as a principle, particularly in patients with preexisting risk factors for peri-implantitis including history of prior periodontitis, smoking or impaired glycemic control. However, cement-retained metal-ceramic crowns remain indicated where aesthetic demands or restricted interocclusal space or </w:t>
      </w:r>
      <w:proofErr w:type="spellStart"/>
      <w:r w:rsidRPr="00BB6061">
        <w:rPr>
          <w:bCs/>
          <w:color w:val="000000" w:themeColor="text1"/>
          <w:sz w:val="28"/>
          <w:szCs w:val="28"/>
        </w:rPr>
        <w:t>unfavourable</w:t>
      </w:r>
      <w:proofErr w:type="spellEnd"/>
      <w:r w:rsidRPr="00BB6061">
        <w:rPr>
          <w:bCs/>
          <w:color w:val="000000" w:themeColor="text1"/>
          <w:sz w:val="28"/>
          <w:szCs w:val="28"/>
        </w:rPr>
        <w:t xml:space="preserve"> implant angulation preclude screw retained varieties. In such circumstances, the judicious utilization of cement removal protocols and avoidance of subgingival margins alongside elevated maintenance protocols are warranted to mitigate biological morbidity (Jung et al., 2024).</w:t>
      </w:r>
    </w:p>
    <w:p w14:paraId="5C19387A" w14:textId="1C01E1AF" w:rsidR="002B4CA7" w:rsidRPr="00A83A35" w:rsidRDefault="00BB6061" w:rsidP="00BB6061">
      <w:pPr>
        <w:autoSpaceDE w:val="0"/>
        <w:autoSpaceDN w:val="0"/>
        <w:adjustRightInd w:val="0"/>
        <w:spacing w:line="360" w:lineRule="auto"/>
        <w:ind w:firstLine="10"/>
        <w:jc w:val="both"/>
        <w:rPr>
          <w:bCs/>
          <w:color w:val="000000" w:themeColor="text1"/>
          <w:sz w:val="28"/>
          <w:szCs w:val="28"/>
        </w:rPr>
      </w:pPr>
      <w:r w:rsidRPr="00BB6061">
        <w:rPr>
          <w:bCs/>
          <w:color w:val="000000" w:themeColor="text1"/>
          <w:sz w:val="28"/>
          <w:szCs w:val="28"/>
        </w:rPr>
        <w:t>In addition, the current study additionally illustrated that biological properties such as lower ionic leakage and better bacterial adhesion were found with Zirconia (</w:t>
      </w:r>
      <w:proofErr w:type="spellStart"/>
      <w:r w:rsidRPr="00BB6061">
        <w:rPr>
          <w:bCs/>
          <w:color w:val="000000" w:themeColor="text1"/>
          <w:sz w:val="28"/>
          <w:szCs w:val="28"/>
        </w:rPr>
        <w:t>Pärnänen</w:t>
      </w:r>
      <w:proofErr w:type="spellEnd"/>
      <w:r w:rsidRPr="00BB6061">
        <w:rPr>
          <w:bCs/>
          <w:color w:val="000000" w:themeColor="text1"/>
          <w:sz w:val="28"/>
          <w:szCs w:val="28"/>
        </w:rPr>
        <w:t xml:space="preserve"> et al., 2024), which might account for significantly less pain scores in screw-retained zirconia crowns compared with cemented metal-ceramic crowns. The significantly higher pain levels observed in peri-implantitis sites agrees with figures known that </w:t>
      </w:r>
      <w:proofErr w:type="spellStart"/>
      <w:proofErr w:type="gramStart"/>
      <w:r w:rsidRPr="00BB6061">
        <w:rPr>
          <w:bCs/>
          <w:color w:val="000000" w:themeColor="text1"/>
          <w:sz w:val="28"/>
          <w:szCs w:val="28"/>
        </w:rPr>
        <w:t>a</w:t>
      </w:r>
      <w:proofErr w:type="spellEnd"/>
      <w:proofErr w:type="gramEnd"/>
      <w:r w:rsidRPr="00BB6061">
        <w:rPr>
          <w:bCs/>
          <w:color w:val="000000" w:themeColor="text1"/>
          <w:sz w:val="28"/>
          <w:szCs w:val="28"/>
        </w:rPr>
        <w:t xml:space="preserve"> active inflammatory disease enhances nociceptive signal through sensitization mediated by prostaglandins (Máximo et al., 2023). The </w:t>
      </w:r>
      <w:r w:rsidRPr="00BB6061">
        <w:rPr>
          <w:bCs/>
          <w:color w:val="000000" w:themeColor="text1"/>
          <w:sz w:val="28"/>
          <w:szCs w:val="28"/>
        </w:rPr>
        <w:lastRenderedPageBreak/>
        <w:t>observation that higher pain scores associated with elevated IL-1β and IL-6 values, not only in the cement retained metal-ceramic restorations (internal controls) but also at peri–implantitis sites, indicates a possible link between subjective perception of the pain experience to objective inflammatory biomarker expression</w:t>
      </w:r>
      <w:r w:rsidR="002B4CA7" w:rsidRPr="002B4CA7">
        <w:rPr>
          <w:bCs/>
          <w:color w:val="000000" w:themeColor="text1"/>
          <w:sz w:val="28"/>
          <w:szCs w:val="28"/>
        </w:rPr>
        <w:t>. These results strengthen the clinical potential of assessing pain as a cheap and easily implementable monitoring tool for peri-implant health, especially in countries where biochemical analysis is not routinely possible</w:t>
      </w:r>
      <w:r w:rsidR="006B63C2">
        <w:rPr>
          <w:bCs/>
          <w:color w:val="000000" w:themeColor="text1"/>
          <w:sz w:val="28"/>
          <w:szCs w:val="28"/>
        </w:rPr>
        <w:t xml:space="preserve"> (</w:t>
      </w:r>
      <w:r w:rsidR="006B63C2" w:rsidRPr="002B4CA7">
        <w:rPr>
          <w:rFonts w:asciiTheme="majorBidi" w:hAnsiTheme="majorBidi" w:cstheme="majorBidi"/>
          <w:color w:val="222222"/>
          <w:sz w:val="28"/>
          <w:szCs w:val="28"/>
        </w:rPr>
        <w:t>Arbelaez-</w:t>
      </w:r>
      <w:proofErr w:type="spellStart"/>
      <w:r w:rsidR="006B63C2" w:rsidRPr="002B4CA7">
        <w:rPr>
          <w:rFonts w:asciiTheme="majorBidi" w:hAnsiTheme="majorBidi" w:cstheme="majorBidi"/>
          <w:color w:val="222222"/>
          <w:sz w:val="28"/>
          <w:szCs w:val="28"/>
        </w:rPr>
        <w:t>Bonozo</w:t>
      </w:r>
      <w:proofErr w:type="spellEnd"/>
      <w:r w:rsidR="006B63C2">
        <w:rPr>
          <w:rFonts w:asciiTheme="majorBidi" w:hAnsiTheme="majorBidi" w:cstheme="majorBidi"/>
          <w:color w:val="222222"/>
          <w:sz w:val="28"/>
          <w:szCs w:val="28"/>
        </w:rPr>
        <w:t xml:space="preserve"> et al., 2024)</w:t>
      </w:r>
      <w:r w:rsidR="002B4CA7" w:rsidRPr="002B4CA7">
        <w:rPr>
          <w:bCs/>
          <w:color w:val="000000" w:themeColor="text1"/>
          <w:sz w:val="28"/>
          <w:szCs w:val="28"/>
        </w:rPr>
        <w:t>. Future studies should determine whether very early pain intervention can reduce progression to peri-implantitis in high-risk configurations.</w:t>
      </w:r>
    </w:p>
    <w:p w14:paraId="26FEFD07" w14:textId="77777777" w:rsidR="00EC5BC8" w:rsidRPr="001509DF" w:rsidRDefault="00EC5BC8" w:rsidP="00000CD1">
      <w:pPr>
        <w:autoSpaceDE w:val="0"/>
        <w:autoSpaceDN w:val="0"/>
        <w:adjustRightInd w:val="0"/>
        <w:spacing w:line="360" w:lineRule="auto"/>
        <w:ind w:firstLine="10"/>
        <w:jc w:val="both"/>
        <w:rPr>
          <w:b/>
          <w:bCs/>
          <w:color w:val="000000" w:themeColor="text1"/>
          <w:sz w:val="28"/>
          <w:szCs w:val="28"/>
        </w:rPr>
      </w:pPr>
    </w:p>
    <w:p w14:paraId="087BB533" w14:textId="77777777" w:rsidR="00950911" w:rsidRPr="001509DF" w:rsidRDefault="00950911" w:rsidP="00000CD1">
      <w:pPr>
        <w:spacing w:line="360" w:lineRule="auto"/>
        <w:jc w:val="both"/>
        <w:rPr>
          <w:color w:val="000000" w:themeColor="text1"/>
          <w:sz w:val="28"/>
          <w:szCs w:val="28"/>
        </w:rPr>
      </w:pPr>
      <w:r w:rsidRPr="001509DF">
        <w:rPr>
          <w:b/>
          <w:bCs/>
          <w:color w:val="000000" w:themeColor="text1"/>
          <w:sz w:val="28"/>
          <w:szCs w:val="28"/>
        </w:rPr>
        <w:t>Conclusion</w:t>
      </w:r>
      <w:r w:rsidRPr="001509DF">
        <w:rPr>
          <w:color w:val="000000" w:themeColor="text1"/>
          <w:sz w:val="28"/>
          <w:szCs w:val="28"/>
        </w:rPr>
        <w:t xml:space="preserve">: </w:t>
      </w:r>
    </w:p>
    <w:p w14:paraId="0E086DF2" w14:textId="35270AF6" w:rsidR="00C212B2" w:rsidRPr="001509DF" w:rsidRDefault="00C212B2" w:rsidP="00A83A35">
      <w:pPr>
        <w:autoSpaceDE w:val="0"/>
        <w:autoSpaceDN w:val="0"/>
        <w:adjustRightInd w:val="0"/>
        <w:spacing w:line="360" w:lineRule="auto"/>
        <w:ind w:firstLine="10"/>
        <w:jc w:val="both"/>
        <w:rPr>
          <w:color w:val="000000" w:themeColor="text1"/>
          <w:sz w:val="28"/>
          <w:szCs w:val="28"/>
        </w:rPr>
      </w:pPr>
      <w:r w:rsidRPr="001509DF">
        <w:rPr>
          <w:color w:val="000000" w:themeColor="text1"/>
          <w:sz w:val="28"/>
          <w:szCs w:val="28"/>
        </w:rPr>
        <w:t xml:space="preserve">         </w:t>
      </w:r>
      <w:r w:rsidR="00A83A35" w:rsidRPr="00A83A35">
        <w:rPr>
          <w:bCs/>
          <w:color w:val="000000" w:themeColor="text1"/>
          <w:sz w:val="28"/>
          <w:szCs w:val="28"/>
        </w:rPr>
        <w:t xml:space="preserve">this study shows that screw-retained zirconia crowns yield a significantly reduced level of IL-1β and IL-6 in the peri-implant crevicular fluid compared to cement-retained metal-ceramic counterparts, creating a new modifiable risk factor for peri-implant inflammatory burden: superstructure configuration. </w:t>
      </w:r>
      <w:proofErr w:type="gramStart"/>
      <w:r w:rsidR="00A83A35" w:rsidRPr="00A83A35">
        <w:rPr>
          <w:bCs/>
          <w:color w:val="000000" w:themeColor="text1"/>
          <w:sz w:val="28"/>
          <w:szCs w:val="28"/>
        </w:rPr>
        <w:t>These result</w:t>
      </w:r>
      <w:proofErr w:type="gramEnd"/>
      <w:r w:rsidR="00A83A35" w:rsidRPr="00A83A35">
        <w:rPr>
          <w:bCs/>
          <w:color w:val="000000" w:themeColor="text1"/>
          <w:sz w:val="28"/>
          <w:szCs w:val="28"/>
        </w:rPr>
        <w:t xml:space="preserve"> </w:t>
      </w:r>
      <w:r w:rsidR="00C7421E">
        <w:rPr>
          <w:bCs/>
          <w:color w:val="000000" w:themeColor="text1"/>
          <w:sz w:val="28"/>
          <w:szCs w:val="28"/>
        </w:rPr>
        <w:t>consolidate the</w:t>
      </w:r>
      <w:r w:rsidR="00A83A35" w:rsidRPr="00A83A35">
        <w:rPr>
          <w:bCs/>
          <w:color w:val="000000" w:themeColor="text1"/>
          <w:sz w:val="28"/>
          <w:szCs w:val="28"/>
        </w:rPr>
        <w:t xml:space="preserve"> evidence-based </w:t>
      </w:r>
      <w:r w:rsidR="00C7421E">
        <w:rPr>
          <w:bCs/>
          <w:color w:val="000000" w:themeColor="text1"/>
          <w:sz w:val="28"/>
          <w:szCs w:val="28"/>
        </w:rPr>
        <w:t>tooth implantation</w:t>
      </w:r>
      <w:r w:rsidR="00A83A35" w:rsidRPr="00A83A35">
        <w:rPr>
          <w:bCs/>
          <w:color w:val="000000" w:themeColor="text1"/>
          <w:sz w:val="28"/>
          <w:szCs w:val="28"/>
        </w:rPr>
        <w:t xml:space="preserve"> decisions and advocate individualized implant rehabilitation emphasizing long-term biological sustainability, in addition to functional/aesthetic objectives</w:t>
      </w:r>
      <w:r w:rsidRPr="001509DF">
        <w:rPr>
          <w:color w:val="000000" w:themeColor="text1"/>
          <w:sz w:val="28"/>
          <w:szCs w:val="28"/>
        </w:rPr>
        <w:t>.</w:t>
      </w:r>
    </w:p>
    <w:p w14:paraId="49852E75" w14:textId="77777777" w:rsidR="00F05AE5" w:rsidRPr="001509DF" w:rsidRDefault="00F05AE5" w:rsidP="00000CD1">
      <w:pPr>
        <w:autoSpaceDE w:val="0"/>
        <w:autoSpaceDN w:val="0"/>
        <w:adjustRightInd w:val="0"/>
        <w:spacing w:line="360" w:lineRule="auto"/>
        <w:ind w:firstLine="10"/>
        <w:jc w:val="both"/>
        <w:rPr>
          <w:sz w:val="28"/>
          <w:szCs w:val="28"/>
        </w:rPr>
      </w:pPr>
    </w:p>
    <w:p w14:paraId="0A5466F1" w14:textId="77777777" w:rsidR="00753A4C" w:rsidRPr="001509DF" w:rsidRDefault="00753A4C" w:rsidP="00000CD1">
      <w:pPr>
        <w:jc w:val="both"/>
        <w:rPr>
          <w:b/>
          <w:bCs/>
          <w:color w:val="000000" w:themeColor="text1"/>
          <w:sz w:val="32"/>
          <w:szCs w:val="32"/>
        </w:rPr>
      </w:pPr>
      <w:r w:rsidRPr="001509DF">
        <w:rPr>
          <w:b/>
          <w:bCs/>
          <w:color w:val="000000" w:themeColor="text1"/>
          <w:sz w:val="32"/>
          <w:szCs w:val="32"/>
        </w:rPr>
        <w:t xml:space="preserve">Reference </w:t>
      </w:r>
    </w:p>
    <w:p w14:paraId="1E74C33E" w14:textId="47E1D8AF" w:rsidR="00B87520" w:rsidRPr="001509DF" w:rsidRDefault="004D330D" w:rsidP="003F3E09">
      <w:pPr>
        <w:rPr>
          <w:sz w:val="28"/>
          <w:szCs w:val="28"/>
        </w:rPr>
      </w:pPr>
      <w:r w:rsidRPr="001509DF">
        <w:rPr>
          <w:sz w:val="28"/>
          <w:szCs w:val="28"/>
        </w:rPr>
        <w:tab/>
      </w:r>
      <w:bookmarkStart w:id="1" w:name="_Hlk199600808"/>
    </w:p>
    <w:bookmarkEnd w:id="1"/>
    <w:p w14:paraId="289668B3"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Al-Ahmari, F., </w:t>
      </w:r>
      <w:proofErr w:type="spellStart"/>
      <w:r w:rsidRPr="00D718DB">
        <w:rPr>
          <w:rFonts w:asciiTheme="majorBidi" w:eastAsia="Times New Roman" w:hAnsiTheme="majorBidi" w:cstheme="majorBidi"/>
          <w:color w:val="222222"/>
          <w:sz w:val="28"/>
          <w:szCs w:val="28"/>
        </w:rPr>
        <w:t>Maashi</w:t>
      </w:r>
      <w:proofErr w:type="spellEnd"/>
      <w:r w:rsidRPr="00D718DB">
        <w:rPr>
          <w:rFonts w:asciiTheme="majorBidi" w:eastAsia="Times New Roman" w:hAnsiTheme="majorBidi" w:cstheme="majorBidi"/>
          <w:color w:val="222222"/>
          <w:sz w:val="28"/>
          <w:szCs w:val="28"/>
        </w:rPr>
        <w:t xml:space="preserve">, S. M., </w:t>
      </w:r>
      <w:proofErr w:type="spellStart"/>
      <w:r w:rsidRPr="00D718DB">
        <w:rPr>
          <w:rFonts w:asciiTheme="majorBidi" w:eastAsia="Times New Roman" w:hAnsiTheme="majorBidi" w:cstheme="majorBidi"/>
          <w:color w:val="222222"/>
          <w:sz w:val="28"/>
          <w:szCs w:val="28"/>
        </w:rPr>
        <w:t>Almarshadi</w:t>
      </w:r>
      <w:proofErr w:type="spellEnd"/>
      <w:r w:rsidRPr="00D718DB">
        <w:rPr>
          <w:rFonts w:asciiTheme="majorBidi" w:eastAsia="Times New Roman" w:hAnsiTheme="majorBidi" w:cstheme="majorBidi"/>
          <w:color w:val="222222"/>
          <w:sz w:val="28"/>
          <w:szCs w:val="28"/>
        </w:rPr>
        <w:t xml:space="preserve">, M. H., </w:t>
      </w:r>
      <w:proofErr w:type="spellStart"/>
      <w:r w:rsidRPr="00D718DB">
        <w:rPr>
          <w:rFonts w:asciiTheme="majorBidi" w:eastAsia="Times New Roman" w:hAnsiTheme="majorBidi" w:cstheme="majorBidi"/>
          <w:color w:val="222222"/>
          <w:sz w:val="28"/>
          <w:szCs w:val="28"/>
        </w:rPr>
        <w:t>Almoammar</w:t>
      </w:r>
      <w:proofErr w:type="spellEnd"/>
      <w:r w:rsidRPr="00D718DB">
        <w:rPr>
          <w:rFonts w:asciiTheme="majorBidi" w:eastAsia="Times New Roman" w:hAnsiTheme="majorBidi" w:cstheme="majorBidi"/>
          <w:color w:val="222222"/>
          <w:sz w:val="28"/>
          <w:szCs w:val="28"/>
        </w:rPr>
        <w:t xml:space="preserve">, H. A., Alghamdi, A. S., Alhazzani, K. S., </w:t>
      </w:r>
      <w:proofErr w:type="spellStart"/>
      <w:r w:rsidRPr="00D718DB">
        <w:rPr>
          <w:rFonts w:asciiTheme="majorBidi" w:eastAsia="Times New Roman" w:hAnsiTheme="majorBidi" w:cstheme="majorBidi"/>
          <w:color w:val="222222"/>
          <w:sz w:val="28"/>
          <w:szCs w:val="28"/>
        </w:rPr>
        <w:t>Almarshadi</w:t>
      </w:r>
      <w:proofErr w:type="spellEnd"/>
      <w:r w:rsidRPr="00D718DB">
        <w:rPr>
          <w:rFonts w:asciiTheme="majorBidi" w:eastAsia="Times New Roman" w:hAnsiTheme="majorBidi" w:cstheme="majorBidi"/>
          <w:color w:val="222222"/>
          <w:sz w:val="28"/>
          <w:szCs w:val="28"/>
        </w:rPr>
        <w:t xml:space="preserve">, M. H., &amp; </w:t>
      </w:r>
      <w:proofErr w:type="spellStart"/>
      <w:r w:rsidRPr="00D718DB">
        <w:rPr>
          <w:rFonts w:asciiTheme="majorBidi" w:eastAsia="Times New Roman" w:hAnsiTheme="majorBidi" w:cstheme="majorBidi"/>
          <w:color w:val="222222"/>
          <w:sz w:val="28"/>
          <w:szCs w:val="28"/>
        </w:rPr>
        <w:t>Alfehaid</w:t>
      </w:r>
      <w:proofErr w:type="spellEnd"/>
      <w:r w:rsidRPr="00D718DB">
        <w:rPr>
          <w:rFonts w:asciiTheme="majorBidi" w:eastAsia="Times New Roman" w:hAnsiTheme="majorBidi" w:cstheme="majorBidi"/>
          <w:color w:val="222222"/>
          <w:sz w:val="28"/>
          <w:szCs w:val="28"/>
        </w:rPr>
        <w:t xml:space="preserve">, L. (2024). A systematic review of screw versus cement-retained fixed implant supported reconstructions. </w:t>
      </w:r>
      <w:r w:rsidRPr="00D718DB">
        <w:rPr>
          <w:rFonts w:asciiTheme="majorBidi" w:eastAsia="Times New Roman" w:hAnsiTheme="majorBidi" w:cstheme="majorBidi"/>
          <w:i/>
          <w:iCs/>
          <w:color w:val="222222"/>
          <w:sz w:val="28"/>
          <w:szCs w:val="28"/>
        </w:rPr>
        <w:t>Journal of Clinical Medicine Research, 6</w:t>
      </w:r>
      <w:r w:rsidRPr="00D718DB">
        <w:rPr>
          <w:rFonts w:asciiTheme="majorBidi" w:eastAsia="Times New Roman" w:hAnsiTheme="majorBidi" w:cstheme="majorBidi"/>
          <w:color w:val="222222"/>
          <w:sz w:val="28"/>
          <w:szCs w:val="28"/>
        </w:rPr>
        <w:t xml:space="preserve">(5), 1–10. </w:t>
      </w:r>
      <w:hyperlink r:id="rId10" w:tgtFrame="_blank" w:history="1">
        <w:r w:rsidRPr="00D718DB">
          <w:rPr>
            <w:rStyle w:val="Hyperlink"/>
            <w:rFonts w:asciiTheme="majorBidi" w:eastAsia="Times New Roman" w:hAnsiTheme="majorBidi" w:cstheme="majorBidi"/>
            <w:sz w:val="28"/>
            <w:szCs w:val="28"/>
          </w:rPr>
          <w:t>https://doi.org/10.11607/jomi.2014suppl.g2.1</w:t>
        </w:r>
      </w:hyperlink>
    </w:p>
    <w:p w14:paraId="2D3B643C" w14:textId="77777777" w:rsidR="00EA0ACB" w:rsidRPr="002B4CA7" w:rsidRDefault="00EA0ACB" w:rsidP="00EA0ACB">
      <w:pPr>
        <w:pStyle w:val="ListParagraph"/>
        <w:numPr>
          <w:ilvl w:val="0"/>
          <w:numId w:val="12"/>
        </w:numPr>
        <w:spacing w:after="5" w:line="248" w:lineRule="auto"/>
        <w:jc w:val="both"/>
        <w:rPr>
          <w:rFonts w:asciiTheme="majorBidi" w:eastAsia="Times New Roman" w:hAnsiTheme="majorBidi" w:cstheme="majorBidi"/>
          <w:color w:val="222222"/>
          <w:sz w:val="28"/>
          <w:szCs w:val="28"/>
        </w:rPr>
      </w:pPr>
      <w:r w:rsidRPr="00295C86">
        <w:rPr>
          <w:rFonts w:asciiTheme="majorBidi" w:eastAsia="Times New Roman" w:hAnsiTheme="majorBidi" w:cstheme="majorBidi"/>
          <w:color w:val="222222"/>
          <w:sz w:val="28"/>
          <w:szCs w:val="28"/>
        </w:rPr>
        <w:t xml:space="preserve">Alshawaf, R., Alotaibi, G., </w:t>
      </w:r>
      <w:proofErr w:type="spellStart"/>
      <w:r w:rsidRPr="00295C86">
        <w:rPr>
          <w:rFonts w:asciiTheme="majorBidi" w:eastAsia="Times New Roman" w:hAnsiTheme="majorBidi" w:cstheme="majorBidi"/>
          <w:color w:val="222222"/>
          <w:sz w:val="28"/>
          <w:szCs w:val="28"/>
        </w:rPr>
        <w:t>Almotairi</w:t>
      </w:r>
      <w:proofErr w:type="spellEnd"/>
      <w:r w:rsidRPr="00295C86">
        <w:rPr>
          <w:rFonts w:asciiTheme="majorBidi" w:eastAsia="Times New Roman" w:hAnsiTheme="majorBidi" w:cstheme="majorBidi"/>
          <w:color w:val="222222"/>
          <w:sz w:val="28"/>
          <w:szCs w:val="28"/>
        </w:rPr>
        <w:t>, M., Alotaibi, F., Alotaibi, H., Almutairi, M., ... &amp; Alotaibi, F. (2024). Comparative analysis of interleukin-1β and interleukin-6 expression in peri-implant crevicular fluid among individuals with healthy implants and those with peri-</w:t>
      </w:r>
      <w:r w:rsidRPr="00295C86">
        <w:rPr>
          <w:rFonts w:asciiTheme="majorBidi" w:eastAsia="Times New Roman" w:hAnsiTheme="majorBidi" w:cstheme="majorBidi"/>
          <w:color w:val="222222"/>
          <w:sz w:val="28"/>
          <w:szCs w:val="28"/>
        </w:rPr>
        <w:lastRenderedPageBreak/>
        <w:t xml:space="preserve">implantitis. </w:t>
      </w:r>
      <w:r w:rsidRPr="00295C86">
        <w:rPr>
          <w:rFonts w:asciiTheme="majorBidi" w:eastAsia="Times New Roman" w:hAnsiTheme="majorBidi" w:cstheme="majorBidi"/>
          <w:i/>
          <w:iCs/>
          <w:color w:val="222222"/>
          <w:sz w:val="28"/>
          <w:szCs w:val="28"/>
        </w:rPr>
        <w:t>Cureus, 16</w:t>
      </w:r>
      <w:r w:rsidRPr="00295C86">
        <w:rPr>
          <w:rFonts w:asciiTheme="majorBidi" w:eastAsia="Times New Roman" w:hAnsiTheme="majorBidi" w:cstheme="majorBidi"/>
          <w:color w:val="222222"/>
          <w:sz w:val="28"/>
          <w:szCs w:val="28"/>
        </w:rPr>
        <w:t xml:space="preserve">(9), e69550. </w:t>
      </w:r>
      <w:hyperlink r:id="rId11" w:tgtFrame="_blank" w:history="1">
        <w:r w:rsidRPr="00295C86">
          <w:rPr>
            <w:rStyle w:val="Hyperlink"/>
            <w:rFonts w:asciiTheme="majorBidi" w:eastAsia="Times New Roman" w:hAnsiTheme="majorBidi" w:cstheme="majorBidi"/>
            <w:sz w:val="28"/>
            <w:szCs w:val="28"/>
          </w:rPr>
          <w:t>https://doi.org/10.7759/cureus.69550</w:t>
        </w:r>
      </w:hyperlink>
    </w:p>
    <w:p w14:paraId="432875FD" w14:textId="2069F4A4" w:rsidR="002B4CA7" w:rsidRPr="00295C86" w:rsidRDefault="002B4CA7" w:rsidP="00EA0ACB">
      <w:pPr>
        <w:pStyle w:val="ListParagraph"/>
        <w:numPr>
          <w:ilvl w:val="0"/>
          <w:numId w:val="12"/>
        </w:numPr>
        <w:spacing w:after="5" w:line="248" w:lineRule="auto"/>
        <w:jc w:val="both"/>
        <w:rPr>
          <w:rFonts w:asciiTheme="majorBidi" w:eastAsia="Times New Roman" w:hAnsiTheme="majorBidi" w:cstheme="majorBidi"/>
          <w:color w:val="222222"/>
          <w:sz w:val="28"/>
          <w:szCs w:val="28"/>
        </w:rPr>
      </w:pPr>
      <w:r w:rsidRPr="002B4CA7">
        <w:rPr>
          <w:rFonts w:asciiTheme="majorBidi" w:eastAsia="Times New Roman" w:hAnsiTheme="majorBidi" w:cstheme="majorBidi"/>
          <w:color w:val="222222"/>
          <w:sz w:val="28"/>
          <w:szCs w:val="28"/>
        </w:rPr>
        <w:t>Arbelaez-</w:t>
      </w:r>
      <w:proofErr w:type="spellStart"/>
      <w:r w:rsidRPr="002B4CA7">
        <w:rPr>
          <w:rFonts w:asciiTheme="majorBidi" w:eastAsia="Times New Roman" w:hAnsiTheme="majorBidi" w:cstheme="majorBidi"/>
          <w:color w:val="222222"/>
          <w:sz w:val="28"/>
          <w:szCs w:val="28"/>
        </w:rPr>
        <w:t>Bonozo</w:t>
      </w:r>
      <w:proofErr w:type="spellEnd"/>
      <w:r w:rsidRPr="002B4CA7">
        <w:rPr>
          <w:rFonts w:asciiTheme="majorBidi" w:eastAsia="Times New Roman" w:hAnsiTheme="majorBidi" w:cstheme="majorBidi"/>
          <w:color w:val="222222"/>
          <w:sz w:val="28"/>
          <w:szCs w:val="28"/>
        </w:rPr>
        <w:t xml:space="preserve">, L., Maza-Solano, S., Baus-Domínguez, M., Gómez-Díaz, R., Ruiz-de-Leon-Pacheco, G., Torres-Lagares, D., &amp; </w:t>
      </w:r>
      <w:proofErr w:type="spellStart"/>
      <w:r w:rsidRPr="002B4CA7">
        <w:rPr>
          <w:rFonts w:asciiTheme="majorBidi" w:eastAsia="Times New Roman" w:hAnsiTheme="majorBidi" w:cstheme="majorBidi"/>
          <w:color w:val="222222"/>
          <w:sz w:val="28"/>
          <w:szCs w:val="28"/>
        </w:rPr>
        <w:t>Serrera-Figallo</w:t>
      </w:r>
      <w:proofErr w:type="spellEnd"/>
      <w:r w:rsidRPr="002B4CA7">
        <w:rPr>
          <w:rFonts w:asciiTheme="majorBidi" w:eastAsia="Times New Roman" w:hAnsiTheme="majorBidi" w:cstheme="majorBidi"/>
          <w:color w:val="222222"/>
          <w:sz w:val="28"/>
          <w:szCs w:val="28"/>
        </w:rPr>
        <w:t>, M.-A. (2024). Quantification and Influence of IL-1β on Pain and Inflammatory Response after Placement of a Cement–Screw-Retained Restoration. Journal of Clinical Medicine, 13(6), 1669. https://doi.org/10.3390/jcm13061669</w:t>
      </w:r>
    </w:p>
    <w:p w14:paraId="5A811708"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Jung, R. E., </w:t>
      </w:r>
      <w:proofErr w:type="spellStart"/>
      <w:r w:rsidRPr="00D718DB">
        <w:rPr>
          <w:rFonts w:asciiTheme="majorBidi" w:eastAsia="Times New Roman" w:hAnsiTheme="majorBidi" w:cstheme="majorBidi"/>
          <w:color w:val="222222"/>
          <w:sz w:val="28"/>
          <w:szCs w:val="28"/>
        </w:rPr>
        <w:t>Zembic</w:t>
      </w:r>
      <w:proofErr w:type="spellEnd"/>
      <w:r w:rsidRPr="00D718DB">
        <w:rPr>
          <w:rFonts w:asciiTheme="majorBidi" w:eastAsia="Times New Roman" w:hAnsiTheme="majorBidi" w:cstheme="majorBidi"/>
          <w:color w:val="222222"/>
          <w:sz w:val="28"/>
          <w:szCs w:val="28"/>
        </w:rPr>
        <w:t xml:space="preserve">, A., Pjetursson, B. E., Zwahlen, M., &amp; </w:t>
      </w:r>
      <w:proofErr w:type="spellStart"/>
      <w:r w:rsidRPr="00D718DB">
        <w:rPr>
          <w:rFonts w:asciiTheme="majorBidi" w:eastAsia="Times New Roman" w:hAnsiTheme="majorBidi" w:cstheme="majorBidi"/>
          <w:color w:val="222222"/>
          <w:sz w:val="28"/>
          <w:szCs w:val="28"/>
        </w:rPr>
        <w:t>Thoma</w:t>
      </w:r>
      <w:proofErr w:type="spellEnd"/>
      <w:r w:rsidRPr="00D718DB">
        <w:rPr>
          <w:rFonts w:asciiTheme="majorBidi" w:eastAsia="Times New Roman" w:hAnsiTheme="majorBidi" w:cstheme="majorBidi"/>
          <w:color w:val="222222"/>
          <w:sz w:val="28"/>
          <w:szCs w:val="28"/>
        </w:rPr>
        <w:t xml:space="preserve">, D. S. (2024). Single dental implant restoration: Cemented or screw-retained? A systematic review of multi-factor randomized clinical trials. </w:t>
      </w:r>
      <w:r w:rsidRPr="00D718DB">
        <w:rPr>
          <w:rFonts w:asciiTheme="majorBidi" w:eastAsia="Times New Roman" w:hAnsiTheme="majorBidi" w:cstheme="majorBidi"/>
          <w:i/>
          <w:iCs/>
          <w:color w:val="222222"/>
          <w:sz w:val="28"/>
          <w:szCs w:val="28"/>
        </w:rPr>
        <w:t>Prosthesis, 6</w:t>
      </w:r>
      <w:r w:rsidRPr="00D718DB">
        <w:rPr>
          <w:rFonts w:asciiTheme="majorBidi" w:eastAsia="Times New Roman" w:hAnsiTheme="majorBidi" w:cstheme="majorBidi"/>
          <w:color w:val="222222"/>
          <w:sz w:val="28"/>
          <w:szCs w:val="28"/>
        </w:rPr>
        <w:t xml:space="preserve">(4), 63–78. </w:t>
      </w:r>
      <w:hyperlink r:id="rId12" w:tgtFrame="_blank" w:history="1">
        <w:r w:rsidRPr="00D718DB">
          <w:rPr>
            <w:rStyle w:val="Hyperlink"/>
            <w:rFonts w:asciiTheme="majorBidi" w:eastAsia="Times New Roman" w:hAnsiTheme="majorBidi" w:cstheme="majorBidi"/>
            <w:sz w:val="28"/>
            <w:szCs w:val="28"/>
          </w:rPr>
          <w:t>https://doi.org/10.3390/prosthesis6040063</w:t>
        </w:r>
      </w:hyperlink>
    </w:p>
    <w:p w14:paraId="255D6174"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Liu, Y., Chen, H., Wang, J., Zhang, Y., &amp; Li, X. (2026). Early peri-implant crevicular fluid interleukin-1β as a potential predictor of peri-implant diseases: A 12-month prospective study. </w:t>
      </w:r>
      <w:r w:rsidRPr="00D718DB">
        <w:rPr>
          <w:rFonts w:asciiTheme="majorBidi" w:eastAsia="Times New Roman" w:hAnsiTheme="majorBidi" w:cstheme="majorBidi"/>
          <w:i/>
          <w:iCs/>
          <w:color w:val="222222"/>
          <w:sz w:val="28"/>
          <w:szCs w:val="28"/>
        </w:rPr>
        <w:t>Frontiers in Medicine, 13</w:t>
      </w:r>
      <w:r w:rsidRPr="00D718DB">
        <w:rPr>
          <w:rFonts w:asciiTheme="majorBidi" w:eastAsia="Times New Roman" w:hAnsiTheme="majorBidi" w:cstheme="majorBidi"/>
          <w:color w:val="222222"/>
          <w:sz w:val="28"/>
          <w:szCs w:val="28"/>
        </w:rPr>
        <w:t xml:space="preserve">, 1786515. </w:t>
      </w:r>
      <w:hyperlink r:id="rId13" w:tgtFrame="_blank" w:history="1">
        <w:r w:rsidRPr="00D718DB">
          <w:rPr>
            <w:rStyle w:val="Hyperlink"/>
            <w:rFonts w:asciiTheme="majorBidi" w:eastAsia="Times New Roman" w:hAnsiTheme="majorBidi" w:cstheme="majorBidi"/>
            <w:sz w:val="28"/>
            <w:szCs w:val="28"/>
          </w:rPr>
          <w:t>https://doi.org/10.3389/fmed.2026.1786515</w:t>
        </w:r>
      </w:hyperlink>
    </w:p>
    <w:p w14:paraId="0A7066ED"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Máximo, M. B., de Mendonça, A. C., Alves, J. F., Cortelli, S. C., </w:t>
      </w:r>
      <w:proofErr w:type="spellStart"/>
      <w:r w:rsidRPr="00D718DB">
        <w:rPr>
          <w:rFonts w:asciiTheme="majorBidi" w:eastAsia="Times New Roman" w:hAnsiTheme="majorBidi" w:cstheme="majorBidi"/>
          <w:color w:val="222222"/>
          <w:sz w:val="28"/>
          <w:szCs w:val="28"/>
        </w:rPr>
        <w:t>Peruzzo</w:t>
      </w:r>
      <w:proofErr w:type="spellEnd"/>
      <w:r w:rsidRPr="00D718DB">
        <w:rPr>
          <w:rFonts w:asciiTheme="majorBidi" w:eastAsia="Times New Roman" w:hAnsiTheme="majorBidi" w:cstheme="majorBidi"/>
          <w:color w:val="222222"/>
          <w:sz w:val="28"/>
          <w:szCs w:val="28"/>
        </w:rPr>
        <w:t xml:space="preserve">, D. C., Duarte, P. M., &amp; Costa, F. O. (2023). Pro- and anti-inflammatory cytokines and </w:t>
      </w:r>
      <w:proofErr w:type="spellStart"/>
      <w:r w:rsidRPr="00D718DB">
        <w:rPr>
          <w:rFonts w:asciiTheme="majorBidi" w:eastAsia="Times New Roman" w:hAnsiTheme="majorBidi" w:cstheme="majorBidi"/>
          <w:color w:val="222222"/>
          <w:sz w:val="28"/>
          <w:szCs w:val="28"/>
        </w:rPr>
        <w:t>osteoclastogenesis</w:t>
      </w:r>
      <w:proofErr w:type="spellEnd"/>
      <w:r w:rsidRPr="00D718DB">
        <w:rPr>
          <w:rFonts w:asciiTheme="majorBidi" w:eastAsia="Times New Roman" w:hAnsiTheme="majorBidi" w:cstheme="majorBidi"/>
          <w:color w:val="222222"/>
          <w:sz w:val="28"/>
          <w:szCs w:val="28"/>
        </w:rPr>
        <w:t xml:space="preserve">-related factors in peri-implant diseases: Systematic review and meta-analysis. </w:t>
      </w:r>
      <w:r w:rsidRPr="00D718DB">
        <w:rPr>
          <w:rFonts w:asciiTheme="majorBidi" w:eastAsia="Times New Roman" w:hAnsiTheme="majorBidi" w:cstheme="majorBidi"/>
          <w:i/>
          <w:iCs/>
          <w:color w:val="222222"/>
          <w:sz w:val="28"/>
          <w:szCs w:val="28"/>
        </w:rPr>
        <w:t>BMC Oral Health, 23</w:t>
      </w:r>
      <w:r w:rsidRPr="00D718DB">
        <w:rPr>
          <w:rFonts w:asciiTheme="majorBidi" w:eastAsia="Times New Roman" w:hAnsiTheme="majorBidi" w:cstheme="majorBidi"/>
          <w:color w:val="222222"/>
          <w:sz w:val="28"/>
          <w:szCs w:val="28"/>
        </w:rPr>
        <w:t xml:space="preserve">(1), 1–15. </w:t>
      </w:r>
      <w:hyperlink r:id="rId14" w:tgtFrame="_blank" w:history="1">
        <w:r w:rsidRPr="00D718DB">
          <w:rPr>
            <w:rStyle w:val="Hyperlink"/>
            <w:rFonts w:asciiTheme="majorBidi" w:eastAsia="Times New Roman" w:hAnsiTheme="majorBidi" w:cstheme="majorBidi"/>
            <w:sz w:val="28"/>
            <w:szCs w:val="28"/>
          </w:rPr>
          <w:t>https://doi.org/10.1186/s12903-023-02947-8</w:t>
        </w:r>
      </w:hyperlink>
    </w:p>
    <w:p w14:paraId="15294607" w14:textId="77777777" w:rsidR="00EA0ACB" w:rsidRPr="00295C86" w:rsidRDefault="00EA0ACB" w:rsidP="00EA0ACB">
      <w:pPr>
        <w:pStyle w:val="ListParagraph"/>
        <w:numPr>
          <w:ilvl w:val="0"/>
          <w:numId w:val="12"/>
        </w:numPr>
        <w:spacing w:after="5" w:line="248" w:lineRule="auto"/>
        <w:jc w:val="both"/>
        <w:rPr>
          <w:rFonts w:asciiTheme="majorBidi" w:eastAsia="Times New Roman" w:hAnsiTheme="majorBidi" w:cstheme="majorBidi"/>
          <w:color w:val="222222"/>
          <w:sz w:val="28"/>
          <w:szCs w:val="28"/>
        </w:rPr>
      </w:pPr>
      <w:r w:rsidRPr="00295C86">
        <w:rPr>
          <w:rFonts w:asciiTheme="majorBidi" w:eastAsia="Times New Roman" w:hAnsiTheme="majorBidi" w:cstheme="majorBidi"/>
          <w:color w:val="222222"/>
          <w:sz w:val="28"/>
          <w:szCs w:val="28"/>
        </w:rPr>
        <w:t xml:space="preserve">Máximo, M. B., de Mendonça, A. C., Alves, J. F., Cortelli, S. C., </w:t>
      </w:r>
      <w:proofErr w:type="spellStart"/>
      <w:r w:rsidRPr="00295C86">
        <w:rPr>
          <w:rFonts w:asciiTheme="majorBidi" w:eastAsia="Times New Roman" w:hAnsiTheme="majorBidi" w:cstheme="majorBidi"/>
          <w:color w:val="222222"/>
          <w:sz w:val="28"/>
          <w:szCs w:val="28"/>
        </w:rPr>
        <w:t>Peruzzo</w:t>
      </w:r>
      <w:proofErr w:type="spellEnd"/>
      <w:r w:rsidRPr="00295C86">
        <w:rPr>
          <w:rFonts w:asciiTheme="majorBidi" w:eastAsia="Times New Roman" w:hAnsiTheme="majorBidi" w:cstheme="majorBidi"/>
          <w:color w:val="222222"/>
          <w:sz w:val="28"/>
          <w:szCs w:val="28"/>
        </w:rPr>
        <w:t xml:space="preserve">, D. C., Duarte, P. M., &amp; Costa, F. O. (2023). Pro- and anti-inflammatory cytokines and </w:t>
      </w:r>
      <w:proofErr w:type="spellStart"/>
      <w:r w:rsidRPr="00295C86">
        <w:rPr>
          <w:rFonts w:asciiTheme="majorBidi" w:eastAsia="Times New Roman" w:hAnsiTheme="majorBidi" w:cstheme="majorBidi"/>
          <w:color w:val="222222"/>
          <w:sz w:val="28"/>
          <w:szCs w:val="28"/>
        </w:rPr>
        <w:t>osteoclastogenesis</w:t>
      </w:r>
      <w:proofErr w:type="spellEnd"/>
      <w:r w:rsidRPr="00295C86">
        <w:rPr>
          <w:rFonts w:asciiTheme="majorBidi" w:eastAsia="Times New Roman" w:hAnsiTheme="majorBidi" w:cstheme="majorBidi"/>
          <w:color w:val="222222"/>
          <w:sz w:val="28"/>
          <w:szCs w:val="28"/>
        </w:rPr>
        <w:t xml:space="preserve">-related factors in peri-implant diseases: Systematic review and meta-analysis. </w:t>
      </w:r>
      <w:r w:rsidRPr="00295C86">
        <w:rPr>
          <w:rFonts w:asciiTheme="majorBidi" w:eastAsia="Times New Roman" w:hAnsiTheme="majorBidi" w:cstheme="majorBidi"/>
          <w:i/>
          <w:iCs/>
          <w:color w:val="222222"/>
          <w:sz w:val="28"/>
          <w:szCs w:val="28"/>
        </w:rPr>
        <w:t>BMC Oral Health, 23</w:t>
      </w:r>
      <w:r w:rsidRPr="00295C86">
        <w:rPr>
          <w:rFonts w:asciiTheme="majorBidi" w:eastAsia="Times New Roman" w:hAnsiTheme="majorBidi" w:cstheme="majorBidi"/>
          <w:color w:val="222222"/>
          <w:sz w:val="28"/>
          <w:szCs w:val="28"/>
        </w:rPr>
        <w:t xml:space="preserve">(1), 1–15. </w:t>
      </w:r>
      <w:hyperlink r:id="rId15" w:tgtFrame="_blank" w:history="1">
        <w:r w:rsidRPr="00295C86">
          <w:rPr>
            <w:rStyle w:val="Hyperlink"/>
            <w:rFonts w:asciiTheme="majorBidi" w:eastAsia="Times New Roman" w:hAnsiTheme="majorBidi" w:cstheme="majorBidi"/>
            <w:sz w:val="28"/>
            <w:szCs w:val="28"/>
          </w:rPr>
          <w:t>https://doi.org/10.1186/s12903-023-02947-8</w:t>
        </w:r>
      </w:hyperlink>
    </w:p>
    <w:p w14:paraId="6B70294C"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Oliveira, J. A., Ferreira, S. D., Costa, F. O., &amp; </w:t>
      </w:r>
      <w:proofErr w:type="spellStart"/>
      <w:r w:rsidRPr="00D718DB">
        <w:rPr>
          <w:rFonts w:asciiTheme="majorBidi" w:eastAsia="Times New Roman" w:hAnsiTheme="majorBidi" w:cstheme="majorBidi"/>
          <w:color w:val="222222"/>
          <w:sz w:val="28"/>
          <w:szCs w:val="28"/>
        </w:rPr>
        <w:t>Cortelli</w:t>
      </w:r>
      <w:proofErr w:type="spellEnd"/>
      <w:r w:rsidRPr="00D718DB">
        <w:rPr>
          <w:rFonts w:asciiTheme="majorBidi" w:eastAsia="Times New Roman" w:hAnsiTheme="majorBidi" w:cstheme="majorBidi"/>
          <w:color w:val="222222"/>
          <w:sz w:val="28"/>
          <w:szCs w:val="28"/>
        </w:rPr>
        <w:t xml:space="preserve">, S. C. (2025). Specific gene expression patterns associated as reliable biomarkers for predicting dental implant successful osseointegration: A literature review and focused meta-analysis. </w:t>
      </w:r>
      <w:r w:rsidRPr="00D718DB">
        <w:rPr>
          <w:rFonts w:asciiTheme="majorBidi" w:eastAsia="Times New Roman" w:hAnsiTheme="majorBidi" w:cstheme="majorBidi"/>
          <w:i/>
          <w:iCs/>
          <w:color w:val="222222"/>
          <w:sz w:val="28"/>
          <w:szCs w:val="28"/>
        </w:rPr>
        <w:t>Frontiers in Physiology, 16</w:t>
      </w:r>
      <w:r w:rsidRPr="00D718DB">
        <w:rPr>
          <w:rFonts w:asciiTheme="majorBidi" w:eastAsia="Times New Roman" w:hAnsiTheme="majorBidi" w:cstheme="majorBidi"/>
          <w:color w:val="222222"/>
          <w:sz w:val="28"/>
          <w:szCs w:val="28"/>
        </w:rPr>
        <w:t xml:space="preserve">, 1682440. </w:t>
      </w:r>
      <w:hyperlink r:id="rId16" w:tgtFrame="_blank" w:history="1">
        <w:r w:rsidRPr="00D718DB">
          <w:rPr>
            <w:rStyle w:val="Hyperlink"/>
            <w:rFonts w:asciiTheme="majorBidi" w:eastAsia="Times New Roman" w:hAnsiTheme="majorBidi" w:cstheme="majorBidi"/>
            <w:sz w:val="28"/>
            <w:szCs w:val="28"/>
          </w:rPr>
          <w:t>https://doi.org/10.3389/fphys.2025.1682440</w:t>
        </w:r>
      </w:hyperlink>
    </w:p>
    <w:p w14:paraId="48ED2FA3"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proofErr w:type="spellStart"/>
      <w:r w:rsidRPr="00D718DB">
        <w:rPr>
          <w:rFonts w:asciiTheme="majorBidi" w:eastAsia="Times New Roman" w:hAnsiTheme="majorBidi" w:cstheme="majorBidi"/>
          <w:color w:val="222222"/>
          <w:sz w:val="28"/>
          <w:szCs w:val="28"/>
        </w:rPr>
        <w:t>Pärnänen</w:t>
      </w:r>
      <w:proofErr w:type="spellEnd"/>
      <w:r w:rsidRPr="00D718DB">
        <w:rPr>
          <w:rFonts w:asciiTheme="majorBidi" w:eastAsia="Times New Roman" w:hAnsiTheme="majorBidi" w:cstheme="majorBidi"/>
          <w:color w:val="222222"/>
          <w:sz w:val="28"/>
          <w:szCs w:val="28"/>
        </w:rPr>
        <w:t xml:space="preserve">, P., Narhi, T. O., Turunen, L., Alander, P., Härkönen, M., &amp; Lassila, L. V. J. (2024). Quantification and influence of IL-1β on pain and inflammatory response after placement of a zirconia restoration. </w:t>
      </w:r>
      <w:r w:rsidRPr="00D718DB">
        <w:rPr>
          <w:rFonts w:asciiTheme="majorBidi" w:eastAsia="Times New Roman" w:hAnsiTheme="majorBidi" w:cstheme="majorBidi"/>
          <w:i/>
          <w:iCs/>
          <w:color w:val="222222"/>
          <w:sz w:val="28"/>
          <w:szCs w:val="28"/>
        </w:rPr>
        <w:t>Journal of Clinical Medicine, 13</w:t>
      </w:r>
      <w:r w:rsidRPr="00D718DB">
        <w:rPr>
          <w:rFonts w:asciiTheme="majorBidi" w:eastAsia="Times New Roman" w:hAnsiTheme="majorBidi" w:cstheme="majorBidi"/>
          <w:color w:val="222222"/>
          <w:sz w:val="28"/>
          <w:szCs w:val="28"/>
        </w:rPr>
        <w:t xml:space="preserve">(6), 1669. </w:t>
      </w:r>
      <w:hyperlink r:id="rId17" w:tgtFrame="_blank" w:history="1">
        <w:r w:rsidRPr="00D718DB">
          <w:rPr>
            <w:rStyle w:val="Hyperlink"/>
            <w:rFonts w:asciiTheme="majorBidi" w:eastAsia="Times New Roman" w:hAnsiTheme="majorBidi" w:cstheme="majorBidi"/>
            <w:sz w:val="28"/>
            <w:szCs w:val="28"/>
          </w:rPr>
          <w:t>https://doi.org/10.3390/jcm13061669</w:t>
        </w:r>
      </w:hyperlink>
    </w:p>
    <w:p w14:paraId="4E4950C3" w14:textId="77777777" w:rsidR="00EA0ACB" w:rsidRPr="00FB7CAF" w:rsidRDefault="00EA0ACB" w:rsidP="00EA0ACB">
      <w:pPr>
        <w:pStyle w:val="ListParagraph"/>
        <w:numPr>
          <w:ilvl w:val="0"/>
          <w:numId w:val="12"/>
        </w:numPr>
        <w:spacing w:after="5" w:line="248" w:lineRule="auto"/>
        <w:jc w:val="both"/>
        <w:rPr>
          <w:rFonts w:asciiTheme="majorBidi" w:eastAsia="Times New Roman" w:hAnsiTheme="majorBidi" w:cstheme="majorBidi"/>
          <w:color w:val="222222"/>
          <w:sz w:val="28"/>
          <w:szCs w:val="28"/>
        </w:rPr>
      </w:pPr>
      <w:r w:rsidRPr="00FB7CAF">
        <w:rPr>
          <w:rFonts w:asciiTheme="majorBidi" w:eastAsia="Times New Roman" w:hAnsiTheme="majorBidi" w:cstheme="majorBidi"/>
          <w:color w:val="222222"/>
          <w:sz w:val="28"/>
          <w:szCs w:val="28"/>
        </w:rPr>
        <w:t xml:space="preserve">Pesce, P., </w:t>
      </w:r>
      <w:proofErr w:type="spellStart"/>
      <w:r w:rsidRPr="00FB7CAF">
        <w:rPr>
          <w:rFonts w:asciiTheme="majorBidi" w:eastAsia="Times New Roman" w:hAnsiTheme="majorBidi" w:cstheme="majorBidi"/>
          <w:color w:val="222222"/>
          <w:sz w:val="28"/>
          <w:szCs w:val="28"/>
        </w:rPr>
        <w:t>Canullo</w:t>
      </w:r>
      <w:proofErr w:type="spellEnd"/>
      <w:r w:rsidRPr="00FB7CAF">
        <w:rPr>
          <w:rFonts w:asciiTheme="majorBidi" w:eastAsia="Times New Roman" w:hAnsiTheme="majorBidi" w:cstheme="majorBidi"/>
          <w:color w:val="222222"/>
          <w:sz w:val="28"/>
          <w:szCs w:val="28"/>
        </w:rPr>
        <w:t xml:space="preserve">, L., </w:t>
      </w:r>
      <w:proofErr w:type="spellStart"/>
      <w:r w:rsidRPr="00FB7CAF">
        <w:rPr>
          <w:rFonts w:asciiTheme="majorBidi" w:eastAsia="Times New Roman" w:hAnsiTheme="majorBidi" w:cstheme="majorBidi"/>
          <w:color w:val="222222"/>
          <w:sz w:val="28"/>
          <w:szCs w:val="28"/>
        </w:rPr>
        <w:t>Grusovin</w:t>
      </w:r>
      <w:proofErr w:type="spellEnd"/>
      <w:r w:rsidRPr="00FB7CAF">
        <w:rPr>
          <w:rFonts w:asciiTheme="majorBidi" w:eastAsia="Times New Roman" w:hAnsiTheme="majorBidi" w:cstheme="majorBidi"/>
          <w:color w:val="222222"/>
          <w:sz w:val="28"/>
          <w:szCs w:val="28"/>
        </w:rPr>
        <w:t>, M. G., de Oliveira, G. J. P. L., &amp; Aggarwal, N. (2024). Zirconia-ceramic versus metal-ceramic implant-</w:t>
      </w:r>
      <w:r w:rsidRPr="00FB7CAF">
        <w:rPr>
          <w:rFonts w:asciiTheme="majorBidi" w:eastAsia="Times New Roman" w:hAnsiTheme="majorBidi" w:cstheme="majorBidi"/>
          <w:color w:val="222222"/>
          <w:sz w:val="28"/>
          <w:szCs w:val="28"/>
        </w:rPr>
        <w:lastRenderedPageBreak/>
        <w:t xml:space="preserve">supported multiunit fixed dental prostheses: A systematic review and meta-analysis. </w:t>
      </w:r>
      <w:r w:rsidRPr="00FB7CAF">
        <w:rPr>
          <w:rFonts w:asciiTheme="majorBidi" w:eastAsia="Times New Roman" w:hAnsiTheme="majorBidi" w:cstheme="majorBidi"/>
          <w:i/>
          <w:iCs/>
          <w:color w:val="222222"/>
          <w:sz w:val="28"/>
          <w:szCs w:val="28"/>
        </w:rPr>
        <w:t>The International Journal of Prosthodontics, 37</w:t>
      </w:r>
      <w:r w:rsidRPr="00FB7CAF">
        <w:rPr>
          <w:rFonts w:asciiTheme="majorBidi" w:eastAsia="Times New Roman" w:hAnsiTheme="majorBidi" w:cstheme="majorBidi"/>
          <w:color w:val="222222"/>
          <w:sz w:val="28"/>
          <w:szCs w:val="28"/>
        </w:rPr>
        <w:t xml:space="preserve">(2), 215–226. </w:t>
      </w:r>
      <w:hyperlink r:id="rId18" w:tgtFrame="_blank" w:history="1">
        <w:r w:rsidRPr="00FB7CAF">
          <w:rPr>
            <w:rStyle w:val="Hyperlink"/>
            <w:rFonts w:asciiTheme="majorBidi" w:eastAsia="Times New Roman" w:hAnsiTheme="majorBidi" w:cstheme="majorBidi"/>
            <w:sz w:val="28"/>
            <w:szCs w:val="28"/>
          </w:rPr>
          <w:t>https://doi.org/10.11607/ijp.7490</w:t>
        </w:r>
      </w:hyperlink>
    </w:p>
    <w:p w14:paraId="6DAC2CCB"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Schmitt, C. M., Nogueira-Filho, G., Tenenbaum, H. C., Lui, J., </w:t>
      </w:r>
      <w:proofErr w:type="spellStart"/>
      <w:r w:rsidRPr="00D718DB">
        <w:rPr>
          <w:rFonts w:asciiTheme="majorBidi" w:eastAsia="Times New Roman" w:hAnsiTheme="majorBidi" w:cstheme="majorBidi"/>
          <w:color w:val="222222"/>
          <w:sz w:val="28"/>
          <w:szCs w:val="28"/>
        </w:rPr>
        <w:t>Eickholz</w:t>
      </w:r>
      <w:proofErr w:type="spellEnd"/>
      <w:r w:rsidRPr="00D718DB">
        <w:rPr>
          <w:rFonts w:asciiTheme="majorBidi" w:eastAsia="Times New Roman" w:hAnsiTheme="majorBidi" w:cstheme="majorBidi"/>
          <w:color w:val="222222"/>
          <w:sz w:val="28"/>
          <w:szCs w:val="28"/>
        </w:rPr>
        <w:t xml:space="preserve">, P., &amp; </w:t>
      </w:r>
      <w:proofErr w:type="spellStart"/>
      <w:r w:rsidRPr="00D718DB">
        <w:rPr>
          <w:rFonts w:asciiTheme="majorBidi" w:eastAsia="Times New Roman" w:hAnsiTheme="majorBidi" w:cstheme="majorBidi"/>
          <w:color w:val="222222"/>
          <w:sz w:val="28"/>
          <w:szCs w:val="28"/>
        </w:rPr>
        <w:t>Kämmerer</w:t>
      </w:r>
      <w:proofErr w:type="spellEnd"/>
      <w:r w:rsidRPr="00D718DB">
        <w:rPr>
          <w:rFonts w:asciiTheme="majorBidi" w:eastAsia="Times New Roman" w:hAnsiTheme="majorBidi" w:cstheme="majorBidi"/>
          <w:color w:val="222222"/>
          <w:sz w:val="28"/>
          <w:szCs w:val="28"/>
        </w:rPr>
        <w:t xml:space="preserve">, P. W. (2016). Pro-inflammatory cytokines at zirconia implants and teeth: A cross-sectional assessment. </w:t>
      </w:r>
      <w:r w:rsidRPr="00D718DB">
        <w:rPr>
          <w:rFonts w:asciiTheme="majorBidi" w:eastAsia="Times New Roman" w:hAnsiTheme="majorBidi" w:cstheme="majorBidi"/>
          <w:i/>
          <w:iCs/>
          <w:color w:val="222222"/>
          <w:sz w:val="28"/>
          <w:szCs w:val="28"/>
        </w:rPr>
        <w:t>Clinical Oral Implants Research, 27</w:t>
      </w:r>
      <w:r w:rsidRPr="00D718DB">
        <w:rPr>
          <w:rFonts w:asciiTheme="majorBidi" w:eastAsia="Times New Roman" w:hAnsiTheme="majorBidi" w:cstheme="majorBidi"/>
          <w:color w:val="222222"/>
          <w:sz w:val="28"/>
          <w:szCs w:val="28"/>
        </w:rPr>
        <w:t xml:space="preserve">(11), 1327–1334. </w:t>
      </w:r>
      <w:hyperlink r:id="rId19" w:tgtFrame="_blank" w:history="1">
        <w:r w:rsidRPr="00D718DB">
          <w:rPr>
            <w:rStyle w:val="Hyperlink"/>
            <w:rFonts w:asciiTheme="majorBidi" w:eastAsia="Times New Roman" w:hAnsiTheme="majorBidi" w:cstheme="majorBidi"/>
            <w:sz w:val="28"/>
            <w:szCs w:val="28"/>
          </w:rPr>
          <w:t>https://doi.org/10.1111/clr.12741</w:t>
        </w:r>
      </w:hyperlink>
    </w:p>
    <w:p w14:paraId="013F4D6E" w14:textId="77777777" w:rsidR="00EA0ACB" w:rsidRDefault="00EA0ACB" w:rsidP="00EA0ACB">
      <w:pPr>
        <w:pStyle w:val="ListParagraph"/>
        <w:numPr>
          <w:ilvl w:val="0"/>
          <w:numId w:val="12"/>
        </w:numPr>
        <w:spacing w:after="5" w:line="248" w:lineRule="auto"/>
        <w:jc w:val="both"/>
        <w:rPr>
          <w:rFonts w:asciiTheme="majorBidi" w:eastAsia="Times New Roman" w:hAnsiTheme="majorBidi" w:cstheme="majorBidi"/>
          <w:color w:val="222222"/>
          <w:sz w:val="28"/>
          <w:szCs w:val="28"/>
        </w:rPr>
      </w:pPr>
      <w:r w:rsidRPr="00FB7CAF">
        <w:rPr>
          <w:rFonts w:asciiTheme="majorBidi" w:eastAsia="Times New Roman" w:hAnsiTheme="majorBidi" w:cstheme="majorBidi"/>
          <w:color w:val="222222"/>
          <w:sz w:val="28"/>
          <w:szCs w:val="28"/>
        </w:rPr>
        <w:t xml:space="preserve">Shi, J., Liu, Y., Zhang, Y., Li, Y., Zhang, Y., Wang, X., ... &amp; Deng, H. (2022). The characteristics of microbiome and cytokines in healthy implants and peri-implantitis of the same individuals. </w:t>
      </w:r>
      <w:r w:rsidRPr="00FB7CAF">
        <w:rPr>
          <w:rFonts w:asciiTheme="majorBidi" w:eastAsia="Times New Roman" w:hAnsiTheme="majorBidi" w:cstheme="majorBidi"/>
          <w:i/>
          <w:iCs/>
          <w:color w:val="222222"/>
          <w:sz w:val="28"/>
          <w:szCs w:val="28"/>
        </w:rPr>
        <w:t>Journal of Clinical Medicine, 11</w:t>
      </w:r>
      <w:r w:rsidRPr="00FB7CAF">
        <w:rPr>
          <w:rFonts w:asciiTheme="majorBidi" w:eastAsia="Times New Roman" w:hAnsiTheme="majorBidi" w:cstheme="majorBidi"/>
          <w:color w:val="222222"/>
          <w:sz w:val="28"/>
          <w:szCs w:val="28"/>
        </w:rPr>
        <w:t xml:space="preserve">(19), 5817. </w:t>
      </w:r>
      <w:hyperlink r:id="rId20" w:tgtFrame="_blank" w:history="1">
        <w:r w:rsidRPr="00FB7CAF">
          <w:rPr>
            <w:rStyle w:val="Hyperlink"/>
            <w:rFonts w:asciiTheme="majorBidi" w:eastAsia="Times New Roman" w:hAnsiTheme="majorBidi" w:cstheme="majorBidi"/>
            <w:sz w:val="28"/>
            <w:szCs w:val="28"/>
          </w:rPr>
          <w:t>https://doi.org/10.3390/jcm11195817</w:t>
        </w:r>
      </w:hyperlink>
    </w:p>
    <w:p w14:paraId="748A14CD" w14:textId="77777777" w:rsidR="00EA0ACB" w:rsidRPr="00D718D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Wang, L., Zhang, Y., Chen, X., &amp; Liu, H. (2026). Study on the effects of zirconia restorations in oral inflammatory factors and masticatory function: A propensity score-matched analysis. </w:t>
      </w:r>
      <w:r w:rsidRPr="00D718DB">
        <w:rPr>
          <w:rFonts w:asciiTheme="majorBidi" w:eastAsia="Times New Roman" w:hAnsiTheme="majorBidi" w:cstheme="majorBidi"/>
          <w:i/>
          <w:iCs/>
          <w:color w:val="222222"/>
          <w:sz w:val="28"/>
          <w:szCs w:val="28"/>
        </w:rPr>
        <w:t>Medicine, 105</w:t>
      </w:r>
      <w:r w:rsidRPr="00D718DB">
        <w:rPr>
          <w:rFonts w:asciiTheme="majorBidi" w:eastAsia="Times New Roman" w:hAnsiTheme="majorBidi" w:cstheme="majorBidi"/>
          <w:color w:val="222222"/>
          <w:sz w:val="28"/>
          <w:szCs w:val="28"/>
        </w:rPr>
        <w:t xml:space="preserve">(1), e41416. </w:t>
      </w:r>
      <w:hyperlink r:id="rId21" w:tgtFrame="_blank" w:history="1">
        <w:r w:rsidRPr="00D718DB">
          <w:rPr>
            <w:rStyle w:val="Hyperlink"/>
            <w:rFonts w:asciiTheme="majorBidi" w:eastAsia="Times New Roman" w:hAnsiTheme="majorBidi" w:cstheme="majorBidi"/>
            <w:sz w:val="28"/>
            <w:szCs w:val="28"/>
          </w:rPr>
          <w:t>https://doi.org/10.1097/MD.0000000000041416</w:t>
        </w:r>
      </w:hyperlink>
    </w:p>
    <w:p w14:paraId="704D043E" w14:textId="77777777" w:rsidR="00EA0ACB" w:rsidRDefault="00EA0ACB" w:rsidP="00EA0ACB">
      <w:pPr>
        <w:pStyle w:val="ListParagraph"/>
        <w:numPr>
          <w:ilvl w:val="0"/>
          <w:numId w:val="12"/>
        </w:numPr>
        <w:spacing w:after="5" w:line="240" w:lineRule="auto"/>
        <w:jc w:val="both"/>
        <w:rPr>
          <w:rFonts w:asciiTheme="majorBidi" w:eastAsia="Times New Roman" w:hAnsiTheme="majorBidi" w:cstheme="majorBidi"/>
          <w:color w:val="222222"/>
          <w:sz w:val="28"/>
          <w:szCs w:val="28"/>
        </w:rPr>
      </w:pPr>
      <w:r w:rsidRPr="00D718DB">
        <w:rPr>
          <w:rFonts w:asciiTheme="majorBidi" w:eastAsia="Times New Roman" w:hAnsiTheme="majorBidi" w:cstheme="majorBidi"/>
          <w:color w:val="222222"/>
          <w:sz w:val="28"/>
          <w:szCs w:val="28"/>
        </w:rPr>
        <w:t xml:space="preserve">Yaghobee, S., </w:t>
      </w:r>
      <w:proofErr w:type="spellStart"/>
      <w:r w:rsidRPr="00D718DB">
        <w:rPr>
          <w:rFonts w:asciiTheme="majorBidi" w:eastAsia="Times New Roman" w:hAnsiTheme="majorBidi" w:cstheme="majorBidi"/>
          <w:color w:val="222222"/>
          <w:sz w:val="28"/>
          <w:szCs w:val="28"/>
        </w:rPr>
        <w:t>Paknejad</w:t>
      </w:r>
      <w:proofErr w:type="spellEnd"/>
      <w:r w:rsidRPr="00D718DB">
        <w:rPr>
          <w:rFonts w:asciiTheme="majorBidi" w:eastAsia="Times New Roman" w:hAnsiTheme="majorBidi" w:cstheme="majorBidi"/>
          <w:color w:val="222222"/>
          <w:sz w:val="28"/>
          <w:szCs w:val="28"/>
        </w:rPr>
        <w:t xml:space="preserve">, M., Sadeghi, R., </w:t>
      </w:r>
      <w:proofErr w:type="spellStart"/>
      <w:r w:rsidRPr="00D718DB">
        <w:rPr>
          <w:rFonts w:asciiTheme="majorBidi" w:eastAsia="Times New Roman" w:hAnsiTheme="majorBidi" w:cstheme="majorBidi"/>
          <w:color w:val="222222"/>
          <w:sz w:val="28"/>
          <w:szCs w:val="28"/>
        </w:rPr>
        <w:t>Rokn</w:t>
      </w:r>
      <w:proofErr w:type="spellEnd"/>
      <w:r w:rsidRPr="00D718DB">
        <w:rPr>
          <w:rFonts w:asciiTheme="majorBidi" w:eastAsia="Times New Roman" w:hAnsiTheme="majorBidi" w:cstheme="majorBidi"/>
          <w:color w:val="222222"/>
          <w:sz w:val="28"/>
          <w:szCs w:val="28"/>
        </w:rPr>
        <w:t xml:space="preserve">, A. R., Khorsand, A., &amp; </w:t>
      </w:r>
      <w:proofErr w:type="spellStart"/>
      <w:r w:rsidRPr="00D718DB">
        <w:rPr>
          <w:rFonts w:asciiTheme="majorBidi" w:eastAsia="Times New Roman" w:hAnsiTheme="majorBidi" w:cstheme="majorBidi"/>
          <w:color w:val="222222"/>
          <w:sz w:val="28"/>
          <w:szCs w:val="28"/>
        </w:rPr>
        <w:t>Kharrazifard</w:t>
      </w:r>
      <w:proofErr w:type="spellEnd"/>
      <w:r w:rsidRPr="00D718DB">
        <w:rPr>
          <w:rFonts w:asciiTheme="majorBidi" w:eastAsia="Times New Roman" w:hAnsiTheme="majorBidi" w:cstheme="majorBidi"/>
          <w:color w:val="222222"/>
          <w:sz w:val="28"/>
          <w:szCs w:val="28"/>
        </w:rPr>
        <w:t xml:space="preserve">, M. J. (2014). Assessment of interleukin-1beta and interleukin-6 in the crevicular fluid around healthy implants, implants with peri-implantitis, and healthy teeth. </w:t>
      </w:r>
      <w:r w:rsidRPr="00D718DB">
        <w:rPr>
          <w:rFonts w:asciiTheme="majorBidi" w:eastAsia="Times New Roman" w:hAnsiTheme="majorBidi" w:cstheme="majorBidi"/>
          <w:i/>
          <w:iCs/>
          <w:color w:val="222222"/>
          <w:sz w:val="28"/>
          <w:szCs w:val="28"/>
        </w:rPr>
        <w:t>Implant Dentistry, 23</w:t>
      </w:r>
      <w:r w:rsidRPr="00D718DB">
        <w:rPr>
          <w:rFonts w:asciiTheme="majorBidi" w:eastAsia="Times New Roman" w:hAnsiTheme="majorBidi" w:cstheme="majorBidi"/>
          <w:color w:val="222222"/>
          <w:sz w:val="28"/>
          <w:szCs w:val="28"/>
        </w:rPr>
        <w:t xml:space="preserve">(6), 725–730. </w:t>
      </w:r>
      <w:hyperlink r:id="rId22" w:tgtFrame="_blank" w:history="1">
        <w:r w:rsidRPr="00D718DB">
          <w:rPr>
            <w:rStyle w:val="Hyperlink"/>
            <w:rFonts w:asciiTheme="majorBidi" w:eastAsia="Times New Roman" w:hAnsiTheme="majorBidi" w:cstheme="majorBidi"/>
            <w:sz w:val="28"/>
            <w:szCs w:val="28"/>
          </w:rPr>
          <w:t>https://doi.org/10.1097/ID.0000000000000219</w:t>
        </w:r>
      </w:hyperlink>
    </w:p>
    <w:p w14:paraId="4BE6CA69" w14:textId="6FA85A20" w:rsidR="00AF672C" w:rsidRPr="00EA0ACB" w:rsidRDefault="00AF672C" w:rsidP="00EA0ACB">
      <w:pPr>
        <w:shd w:val="clear" w:color="auto" w:fill="FFFFFF"/>
        <w:jc w:val="both"/>
        <w:rPr>
          <w:rFonts w:asciiTheme="majorBidi" w:hAnsiTheme="majorBidi" w:cstheme="majorBidi"/>
          <w:color w:val="222222"/>
          <w:sz w:val="28"/>
          <w:szCs w:val="28"/>
        </w:rPr>
      </w:pPr>
    </w:p>
    <w:sectPr w:rsidR="00AF672C" w:rsidRPr="00EA0ACB" w:rsidSect="00A87792">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0D1C38" w14:textId="77777777" w:rsidR="004F1307" w:rsidRDefault="004F1307">
      <w:r>
        <w:separator/>
      </w:r>
    </w:p>
  </w:endnote>
  <w:endnote w:type="continuationSeparator" w:id="0">
    <w:p w14:paraId="4B411B62" w14:textId="77777777" w:rsidR="004F1307" w:rsidRDefault="004F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E550C" w14:textId="77777777" w:rsidR="004A7896" w:rsidRDefault="004A78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C175" w14:textId="77777777" w:rsidR="004A7896" w:rsidRDefault="004A78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51732" w14:textId="77777777" w:rsidR="004A7896" w:rsidRDefault="004A7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0496B" w14:textId="77777777" w:rsidR="004F1307" w:rsidRDefault="004F1307">
      <w:r>
        <w:separator/>
      </w:r>
    </w:p>
  </w:footnote>
  <w:footnote w:type="continuationSeparator" w:id="0">
    <w:p w14:paraId="0433E532" w14:textId="77777777" w:rsidR="004F1307" w:rsidRDefault="004F1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FB876" w14:textId="047AE9EB" w:rsidR="004A7896" w:rsidRDefault="004A7896">
    <w:pPr>
      <w:pStyle w:val="Header"/>
    </w:pPr>
    <w:r>
      <w:rPr>
        <w:noProof/>
      </w:rPr>
      <w:pict w14:anchorId="624823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204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6A4C" w14:textId="4DE3A5D5" w:rsidR="00C224B2" w:rsidRDefault="004A7896">
    <w:pPr>
      <w:ind w:right="587"/>
      <w:jc w:val="center"/>
    </w:pPr>
    <w:r>
      <w:rPr>
        <w:noProof/>
      </w:rPr>
      <w:pict w14:anchorId="451EE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2045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0CD9" w14:textId="58C17B05" w:rsidR="00C224B2" w:rsidRDefault="004A7896" w:rsidP="007E3CEC">
    <w:pPr>
      <w:ind w:right="587"/>
    </w:pPr>
    <w:r>
      <w:rPr>
        <w:noProof/>
      </w:rPr>
      <w:pict w14:anchorId="3FFC9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7204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953D7"/>
    <w:multiLevelType w:val="hybridMultilevel"/>
    <w:tmpl w:val="A0462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183A"/>
    <w:multiLevelType w:val="hybridMultilevel"/>
    <w:tmpl w:val="A0DEEFE4"/>
    <w:lvl w:ilvl="0" w:tplc="0409000F">
      <w:start w:val="1"/>
      <w:numFmt w:val="decimal"/>
      <w:lvlText w:val="%1."/>
      <w:lvlJc w:val="left"/>
      <w:pPr>
        <w:ind w:left="720" w:hanging="360"/>
      </w:pPr>
    </w:lvl>
    <w:lvl w:ilvl="1" w:tplc="AAD06062">
      <w:numFmt w:val="bullet"/>
      <w:lvlText w:val=""/>
      <w:lvlJc w:val="left"/>
      <w:pPr>
        <w:ind w:left="1584" w:hanging="504"/>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D056E"/>
    <w:multiLevelType w:val="multilevel"/>
    <w:tmpl w:val="F28E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95FEC"/>
    <w:multiLevelType w:val="hybridMultilevel"/>
    <w:tmpl w:val="4E5E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538A8"/>
    <w:multiLevelType w:val="hybridMultilevel"/>
    <w:tmpl w:val="8736B8A0"/>
    <w:lvl w:ilvl="0" w:tplc="0409000F">
      <w:start w:val="1"/>
      <w:numFmt w:val="decimal"/>
      <w:lvlText w:val="%1."/>
      <w:lvlJc w:val="left"/>
      <w:pPr>
        <w:ind w:left="1455" w:hanging="360"/>
      </w:p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5" w15:restartNumberingAfterBreak="0">
    <w:nsid w:val="233E4240"/>
    <w:multiLevelType w:val="hybridMultilevel"/>
    <w:tmpl w:val="BA82C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0295A"/>
    <w:multiLevelType w:val="multilevel"/>
    <w:tmpl w:val="4978E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5F1F40"/>
    <w:multiLevelType w:val="hybridMultilevel"/>
    <w:tmpl w:val="05D89BB6"/>
    <w:lvl w:ilvl="0" w:tplc="0409000F">
      <w:start w:val="1"/>
      <w:numFmt w:val="decimal"/>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8" w15:restartNumberingAfterBreak="0">
    <w:nsid w:val="43D50808"/>
    <w:multiLevelType w:val="multilevel"/>
    <w:tmpl w:val="ADD8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B7F83"/>
    <w:multiLevelType w:val="hybridMultilevel"/>
    <w:tmpl w:val="D1E6F450"/>
    <w:lvl w:ilvl="0" w:tplc="42622280">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44855600"/>
    <w:multiLevelType w:val="multilevel"/>
    <w:tmpl w:val="2094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AF17CB"/>
    <w:multiLevelType w:val="hybridMultilevel"/>
    <w:tmpl w:val="92066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1"/>
  </w:num>
  <w:num w:numId="5">
    <w:abstractNumId w:val="9"/>
  </w:num>
  <w:num w:numId="6">
    <w:abstractNumId w:val="6"/>
  </w:num>
  <w:num w:numId="7">
    <w:abstractNumId w:val="4"/>
  </w:num>
  <w:num w:numId="8">
    <w:abstractNumId w:val="8"/>
  </w:num>
  <w:num w:numId="9">
    <w:abstractNumId w:val="10"/>
  </w:num>
  <w:num w:numId="10">
    <w:abstractNumId w:val="2"/>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7FF"/>
    <w:rsid w:val="00000C0C"/>
    <w:rsid w:val="00000CD1"/>
    <w:rsid w:val="00000D6A"/>
    <w:rsid w:val="00000EC8"/>
    <w:rsid w:val="00002DAC"/>
    <w:rsid w:val="0000775B"/>
    <w:rsid w:val="00012C0C"/>
    <w:rsid w:val="00017278"/>
    <w:rsid w:val="000178ED"/>
    <w:rsid w:val="00024010"/>
    <w:rsid w:val="000302B2"/>
    <w:rsid w:val="0003144B"/>
    <w:rsid w:val="00032F59"/>
    <w:rsid w:val="00035D11"/>
    <w:rsid w:val="00037DE5"/>
    <w:rsid w:val="00045BBE"/>
    <w:rsid w:val="00045BDC"/>
    <w:rsid w:val="00050CDC"/>
    <w:rsid w:val="00051D58"/>
    <w:rsid w:val="0005407B"/>
    <w:rsid w:val="00070615"/>
    <w:rsid w:val="00070CE3"/>
    <w:rsid w:val="000724C0"/>
    <w:rsid w:val="00083BB1"/>
    <w:rsid w:val="000868A2"/>
    <w:rsid w:val="000937E4"/>
    <w:rsid w:val="000A01FD"/>
    <w:rsid w:val="000A4A1C"/>
    <w:rsid w:val="000A7730"/>
    <w:rsid w:val="000B0336"/>
    <w:rsid w:val="000B4927"/>
    <w:rsid w:val="000D01C1"/>
    <w:rsid w:val="000D0806"/>
    <w:rsid w:val="000D16B5"/>
    <w:rsid w:val="000D6E05"/>
    <w:rsid w:val="000E2AE9"/>
    <w:rsid w:val="000E5AAA"/>
    <w:rsid w:val="000F3228"/>
    <w:rsid w:val="000F5F3B"/>
    <w:rsid w:val="0010794B"/>
    <w:rsid w:val="001105F7"/>
    <w:rsid w:val="0011786D"/>
    <w:rsid w:val="00123598"/>
    <w:rsid w:val="0013083D"/>
    <w:rsid w:val="001329BB"/>
    <w:rsid w:val="00134756"/>
    <w:rsid w:val="001354EE"/>
    <w:rsid w:val="001509DF"/>
    <w:rsid w:val="001522CD"/>
    <w:rsid w:val="0015516F"/>
    <w:rsid w:val="001571E0"/>
    <w:rsid w:val="00157E6B"/>
    <w:rsid w:val="00165DE6"/>
    <w:rsid w:val="001715D1"/>
    <w:rsid w:val="001771A7"/>
    <w:rsid w:val="0017733D"/>
    <w:rsid w:val="00181555"/>
    <w:rsid w:val="00184EA2"/>
    <w:rsid w:val="00191209"/>
    <w:rsid w:val="00192B46"/>
    <w:rsid w:val="001937A8"/>
    <w:rsid w:val="00194ACB"/>
    <w:rsid w:val="00197854"/>
    <w:rsid w:val="001A32B3"/>
    <w:rsid w:val="001A4D2E"/>
    <w:rsid w:val="001B02CD"/>
    <w:rsid w:val="001B1993"/>
    <w:rsid w:val="001B5DD7"/>
    <w:rsid w:val="001C05EA"/>
    <w:rsid w:val="001C3BB0"/>
    <w:rsid w:val="001C59BC"/>
    <w:rsid w:val="001E219B"/>
    <w:rsid w:val="001E4442"/>
    <w:rsid w:val="00204328"/>
    <w:rsid w:val="00204333"/>
    <w:rsid w:val="002104ED"/>
    <w:rsid w:val="00211625"/>
    <w:rsid w:val="0021286C"/>
    <w:rsid w:val="002156FE"/>
    <w:rsid w:val="00215B17"/>
    <w:rsid w:val="00217922"/>
    <w:rsid w:val="00217D0C"/>
    <w:rsid w:val="002255B7"/>
    <w:rsid w:val="002258DB"/>
    <w:rsid w:val="002266A1"/>
    <w:rsid w:val="002366D2"/>
    <w:rsid w:val="00240CAA"/>
    <w:rsid w:val="00240DF2"/>
    <w:rsid w:val="00246B6F"/>
    <w:rsid w:val="00251D05"/>
    <w:rsid w:val="00261C73"/>
    <w:rsid w:val="00267AC6"/>
    <w:rsid w:val="002713F2"/>
    <w:rsid w:val="0027312B"/>
    <w:rsid w:val="002750FF"/>
    <w:rsid w:val="002962A9"/>
    <w:rsid w:val="002978DB"/>
    <w:rsid w:val="002A1466"/>
    <w:rsid w:val="002B0AC8"/>
    <w:rsid w:val="002B48D4"/>
    <w:rsid w:val="002B4CA7"/>
    <w:rsid w:val="002C1937"/>
    <w:rsid w:val="002C4A11"/>
    <w:rsid w:val="002C6B1B"/>
    <w:rsid w:val="002D0C05"/>
    <w:rsid w:val="002D0CD8"/>
    <w:rsid w:val="002D1581"/>
    <w:rsid w:val="002E102B"/>
    <w:rsid w:val="002E3B6D"/>
    <w:rsid w:val="002F5141"/>
    <w:rsid w:val="002F68D1"/>
    <w:rsid w:val="00302CFA"/>
    <w:rsid w:val="00317B58"/>
    <w:rsid w:val="00322494"/>
    <w:rsid w:val="00322A7A"/>
    <w:rsid w:val="00323CFC"/>
    <w:rsid w:val="00331535"/>
    <w:rsid w:val="003335A6"/>
    <w:rsid w:val="003648C6"/>
    <w:rsid w:val="00365CE7"/>
    <w:rsid w:val="0036698C"/>
    <w:rsid w:val="003705D4"/>
    <w:rsid w:val="003908D8"/>
    <w:rsid w:val="003933B7"/>
    <w:rsid w:val="003A3B11"/>
    <w:rsid w:val="003A3F41"/>
    <w:rsid w:val="003A7CA7"/>
    <w:rsid w:val="003B7DD7"/>
    <w:rsid w:val="003C1526"/>
    <w:rsid w:val="003C560D"/>
    <w:rsid w:val="003D03F8"/>
    <w:rsid w:val="003E2CEA"/>
    <w:rsid w:val="003E606C"/>
    <w:rsid w:val="003F3E09"/>
    <w:rsid w:val="003F4BDA"/>
    <w:rsid w:val="003F7903"/>
    <w:rsid w:val="00401B7E"/>
    <w:rsid w:val="00406691"/>
    <w:rsid w:val="00406B0F"/>
    <w:rsid w:val="004112FF"/>
    <w:rsid w:val="004116FF"/>
    <w:rsid w:val="00424A38"/>
    <w:rsid w:val="004335C2"/>
    <w:rsid w:val="0043671F"/>
    <w:rsid w:val="004426A8"/>
    <w:rsid w:val="00445621"/>
    <w:rsid w:val="00445E37"/>
    <w:rsid w:val="004509EB"/>
    <w:rsid w:val="00452381"/>
    <w:rsid w:val="00460B96"/>
    <w:rsid w:val="00465A93"/>
    <w:rsid w:val="004749A5"/>
    <w:rsid w:val="00485D97"/>
    <w:rsid w:val="00492829"/>
    <w:rsid w:val="004978C5"/>
    <w:rsid w:val="004A14D8"/>
    <w:rsid w:val="004A619F"/>
    <w:rsid w:val="004A7896"/>
    <w:rsid w:val="004A792B"/>
    <w:rsid w:val="004A7D67"/>
    <w:rsid w:val="004B1A4D"/>
    <w:rsid w:val="004C0CEB"/>
    <w:rsid w:val="004C428C"/>
    <w:rsid w:val="004C60BB"/>
    <w:rsid w:val="004C77F8"/>
    <w:rsid w:val="004D330D"/>
    <w:rsid w:val="004D5BB3"/>
    <w:rsid w:val="004E02FB"/>
    <w:rsid w:val="004E0F64"/>
    <w:rsid w:val="004E5A66"/>
    <w:rsid w:val="004E61E0"/>
    <w:rsid w:val="004F1307"/>
    <w:rsid w:val="00500E47"/>
    <w:rsid w:val="005042AE"/>
    <w:rsid w:val="00506E15"/>
    <w:rsid w:val="0050709C"/>
    <w:rsid w:val="00515C77"/>
    <w:rsid w:val="005170C6"/>
    <w:rsid w:val="00525042"/>
    <w:rsid w:val="0052687A"/>
    <w:rsid w:val="00530E9C"/>
    <w:rsid w:val="0053553B"/>
    <w:rsid w:val="00535AF2"/>
    <w:rsid w:val="00541D39"/>
    <w:rsid w:val="0054247C"/>
    <w:rsid w:val="00543301"/>
    <w:rsid w:val="00547F15"/>
    <w:rsid w:val="00561648"/>
    <w:rsid w:val="00565A1D"/>
    <w:rsid w:val="0057384B"/>
    <w:rsid w:val="00575756"/>
    <w:rsid w:val="00583E43"/>
    <w:rsid w:val="0059188A"/>
    <w:rsid w:val="00594CD8"/>
    <w:rsid w:val="00597B17"/>
    <w:rsid w:val="005A364F"/>
    <w:rsid w:val="005B40AF"/>
    <w:rsid w:val="005B6C7F"/>
    <w:rsid w:val="005C36BE"/>
    <w:rsid w:val="005C4723"/>
    <w:rsid w:val="005C5944"/>
    <w:rsid w:val="005D7C43"/>
    <w:rsid w:val="005E5ADC"/>
    <w:rsid w:val="005F17F3"/>
    <w:rsid w:val="00602060"/>
    <w:rsid w:val="00603D2C"/>
    <w:rsid w:val="0060549B"/>
    <w:rsid w:val="006068CE"/>
    <w:rsid w:val="00610CEB"/>
    <w:rsid w:val="006170FC"/>
    <w:rsid w:val="00620D20"/>
    <w:rsid w:val="0062356F"/>
    <w:rsid w:val="00624E61"/>
    <w:rsid w:val="00632949"/>
    <w:rsid w:val="00633781"/>
    <w:rsid w:val="006344A0"/>
    <w:rsid w:val="00646C94"/>
    <w:rsid w:val="00652CE2"/>
    <w:rsid w:val="0065415F"/>
    <w:rsid w:val="00654AAC"/>
    <w:rsid w:val="00657136"/>
    <w:rsid w:val="006607F7"/>
    <w:rsid w:val="0067305F"/>
    <w:rsid w:val="00673E4C"/>
    <w:rsid w:val="00674E66"/>
    <w:rsid w:val="006750C2"/>
    <w:rsid w:val="00675471"/>
    <w:rsid w:val="006776D4"/>
    <w:rsid w:val="00681795"/>
    <w:rsid w:val="00681B52"/>
    <w:rsid w:val="00682413"/>
    <w:rsid w:val="00686C96"/>
    <w:rsid w:val="006912A9"/>
    <w:rsid w:val="00694174"/>
    <w:rsid w:val="00696065"/>
    <w:rsid w:val="006964ED"/>
    <w:rsid w:val="00697B4E"/>
    <w:rsid w:val="006A3779"/>
    <w:rsid w:val="006A484A"/>
    <w:rsid w:val="006A530D"/>
    <w:rsid w:val="006A56D2"/>
    <w:rsid w:val="006A6791"/>
    <w:rsid w:val="006A6D1E"/>
    <w:rsid w:val="006B265E"/>
    <w:rsid w:val="006B36FA"/>
    <w:rsid w:val="006B59ED"/>
    <w:rsid w:val="006B63C2"/>
    <w:rsid w:val="006C015F"/>
    <w:rsid w:val="006C4567"/>
    <w:rsid w:val="006C5265"/>
    <w:rsid w:val="006C7EC2"/>
    <w:rsid w:val="006D446E"/>
    <w:rsid w:val="006D52EC"/>
    <w:rsid w:val="006E0189"/>
    <w:rsid w:val="006E666F"/>
    <w:rsid w:val="006F0FC3"/>
    <w:rsid w:val="006F1740"/>
    <w:rsid w:val="006F4E54"/>
    <w:rsid w:val="006F5BF9"/>
    <w:rsid w:val="00700D3C"/>
    <w:rsid w:val="00701A64"/>
    <w:rsid w:val="00704434"/>
    <w:rsid w:val="00716D60"/>
    <w:rsid w:val="007206B1"/>
    <w:rsid w:val="00723DE0"/>
    <w:rsid w:val="007243EC"/>
    <w:rsid w:val="007310AC"/>
    <w:rsid w:val="00737015"/>
    <w:rsid w:val="00740ABC"/>
    <w:rsid w:val="00753157"/>
    <w:rsid w:val="0075378F"/>
    <w:rsid w:val="00753A4C"/>
    <w:rsid w:val="00754F0E"/>
    <w:rsid w:val="00763376"/>
    <w:rsid w:val="00771396"/>
    <w:rsid w:val="00774D5B"/>
    <w:rsid w:val="00774F6D"/>
    <w:rsid w:val="00775FB1"/>
    <w:rsid w:val="007765F0"/>
    <w:rsid w:val="00782087"/>
    <w:rsid w:val="007828C8"/>
    <w:rsid w:val="00782EB7"/>
    <w:rsid w:val="007856FE"/>
    <w:rsid w:val="00790EEB"/>
    <w:rsid w:val="00791D91"/>
    <w:rsid w:val="00793ED6"/>
    <w:rsid w:val="00794338"/>
    <w:rsid w:val="00797631"/>
    <w:rsid w:val="00797D78"/>
    <w:rsid w:val="007A1AF1"/>
    <w:rsid w:val="007A3393"/>
    <w:rsid w:val="007B0008"/>
    <w:rsid w:val="007B7D1E"/>
    <w:rsid w:val="007C1427"/>
    <w:rsid w:val="007D1BD6"/>
    <w:rsid w:val="007D3A88"/>
    <w:rsid w:val="007D46B7"/>
    <w:rsid w:val="007D5845"/>
    <w:rsid w:val="007E0228"/>
    <w:rsid w:val="007E082F"/>
    <w:rsid w:val="007E694F"/>
    <w:rsid w:val="007F3BC3"/>
    <w:rsid w:val="007F5113"/>
    <w:rsid w:val="00800189"/>
    <w:rsid w:val="0080708D"/>
    <w:rsid w:val="00807A1C"/>
    <w:rsid w:val="00813149"/>
    <w:rsid w:val="00813434"/>
    <w:rsid w:val="00813EA8"/>
    <w:rsid w:val="00831FAF"/>
    <w:rsid w:val="00832279"/>
    <w:rsid w:val="00835A38"/>
    <w:rsid w:val="0083642C"/>
    <w:rsid w:val="00842142"/>
    <w:rsid w:val="00842427"/>
    <w:rsid w:val="00843C9B"/>
    <w:rsid w:val="00845191"/>
    <w:rsid w:val="00845CC7"/>
    <w:rsid w:val="00851173"/>
    <w:rsid w:val="00851837"/>
    <w:rsid w:val="00851F87"/>
    <w:rsid w:val="00855D71"/>
    <w:rsid w:val="0085623B"/>
    <w:rsid w:val="00857110"/>
    <w:rsid w:val="00860A86"/>
    <w:rsid w:val="00860F95"/>
    <w:rsid w:val="008658A9"/>
    <w:rsid w:val="008669C8"/>
    <w:rsid w:val="00882944"/>
    <w:rsid w:val="008A15A7"/>
    <w:rsid w:val="008A5EB6"/>
    <w:rsid w:val="008A6327"/>
    <w:rsid w:val="008B014A"/>
    <w:rsid w:val="008B0F4B"/>
    <w:rsid w:val="008B618D"/>
    <w:rsid w:val="008C0453"/>
    <w:rsid w:val="008D252E"/>
    <w:rsid w:val="008D264D"/>
    <w:rsid w:val="008D3A38"/>
    <w:rsid w:val="008D3A50"/>
    <w:rsid w:val="008D496E"/>
    <w:rsid w:val="008D534E"/>
    <w:rsid w:val="008D7712"/>
    <w:rsid w:val="008E46CD"/>
    <w:rsid w:val="008F2BB1"/>
    <w:rsid w:val="008F6154"/>
    <w:rsid w:val="009045B5"/>
    <w:rsid w:val="009102C5"/>
    <w:rsid w:val="00910E9E"/>
    <w:rsid w:val="00916B44"/>
    <w:rsid w:val="00917CE1"/>
    <w:rsid w:val="00925165"/>
    <w:rsid w:val="009256E9"/>
    <w:rsid w:val="00927037"/>
    <w:rsid w:val="0093595C"/>
    <w:rsid w:val="00936FC6"/>
    <w:rsid w:val="00940A04"/>
    <w:rsid w:val="00940E1E"/>
    <w:rsid w:val="0094130F"/>
    <w:rsid w:val="00942086"/>
    <w:rsid w:val="00944322"/>
    <w:rsid w:val="00950911"/>
    <w:rsid w:val="00951754"/>
    <w:rsid w:val="00954B17"/>
    <w:rsid w:val="00955E7D"/>
    <w:rsid w:val="009612D5"/>
    <w:rsid w:val="009667E5"/>
    <w:rsid w:val="00967CA0"/>
    <w:rsid w:val="00971753"/>
    <w:rsid w:val="00974389"/>
    <w:rsid w:val="0097468E"/>
    <w:rsid w:val="0098157F"/>
    <w:rsid w:val="0098196E"/>
    <w:rsid w:val="009858F1"/>
    <w:rsid w:val="00987A5F"/>
    <w:rsid w:val="00991C46"/>
    <w:rsid w:val="009936E0"/>
    <w:rsid w:val="009A18C1"/>
    <w:rsid w:val="009A6ADA"/>
    <w:rsid w:val="009B166D"/>
    <w:rsid w:val="009B17FF"/>
    <w:rsid w:val="009B46CB"/>
    <w:rsid w:val="009B73FF"/>
    <w:rsid w:val="009C0195"/>
    <w:rsid w:val="009C21A7"/>
    <w:rsid w:val="009C31AA"/>
    <w:rsid w:val="009C32E3"/>
    <w:rsid w:val="009D5248"/>
    <w:rsid w:val="009D56DE"/>
    <w:rsid w:val="009E1950"/>
    <w:rsid w:val="009E2B63"/>
    <w:rsid w:val="009E634A"/>
    <w:rsid w:val="009E6FBC"/>
    <w:rsid w:val="009F2C41"/>
    <w:rsid w:val="009F42FA"/>
    <w:rsid w:val="009F4613"/>
    <w:rsid w:val="009F5288"/>
    <w:rsid w:val="00A12782"/>
    <w:rsid w:val="00A236A4"/>
    <w:rsid w:val="00A318A4"/>
    <w:rsid w:val="00A32927"/>
    <w:rsid w:val="00A37B6C"/>
    <w:rsid w:val="00A400E5"/>
    <w:rsid w:val="00A44059"/>
    <w:rsid w:val="00A53787"/>
    <w:rsid w:val="00A55A75"/>
    <w:rsid w:val="00A83A35"/>
    <w:rsid w:val="00A86A62"/>
    <w:rsid w:val="00A87792"/>
    <w:rsid w:val="00A93469"/>
    <w:rsid w:val="00A96AF7"/>
    <w:rsid w:val="00A972F3"/>
    <w:rsid w:val="00AA4BAA"/>
    <w:rsid w:val="00AA53E0"/>
    <w:rsid w:val="00AB20E0"/>
    <w:rsid w:val="00AB223F"/>
    <w:rsid w:val="00AB39F1"/>
    <w:rsid w:val="00AB5545"/>
    <w:rsid w:val="00AB5FE4"/>
    <w:rsid w:val="00AC1401"/>
    <w:rsid w:val="00AD1666"/>
    <w:rsid w:val="00AD1ACE"/>
    <w:rsid w:val="00AD2952"/>
    <w:rsid w:val="00AD4549"/>
    <w:rsid w:val="00AD482F"/>
    <w:rsid w:val="00AD7F4E"/>
    <w:rsid w:val="00AE1585"/>
    <w:rsid w:val="00AE4BC7"/>
    <w:rsid w:val="00AF061F"/>
    <w:rsid w:val="00AF2E6C"/>
    <w:rsid w:val="00AF33E4"/>
    <w:rsid w:val="00AF3928"/>
    <w:rsid w:val="00AF672C"/>
    <w:rsid w:val="00AF6A03"/>
    <w:rsid w:val="00AF7ED7"/>
    <w:rsid w:val="00B01C85"/>
    <w:rsid w:val="00B06FA3"/>
    <w:rsid w:val="00B12A67"/>
    <w:rsid w:val="00B1370B"/>
    <w:rsid w:val="00B14553"/>
    <w:rsid w:val="00B16F6B"/>
    <w:rsid w:val="00B17774"/>
    <w:rsid w:val="00B22835"/>
    <w:rsid w:val="00B35DB6"/>
    <w:rsid w:val="00B3744E"/>
    <w:rsid w:val="00B40D9B"/>
    <w:rsid w:val="00B46D84"/>
    <w:rsid w:val="00B572DE"/>
    <w:rsid w:val="00B64CBA"/>
    <w:rsid w:val="00B66A34"/>
    <w:rsid w:val="00B67AB8"/>
    <w:rsid w:val="00B75160"/>
    <w:rsid w:val="00B770BC"/>
    <w:rsid w:val="00B77895"/>
    <w:rsid w:val="00B80303"/>
    <w:rsid w:val="00B83E44"/>
    <w:rsid w:val="00B87520"/>
    <w:rsid w:val="00B903DD"/>
    <w:rsid w:val="00B93233"/>
    <w:rsid w:val="00B961AA"/>
    <w:rsid w:val="00BA1652"/>
    <w:rsid w:val="00BA4A85"/>
    <w:rsid w:val="00BB6061"/>
    <w:rsid w:val="00BC2701"/>
    <w:rsid w:val="00BD17B6"/>
    <w:rsid w:val="00BD4275"/>
    <w:rsid w:val="00BE2BC5"/>
    <w:rsid w:val="00BE5D0F"/>
    <w:rsid w:val="00BF1943"/>
    <w:rsid w:val="00BF4537"/>
    <w:rsid w:val="00BF6B8E"/>
    <w:rsid w:val="00C114DD"/>
    <w:rsid w:val="00C12EC1"/>
    <w:rsid w:val="00C15524"/>
    <w:rsid w:val="00C165A8"/>
    <w:rsid w:val="00C170A1"/>
    <w:rsid w:val="00C212B2"/>
    <w:rsid w:val="00C224B2"/>
    <w:rsid w:val="00C30F64"/>
    <w:rsid w:val="00C44085"/>
    <w:rsid w:val="00C458F5"/>
    <w:rsid w:val="00C46BCB"/>
    <w:rsid w:val="00C46D9F"/>
    <w:rsid w:val="00C603F5"/>
    <w:rsid w:val="00C60BF1"/>
    <w:rsid w:val="00C718E0"/>
    <w:rsid w:val="00C7237A"/>
    <w:rsid w:val="00C72618"/>
    <w:rsid w:val="00C7421E"/>
    <w:rsid w:val="00C76E33"/>
    <w:rsid w:val="00C7747B"/>
    <w:rsid w:val="00C81C46"/>
    <w:rsid w:val="00C82CF7"/>
    <w:rsid w:val="00C93DDC"/>
    <w:rsid w:val="00CA20A3"/>
    <w:rsid w:val="00CA39DB"/>
    <w:rsid w:val="00CA4723"/>
    <w:rsid w:val="00CB31E8"/>
    <w:rsid w:val="00CB69E5"/>
    <w:rsid w:val="00CC023F"/>
    <w:rsid w:val="00CC3D78"/>
    <w:rsid w:val="00CE059D"/>
    <w:rsid w:val="00CE5263"/>
    <w:rsid w:val="00CE5464"/>
    <w:rsid w:val="00CE7A75"/>
    <w:rsid w:val="00CF544B"/>
    <w:rsid w:val="00D01D8E"/>
    <w:rsid w:val="00D128E4"/>
    <w:rsid w:val="00D24041"/>
    <w:rsid w:val="00D240FF"/>
    <w:rsid w:val="00D275B5"/>
    <w:rsid w:val="00D33854"/>
    <w:rsid w:val="00D3532C"/>
    <w:rsid w:val="00D41F85"/>
    <w:rsid w:val="00D50A0A"/>
    <w:rsid w:val="00D51100"/>
    <w:rsid w:val="00D533E8"/>
    <w:rsid w:val="00D55EBF"/>
    <w:rsid w:val="00D60411"/>
    <w:rsid w:val="00D605DE"/>
    <w:rsid w:val="00D62293"/>
    <w:rsid w:val="00D64814"/>
    <w:rsid w:val="00D665E1"/>
    <w:rsid w:val="00D6701A"/>
    <w:rsid w:val="00D80B7D"/>
    <w:rsid w:val="00D876CF"/>
    <w:rsid w:val="00D90716"/>
    <w:rsid w:val="00D90D6C"/>
    <w:rsid w:val="00D941C5"/>
    <w:rsid w:val="00D95CB4"/>
    <w:rsid w:val="00DA16FE"/>
    <w:rsid w:val="00DA1E9B"/>
    <w:rsid w:val="00DA251C"/>
    <w:rsid w:val="00DA49CB"/>
    <w:rsid w:val="00DA4B8E"/>
    <w:rsid w:val="00DA6207"/>
    <w:rsid w:val="00DB54F1"/>
    <w:rsid w:val="00DB5FDC"/>
    <w:rsid w:val="00DC1343"/>
    <w:rsid w:val="00DD05FD"/>
    <w:rsid w:val="00DD4954"/>
    <w:rsid w:val="00DE4861"/>
    <w:rsid w:val="00DF20E5"/>
    <w:rsid w:val="00DF3163"/>
    <w:rsid w:val="00DF394F"/>
    <w:rsid w:val="00E029C4"/>
    <w:rsid w:val="00E04F06"/>
    <w:rsid w:val="00E102B7"/>
    <w:rsid w:val="00E121D6"/>
    <w:rsid w:val="00E168A6"/>
    <w:rsid w:val="00E16B55"/>
    <w:rsid w:val="00E17887"/>
    <w:rsid w:val="00E214AA"/>
    <w:rsid w:val="00E23283"/>
    <w:rsid w:val="00E3059B"/>
    <w:rsid w:val="00E30F4E"/>
    <w:rsid w:val="00E3159C"/>
    <w:rsid w:val="00E3749B"/>
    <w:rsid w:val="00E46141"/>
    <w:rsid w:val="00E527BB"/>
    <w:rsid w:val="00E55865"/>
    <w:rsid w:val="00E5671C"/>
    <w:rsid w:val="00E64D90"/>
    <w:rsid w:val="00E65502"/>
    <w:rsid w:val="00E6551A"/>
    <w:rsid w:val="00E72595"/>
    <w:rsid w:val="00E82C2B"/>
    <w:rsid w:val="00E8625C"/>
    <w:rsid w:val="00E87A10"/>
    <w:rsid w:val="00E919AF"/>
    <w:rsid w:val="00E940B6"/>
    <w:rsid w:val="00EA0ACB"/>
    <w:rsid w:val="00EA473F"/>
    <w:rsid w:val="00EB0F10"/>
    <w:rsid w:val="00EB699C"/>
    <w:rsid w:val="00EC182D"/>
    <w:rsid w:val="00EC33DB"/>
    <w:rsid w:val="00EC5BC8"/>
    <w:rsid w:val="00EC628F"/>
    <w:rsid w:val="00ED11E2"/>
    <w:rsid w:val="00ED1B41"/>
    <w:rsid w:val="00ED2067"/>
    <w:rsid w:val="00ED7DA6"/>
    <w:rsid w:val="00F03429"/>
    <w:rsid w:val="00F04494"/>
    <w:rsid w:val="00F05AE5"/>
    <w:rsid w:val="00F10E81"/>
    <w:rsid w:val="00F15B7B"/>
    <w:rsid w:val="00F2026E"/>
    <w:rsid w:val="00F21150"/>
    <w:rsid w:val="00F23116"/>
    <w:rsid w:val="00F25D18"/>
    <w:rsid w:val="00F3512B"/>
    <w:rsid w:val="00F43CEC"/>
    <w:rsid w:val="00F45514"/>
    <w:rsid w:val="00F51CDD"/>
    <w:rsid w:val="00F52F2D"/>
    <w:rsid w:val="00F53C85"/>
    <w:rsid w:val="00F54B94"/>
    <w:rsid w:val="00F56780"/>
    <w:rsid w:val="00F607A1"/>
    <w:rsid w:val="00F61036"/>
    <w:rsid w:val="00F61AEC"/>
    <w:rsid w:val="00F628B1"/>
    <w:rsid w:val="00F6615E"/>
    <w:rsid w:val="00F70950"/>
    <w:rsid w:val="00F76C01"/>
    <w:rsid w:val="00F76E8F"/>
    <w:rsid w:val="00F856A3"/>
    <w:rsid w:val="00F9091A"/>
    <w:rsid w:val="00F915AA"/>
    <w:rsid w:val="00F939B3"/>
    <w:rsid w:val="00F94FC6"/>
    <w:rsid w:val="00F95497"/>
    <w:rsid w:val="00F965F8"/>
    <w:rsid w:val="00FA25CC"/>
    <w:rsid w:val="00FA34AC"/>
    <w:rsid w:val="00FA74F1"/>
    <w:rsid w:val="00FB2B84"/>
    <w:rsid w:val="00FB6153"/>
    <w:rsid w:val="00FB7C36"/>
    <w:rsid w:val="00FC1F38"/>
    <w:rsid w:val="00FF001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579929"/>
  <w15:docId w15:val="{BD08E368-2DDB-B140-B1D6-FF5A63FB2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60BB"/>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4E0F6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976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E8F"/>
    <w:rPr>
      <w:color w:val="0000FF"/>
      <w:u w:val="single"/>
    </w:rPr>
  </w:style>
  <w:style w:type="table" w:customStyle="1" w:styleId="TableGrid">
    <w:name w:val="TableGrid"/>
    <w:rsid w:val="000B4927"/>
    <w:pPr>
      <w:spacing w:after="0" w:line="240" w:lineRule="auto"/>
    </w:pPr>
    <w:rPr>
      <w:rFonts w:eastAsiaTheme="minorEastAsia"/>
      <w:sz w:val="24"/>
      <w:szCs w:val="24"/>
    </w:rPr>
    <w:tblPr>
      <w:tblCellMar>
        <w:top w:w="0" w:type="dxa"/>
        <w:left w:w="0" w:type="dxa"/>
        <w:bottom w:w="0" w:type="dxa"/>
        <w:right w:w="0" w:type="dxa"/>
      </w:tblCellMar>
    </w:tblPr>
  </w:style>
  <w:style w:type="table" w:customStyle="1" w:styleId="TableGrid1">
    <w:name w:val="Table Grid1"/>
    <w:basedOn w:val="TableNormal"/>
    <w:next w:val="TableGrid0"/>
    <w:uiPriority w:val="39"/>
    <w:rsid w:val="00CA47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CA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F6103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4A3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603F5"/>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603F5"/>
  </w:style>
  <w:style w:type="paragraph" w:styleId="Footer">
    <w:name w:val="footer"/>
    <w:basedOn w:val="Normal"/>
    <w:link w:val="FooterChar"/>
    <w:uiPriority w:val="99"/>
    <w:unhideWhenUsed/>
    <w:rsid w:val="00C603F5"/>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603F5"/>
  </w:style>
  <w:style w:type="paragraph" w:styleId="BalloonText">
    <w:name w:val="Balloon Text"/>
    <w:basedOn w:val="Normal"/>
    <w:link w:val="BalloonTextChar"/>
    <w:uiPriority w:val="99"/>
    <w:semiHidden/>
    <w:unhideWhenUsed/>
    <w:rsid w:val="007D46B7"/>
    <w:rPr>
      <w:rFonts w:ascii="Tahoma" w:hAnsi="Tahoma" w:cs="Tahoma"/>
      <w:sz w:val="16"/>
      <w:szCs w:val="16"/>
    </w:rPr>
  </w:style>
  <w:style w:type="character" w:customStyle="1" w:styleId="BalloonTextChar">
    <w:name w:val="Balloon Text Char"/>
    <w:basedOn w:val="DefaultParagraphFont"/>
    <w:link w:val="BalloonText"/>
    <w:uiPriority w:val="99"/>
    <w:semiHidden/>
    <w:rsid w:val="007D46B7"/>
    <w:rPr>
      <w:rFonts w:ascii="Tahoma" w:hAnsi="Tahoma" w:cs="Tahoma"/>
      <w:sz w:val="16"/>
      <w:szCs w:val="16"/>
    </w:rPr>
  </w:style>
  <w:style w:type="character" w:styleId="UnresolvedMention">
    <w:name w:val="Unresolved Mention"/>
    <w:basedOn w:val="DefaultParagraphFont"/>
    <w:uiPriority w:val="99"/>
    <w:semiHidden/>
    <w:unhideWhenUsed/>
    <w:rsid w:val="00CB31E8"/>
    <w:rPr>
      <w:color w:val="605E5C"/>
      <w:shd w:val="clear" w:color="auto" w:fill="E1DFDD"/>
    </w:rPr>
  </w:style>
  <w:style w:type="character" w:styleId="CommentReference">
    <w:name w:val="annotation reference"/>
    <w:basedOn w:val="DefaultParagraphFont"/>
    <w:uiPriority w:val="99"/>
    <w:semiHidden/>
    <w:unhideWhenUsed/>
    <w:rsid w:val="009E6FBC"/>
    <w:rPr>
      <w:sz w:val="16"/>
      <w:szCs w:val="16"/>
    </w:rPr>
  </w:style>
  <w:style w:type="paragraph" w:styleId="CommentText">
    <w:name w:val="annotation text"/>
    <w:basedOn w:val="Normal"/>
    <w:link w:val="CommentTextChar"/>
    <w:uiPriority w:val="99"/>
    <w:semiHidden/>
    <w:unhideWhenUsed/>
    <w:rsid w:val="009E6FB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E6FBC"/>
    <w:rPr>
      <w:sz w:val="20"/>
      <w:szCs w:val="20"/>
    </w:rPr>
  </w:style>
  <w:style w:type="paragraph" w:styleId="CommentSubject">
    <w:name w:val="annotation subject"/>
    <w:basedOn w:val="CommentText"/>
    <w:next w:val="CommentText"/>
    <w:link w:val="CommentSubjectChar"/>
    <w:uiPriority w:val="99"/>
    <w:semiHidden/>
    <w:unhideWhenUsed/>
    <w:rsid w:val="009E6FBC"/>
    <w:rPr>
      <w:b/>
      <w:bCs/>
    </w:rPr>
  </w:style>
  <w:style w:type="character" w:customStyle="1" w:styleId="CommentSubjectChar">
    <w:name w:val="Comment Subject Char"/>
    <w:basedOn w:val="CommentTextChar"/>
    <w:link w:val="CommentSubject"/>
    <w:uiPriority w:val="99"/>
    <w:semiHidden/>
    <w:rsid w:val="009E6FBC"/>
    <w:rPr>
      <w:b/>
      <w:bCs/>
      <w:sz w:val="20"/>
      <w:szCs w:val="20"/>
    </w:rPr>
  </w:style>
  <w:style w:type="character" w:styleId="Emphasis">
    <w:name w:val="Emphasis"/>
    <w:basedOn w:val="DefaultParagraphFont"/>
    <w:uiPriority w:val="20"/>
    <w:qFormat/>
    <w:rsid w:val="0075378F"/>
    <w:rPr>
      <w:i/>
      <w:iCs/>
    </w:rPr>
  </w:style>
  <w:style w:type="character" w:customStyle="1" w:styleId="ref-title">
    <w:name w:val="ref-title"/>
    <w:basedOn w:val="DefaultParagraphFont"/>
    <w:rsid w:val="0075378F"/>
  </w:style>
  <w:style w:type="character" w:customStyle="1" w:styleId="ref-journal">
    <w:name w:val="ref-journal"/>
    <w:basedOn w:val="DefaultParagraphFont"/>
    <w:rsid w:val="0075378F"/>
  </w:style>
  <w:style w:type="character" w:customStyle="1" w:styleId="ref-vol">
    <w:name w:val="ref-vol"/>
    <w:basedOn w:val="DefaultParagraphFont"/>
    <w:rsid w:val="0075378F"/>
  </w:style>
  <w:style w:type="paragraph" w:styleId="NormalWeb">
    <w:name w:val="Normal (Web)"/>
    <w:basedOn w:val="Normal"/>
    <w:uiPriority w:val="99"/>
    <w:semiHidden/>
    <w:unhideWhenUsed/>
    <w:rsid w:val="0015516F"/>
  </w:style>
  <w:style w:type="character" w:customStyle="1" w:styleId="Heading4Char">
    <w:name w:val="Heading 4 Char"/>
    <w:basedOn w:val="DefaultParagraphFont"/>
    <w:link w:val="Heading4"/>
    <w:uiPriority w:val="9"/>
    <w:semiHidden/>
    <w:rsid w:val="00797631"/>
    <w:rPr>
      <w:rFonts w:asciiTheme="majorHAnsi" w:eastAsiaTheme="majorEastAsia" w:hAnsiTheme="majorHAnsi" w:cstheme="majorBidi"/>
      <w:i/>
      <w:iCs/>
      <w:color w:val="2F5496" w:themeColor="accent1" w:themeShade="BF"/>
      <w:sz w:val="24"/>
      <w:szCs w:val="24"/>
    </w:rPr>
  </w:style>
  <w:style w:type="character" w:customStyle="1" w:styleId="Heading3Char">
    <w:name w:val="Heading 3 Char"/>
    <w:basedOn w:val="DefaultParagraphFont"/>
    <w:link w:val="Heading3"/>
    <w:uiPriority w:val="9"/>
    <w:semiHidden/>
    <w:rsid w:val="004E0F6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0742">
      <w:bodyDiv w:val="1"/>
      <w:marLeft w:val="0"/>
      <w:marRight w:val="0"/>
      <w:marTop w:val="0"/>
      <w:marBottom w:val="0"/>
      <w:divBdr>
        <w:top w:val="none" w:sz="0" w:space="0" w:color="auto"/>
        <w:left w:val="none" w:sz="0" w:space="0" w:color="auto"/>
        <w:bottom w:val="none" w:sz="0" w:space="0" w:color="auto"/>
        <w:right w:val="none" w:sz="0" w:space="0" w:color="auto"/>
      </w:divBdr>
    </w:div>
    <w:div w:id="52198157">
      <w:bodyDiv w:val="1"/>
      <w:marLeft w:val="0"/>
      <w:marRight w:val="0"/>
      <w:marTop w:val="0"/>
      <w:marBottom w:val="0"/>
      <w:divBdr>
        <w:top w:val="none" w:sz="0" w:space="0" w:color="auto"/>
        <w:left w:val="none" w:sz="0" w:space="0" w:color="auto"/>
        <w:bottom w:val="none" w:sz="0" w:space="0" w:color="auto"/>
        <w:right w:val="none" w:sz="0" w:space="0" w:color="auto"/>
      </w:divBdr>
    </w:div>
    <w:div w:id="136000205">
      <w:bodyDiv w:val="1"/>
      <w:marLeft w:val="0"/>
      <w:marRight w:val="0"/>
      <w:marTop w:val="0"/>
      <w:marBottom w:val="0"/>
      <w:divBdr>
        <w:top w:val="none" w:sz="0" w:space="0" w:color="auto"/>
        <w:left w:val="none" w:sz="0" w:space="0" w:color="auto"/>
        <w:bottom w:val="none" w:sz="0" w:space="0" w:color="auto"/>
        <w:right w:val="none" w:sz="0" w:space="0" w:color="auto"/>
      </w:divBdr>
    </w:div>
    <w:div w:id="136339476">
      <w:bodyDiv w:val="1"/>
      <w:marLeft w:val="0"/>
      <w:marRight w:val="0"/>
      <w:marTop w:val="0"/>
      <w:marBottom w:val="0"/>
      <w:divBdr>
        <w:top w:val="none" w:sz="0" w:space="0" w:color="auto"/>
        <w:left w:val="none" w:sz="0" w:space="0" w:color="auto"/>
        <w:bottom w:val="none" w:sz="0" w:space="0" w:color="auto"/>
        <w:right w:val="none" w:sz="0" w:space="0" w:color="auto"/>
      </w:divBdr>
    </w:div>
    <w:div w:id="143787670">
      <w:bodyDiv w:val="1"/>
      <w:marLeft w:val="0"/>
      <w:marRight w:val="0"/>
      <w:marTop w:val="0"/>
      <w:marBottom w:val="0"/>
      <w:divBdr>
        <w:top w:val="none" w:sz="0" w:space="0" w:color="auto"/>
        <w:left w:val="none" w:sz="0" w:space="0" w:color="auto"/>
        <w:bottom w:val="none" w:sz="0" w:space="0" w:color="auto"/>
        <w:right w:val="none" w:sz="0" w:space="0" w:color="auto"/>
      </w:divBdr>
      <w:divsChild>
        <w:div w:id="1279994630">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79979334">
      <w:bodyDiv w:val="1"/>
      <w:marLeft w:val="0"/>
      <w:marRight w:val="0"/>
      <w:marTop w:val="0"/>
      <w:marBottom w:val="0"/>
      <w:divBdr>
        <w:top w:val="none" w:sz="0" w:space="0" w:color="auto"/>
        <w:left w:val="none" w:sz="0" w:space="0" w:color="auto"/>
        <w:bottom w:val="none" w:sz="0" w:space="0" w:color="auto"/>
        <w:right w:val="none" w:sz="0" w:space="0" w:color="auto"/>
      </w:divBdr>
    </w:div>
    <w:div w:id="292449740">
      <w:bodyDiv w:val="1"/>
      <w:marLeft w:val="0"/>
      <w:marRight w:val="0"/>
      <w:marTop w:val="0"/>
      <w:marBottom w:val="0"/>
      <w:divBdr>
        <w:top w:val="none" w:sz="0" w:space="0" w:color="auto"/>
        <w:left w:val="none" w:sz="0" w:space="0" w:color="auto"/>
        <w:bottom w:val="none" w:sz="0" w:space="0" w:color="auto"/>
        <w:right w:val="none" w:sz="0" w:space="0" w:color="auto"/>
      </w:divBdr>
    </w:div>
    <w:div w:id="403724274">
      <w:bodyDiv w:val="1"/>
      <w:marLeft w:val="0"/>
      <w:marRight w:val="0"/>
      <w:marTop w:val="0"/>
      <w:marBottom w:val="0"/>
      <w:divBdr>
        <w:top w:val="none" w:sz="0" w:space="0" w:color="auto"/>
        <w:left w:val="none" w:sz="0" w:space="0" w:color="auto"/>
        <w:bottom w:val="none" w:sz="0" w:space="0" w:color="auto"/>
        <w:right w:val="none" w:sz="0" w:space="0" w:color="auto"/>
      </w:divBdr>
    </w:div>
    <w:div w:id="450982265">
      <w:bodyDiv w:val="1"/>
      <w:marLeft w:val="0"/>
      <w:marRight w:val="0"/>
      <w:marTop w:val="0"/>
      <w:marBottom w:val="0"/>
      <w:divBdr>
        <w:top w:val="none" w:sz="0" w:space="0" w:color="auto"/>
        <w:left w:val="none" w:sz="0" w:space="0" w:color="auto"/>
        <w:bottom w:val="none" w:sz="0" w:space="0" w:color="auto"/>
        <w:right w:val="none" w:sz="0" w:space="0" w:color="auto"/>
      </w:divBdr>
    </w:div>
    <w:div w:id="481428806">
      <w:bodyDiv w:val="1"/>
      <w:marLeft w:val="0"/>
      <w:marRight w:val="0"/>
      <w:marTop w:val="0"/>
      <w:marBottom w:val="0"/>
      <w:divBdr>
        <w:top w:val="none" w:sz="0" w:space="0" w:color="auto"/>
        <w:left w:val="none" w:sz="0" w:space="0" w:color="auto"/>
        <w:bottom w:val="none" w:sz="0" w:space="0" w:color="auto"/>
        <w:right w:val="none" w:sz="0" w:space="0" w:color="auto"/>
      </w:divBdr>
    </w:div>
    <w:div w:id="482358509">
      <w:bodyDiv w:val="1"/>
      <w:marLeft w:val="0"/>
      <w:marRight w:val="0"/>
      <w:marTop w:val="0"/>
      <w:marBottom w:val="0"/>
      <w:divBdr>
        <w:top w:val="none" w:sz="0" w:space="0" w:color="auto"/>
        <w:left w:val="none" w:sz="0" w:space="0" w:color="auto"/>
        <w:bottom w:val="none" w:sz="0" w:space="0" w:color="auto"/>
        <w:right w:val="none" w:sz="0" w:space="0" w:color="auto"/>
      </w:divBdr>
    </w:div>
    <w:div w:id="540021942">
      <w:bodyDiv w:val="1"/>
      <w:marLeft w:val="0"/>
      <w:marRight w:val="0"/>
      <w:marTop w:val="0"/>
      <w:marBottom w:val="0"/>
      <w:divBdr>
        <w:top w:val="none" w:sz="0" w:space="0" w:color="auto"/>
        <w:left w:val="none" w:sz="0" w:space="0" w:color="auto"/>
        <w:bottom w:val="none" w:sz="0" w:space="0" w:color="auto"/>
        <w:right w:val="none" w:sz="0" w:space="0" w:color="auto"/>
      </w:divBdr>
    </w:div>
    <w:div w:id="606036077">
      <w:bodyDiv w:val="1"/>
      <w:marLeft w:val="0"/>
      <w:marRight w:val="0"/>
      <w:marTop w:val="0"/>
      <w:marBottom w:val="0"/>
      <w:divBdr>
        <w:top w:val="none" w:sz="0" w:space="0" w:color="auto"/>
        <w:left w:val="none" w:sz="0" w:space="0" w:color="auto"/>
        <w:bottom w:val="none" w:sz="0" w:space="0" w:color="auto"/>
        <w:right w:val="none" w:sz="0" w:space="0" w:color="auto"/>
      </w:divBdr>
    </w:div>
    <w:div w:id="629751910">
      <w:bodyDiv w:val="1"/>
      <w:marLeft w:val="0"/>
      <w:marRight w:val="0"/>
      <w:marTop w:val="0"/>
      <w:marBottom w:val="0"/>
      <w:divBdr>
        <w:top w:val="none" w:sz="0" w:space="0" w:color="auto"/>
        <w:left w:val="none" w:sz="0" w:space="0" w:color="auto"/>
        <w:bottom w:val="none" w:sz="0" w:space="0" w:color="auto"/>
        <w:right w:val="none" w:sz="0" w:space="0" w:color="auto"/>
      </w:divBdr>
    </w:div>
    <w:div w:id="750086091">
      <w:bodyDiv w:val="1"/>
      <w:marLeft w:val="0"/>
      <w:marRight w:val="0"/>
      <w:marTop w:val="0"/>
      <w:marBottom w:val="0"/>
      <w:divBdr>
        <w:top w:val="none" w:sz="0" w:space="0" w:color="auto"/>
        <w:left w:val="none" w:sz="0" w:space="0" w:color="auto"/>
        <w:bottom w:val="none" w:sz="0" w:space="0" w:color="auto"/>
        <w:right w:val="none" w:sz="0" w:space="0" w:color="auto"/>
      </w:divBdr>
    </w:div>
    <w:div w:id="935212520">
      <w:bodyDiv w:val="1"/>
      <w:marLeft w:val="0"/>
      <w:marRight w:val="0"/>
      <w:marTop w:val="0"/>
      <w:marBottom w:val="0"/>
      <w:divBdr>
        <w:top w:val="none" w:sz="0" w:space="0" w:color="auto"/>
        <w:left w:val="none" w:sz="0" w:space="0" w:color="auto"/>
        <w:bottom w:val="none" w:sz="0" w:space="0" w:color="auto"/>
        <w:right w:val="none" w:sz="0" w:space="0" w:color="auto"/>
      </w:divBdr>
    </w:div>
    <w:div w:id="1058940835">
      <w:bodyDiv w:val="1"/>
      <w:marLeft w:val="0"/>
      <w:marRight w:val="0"/>
      <w:marTop w:val="0"/>
      <w:marBottom w:val="0"/>
      <w:divBdr>
        <w:top w:val="none" w:sz="0" w:space="0" w:color="auto"/>
        <w:left w:val="none" w:sz="0" w:space="0" w:color="auto"/>
        <w:bottom w:val="none" w:sz="0" w:space="0" w:color="auto"/>
        <w:right w:val="none" w:sz="0" w:space="0" w:color="auto"/>
      </w:divBdr>
    </w:div>
    <w:div w:id="1085952834">
      <w:bodyDiv w:val="1"/>
      <w:marLeft w:val="0"/>
      <w:marRight w:val="0"/>
      <w:marTop w:val="0"/>
      <w:marBottom w:val="0"/>
      <w:divBdr>
        <w:top w:val="none" w:sz="0" w:space="0" w:color="auto"/>
        <w:left w:val="none" w:sz="0" w:space="0" w:color="auto"/>
        <w:bottom w:val="none" w:sz="0" w:space="0" w:color="auto"/>
        <w:right w:val="none" w:sz="0" w:space="0" w:color="auto"/>
      </w:divBdr>
    </w:div>
    <w:div w:id="1122268133">
      <w:bodyDiv w:val="1"/>
      <w:marLeft w:val="0"/>
      <w:marRight w:val="0"/>
      <w:marTop w:val="0"/>
      <w:marBottom w:val="0"/>
      <w:divBdr>
        <w:top w:val="none" w:sz="0" w:space="0" w:color="auto"/>
        <w:left w:val="none" w:sz="0" w:space="0" w:color="auto"/>
        <w:bottom w:val="none" w:sz="0" w:space="0" w:color="auto"/>
        <w:right w:val="none" w:sz="0" w:space="0" w:color="auto"/>
      </w:divBdr>
    </w:div>
    <w:div w:id="1151945947">
      <w:bodyDiv w:val="1"/>
      <w:marLeft w:val="0"/>
      <w:marRight w:val="0"/>
      <w:marTop w:val="0"/>
      <w:marBottom w:val="0"/>
      <w:divBdr>
        <w:top w:val="none" w:sz="0" w:space="0" w:color="auto"/>
        <w:left w:val="none" w:sz="0" w:space="0" w:color="auto"/>
        <w:bottom w:val="none" w:sz="0" w:space="0" w:color="auto"/>
        <w:right w:val="none" w:sz="0" w:space="0" w:color="auto"/>
      </w:divBdr>
    </w:div>
    <w:div w:id="1179083259">
      <w:bodyDiv w:val="1"/>
      <w:marLeft w:val="0"/>
      <w:marRight w:val="0"/>
      <w:marTop w:val="0"/>
      <w:marBottom w:val="0"/>
      <w:divBdr>
        <w:top w:val="none" w:sz="0" w:space="0" w:color="auto"/>
        <w:left w:val="none" w:sz="0" w:space="0" w:color="auto"/>
        <w:bottom w:val="none" w:sz="0" w:space="0" w:color="auto"/>
        <w:right w:val="none" w:sz="0" w:space="0" w:color="auto"/>
      </w:divBdr>
    </w:div>
    <w:div w:id="1228296820">
      <w:bodyDiv w:val="1"/>
      <w:marLeft w:val="0"/>
      <w:marRight w:val="0"/>
      <w:marTop w:val="0"/>
      <w:marBottom w:val="0"/>
      <w:divBdr>
        <w:top w:val="none" w:sz="0" w:space="0" w:color="auto"/>
        <w:left w:val="none" w:sz="0" w:space="0" w:color="auto"/>
        <w:bottom w:val="none" w:sz="0" w:space="0" w:color="auto"/>
        <w:right w:val="none" w:sz="0" w:space="0" w:color="auto"/>
      </w:divBdr>
    </w:div>
    <w:div w:id="1235318044">
      <w:bodyDiv w:val="1"/>
      <w:marLeft w:val="0"/>
      <w:marRight w:val="0"/>
      <w:marTop w:val="0"/>
      <w:marBottom w:val="0"/>
      <w:divBdr>
        <w:top w:val="none" w:sz="0" w:space="0" w:color="auto"/>
        <w:left w:val="none" w:sz="0" w:space="0" w:color="auto"/>
        <w:bottom w:val="none" w:sz="0" w:space="0" w:color="auto"/>
        <w:right w:val="none" w:sz="0" w:space="0" w:color="auto"/>
      </w:divBdr>
    </w:div>
    <w:div w:id="1268808777">
      <w:bodyDiv w:val="1"/>
      <w:marLeft w:val="0"/>
      <w:marRight w:val="0"/>
      <w:marTop w:val="0"/>
      <w:marBottom w:val="0"/>
      <w:divBdr>
        <w:top w:val="none" w:sz="0" w:space="0" w:color="auto"/>
        <w:left w:val="none" w:sz="0" w:space="0" w:color="auto"/>
        <w:bottom w:val="none" w:sz="0" w:space="0" w:color="auto"/>
        <w:right w:val="none" w:sz="0" w:space="0" w:color="auto"/>
      </w:divBdr>
      <w:divsChild>
        <w:div w:id="498036748">
          <w:marLeft w:val="0"/>
          <w:marRight w:val="0"/>
          <w:marTop w:val="0"/>
          <w:marBottom w:val="0"/>
          <w:divBdr>
            <w:top w:val="none" w:sz="0" w:space="0" w:color="auto"/>
            <w:left w:val="none" w:sz="0" w:space="0" w:color="auto"/>
            <w:bottom w:val="none" w:sz="0" w:space="0" w:color="auto"/>
            <w:right w:val="none" w:sz="0" w:space="0" w:color="auto"/>
          </w:divBdr>
        </w:div>
        <w:div w:id="472646814">
          <w:marLeft w:val="0"/>
          <w:marRight w:val="0"/>
          <w:marTop w:val="0"/>
          <w:marBottom w:val="0"/>
          <w:divBdr>
            <w:top w:val="none" w:sz="0" w:space="0" w:color="auto"/>
            <w:left w:val="none" w:sz="0" w:space="0" w:color="auto"/>
            <w:bottom w:val="none" w:sz="0" w:space="0" w:color="auto"/>
            <w:right w:val="none" w:sz="0" w:space="0" w:color="auto"/>
          </w:divBdr>
        </w:div>
        <w:div w:id="649943543">
          <w:marLeft w:val="0"/>
          <w:marRight w:val="0"/>
          <w:marTop w:val="0"/>
          <w:marBottom w:val="0"/>
          <w:divBdr>
            <w:top w:val="none" w:sz="0" w:space="0" w:color="auto"/>
            <w:left w:val="none" w:sz="0" w:space="0" w:color="auto"/>
            <w:bottom w:val="none" w:sz="0" w:space="0" w:color="auto"/>
            <w:right w:val="none" w:sz="0" w:space="0" w:color="auto"/>
          </w:divBdr>
        </w:div>
        <w:div w:id="1915820608">
          <w:marLeft w:val="0"/>
          <w:marRight w:val="0"/>
          <w:marTop w:val="0"/>
          <w:marBottom w:val="0"/>
          <w:divBdr>
            <w:top w:val="none" w:sz="0" w:space="0" w:color="auto"/>
            <w:left w:val="none" w:sz="0" w:space="0" w:color="auto"/>
            <w:bottom w:val="none" w:sz="0" w:space="0" w:color="auto"/>
            <w:right w:val="none" w:sz="0" w:space="0" w:color="auto"/>
          </w:divBdr>
        </w:div>
        <w:div w:id="419564839">
          <w:marLeft w:val="0"/>
          <w:marRight w:val="0"/>
          <w:marTop w:val="0"/>
          <w:marBottom w:val="0"/>
          <w:divBdr>
            <w:top w:val="none" w:sz="0" w:space="0" w:color="auto"/>
            <w:left w:val="none" w:sz="0" w:space="0" w:color="auto"/>
            <w:bottom w:val="none" w:sz="0" w:space="0" w:color="auto"/>
            <w:right w:val="none" w:sz="0" w:space="0" w:color="auto"/>
          </w:divBdr>
        </w:div>
        <w:div w:id="567224847">
          <w:marLeft w:val="0"/>
          <w:marRight w:val="0"/>
          <w:marTop w:val="0"/>
          <w:marBottom w:val="0"/>
          <w:divBdr>
            <w:top w:val="none" w:sz="0" w:space="0" w:color="auto"/>
            <w:left w:val="none" w:sz="0" w:space="0" w:color="auto"/>
            <w:bottom w:val="none" w:sz="0" w:space="0" w:color="auto"/>
            <w:right w:val="none" w:sz="0" w:space="0" w:color="auto"/>
          </w:divBdr>
        </w:div>
        <w:div w:id="197663343">
          <w:marLeft w:val="0"/>
          <w:marRight w:val="0"/>
          <w:marTop w:val="0"/>
          <w:marBottom w:val="0"/>
          <w:divBdr>
            <w:top w:val="none" w:sz="0" w:space="0" w:color="auto"/>
            <w:left w:val="none" w:sz="0" w:space="0" w:color="auto"/>
            <w:bottom w:val="none" w:sz="0" w:space="0" w:color="auto"/>
            <w:right w:val="none" w:sz="0" w:space="0" w:color="auto"/>
          </w:divBdr>
        </w:div>
        <w:div w:id="811019924">
          <w:marLeft w:val="0"/>
          <w:marRight w:val="0"/>
          <w:marTop w:val="0"/>
          <w:marBottom w:val="0"/>
          <w:divBdr>
            <w:top w:val="none" w:sz="0" w:space="0" w:color="auto"/>
            <w:left w:val="none" w:sz="0" w:space="0" w:color="auto"/>
            <w:bottom w:val="none" w:sz="0" w:space="0" w:color="auto"/>
            <w:right w:val="none" w:sz="0" w:space="0" w:color="auto"/>
          </w:divBdr>
        </w:div>
        <w:div w:id="1725904144">
          <w:marLeft w:val="0"/>
          <w:marRight w:val="0"/>
          <w:marTop w:val="0"/>
          <w:marBottom w:val="0"/>
          <w:divBdr>
            <w:top w:val="none" w:sz="0" w:space="0" w:color="auto"/>
            <w:left w:val="none" w:sz="0" w:space="0" w:color="auto"/>
            <w:bottom w:val="none" w:sz="0" w:space="0" w:color="auto"/>
            <w:right w:val="none" w:sz="0" w:space="0" w:color="auto"/>
          </w:divBdr>
        </w:div>
        <w:div w:id="770009301">
          <w:marLeft w:val="0"/>
          <w:marRight w:val="0"/>
          <w:marTop w:val="0"/>
          <w:marBottom w:val="0"/>
          <w:divBdr>
            <w:top w:val="none" w:sz="0" w:space="0" w:color="auto"/>
            <w:left w:val="none" w:sz="0" w:space="0" w:color="auto"/>
            <w:bottom w:val="none" w:sz="0" w:space="0" w:color="auto"/>
            <w:right w:val="none" w:sz="0" w:space="0" w:color="auto"/>
          </w:divBdr>
        </w:div>
        <w:div w:id="1347755022">
          <w:marLeft w:val="0"/>
          <w:marRight w:val="0"/>
          <w:marTop w:val="0"/>
          <w:marBottom w:val="0"/>
          <w:divBdr>
            <w:top w:val="none" w:sz="0" w:space="0" w:color="auto"/>
            <w:left w:val="none" w:sz="0" w:space="0" w:color="auto"/>
            <w:bottom w:val="none" w:sz="0" w:space="0" w:color="auto"/>
            <w:right w:val="none" w:sz="0" w:space="0" w:color="auto"/>
          </w:divBdr>
        </w:div>
        <w:div w:id="1746687575">
          <w:marLeft w:val="0"/>
          <w:marRight w:val="0"/>
          <w:marTop w:val="0"/>
          <w:marBottom w:val="0"/>
          <w:divBdr>
            <w:top w:val="none" w:sz="0" w:space="0" w:color="auto"/>
            <w:left w:val="none" w:sz="0" w:space="0" w:color="auto"/>
            <w:bottom w:val="none" w:sz="0" w:space="0" w:color="auto"/>
            <w:right w:val="none" w:sz="0" w:space="0" w:color="auto"/>
          </w:divBdr>
        </w:div>
        <w:div w:id="1768882851">
          <w:marLeft w:val="0"/>
          <w:marRight w:val="0"/>
          <w:marTop w:val="0"/>
          <w:marBottom w:val="0"/>
          <w:divBdr>
            <w:top w:val="none" w:sz="0" w:space="0" w:color="auto"/>
            <w:left w:val="none" w:sz="0" w:space="0" w:color="auto"/>
            <w:bottom w:val="none" w:sz="0" w:space="0" w:color="auto"/>
            <w:right w:val="none" w:sz="0" w:space="0" w:color="auto"/>
          </w:divBdr>
        </w:div>
        <w:div w:id="828253355">
          <w:marLeft w:val="0"/>
          <w:marRight w:val="0"/>
          <w:marTop w:val="0"/>
          <w:marBottom w:val="0"/>
          <w:divBdr>
            <w:top w:val="none" w:sz="0" w:space="0" w:color="auto"/>
            <w:left w:val="none" w:sz="0" w:space="0" w:color="auto"/>
            <w:bottom w:val="none" w:sz="0" w:space="0" w:color="auto"/>
            <w:right w:val="none" w:sz="0" w:space="0" w:color="auto"/>
          </w:divBdr>
        </w:div>
        <w:div w:id="869994150">
          <w:marLeft w:val="0"/>
          <w:marRight w:val="0"/>
          <w:marTop w:val="0"/>
          <w:marBottom w:val="0"/>
          <w:divBdr>
            <w:top w:val="none" w:sz="0" w:space="0" w:color="auto"/>
            <w:left w:val="none" w:sz="0" w:space="0" w:color="auto"/>
            <w:bottom w:val="none" w:sz="0" w:space="0" w:color="auto"/>
            <w:right w:val="none" w:sz="0" w:space="0" w:color="auto"/>
          </w:divBdr>
        </w:div>
        <w:div w:id="2056735044">
          <w:marLeft w:val="0"/>
          <w:marRight w:val="0"/>
          <w:marTop w:val="0"/>
          <w:marBottom w:val="0"/>
          <w:divBdr>
            <w:top w:val="none" w:sz="0" w:space="0" w:color="auto"/>
            <w:left w:val="none" w:sz="0" w:space="0" w:color="auto"/>
            <w:bottom w:val="none" w:sz="0" w:space="0" w:color="auto"/>
            <w:right w:val="none" w:sz="0" w:space="0" w:color="auto"/>
          </w:divBdr>
        </w:div>
        <w:div w:id="1301963440">
          <w:marLeft w:val="0"/>
          <w:marRight w:val="0"/>
          <w:marTop w:val="0"/>
          <w:marBottom w:val="0"/>
          <w:divBdr>
            <w:top w:val="none" w:sz="0" w:space="0" w:color="auto"/>
            <w:left w:val="none" w:sz="0" w:space="0" w:color="auto"/>
            <w:bottom w:val="none" w:sz="0" w:space="0" w:color="auto"/>
            <w:right w:val="none" w:sz="0" w:space="0" w:color="auto"/>
          </w:divBdr>
        </w:div>
        <w:div w:id="577640812">
          <w:marLeft w:val="0"/>
          <w:marRight w:val="0"/>
          <w:marTop w:val="0"/>
          <w:marBottom w:val="0"/>
          <w:divBdr>
            <w:top w:val="none" w:sz="0" w:space="0" w:color="auto"/>
            <w:left w:val="none" w:sz="0" w:space="0" w:color="auto"/>
            <w:bottom w:val="none" w:sz="0" w:space="0" w:color="auto"/>
            <w:right w:val="none" w:sz="0" w:space="0" w:color="auto"/>
          </w:divBdr>
        </w:div>
        <w:div w:id="1530949930">
          <w:marLeft w:val="0"/>
          <w:marRight w:val="0"/>
          <w:marTop w:val="0"/>
          <w:marBottom w:val="0"/>
          <w:divBdr>
            <w:top w:val="none" w:sz="0" w:space="0" w:color="auto"/>
            <w:left w:val="none" w:sz="0" w:space="0" w:color="auto"/>
            <w:bottom w:val="none" w:sz="0" w:space="0" w:color="auto"/>
            <w:right w:val="none" w:sz="0" w:space="0" w:color="auto"/>
          </w:divBdr>
        </w:div>
        <w:div w:id="52587808">
          <w:marLeft w:val="0"/>
          <w:marRight w:val="0"/>
          <w:marTop w:val="0"/>
          <w:marBottom w:val="0"/>
          <w:divBdr>
            <w:top w:val="none" w:sz="0" w:space="0" w:color="auto"/>
            <w:left w:val="none" w:sz="0" w:space="0" w:color="auto"/>
            <w:bottom w:val="none" w:sz="0" w:space="0" w:color="auto"/>
            <w:right w:val="none" w:sz="0" w:space="0" w:color="auto"/>
          </w:divBdr>
        </w:div>
        <w:div w:id="505444264">
          <w:marLeft w:val="0"/>
          <w:marRight w:val="0"/>
          <w:marTop w:val="0"/>
          <w:marBottom w:val="0"/>
          <w:divBdr>
            <w:top w:val="none" w:sz="0" w:space="0" w:color="auto"/>
            <w:left w:val="none" w:sz="0" w:space="0" w:color="auto"/>
            <w:bottom w:val="none" w:sz="0" w:space="0" w:color="auto"/>
            <w:right w:val="none" w:sz="0" w:space="0" w:color="auto"/>
          </w:divBdr>
        </w:div>
        <w:div w:id="380373484">
          <w:marLeft w:val="0"/>
          <w:marRight w:val="0"/>
          <w:marTop w:val="0"/>
          <w:marBottom w:val="0"/>
          <w:divBdr>
            <w:top w:val="none" w:sz="0" w:space="0" w:color="auto"/>
            <w:left w:val="none" w:sz="0" w:space="0" w:color="auto"/>
            <w:bottom w:val="none" w:sz="0" w:space="0" w:color="auto"/>
            <w:right w:val="none" w:sz="0" w:space="0" w:color="auto"/>
          </w:divBdr>
        </w:div>
        <w:div w:id="1013994034">
          <w:marLeft w:val="0"/>
          <w:marRight w:val="0"/>
          <w:marTop w:val="0"/>
          <w:marBottom w:val="0"/>
          <w:divBdr>
            <w:top w:val="none" w:sz="0" w:space="0" w:color="auto"/>
            <w:left w:val="none" w:sz="0" w:space="0" w:color="auto"/>
            <w:bottom w:val="none" w:sz="0" w:space="0" w:color="auto"/>
            <w:right w:val="none" w:sz="0" w:space="0" w:color="auto"/>
          </w:divBdr>
        </w:div>
        <w:div w:id="1764911101">
          <w:marLeft w:val="0"/>
          <w:marRight w:val="0"/>
          <w:marTop w:val="0"/>
          <w:marBottom w:val="0"/>
          <w:divBdr>
            <w:top w:val="none" w:sz="0" w:space="0" w:color="auto"/>
            <w:left w:val="none" w:sz="0" w:space="0" w:color="auto"/>
            <w:bottom w:val="none" w:sz="0" w:space="0" w:color="auto"/>
            <w:right w:val="none" w:sz="0" w:space="0" w:color="auto"/>
          </w:divBdr>
        </w:div>
        <w:div w:id="123232322">
          <w:marLeft w:val="0"/>
          <w:marRight w:val="0"/>
          <w:marTop w:val="0"/>
          <w:marBottom w:val="0"/>
          <w:divBdr>
            <w:top w:val="none" w:sz="0" w:space="0" w:color="auto"/>
            <w:left w:val="none" w:sz="0" w:space="0" w:color="auto"/>
            <w:bottom w:val="none" w:sz="0" w:space="0" w:color="auto"/>
            <w:right w:val="none" w:sz="0" w:space="0" w:color="auto"/>
          </w:divBdr>
        </w:div>
        <w:div w:id="1896234242">
          <w:marLeft w:val="0"/>
          <w:marRight w:val="0"/>
          <w:marTop w:val="0"/>
          <w:marBottom w:val="0"/>
          <w:divBdr>
            <w:top w:val="none" w:sz="0" w:space="0" w:color="auto"/>
            <w:left w:val="none" w:sz="0" w:space="0" w:color="auto"/>
            <w:bottom w:val="none" w:sz="0" w:space="0" w:color="auto"/>
            <w:right w:val="none" w:sz="0" w:space="0" w:color="auto"/>
          </w:divBdr>
        </w:div>
        <w:div w:id="103155268">
          <w:marLeft w:val="0"/>
          <w:marRight w:val="0"/>
          <w:marTop w:val="0"/>
          <w:marBottom w:val="0"/>
          <w:divBdr>
            <w:top w:val="none" w:sz="0" w:space="0" w:color="auto"/>
            <w:left w:val="none" w:sz="0" w:space="0" w:color="auto"/>
            <w:bottom w:val="none" w:sz="0" w:space="0" w:color="auto"/>
            <w:right w:val="none" w:sz="0" w:space="0" w:color="auto"/>
          </w:divBdr>
        </w:div>
        <w:div w:id="2063744773">
          <w:marLeft w:val="0"/>
          <w:marRight w:val="0"/>
          <w:marTop w:val="0"/>
          <w:marBottom w:val="0"/>
          <w:divBdr>
            <w:top w:val="none" w:sz="0" w:space="0" w:color="auto"/>
            <w:left w:val="none" w:sz="0" w:space="0" w:color="auto"/>
            <w:bottom w:val="none" w:sz="0" w:space="0" w:color="auto"/>
            <w:right w:val="none" w:sz="0" w:space="0" w:color="auto"/>
          </w:divBdr>
        </w:div>
        <w:div w:id="1042947342">
          <w:marLeft w:val="0"/>
          <w:marRight w:val="0"/>
          <w:marTop w:val="0"/>
          <w:marBottom w:val="0"/>
          <w:divBdr>
            <w:top w:val="none" w:sz="0" w:space="0" w:color="auto"/>
            <w:left w:val="none" w:sz="0" w:space="0" w:color="auto"/>
            <w:bottom w:val="none" w:sz="0" w:space="0" w:color="auto"/>
            <w:right w:val="none" w:sz="0" w:space="0" w:color="auto"/>
          </w:divBdr>
        </w:div>
        <w:div w:id="539246749">
          <w:marLeft w:val="0"/>
          <w:marRight w:val="0"/>
          <w:marTop w:val="0"/>
          <w:marBottom w:val="0"/>
          <w:divBdr>
            <w:top w:val="none" w:sz="0" w:space="0" w:color="auto"/>
            <w:left w:val="none" w:sz="0" w:space="0" w:color="auto"/>
            <w:bottom w:val="none" w:sz="0" w:space="0" w:color="auto"/>
            <w:right w:val="none" w:sz="0" w:space="0" w:color="auto"/>
          </w:divBdr>
        </w:div>
        <w:div w:id="1622766693">
          <w:marLeft w:val="0"/>
          <w:marRight w:val="0"/>
          <w:marTop w:val="0"/>
          <w:marBottom w:val="0"/>
          <w:divBdr>
            <w:top w:val="none" w:sz="0" w:space="0" w:color="auto"/>
            <w:left w:val="none" w:sz="0" w:space="0" w:color="auto"/>
            <w:bottom w:val="none" w:sz="0" w:space="0" w:color="auto"/>
            <w:right w:val="none" w:sz="0" w:space="0" w:color="auto"/>
          </w:divBdr>
        </w:div>
        <w:div w:id="2025669261">
          <w:marLeft w:val="0"/>
          <w:marRight w:val="0"/>
          <w:marTop w:val="0"/>
          <w:marBottom w:val="0"/>
          <w:divBdr>
            <w:top w:val="none" w:sz="0" w:space="0" w:color="auto"/>
            <w:left w:val="none" w:sz="0" w:space="0" w:color="auto"/>
            <w:bottom w:val="none" w:sz="0" w:space="0" w:color="auto"/>
            <w:right w:val="none" w:sz="0" w:space="0" w:color="auto"/>
          </w:divBdr>
        </w:div>
        <w:div w:id="1033767578">
          <w:marLeft w:val="0"/>
          <w:marRight w:val="0"/>
          <w:marTop w:val="0"/>
          <w:marBottom w:val="0"/>
          <w:divBdr>
            <w:top w:val="none" w:sz="0" w:space="0" w:color="auto"/>
            <w:left w:val="none" w:sz="0" w:space="0" w:color="auto"/>
            <w:bottom w:val="none" w:sz="0" w:space="0" w:color="auto"/>
            <w:right w:val="none" w:sz="0" w:space="0" w:color="auto"/>
          </w:divBdr>
        </w:div>
      </w:divsChild>
    </w:div>
    <w:div w:id="1337920986">
      <w:bodyDiv w:val="1"/>
      <w:marLeft w:val="0"/>
      <w:marRight w:val="0"/>
      <w:marTop w:val="0"/>
      <w:marBottom w:val="0"/>
      <w:divBdr>
        <w:top w:val="none" w:sz="0" w:space="0" w:color="auto"/>
        <w:left w:val="none" w:sz="0" w:space="0" w:color="auto"/>
        <w:bottom w:val="none" w:sz="0" w:space="0" w:color="auto"/>
        <w:right w:val="none" w:sz="0" w:space="0" w:color="auto"/>
      </w:divBdr>
    </w:div>
    <w:div w:id="1401755027">
      <w:bodyDiv w:val="1"/>
      <w:marLeft w:val="0"/>
      <w:marRight w:val="0"/>
      <w:marTop w:val="0"/>
      <w:marBottom w:val="0"/>
      <w:divBdr>
        <w:top w:val="none" w:sz="0" w:space="0" w:color="auto"/>
        <w:left w:val="none" w:sz="0" w:space="0" w:color="auto"/>
        <w:bottom w:val="none" w:sz="0" w:space="0" w:color="auto"/>
        <w:right w:val="none" w:sz="0" w:space="0" w:color="auto"/>
      </w:divBdr>
    </w:div>
    <w:div w:id="1446998627">
      <w:bodyDiv w:val="1"/>
      <w:marLeft w:val="0"/>
      <w:marRight w:val="0"/>
      <w:marTop w:val="0"/>
      <w:marBottom w:val="0"/>
      <w:divBdr>
        <w:top w:val="none" w:sz="0" w:space="0" w:color="auto"/>
        <w:left w:val="none" w:sz="0" w:space="0" w:color="auto"/>
        <w:bottom w:val="none" w:sz="0" w:space="0" w:color="auto"/>
        <w:right w:val="none" w:sz="0" w:space="0" w:color="auto"/>
      </w:divBdr>
    </w:div>
    <w:div w:id="1479766081">
      <w:bodyDiv w:val="1"/>
      <w:marLeft w:val="0"/>
      <w:marRight w:val="0"/>
      <w:marTop w:val="0"/>
      <w:marBottom w:val="0"/>
      <w:divBdr>
        <w:top w:val="none" w:sz="0" w:space="0" w:color="auto"/>
        <w:left w:val="none" w:sz="0" w:space="0" w:color="auto"/>
        <w:bottom w:val="none" w:sz="0" w:space="0" w:color="auto"/>
        <w:right w:val="none" w:sz="0" w:space="0" w:color="auto"/>
      </w:divBdr>
    </w:div>
    <w:div w:id="1691299870">
      <w:bodyDiv w:val="1"/>
      <w:marLeft w:val="0"/>
      <w:marRight w:val="0"/>
      <w:marTop w:val="0"/>
      <w:marBottom w:val="0"/>
      <w:divBdr>
        <w:top w:val="none" w:sz="0" w:space="0" w:color="auto"/>
        <w:left w:val="none" w:sz="0" w:space="0" w:color="auto"/>
        <w:bottom w:val="none" w:sz="0" w:space="0" w:color="auto"/>
        <w:right w:val="none" w:sz="0" w:space="0" w:color="auto"/>
      </w:divBdr>
    </w:div>
    <w:div w:id="1888371013">
      <w:bodyDiv w:val="1"/>
      <w:marLeft w:val="0"/>
      <w:marRight w:val="0"/>
      <w:marTop w:val="0"/>
      <w:marBottom w:val="0"/>
      <w:divBdr>
        <w:top w:val="none" w:sz="0" w:space="0" w:color="auto"/>
        <w:left w:val="none" w:sz="0" w:space="0" w:color="auto"/>
        <w:bottom w:val="none" w:sz="0" w:space="0" w:color="auto"/>
        <w:right w:val="none" w:sz="0" w:space="0" w:color="auto"/>
      </w:divBdr>
      <w:divsChild>
        <w:div w:id="533735365">
          <w:marLeft w:val="0"/>
          <w:marRight w:val="0"/>
          <w:marTop w:val="0"/>
          <w:marBottom w:val="0"/>
          <w:divBdr>
            <w:top w:val="none" w:sz="0" w:space="0" w:color="auto"/>
            <w:left w:val="none" w:sz="0" w:space="0" w:color="auto"/>
            <w:bottom w:val="none" w:sz="0" w:space="0" w:color="auto"/>
            <w:right w:val="none" w:sz="0" w:space="0" w:color="auto"/>
          </w:divBdr>
        </w:div>
        <w:div w:id="1412697381">
          <w:marLeft w:val="0"/>
          <w:marRight w:val="0"/>
          <w:marTop w:val="0"/>
          <w:marBottom w:val="0"/>
          <w:divBdr>
            <w:top w:val="none" w:sz="0" w:space="0" w:color="auto"/>
            <w:left w:val="none" w:sz="0" w:space="0" w:color="auto"/>
            <w:bottom w:val="none" w:sz="0" w:space="0" w:color="auto"/>
            <w:right w:val="none" w:sz="0" w:space="0" w:color="auto"/>
          </w:divBdr>
        </w:div>
        <w:div w:id="1467744739">
          <w:marLeft w:val="0"/>
          <w:marRight w:val="0"/>
          <w:marTop w:val="0"/>
          <w:marBottom w:val="0"/>
          <w:divBdr>
            <w:top w:val="none" w:sz="0" w:space="0" w:color="auto"/>
            <w:left w:val="none" w:sz="0" w:space="0" w:color="auto"/>
            <w:bottom w:val="none" w:sz="0" w:space="0" w:color="auto"/>
            <w:right w:val="none" w:sz="0" w:space="0" w:color="auto"/>
          </w:divBdr>
        </w:div>
      </w:divsChild>
    </w:div>
    <w:div w:id="1915504775">
      <w:bodyDiv w:val="1"/>
      <w:marLeft w:val="0"/>
      <w:marRight w:val="0"/>
      <w:marTop w:val="0"/>
      <w:marBottom w:val="0"/>
      <w:divBdr>
        <w:top w:val="none" w:sz="0" w:space="0" w:color="auto"/>
        <w:left w:val="none" w:sz="0" w:space="0" w:color="auto"/>
        <w:bottom w:val="none" w:sz="0" w:space="0" w:color="auto"/>
        <w:right w:val="none" w:sz="0" w:space="0" w:color="auto"/>
      </w:divBdr>
    </w:div>
    <w:div w:id="1923224477">
      <w:bodyDiv w:val="1"/>
      <w:marLeft w:val="0"/>
      <w:marRight w:val="0"/>
      <w:marTop w:val="0"/>
      <w:marBottom w:val="0"/>
      <w:divBdr>
        <w:top w:val="none" w:sz="0" w:space="0" w:color="auto"/>
        <w:left w:val="none" w:sz="0" w:space="0" w:color="auto"/>
        <w:bottom w:val="none" w:sz="0" w:space="0" w:color="auto"/>
        <w:right w:val="none" w:sz="0" w:space="0" w:color="auto"/>
      </w:divBdr>
    </w:div>
    <w:div w:id="2022781086">
      <w:bodyDiv w:val="1"/>
      <w:marLeft w:val="0"/>
      <w:marRight w:val="0"/>
      <w:marTop w:val="0"/>
      <w:marBottom w:val="0"/>
      <w:divBdr>
        <w:top w:val="none" w:sz="0" w:space="0" w:color="auto"/>
        <w:left w:val="none" w:sz="0" w:space="0" w:color="auto"/>
        <w:bottom w:val="none" w:sz="0" w:space="0" w:color="auto"/>
        <w:right w:val="none" w:sz="0" w:space="0" w:color="auto"/>
      </w:divBdr>
    </w:div>
    <w:div w:id="2022929654">
      <w:bodyDiv w:val="1"/>
      <w:marLeft w:val="0"/>
      <w:marRight w:val="0"/>
      <w:marTop w:val="0"/>
      <w:marBottom w:val="0"/>
      <w:divBdr>
        <w:top w:val="none" w:sz="0" w:space="0" w:color="auto"/>
        <w:left w:val="none" w:sz="0" w:space="0" w:color="auto"/>
        <w:bottom w:val="none" w:sz="0" w:space="0" w:color="auto"/>
        <w:right w:val="none" w:sz="0" w:space="0" w:color="auto"/>
      </w:divBdr>
    </w:div>
    <w:div w:id="2029401334">
      <w:bodyDiv w:val="1"/>
      <w:marLeft w:val="0"/>
      <w:marRight w:val="0"/>
      <w:marTop w:val="0"/>
      <w:marBottom w:val="0"/>
      <w:divBdr>
        <w:top w:val="none" w:sz="0" w:space="0" w:color="auto"/>
        <w:left w:val="none" w:sz="0" w:space="0" w:color="auto"/>
        <w:bottom w:val="none" w:sz="0" w:space="0" w:color="auto"/>
        <w:right w:val="none" w:sz="0" w:space="0" w:color="auto"/>
      </w:divBdr>
    </w:div>
    <w:div w:id="213116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3389/fmed.2026.1786515" TargetMode="External"/><Relationship Id="rId18" Type="http://schemas.openxmlformats.org/officeDocument/2006/relationships/hyperlink" Target="https://doi.org/10.11607/ijp.7490"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97/MD.0000000000041416" TargetMode="External"/><Relationship Id="rId7" Type="http://schemas.openxmlformats.org/officeDocument/2006/relationships/endnotes" Target="endnotes.xml"/><Relationship Id="rId12" Type="http://schemas.openxmlformats.org/officeDocument/2006/relationships/hyperlink" Target="https://doi.org/10.3390/prosthesis6040063" TargetMode="External"/><Relationship Id="rId17" Type="http://schemas.openxmlformats.org/officeDocument/2006/relationships/hyperlink" Target="https://doi.org/10.3390/jcm1306166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3389/fphys.2025.1682440" TargetMode="External"/><Relationship Id="rId20" Type="http://schemas.openxmlformats.org/officeDocument/2006/relationships/hyperlink" Target="https://doi.org/10.3390/jcm111958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7759/cureus.69550"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86/s12903-023-02947-8"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1607/jomi.2014suppl.g2.1" TargetMode="External"/><Relationship Id="rId19" Type="http://schemas.openxmlformats.org/officeDocument/2006/relationships/hyperlink" Target="https://doi.org/10.1111/clr.1274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86/s12903-023-02947-8" TargetMode="External"/><Relationship Id="rId22" Type="http://schemas.openxmlformats.org/officeDocument/2006/relationships/hyperlink" Target="https://doi.org/10.1097/ID.000000000000021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1B4D860-4EB8-4534-9895-06AC021B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4603</TotalTime>
  <Pages>18</Pages>
  <Words>4932</Words>
  <Characters>28114</Characters>
  <Application>Microsoft Office Word</Application>
  <DocSecurity>0</DocSecurity>
  <Lines>234</Lines>
  <Paragraphs>65</Paragraphs>
  <ScaleCrop>false</ScaleCrop>
  <HeadingPairs>
    <vt:vector size="6" baseType="variant">
      <vt:variant>
        <vt:lpstr>Title</vt:lpstr>
      </vt:variant>
      <vt:variant>
        <vt:i4>1</vt:i4>
      </vt:variant>
      <vt:variant>
        <vt:lpstr>العنوان</vt:lpstr>
      </vt:variant>
      <vt:variant>
        <vt:i4>1</vt:i4>
      </vt:variant>
      <vt:variant>
        <vt:lpstr>عناوين</vt:lpstr>
      </vt:variant>
      <vt:variant>
        <vt:i4>1</vt:i4>
      </vt:variant>
    </vt:vector>
  </HeadingPairs>
  <TitlesOfParts>
    <vt:vector size="3" baseType="lpstr">
      <vt:lpstr/>
      <vt:lpstr/>
      <vt:lpstr>        1. Patients and Control</vt:lpstr>
    </vt:vector>
  </TitlesOfParts>
  <Company/>
  <LinksUpToDate>false</LinksUpToDate>
  <CharactersWithSpaces>32981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Hashem Al Ali</dc:creator>
  <cp:lastModifiedBy>SDI 1084</cp:lastModifiedBy>
  <cp:revision>388</cp:revision>
  <dcterms:created xsi:type="dcterms:W3CDTF">2022-05-15T09:59:00Z</dcterms:created>
  <dcterms:modified xsi:type="dcterms:W3CDTF">2026-04-11T11:54:00Z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8eebcf28-0cf7-3c8c-b4ac-7f8157c07b65</vt:lpwstr>
  </property>
  <property fmtid="{D5CDD505-2E9C-101B-9397-08002B2CF9AE}" pid="24" name="Mendeley Citation Style_1">
    <vt:lpwstr>http://www.zotero.org/styles/apa</vt:lpwstr>
  </property>
</Properties>
</file>