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C536E" w14:textId="77777777" w:rsidR="00AE65C9" w:rsidRPr="00C37EAC" w:rsidRDefault="00AE65C9" w:rsidP="00C37EAC">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14:paraId="4CC9887D" w14:textId="1A5E84B1" w:rsidR="00B31491" w:rsidRDefault="00B23E2B" w:rsidP="00C37EAC">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C37EAC">
        <w:rPr>
          <w:rFonts w:ascii="Times New Roman" w:eastAsia="Times New Roman" w:hAnsi="Times New Roman" w:cs="Times New Roman"/>
          <w:b/>
          <w:bCs/>
          <w:kern w:val="36"/>
          <w:sz w:val="24"/>
          <w:szCs w:val="24"/>
        </w:rPr>
        <w:t xml:space="preserve">Comparative </w:t>
      </w:r>
      <w:r w:rsidR="00B31491" w:rsidRPr="00C37EAC">
        <w:rPr>
          <w:rFonts w:ascii="Times New Roman" w:eastAsia="Times New Roman" w:hAnsi="Times New Roman" w:cs="Times New Roman"/>
          <w:b/>
          <w:bCs/>
          <w:kern w:val="36"/>
          <w:sz w:val="24"/>
          <w:szCs w:val="24"/>
        </w:rPr>
        <w:t xml:space="preserve">Mineralogical Analysis of Clay Deposits in </w:t>
      </w:r>
      <w:proofErr w:type="spellStart"/>
      <w:r w:rsidR="00B31491" w:rsidRPr="00C37EAC">
        <w:rPr>
          <w:rFonts w:ascii="Times New Roman" w:eastAsia="Times New Roman" w:hAnsi="Times New Roman" w:cs="Times New Roman"/>
          <w:b/>
          <w:bCs/>
          <w:kern w:val="36"/>
          <w:sz w:val="24"/>
          <w:szCs w:val="24"/>
        </w:rPr>
        <w:t>Enug</w:t>
      </w:r>
      <w:r w:rsidR="00AB6496" w:rsidRPr="00C37EAC">
        <w:rPr>
          <w:rFonts w:ascii="Times New Roman" w:eastAsia="Times New Roman" w:hAnsi="Times New Roman" w:cs="Times New Roman"/>
          <w:b/>
          <w:bCs/>
          <w:kern w:val="36"/>
          <w:sz w:val="24"/>
          <w:szCs w:val="24"/>
        </w:rPr>
        <w:t>w</w:t>
      </w:r>
      <w:r w:rsidR="00B31491" w:rsidRPr="00C37EAC">
        <w:rPr>
          <w:rFonts w:ascii="Times New Roman" w:eastAsia="Times New Roman" w:hAnsi="Times New Roman" w:cs="Times New Roman"/>
          <w:b/>
          <w:bCs/>
          <w:kern w:val="36"/>
          <w:sz w:val="24"/>
          <w:szCs w:val="24"/>
        </w:rPr>
        <w:t>u-Agidi</w:t>
      </w:r>
      <w:proofErr w:type="spellEnd"/>
      <w:r w:rsidR="00B31491" w:rsidRPr="00C37EAC">
        <w:rPr>
          <w:rFonts w:ascii="Times New Roman" w:eastAsia="Times New Roman" w:hAnsi="Times New Roman" w:cs="Times New Roman"/>
          <w:b/>
          <w:bCs/>
          <w:kern w:val="36"/>
          <w:sz w:val="24"/>
          <w:szCs w:val="24"/>
        </w:rPr>
        <w:t xml:space="preserve"> and </w:t>
      </w:r>
      <w:proofErr w:type="spellStart"/>
      <w:r w:rsidR="00B31491" w:rsidRPr="00C37EAC">
        <w:rPr>
          <w:rFonts w:ascii="Times New Roman" w:eastAsia="Times New Roman" w:hAnsi="Times New Roman" w:cs="Times New Roman"/>
          <w:b/>
          <w:bCs/>
          <w:kern w:val="36"/>
          <w:sz w:val="24"/>
          <w:szCs w:val="24"/>
        </w:rPr>
        <w:t>Mbaukwu</w:t>
      </w:r>
      <w:proofErr w:type="spellEnd"/>
      <w:r w:rsidR="00B31491" w:rsidRPr="00C37EAC">
        <w:rPr>
          <w:rFonts w:ascii="Times New Roman" w:eastAsia="Times New Roman" w:hAnsi="Times New Roman" w:cs="Times New Roman"/>
          <w:b/>
          <w:bCs/>
          <w:kern w:val="36"/>
          <w:sz w:val="24"/>
          <w:szCs w:val="24"/>
        </w:rPr>
        <w:t xml:space="preserve"> Areas of Anambra State, Nigeria</w:t>
      </w:r>
    </w:p>
    <w:p w14:paraId="049D180E" w14:textId="77777777" w:rsidR="00535353" w:rsidRPr="00535353" w:rsidRDefault="00535353" w:rsidP="00535353">
      <w:pPr>
        <w:jc w:val="both"/>
        <w:rPr>
          <w:rFonts w:ascii="Gill Sans MT" w:hAnsi="Gill Sans MT"/>
          <w:sz w:val="24"/>
          <w:szCs w:val="28"/>
        </w:rPr>
      </w:pPr>
      <w:bookmarkStart w:id="0" w:name="_GoBack"/>
      <w:bookmarkEnd w:id="0"/>
    </w:p>
    <w:p w14:paraId="6A86020B" w14:textId="77777777" w:rsidR="00B31491" w:rsidRPr="00C37EAC" w:rsidRDefault="00B31491" w:rsidP="00C37EA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37EAC">
        <w:rPr>
          <w:rFonts w:ascii="Times New Roman" w:eastAsia="Times New Roman" w:hAnsi="Times New Roman" w:cs="Times New Roman"/>
          <w:b/>
          <w:bCs/>
          <w:sz w:val="24"/>
          <w:szCs w:val="24"/>
        </w:rPr>
        <w:t>Abstract</w:t>
      </w:r>
    </w:p>
    <w:p w14:paraId="320949A5" w14:textId="44B95D52" w:rsidR="00B31491" w:rsidRPr="00C37EAC" w:rsidRDefault="00955F5D" w:rsidP="00C37EAC">
      <w:pPr>
        <w:jc w:val="both"/>
        <w:rPr>
          <w:rFonts w:ascii="Times New Roman" w:hAnsi="Times New Roman" w:cs="Times New Roman"/>
          <w:sz w:val="24"/>
          <w:szCs w:val="24"/>
        </w:rPr>
      </w:pPr>
      <w:r w:rsidRPr="00C37EAC">
        <w:rPr>
          <w:rFonts w:ascii="Times New Roman" w:eastAsia="Times New Roman" w:hAnsi="Times New Roman" w:cs="Times New Roman"/>
          <w:color w:val="0A0A0A"/>
          <w:sz w:val="24"/>
          <w:szCs w:val="24"/>
        </w:rPr>
        <w:t xml:space="preserve">The industrial potential of Nigerian clay deposits remains a critical frontier for economic diversification. </w:t>
      </w:r>
      <w:r w:rsidRPr="00C37EAC">
        <w:rPr>
          <w:rFonts w:ascii="Times New Roman" w:hAnsi="Times New Roman" w:cs="Times New Roman"/>
          <w:sz w:val="24"/>
          <w:szCs w:val="24"/>
        </w:rPr>
        <w:t xml:space="preserve">This study presents a </w:t>
      </w:r>
      <w:r w:rsidR="000E7F60">
        <w:rPr>
          <w:rFonts w:ascii="Times New Roman" w:hAnsi="Times New Roman" w:cs="Times New Roman"/>
          <w:sz w:val="24"/>
          <w:szCs w:val="24"/>
        </w:rPr>
        <w:t xml:space="preserve">preliminary </w:t>
      </w:r>
      <w:r w:rsidRPr="00C37EAC">
        <w:rPr>
          <w:rFonts w:ascii="Times New Roman" w:hAnsi="Times New Roman" w:cs="Times New Roman"/>
          <w:sz w:val="24"/>
          <w:szCs w:val="24"/>
        </w:rPr>
        <w:t xml:space="preserve">mineralogical and geochemical characterization of clay deposits from </w:t>
      </w:r>
      <w:proofErr w:type="spellStart"/>
      <w:r w:rsidRPr="00C37EAC">
        <w:rPr>
          <w:rFonts w:ascii="Times New Roman" w:hAnsi="Times New Roman" w:cs="Times New Roman"/>
          <w:sz w:val="24"/>
          <w:szCs w:val="24"/>
        </w:rPr>
        <w:t>Enugwu-agidi</w:t>
      </w:r>
      <w:proofErr w:type="spellEnd"/>
      <w:r w:rsidRPr="00C37EAC">
        <w:rPr>
          <w:rFonts w:ascii="Times New Roman" w:hAnsi="Times New Roman" w:cs="Times New Roman"/>
          <w:sz w:val="24"/>
          <w:szCs w:val="24"/>
        </w:rPr>
        <w:t xml:space="preserve"> and </w:t>
      </w:r>
      <w:proofErr w:type="spellStart"/>
      <w:proofErr w:type="gramStart"/>
      <w:r w:rsidRPr="00C37EAC">
        <w:rPr>
          <w:rFonts w:ascii="Times New Roman" w:hAnsi="Times New Roman" w:cs="Times New Roman"/>
          <w:sz w:val="24"/>
          <w:szCs w:val="24"/>
        </w:rPr>
        <w:t>Mbaukwu</w:t>
      </w:r>
      <w:proofErr w:type="spellEnd"/>
      <w:r w:rsidRPr="00C37EAC">
        <w:rPr>
          <w:rFonts w:ascii="Times New Roman" w:hAnsi="Times New Roman" w:cs="Times New Roman"/>
          <w:sz w:val="24"/>
          <w:szCs w:val="24"/>
        </w:rPr>
        <w:t xml:space="preserve"> </w:t>
      </w:r>
      <w:r w:rsidR="00AE65C9" w:rsidRPr="00C37EAC">
        <w:rPr>
          <w:rFonts w:ascii="Times New Roman" w:eastAsia="Times New Roman" w:hAnsi="Times New Roman" w:cs="Times New Roman"/>
          <w:color w:val="0A0A0A"/>
          <w:sz w:val="24"/>
          <w:szCs w:val="24"/>
        </w:rPr>
        <w:t> in</w:t>
      </w:r>
      <w:proofErr w:type="gramEnd"/>
      <w:r w:rsidR="00AE65C9" w:rsidRPr="00C37EAC">
        <w:rPr>
          <w:rFonts w:ascii="Times New Roman" w:eastAsia="Times New Roman" w:hAnsi="Times New Roman" w:cs="Times New Roman"/>
          <w:color w:val="0A0A0A"/>
          <w:sz w:val="24"/>
          <w:szCs w:val="24"/>
        </w:rPr>
        <w:t xml:space="preserve"> Anambra State,</w:t>
      </w:r>
      <w:r w:rsidR="00AE65C9" w:rsidRPr="00C37EAC">
        <w:rPr>
          <w:rFonts w:ascii="Times New Roman" w:eastAsia="Times New Roman" w:hAnsi="Times New Roman" w:cs="Times New Roman"/>
          <w:sz w:val="24"/>
          <w:szCs w:val="24"/>
        </w:rPr>
        <w:t xml:space="preserve"> Nigeria</w:t>
      </w:r>
      <w:r w:rsidR="00AE65C9" w:rsidRPr="00C37EAC">
        <w:rPr>
          <w:rFonts w:ascii="Times New Roman" w:eastAsia="Times New Roman" w:hAnsi="Times New Roman" w:cs="Times New Roman"/>
          <w:color w:val="0A0A0A"/>
          <w:sz w:val="24"/>
          <w:szCs w:val="24"/>
        </w:rPr>
        <w:t>.</w:t>
      </w:r>
      <w:r w:rsidR="00AE65C9" w:rsidRPr="00C37EAC">
        <w:rPr>
          <w:rFonts w:ascii="Times New Roman" w:eastAsia="Times New Roman" w:hAnsi="Times New Roman" w:cs="Times New Roman"/>
          <w:sz w:val="24"/>
          <w:szCs w:val="24"/>
        </w:rPr>
        <w:t xml:space="preserve"> Representative clay samples were collected, processed, and analyzed using X-ray diffraction (XRD) and X-ray fluorescence (XRF) techniques.</w:t>
      </w:r>
      <w:r w:rsidRPr="00C37EAC">
        <w:rPr>
          <w:rFonts w:ascii="Times New Roman" w:hAnsi="Times New Roman" w:cs="Times New Roman"/>
          <w:sz w:val="24"/>
          <w:szCs w:val="24"/>
        </w:rPr>
        <w:t xml:space="preserve"> XRD analysis reveals that both clay samples are predominantly composed of</w:t>
      </w:r>
      <w:r w:rsidR="00AE65C9" w:rsidRPr="00C37EAC">
        <w:rPr>
          <w:rFonts w:ascii="Times New Roman" w:eastAsia="Times New Roman" w:hAnsi="Times New Roman" w:cs="Times New Roman"/>
          <w:sz w:val="24"/>
          <w:szCs w:val="24"/>
        </w:rPr>
        <w:t xml:space="preserve"> kaolinite, </w:t>
      </w:r>
      <w:proofErr w:type="spellStart"/>
      <w:r w:rsidR="00AE65C9" w:rsidRPr="00C37EAC">
        <w:rPr>
          <w:rFonts w:ascii="Times New Roman" w:eastAsia="Times New Roman" w:hAnsi="Times New Roman" w:cs="Times New Roman"/>
          <w:sz w:val="24"/>
          <w:szCs w:val="24"/>
        </w:rPr>
        <w:t>illite</w:t>
      </w:r>
      <w:proofErr w:type="spellEnd"/>
      <w:r w:rsidR="00AE65C9" w:rsidRPr="00C37EAC">
        <w:rPr>
          <w:rFonts w:ascii="Times New Roman" w:eastAsia="Times New Roman" w:hAnsi="Times New Roman" w:cs="Times New Roman"/>
          <w:sz w:val="24"/>
          <w:szCs w:val="24"/>
        </w:rPr>
        <w:t>, and quartz, with minor occurrences of feldspar and hematite</w:t>
      </w:r>
      <w:r w:rsidR="00AE65C9" w:rsidRPr="00C37EAC">
        <w:rPr>
          <w:rFonts w:ascii="Times New Roman" w:hAnsi="Times New Roman" w:cs="Times New Roman"/>
          <w:sz w:val="24"/>
          <w:szCs w:val="24"/>
        </w:rPr>
        <w:t>.</w:t>
      </w:r>
      <w:r w:rsidRPr="00C37EAC">
        <w:rPr>
          <w:rFonts w:ascii="Times New Roman" w:hAnsi="Times New Roman" w:cs="Times New Roman"/>
          <w:sz w:val="24"/>
          <w:szCs w:val="24"/>
        </w:rPr>
        <w:t xml:space="preserve"> XRF results indicate high concentrations of </w:t>
      </w:r>
      <w:proofErr w:type="spellStart"/>
      <w:r w:rsidRPr="00C37EAC">
        <w:rPr>
          <w:rFonts w:ascii="Times New Roman" w:hAnsi="Times New Roman" w:cs="Times New Roman"/>
          <w:sz w:val="24"/>
          <w:szCs w:val="24"/>
        </w:rPr>
        <w:t>SiO</w:t>
      </w:r>
      <w:proofErr w:type="spellEnd"/>
      <w:r w:rsidRPr="00C37EAC">
        <w:rPr>
          <w:rFonts w:ascii="Times New Roman" w:hAnsi="Times New Roman" w:cs="Times New Roman"/>
          <w:sz w:val="24"/>
          <w:szCs w:val="24"/>
        </w:rPr>
        <w:t xml:space="preserve">₂ (~53 wt.%) and </w:t>
      </w:r>
      <w:proofErr w:type="spellStart"/>
      <w:r w:rsidRPr="00C37EAC">
        <w:rPr>
          <w:rFonts w:ascii="Times New Roman" w:hAnsi="Times New Roman" w:cs="Times New Roman"/>
          <w:sz w:val="24"/>
          <w:szCs w:val="24"/>
        </w:rPr>
        <w:t>Al₂O</w:t>
      </w:r>
      <w:proofErr w:type="spellEnd"/>
      <w:r w:rsidRPr="00C37EAC">
        <w:rPr>
          <w:rFonts w:ascii="Times New Roman" w:hAnsi="Times New Roman" w:cs="Times New Roman"/>
          <w:sz w:val="24"/>
          <w:szCs w:val="24"/>
        </w:rPr>
        <w:t>₃ (~30 wt.%), confirming their aluminosilicate nature. Geochemical indices, including silica–alumina ratios (&gt;1.7) and Chemical Index of Alteration (CIA) values (90–93%), indicate significant weathering and the presence of free silica.</w:t>
      </w:r>
      <w:r w:rsidR="00CA7D44" w:rsidRPr="00C37EAC">
        <w:rPr>
          <w:rFonts w:ascii="Times New Roman" w:eastAsia="Times New Roman" w:hAnsi="Times New Roman" w:cs="Times New Roman"/>
          <w:sz w:val="24"/>
          <w:szCs w:val="24"/>
        </w:rPr>
        <w:t xml:space="preserve"> Ternary diagram evaluation (</w:t>
      </w:r>
      <w:proofErr w:type="spellStart"/>
      <w:r w:rsidR="00CA7D44" w:rsidRPr="00C37EAC">
        <w:rPr>
          <w:rFonts w:ascii="Times New Roman" w:eastAsia="Times New Roman" w:hAnsi="Times New Roman" w:cs="Times New Roman"/>
          <w:sz w:val="24"/>
          <w:szCs w:val="24"/>
        </w:rPr>
        <w:t>SiO</w:t>
      </w:r>
      <w:proofErr w:type="spellEnd"/>
      <w:r w:rsidR="00CA7D44" w:rsidRPr="00C37EAC">
        <w:rPr>
          <w:rFonts w:ascii="Times New Roman" w:eastAsia="Times New Roman" w:hAnsi="Times New Roman" w:cs="Times New Roman"/>
          <w:sz w:val="24"/>
          <w:szCs w:val="24"/>
        </w:rPr>
        <w:t>₂–</w:t>
      </w:r>
      <w:proofErr w:type="spellStart"/>
      <w:r w:rsidR="00CA7D44" w:rsidRPr="00C37EAC">
        <w:rPr>
          <w:rFonts w:ascii="Times New Roman" w:eastAsia="Times New Roman" w:hAnsi="Times New Roman" w:cs="Times New Roman"/>
          <w:sz w:val="24"/>
          <w:szCs w:val="24"/>
        </w:rPr>
        <w:t>Al₂O</w:t>
      </w:r>
      <w:proofErr w:type="spellEnd"/>
      <w:r w:rsidR="00CA7D44" w:rsidRPr="00C37EAC">
        <w:rPr>
          <w:rFonts w:ascii="Times New Roman" w:eastAsia="Times New Roman" w:hAnsi="Times New Roman" w:cs="Times New Roman"/>
          <w:sz w:val="24"/>
          <w:szCs w:val="24"/>
        </w:rPr>
        <w:t>₃–</w:t>
      </w:r>
      <w:proofErr w:type="spellStart"/>
      <w:r w:rsidR="00CA7D44" w:rsidRPr="00C37EAC">
        <w:rPr>
          <w:rFonts w:ascii="Times New Roman" w:eastAsia="Times New Roman" w:hAnsi="Times New Roman" w:cs="Times New Roman"/>
          <w:sz w:val="24"/>
          <w:szCs w:val="24"/>
        </w:rPr>
        <w:t>Fe₂O</w:t>
      </w:r>
      <w:proofErr w:type="spellEnd"/>
      <w:r w:rsidR="00CA7D44" w:rsidRPr="00C37EAC">
        <w:rPr>
          <w:rFonts w:ascii="Times New Roman" w:eastAsia="Times New Roman" w:hAnsi="Times New Roman" w:cs="Times New Roman"/>
          <w:sz w:val="24"/>
          <w:szCs w:val="24"/>
        </w:rPr>
        <w:t xml:space="preserve">₃) further indicates that the clays fall within the compositional range suitable for ceramic and refractory applications. </w:t>
      </w:r>
      <w:r w:rsidRPr="00C37EAC">
        <w:rPr>
          <w:rFonts w:ascii="Times New Roman" w:hAnsi="Times New Roman" w:cs="Times New Roman"/>
          <w:sz w:val="24"/>
          <w:szCs w:val="24"/>
        </w:rPr>
        <w:t xml:space="preserve"> Comparative analysis shows that </w:t>
      </w:r>
      <w:proofErr w:type="spellStart"/>
      <w:r w:rsidRPr="00C37EAC">
        <w:rPr>
          <w:rFonts w:ascii="Times New Roman" w:hAnsi="Times New Roman" w:cs="Times New Roman"/>
          <w:sz w:val="24"/>
          <w:szCs w:val="24"/>
        </w:rPr>
        <w:t>Enugwu-agidi</w:t>
      </w:r>
      <w:proofErr w:type="spellEnd"/>
      <w:r w:rsidRPr="00C37EAC">
        <w:rPr>
          <w:rFonts w:ascii="Times New Roman" w:hAnsi="Times New Roman" w:cs="Times New Roman"/>
          <w:sz w:val="24"/>
          <w:szCs w:val="24"/>
        </w:rPr>
        <w:t xml:space="preserve"> clay is relatively purer and more suitable for high-grade ceramic applications, while </w:t>
      </w:r>
      <w:proofErr w:type="spellStart"/>
      <w:r w:rsidRPr="00C37EAC">
        <w:rPr>
          <w:rFonts w:ascii="Times New Roman" w:hAnsi="Times New Roman" w:cs="Times New Roman"/>
          <w:sz w:val="24"/>
          <w:szCs w:val="24"/>
        </w:rPr>
        <w:t>Mbaukwu</w:t>
      </w:r>
      <w:proofErr w:type="spellEnd"/>
      <w:r w:rsidRPr="00C37EAC">
        <w:rPr>
          <w:rFonts w:ascii="Times New Roman" w:hAnsi="Times New Roman" w:cs="Times New Roman"/>
          <w:sz w:val="24"/>
          <w:szCs w:val="24"/>
        </w:rPr>
        <w:t xml:space="preserve"> clay contains slightly higher impurities. </w:t>
      </w:r>
      <w:r w:rsidR="00CA7D44" w:rsidRPr="00C37EAC">
        <w:rPr>
          <w:rFonts w:ascii="Times New Roman" w:eastAsia="Times New Roman" w:hAnsi="Times New Roman" w:cs="Times New Roman"/>
          <w:sz w:val="24"/>
          <w:szCs w:val="24"/>
        </w:rPr>
        <w:t>Variations in mineral and chemical composition between the two deposits reflect differences in weathering intensity and parent rock composition which influence their suitability for industrial applications such as ceramics, refractories and building materials.</w:t>
      </w:r>
      <w:r w:rsidR="00252D90" w:rsidRPr="00C37EAC">
        <w:rPr>
          <w:rFonts w:ascii="Times New Roman" w:eastAsia="Times New Roman" w:hAnsi="Times New Roman" w:cs="Times New Roman"/>
          <w:sz w:val="24"/>
          <w:szCs w:val="24"/>
        </w:rPr>
        <w:t xml:space="preserve"> The findings provide valuable insight into the industrial potential and geochemical characteristics of the studied clay deposits.</w:t>
      </w:r>
    </w:p>
    <w:p w14:paraId="295B1D21" w14:textId="4A1FF7AA" w:rsidR="00B31491" w:rsidRPr="00C37EAC" w:rsidRDefault="00B31491" w:rsidP="00C37EAC">
      <w:pPr>
        <w:spacing w:before="100" w:beforeAutospacing="1" w:after="100" w:afterAutospacing="1" w:line="240" w:lineRule="auto"/>
        <w:jc w:val="both"/>
        <w:rPr>
          <w:rFonts w:ascii="Times New Roman" w:eastAsia="Times New Roman" w:hAnsi="Times New Roman" w:cs="Times New Roman"/>
          <w:sz w:val="24"/>
          <w:szCs w:val="24"/>
        </w:rPr>
      </w:pPr>
      <w:r w:rsidRPr="00C37EAC">
        <w:rPr>
          <w:rFonts w:ascii="Times New Roman" w:eastAsia="Times New Roman" w:hAnsi="Times New Roman" w:cs="Times New Roman"/>
          <w:bCs/>
          <w:sz w:val="24"/>
          <w:szCs w:val="24"/>
        </w:rPr>
        <w:t>Keywords:</w:t>
      </w:r>
      <w:r w:rsidRPr="00C37EAC">
        <w:rPr>
          <w:rFonts w:ascii="Times New Roman" w:eastAsia="Times New Roman" w:hAnsi="Times New Roman" w:cs="Times New Roman"/>
          <w:sz w:val="24"/>
          <w:szCs w:val="24"/>
        </w:rPr>
        <w:t xml:space="preserve"> Clay minerals, XRD, XRF, kaolinite, ternary diagram, </w:t>
      </w:r>
      <w:r w:rsidR="000E7F60" w:rsidRPr="00C37EAC">
        <w:rPr>
          <w:rFonts w:ascii="Times New Roman" w:eastAsia="Times New Roman" w:hAnsi="Times New Roman" w:cs="Times New Roman"/>
          <w:sz w:val="24"/>
          <w:szCs w:val="24"/>
        </w:rPr>
        <w:t>quartz</w:t>
      </w:r>
    </w:p>
    <w:p w14:paraId="27793AD4" w14:textId="50885CD7" w:rsidR="00B23E2B" w:rsidRPr="00C37EAC" w:rsidRDefault="00B23E2B" w:rsidP="00C37EA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37EAC">
        <w:rPr>
          <w:rFonts w:ascii="Times New Roman" w:eastAsia="Times New Roman" w:hAnsi="Times New Roman" w:cs="Times New Roman"/>
          <w:b/>
          <w:bCs/>
          <w:sz w:val="24"/>
          <w:szCs w:val="24"/>
        </w:rPr>
        <w:t>Introduction</w:t>
      </w:r>
    </w:p>
    <w:p w14:paraId="70D2A790" w14:textId="77777777" w:rsidR="00B23E2B" w:rsidRPr="00C37EAC" w:rsidRDefault="00B23E2B" w:rsidP="00C37EAC">
      <w:pPr>
        <w:spacing w:after="0" w:line="240" w:lineRule="auto"/>
        <w:jc w:val="both"/>
        <w:rPr>
          <w:rFonts w:ascii="Times New Roman" w:eastAsia="Times New Roman" w:hAnsi="Times New Roman" w:cs="Times New Roman"/>
          <w:sz w:val="24"/>
          <w:szCs w:val="24"/>
        </w:rPr>
      </w:pPr>
      <w:r w:rsidRPr="00C37EAC">
        <w:rPr>
          <w:rFonts w:ascii="Times New Roman" w:hAnsi="Times New Roman" w:cs="Times New Roman"/>
          <w:sz w:val="24"/>
          <w:szCs w:val="24"/>
        </w:rPr>
        <w:t xml:space="preserve"> Clay materials are among the most abundant and versatile natural resources</w:t>
      </w:r>
      <w:r w:rsidRPr="00C37EAC">
        <w:rPr>
          <w:rFonts w:ascii="Times New Roman" w:eastAsia="Times New Roman" w:hAnsi="Times New Roman" w:cs="Times New Roman"/>
          <w:sz w:val="24"/>
          <w:szCs w:val="24"/>
        </w:rPr>
        <w:t xml:space="preserve"> widely utilized in </w:t>
      </w:r>
      <w:r w:rsidRPr="00C37EAC">
        <w:rPr>
          <w:rFonts w:ascii="Times New Roman" w:hAnsi="Times New Roman" w:cs="Times New Roman"/>
          <w:sz w:val="24"/>
          <w:szCs w:val="24"/>
        </w:rPr>
        <w:t>a broad range of</w:t>
      </w:r>
      <w:r w:rsidRPr="00C37EAC">
        <w:rPr>
          <w:rFonts w:ascii="Times New Roman" w:eastAsia="Times New Roman" w:hAnsi="Times New Roman" w:cs="Times New Roman"/>
          <w:sz w:val="24"/>
          <w:szCs w:val="24"/>
        </w:rPr>
        <w:t xml:space="preserve"> industrial applications including ceramics, construction, pharmaceuticals, refractories, paper, paints, and drilling fluids</w:t>
      </w:r>
      <w:r w:rsidR="0038446C" w:rsidRPr="00C37EAC">
        <w:rPr>
          <w:rFonts w:ascii="Times New Roman" w:eastAsia="Times New Roman" w:hAnsi="Times New Roman" w:cs="Times New Roman"/>
          <w:sz w:val="24"/>
          <w:szCs w:val="24"/>
        </w:rPr>
        <w:t xml:space="preserve"> </w:t>
      </w:r>
      <w:r w:rsidR="0038446C" w:rsidRPr="00C37EAC">
        <w:rPr>
          <w:rFonts w:ascii="Times New Roman" w:hAnsi="Times New Roman" w:cs="Times New Roman"/>
          <w:sz w:val="24"/>
          <w:szCs w:val="24"/>
        </w:rPr>
        <w:t>(</w:t>
      </w:r>
      <w:proofErr w:type="spellStart"/>
      <w:r w:rsidR="0038446C" w:rsidRPr="00C37EAC">
        <w:rPr>
          <w:rFonts w:ascii="Times New Roman" w:hAnsi="Times New Roman" w:cs="Times New Roman"/>
          <w:sz w:val="24"/>
          <w:szCs w:val="24"/>
        </w:rPr>
        <w:t>Belghazdis</w:t>
      </w:r>
      <w:proofErr w:type="spellEnd"/>
      <w:r w:rsidR="0038446C" w:rsidRPr="00C37EAC">
        <w:rPr>
          <w:rFonts w:ascii="Times New Roman" w:hAnsi="Times New Roman" w:cs="Times New Roman"/>
          <w:sz w:val="24"/>
          <w:szCs w:val="24"/>
        </w:rPr>
        <w:t xml:space="preserve"> &amp; </w:t>
      </w:r>
      <w:proofErr w:type="spellStart"/>
      <w:r w:rsidR="0038446C" w:rsidRPr="00C37EAC">
        <w:rPr>
          <w:rFonts w:ascii="Times New Roman" w:hAnsi="Times New Roman" w:cs="Times New Roman"/>
          <w:sz w:val="24"/>
          <w:szCs w:val="24"/>
        </w:rPr>
        <w:t>Hachem</w:t>
      </w:r>
      <w:proofErr w:type="spellEnd"/>
      <w:r w:rsidR="0038446C" w:rsidRPr="00C37EAC">
        <w:rPr>
          <w:rFonts w:ascii="Times New Roman" w:hAnsi="Times New Roman" w:cs="Times New Roman"/>
          <w:sz w:val="24"/>
          <w:szCs w:val="24"/>
        </w:rPr>
        <w:t xml:space="preserve">, 2022; </w:t>
      </w:r>
      <w:proofErr w:type="spellStart"/>
      <w:r w:rsidR="0038446C" w:rsidRPr="00C37EAC">
        <w:rPr>
          <w:rFonts w:ascii="Times New Roman" w:hAnsi="Times New Roman" w:cs="Times New Roman"/>
          <w:sz w:val="24"/>
          <w:szCs w:val="24"/>
        </w:rPr>
        <w:t>Kalendová</w:t>
      </w:r>
      <w:proofErr w:type="spellEnd"/>
      <w:r w:rsidR="0038446C" w:rsidRPr="00C37EAC">
        <w:rPr>
          <w:rFonts w:ascii="Times New Roman" w:hAnsi="Times New Roman" w:cs="Times New Roman"/>
          <w:sz w:val="24"/>
          <w:szCs w:val="24"/>
        </w:rPr>
        <w:t xml:space="preserve"> et al., 2024)</w:t>
      </w:r>
      <w:r w:rsidRPr="00C37EAC">
        <w:rPr>
          <w:rFonts w:ascii="Times New Roman" w:eastAsia="Times New Roman" w:hAnsi="Times New Roman" w:cs="Times New Roman"/>
          <w:sz w:val="24"/>
          <w:szCs w:val="24"/>
        </w:rPr>
        <w:t xml:space="preserve">. </w:t>
      </w:r>
      <w:r w:rsidRPr="00C37EAC">
        <w:rPr>
          <w:rFonts w:ascii="Times New Roman" w:hAnsi="Times New Roman" w:cs="Times New Roman"/>
          <w:sz w:val="24"/>
          <w:szCs w:val="24"/>
        </w:rPr>
        <w:t xml:space="preserve">Clay structure is made up of layered silicates mineral mainly composed of silicon, </w:t>
      </w:r>
      <w:proofErr w:type="spellStart"/>
      <w:r w:rsidRPr="00C37EAC">
        <w:rPr>
          <w:rFonts w:ascii="Times New Roman" w:hAnsi="Times New Roman" w:cs="Times New Roman"/>
          <w:sz w:val="24"/>
          <w:szCs w:val="24"/>
        </w:rPr>
        <w:t>aluminium</w:t>
      </w:r>
      <w:proofErr w:type="spellEnd"/>
      <w:r w:rsidRPr="00C37EAC">
        <w:rPr>
          <w:rFonts w:ascii="Times New Roman" w:hAnsi="Times New Roman" w:cs="Times New Roman"/>
          <w:sz w:val="24"/>
          <w:szCs w:val="24"/>
        </w:rPr>
        <w:t>, oxygen and hydroxyl groups. These layers form sheet-like structures such as silica tetrahedral sheet and alumina octahedral sheet. The arrangement of these sheets determines the type of clay mineral. It can be 1:1 layer structure or 2:1 layer structure giving it either T:O or T</w:t>
      </w:r>
      <w:proofErr w:type="gramStart"/>
      <w:r w:rsidRPr="00C37EAC">
        <w:rPr>
          <w:rFonts w:ascii="Times New Roman" w:hAnsi="Times New Roman" w:cs="Times New Roman"/>
          <w:sz w:val="24"/>
          <w:szCs w:val="24"/>
        </w:rPr>
        <w:t>:O:T</w:t>
      </w:r>
      <w:proofErr w:type="gramEnd"/>
      <w:r w:rsidRPr="00C37EAC">
        <w:rPr>
          <w:rFonts w:ascii="Times New Roman" w:hAnsi="Times New Roman" w:cs="Times New Roman"/>
          <w:sz w:val="24"/>
          <w:szCs w:val="24"/>
        </w:rPr>
        <w:t xml:space="preserve"> respectively which gives clay it’s unique properties such as plasticity, swelling, adsorption and ion exchange ability</w:t>
      </w:r>
      <w:r w:rsidR="0038446C" w:rsidRPr="00C37EAC">
        <w:rPr>
          <w:rFonts w:ascii="Times New Roman" w:hAnsi="Times New Roman" w:cs="Times New Roman"/>
          <w:sz w:val="24"/>
          <w:szCs w:val="24"/>
        </w:rPr>
        <w:t xml:space="preserve"> (Warr, 2022)</w:t>
      </w:r>
      <w:r w:rsidRPr="00C37EAC">
        <w:rPr>
          <w:rFonts w:ascii="Times New Roman" w:hAnsi="Times New Roman" w:cs="Times New Roman"/>
          <w:sz w:val="24"/>
          <w:szCs w:val="24"/>
        </w:rPr>
        <w:t xml:space="preserve"> as illustrated below;</w:t>
      </w:r>
      <w:r w:rsidRPr="00C37EAC">
        <w:rPr>
          <w:rFonts w:ascii="Times New Roman" w:eastAsia="Times New Roman" w:hAnsi="Times New Roman" w:cs="Times New Roman"/>
          <w:noProof/>
          <w:sz w:val="24"/>
          <w:szCs w:val="24"/>
        </w:rPr>
        <w:t xml:space="preserve"> </w:t>
      </w:r>
      <w:r w:rsidRPr="00C37EAC">
        <w:rPr>
          <w:rFonts w:ascii="Times New Roman" w:eastAsia="Times New Roman" w:hAnsi="Times New Roman" w:cs="Times New Roman"/>
          <w:noProof/>
          <w:sz w:val="24"/>
          <w:szCs w:val="24"/>
        </w:rPr>
        <w:lastRenderedPageBreak/>
        <w:drawing>
          <wp:inline distT="0" distB="0" distL="0" distR="0" wp14:anchorId="40FD204C" wp14:editId="49CCEBC2">
            <wp:extent cx="6374921" cy="1982905"/>
            <wp:effectExtent l="19050" t="0" r="6829" b="0"/>
            <wp:docPr id="1" name="Picture 1" descr="tetra-octa-1024x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ra-octa-1024x290.jpg"/>
                    <pic:cNvPicPr>
                      <a:picLocks noChangeAspect="1" noChangeArrowheads="1"/>
                    </pic:cNvPicPr>
                  </pic:nvPicPr>
                  <pic:blipFill>
                    <a:blip r:embed="rId7"/>
                    <a:srcRect/>
                    <a:stretch>
                      <a:fillRect/>
                    </a:stretch>
                  </pic:blipFill>
                  <pic:spPr bwMode="auto">
                    <a:xfrm>
                      <a:off x="0" y="0"/>
                      <a:ext cx="6379648" cy="1984375"/>
                    </a:xfrm>
                    <a:prstGeom prst="rect">
                      <a:avLst/>
                    </a:prstGeom>
                    <a:noFill/>
                    <a:ln w="9525">
                      <a:noFill/>
                      <a:miter lim="800000"/>
                      <a:headEnd/>
                      <a:tailEnd/>
                    </a:ln>
                  </pic:spPr>
                </pic:pic>
              </a:graphicData>
            </a:graphic>
          </wp:inline>
        </w:drawing>
      </w:r>
      <w:r w:rsidRPr="00C37EAC">
        <w:rPr>
          <w:rFonts w:ascii="Times New Roman" w:eastAsia="Times New Roman" w:hAnsi="Times New Roman" w:cs="Times New Roman"/>
          <w:sz w:val="24"/>
          <w:szCs w:val="24"/>
        </w:rPr>
        <w:t xml:space="preserve">Figure </w:t>
      </w:r>
      <w:r w:rsidR="00252D90" w:rsidRPr="00C37EAC">
        <w:rPr>
          <w:rFonts w:ascii="Times New Roman" w:eastAsia="Times New Roman" w:hAnsi="Times New Roman" w:cs="Times New Roman"/>
          <w:sz w:val="24"/>
          <w:szCs w:val="24"/>
        </w:rPr>
        <w:t>1</w:t>
      </w:r>
      <w:r w:rsidRPr="00C37EAC">
        <w:rPr>
          <w:rFonts w:ascii="Times New Roman" w:eastAsia="Times New Roman" w:hAnsi="Times New Roman" w:cs="Times New Roman"/>
          <w:sz w:val="24"/>
          <w:szCs w:val="24"/>
        </w:rPr>
        <w:t>: Representations of the Silica Tetrahedra and Aluminum Octahedra That Combine to Form Clay Minerals.</w:t>
      </w:r>
    </w:p>
    <w:p w14:paraId="5C732344" w14:textId="77777777" w:rsidR="00B23E2B" w:rsidRPr="00C37EAC" w:rsidRDefault="00B23E2B" w:rsidP="00C37EAC">
      <w:pPr>
        <w:spacing w:after="0" w:line="240" w:lineRule="auto"/>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 xml:space="preserve">An important feature of clay minerals results from the characteristics of their bonding. The tetrahedra and octahedra are strongly bonded to each other within the sheets, but the sheets are only weakly bonded one to another. The sheets that make up a clay mineral grain </w:t>
      </w:r>
      <w:proofErr w:type="gramStart"/>
      <w:r w:rsidRPr="00C37EAC">
        <w:rPr>
          <w:rFonts w:ascii="Times New Roman" w:eastAsia="Times New Roman" w:hAnsi="Times New Roman" w:cs="Times New Roman"/>
          <w:sz w:val="24"/>
          <w:szCs w:val="24"/>
        </w:rPr>
        <w:t>have a tendency to</w:t>
      </w:r>
      <w:proofErr w:type="gramEnd"/>
      <w:r w:rsidRPr="00C37EAC">
        <w:rPr>
          <w:rFonts w:ascii="Times New Roman" w:eastAsia="Times New Roman" w:hAnsi="Times New Roman" w:cs="Times New Roman"/>
          <w:sz w:val="24"/>
          <w:szCs w:val="24"/>
        </w:rPr>
        <w:t xml:space="preserve"> slide with respect to each other, and the result is that clay mineral masses tend to be soft and plastic, and not very strong. Their suitability for applications and properties depends largely on their mineralogical composition and chemical characteristics which determines their plasticity, strength, and thermal behavior.</w:t>
      </w:r>
      <w:r w:rsidRPr="00C37EAC">
        <w:rPr>
          <w:rFonts w:ascii="Times New Roman" w:hAnsi="Times New Roman" w:cs="Times New Roman"/>
          <w:sz w:val="24"/>
          <w:szCs w:val="24"/>
        </w:rPr>
        <w:t xml:space="preserve"> Consequently, detailed characterization of clay deposits is essential for determining their industrial potential and optimizing their utilization.</w:t>
      </w:r>
      <w:r w:rsidRPr="00C37EAC">
        <w:rPr>
          <w:rFonts w:ascii="Times New Roman" w:eastAsia="Times New Roman" w:hAnsi="Times New Roman" w:cs="Times New Roman"/>
          <w:sz w:val="24"/>
          <w:szCs w:val="24"/>
        </w:rPr>
        <w:t xml:space="preserve"> </w:t>
      </w:r>
    </w:p>
    <w:p w14:paraId="481CCD88" w14:textId="77777777" w:rsidR="00B23E2B" w:rsidRPr="00C37EAC" w:rsidRDefault="00B23E2B" w:rsidP="00C37EAC">
      <w:pPr>
        <w:pStyle w:val="NormalWeb"/>
        <w:jc w:val="both"/>
      </w:pPr>
      <w:r w:rsidRPr="00C37EAC">
        <w:t xml:space="preserve">Nigeria is endowed with significant clay deposits distributed across various geological formations, particularly within the Anambra Basin and adjoining regions. Among these, the </w:t>
      </w:r>
      <w:proofErr w:type="spellStart"/>
      <w:r w:rsidRPr="00C37EAC">
        <w:t>Mbaukwu</w:t>
      </w:r>
      <w:proofErr w:type="spellEnd"/>
      <w:r w:rsidRPr="00C37EAC">
        <w:t xml:space="preserve"> and </w:t>
      </w:r>
      <w:proofErr w:type="spellStart"/>
      <w:r w:rsidRPr="00C37EAC">
        <w:t>Enugwu-Agidi</w:t>
      </w:r>
      <w:proofErr w:type="spellEnd"/>
      <w:r w:rsidRPr="00C37EAC">
        <w:t xml:space="preserve"> clay deposits in southeastern Nigeria have attracted increasing attention due to their accessibility and potential economic value. The clays in these areas are products of weathering and sedimentation processes</w:t>
      </w:r>
      <w:r w:rsidR="0038446C" w:rsidRPr="00C37EAC">
        <w:t xml:space="preserve"> (</w:t>
      </w:r>
      <w:proofErr w:type="spellStart"/>
      <w:r w:rsidR="0038446C" w:rsidRPr="00C37EAC">
        <w:t>Ezealaji</w:t>
      </w:r>
      <w:proofErr w:type="spellEnd"/>
      <w:r w:rsidR="0038446C" w:rsidRPr="00C37EAC">
        <w:t xml:space="preserve"> et al., 2023)</w:t>
      </w:r>
      <w:r w:rsidRPr="00C37EAC">
        <w:t>, influenced by environmental and geological factors such as rainfall, temperature, and parent rock composition. Despite this, comprehensive comparative studies evaluating their mineralogical and geochemical properties remain limited.</w:t>
      </w:r>
    </w:p>
    <w:p w14:paraId="1405AE7B" w14:textId="77777777" w:rsidR="00B23E2B" w:rsidRPr="00C37EAC" w:rsidRDefault="00B23E2B" w:rsidP="00C37EAC">
      <w:pPr>
        <w:pStyle w:val="NormalWeb"/>
        <w:jc w:val="both"/>
      </w:pPr>
      <w:r w:rsidRPr="00C37EAC">
        <w:t xml:space="preserve">Mineralogical characterization, typically conducted using X-ray diffraction (XRD), provides insight into the crystalline phases present in clays, such as kaolinite, </w:t>
      </w:r>
      <w:proofErr w:type="spellStart"/>
      <w:r w:rsidRPr="00C37EAC">
        <w:t>illite</w:t>
      </w:r>
      <w:proofErr w:type="spellEnd"/>
      <w:r w:rsidRPr="00C37EAC">
        <w:t xml:space="preserve">, smectite, and quartz. These mineral phases directly influence key properties such as plasticity, thermal stability, shrinkage behavior, and firing characteristics. Complementarily, geochemical analysis, often performed using X-ray fluorescence (XRF), reveals the elemental composition of the clays, including major oxides such as </w:t>
      </w:r>
      <w:proofErr w:type="spellStart"/>
      <w:r w:rsidRPr="00C37EAC">
        <w:t>SiO</w:t>
      </w:r>
      <w:proofErr w:type="spellEnd"/>
      <w:r w:rsidRPr="00C37EAC">
        <w:t xml:space="preserve">₂, </w:t>
      </w:r>
      <w:proofErr w:type="spellStart"/>
      <w:r w:rsidRPr="00C37EAC">
        <w:t>Al₂O</w:t>
      </w:r>
      <w:proofErr w:type="spellEnd"/>
      <w:r w:rsidRPr="00C37EAC">
        <w:t xml:space="preserve">₃, </w:t>
      </w:r>
      <w:proofErr w:type="spellStart"/>
      <w:r w:rsidRPr="00C37EAC">
        <w:t>Fe₂O</w:t>
      </w:r>
      <w:proofErr w:type="spellEnd"/>
      <w:r w:rsidRPr="00C37EAC">
        <w:t>₃, and trace elements, which are critical in assessing their suitability for specific industrial applications.</w:t>
      </w:r>
    </w:p>
    <w:p w14:paraId="39035084" w14:textId="77777777" w:rsidR="00B23E2B" w:rsidRPr="00C37EAC" w:rsidRDefault="00B23E2B" w:rsidP="00C37EAC">
      <w:pPr>
        <w:pStyle w:val="NormalWeb"/>
        <w:jc w:val="both"/>
      </w:pPr>
      <w:r w:rsidRPr="00C37EAC">
        <w:t>Comparative analysis of different clay deposits enables the identification of variations in mineral composition and chemical makeup that may affect performance in industrial processes. For instance, high kaolinite content is desirable for ceramic and refractory applications, while elevated iron oxide content may limit suitability for whiteware production but enhance use in pig</w:t>
      </w:r>
      <w:r w:rsidR="0038446C" w:rsidRPr="00C37EAC">
        <w:t xml:space="preserve">ments or construction materials (Adeniyi et al., 2023; </w:t>
      </w:r>
      <w:proofErr w:type="spellStart"/>
      <w:r w:rsidR="0038446C" w:rsidRPr="00C37EAC">
        <w:t>Nnameme</w:t>
      </w:r>
      <w:proofErr w:type="spellEnd"/>
      <w:r w:rsidR="0038446C" w:rsidRPr="00C37EAC">
        <w:t xml:space="preserve"> et al., 2020).</w:t>
      </w:r>
    </w:p>
    <w:p w14:paraId="5D8107B4" w14:textId="77777777" w:rsidR="006C31C1" w:rsidRDefault="00B23E2B" w:rsidP="006C31C1">
      <w:pPr>
        <w:pStyle w:val="NormalWeb"/>
        <w:jc w:val="both"/>
      </w:pPr>
      <w:r w:rsidRPr="00C37EAC">
        <w:t xml:space="preserve">This study therefore aims to carry out a comparative mineralogical and geochemical characterization of </w:t>
      </w:r>
      <w:proofErr w:type="spellStart"/>
      <w:r w:rsidRPr="00C37EAC">
        <w:t>Mbaukwu</w:t>
      </w:r>
      <w:proofErr w:type="spellEnd"/>
      <w:r w:rsidRPr="00C37EAC">
        <w:t xml:space="preserve"> and </w:t>
      </w:r>
      <w:proofErr w:type="spellStart"/>
      <w:r w:rsidRPr="00C37EAC">
        <w:t>Enugwu-Agidi</w:t>
      </w:r>
      <w:proofErr w:type="spellEnd"/>
      <w:r w:rsidRPr="00C37EAC">
        <w:t xml:space="preserve"> clays using XRD and XRF techniques. By </w:t>
      </w:r>
      <w:r w:rsidRPr="00C37EAC">
        <w:lastRenderedPageBreak/>
        <w:t>systematically evaluating their compositional and structural differences, the study seeks to determine their potential industrial applications and provide a scientific basis for their effective exploitation.</w:t>
      </w:r>
    </w:p>
    <w:p w14:paraId="3513D938" w14:textId="0FA20760" w:rsidR="003B7D6E" w:rsidRDefault="003B7D6E" w:rsidP="006C31C1">
      <w:pPr>
        <w:pStyle w:val="NormalWeb"/>
        <w:jc w:val="both"/>
        <w:rPr>
          <w:b/>
          <w:bCs/>
        </w:rPr>
      </w:pPr>
      <w:r w:rsidRPr="00C37EAC">
        <w:rPr>
          <w:b/>
          <w:bCs/>
        </w:rPr>
        <w:t>Materials and Methods</w:t>
      </w:r>
    </w:p>
    <w:p w14:paraId="56019BE1" w14:textId="16C5F4D0" w:rsidR="00D46980" w:rsidRDefault="00D46980" w:rsidP="006C31C1">
      <w:pPr>
        <w:pStyle w:val="NormalWeb"/>
        <w:jc w:val="both"/>
        <w:rPr>
          <w:b/>
          <w:bCs/>
        </w:rPr>
      </w:pPr>
    </w:p>
    <w:p w14:paraId="434D7C85" w14:textId="67299489" w:rsidR="00D46980" w:rsidRDefault="00B50B21" w:rsidP="006C31C1">
      <w:pPr>
        <w:pStyle w:val="NormalWeb"/>
        <w:jc w:val="both"/>
        <w:rPr>
          <w:b/>
          <w:bCs/>
        </w:rPr>
      </w:pPr>
      <w:r>
        <w:rPr>
          <w:b/>
          <w:bCs/>
        </w:rPr>
        <w:t xml:space="preserve">Picture </w:t>
      </w:r>
      <w:r w:rsidR="00D46980">
        <w:rPr>
          <w:b/>
          <w:bCs/>
        </w:rPr>
        <w:t>Map of Study Area</w:t>
      </w:r>
    </w:p>
    <w:p w14:paraId="5E9CF8DF" w14:textId="5147CC41" w:rsidR="00D46980" w:rsidRPr="006C31C1" w:rsidRDefault="006E2265" w:rsidP="006C31C1">
      <w:pPr>
        <w:pStyle w:val="NormalWeb"/>
        <w:jc w:val="both"/>
      </w:pPr>
      <w:r>
        <w:rPr>
          <w:noProof/>
        </w:rPr>
        <w:drawing>
          <wp:inline distT="0" distB="0" distL="0" distR="0" wp14:anchorId="4A73A8BD" wp14:editId="521D2D4E">
            <wp:extent cx="5734050" cy="2581275"/>
            <wp:effectExtent l="0" t="0" r="0" b="9525"/>
            <wp:docPr id="14" name="Picture 1" descr="C:\Users\USER\Pictures\study map.PNG"/>
            <wp:cNvGraphicFramePr/>
            <a:graphic xmlns:a="http://schemas.openxmlformats.org/drawingml/2006/main">
              <a:graphicData uri="http://schemas.openxmlformats.org/drawingml/2006/picture">
                <pic:pic xmlns:pic="http://schemas.openxmlformats.org/drawingml/2006/picture">
                  <pic:nvPicPr>
                    <pic:cNvPr id="14" name="Picture 1" descr="C:\Users\USER\Pictures\study map.PNG"/>
                    <pic:cNvPicPr/>
                  </pic:nvPicPr>
                  <pic:blipFill>
                    <a:blip r:embed="rId8"/>
                    <a:srcRect/>
                    <a:stretch>
                      <a:fillRect/>
                    </a:stretch>
                  </pic:blipFill>
                  <pic:spPr bwMode="auto">
                    <a:xfrm>
                      <a:off x="0" y="0"/>
                      <a:ext cx="5734050" cy="2581275"/>
                    </a:xfrm>
                    <a:prstGeom prst="rect">
                      <a:avLst/>
                    </a:prstGeom>
                    <a:noFill/>
                    <a:ln w="9525">
                      <a:noFill/>
                      <a:miter lim="800000"/>
                      <a:headEnd/>
                      <a:tailEnd/>
                    </a:ln>
                  </pic:spPr>
                </pic:pic>
              </a:graphicData>
            </a:graphic>
          </wp:inline>
        </w:drawing>
      </w:r>
    </w:p>
    <w:p w14:paraId="558107B8" w14:textId="777152F3" w:rsidR="003B7D6E" w:rsidRPr="00C37EAC" w:rsidRDefault="003B7D6E" w:rsidP="00C37EA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37EAC">
        <w:rPr>
          <w:rFonts w:ascii="Times New Roman" w:eastAsia="Times New Roman" w:hAnsi="Times New Roman" w:cs="Times New Roman"/>
          <w:b/>
          <w:bCs/>
          <w:sz w:val="24"/>
          <w:szCs w:val="24"/>
        </w:rPr>
        <w:t>Sample Collection and Preparation</w:t>
      </w:r>
    </w:p>
    <w:p w14:paraId="5211F788" w14:textId="77777777" w:rsidR="003B7D6E" w:rsidRPr="00C37EAC" w:rsidRDefault="003B7D6E" w:rsidP="00C37EAC">
      <w:pPr>
        <w:spacing w:line="240" w:lineRule="auto"/>
        <w:jc w:val="both"/>
        <w:rPr>
          <w:rFonts w:ascii="Times New Roman" w:hAnsi="Times New Roman" w:cs="Times New Roman"/>
          <w:sz w:val="24"/>
          <w:szCs w:val="24"/>
        </w:rPr>
      </w:pPr>
      <w:r w:rsidRPr="00C37EAC">
        <w:rPr>
          <w:rFonts w:ascii="Times New Roman" w:eastAsia="Times New Roman" w:hAnsi="Times New Roman" w:cs="Times New Roman"/>
          <w:sz w:val="24"/>
          <w:szCs w:val="24"/>
        </w:rPr>
        <w:t xml:space="preserve">Clay samples were collected from </w:t>
      </w:r>
      <w:proofErr w:type="spellStart"/>
      <w:r w:rsidRPr="00C37EAC">
        <w:rPr>
          <w:rFonts w:ascii="Times New Roman" w:eastAsia="Times New Roman" w:hAnsi="Times New Roman" w:cs="Times New Roman"/>
          <w:sz w:val="24"/>
          <w:szCs w:val="24"/>
        </w:rPr>
        <w:t>Mbaukwu</w:t>
      </w:r>
      <w:proofErr w:type="spellEnd"/>
      <w:r w:rsidRPr="00C37EAC">
        <w:rPr>
          <w:rFonts w:ascii="Times New Roman" w:eastAsia="Times New Roman" w:hAnsi="Times New Roman" w:cs="Times New Roman"/>
          <w:sz w:val="24"/>
          <w:szCs w:val="24"/>
        </w:rPr>
        <w:t xml:space="preserve"> and </w:t>
      </w:r>
      <w:proofErr w:type="spellStart"/>
      <w:r w:rsidRPr="00C37EAC">
        <w:rPr>
          <w:rFonts w:ascii="Times New Roman" w:eastAsia="Times New Roman" w:hAnsi="Times New Roman" w:cs="Times New Roman"/>
          <w:sz w:val="24"/>
          <w:szCs w:val="24"/>
        </w:rPr>
        <w:t>Enugwu-Agidi</w:t>
      </w:r>
      <w:proofErr w:type="spellEnd"/>
      <w:r w:rsidRPr="00C37EAC">
        <w:rPr>
          <w:rFonts w:ascii="Times New Roman" w:eastAsia="Times New Roman" w:hAnsi="Times New Roman" w:cs="Times New Roman"/>
          <w:sz w:val="24"/>
          <w:szCs w:val="24"/>
        </w:rPr>
        <w:t xml:space="preserve"> in Anambra State, Nigeria. </w:t>
      </w:r>
      <w:r w:rsidR="00B049B3" w:rsidRPr="00C37EAC">
        <w:rPr>
          <w:rFonts w:ascii="Times New Roman" w:hAnsi="Times New Roman" w:cs="Times New Roman"/>
          <w:sz w:val="24"/>
          <w:szCs w:val="24"/>
        </w:rPr>
        <w:t xml:space="preserve">At each site, five (5) samples were obtained from different points to represent spatial variability within the deposit, giving a total of ten (10) composite samples for the study. Sampling was conducted from a depth of 0.5–1.5 m, after removing the organic topsoil layer to expose the true clay horizon. </w:t>
      </w:r>
      <w:r w:rsidRPr="00C37EAC">
        <w:rPr>
          <w:rFonts w:ascii="Times New Roman" w:eastAsia="Times New Roman" w:hAnsi="Times New Roman" w:cs="Times New Roman"/>
          <w:sz w:val="24"/>
          <w:szCs w:val="24"/>
        </w:rPr>
        <w:t>The samples</w:t>
      </w:r>
      <w:r w:rsidR="00B049B3" w:rsidRPr="00C37EAC">
        <w:rPr>
          <w:rFonts w:ascii="Times New Roman" w:eastAsia="Times New Roman" w:hAnsi="Times New Roman" w:cs="Times New Roman"/>
          <w:sz w:val="24"/>
          <w:szCs w:val="24"/>
        </w:rPr>
        <w:t xml:space="preserve"> from each respective location</w:t>
      </w:r>
      <w:r w:rsidRPr="00C37EAC">
        <w:rPr>
          <w:rFonts w:ascii="Times New Roman" w:eastAsia="Times New Roman" w:hAnsi="Times New Roman" w:cs="Times New Roman"/>
          <w:sz w:val="24"/>
          <w:szCs w:val="24"/>
        </w:rPr>
        <w:t xml:space="preserve"> were</w:t>
      </w:r>
      <w:r w:rsidR="00B049B3" w:rsidRPr="00C37EAC">
        <w:rPr>
          <w:rFonts w:ascii="Times New Roman" w:eastAsia="Times New Roman" w:hAnsi="Times New Roman" w:cs="Times New Roman"/>
          <w:sz w:val="24"/>
          <w:szCs w:val="24"/>
        </w:rPr>
        <w:t xml:space="preserve"> air-dried, crushed, </w:t>
      </w:r>
      <w:r w:rsidRPr="00C37EAC">
        <w:rPr>
          <w:rFonts w:ascii="Times New Roman" w:eastAsia="Times New Roman" w:hAnsi="Times New Roman" w:cs="Times New Roman"/>
          <w:sz w:val="24"/>
          <w:szCs w:val="24"/>
        </w:rPr>
        <w:t>sieved to obtain uniform particle sizes</w:t>
      </w:r>
      <w:r w:rsidR="00252D90" w:rsidRPr="00C37EAC">
        <w:rPr>
          <w:rFonts w:ascii="Times New Roman" w:eastAsia="Times New Roman" w:hAnsi="Times New Roman" w:cs="Times New Roman"/>
          <w:sz w:val="24"/>
          <w:szCs w:val="24"/>
        </w:rPr>
        <w:t xml:space="preserve"> and</w:t>
      </w:r>
      <w:r w:rsidR="00B049B3" w:rsidRPr="00C37EAC">
        <w:rPr>
          <w:rFonts w:ascii="Times New Roman" w:eastAsia="Times New Roman" w:hAnsi="Times New Roman" w:cs="Times New Roman"/>
          <w:sz w:val="24"/>
          <w:szCs w:val="24"/>
        </w:rPr>
        <w:t xml:space="preserve"> homogenized thoroughly by manual mixing</w:t>
      </w:r>
      <w:r w:rsidRPr="00C37EAC">
        <w:rPr>
          <w:rFonts w:ascii="Times New Roman" w:eastAsia="Times New Roman" w:hAnsi="Times New Roman" w:cs="Times New Roman"/>
          <w:sz w:val="24"/>
          <w:szCs w:val="24"/>
        </w:rPr>
        <w:t>. Organic matter and impurities were removed prior to analysis to ensure accuracy of results.</w:t>
      </w:r>
    </w:p>
    <w:p w14:paraId="16520682" w14:textId="28A96171" w:rsidR="003B7D6E" w:rsidRPr="00C37EAC" w:rsidRDefault="003B7D6E" w:rsidP="00C37EA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37EAC">
        <w:rPr>
          <w:rFonts w:ascii="Times New Roman" w:eastAsia="Times New Roman" w:hAnsi="Times New Roman" w:cs="Times New Roman"/>
          <w:b/>
          <w:bCs/>
          <w:sz w:val="24"/>
          <w:szCs w:val="24"/>
        </w:rPr>
        <w:t>Mineralogical Analysis (XRD)</w:t>
      </w:r>
    </w:p>
    <w:p w14:paraId="63D0647E" w14:textId="5D9A787C" w:rsidR="003B7D6E" w:rsidRPr="00C37EAC" w:rsidRDefault="003B7D6E" w:rsidP="00C37EAC">
      <w:pPr>
        <w:jc w:val="both"/>
        <w:rPr>
          <w:rFonts w:ascii="Times New Roman" w:hAnsi="Times New Roman" w:cs="Times New Roman"/>
          <w:sz w:val="24"/>
          <w:szCs w:val="24"/>
        </w:rPr>
      </w:pPr>
      <w:r w:rsidRPr="00C37EAC">
        <w:rPr>
          <w:rFonts w:ascii="Times New Roman" w:hAnsi="Times New Roman" w:cs="Times New Roman"/>
          <w:sz w:val="24"/>
          <w:szCs w:val="24"/>
        </w:rPr>
        <w:t>X-ray diffraction analysis was carried out</w:t>
      </w:r>
      <w:r w:rsidR="00945E4B" w:rsidRPr="00C37EAC">
        <w:rPr>
          <w:rFonts w:ascii="Times New Roman" w:hAnsi="Times New Roman" w:cs="Times New Roman"/>
          <w:sz w:val="24"/>
          <w:szCs w:val="24"/>
        </w:rPr>
        <w:t xml:space="preserve"> using X-ray diffractometer</w:t>
      </w:r>
      <w:r w:rsidR="006C5697" w:rsidRPr="00C37EAC">
        <w:rPr>
          <w:rFonts w:ascii="Times New Roman" w:hAnsi="Times New Roman" w:cs="Times New Roman"/>
          <w:sz w:val="24"/>
          <w:szCs w:val="24"/>
        </w:rPr>
        <w:t xml:space="preserve"> (</w:t>
      </w:r>
      <w:r w:rsidR="00CC403C" w:rsidRPr="00C37EAC">
        <w:rPr>
          <w:rFonts w:ascii="Times New Roman" w:hAnsi="Times New Roman" w:cs="Times New Roman"/>
          <w:sz w:val="24"/>
          <w:szCs w:val="24"/>
        </w:rPr>
        <w:t>Rigaku D/Max-</w:t>
      </w:r>
      <w:proofErr w:type="spellStart"/>
      <w:r w:rsidR="00CC403C" w:rsidRPr="00C37EAC">
        <w:rPr>
          <w:rFonts w:ascii="Times New Roman" w:hAnsi="Times New Roman" w:cs="Times New Roman"/>
          <w:sz w:val="24"/>
          <w:szCs w:val="24"/>
        </w:rPr>
        <w:t>lllC</w:t>
      </w:r>
      <w:proofErr w:type="spellEnd"/>
      <w:r w:rsidR="006C5697" w:rsidRPr="00C37EAC">
        <w:rPr>
          <w:rFonts w:ascii="Times New Roman" w:hAnsi="Times New Roman" w:cs="Times New Roman"/>
          <w:sz w:val="24"/>
          <w:szCs w:val="24"/>
        </w:rPr>
        <w:t>),</w:t>
      </w:r>
      <w:r w:rsidR="00CC403C" w:rsidRPr="00C37EAC">
        <w:rPr>
          <w:rFonts w:ascii="Times New Roman" w:hAnsi="Times New Roman" w:cs="Times New Roman"/>
          <w:sz w:val="24"/>
          <w:szCs w:val="24"/>
        </w:rPr>
        <w:t xml:space="preserve"> </w:t>
      </w:r>
      <w:r w:rsidRPr="00C37EAC">
        <w:rPr>
          <w:rFonts w:ascii="Times New Roman" w:hAnsi="Times New Roman" w:cs="Times New Roman"/>
          <w:sz w:val="24"/>
          <w:szCs w:val="24"/>
        </w:rPr>
        <w:t>to identify the mineral phases present in the clay samples. The powdered samples were scanned over a range of 2θ angles (typically 5°–70°) using Cu-Kα radiation</w:t>
      </w:r>
      <w:r w:rsidR="00CC403C" w:rsidRPr="00C37EAC">
        <w:rPr>
          <w:rFonts w:ascii="Times New Roman" w:hAnsi="Times New Roman" w:cs="Times New Roman"/>
          <w:sz w:val="24"/>
          <w:szCs w:val="24"/>
        </w:rPr>
        <w:t xml:space="preserve"> set at 40</w:t>
      </w:r>
      <w:r w:rsidR="003216A3" w:rsidRPr="00C37EAC">
        <w:rPr>
          <w:rFonts w:ascii="Times New Roman" w:hAnsi="Times New Roman" w:cs="Times New Roman"/>
          <w:sz w:val="24"/>
          <w:szCs w:val="24"/>
        </w:rPr>
        <w:t>kV</w:t>
      </w:r>
      <w:r w:rsidR="00CC403C" w:rsidRPr="00C37EAC">
        <w:rPr>
          <w:rFonts w:ascii="Times New Roman" w:hAnsi="Times New Roman" w:cs="Times New Roman"/>
          <w:sz w:val="24"/>
          <w:szCs w:val="24"/>
        </w:rPr>
        <w:t xml:space="preserve"> and 20mA</w:t>
      </w:r>
      <w:r w:rsidR="003A05C6">
        <w:rPr>
          <w:rFonts w:ascii="Times New Roman" w:hAnsi="Times New Roman" w:cs="Times New Roman"/>
          <w:sz w:val="24"/>
          <w:szCs w:val="24"/>
        </w:rPr>
        <w:t xml:space="preserve">. </w:t>
      </w:r>
      <w:r w:rsidRPr="00C37EAC">
        <w:rPr>
          <w:rFonts w:ascii="Times New Roman" w:hAnsi="Times New Roman" w:cs="Times New Roman"/>
          <w:sz w:val="24"/>
          <w:szCs w:val="24"/>
        </w:rPr>
        <w:t>The diffraction patterns obtained were matched with standard reference patterns</w:t>
      </w:r>
      <w:r w:rsidR="00981206" w:rsidRPr="00C37EAC">
        <w:rPr>
          <w:rFonts w:ascii="Times New Roman" w:hAnsi="Times New Roman" w:cs="Times New Roman"/>
          <w:sz w:val="24"/>
          <w:szCs w:val="24"/>
        </w:rPr>
        <w:t xml:space="preserve"> </w:t>
      </w:r>
      <w:r w:rsidR="00981206" w:rsidRPr="00C37EAC">
        <w:rPr>
          <w:rFonts w:ascii="Times New Roman" w:eastAsia="Times New Roman" w:hAnsi="Times New Roman" w:cs="Times New Roman"/>
          <w:sz w:val="24"/>
          <w:szCs w:val="24"/>
        </w:rPr>
        <w:t>(JCPDS database)</w:t>
      </w:r>
      <w:r w:rsidRPr="00C37EAC">
        <w:rPr>
          <w:rFonts w:ascii="Times New Roman" w:hAnsi="Times New Roman" w:cs="Times New Roman"/>
          <w:sz w:val="24"/>
          <w:szCs w:val="24"/>
        </w:rPr>
        <w:t xml:space="preserve"> to identify the mineral </w:t>
      </w:r>
      <w:r w:rsidR="003A05C6">
        <w:rPr>
          <w:rFonts w:ascii="Times New Roman" w:hAnsi="Times New Roman" w:cs="Times New Roman"/>
          <w:sz w:val="24"/>
          <w:szCs w:val="24"/>
        </w:rPr>
        <w:t>phases.</w:t>
      </w:r>
      <w:r w:rsidR="00CC403C" w:rsidRPr="00C37EAC">
        <w:rPr>
          <w:rFonts w:ascii="Times New Roman" w:hAnsi="Times New Roman" w:cs="Times New Roman"/>
          <w:sz w:val="24"/>
          <w:szCs w:val="24"/>
        </w:rPr>
        <w:t xml:space="preserve"> </w:t>
      </w:r>
    </w:p>
    <w:p w14:paraId="4CAC299D" w14:textId="2F97326B" w:rsidR="003B7D6E" w:rsidRPr="00C37EAC" w:rsidRDefault="003B7D6E" w:rsidP="00C37EA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37EAC">
        <w:rPr>
          <w:rFonts w:ascii="Times New Roman" w:eastAsia="Times New Roman" w:hAnsi="Times New Roman" w:cs="Times New Roman"/>
          <w:b/>
          <w:bCs/>
          <w:sz w:val="24"/>
          <w:szCs w:val="24"/>
        </w:rPr>
        <w:t>Geochemical Analysis (XRF)</w:t>
      </w:r>
    </w:p>
    <w:p w14:paraId="03C53ED6" w14:textId="53C60004" w:rsidR="0036642F" w:rsidRPr="00C37EAC" w:rsidRDefault="003B7D6E" w:rsidP="00C37EAC">
      <w:pPr>
        <w:pStyle w:val="NormalWeb"/>
        <w:jc w:val="both"/>
      </w:pPr>
      <w:r w:rsidRPr="00C37EAC">
        <w:lastRenderedPageBreak/>
        <w:t>X-ray fluorescence analysis</w:t>
      </w:r>
      <w:r w:rsidR="0059362D" w:rsidRPr="00C37EAC">
        <w:t xml:space="preserve"> </w:t>
      </w:r>
      <w:r w:rsidRPr="00C37EAC">
        <w:t>was</w:t>
      </w:r>
      <w:r w:rsidR="0059362D" w:rsidRPr="00C37EAC">
        <w:t xml:space="preserve"> carried out using X-ray fluorescence spectrometer (Philip PW 1210</w:t>
      </w:r>
      <w:r w:rsidR="003216A3" w:rsidRPr="00C37EAC">
        <w:t>,</w:t>
      </w:r>
      <w:r w:rsidR="0059362D" w:rsidRPr="00C37EAC">
        <w:t xml:space="preserve"> TEFA ORTEC automatic)</w:t>
      </w:r>
      <w:r w:rsidR="003216A3" w:rsidRPr="00C37EAC">
        <w:t xml:space="preserve"> </w:t>
      </w:r>
      <w:r w:rsidRPr="00C37EAC">
        <w:t xml:space="preserve">to determine the </w:t>
      </w:r>
      <w:r w:rsidR="003A05C6">
        <w:t>elemental</w:t>
      </w:r>
      <w:r w:rsidRPr="00C37EAC">
        <w:t xml:space="preserve"> composition of the samples.</w:t>
      </w:r>
      <w:r w:rsidR="003216A3" w:rsidRPr="00C37EAC">
        <w:t xml:space="preserve"> The method is based on the interaction between incident high-energy X-rays and the atoms within a sample, leading to the emission of characteristic secondary (fluorescent) X-rays. The powdered samples were scanned using Cu-Kα radiation set at 45kV and 35mA with wavelength </w:t>
      </w:r>
      <w:proofErr w:type="spellStart"/>
      <w:r w:rsidR="003216A3" w:rsidRPr="00C37EAC">
        <w:t>cuka</w:t>
      </w:r>
      <w:proofErr w:type="spellEnd"/>
      <w:r w:rsidR="003216A3" w:rsidRPr="00C37EAC">
        <w:t xml:space="preserve"> 1 and 2[A</w:t>
      </w:r>
      <w:r w:rsidR="003216A3" w:rsidRPr="00C37EAC">
        <w:rPr>
          <w:vertAlign w:val="superscript"/>
        </w:rPr>
        <w:t>O</w:t>
      </w:r>
      <w:r w:rsidR="003216A3" w:rsidRPr="00C37EAC">
        <w:t xml:space="preserve">] 1.440 – 1.450. </w:t>
      </w:r>
      <w:r w:rsidRPr="00C37EAC">
        <w:t xml:space="preserve"> Major oxides such as </w:t>
      </w:r>
      <w:proofErr w:type="spellStart"/>
      <w:r w:rsidRPr="00C37EAC">
        <w:t>SiO</w:t>
      </w:r>
      <w:proofErr w:type="spellEnd"/>
      <w:r w:rsidRPr="00C37EAC">
        <w:t xml:space="preserve">₂, </w:t>
      </w:r>
      <w:proofErr w:type="spellStart"/>
      <w:r w:rsidRPr="00C37EAC">
        <w:t>Al₂O</w:t>
      </w:r>
      <w:proofErr w:type="spellEnd"/>
      <w:r w:rsidRPr="00C37EAC">
        <w:t xml:space="preserve">₃, </w:t>
      </w:r>
      <w:proofErr w:type="spellStart"/>
      <w:r w:rsidRPr="00C37EAC">
        <w:t>Fe₂O</w:t>
      </w:r>
      <w:proofErr w:type="spellEnd"/>
      <w:r w:rsidRPr="00C37EAC">
        <w:t xml:space="preserve">₃, </w:t>
      </w:r>
      <w:proofErr w:type="spellStart"/>
      <w:r w:rsidRPr="00C37EAC">
        <w:t>CaO</w:t>
      </w:r>
      <w:proofErr w:type="spellEnd"/>
      <w:r w:rsidRPr="00C37EAC">
        <w:t xml:space="preserve">, MgO, </w:t>
      </w:r>
      <w:proofErr w:type="spellStart"/>
      <w:r w:rsidRPr="00C37EAC">
        <w:t>Na₂O</w:t>
      </w:r>
      <w:proofErr w:type="spellEnd"/>
      <w:r w:rsidRPr="00C37EAC">
        <w:t>, and K₂O were quantified. The results were exp</w:t>
      </w:r>
      <w:r w:rsidR="003216A3" w:rsidRPr="00C37EAC">
        <w:t xml:space="preserve">ressed in percentage composition. </w:t>
      </w:r>
      <w:r w:rsidR="0036642F" w:rsidRPr="00C37EAC">
        <w:t>The Chemical Index of Alteration (CIA) was calculated using:</w:t>
      </w:r>
    </w:p>
    <w:p w14:paraId="41084034" w14:textId="77777777" w:rsidR="0036642F" w:rsidRPr="00C37EAC" w:rsidRDefault="0036642F" w:rsidP="00C37EAC">
      <w:pPr>
        <w:pStyle w:val="NormalWeb"/>
        <w:jc w:val="both"/>
      </w:pPr>
      <w:r w:rsidRPr="00C37EAC">
        <w:t>CIA = [</w:t>
      </w:r>
      <w:proofErr w:type="spellStart"/>
      <w:r w:rsidRPr="00C37EAC">
        <w:t>Al₂O</w:t>
      </w:r>
      <w:proofErr w:type="spellEnd"/>
      <w:r w:rsidRPr="00C37EAC">
        <w:t>₃ / (</w:t>
      </w:r>
      <w:proofErr w:type="spellStart"/>
      <w:r w:rsidRPr="00C37EAC">
        <w:t>Al₂O</w:t>
      </w:r>
      <w:proofErr w:type="spellEnd"/>
      <w:r w:rsidRPr="00C37EAC">
        <w:t xml:space="preserve">₃ + </w:t>
      </w:r>
      <w:proofErr w:type="spellStart"/>
      <w:r w:rsidRPr="00C37EAC">
        <w:t>CaO</w:t>
      </w:r>
      <w:proofErr w:type="spellEnd"/>
      <w:r w:rsidRPr="00C37EAC">
        <w:t xml:space="preserve"> + </w:t>
      </w:r>
      <w:proofErr w:type="spellStart"/>
      <w:r w:rsidRPr="00C37EAC">
        <w:t>Na₂O</w:t>
      </w:r>
      <w:proofErr w:type="spellEnd"/>
      <w:r w:rsidRPr="00C37EAC">
        <w:t xml:space="preserve"> + K₂O)] × 100</w:t>
      </w:r>
    </w:p>
    <w:p w14:paraId="7493E806" w14:textId="77777777" w:rsidR="0036642F" w:rsidRPr="00C37EAC" w:rsidRDefault="0036642F" w:rsidP="00C37EAC">
      <w:pPr>
        <w:pStyle w:val="NormalWeb"/>
        <w:jc w:val="both"/>
      </w:pPr>
      <w:r w:rsidRPr="00C37EAC">
        <w:t>Silica–alumina ratios were also computed to assess mineralogical composition.</w:t>
      </w:r>
    </w:p>
    <w:p w14:paraId="693925EA" w14:textId="77777777" w:rsidR="003216A3" w:rsidRPr="00C37EAC" w:rsidRDefault="003216A3" w:rsidP="00C37EAC">
      <w:pPr>
        <w:pStyle w:val="NoSpacing"/>
        <w:jc w:val="both"/>
        <w:rPr>
          <w:rFonts w:ascii="Times New Roman" w:eastAsia="Times New Roman" w:hAnsi="Times New Roman"/>
          <w:sz w:val="24"/>
          <w:szCs w:val="24"/>
        </w:rPr>
      </w:pPr>
    </w:p>
    <w:p w14:paraId="50706609" w14:textId="05703479" w:rsidR="008F0431" w:rsidRPr="00C37EAC" w:rsidRDefault="008F0431" w:rsidP="00C37EA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37EAC">
        <w:rPr>
          <w:rFonts w:ascii="Times New Roman" w:eastAsia="Times New Roman" w:hAnsi="Times New Roman" w:cs="Times New Roman"/>
          <w:b/>
          <w:bCs/>
          <w:sz w:val="24"/>
          <w:szCs w:val="24"/>
        </w:rPr>
        <w:t>Ternary Diagram Analysis</w:t>
      </w:r>
    </w:p>
    <w:p w14:paraId="030753EB" w14:textId="77777777" w:rsidR="008F0431" w:rsidRPr="00C37EAC" w:rsidRDefault="008F0431" w:rsidP="00C37EAC">
      <w:pPr>
        <w:spacing w:before="100" w:beforeAutospacing="1" w:after="100" w:afterAutospacing="1" w:line="240" w:lineRule="auto"/>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Ternary diagrams (</w:t>
      </w:r>
      <w:proofErr w:type="spellStart"/>
      <w:r w:rsidRPr="00C37EAC">
        <w:rPr>
          <w:rFonts w:ascii="Times New Roman" w:eastAsia="Times New Roman" w:hAnsi="Times New Roman" w:cs="Times New Roman"/>
          <w:sz w:val="24"/>
          <w:szCs w:val="24"/>
        </w:rPr>
        <w:t>SiO</w:t>
      </w:r>
      <w:proofErr w:type="spellEnd"/>
      <w:r w:rsidRPr="00C37EAC">
        <w:rPr>
          <w:rFonts w:ascii="Times New Roman" w:eastAsia="Times New Roman" w:hAnsi="Times New Roman" w:cs="Times New Roman"/>
          <w:sz w:val="24"/>
          <w:szCs w:val="24"/>
        </w:rPr>
        <w:t>₂–</w:t>
      </w:r>
      <w:proofErr w:type="spellStart"/>
      <w:r w:rsidRPr="00C37EAC">
        <w:rPr>
          <w:rFonts w:ascii="Times New Roman" w:eastAsia="Times New Roman" w:hAnsi="Times New Roman" w:cs="Times New Roman"/>
          <w:sz w:val="24"/>
          <w:szCs w:val="24"/>
        </w:rPr>
        <w:t>Al₂O</w:t>
      </w:r>
      <w:proofErr w:type="spellEnd"/>
      <w:r w:rsidRPr="00C37EAC">
        <w:rPr>
          <w:rFonts w:ascii="Times New Roman" w:eastAsia="Times New Roman" w:hAnsi="Times New Roman" w:cs="Times New Roman"/>
          <w:sz w:val="24"/>
          <w:szCs w:val="24"/>
        </w:rPr>
        <w:t>₃–</w:t>
      </w:r>
      <w:proofErr w:type="spellStart"/>
      <w:r w:rsidRPr="00C37EAC">
        <w:rPr>
          <w:rFonts w:ascii="Times New Roman" w:eastAsia="Times New Roman" w:hAnsi="Times New Roman" w:cs="Times New Roman"/>
          <w:sz w:val="24"/>
          <w:szCs w:val="24"/>
        </w:rPr>
        <w:t>Fe₂O</w:t>
      </w:r>
      <w:proofErr w:type="spellEnd"/>
      <w:r w:rsidRPr="00C37EAC">
        <w:rPr>
          <w:rFonts w:ascii="Times New Roman" w:eastAsia="Times New Roman" w:hAnsi="Times New Roman" w:cs="Times New Roman"/>
          <w:sz w:val="24"/>
          <w:szCs w:val="24"/>
        </w:rPr>
        <w:t>₃) were constructed using normalized oxide percentages obtained from XRF results. This geochemical tool was used to evaluate compositional relationships and classify the clay materials based on their industrial suitability.</w:t>
      </w:r>
    </w:p>
    <w:p w14:paraId="4B2B2062" w14:textId="77777777" w:rsidR="003216A3" w:rsidRPr="00C37EAC" w:rsidRDefault="003216A3" w:rsidP="00C37EAC">
      <w:pPr>
        <w:pStyle w:val="NoSpacing"/>
        <w:jc w:val="both"/>
        <w:rPr>
          <w:rFonts w:ascii="Times New Roman" w:hAnsi="Times New Roman"/>
          <w:sz w:val="24"/>
          <w:szCs w:val="24"/>
        </w:rPr>
      </w:pPr>
      <w:r w:rsidRPr="00C37EAC">
        <w:rPr>
          <w:rFonts w:ascii="Times New Roman" w:hAnsi="Times New Roman"/>
          <w:sz w:val="24"/>
          <w:szCs w:val="24"/>
        </w:rPr>
        <w:t xml:space="preserve">  </w:t>
      </w:r>
    </w:p>
    <w:p w14:paraId="50862A6B" w14:textId="716A15D5" w:rsidR="003216A3" w:rsidRPr="00C37EAC" w:rsidRDefault="003216A3" w:rsidP="00C37EA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37EAC">
        <w:rPr>
          <w:rFonts w:ascii="Times New Roman" w:eastAsia="Times New Roman" w:hAnsi="Times New Roman" w:cs="Times New Roman"/>
          <w:b/>
          <w:bCs/>
          <w:sz w:val="24"/>
          <w:szCs w:val="24"/>
        </w:rPr>
        <w:t>Results and Discussion</w:t>
      </w:r>
    </w:p>
    <w:p w14:paraId="46161B0B" w14:textId="272E084F" w:rsidR="003216A3" w:rsidRPr="00C37EAC" w:rsidRDefault="003216A3" w:rsidP="00C37EA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37EAC">
        <w:rPr>
          <w:rFonts w:ascii="Times New Roman" w:eastAsia="Times New Roman" w:hAnsi="Times New Roman" w:cs="Times New Roman"/>
          <w:b/>
          <w:bCs/>
          <w:sz w:val="24"/>
          <w:szCs w:val="24"/>
        </w:rPr>
        <w:t>Mineralogical Composition</w:t>
      </w:r>
    </w:p>
    <w:p w14:paraId="59185C79" w14:textId="77777777" w:rsidR="00807D27" w:rsidRPr="00C37EAC" w:rsidRDefault="00807D27" w:rsidP="00C37EAC">
      <w:pPr>
        <w:spacing w:before="100" w:beforeAutospacing="1" w:after="100" w:afterAutospacing="1" w:line="240" w:lineRule="auto"/>
        <w:jc w:val="both"/>
        <w:rPr>
          <w:rFonts w:ascii="Times New Roman" w:hAnsi="Times New Roman" w:cs="Times New Roman"/>
          <w:sz w:val="24"/>
          <w:szCs w:val="24"/>
        </w:rPr>
      </w:pPr>
      <w:r w:rsidRPr="00C37EAC">
        <w:rPr>
          <w:rFonts w:ascii="Times New Roman" w:hAnsi="Times New Roman" w:cs="Times New Roman"/>
          <w:sz w:val="24"/>
          <w:szCs w:val="24"/>
        </w:rPr>
        <w:t xml:space="preserve">The X-ray diffraction patterns of </w:t>
      </w:r>
      <w:proofErr w:type="spellStart"/>
      <w:r w:rsidRPr="00C37EAC">
        <w:rPr>
          <w:rFonts w:ascii="Times New Roman" w:hAnsi="Times New Roman" w:cs="Times New Roman"/>
          <w:sz w:val="24"/>
          <w:szCs w:val="24"/>
        </w:rPr>
        <w:t>Enug</w:t>
      </w:r>
      <w:r w:rsidR="00AB6496" w:rsidRPr="00C37EAC">
        <w:rPr>
          <w:rFonts w:ascii="Times New Roman" w:hAnsi="Times New Roman" w:cs="Times New Roman"/>
          <w:sz w:val="24"/>
          <w:szCs w:val="24"/>
        </w:rPr>
        <w:t>w</w:t>
      </w:r>
      <w:r w:rsidRPr="00C37EAC">
        <w:rPr>
          <w:rFonts w:ascii="Times New Roman" w:hAnsi="Times New Roman" w:cs="Times New Roman"/>
          <w:sz w:val="24"/>
          <w:szCs w:val="24"/>
        </w:rPr>
        <w:t>u-Agidi</w:t>
      </w:r>
      <w:proofErr w:type="spellEnd"/>
      <w:r w:rsidRPr="00C37EAC">
        <w:rPr>
          <w:rFonts w:ascii="Times New Roman" w:hAnsi="Times New Roman" w:cs="Times New Roman"/>
          <w:sz w:val="24"/>
          <w:szCs w:val="24"/>
        </w:rPr>
        <w:t xml:space="preserve"> and </w:t>
      </w:r>
      <w:proofErr w:type="spellStart"/>
      <w:r w:rsidRPr="00C37EAC">
        <w:rPr>
          <w:rFonts w:ascii="Times New Roman" w:hAnsi="Times New Roman" w:cs="Times New Roman"/>
          <w:sz w:val="24"/>
          <w:szCs w:val="24"/>
        </w:rPr>
        <w:t>Mbaukwu</w:t>
      </w:r>
      <w:proofErr w:type="spellEnd"/>
      <w:r w:rsidRPr="00C37EAC">
        <w:rPr>
          <w:rFonts w:ascii="Times New Roman" w:hAnsi="Times New Roman" w:cs="Times New Roman"/>
          <w:sz w:val="24"/>
          <w:szCs w:val="24"/>
        </w:rPr>
        <w:t xml:space="preserve"> clay samples (Figure 2) reveal the presence of both clay and non-clay mineral phases. The </w:t>
      </w:r>
      <w:proofErr w:type="spellStart"/>
      <w:r w:rsidRPr="00C37EAC">
        <w:rPr>
          <w:rFonts w:ascii="Times New Roman" w:hAnsi="Times New Roman" w:cs="Times New Roman"/>
          <w:sz w:val="24"/>
          <w:szCs w:val="24"/>
        </w:rPr>
        <w:t>Mbaukwu</w:t>
      </w:r>
      <w:proofErr w:type="spellEnd"/>
      <w:r w:rsidRPr="00C37EAC">
        <w:rPr>
          <w:rFonts w:ascii="Times New Roman" w:hAnsi="Times New Roman" w:cs="Times New Roman"/>
          <w:sz w:val="24"/>
          <w:szCs w:val="24"/>
        </w:rPr>
        <w:t xml:space="preserve"> pattern is vertically offset for clarity.</w:t>
      </w:r>
    </w:p>
    <w:p w14:paraId="16A061E1" w14:textId="77777777" w:rsidR="00807D27" w:rsidRPr="00C37EAC" w:rsidRDefault="00807D27" w:rsidP="00C37EAC">
      <w:pPr>
        <w:spacing w:after="0" w:line="240" w:lineRule="auto"/>
        <w:jc w:val="both"/>
        <w:rPr>
          <w:rFonts w:ascii="Times New Roman" w:hAnsi="Times New Roman" w:cs="Times New Roman"/>
          <w:sz w:val="24"/>
          <w:szCs w:val="24"/>
        </w:rPr>
      </w:pPr>
      <w:r w:rsidRPr="00C37EAC">
        <w:rPr>
          <w:rFonts w:ascii="Times New Roman" w:hAnsi="Times New Roman" w:cs="Times New Roman"/>
          <w:sz w:val="24"/>
          <w:szCs w:val="24"/>
        </w:rPr>
        <w:t>Figure 2:</w:t>
      </w:r>
      <w:r w:rsidR="00BF552E" w:rsidRPr="00C37EAC">
        <w:rPr>
          <w:rFonts w:ascii="Times New Roman" w:hAnsi="Times New Roman" w:cs="Times New Roman"/>
          <w:sz w:val="24"/>
          <w:szCs w:val="24"/>
        </w:rPr>
        <w:t xml:space="preserve"> X-ray diffraction patterns of Enugu-</w:t>
      </w:r>
      <w:proofErr w:type="spellStart"/>
      <w:r w:rsidR="00BF552E" w:rsidRPr="00C37EAC">
        <w:rPr>
          <w:rFonts w:ascii="Times New Roman" w:hAnsi="Times New Roman" w:cs="Times New Roman"/>
          <w:sz w:val="24"/>
          <w:szCs w:val="24"/>
        </w:rPr>
        <w:t>Agidi</w:t>
      </w:r>
      <w:proofErr w:type="spellEnd"/>
      <w:r w:rsidR="00BF552E" w:rsidRPr="00C37EAC">
        <w:rPr>
          <w:rFonts w:ascii="Times New Roman" w:hAnsi="Times New Roman" w:cs="Times New Roman"/>
          <w:sz w:val="24"/>
          <w:szCs w:val="24"/>
        </w:rPr>
        <w:t xml:space="preserve"> and </w:t>
      </w:r>
      <w:proofErr w:type="spellStart"/>
      <w:r w:rsidR="00BF552E" w:rsidRPr="00C37EAC">
        <w:rPr>
          <w:rFonts w:ascii="Times New Roman" w:hAnsi="Times New Roman" w:cs="Times New Roman"/>
          <w:sz w:val="24"/>
          <w:szCs w:val="24"/>
        </w:rPr>
        <w:t>Mbaukwu</w:t>
      </w:r>
      <w:proofErr w:type="spellEnd"/>
      <w:r w:rsidR="00BF552E" w:rsidRPr="00C37EAC">
        <w:rPr>
          <w:rFonts w:ascii="Times New Roman" w:hAnsi="Times New Roman" w:cs="Times New Roman"/>
          <w:sz w:val="24"/>
          <w:szCs w:val="24"/>
        </w:rPr>
        <w:t xml:space="preserve"> clay samples.</w:t>
      </w:r>
    </w:p>
    <w:p w14:paraId="21D7B900" w14:textId="77777777" w:rsidR="00807D27" w:rsidRPr="00C37EAC" w:rsidRDefault="00807D27" w:rsidP="00C37EAC">
      <w:pPr>
        <w:spacing w:after="0" w:line="240" w:lineRule="auto"/>
        <w:jc w:val="both"/>
        <w:rPr>
          <w:rFonts w:ascii="Times New Roman" w:hAnsi="Times New Roman" w:cs="Times New Roman"/>
          <w:sz w:val="24"/>
          <w:szCs w:val="24"/>
        </w:rPr>
      </w:pPr>
      <w:r w:rsidRPr="00C37EAC">
        <w:rPr>
          <w:rFonts w:ascii="Times New Roman" w:hAnsi="Times New Roman" w:cs="Times New Roman"/>
          <w:noProof/>
          <w:sz w:val="24"/>
          <w:szCs w:val="24"/>
        </w:rPr>
        <w:lastRenderedPageBreak/>
        <w:drawing>
          <wp:inline distT="0" distB="0" distL="0" distR="0" wp14:anchorId="557D5DBF" wp14:editId="45825449">
            <wp:extent cx="4689374" cy="3277210"/>
            <wp:effectExtent l="19050" t="0" r="0" b="0"/>
            <wp:docPr id="4" name="Picture 4" descr="C:\Users\USER\Pictures\xrd_publication_read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xrd_publication_ready (1).png"/>
                    <pic:cNvPicPr>
                      <a:picLocks noChangeAspect="1" noChangeArrowheads="1"/>
                    </pic:cNvPicPr>
                  </pic:nvPicPr>
                  <pic:blipFill>
                    <a:blip r:embed="rId9" cstate="print"/>
                    <a:srcRect/>
                    <a:stretch>
                      <a:fillRect/>
                    </a:stretch>
                  </pic:blipFill>
                  <pic:spPr bwMode="auto">
                    <a:xfrm>
                      <a:off x="0" y="0"/>
                      <a:ext cx="4692921" cy="3279689"/>
                    </a:xfrm>
                    <a:prstGeom prst="rect">
                      <a:avLst/>
                    </a:prstGeom>
                    <a:noFill/>
                    <a:ln w="9525">
                      <a:noFill/>
                      <a:miter lim="800000"/>
                      <a:headEnd/>
                      <a:tailEnd/>
                    </a:ln>
                  </pic:spPr>
                </pic:pic>
              </a:graphicData>
            </a:graphic>
          </wp:inline>
        </w:drawing>
      </w:r>
    </w:p>
    <w:p w14:paraId="5BD07A4C" w14:textId="77777777" w:rsidR="0006485A" w:rsidRDefault="00AB6496" w:rsidP="00C37EAC">
      <w:pPr>
        <w:pStyle w:val="NormalWeb"/>
        <w:jc w:val="both"/>
      </w:pPr>
      <w:r w:rsidRPr="00C37EAC">
        <w:t xml:space="preserve">A dominant diffraction peak at approximately </w:t>
      </w:r>
      <w:r w:rsidRPr="00C37EAC">
        <w:rPr>
          <w:rStyle w:val="Strong"/>
        </w:rPr>
        <w:t>9.3° (2θ)</w:t>
      </w:r>
      <w:r w:rsidRPr="00C37EAC">
        <w:t xml:space="preserve">, corresponding to a basal spacing of ~10 Å, is characteristic of </w:t>
      </w:r>
      <w:proofErr w:type="spellStart"/>
      <w:r w:rsidRPr="00C37EAC">
        <w:rPr>
          <w:rStyle w:val="Strong"/>
        </w:rPr>
        <w:t>illite</w:t>
      </w:r>
      <w:proofErr w:type="spellEnd"/>
      <w:r w:rsidRPr="00C37EAC">
        <w:t xml:space="preserve">, indicating that it is the principal clay mineral in both samples. Secondary reflections observed around </w:t>
      </w:r>
      <w:r w:rsidRPr="00C37EAC">
        <w:rPr>
          <w:rStyle w:val="Strong"/>
        </w:rPr>
        <w:t>19–20° (2θ)</w:t>
      </w:r>
      <w:r w:rsidRPr="00C37EAC">
        <w:t xml:space="preserve"> are attributed to </w:t>
      </w:r>
      <w:r w:rsidRPr="00C37EAC">
        <w:rPr>
          <w:rStyle w:val="Strong"/>
        </w:rPr>
        <w:t>kaolinite</w:t>
      </w:r>
      <w:r w:rsidRPr="00C37EAC">
        <w:t xml:space="preserve">, confirming its presence as a subordinate clay phase. The relatively lower intensity of these peaks suggests that kaolinite </w:t>
      </w:r>
      <w:proofErr w:type="spellStart"/>
      <w:r w:rsidRPr="00C37EAC">
        <w:t>occur</w:t>
      </w:r>
      <w:r w:rsidR="003A05C6">
        <w:t>ed</w:t>
      </w:r>
      <w:proofErr w:type="spellEnd"/>
      <w:r w:rsidRPr="00C37EAC">
        <w:t xml:space="preserve"> in smaller proportions compared to </w:t>
      </w:r>
      <w:proofErr w:type="spellStart"/>
      <w:r w:rsidRPr="00C37EAC">
        <w:t>illite</w:t>
      </w:r>
      <w:proofErr w:type="spellEnd"/>
      <w:r w:rsidRPr="00C37EAC">
        <w:t xml:space="preserve">. A very strong and sharp peak at approximately </w:t>
      </w:r>
      <w:r w:rsidRPr="00C37EAC">
        <w:rPr>
          <w:rStyle w:val="Strong"/>
        </w:rPr>
        <w:t>26.6° (2θ)</w:t>
      </w:r>
      <w:r w:rsidRPr="00C37EAC">
        <w:t xml:space="preserve"> corresponds to </w:t>
      </w:r>
      <w:r w:rsidRPr="00C37EAC">
        <w:rPr>
          <w:rStyle w:val="Strong"/>
        </w:rPr>
        <w:t>quartz (</w:t>
      </w:r>
      <w:proofErr w:type="spellStart"/>
      <w:r w:rsidRPr="00C37EAC">
        <w:rPr>
          <w:rStyle w:val="Strong"/>
        </w:rPr>
        <w:t>SiO</w:t>
      </w:r>
      <w:proofErr w:type="spellEnd"/>
      <w:r w:rsidRPr="00C37EAC">
        <w:rPr>
          <w:rStyle w:val="Strong"/>
        </w:rPr>
        <w:t>₂)</w:t>
      </w:r>
      <w:r w:rsidRPr="00C37EAC">
        <w:t>, indicating a significant amount of crystalline silica. The high intensity and narrow width of this peak suggest a well-crystallized quartz phase. Comparatively, both samples exhibit</w:t>
      </w:r>
      <w:r w:rsidR="003A05C6">
        <w:t>ed</w:t>
      </w:r>
      <w:r w:rsidRPr="00C37EAC">
        <w:t xml:space="preserve"> similar mineralogical compositions, although the </w:t>
      </w:r>
      <w:proofErr w:type="spellStart"/>
      <w:r w:rsidRPr="00C37EAC">
        <w:t>Mbaukwu</w:t>
      </w:r>
      <w:proofErr w:type="spellEnd"/>
      <w:r w:rsidRPr="00C37EAC">
        <w:t xml:space="preserve"> clay show</w:t>
      </w:r>
      <w:r w:rsidR="003A05C6">
        <w:t>ed</w:t>
      </w:r>
      <w:r w:rsidRPr="00C37EAC">
        <w:t xml:space="preserve"> slightly higher peak intensities, indicating a relatively higher mineral concentration or crystallinity. Overall, the mineral assemblage</w:t>
      </w:r>
      <w:r w:rsidR="005E57E9" w:rsidRPr="00C37EAC">
        <w:t xml:space="preserve"> (Warr, 2022; Wilson, 2004)</w:t>
      </w:r>
      <w:r w:rsidRPr="00C37EAC">
        <w:t xml:space="preserve"> of </w:t>
      </w:r>
      <w:proofErr w:type="spellStart"/>
      <w:r w:rsidRPr="00C37EAC">
        <w:rPr>
          <w:rStyle w:val="Strong"/>
        </w:rPr>
        <w:t>illite</w:t>
      </w:r>
      <w:proofErr w:type="spellEnd"/>
      <w:r w:rsidRPr="00C37EAC">
        <w:rPr>
          <w:rStyle w:val="Strong"/>
        </w:rPr>
        <w:t>–kaolinite–quartz</w:t>
      </w:r>
      <w:r w:rsidRPr="00C37EAC">
        <w:t xml:space="preserve"> suggests that the clays </w:t>
      </w:r>
      <w:r w:rsidR="003A05C6">
        <w:t>were</w:t>
      </w:r>
      <w:r w:rsidRPr="00C37EAC">
        <w:t xml:space="preserve"> typical of weathered aluminosilicate deposits and may be suitable for ceramic and industrial applications.</w:t>
      </w:r>
      <w:r w:rsidR="00EB3755" w:rsidRPr="00C37EAC">
        <w:t xml:space="preserve"> The interplanar spacing (d-spacing) values were calculated using Bragg’s law: </w:t>
      </w:r>
    </w:p>
    <w:p w14:paraId="6BE0FAAE" w14:textId="5815EA75" w:rsidR="00EB3755" w:rsidRPr="00C37EAC" w:rsidRDefault="00EB3755" w:rsidP="00C37EAC">
      <w:pPr>
        <w:pStyle w:val="NormalWeb"/>
        <w:jc w:val="both"/>
      </w:pPr>
      <w:proofErr w:type="spellStart"/>
      <w:r w:rsidRPr="00C37EAC">
        <w:t>nλ</w:t>
      </w:r>
      <w:proofErr w:type="spellEnd"/>
      <w:r w:rsidRPr="00C37EAC">
        <w:t xml:space="preserve"> = 2d </w:t>
      </w:r>
      <w:proofErr w:type="spellStart"/>
      <w:r w:rsidRPr="00C37EAC">
        <w:t>sinθ</w:t>
      </w:r>
      <w:proofErr w:type="spellEnd"/>
      <w:r w:rsidRPr="00C37EAC">
        <w:t xml:space="preserve">, </w:t>
      </w:r>
      <w:proofErr w:type="gramStart"/>
      <w:r w:rsidRPr="00C37EAC">
        <w:t>Where</w:t>
      </w:r>
      <w:proofErr w:type="gramEnd"/>
      <w:r w:rsidRPr="00C37EAC">
        <w:t xml:space="preserve"> λ = 1.5406 Å (Cu Kα radiation) and n = 1, as seen in table 1.</w:t>
      </w:r>
    </w:p>
    <w:p w14:paraId="30FDE291" w14:textId="77777777" w:rsidR="00EB3755" w:rsidRPr="00C37EAC" w:rsidRDefault="00EB3755" w:rsidP="00C37EAC">
      <w:pPr>
        <w:pStyle w:val="NormalWeb"/>
        <w:spacing w:before="0" w:beforeAutospacing="0" w:after="0" w:afterAutospacing="0"/>
        <w:jc w:val="both"/>
      </w:pPr>
      <w:r w:rsidRPr="00C37EAC">
        <w:t>Table 1: XRD Peak Positions and Calculated d-spacing for Enugu-</w:t>
      </w:r>
      <w:proofErr w:type="spellStart"/>
      <w:r w:rsidRPr="00C37EAC">
        <w:t>Agidi</w:t>
      </w:r>
      <w:proofErr w:type="spellEnd"/>
      <w:r w:rsidRPr="00C37EAC">
        <w:t xml:space="preserve"> and </w:t>
      </w:r>
      <w:proofErr w:type="spellStart"/>
      <w:r w:rsidRPr="00C37EAC">
        <w:t>Mbaukwu</w:t>
      </w:r>
      <w:proofErr w:type="spellEnd"/>
      <w:r w:rsidRPr="00C37EAC">
        <w:t xml:space="preserve"> Clays</w:t>
      </w:r>
    </w:p>
    <w:tbl>
      <w:tblPr>
        <w:tblStyle w:val="TableGrid"/>
        <w:tblpPr w:leftFromText="180" w:rightFromText="180" w:vertAnchor="text" w:tblpX="108" w:tblpY="1"/>
        <w:tblW w:w="0" w:type="auto"/>
        <w:tblLayout w:type="fixed"/>
        <w:tblLook w:val="04A0" w:firstRow="1" w:lastRow="0" w:firstColumn="1" w:lastColumn="0" w:noHBand="0" w:noVBand="1"/>
      </w:tblPr>
      <w:tblGrid>
        <w:gridCol w:w="1098"/>
        <w:gridCol w:w="801"/>
        <w:gridCol w:w="718"/>
        <w:gridCol w:w="1380"/>
        <w:gridCol w:w="1691"/>
      </w:tblGrid>
      <w:tr w:rsidR="00C67DA9" w:rsidRPr="00C37EAC" w14:paraId="6A684CA2" w14:textId="77777777" w:rsidTr="00C67DA9">
        <w:tc>
          <w:tcPr>
            <w:tcW w:w="1098" w:type="dxa"/>
            <w:hideMark/>
          </w:tcPr>
          <w:p w14:paraId="16E9AA2C" w14:textId="77777777" w:rsidR="00EB3755" w:rsidRPr="00C37EAC" w:rsidRDefault="00EB3755" w:rsidP="00C37EAC">
            <w:pPr>
              <w:jc w:val="both"/>
              <w:rPr>
                <w:rFonts w:ascii="Times New Roman" w:hAnsi="Times New Roman" w:cs="Times New Roman"/>
                <w:bCs/>
                <w:sz w:val="24"/>
                <w:szCs w:val="24"/>
              </w:rPr>
            </w:pPr>
            <w:r w:rsidRPr="00C37EAC">
              <w:rPr>
                <w:rFonts w:ascii="Times New Roman" w:hAnsi="Times New Roman" w:cs="Times New Roman"/>
                <w:bCs/>
                <w:sz w:val="24"/>
                <w:szCs w:val="24"/>
              </w:rPr>
              <w:t>Sample</w:t>
            </w:r>
          </w:p>
        </w:tc>
        <w:tc>
          <w:tcPr>
            <w:tcW w:w="801" w:type="dxa"/>
            <w:hideMark/>
          </w:tcPr>
          <w:p w14:paraId="1D321721" w14:textId="77777777" w:rsidR="00EB3755" w:rsidRPr="00C37EAC" w:rsidRDefault="00EB3755" w:rsidP="00C37EAC">
            <w:pPr>
              <w:jc w:val="both"/>
              <w:rPr>
                <w:rFonts w:ascii="Times New Roman" w:hAnsi="Times New Roman" w:cs="Times New Roman"/>
                <w:bCs/>
                <w:sz w:val="24"/>
                <w:szCs w:val="24"/>
              </w:rPr>
            </w:pPr>
            <w:r w:rsidRPr="00C37EAC">
              <w:rPr>
                <w:rFonts w:ascii="Times New Roman" w:hAnsi="Times New Roman" w:cs="Times New Roman"/>
                <w:bCs/>
                <w:sz w:val="24"/>
                <w:szCs w:val="24"/>
              </w:rPr>
              <w:t>2θ (°)</w:t>
            </w:r>
          </w:p>
        </w:tc>
        <w:tc>
          <w:tcPr>
            <w:tcW w:w="718" w:type="dxa"/>
            <w:hideMark/>
          </w:tcPr>
          <w:p w14:paraId="25AE08DC" w14:textId="77777777" w:rsidR="00EB3755" w:rsidRPr="00C37EAC" w:rsidRDefault="00EB3755" w:rsidP="00C37EAC">
            <w:pPr>
              <w:jc w:val="both"/>
              <w:rPr>
                <w:rFonts w:ascii="Times New Roman" w:hAnsi="Times New Roman" w:cs="Times New Roman"/>
                <w:bCs/>
                <w:sz w:val="24"/>
                <w:szCs w:val="24"/>
              </w:rPr>
            </w:pPr>
            <w:r w:rsidRPr="00C37EAC">
              <w:rPr>
                <w:rFonts w:ascii="Times New Roman" w:hAnsi="Times New Roman" w:cs="Times New Roman"/>
                <w:bCs/>
                <w:sz w:val="24"/>
                <w:szCs w:val="24"/>
              </w:rPr>
              <w:t>θ (°)</w:t>
            </w:r>
          </w:p>
        </w:tc>
        <w:tc>
          <w:tcPr>
            <w:tcW w:w="1380" w:type="dxa"/>
            <w:hideMark/>
          </w:tcPr>
          <w:p w14:paraId="2096986C" w14:textId="77777777" w:rsidR="00EB3755" w:rsidRPr="00C37EAC" w:rsidRDefault="00EB3755" w:rsidP="00C37EAC">
            <w:pPr>
              <w:jc w:val="both"/>
              <w:rPr>
                <w:rFonts w:ascii="Times New Roman" w:hAnsi="Times New Roman" w:cs="Times New Roman"/>
                <w:bCs/>
                <w:sz w:val="24"/>
                <w:szCs w:val="24"/>
              </w:rPr>
            </w:pPr>
            <w:r w:rsidRPr="00C37EAC">
              <w:rPr>
                <w:rFonts w:ascii="Times New Roman" w:hAnsi="Times New Roman" w:cs="Times New Roman"/>
                <w:bCs/>
                <w:sz w:val="24"/>
                <w:szCs w:val="24"/>
              </w:rPr>
              <w:t>d-spacing (Å)</w:t>
            </w:r>
          </w:p>
        </w:tc>
        <w:tc>
          <w:tcPr>
            <w:tcW w:w="1691" w:type="dxa"/>
            <w:hideMark/>
          </w:tcPr>
          <w:p w14:paraId="4C621910" w14:textId="77777777" w:rsidR="00EB3755" w:rsidRPr="00C37EAC" w:rsidRDefault="00EB3755" w:rsidP="00C37EAC">
            <w:pPr>
              <w:jc w:val="both"/>
              <w:rPr>
                <w:rFonts w:ascii="Times New Roman" w:hAnsi="Times New Roman" w:cs="Times New Roman"/>
                <w:bCs/>
                <w:sz w:val="24"/>
                <w:szCs w:val="24"/>
              </w:rPr>
            </w:pPr>
            <w:r w:rsidRPr="00C37EAC">
              <w:rPr>
                <w:rFonts w:ascii="Times New Roman" w:hAnsi="Times New Roman" w:cs="Times New Roman"/>
                <w:bCs/>
                <w:sz w:val="24"/>
                <w:szCs w:val="24"/>
              </w:rPr>
              <w:t>Assigned Mineral</w:t>
            </w:r>
          </w:p>
        </w:tc>
      </w:tr>
      <w:tr w:rsidR="00C67DA9" w:rsidRPr="00C37EAC" w14:paraId="71E1AC06" w14:textId="77777777" w:rsidTr="00C67DA9">
        <w:trPr>
          <w:trHeight w:val="341"/>
        </w:trPr>
        <w:tc>
          <w:tcPr>
            <w:tcW w:w="1098" w:type="dxa"/>
            <w:hideMark/>
          </w:tcPr>
          <w:p w14:paraId="3E50CA2E"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Enugu-</w:t>
            </w:r>
            <w:proofErr w:type="spellStart"/>
            <w:r w:rsidRPr="00C37EAC">
              <w:rPr>
                <w:rFonts w:ascii="Times New Roman" w:hAnsi="Times New Roman" w:cs="Times New Roman"/>
                <w:sz w:val="24"/>
                <w:szCs w:val="24"/>
              </w:rPr>
              <w:t>Agidi</w:t>
            </w:r>
            <w:proofErr w:type="spellEnd"/>
          </w:p>
        </w:tc>
        <w:tc>
          <w:tcPr>
            <w:tcW w:w="801" w:type="dxa"/>
            <w:hideMark/>
          </w:tcPr>
          <w:p w14:paraId="3C690CB2"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9.30</w:t>
            </w:r>
          </w:p>
        </w:tc>
        <w:tc>
          <w:tcPr>
            <w:tcW w:w="718" w:type="dxa"/>
            <w:hideMark/>
          </w:tcPr>
          <w:p w14:paraId="2518D52B"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4.65</w:t>
            </w:r>
          </w:p>
        </w:tc>
        <w:tc>
          <w:tcPr>
            <w:tcW w:w="1380" w:type="dxa"/>
            <w:hideMark/>
          </w:tcPr>
          <w:p w14:paraId="44B6978E"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9.50 – 10.00</w:t>
            </w:r>
          </w:p>
        </w:tc>
        <w:tc>
          <w:tcPr>
            <w:tcW w:w="1691" w:type="dxa"/>
            <w:hideMark/>
          </w:tcPr>
          <w:p w14:paraId="2BE1009F" w14:textId="77777777" w:rsidR="00EB3755" w:rsidRPr="00C37EAC" w:rsidRDefault="00EB3755" w:rsidP="00C37EAC">
            <w:pPr>
              <w:jc w:val="both"/>
              <w:rPr>
                <w:rFonts w:ascii="Times New Roman" w:hAnsi="Times New Roman" w:cs="Times New Roman"/>
                <w:sz w:val="24"/>
                <w:szCs w:val="24"/>
              </w:rPr>
            </w:pPr>
            <w:proofErr w:type="spellStart"/>
            <w:r w:rsidRPr="00C37EAC">
              <w:rPr>
                <w:rFonts w:ascii="Times New Roman" w:hAnsi="Times New Roman" w:cs="Times New Roman"/>
                <w:sz w:val="24"/>
                <w:szCs w:val="24"/>
              </w:rPr>
              <w:t>Illite</w:t>
            </w:r>
            <w:proofErr w:type="spellEnd"/>
          </w:p>
        </w:tc>
      </w:tr>
      <w:tr w:rsidR="00C67DA9" w:rsidRPr="00C37EAC" w14:paraId="0225809E" w14:textId="77777777" w:rsidTr="00C67DA9">
        <w:trPr>
          <w:trHeight w:val="332"/>
        </w:trPr>
        <w:tc>
          <w:tcPr>
            <w:tcW w:w="1098" w:type="dxa"/>
            <w:hideMark/>
          </w:tcPr>
          <w:p w14:paraId="79916154" w14:textId="77777777" w:rsidR="00EB3755" w:rsidRPr="00C37EAC" w:rsidRDefault="00C67DA9" w:rsidP="00C37EAC">
            <w:pPr>
              <w:jc w:val="both"/>
              <w:rPr>
                <w:rFonts w:ascii="Times New Roman" w:hAnsi="Times New Roman" w:cs="Times New Roman"/>
                <w:sz w:val="24"/>
                <w:szCs w:val="24"/>
              </w:rPr>
            </w:pPr>
            <w:r w:rsidRPr="00C37EAC">
              <w:rPr>
                <w:rFonts w:ascii="Times New Roman" w:hAnsi="Times New Roman" w:cs="Times New Roman"/>
                <w:sz w:val="24"/>
                <w:szCs w:val="24"/>
              </w:rPr>
              <w:t>Enugu-</w:t>
            </w:r>
            <w:proofErr w:type="spellStart"/>
            <w:r w:rsidR="00EB3755" w:rsidRPr="00C37EAC">
              <w:rPr>
                <w:rFonts w:ascii="Times New Roman" w:hAnsi="Times New Roman" w:cs="Times New Roman"/>
                <w:sz w:val="24"/>
                <w:szCs w:val="24"/>
              </w:rPr>
              <w:t>Agidi</w:t>
            </w:r>
            <w:proofErr w:type="spellEnd"/>
          </w:p>
        </w:tc>
        <w:tc>
          <w:tcPr>
            <w:tcW w:w="801" w:type="dxa"/>
            <w:hideMark/>
          </w:tcPr>
          <w:p w14:paraId="594FDD28"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19.80</w:t>
            </w:r>
          </w:p>
        </w:tc>
        <w:tc>
          <w:tcPr>
            <w:tcW w:w="718" w:type="dxa"/>
            <w:hideMark/>
          </w:tcPr>
          <w:p w14:paraId="67E43B4B"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9.90</w:t>
            </w:r>
          </w:p>
        </w:tc>
        <w:tc>
          <w:tcPr>
            <w:tcW w:w="1380" w:type="dxa"/>
            <w:hideMark/>
          </w:tcPr>
          <w:p w14:paraId="39C39E70"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4.48</w:t>
            </w:r>
          </w:p>
        </w:tc>
        <w:tc>
          <w:tcPr>
            <w:tcW w:w="1691" w:type="dxa"/>
            <w:hideMark/>
          </w:tcPr>
          <w:p w14:paraId="20A201A3"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Kaolinite</w:t>
            </w:r>
          </w:p>
        </w:tc>
      </w:tr>
      <w:tr w:rsidR="00C67DA9" w:rsidRPr="00C37EAC" w14:paraId="688AE301" w14:textId="77777777" w:rsidTr="00C67DA9">
        <w:tc>
          <w:tcPr>
            <w:tcW w:w="1098" w:type="dxa"/>
            <w:hideMark/>
          </w:tcPr>
          <w:p w14:paraId="73C3DBED"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Enugu-</w:t>
            </w:r>
            <w:proofErr w:type="spellStart"/>
            <w:r w:rsidRPr="00C37EAC">
              <w:rPr>
                <w:rFonts w:ascii="Times New Roman" w:hAnsi="Times New Roman" w:cs="Times New Roman"/>
                <w:sz w:val="24"/>
                <w:szCs w:val="24"/>
              </w:rPr>
              <w:t>Agidi</w:t>
            </w:r>
            <w:proofErr w:type="spellEnd"/>
          </w:p>
        </w:tc>
        <w:tc>
          <w:tcPr>
            <w:tcW w:w="801" w:type="dxa"/>
            <w:hideMark/>
          </w:tcPr>
          <w:p w14:paraId="3BD90B96"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26.60</w:t>
            </w:r>
          </w:p>
        </w:tc>
        <w:tc>
          <w:tcPr>
            <w:tcW w:w="718" w:type="dxa"/>
            <w:hideMark/>
          </w:tcPr>
          <w:p w14:paraId="109E470C"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13.30</w:t>
            </w:r>
          </w:p>
        </w:tc>
        <w:tc>
          <w:tcPr>
            <w:tcW w:w="1380" w:type="dxa"/>
            <w:hideMark/>
          </w:tcPr>
          <w:p w14:paraId="23184AC3"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3.34</w:t>
            </w:r>
          </w:p>
        </w:tc>
        <w:tc>
          <w:tcPr>
            <w:tcW w:w="1691" w:type="dxa"/>
            <w:hideMark/>
          </w:tcPr>
          <w:p w14:paraId="75F8E58A"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Quartz</w:t>
            </w:r>
          </w:p>
        </w:tc>
      </w:tr>
      <w:tr w:rsidR="00C67DA9" w:rsidRPr="00C37EAC" w14:paraId="557F7F36" w14:textId="77777777" w:rsidTr="00C67DA9">
        <w:tc>
          <w:tcPr>
            <w:tcW w:w="1098" w:type="dxa"/>
            <w:hideMark/>
          </w:tcPr>
          <w:p w14:paraId="33339194" w14:textId="77777777" w:rsidR="00EB3755" w:rsidRPr="00C37EAC" w:rsidRDefault="00EB3755" w:rsidP="00C37EAC">
            <w:pPr>
              <w:jc w:val="both"/>
              <w:rPr>
                <w:rFonts w:ascii="Times New Roman" w:hAnsi="Times New Roman" w:cs="Times New Roman"/>
                <w:sz w:val="24"/>
                <w:szCs w:val="24"/>
              </w:rPr>
            </w:pPr>
            <w:proofErr w:type="spellStart"/>
            <w:r w:rsidRPr="00C37EAC">
              <w:rPr>
                <w:rFonts w:ascii="Times New Roman" w:hAnsi="Times New Roman" w:cs="Times New Roman"/>
                <w:sz w:val="24"/>
                <w:szCs w:val="24"/>
              </w:rPr>
              <w:lastRenderedPageBreak/>
              <w:t>Mbaukwu</w:t>
            </w:r>
            <w:proofErr w:type="spellEnd"/>
          </w:p>
        </w:tc>
        <w:tc>
          <w:tcPr>
            <w:tcW w:w="801" w:type="dxa"/>
            <w:hideMark/>
          </w:tcPr>
          <w:p w14:paraId="5C64AA0A"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9.30</w:t>
            </w:r>
          </w:p>
        </w:tc>
        <w:tc>
          <w:tcPr>
            <w:tcW w:w="718" w:type="dxa"/>
            <w:hideMark/>
          </w:tcPr>
          <w:p w14:paraId="1CDC2238"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4.65</w:t>
            </w:r>
          </w:p>
        </w:tc>
        <w:tc>
          <w:tcPr>
            <w:tcW w:w="1380" w:type="dxa"/>
            <w:hideMark/>
          </w:tcPr>
          <w:p w14:paraId="441976FD"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9.50 – 10.00</w:t>
            </w:r>
          </w:p>
        </w:tc>
        <w:tc>
          <w:tcPr>
            <w:tcW w:w="1691" w:type="dxa"/>
            <w:hideMark/>
          </w:tcPr>
          <w:p w14:paraId="1FF6AE0A" w14:textId="77777777" w:rsidR="00EB3755" w:rsidRPr="00C37EAC" w:rsidRDefault="00EB3755" w:rsidP="00C37EAC">
            <w:pPr>
              <w:jc w:val="both"/>
              <w:rPr>
                <w:rFonts w:ascii="Times New Roman" w:hAnsi="Times New Roman" w:cs="Times New Roman"/>
                <w:sz w:val="24"/>
                <w:szCs w:val="24"/>
              </w:rPr>
            </w:pPr>
            <w:proofErr w:type="spellStart"/>
            <w:r w:rsidRPr="00C37EAC">
              <w:rPr>
                <w:rFonts w:ascii="Times New Roman" w:hAnsi="Times New Roman" w:cs="Times New Roman"/>
                <w:sz w:val="24"/>
                <w:szCs w:val="24"/>
              </w:rPr>
              <w:t>Illite</w:t>
            </w:r>
            <w:proofErr w:type="spellEnd"/>
          </w:p>
        </w:tc>
      </w:tr>
      <w:tr w:rsidR="00C67DA9" w:rsidRPr="00C37EAC" w14:paraId="4B20798B" w14:textId="77777777" w:rsidTr="00C67DA9">
        <w:tc>
          <w:tcPr>
            <w:tcW w:w="1098" w:type="dxa"/>
            <w:hideMark/>
          </w:tcPr>
          <w:p w14:paraId="174022B2" w14:textId="77777777" w:rsidR="00EB3755" w:rsidRPr="00C37EAC" w:rsidRDefault="00EB3755" w:rsidP="00C37EAC">
            <w:pPr>
              <w:jc w:val="both"/>
              <w:rPr>
                <w:rFonts w:ascii="Times New Roman" w:hAnsi="Times New Roman" w:cs="Times New Roman"/>
                <w:sz w:val="24"/>
                <w:szCs w:val="24"/>
              </w:rPr>
            </w:pPr>
            <w:proofErr w:type="spellStart"/>
            <w:r w:rsidRPr="00C37EAC">
              <w:rPr>
                <w:rFonts w:ascii="Times New Roman" w:hAnsi="Times New Roman" w:cs="Times New Roman"/>
                <w:sz w:val="24"/>
                <w:szCs w:val="24"/>
              </w:rPr>
              <w:t>Mbaukwu</w:t>
            </w:r>
            <w:proofErr w:type="spellEnd"/>
          </w:p>
        </w:tc>
        <w:tc>
          <w:tcPr>
            <w:tcW w:w="801" w:type="dxa"/>
            <w:hideMark/>
          </w:tcPr>
          <w:p w14:paraId="127FC59B"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19.80</w:t>
            </w:r>
          </w:p>
        </w:tc>
        <w:tc>
          <w:tcPr>
            <w:tcW w:w="718" w:type="dxa"/>
            <w:hideMark/>
          </w:tcPr>
          <w:p w14:paraId="4ACC94F6"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9.90</w:t>
            </w:r>
          </w:p>
        </w:tc>
        <w:tc>
          <w:tcPr>
            <w:tcW w:w="1380" w:type="dxa"/>
            <w:hideMark/>
          </w:tcPr>
          <w:p w14:paraId="257B906A"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4.48</w:t>
            </w:r>
          </w:p>
        </w:tc>
        <w:tc>
          <w:tcPr>
            <w:tcW w:w="1691" w:type="dxa"/>
            <w:hideMark/>
          </w:tcPr>
          <w:p w14:paraId="105FED54"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Kaolinite</w:t>
            </w:r>
          </w:p>
        </w:tc>
      </w:tr>
      <w:tr w:rsidR="00C67DA9" w:rsidRPr="00C37EAC" w14:paraId="5FC7019D" w14:textId="77777777" w:rsidTr="00C67DA9">
        <w:tc>
          <w:tcPr>
            <w:tcW w:w="1098" w:type="dxa"/>
            <w:hideMark/>
          </w:tcPr>
          <w:p w14:paraId="37E3B505" w14:textId="77777777" w:rsidR="00EB3755" w:rsidRPr="00C37EAC" w:rsidRDefault="00EB3755" w:rsidP="00C37EAC">
            <w:pPr>
              <w:jc w:val="both"/>
              <w:rPr>
                <w:rFonts w:ascii="Times New Roman" w:hAnsi="Times New Roman" w:cs="Times New Roman"/>
                <w:sz w:val="24"/>
                <w:szCs w:val="24"/>
              </w:rPr>
            </w:pPr>
            <w:proofErr w:type="spellStart"/>
            <w:r w:rsidRPr="00C37EAC">
              <w:rPr>
                <w:rFonts w:ascii="Times New Roman" w:hAnsi="Times New Roman" w:cs="Times New Roman"/>
                <w:sz w:val="24"/>
                <w:szCs w:val="24"/>
              </w:rPr>
              <w:t>Mbaukwu</w:t>
            </w:r>
            <w:proofErr w:type="spellEnd"/>
          </w:p>
        </w:tc>
        <w:tc>
          <w:tcPr>
            <w:tcW w:w="801" w:type="dxa"/>
            <w:hideMark/>
          </w:tcPr>
          <w:p w14:paraId="35A44D65"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26.60</w:t>
            </w:r>
          </w:p>
        </w:tc>
        <w:tc>
          <w:tcPr>
            <w:tcW w:w="718" w:type="dxa"/>
            <w:hideMark/>
          </w:tcPr>
          <w:p w14:paraId="7B39E797"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13.30</w:t>
            </w:r>
          </w:p>
        </w:tc>
        <w:tc>
          <w:tcPr>
            <w:tcW w:w="1380" w:type="dxa"/>
            <w:hideMark/>
          </w:tcPr>
          <w:p w14:paraId="77768C21"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3.34</w:t>
            </w:r>
          </w:p>
        </w:tc>
        <w:tc>
          <w:tcPr>
            <w:tcW w:w="1691" w:type="dxa"/>
            <w:hideMark/>
          </w:tcPr>
          <w:p w14:paraId="19EACCFF" w14:textId="77777777" w:rsidR="00EB3755" w:rsidRPr="00C37EAC" w:rsidRDefault="00EB3755" w:rsidP="00C37EAC">
            <w:pPr>
              <w:jc w:val="both"/>
              <w:rPr>
                <w:rFonts w:ascii="Times New Roman" w:hAnsi="Times New Roman" w:cs="Times New Roman"/>
                <w:sz w:val="24"/>
                <w:szCs w:val="24"/>
              </w:rPr>
            </w:pPr>
            <w:r w:rsidRPr="00C37EAC">
              <w:rPr>
                <w:rFonts w:ascii="Times New Roman" w:hAnsi="Times New Roman" w:cs="Times New Roman"/>
                <w:sz w:val="24"/>
                <w:szCs w:val="24"/>
              </w:rPr>
              <w:t>Quartz</w:t>
            </w:r>
          </w:p>
        </w:tc>
      </w:tr>
    </w:tbl>
    <w:p w14:paraId="7095DFF7" w14:textId="77777777" w:rsidR="00C67DA9" w:rsidRPr="00C37EAC" w:rsidRDefault="00EB3755" w:rsidP="00C37EAC">
      <w:pPr>
        <w:pStyle w:val="NormalWeb"/>
        <w:spacing w:before="0" w:beforeAutospacing="0" w:after="0" w:afterAutospacing="0"/>
        <w:jc w:val="both"/>
      </w:pPr>
      <w:r w:rsidRPr="00C37EAC">
        <w:br w:type="textWrapping" w:clear="all"/>
      </w:r>
    </w:p>
    <w:p w14:paraId="40BDF134" w14:textId="12C77FEF" w:rsidR="00C67DA9" w:rsidRPr="00C37EAC" w:rsidRDefault="00C67DA9" w:rsidP="00C37EAC">
      <w:pPr>
        <w:pStyle w:val="NormalWeb"/>
        <w:spacing w:before="0" w:beforeAutospacing="0" w:after="0" w:afterAutospacing="0"/>
        <w:jc w:val="both"/>
      </w:pPr>
      <w:r w:rsidRPr="00C37EAC">
        <w:t xml:space="preserve">The calculated d-spacing values for both </w:t>
      </w:r>
      <w:r w:rsidRPr="00C37EAC">
        <w:rPr>
          <w:rStyle w:val="Strong"/>
        </w:rPr>
        <w:t>Enugu-</w:t>
      </w:r>
      <w:proofErr w:type="spellStart"/>
      <w:r w:rsidRPr="00C37EAC">
        <w:rPr>
          <w:rStyle w:val="Strong"/>
        </w:rPr>
        <w:t>Agidi</w:t>
      </w:r>
      <w:proofErr w:type="spellEnd"/>
      <w:r w:rsidRPr="00C37EAC">
        <w:t xml:space="preserve"> and </w:t>
      </w:r>
      <w:proofErr w:type="spellStart"/>
      <w:r w:rsidRPr="00C37EAC">
        <w:rPr>
          <w:rStyle w:val="Strong"/>
        </w:rPr>
        <w:t>Mbaukwu</w:t>
      </w:r>
      <w:proofErr w:type="spellEnd"/>
      <w:r w:rsidRPr="00C37EAC">
        <w:t xml:space="preserve"> clay samples were interpreted by comparison with standard diffraction data from the </w:t>
      </w:r>
      <w:r w:rsidRPr="00C37EAC">
        <w:rPr>
          <w:rStyle w:val="Strong"/>
        </w:rPr>
        <w:t>ICDD Powder Diffraction File (PDF)</w:t>
      </w:r>
      <w:r w:rsidRPr="00C37EAC">
        <w:t xml:space="preserve"> database. A basal reflection observed at </w:t>
      </w:r>
      <w:r w:rsidRPr="00C37EAC">
        <w:rPr>
          <w:rStyle w:val="Strong"/>
        </w:rPr>
        <w:t>d ≈ 9.50–10.00 Å (2θ ≈ 9.30°)</w:t>
      </w:r>
      <w:r w:rsidRPr="00C37EAC">
        <w:t xml:space="preserve"> in both samples is characteristic of </w:t>
      </w:r>
      <w:proofErr w:type="spellStart"/>
      <w:r w:rsidRPr="00C37EAC">
        <w:rPr>
          <w:rStyle w:val="Strong"/>
        </w:rPr>
        <w:t>illite</w:t>
      </w:r>
      <w:proofErr w:type="spellEnd"/>
      <w:r w:rsidRPr="00C37EAC">
        <w:t xml:space="preserve"> (JCPDS PDF 26-0911). This peak represents the (001) plane of </w:t>
      </w:r>
      <w:proofErr w:type="spellStart"/>
      <w:r w:rsidRPr="00C37EAC">
        <w:t>illite</w:t>
      </w:r>
      <w:proofErr w:type="spellEnd"/>
      <w:r w:rsidRPr="00C37EAC">
        <w:t xml:space="preserve"> and confirms the presence of a </w:t>
      </w:r>
      <w:r w:rsidRPr="00C37EAC">
        <w:rPr>
          <w:rStyle w:val="Strong"/>
        </w:rPr>
        <w:t>non-expanding clay mineral</w:t>
      </w:r>
      <w:r w:rsidRPr="00C37EAC">
        <w:t xml:space="preserve"> formed under moderate weathering conditions. The reflection at </w:t>
      </w:r>
      <w:r w:rsidRPr="00C37EAC">
        <w:rPr>
          <w:rStyle w:val="Strong"/>
        </w:rPr>
        <w:t>d ≈ 4.48 Å (2θ ≈ 19.80°)</w:t>
      </w:r>
      <w:r w:rsidRPr="00C37EAC">
        <w:t xml:space="preserve"> corresponds to </w:t>
      </w:r>
      <w:r w:rsidRPr="00C37EAC">
        <w:rPr>
          <w:rStyle w:val="Strong"/>
        </w:rPr>
        <w:t>kaolinite</w:t>
      </w:r>
      <w:r w:rsidRPr="00C37EAC">
        <w:t xml:space="preserve"> (JCPDS PDF 14-0164). Although the most diagnostic kaolinite peak typically occurs at ~7.15 Å, the presence of this secondary reflection supports the occurrence of </w:t>
      </w:r>
      <w:r w:rsidRPr="00C37EAC">
        <w:rPr>
          <w:rStyle w:val="Strong"/>
        </w:rPr>
        <w:t>kaolinitic clay minerals</w:t>
      </w:r>
      <w:r w:rsidRPr="00C37EAC">
        <w:t xml:space="preserve">, indicating advanced chemical weathering and leaching processes. A very strong and sharp peak at </w:t>
      </w:r>
      <w:r w:rsidRPr="00C37EAC">
        <w:rPr>
          <w:rStyle w:val="Strong"/>
        </w:rPr>
        <w:t>d ≈ 3.34 Å (2θ ≈ 26.60°)</w:t>
      </w:r>
      <w:r w:rsidRPr="00C37EAC">
        <w:t xml:space="preserve"> is attributed to </w:t>
      </w:r>
      <w:r w:rsidRPr="00C37EAC">
        <w:rPr>
          <w:rStyle w:val="Strong"/>
        </w:rPr>
        <w:t>quartz</w:t>
      </w:r>
      <w:r w:rsidRPr="00C37EAC">
        <w:t xml:space="preserve"> (JCPDS PDF 46-1045). This peak is highly diagnostic and indicate</w:t>
      </w:r>
      <w:r w:rsidR="0006485A">
        <w:t>d</w:t>
      </w:r>
      <w:r w:rsidRPr="00C37EAC">
        <w:t xml:space="preserve"> a significant proportion of </w:t>
      </w:r>
      <w:r w:rsidRPr="00C37EAC">
        <w:rPr>
          <w:rStyle w:val="Strong"/>
        </w:rPr>
        <w:t>free silica</w:t>
      </w:r>
      <w:r w:rsidRPr="00C37EAC">
        <w:t xml:space="preserve"> in both clay deposits, suggesting incomplete weathering of parent rock materials.</w:t>
      </w:r>
    </w:p>
    <w:p w14:paraId="51DB3613" w14:textId="77777777" w:rsidR="00C67DA9" w:rsidRPr="00C37EAC" w:rsidRDefault="00C67DA9" w:rsidP="00C37EAC">
      <w:pPr>
        <w:pStyle w:val="NormalWeb"/>
        <w:spacing w:before="0" w:beforeAutospacing="0" w:after="0" w:afterAutospacing="0"/>
        <w:jc w:val="both"/>
      </w:pPr>
    </w:p>
    <w:p w14:paraId="61B65D1A" w14:textId="4D6BDA01" w:rsidR="00C67DA9" w:rsidRPr="00C37EAC" w:rsidRDefault="003216A3" w:rsidP="00C37EAC">
      <w:pPr>
        <w:pStyle w:val="NormalWeb"/>
        <w:spacing w:before="0" w:beforeAutospacing="0" w:after="0" w:afterAutospacing="0"/>
        <w:jc w:val="both"/>
        <w:rPr>
          <w:b/>
          <w:bCs/>
        </w:rPr>
      </w:pPr>
      <w:r w:rsidRPr="00C37EAC">
        <w:rPr>
          <w:b/>
          <w:bCs/>
        </w:rPr>
        <w:t>Geochemical Composition</w:t>
      </w:r>
    </w:p>
    <w:p w14:paraId="2C1EA55C" w14:textId="77777777" w:rsidR="00C67DA9" w:rsidRPr="00C37EAC" w:rsidRDefault="00D852F8" w:rsidP="00C37EAC">
      <w:pPr>
        <w:pStyle w:val="NormalWeb"/>
        <w:spacing w:before="0" w:beforeAutospacing="0" w:after="0" w:afterAutospacing="0"/>
        <w:jc w:val="both"/>
      </w:pPr>
      <w:r w:rsidRPr="00C37EAC">
        <w:t xml:space="preserve">The major oxide compositions of </w:t>
      </w:r>
      <w:proofErr w:type="spellStart"/>
      <w:r w:rsidRPr="00C37EAC">
        <w:t>Enugwu-agidi</w:t>
      </w:r>
      <w:proofErr w:type="spellEnd"/>
      <w:r w:rsidRPr="00C37EAC">
        <w:t xml:space="preserve"> and </w:t>
      </w:r>
      <w:proofErr w:type="spellStart"/>
      <w:r w:rsidRPr="00C37EAC">
        <w:t>Mbaukwu</w:t>
      </w:r>
      <w:proofErr w:type="spellEnd"/>
      <w:r w:rsidRPr="00C37EAC">
        <w:t xml:space="preserve"> clay samples are presented in Table 2.</w:t>
      </w:r>
      <w:r w:rsidR="003216A3" w:rsidRPr="00C37EAC">
        <w:t xml:space="preserve"> </w:t>
      </w:r>
    </w:p>
    <w:p w14:paraId="2EBA7804" w14:textId="77777777" w:rsidR="00E30970" w:rsidRPr="00C37EAC" w:rsidRDefault="002B6B72" w:rsidP="00C37EAC">
      <w:pPr>
        <w:pStyle w:val="NormalWeb"/>
        <w:spacing w:before="0" w:beforeAutospacing="0" w:after="0" w:afterAutospacing="0"/>
        <w:jc w:val="both"/>
      </w:pPr>
      <w:r w:rsidRPr="00C37EAC">
        <w:rPr>
          <w:bCs/>
        </w:rPr>
        <w:t>Table 2: Major Oxide</w:t>
      </w:r>
      <w:r w:rsidR="00E30970" w:rsidRPr="00C37EAC">
        <w:rPr>
          <w:bCs/>
        </w:rPr>
        <w:t xml:space="preserve"> Composition</w:t>
      </w:r>
      <w:r w:rsidRPr="00C37EAC">
        <w:rPr>
          <w:bCs/>
        </w:rPr>
        <w:t>s</w:t>
      </w:r>
      <w:r w:rsidR="00E30970" w:rsidRPr="00C37EAC">
        <w:rPr>
          <w:bCs/>
        </w:rPr>
        <w:t xml:space="preserve"> of Clay Samples (</w:t>
      </w:r>
      <w:proofErr w:type="spellStart"/>
      <w:r w:rsidR="00E30970" w:rsidRPr="00C37EAC">
        <w:rPr>
          <w:bCs/>
        </w:rPr>
        <w:t>wt</w:t>
      </w:r>
      <w:proofErr w:type="spellEnd"/>
      <w:r w:rsidR="00E30970" w:rsidRPr="00C37EAC">
        <w:rPr>
          <w:bCs/>
        </w:rPr>
        <w:t>%)</w:t>
      </w:r>
    </w:p>
    <w:tbl>
      <w:tblPr>
        <w:tblStyle w:val="TableGrid"/>
        <w:tblW w:w="0" w:type="auto"/>
        <w:tblLook w:val="04A0" w:firstRow="1" w:lastRow="0" w:firstColumn="1" w:lastColumn="0" w:noHBand="0" w:noVBand="1"/>
      </w:tblPr>
      <w:tblGrid>
        <w:gridCol w:w="1192"/>
        <w:gridCol w:w="721"/>
        <w:gridCol w:w="803"/>
        <w:gridCol w:w="793"/>
        <w:gridCol w:w="753"/>
        <w:gridCol w:w="713"/>
        <w:gridCol w:w="729"/>
        <w:gridCol w:w="705"/>
        <w:gridCol w:w="729"/>
        <w:gridCol w:w="753"/>
        <w:gridCol w:w="770"/>
        <w:gridCol w:w="689"/>
      </w:tblGrid>
      <w:tr w:rsidR="001F5495" w:rsidRPr="00C37EAC" w14:paraId="1FDFD91C" w14:textId="77777777" w:rsidTr="001F5495">
        <w:tc>
          <w:tcPr>
            <w:tcW w:w="1191" w:type="dxa"/>
          </w:tcPr>
          <w:p w14:paraId="429AF0C5" w14:textId="77777777" w:rsidR="001F5495" w:rsidRPr="00C37EAC" w:rsidRDefault="001F5495"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Clay sample location (%)</w:t>
            </w:r>
          </w:p>
        </w:tc>
        <w:tc>
          <w:tcPr>
            <w:tcW w:w="749" w:type="dxa"/>
          </w:tcPr>
          <w:p w14:paraId="4D137BB3" w14:textId="77777777" w:rsidR="001F5495" w:rsidRPr="00C37EAC" w:rsidRDefault="001F5495" w:rsidP="00C37EAC">
            <w:pPr>
              <w:jc w:val="both"/>
              <w:rPr>
                <w:rFonts w:ascii="Times New Roman" w:hAnsi="Times New Roman" w:cs="Times New Roman"/>
                <w:sz w:val="24"/>
                <w:szCs w:val="24"/>
              </w:rPr>
            </w:pPr>
            <w:r w:rsidRPr="00C37EAC">
              <w:rPr>
                <w:rFonts w:ascii="Times New Roman" w:hAnsi="Times New Roman" w:cs="Times New Roman"/>
                <w:sz w:val="24"/>
                <w:szCs w:val="24"/>
              </w:rPr>
              <w:t>SiO</w:t>
            </w:r>
            <w:r w:rsidRPr="00C37EAC">
              <w:rPr>
                <w:rFonts w:ascii="Times New Roman" w:hAnsi="Times New Roman" w:cs="Times New Roman"/>
                <w:sz w:val="24"/>
                <w:szCs w:val="24"/>
                <w:vertAlign w:val="subscript"/>
              </w:rPr>
              <w:t>2</w:t>
            </w:r>
          </w:p>
        </w:tc>
        <w:tc>
          <w:tcPr>
            <w:tcW w:w="803" w:type="dxa"/>
          </w:tcPr>
          <w:p w14:paraId="7F7D5C76" w14:textId="77777777" w:rsidR="001F5495" w:rsidRPr="00C37EAC" w:rsidRDefault="001F5495" w:rsidP="00C37EAC">
            <w:pPr>
              <w:jc w:val="both"/>
              <w:rPr>
                <w:rFonts w:ascii="Times New Roman" w:hAnsi="Times New Roman" w:cs="Times New Roman"/>
                <w:sz w:val="24"/>
                <w:szCs w:val="24"/>
              </w:rPr>
            </w:pPr>
            <w:r w:rsidRPr="00C37EAC">
              <w:rPr>
                <w:rFonts w:ascii="Times New Roman" w:eastAsia="Times New Roman" w:hAnsi="Times New Roman" w:cs="Times New Roman"/>
                <w:sz w:val="24"/>
                <w:szCs w:val="24"/>
              </w:rPr>
              <w:t>AI</w:t>
            </w:r>
            <w:r w:rsidRPr="00C37EAC">
              <w:rPr>
                <w:rFonts w:ascii="Times New Roman" w:eastAsia="Times New Roman" w:hAnsi="Times New Roman" w:cs="Times New Roman"/>
                <w:sz w:val="24"/>
                <w:szCs w:val="24"/>
                <w:vertAlign w:val="subscript"/>
              </w:rPr>
              <w:t>2</w:t>
            </w:r>
            <w:r w:rsidRPr="00C37EAC">
              <w:rPr>
                <w:rFonts w:ascii="Times New Roman" w:eastAsia="Times New Roman" w:hAnsi="Times New Roman" w:cs="Times New Roman"/>
                <w:sz w:val="24"/>
                <w:szCs w:val="24"/>
              </w:rPr>
              <w:t>O</w:t>
            </w:r>
            <w:r w:rsidRPr="00C37EAC">
              <w:rPr>
                <w:rFonts w:ascii="Times New Roman" w:eastAsia="Times New Roman" w:hAnsi="Times New Roman" w:cs="Times New Roman"/>
                <w:sz w:val="24"/>
                <w:szCs w:val="24"/>
                <w:vertAlign w:val="subscript"/>
              </w:rPr>
              <w:t>3</w:t>
            </w:r>
          </w:p>
        </w:tc>
        <w:tc>
          <w:tcPr>
            <w:tcW w:w="795" w:type="dxa"/>
          </w:tcPr>
          <w:p w14:paraId="0751244A" w14:textId="77777777" w:rsidR="001F5495" w:rsidRPr="00C37EAC" w:rsidRDefault="001F5495" w:rsidP="00C37EAC">
            <w:pPr>
              <w:jc w:val="both"/>
              <w:rPr>
                <w:rFonts w:ascii="Times New Roman" w:hAnsi="Times New Roman" w:cs="Times New Roman"/>
                <w:sz w:val="24"/>
                <w:szCs w:val="24"/>
              </w:rPr>
            </w:pPr>
            <w:r w:rsidRPr="00C37EAC">
              <w:rPr>
                <w:rFonts w:ascii="Times New Roman" w:eastAsia="Times New Roman" w:hAnsi="Times New Roman" w:cs="Times New Roman"/>
                <w:sz w:val="24"/>
                <w:szCs w:val="24"/>
              </w:rPr>
              <w:t>Fe</w:t>
            </w:r>
            <w:r w:rsidRPr="00C37EAC">
              <w:rPr>
                <w:rFonts w:ascii="Times New Roman" w:eastAsia="Times New Roman" w:hAnsi="Times New Roman" w:cs="Times New Roman"/>
                <w:sz w:val="24"/>
                <w:szCs w:val="24"/>
                <w:vertAlign w:val="subscript"/>
              </w:rPr>
              <w:t>2</w:t>
            </w:r>
            <w:r w:rsidRPr="00C37EAC">
              <w:rPr>
                <w:rFonts w:ascii="Times New Roman" w:eastAsia="Times New Roman" w:hAnsi="Times New Roman" w:cs="Times New Roman"/>
                <w:sz w:val="24"/>
                <w:szCs w:val="24"/>
              </w:rPr>
              <w:t>O</w:t>
            </w:r>
            <w:r w:rsidRPr="00C37EAC">
              <w:rPr>
                <w:rFonts w:ascii="Times New Roman" w:eastAsia="Times New Roman" w:hAnsi="Times New Roman" w:cs="Times New Roman"/>
                <w:sz w:val="24"/>
                <w:szCs w:val="24"/>
                <w:vertAlign w:val="subscript"/>
              </w:rPr>
              <w:t>3</w:t>
            </w:r>
          </w:p>
        </w:tc>
        <w:tc>
          <w:tcPr>
            <w:tcW w:w="769" w:type="dxa"/>
          </w:tcPr>
          <w:p w14:paraId="4EE9E374" w14:textId="77777777" w:rsidR="001F5495" w:rsidRPr="00C37EAC" w:rsidRDefault="001F5495" w:rsidP="00C37EAC">
            <w:pPr>
              <w:jc w:val="both"/>
              <w:rPr>
                <w:rFonts w:ascii="Times New Roman" w:hAnsi="Times New Roman" w:cs="Times New Roman"/>
                <w:sz w:val="24"/>
                <w:szCs w:val="24"/>
              </w:rPr>
            </w:pPr>
            <w:proofErr w:type="spellStart"/>
            <w:r w:rsidRPr="00C37EAC">
              <w:rPr>
                <w:rFonts w:ascii="Times New Roman" w:eastAsia="Times New Roman" w:hAnsi="Times New Roman" w:cs="Times New Roman"/>
                <w:sz w:val="24"/>
                <w:szCs w:val="24"/>
              </w:rPr>
              <w:t>MnO</w:t>
            </w:r>
            <w:proofErr w:type="spellEnd"/>
          </w:p>
        </w:tc>
        <w:tc>
          <w:tcPr>
            <w:tcW w:w="744" w:type="dxa"/>
          </w:tcPr>
          <w:p w14:paraId="7DC7B84C" w14:textId="77777777" w:rsidR="001F5495" w:rsidRPr="00C37EAC" w:rsidRDefault="001F5495" w:rsidP="00C37EAC">
            <w:pPr>
              <w:jc w:val="both"/>
              <w:rPr>
                <w:rFonts w:ascii="Times New Roman" w:hAnsi="Times New Roman" w:cs="Times New Roman"/>
                <w:sz w:val="24"/>
                <w:szCs w:val="24"/>
              </w:rPr>
            </w:pPr>
            <w:proofErr w:type="spellStart"/>
            <w:r w:rsidRPr="00C37EAC">
              <w:rPr>
                <w:rFonts w:ascii="Times New Roman" w:eastAsia="Times New Roman" w:hAnsi="Times New Roman" w:cs="Times New Roman"/>
                <w:sz w:val="24"/>
                <w:szCs w:val="24"/>
              </w:rPr>
              <w:t>CaO</w:t>
            </w:r>
            <w:proofErr w:type="spellEnd"/>
          </w:p>
        </w:tc>
        <w:tc>
          <w:tcPr>
            <w:tcW w:w="754" w:type="dxa"/>
          </w:tcPr>
          <w:p w14:paraId="71F62FAC" w14:textId="77777777" w:rsidR="001F5495" w:rsidRPr="00C37EAC" w:rsidRDefault="001F5495" w:rsidP="00C37EAC">
            <w:pPr>
              <w:jc w:val="both"/>
              <w:rPr>
                <w:rFonts w:ascii="Times New Roman" w:hAnsi="Times New Roman" w:cs="Times New Roman"/>
                <w:sz w:val="24"/>
                <w:szCs w:val="24"/>
              </w:rPr>
            </w:pPr>
            <w:r w:rsidRPr="00C37EAC">
              <w:rPr>
                <w:rFonts w:ascii="Times New Roman" w:eastAsia="Times New Roman" w:hAnsi="Times New Roman" w:cs="Times New Roman"/>
                <w:sz w:val="24"/>
                <w:szCs w:val="24"/>
              </w:rPr>
              <w:t>P</w:t>
            </w:r>
            <w:r w:rsidRPr="00C37EAC">
              <w:rPr>
                <w:rFonts w:ascii="Times New Roman" w:eastAsia="Times New Roman" w:hAnsi="Times New Roman" w:cs="Times New Roman"/>
                <w:sz w:val="24"/>
                <w:szCs w:val="24"/>
                <w:vertAlign w:val="subscript"/>
              </w:rPr>
              <w:t>2</w:t>
            </w:r>
            <w:r w:rsidRPr="00C37EAC">
              <w:rPr>
                <w:rFonts w:ascii="Times New Roman" w:eastAsia="Times New Roman" w:hAnsi="Times New Roman" w:cs="Times New Roman"/>
                <w:sz w:val="24"/>
                <w:szCs w:val="24"/>
              </w:rPr>
              <w:t>O</w:t>
            </w:r>
            <w:r w:rsidRPr="00C37EAC">
              <w:rPr>
                <w:rFonts w:ascii="Times New Roman" w:eastAsia="Times New Roman" w:hAnsi="Times New Roman" w:cs="Times New Roman"/>
                <w:sz w:val="24"/>
                <w:szCs w:val="24"/>
                <w:vertAlign w:val="subscript"/>
              </w:rPr>
              <w:t>5</w:t>
            </w:r>
          </w:p>
        </w:tc>
        <w:tc>
          <w:tcPr>
            <w:tcW w:w="739" w:type="dxa"/>
          </w:tcPr>
          <w:p w14:paraId="0C8FC143" w14:textId="77777777" w:rsidR="001F5495" w:rsidRPr="00C37EAC" w:rsidRDefault="001F5495" w:rsidP="00C37EAC">
            <w:pPr>
              <w:jc w:val="both"/>
              <w:rPr>
                <w:rFonts w:ascii="Times New Roman" w:hAnsi="Times New Roman" w:cs="Times New Roman"/>
                <w:sz w:val="24"/>
                <w:szCs w:val="24"/>
              </w:rPr>
            </w:pPr>
            <w:r w:rsidRPr="00C37EAC">
              <w:rPr>
                <w:rFonts w:ascii="Times New Roman" w:eastAsia="Times New Roman" w:hAnsi="Times New Roman" w:cs="Times New Roman"/>
                <w:sz w:val="24"/>
                <w:szCs w:val="24"/>
              </w:rPr>
              <w:t>K</w:t>
            </w:r>
            <w:r w:rsidRPr="00C37EAC">
              <w:rPr>
                <w:rFonts w:ascii="Times New Roman" w:eastAsia="Times New Roman" w:hAnsi="Times New Roman" w:cs="Times New Roman"/>
                <w:sz w:val="24"/>
                <w:szCs w:val="24"/>
                <w:vertAlign w:val="subscript"/>
              </w:rPr>
              <w:t>2</w:t>
            </w:r>
            <w:r w:rsidRPr="00C37EAC">
              <w:rPr>
                <w:rFonts w:ascii="Times New Roman" w:eastAsia="Times New Roman" w:hAnsi="Times New Roman" w:cs="Times New Roman"/>
                <w:sz w:val="24"/>
                <w:szCs w:val="24"/>
              </w:rPr>
              <w:t>O</w:t>
            </w:r>
          </w:p>
        </w:tc>
        <w:tc>
          <w:tcPr>
            <w:tcW w:w="754" w:type="dxa"/>
          </w:tcPr>
          <w:p w14:paraId="01F5F0D9" w14:textId="77777777" w:rsidR="001F5495" w:rsidRPr="00C37EAC" w:rsidRDefault="001F5495" w:rsidP="00C37EAC">
            <w:pPr>
              <w:jc w:val="both"/>
              <w:rPr>
                <w:rFonts w:ascii="Times New Roman" w:hAnsi="Times New Roman" w:cs="Times New Roman"/>
                <w:sz w:val="24"/>
                <w:szCs w:val="24"/>
              </w:rPr>
            </w:pPr>
            <w:r w:rsidRPr="00C37EAC">
              <w:rPr>
                <w:rFonts w:ascii="Times New Roman" w:eastAsia="Times New Roman" w:hAnsi="Times New Roman" w:cs="Times New Roman"/>
                <w:sz w:val="24"/>
                <w:szCs w:val="24"/>
              </w:rPr>
              <w:t>TiO</w:t>
            </w:r>
            <w:r w:rsidRPr="00C37EAC">
              <w:rPr>
                <w:rFonts w:ascii="Times New Roman" w:eastAsia="Times New Roman" w:hAnsi="Times New Roman" w:cs="Times New Roman"/>
                <w:sz w:val="24"/>
                <w:szCs w:val="24"/>
                <w:vertAlign w:val="subscript"/>
              </w:rPr>
              <w:t>2</w:t>
            </w:r>
          </w:p>
        </w:tc>
        <w:tc>
          <w:tcPr>
            <w:tcW w:w="769" w:type="dxa"/>
          </w:tcPr>
          <w:p w14:paraId="53256F93" w14:textId="77777777" w:rsidR="001F5495" w:rsidRPr="00C37EAC" w:rsidRDefault="001F5495" w:rsidP="00C37EAC">
            <w:pPr>
              <w:jc w:val="both"/>
              <w:rPr>
                <w:rFonts w:ascii="Times New Roman" w:hAnsi="Times New Roman" w:cs="Times New Roman"/>
                <w:sz w:val="24"/>
                <w:szCs w:val="24"/>
              </w:rPr>
            </w:pPr>
            <w:r w:rsidRPr="00C37EAC">
              <w:rPr>
                <w:rFonts w:ascii="Times New Roman" w:eastAsia="Times New Roman" w:hAnsi="Times New Roman" w:cs="Times New Roman"/>
                <w:sz w:val="24"/>
                <w:szCs w:val="24"/>
              </w:rPr>
              <w:t>MgO</w:t>
            </w:r>
          </w:p>
        </w:tc>
        <w:tc>
          <w:tcPr>
            <w:tcW w:w="780" w:type="dxa"/>
          </w:tcPr>
          <w:p w14:paraId="5E3643D4" w14:textId="77777777" w:rsidR="001F5495" w:rsidRPr="00C37EAC" w:rsidRDefault="001F5495" w:rsidP="00C37EAC">
            <w:pPr>
              <w:jc w:val="both"/>
              <w:rPr>
                <w:rFonts w:ascii="Times New Roman" w:hAnsi="Times New Roman" w:cs="Times New Roman"/>
                <w:sz w:val="24"/>
                <w:szCs w:val="24"/>
              </w:rPr>
            </w:pPr>
            <w:r w:rsidRPr="00C37EAC">
              <w:rPr>
                <w:rFonts w:ascii="Times New Roman" w:eastAsia="Times New Roman" w:hAnsi="Times New Roman" w:cs="Times New Roman"/>
                <w:sz w:val="24"/>
                <w:szCs w:val="24"/>
              </w:rPr>
              <w:t>Na</w:t>
            </w:r>
            <w:r w:rsidRPr="00C37EAC">
              <w:rPr>
                <w:rFonts w:ascii="Times New Roman" w:eastAsia="Times New Roman" w:hAnsi="Times New Roman" w:cs="Times New Roman"/>
                <w:sz w:val="24"/>
                <w:szCs w:val="24"/>
                <w:vertAlign w:val="subscript"/>
              </w:rPr>
              <w:t>2</w:t>
            </w:r>
            <w:r w:rsidRPr="00C37EAC">
              <w:rPr>
                <w:rFonts w:ascii="Times New Roman" w:eastAsia="Times New Roman" w:hAnsi="Times New Roman" w:cs="Times New Roman"/>
                <w:sz w:val="24"/>
                <w:szCs w:val="24"/>
              </w:rPr>
              <w:t>O</w:t>
            </w:r>
          </w:p>
        </w:tc>
        <w:tc>
          <w:tcPr>
            <w:tcW w:w="729" w:type="dxa"/>
          </w:tcPr>
          <w:p w14:paraId="62D4FC4C" w14:textId="77777777" w:rsidR="001F5495" w:rsidRPr="00C37EAC" w:rsidRDefault="001F5495" w:rsidP="00C37EAC">
            <w:pPr>
              <w:jc w:val="both"/>
              <w:rPr>
                <w:rFonts w:ascii="Times New Roman" w:hAnsi="Times New Roman" w:cs="Times New Roman"/>
                <w:sz w:val="24"/>
                <w:szCs w:val="24"/>
              </w:rPr>
            </w:pPr>
            <w:r w:rsidRPr="00C37EAC">
              <w:rPr>
                <w:rFonts w:ascii="Times New Roman" w:eastAsia="Times New Roman" w:hAnsi="Times New Roman" w:cs="Times New Roman"/>
                <w:sz w:val="24"/>
                <w:szCs w:val="24"/>
              </w:rPr>
              <w:t>LOI</w:t>
            </w:r>
          </w:p>
        </w:tc>
      </w:tr>
      <w:tr w:rsidR="001F5495" w:rsidRPr="00C37EAC" w14:paraId="0FCEE9F4" w14:textId="77777777" w:rsidTr="001F5495">
        <w:tc>
          <w:tcPr>
            <w:tcW w:w="1191" w:type="dxa"/>
          </w:tcPr>
          <w:p w14:paraId="6998D76B" w14:textId="77777777" w:rsidR="001F5495" w:rsidRPr="00C37EAC" w:rsidRDefault="001F5495" w:rsidP="00C37EAC">
            <w:pPr>
              <w:jc w:val="both"/>
              <w:rPr>
                <w:rFonts w:ascii="Times New Roman" w:eastAsia="Times New Roman" w:hAnsi="Times New Roman" w:cs="Times New Roman"/>
                <w:sz w:val="24"/>
                <w:szCs w:val="24"/>
              </w:rPr>
            </w:pPr>
            <w:proofErr w:type="spellStart"/>
            <w:r w:rsidRPr="00C37EAC">
              <w:rPr>
                <w:rFonts w:ascii="Times New Roman" w:eastAsia="Times New Roman" w:hAnsi="Times New Roman" w:cs="Times New Roman"/>
                <w:sz w:val="24"/>
                <w:szCs w:val="24"/>
              </w:rPr>
              <w:t>Enugwu-agidi</w:t>
            </w:r>
            <w:proofErr w:type="spellEnd"/>
          </w:p>
        </w:tc>
        <w:tc>
          <w:tcPr>
            <w:tcW w:w="749" w:type="dxa"/>
          </w:tcPr>
          <w:p w14:paraId="278D1251" w14:textId="77777777" w:rsidR="001F5495" w:rsidRPr="00C37EAC" w:rsidRDefault="001F5495"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53.1</w:t>
            </w:r>
          </w:p>
        </w:tc>
        <w:tc>
          <w:tcPr>
            <w:tcW w:w="803" w:type="dxa"/>
          </w:tcPr>
          <w:p w14:paraId="6A047D39" w14:textId="77777777" w:rsidR="001F5495" w:rsidRPr="00C37EAC" w:rsidRDefault="001F5495"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30.61</w:t>
            </w:r>
          </w:p>
        </w:tc>
        <w:tc>
          <w:tcPr>
            <w:tcW w:w="795" w:type="dxa"/>
          </w:tcPr>
          <w:p w14:paraId="4944DEB4" w14:textId="77777777" w:rsidR="001F5495" w:rsidRPr="00C37EAC" w:rsidRDefault="00B620E2"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3.97</w:t>
            </w:r>
          </w:p>
        </w:tc>
        <w:tc>
          <w:tcPr>
            <w:tcW w:w="769" w:type="dxa"/>
          </w:tcPr>
          <w:p w14:paraId="722087EA" w14:textId="77777777" w:rsidR="001F5495" w:rsidRPr="00C37EAC" w:rsidRDefault="00B620E2"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0.04</w:t>
            </w:r>
          </w:p>
        </w:tc>
        <w:tc>
          <w:tcPr>
            <w:tcW w:w="744" w:type="dxa"/>
          </w:tcPr>
          <w:p w14:paraId="650B04C1" w14:textId="77777777" w:rsidR="001F5495" w:rsidRPr="00C37EAC" w:rsidRDefault="00B620E2"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1.36</w:t>
            </w:r>
          </w:p>
        </w:tc>
        <w:tc>
          <w:tcPr>
            <w:tcW w:w="754" w:type="dxa"/>
          </w:tcPr>
          <w:p w14:paraId="72C25DEA" w14:textId="77777777" w:rsidR="001F5495" w:rsidRPr="00C37EAC" w:rsidRDefault="00B620E2"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0.02</w:t>
            </w:r>
          </w:p>
        </w:tc>
        <w:tc>
          <w:tcPr>
            <w:tcW w:w="739" w:type="dxa"/>
          </w:tcPr>
          <w:p w14:paraId="2599D93D" w14:textId="77777777" w:rsidR="001F5495" w:rsidRPr="00C37EAC" w:rsidRDefault="00D81230"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0.48</w:t>
            </w:r>
          </w:p>
        </w:tc>
        <w:tc>
          <w:tcPr>
            <w:tcW w:w="754" w:type="dxa"/>
          </w:tcPr>
          <w:p w14:paraId="1A2FBD1F" w14:textId="77777777" w:rsidR="001F5495" w:rsidRPr="00C37EAC" w:rsidRDefault="00D81230"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1.22</w:t>
            </w:r>
          </w:p>
        </w:tc>
        <w:tc>
          <w:tcPr>
            <w:tcW w:w="769" w:type="dxa"/>
          </w:tcPr>
          <w:p w14:paraId="34771E70" w14:textId="77777777" w:rsidR="001F5495" w:rsidRPr="00C37EAC" w:rsidRDefault="00D81230"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0.91</w:t>
            </w:r>
          </w:p>
        </w:tc>
        <w:tc>
          <w:tcPr>
            <w:tcW w:w="780" w:type="dxa"/>
          </w:tcPr>
          <w:p w14:paraId="58D76FCD" w14:textId="77777777" w:rsidR="001F5495" w:rsidRPr="00C37EAC" w:rsidRDefault="00D81230"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0.33</w:t>
            </w:r>
          </w:p>
        </w:tc>
        <w:tc>
          <w:tcPr>
            <w:tcW w:w="729" w:type="dxa"/>
          </w:tcPr>
          <w:p w14:paraId="5BE8DF64" w14:textId="77777777" w:rsidR="001F5495" w:rsidRPr="00C37EAC" w:rsidRDefault="007D2C06"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6</w:t>
            </w:r>
            <w:r w:rsidR="00D81230" w:rsidRPr="00C37EAC">
              <w:rPr>
                <w:rFonts w:ascii="Times New Roman" w:eastAsia="Times New Roman" w:hAnsi="Times New Roman" w:cs="Times New Roman"/>
                <w:sz w:val="24"/>
                <w:szCs w:val="24"/>
              </w:rPr>
              <w:t>.2</w:t>
            </w:r>
          </w:p>
        </w:tc>
      </w:tr>
      <w:tr w:rsidR="00E30970" w:rsidRPr="00C37EAC" w14:paraId="1AF7586A" w14:textId="77777777" w:rsidTr="0036642F">
        <w:trPr>
          <w:trHeight w:val="458"/>
        </w:trPr>
        <w:tc>
          <w:tcPr>
            <w:tcW w:w="1191" w:type="dxa"/>
          </w:tcPr>
          <w:p w14:paraId="0FF1FB54" w14:textId="77777777" w:rsidR="002758D4" w:rsidRPr="00C37EAC" w:rsidRDefault="002758D4" w:rsidP="00C37EAC">
            <w:pPr>
              <w:jc w:val="both"/>
              <w:rPr>
                <w:rFonts w:ascii="Times New Roman" w:eastAsia="Times New Roman" w:hAnsi="Times New Roman" w:cs="Times New Roman"/>
                <w:sz w:val="24"/>
                <w:szCs w:val="24"/>
              </w:rPr>
            </w:pPr>
            <w:proofErr w:type="spellStart"/>
            <w:r w:rsidRPr="00C37EAC">
              <w:rPr>
                <w:rFonts w:ascii="Times New Roman" w:eastAsia="Times New Roman" w:hAnsi="Times New Roman" w:cs="Times New Roman"/>
                <w:sz w:val="24"/>
                <w:szCs w:val="24"/>
              </w:rPr>
              <w:t>Mbaukwu</w:t>
            </w:r>
            <w:proofErr w:type="spellEnd"/>
          </w:p>
        </w:tc>
        <w:tc>
          <w:tcPr>
            <w:tcW w:w="749" w:type="dxa"/>
            <w:vAlign w:val="bottom"/>
          </w:tcPr>
          <w:p w14:paraId="51437625" w14:textId="77777777" w:rsidR="002758D4" w:rsidRPr="00C37EAC" w:rsidRDefault="002758D4"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53.8</w:t>
            </w:r>
          </w:p>
        </w:tc>
        <w:tc>
          <w:tcPr>
            <w:tcW w:w="803" w:type="dxa"/>
            <w:vAlign w:val="bottom"/>
          </w:tcPr>
          <w:p w14:paraId="24183EDD" w14:textId="77777777" w:rsidR="002758D4" w:rsidRPr="00C37EAC" w:rsidRDefault="002758D4"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30.7</w:t>
            </w:r>
          </w:p>
        </w:tc>
        <w:tc>
          <w:tcPr>
            <w:tcW w:w="795" w:type="dxa"/>
            <w:vAlign w:val="bottom"/>
          </w:tcPr>
          <w:p w14:paraId="51305A75" w14:textId="77777777" w:rsidR="002758D4" w:rsidRPr="00C37EAC" w:rsidRDefault="002758D4"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4.17</w:t>
            </w:r>
          </w:p>
        </w:tc>
        <w:tc>
          <w:tcPr>
            <w:tcW w:w="769" w:type="dxa"/>
            <w:vAlign w:val="bottom"/>
          </w:tcPr>
          <w:p w14:paraId="470B20DB" w14:textId="77777777" w:rsidR="002758D4" w:rsidRPr="00C37EAC" w:rsidRDefault="002758D4"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0.06</w:t>
            </w:r>
          </w:p>
        </w:tc>
        <w:tc>
          <w:tcPr>
            <w:tcW w:w="744" w:type="dxa"/>
            <w:vAlign w:val="bottom"/>
          </w:tcPr>
          <w:p w14:paraId="10F8500C" w14:textId="77777777" w:rsidR="002758D4" w:rsidRPr="00C37EAC" w:rsidRDefault="002758D4"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1.76</w:t>
            </w:r>
          </w:p>
        </w:tc>
        <w:tc>
          <w:tcPr>
            <w:tcW w:w="754" w:type="dxa"/>
            <w:vAlign w:val="bottom"/>
          </w:tcPr>
          <w:p w14:paraId="212391B6" w14:textId="77777777" w:rsidR="002758D4" w:rsidRPr="00C37EAC" w:rsidRDefault="002758D4"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0.02</w:t>
            </w:r>
          </w:p>
        </w:tc>
        <w:tc>
          <w:tcPr>
            <w:tcW w:w="739" w:type="dxa"/>
            <w:vAlign w:val="bottom"/>
          </w:tcPr>
          <w:p w14:paraId="6C99B32E" w14:textId="77777777" w:rsidR="002758D4" w:rsidRPr="00C37EAC" w:rsidRDefault="002758D4"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0.73</w:t>
            </w:r>
          </w:p>
        </w:tc>
        <w:tc>
          <w:tcPr>
            <w:tcW w:w="754" w:type="dxa"/>
            <w:vAlign w:val="bottom"/>
          </w:tcPr>
          <w:p w14:paraId="5F7BD12A" w14:textId="77777777" w:rsidR="002758D4" w:rsidRPr="00C37EAC" w:rsidRDefault="002758D4"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1.34</w:t>
            </w:r>
          </w:p>
        </w:tc>
        <w:tc>
          <w:tcPr>
            <w:tcW w:w="769" w:type="dxa"/>
            <w:vAlign w:val="bottom"/>
          </w:tcPr>
          <w:p w14:paraId="2C141000" w14:textId="77777777" w:rsidR="002758D4" w:rsidRPr="00C37EAC" w:rsidRDefault="002758D4"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4.35</w:t>
            </w:r>
          </w:p>
        </w:tc>
        <w:tc>
          <w:tcPr>
            <w:tcW w:w="780" w:type="dxa"/>
            <w:vAlign w:val="bottom"/>
          </w:tcPr>
          <w:p w14:paraId="18B69E61" w14:textId="77777777" w:rsidR="002758D4" w:rsidRPr="00C37EAC" w:rsidRDefault="002758D4"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0.81</w:t>
            </w:r>
          </w:p>
        </w:tc>
        <w:tc>
          <w:tcPr>
            <w:tcW w:w="729" w:type="dxa"/>
            <w:vAlign w:val="bottom"/>
          </w:tcPr>
          <w:p w14:paraId="30E6A291" w14:textId="77777777" w:rsidR="002758D4" w:rsidRPr="00C37EAC" w:rsidRDefault="007D2C06"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6.8</w:t>
            </w:r>
          </w:p>
        </w:tc>
      </w:tr>
    </w:tbl>
    <w:p w14:paraId="1E0795C7" w14:textId="09DC86FE" w:rsidR="00D852F8" w:rsidRPr="00C37EAC" w:rsidRDefault="00D852F8" w:rsidP="00C37EAC">
      <w:pPr>
        <w:pStyle w:val="NormalWeb"/>
        <w:jc w:val="both"/>
      </w:pPr>
      <w:r w:rsidRPr="00C37EAC">
        <w:t xml:space="preserve">Both samples </w:t>
      </w:r>
      <w:r w:rsidR="0006485A">
        <w:t>were</w:t>
      </w:r>
      <w:r w:rsidRPr="00C37EAC">
        <w:t xml:space="preserve"> dominated by </w:t>
      </w:r>
      <w:proofErr w:type="spellStart"/>
      <w:r w:rsidRPr="00C37EAC">
        <w:t>SiO</w:t>
      </w:r>
      <w:proofErr w:type="spellEnd"/>
      <w:r w:rsidRPr="00C37EAC">
        <w:t xml:space="preserve">₂ (53.10–53.80 wt.%) and </w:t>
      </w:r>
      <w:proofErr w:type="spellStart"/>
      <w:r w:rsidRPr="00C37EAC">
        <w:t>Al₂O</w:t>
      </w:r>
      <w:proofErr w:type="spellEnd"/>
      <w:r w:rsidRPr="00C37EAC">
        <w:t xml:space="preserve">₃ (30.61–30.70 wt.%), indicating that they </w:t>
      </w:r>
      <w:r w:rsidR="0006485A">
        <w:t>were</w:t>
      </w:r>
      <w:r w:rsidRPr="00C37EAC">
        <w:t xml:space="preserve"> predominantly aluminosilicate</w:t>
      </w:r>
      <w:r w:rsidR="005E57E9" w:rsidRPr="00C37EAC">
        <w:t xml:space="preserve"> in nature, consistent with kaolinitic clay systems reported in similar Nigerian deposits (Adeniyi et al., 2023; </w:t>
      </w:r>
      <w:proofErr w:type="spellStart"/>
      <w:r w:rsidR="005E57E9" w:rsidRPr="00C37EAC">
        <w:t>Nnameme</w:t>
      </w:r>
      <w:proofErr w:type="spellEnd"/>
      <w:r w:rsidR="005E57E9" w:rsidRPr="00C37EAC">
        <w:t xml:space="preserve"> et al., 2020).</w:t>
      </w:r>
      <w:r w:rsidR="007D2C06" w:rsidRPr="00C37EAC">
        <w:t xml:space="preserve"> </w:t>
      </w:r>
      <w:proofErr w:type="spellStart"/>
      <w:r w:rsidR="007D2C06" w:rsidRPr="00C37EAC">
        <w:t>Mbaukwu</w:t>
      </w:r>
      <w:proofErr w:type="spellEnd"/>
      <w:r w:rsidR="007D2C06" w:rsidRPr="00C37EAC">
        <w:t xml:space="preserve"> clay displayed slightly higher </w:t>
      </w:r>
      <w:proofErr w:type="spellStart"/>
      <w:r w:rsidR="007D2C06" w:rsidRPr="00C37EAC">
        <w:t>Al₂O</w:t>
      </w:r>
      <w:proofErr w:type="spellEnd"/>
      <w:r w:rsidR="007D2C06" w:rsidRPr="00C37EAC">
        <w:t>₃ content, which is beneficial for high-temperature applications.</w:t>
      </w:r>
      <w:r w:rsidRPr="00C37EAC">
        <w:t xml:space="preserve"> The high alumina content is characteristic of kaolinitic clays, while the silica content suggests the presence of free quartz.</w:t>
      </w:r>
    </w:p>
    <w:p w14:paraId="2409C0C5" w14:textId="2F691768" w:rsidR="00D852F8" w:rsidRPr="00C37EAC" w:rsidRDefault="00D852F8" w:rsidP="00C37EAC">
      <w:pPr>
        <w:pStyle w:val="NormalWeb"/>
        <w:jc w:val="both"/>
      </w:pPr>
      <w:r w:rsidRPr="00C37EAC">
        <w:t xml:space="preserve">The </w:t>
      </w:r>
      <w:proofErr w:type="spellStart"/>
      <w:r w:rsidRPr="00C37EAC">
        <w:t>Fe₂O</w:t>
      </w:r>
      <w:proofErr w:type="spellEnd"/>
      <w:r w:rsidRPr="00C37EAC">
        <w:t>₃ content ranges from 3.97 to 4.17 wt.%, indicating moderate iron enrichment, likely due to the presence of hematite or goethite, which m</w:t>
      </w:r>
      <w:r w:rsidR="0006485A">
        <w:t>ust have</w:t>
      </w:r>
      <w:r w:rsidRPr="00C37EAC">
        <w:t xml:space="preserve"> impart</w:t>
      </w:r>
      <w:r w:rsidR="0006485A">
        <w:t>ed</w:t>
      </w:r>
      <w:r w:rsidRPr="00C37EAC">
        <w:t xml:space="preserve"> reddish coloration to the clays. Minor oxides such as </w:t>
      </w:r>
      <w:proofErr w:type="spellStart"/>
      <w:r w:rsidRPr="00C37EAC">
        <w:t>CaO</w:t>
      </w:r>
      <w:proofErr w:type="spellEnd"/>
      <w:r w:rsidRPr="00C37EAC">
        <w:t xml:space="preserve">, K₂O, </w:t>
      </w:r>
      <w:proofErr w:type="spellStart"/>
      <w:r w:rsidRPr="00C37EAC">
        <w:t>Na₂O</w:t>
      </w:r>
      <w:proofErr w:type="spellEnd"/>
      <w:r w:rsidRPr="00C37EAC">
        <w:t xml:space="preserve">, and MgO </w:t>
      </w:r>
      <w:proofErr w:type="spellStart"/>
      <w:r w:rsidRPr="00C37EAC">
        <w:t>occur</w:t>
      </w:r>
      <w:r w:rsidR="0006485A">
        <w:t>ed</w:t>
      </w:r>
      <w:proofErr w:type="spellEnd"/>
      <w:r w:rsidRPr="00C37EAC">
        <w:t xml:space="preserve"> in low concentrations, suggesting limited amounts of feldspars and other accessory minerals</w:t>
      </w:r>
      <w:r w:rsidR="007D2C06" w:rsidRPr="00C37EAC">
        <w:t xml:space="preserve"> that can act as fluxing agents during firing</w:t>
      </w:r>
      <w:r w:rsidRPr="00C37EAC">
        <w:t>.</w:t>
      </w:r>
    </w:p>
    <w:p w14:paraId="2535185D" w14:textId="77777777" w:rsidR="005A6D6F" w:rsidRPr="00C37EAC" w:rsidRDefault="00D852F8" w:rsidP="00C37EAC">
      <w:pPr>
        <w:spacing w:before="100" w:beforeAutospacing="1" w:after="100" w:afterAutospacing="1" w:line="240" w:lineRule="auto"/>
        <w:jc w:val="both"/>
        <w:rPr>
          <w:rFonts w:ascii="Times New Roman" w:eastAsia="Times New Roman" w:hAnsi="Times New Roman" w:cs="Times New Roman"/>
          <w:sz w:val="24"/>
          <w:szCs w:val="24"/>
        </w:rPr>
      </w:pPr>
      <w:r w:rsidRPr="00C37EAC">
        <w:rPr>
          <w:rFonts w:ascii="Times New Roman" w:hAnsi="Times New Roman" w:cs="Times New Roman"/>
          <w:sz w:val="24"/>
          <w:szCs w:val="24"/>
        </w:rPr>
        <w:lastRenderedPageBreak/>
        <w:t xml:space="preserve">The </w:t>
      </w:r>
      <w:proofErr w:type="spellStart"/>
      <w:r w:rsidRPr="00C37EAC">
        <w:rPr>
          <w:rFonts w:ascii="Times New Roman" w:hAnsi="Times New Roman" w:cs="Times New Roman"/>
          <w:sz w:val="24"/>
          <w:szCs w:val="24"/>
        </w:rPr>
        <w:t>TiO</w:t>
      </w:r>
      <w:proofErr w:type="spellEnd"/>
      <w:r w:rsidRPr="00C37EAC">
        <w:rPr>
          <w:rFonts w:ascii="Times New Roman" w:hAnsi="Times New Roman" w:cs="Times New Roman"/>
          <w:sz w:val="24"/>
          <w:szCs w:val="24"/>
        </w:rPr>
        <w:t xml:space="preserve">₂ content (~1.2–1.34 wt.%) suggests the presence of titanium-bearing minerals such as anatase or rutile, which are typical of </w:t>
      </w:r>
      <w:r w:rsidR="005A6D6F" w:rsidRPr="00C37EAC">
        <w:rPr>
          <w:rFonts w:ascii="Times New Roman" w:hAnsi="Times New Roman" w:cs="Times New Roman"/>
          <w:sz w:val="24"/>
          <w:szCs w:val="24"/>
        </w:rPr>
        <w:t>highly weathered tropical soils while</w:t>
      </w:r>
      <w:r w:rsidR="005A6D6F" w:rsidRPr="00C37EAC">
        <w:rPr>
          <w:rFonts w:ascii="Times New Roman" w:eastAsia="Times New Roman" w:hAnsi="Times New Roman" w:cs="Times New Roman"/>
          <w:sz w:val="24"/>
          <w:szCs w:val="24"/>
        </w:rPr>
        <w:t xml:space="preserve"> </w:t>
      </w:r>
      <w:r w:rsidR="00947574" w:rsidRPr="00C37EAC">
        <w:rPr>
          <w:rFonts w:ascii="Times New Roman" w:eastAsia="Times New Roman" w:hAnsi="Times New Roman" w:cs="Times New Roman"/>
          <w:sz w:val="24"/>
          <w:szCs w:val="24"/>
        </w:rPr>
        <w:t>t</w:t>
      </w:r>
      <w:r w:rsidR="005A6D6F" w:rsidRPr="00C37EAC">
        <w:rPr>
          <w:rFonts w:ascii="Times New Roman" w:eastAsia="Times New Roman" w:hAnsi="Times New Roman" w:cs="Times New Roman"/>
          <w:sz w:val="24"/>
          <w:szCs w:val="24"/>
        </w:rPr>
        <w:t xml:space="preserve">he </w:t>
      </w:r>
      <w:r w:rsidR="005A6D6F" w:rsidRPr="00C37EAC">
        <w:rPr>
          <w:rFonts w:ascii="Times New Roman" w:eastAsia="Times New Roman" w:hAnsi="Times New Roman" w:cs="Times New Roman"/>
          <w:bCs/>
          <w:sz w:val="24"/>
          <w:szCs w:val="24"/>
        </w:rPr>
        <w:t>Loss on Ignition (LOI)</w:t>
      </w:r>
      <w:r w:rsidR="005A6D6F" w:rsidRPr="00C37EAC">
        <w:rPr>
          <w:rFonts w:ascii="Times New Roman" w:eastAsia="Times New Roman" w:hAnsi="Times New Roman" w:cs="Times New Roman"/>
          <w:sz w:val="24"/>
          <w:szCs w:val="24"/>
        </w:rPr>
        <w:t xml:space="preserve"> values reflect the presence of structurally bound water and organic matter, mainly associated with clay minerals such as kaolinite.</w:t>
      </w:r>
    </w:p>
    <w:p w14:paraId="00F4769D" w14:textId="287A5B71" w:rsidR="007D2C06" w:rsidRPr="00C37EAC" w:rsidRDefault="007D2C06" w:rsidP="00C37EAC">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C37EAC">
        <w:rPr>
          <w:rFonts w:ascii="Times New Roman" w:eastAsia="Times New Roman" w:hAnsi="Times New Roman" w:cs="Times New Roman"/>
          <w:b/>
          <w:bCs/>
          <w:kern w:val="36"/>
          <w:sz w:val="24"/>
          <w:szCs w:val="24"/>
        </w:rPr>
        <w:t>Calculated Geochemical Parameters</w:t>
      </w:r>
    </w:p>
    <w:p w14:paraId="3D771BCF" w14:textId="77777777" w:rsidR="000E68C5" w:rsidRPr="00C37EAC" w:rsidRDefault="007D2C06" w:rsidP="00C37EA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37EAC">
        <w:rPr>
          <w:rFonts w:ascii="Times New Roman" w:eastAsia="Times New Roman" w:hAnsi="Times New Roman" w:cs="Times New Roman"/>
          <w:bCs/>
          <w:sz w:val="24"/>
          <w:szCs w:val="24"/>
        </w:rPr>
        <w:t>(a) Silica–Alumina Ratio is calculated using</w:t>
      </w:r>
      <w:r w:rsidR="000E68C5" w:rsidRPr="00C37EAC">
        <w:rPr>
          <w:rFonts w:ascii="Times New Roman" w:eastAsia="Times New Roman" w:hAnsi="Times New Roman" w:cs="Times New Roman"/>
          <w:sz w:val="24"/>
          <w:szCs w:val="24"/>
        </w:rPr>
        <w:t xml:space="preserve"> SiO</w:t>
      </w:r>
      <w:r w:rsidR="000E68C5" w:rsidRPr="00C37EAC">
        <w:rPr>
          <w:rFonts w:ascii="Times New Roman" w:eastAsia="Times New Roman" w:hAnsi="Times New Roman" w:cs="Times New Roman"/>
          <w:sz w:val="24"/>
          <w:szCs w:val="24"/>
          <w:vertAlign w:val="subscript"/>
        </w:rPr>
        <w:t>2</w:t>
      </w:r>
      <w:r w:rsidR="000E68C5" w:rsidRPr="00C37EAC">
        <w:rPr>
          <w:rFonts w:ascii="Times New Roman" w:eastAsia="Times New Roman" w:hAnsi="Times New Roman" w:cs="Times New Roman"/>
          <w:sz w:val="24"/>
          <w:szCs w:val="24"/>
        </w:rPr>
        <w:t>/Al</w:t>
      </w:r>
      <w:r w:rsidR="000E68C5" w:rsidRPr="00C37EAC">
        <w:rPr>
          <w:rFonts w:ascii="Times New Roman" w:eastAsia="Times New Roman" w:hAnsi="Times New Roman" w:cs="Times New Roman"/>
          <w:sz w:val="24"/>
          <w:szCs w:val="24"/>
          <w:vertAlign w:val="subscript"/>
        </w:rPr>
        <w:t>2</w:t>
      </w:r>
      <w:r w:rsidR="000E68C5" w:rsidRPr="00C37EAC">
        <w:rPr>
          <w:rFonts w:ascii="Times New Roman" w:eastAsia="Times New Roman" w:hAnsi="Times New Roman" w:cs="Times New Roman"/>
          <w:sz w:val="24"/>
          <w:szCs w:val="24"/>
        </w:rPr>
        <w:t>O</w:t>
      </w:r>
      <w:r w:rsidR="000E68C5" w:rsidRPr="00C37EAC">
        <w:rPr>
          <w:rFonts w:ascii="Times New Roman" w:eastAsia="Times New Roman" w:hAnsi="Times New Roman" w:cs="Times New Roman"/>
          <w:sz w:val="24"/>
          <w:szCs w:val="24"/>
          <w:vertAlign w:val="subscript"/>
        </w:rPr>
        <w:t>3</w:t>
      </w:r>
      <w:r w:rsidR="00A032ED" w:rsidRPr="00C37EAC">
        <w:rPr>
          <w:rFonts w:ascii="Times New Roman" w:eastAsia="Times New Roman" w:hAnsi="Times New Roman" w:cs="Times New Roman"/>
          <w:sz w:val="24"/>
          <w:szCs w:val="24"/>
        </w:rPr>
        <w:t xml:space="preserve"> for</w:t>
      </w:r>
      <w:r w:rsidR="000E68C5" w:rsidRPr="00C37EAC">
        <w:rPr>
          <w:rFonts w:ascii="Times New Roman" w:eastAsia="Times New Roman" w:hAnsi="Times New Roman" w:cs="Times New Roman"/>
          <w:sz w:val="24"/>
          <w:szCs w:val="24"/>
        </w:rPr>
        <w:t xml:space="preserve"> </w:t>
      </w:r>
      <w:r w:rsidR="00A032ED" w:rsidRPr="00C37EAC">
        <w:rPr>
          <w:rFonts w:ascii="Times New Roman" w:eastAsia="Times New Roman" w:hAnsi="Times New Roman" w:cs="Times New Roman"/>
          <w:sz w:val="24"/>
          <w:szCs w:val="24"/>
        </w:rPr>
        <w:t>each clay sample</w:t>
      </w:r>
      <w:r w:rsidR="000E68C5" w:rsidRPr="00C37EAC">
        <w:rPr>
          <w:rFonts w:ascii="Times New Roman" w:eastAsia="Times New Roman" w:hAnsi="Times New Roman" w:cs="Times New Roman"/>
          <w:sz w:val="24"/>
          <w:szCs w:val="24"/>
        </w:rPr>
        <w:t xml:space="preserve"> in table 3</w:t>
      </w:r>
      <w:r w:rsidR="000E68C5" w:rsidRPr="00C37EAC">
        <w:rPr>
          <w:rFonts w:ascii="Times New Roman" w:eastAsia="Times New Roman" w:hAnsi="Times New Roman" w:cs="Times New Roman"/>
          <w:b/>
          <w:bCs/>
          <w:sz w:val="24"/>
          <w:szCs w:val="24"/>
        </w:rPr>
        <w:t>.</w:t>
      </w:r>
    </w:p>
    <w:p w14:paraId="1D72A593" w14:textId="77777777" w:rsidR="007D2C06" w:rsidRPr="00C37EAC" w:rsidRDefault="000E68C5" w:rsidP="00C37EAC">
      <w:pPr>
        <w:spacing w:after="0" w:line="240" w:lineRule="auto"/>
        <w:jc w:val="both"/>
        <w:outlineLvl w:val="2"/>
        <w:rPr>
          <w:rFonts w:ascii="Times New Roman" w:eastAsia="Times New Roman" w:hAnsi="Times New Roman" w:cs="Times New Roman"/>
          <w:b/>
          <w:bCs/>
          <w:sz w:val="24"/>
          <w:szCs w:val="24"/>
        </w:rPr>
      </w:pPr>
      <w:r w:rsidRPr="00C37EAC">
        <w:rPr>
          <w:rFonts w:ascii="Times New Roman" w:eastAsia="Times New Roman" w:hAnsi="Times New Roman" w:cs="Times New Roman"/>
          <w:b/>
          <w:bCs/>
          <w:sz w:val="24"/>
          <w:szCs w:val="24"/>
        </w:rPr>
        <w:t>Table 3:</w:t>
      </w:r>
      <w:r w:rsidR="007D2C06" w:rsidRPr="00C37EAC">
        <w:rPr>
          <w:rFonts w:ascii="Times New Roman" w:eastAsia="Times New Roman" w:hAnsi="Times New Roman" w:cs="Times New Roman"/>
          <w:sz w:val="24"/>
          <w:szCs w:val="24"/>
        </w:rPr>
        <w:t xml:space="preserve"> </w:t>
      </w:r>
      <w:r w:rsidRPr="00C37EAC">
        <w:rPr>
          <w:rFonts w:ascii="Times New Roman" w:eastAsia="Times New Roman" w:hAnsi="Times New Roman" w:cs="Times New Roman"/>
          <w:b/>
          <w:bCs/>
          <w:sz w:val="24"/>
          <w:szCs w:val="24"/>
        </w:rPr>
        <w:t>Silica–Alumina Ratio</w:t>
      </w:r>
    </w:p>
    <w:tbl>
      <w:tblPr>
        <w:tblStyle w:val="TableGrid"/>
        <w:tblW w:w="0" w:type="auto"/>
        <w:tblLayout w:type="fixed"/>
        <w:tblLook w:val="04A0" w:firstRow="1" w:lastRow="0" w:firstColumn="1" w:lastColumn="0" w:noHBand="0" w:noVBand="1"/>
      </w:tblPr>
      <w:tblGrid>
        <w:gridCol w:w="1644"/>
        <w:gridCol w:w="720"/>
        <w:gridCol w:w="984"/>
        <w:gridCol w:w="990"/>
      </w:tblGrid>
      <w:tr w:rsidR="00E63FDE" w:rsidRPr="00C37EAC" w14:paraId="2E1F9B4B" w14:textId="77777777" w:rsidTr="00A032ED">
        <w:tc>
          <w:tcPr>
            <w:tcW w:w="1644" w:type="dxa"/>
            <w:tcBorders>
              <w:right w:val="single" w:sz="4" w:space="0" w:color="auto"/>
            </w:tcBorders>
            <w:hideMark/>
          </w:tcPr>
          <w:p w14:paraId="5246C162" w14:textId="77777777" w:rsidR="00E63FDE" w:rsidRPr="00C37EAC" w:rsidRDefault="00E63FDE" w:rsidP="00C37EAC">
            <w:pPr>
              <w:jc w:val="both"/>
              <w:rPr>
                <w:rFonts w:ascii="Times New Roman" w:eastAsia="Times New Roman" w:hAnsi="Times New Roman" w:cs="Times New Roman"/>
                <w:bCs/>
                <w:sz w:val="24"/>
                <w:szCs w:val="24"/>
              </w:rPr>
            </w:pPr>
            <w:r w:rsidRPr="00C37EAC">
              <w:rPr>
                <w:rFonts w:ascii="Times New Roman" w:eastAsia="Times New Roman" w:hAnsi="Times New Roman" w:cs="Times New Roman"/>
                <w:bCs/>
                <w:sz w:val="24"/>
                <w:szCs w:val="24"/>
              </w:rPr>
              <w:t>Sample</w:t>
            </w:r>
          </w:p>
        </w:tc>
        <w:tc>
          <w:tcPr>
            <w:tcW w:w="720" w:type="dxa"/>
            <w:tcBorders>
              <w:top w:val="single" w:sz="4" w:space="0" w:color="auto"/>
              <w:left w:val="single" w:sz="4" w:space="0" w:color="auto"/>
              <w:right w:val="single" w:sz="4" w:space="0" w:color="auto"/>
            </w:tcBorders>
          </w:tcPr>
          <w:p w14:paraId="7F75A34A" w14:textId="77777777" w:rsidR="00E63FDE" w:rsidRPr="00C37EAC" w:rsidRDefault="00A032ED" w:rsidP="00C37EAC">
            <w:pPr>
              <w:jc w:val="both"/>
              <w:rPr>
                <w:rFonts w:ascii="Times New Roman" w:eastAsia="Times New Roman" w:hAnsi="Times New Roman" w:cs="Times New Roman"/>
                <w:b/>
                <w:bCs/>
                <w:sz w:val="24"/>
                <w:szCs w:val="24"/>
              </w:rPr>
            </w:pPr>
            <w:r w:rsidRPr="00C37EAC">
              <w:rPr>
                <w:rFonts w:ascii="Times New Roman" w:eastAsia="Times New Roman" w:hAnsi="Times New Roman" w:cs="Times New Roman"/>
                <w:sz w:val="24"/>
                <w:szCs w:val="24"/>
              </w:rPr>
              <w:t>SiO</w:t>
            </w:r>
            <w:r w:rsidRPr="00C37EAC">
              <w:rPr>
                <w:rFonts w:ascii="Times New Roman" w:eastAsia="Times New Roman" w:hAnsi="Times New Roman" w:cs="Times New Roman"/>
                <w:sz w:val="24"/>
                <w:szCs w:val="24"/>
                <w:vertAlign w:val="subscript"/>
              </w:rPr>
              <w:t>2</w:t>
            </w:r>
          </w:p>
        </w:tc>
        <w:tc>
          <w:tcPr>
            <w:tcW w:w="984" w:type="dxa"/>
            <w:tcBorders>
              <w:top w:val="single" w:sz="4" w:space="0" w:color="auto"/>
              <w:left w:val="single" w:sz="4" w:space="0" w:color="auto"/>
            </w:tcBorders>
          </w:tcPr>
          <w:p w14:paraId="5F065427" w14:textId="77777777" w:rsidR="00E63FDE" w:rsidRPr="00C37EAC" w:rsidRDefault="00A032ED" w:rsidP="00C37EAC">
            <w:pPr>
              <w:jc w:val="both"/>
              <w:rPr>
                <w:rFonts w:ascii="Times New Roman" w:eastAsia="Times New Roman" w:hAnsi="Times New Roman" w:cs="Times New Roman"/>
                <w:b/>
                <w:bCs/>
                <w:sz w:val="24"/>
                <w:szCs w:val="24"/>
              </w:rPr>
            </w:pPr>
            <w:r w:rsidRPr="00C37EAC">
              <w:rPr>
                <w:rFonts w:ascii="Times New Roman" w:eastAsia="Times New Roman" w:hAnsi="Times New Roman" w:cs="Times New Roman"/>
                <w:sz w:val="24"/>
                <w:szCs w:val="24"/>
              </w:rPr>
              <w:t>Al</w:t>
            </w:r>
            <w:r w:rsidRPr="00C37EAC">
              <w:rPr>
                <w:rFonts w:ascii="Times New Roman" w:eastAsia="Times New Roman" w:hAnsi="Times New Roman" w:cs="Times New Roman"/>
                <w:sz w:val="24"/>
                <w:szCs w:val="24"/>
                <w:vertAlign w:val="subscript"/>
              </w:rPr>
              <w:t>2</w:t>
            </w:r>
            <w:r w:rsidRPr="00C37EAC">
              <w:rPr>
                <w:rFonts w:ascii="Times New Roman" w:eastAsia="Times New Roman" w:hAnsi="Times New Roman" w:cs="Times New Roman"/>
                <w:sz w:val="24"/>
                <w:szCs w:val="24"/>
              </w:rPr>
              <w:t>O</w:t>
            </w:r>
            <w:r w:rsidRPr="00C37EAC">
              <w:rPr>
                <w:rFonts w:ascii="Times New Roman" w:eastAsia="Times New Roman" w:hAnsi="Times New Roman" w:cs="Times New Roman"/>
                <w:sz w:val="24"/>
                <w:szCs w:val="24"/>
                <w:vertAlign w:val="subscript"/>
              </w:rPr>
              <w:t>3</w:t>
            </w:r>
          </w:p>
        </w:tc>
        <w:tc>
          <w:tcPr>
            <w:tcW w:w="990" w:type="dxa"/>
            <w:hideMark/>
          </w:tcPr>
          <w:p w14:paraId="10D74931" w14:textId="77777777" w:rsidR="00E63FDE" w:rsidRPr="00C37EAC" w:rsidRDefault="00E63FDE" w:rsidP="00C37EAC">
            <w:pPr>
              <w:jc w:val="both"/>
              <w:rPr>
                <w:rFonts w:ascii="Times New Roman" w:eastAsia="Times New Roman" w:hAnsi="Times New Roman" w:cs="Times New Roman"/>
                <w:bCs/>
                <w:sz w:val="24"/>
                <w:szCs w:val="24"/>
              </w:rPr>
            </w:pPr>
            <w:r w:rsidRPr="00C37EAC">
              <w:rPr>
                <w:rFonts w:ascii="Times New Roman" w:eastAsia="Times New Roman" w:hAnsi="Times New Roman" w:cs="Times New Roman"/>
                <w:bCs/>
                <w:sz w:val="24"/>
                <w:szCs w:val="24"/>
              </w:rPr>
              <w:t>Value</w:t>
            </w:r>
          </w:p>
        </w:tc>
      </w:tr>
      <w:tr w:rsidR="00E63FDE" w:rsidRPr="00C37EAC" w14:paraId="688315FB" w14:textId="77777777" w:rsidTr="00A032ED">
        <w:tc>
          <w:tcPr>
            <w:tcW w:w="1644" w:type="dxa"/>
            <w:tcBorders>
              <w:right w:val="single" w:sz="4" w:space="0" w:color="auto"/>
            </w:tcBorders>
            <w:hideMark/>
          </w:tcPr>
          <w:p w14:paraId="0D955275" w14:textId="77777777" w:rsidR="00E63FDE" w:rsidRPr="00C37EAC" w:rsidRDefault="00E63FDE" w:rsidP="00C37EAC">
            <w:pPr>
              <w:jc w:val="both"/>
              <w:rPr>
                <w:rFonts w:ascii="Times New Roman" w:eastAsia="Times New Roman" w:hAnsi="Times New Roman" w:cs="Times New Roman"/>
                <w:sz w:val="24"/>
                <w:szCs w:val="24"/>
              </w:rPr>
            </w:pPr>
            <w:proofErr w:type="spellStart"/>
            <w:r w:rsidRPr="00C37EAC">
              <w:rPr>
                <w:rFonts w:ascii="Times New Roman" w:eastAsia="Times New Roman" w:hAnsi="Times New Roman" w:cs="Times New Roman"/>
                <w:sz w:val="24"/>
                <w:szCs w:val="24"/>
              </w:rPr>
              <w:t>Enugwu-agidi</w:t>
            </w:r>
            <w:proofErr w:type="spellEnd"/>
          </w:p>
        </w:tc>
        <w:tc>
          <w:tcPr>
            <w:tcW w:w="720" w:type="dxa"/>
            <w:tcBorders>
              <w:left w:val="single" w:sz="4" w:space="0" w:color="auto"/>
              <w:right w:val="single" w:sz="4" w:space="0" w:color="auto"/>
            </w:tcBorders>
          </w:tcPr>
          <w:p w14:paraId="34890D8C" w14:textId="77777777" w:rsidR="00E63FDE" w:rsidRPr="00C37EAC" w:rsidRDefault="00A032ED"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53.1</w:t>
            </w:r>
          </w:p>
        </w:tc>
        <w:tc>
          <w:tcPr>
            <w:tcW w:w="984" w:type="dxa"/>
            <w:tcBorders>
              <w:left w:val="single" w:sz="4" w:space="0" w:color="auto"/>
            </w:tcBorders>
          </w:tcPr>
          <w:p w14:paraId="08D992CC" w14:textId="77777777" w:rsidR="00E63FDE" w:rsidRPr="00C37EAC" w:rsidRDefault="00A032ED"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30.61</w:t>
            </w:r>
          </w:p>
        </w:tc>
        <w:tc>
          <w:tcPr>
            <w:tcW w:w="990" w:type="dxa"/>
            <w:hideMark/>
          </w:tcPr>
          <w:p w14:paraId="1DE154E8" w14:textId="77777777" w:rsidR="00E63FDE" w:rsidRPr="00C37EAC" w:rsidRDefault="00E63FDE"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1.73</w:t>
            </w:r>
          </w:p>
        </w:tc>
      </w:tr>
      <w:tr w:rsidR="00E63FDE" w:rsidRPr="00C37EAC" w14:paraId="2B32B89A" w14:textId="77777777" w:rsidTr="00A032ED">
        <w:tc>
          <w:tcPr>
            <w:tcW w:w="1644" w:type="dxa"/>
            <w:tcBorders>
              <w:right w:val="single" w:sz="4" w:space="0" w:color="auto"/>
            </w:tcBorders>
            <w:hideMark/>
          </w:tcPr>
          <w:p w14:paraId="07EF25E3" w14:textId="77777777" w:rsidR="00E63FDE" w:rsidRPr="00C37EAC" w:rsidRDefault="00E63FDE" w:rsidP="00C37EAC">
            <w:pPr>
              <w:jc w:val="both"/>
              <w:rPr>
                <w:rFonts w:ascii="Times New Roman" w:eastAsia="Times New Roman" w:hAnsi="Times New Roman" w:cs="Times New Roman"/>
                <w:sz w:val="24"/>
                <w:szCs w:val="24"/>
              </w:rPr>
            </w:pPr>
            <w:proofErr w:type="spellStart"/>
            <w:r w:rsidRPr="00C37EAC">
              <w:rPr>
                <w:rFonts w:ascii="Times New Roman" w:eastAsia="Times New Roman" w:hAnsi="Times New Roman" w:cs="Times New Roman"/>
                <w:sz w:val="24"/>
                <w:szCs w:val="24"/>
              </w:rPr>
              <w:t>Mbaukwu</w:t>
            </w:r>
            <w:proofErr w:type="spellEnd"/>
          </w:p>
        </w:tc>
        <w:tc>
          <w:tcPr>
            <w:tcW w:w="720" w:type="dxa"/>
            <w:tcBorders>
              <w:left w:val="single" w:sz="4" w:space="0" w:color="auto"/>
              <w:right w:val="single" w:sz="4" w:space="0" w:color="auto"/>
            </w:tcBorders>
          </w:tcPr>
          <w:p w14:paraId="7C8D37EC" w14:textId="77777777" w:rsidR="00E63FDE" w:rsidRPr="00C37EAC" w:rsidRDefault="00A032ED"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53.8</w:t>
            </w:r>
          </w:p>
        </w:tc>
        <w:tc>
          <w:tcPr>
            <w:tcW w:w="984" w:type="dxa"/>
            <w:tcBorders>
              <w:left w:val="single" w:sz="4" w:space="0" w:color="auto"/>
            </w:tcBorders>
          </w:tcPr>
          <w:p w14:paraId="50A75D5B" w14:textId="77777777" w:rsidR="00E63FDE" w:rsidRPr="00C37EAC" w:rsidRDefault="00A032ED"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30.70</w:t>
            </w:r>
          </w:p>
        </w:tc>
        <w:tc>
          <w:tcPr>
            <w:tcW w:w="990" w:type="dxa"/>
            <w:hideMark/>
          </w:tcPr>
          <w:p w14:paraId="3FB55961" w14:textId="77777777" w:rsidR="00E63FDE" w:rsidRPr="00C37EAC" w:rsidRDefault="00E63FDE"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1.75</w:t>
            </w:r>
          </w:p>
        </w:tc>
      </w:tr>
    </w:tbl>
    <w:p w14:paraId="53E0C808" w14:textId="77777777" w:rsidR="007D2C06" w:rsidRPr="00C37EAC" w:rsidRDefault="007D2C06" w:rsidP="00C37EAC">
      <w:pPr>
        <w:spacing w:after="0" w:line="240" w:lineRule="auto"/>
        <w:jc w:val="both"/>
        <w:rPr>
          <w:rFonts w:ascii="Times New Roman" w:eastAsia="Times New Roman" w:hAnsi="Times New Roman" w:cs="Times New Roman"/>
          <w:sz w:val="24"/>
          <w:szCs w:val="24"/>
        </w:rPr>
      </w:pPr>
    </w:p>
    <w:p w14:paraId="7166BDCF" w14:textId="77777777" w:rsidR="005A6D6F" w:rsidRPr="00C37EAC" w:rsidRDefault="005A6D6F" w:rsidP="00C37EAC">
      <w:pPr>
        <w:spacing w:after="0" w:line="240" w:lineRule="auto"/>
        <w:jc w:val="both"/>
        <w:rPr>
          <w:rFonts w:ascii="Times New Roman" w:eastAsia="Times New Roman" w:hAnsi="Times New Roman" w:cs="Times New Roman"/>
          <w:sz w:val="24"/>
          <w:szCs w:val="24"/>
        </w:rPr>
      </w:pPr>
      <w:r w:rsidRPr="00C37EAC">
        <w:rPr>
          <w:rFonts w:ascii="Times New Roman" w:hAnsi="Times New Roman" w:cs="Times New Roman"/>
          <w:sz w:val="24"/>
          <w:szCs w:val="24"/>
        </w:rPr>
        <w:t xml:space="preserve">The silica–alumina ratios for </w:t>
      </w:r>
      <w:proofErr w:type="spellStart"/>
      <w:r w:rsidRPr="00C37EAC">
        <w:rPr>
          <w:rFonts w:ascii="Times New Roman" w:hAnsi="Times New Roman" w:cs="Times New Roman"/>
          <w:sz w:val="24"/>
          <w:szCs w:val="24"/>
        </w:rPr>
        <w:t>Enugwu-agidi</w:t>
      </w:r>
      <w:proofErr w:type="spellEnd"/>
      <w:r w:rsidRPr="00C37EAC">
        <w:rPr>
          <w:rFonts w:ascii="Times New Roman" w:hAnsi="Times New Roman" w:cs="Times New Roman"/>
          <w:sz w:val="24"/>
          <w:szCs w:val="24"/>
        </w:rPr>
        <w:t xml:space="preserve"> (1.73) and </w:t>
      </w:r>
      <w:proofErr w:type="spellStart"/>
      <w:r w:rsidRPr="00C37EAC">
        <w:rPr>
          <w:rFonts w:ascii="Times New Roman" w:hAnsi="Times New Roman" w:cs="Times New Roman"/>
          <w:sz w:val="24"/>
          <w:szCs w:val="24"/>
        </w:rPr>
        <w:t>Mbaukwu</w:t>
      </w:r>
      <w:proofErr w:type="spellEnd"/>
      <w:r w:rsidRPr="00C37EAC">
        <w:rPr>
          <w:rFonts w:ascii="Times New Roman" w:hAnsi="Times New Roman" w:cs="Times New Roman"/>
          <w:sz w:val="24"/>
          <w:szCs w:val="24"/>
        </w:rPr>
        <w:t xml:space="preserve"> (1.75) are higher than the theoretical value for pure kaolinite (~1.18), indicating the presence of excess silica in the form of quartz.</w:t>
      </w:r>
    </w:p>
    <w:p w14:paraId="0D8CA56A" w14:textId="77777777" w:rsidR="007D2C06" w:rsidRPr="00C37EAC" w:rsidRDefault="007D2C06" w:rsidP="00C37EAC">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C37EAC">
        <w:rPr>
          <w:rFonts w:ascii="Times New Roman" w:eastAsia="Times New Roman" w:hAnsi="Times New Roman" w:cs="Times New Roman"/>
          <w:bCs/>
          <w:sz w:val="24"/>
          <w:szCs w:val="24"/>
        </w:rPr>
        <w:t>(b) Chemical Index of Alteration (CIA)</w:t>
      </w:r>
      <w:r w:rsidR="00A032ED" w:rsidRPr="00C37EAC">
        <w:rPr>
          <w:rFonts w:ascii="Times New Roman" w:eastAsia="Times New Roman" w:hAnsi="Times New Roman" w:cs="Times New Roman"/>
          <w:bCs/>
          <w:sz w:val="24"/>
          <w:szCs w:val="24"/>
        </w:rPr>
        <w:t xml:space="preserve"> is calculated using</w:t>
      </w:r>
      <w:r w:rsidR="00947574" w:rsidRPr="00C37EAC">
        <w:rPr>
          <w:rFonts w:ascii="Times New Roman" w:eastAsia="Times New Roman" w:hAnsi="Times New Roman" w:cs="Times New Roman"/>
          <w:bCs/>
          <w:sz w:val="24"/>
          <w:szCs w:val="24"/>
        </w:rPr>
        <w:t xml:space="preserve"> CIA = </w:t>
      </w:r>
      <w:r w:rsidR="00947574" w:rsidRPr="00C37EAC">
        <w:rPr>
          <w:rFonts w:ascii="Times New Roman" w:eastAsia="Times New Roman" w:hAnsi="Times New Roman" w:cs="Times New Roman"/>
          <w:sz w:val="24"/>
          <w:szCs w:val="24"/>
        </w:rPr>
        <w:t>Al</w:t>
      </w:r>
      <w:r w:rsidR="00947574" w:rsidRPr="00C37EAC">
        <w:rPr>
          <w:rFonts w:ascii="Times New Roman" w:eastAsia="Times New Roman" w:hAnsi="Times New Roman" w:cs="Times New Roman"/>
          <w:sz w:val="24"/>
          <w:szCs w:val="24"/>
          <w:vertAlign w:val="subscript"/>
        </w:rPr>
        <w:t>2</w:t>
      </w:r>
      <w:r w:rsidR="00947574" w:rsidRPr="00C37EAC">
        <w:rPr>
          <w:rFonts w:ascii="Times New Roman" w:eastAsia="Times New Roman" w:hAnsi="Times New Roman" w:cs="Times New Roman"/>
          <w:sz w:val="24"/>
          <w:szCs w:val="24"/>
        </w:rPr>
        <w:t>O</w:t>
      </w:r>
      <w:r w:rsidR="00947574" w:rsidRPr="00C37EAC">
        <w:rPr>
          <w:rFonts w:ascii="Times New Roman" w:eastAsia="Times New Roman" w:hAnsi="Times New Roman" w:cs="Times New Roman"/>
          <w:sz w:val="24"/>
          <w:szCs w:val="24"/>
          <w:vertAlign w:val="subscript"/>
        </w:rPr>
        <w:t>3</w:t>
      </w:r>
      <w:r w:rsidR="00947574" w:rsidRPr="00C37EAC">
        <w:rPr>
          <w:rFonts w:ascii="Times New Roman" w:eastAsia="Times New Roman" w:hAnsi="Times New Roman" w:cs="Times New Roman"/>
          <w:sz w:val="24"/>
          <w:szCs w:val="24"/>
        </w:rPr>
        <w:t>/ Al</w:t>
      </w:r>
      <w:r w:rsidR="00947574" w:rsidRPr="00C37EAC">
        <w:rPr>
          <w:rFonts w:ascii="Times New Roman" w:eastAsia="Times New Roman" w:hAnsi="Times New Roman" w:cs="Times New Roman"/>
          <w:sz w:val="24"/>
          <w:szCs w:val="24"/>
          <w:vertAlign w:val="subscript"/>
        </w:rPr>
        <w:t>2</w:t>
      </w:r>
      <w:r w:rsidR="00947574" w:rsidRPr="00C37EAC">
        <w:rPr>
          <w:rFonts w:ascii="Times New Roman" w:eastAsia="Times New Roman" w:hAnsi="Times New Roman" w:cs="Times New Roman"/>
          <w:sz w:val="24"/>
          <w:szCs w:val="24"/>
        </w:rPr>
        <w:t>O</w:t>
      </w:r>
      <w:r w:rsidR="00947574" w:rsidRPr="00C37EAC">
        <w:rPr>
          <w:rFonts w:ascii="Times New Roman" w:eastAsia="Times New Roman" w:hAnsi="Times New Roman" w:cs="Times New Roman"/>
          <w:sz w:val="24"/>
          <w:szCs w:val="24"/>
          <w:vertAlign w:val="subscript"/>
        </w:rPr>
        <w:t>3</w:t>
      </w:r>
      <w:r w:rsidR="00947574" w:rsidRPr="00C37EAC">
        <w:rPr>
          <w:rFonts w:ascii="Times New Roman" w:eastAsia="Times New Roman" w:hAnsi="Times New Roman" w:cs="Times New Roman"/>
          <w:sz w:val="24"/>
          <w:szCs w:val="24"/>
        </w:rPr>
        <w:t>+CaO+Na</w:t>
      </w:r>
      <w:r w:rsidR="00947574" w:rsidRPr="00C37EAC">
        <w:rPr>
          <w:rFonts w:ascii="Times New Roman" w:eastAsia="Times New Roman" w:hAnsi="Times New Roman" w:cs="Times New Roman"/>
          <w:sz w:val="24"/>
          <w:szCs w:val="24"/>
          <w:vertAlign w:val="subscript"/>
        </w:rPr>
        <w:t>2</w:t>
      </w:r>
      <w:r w:rsidR="00947574" w:rsidRPr="00C37EAC">
        <w:rPr>
          <w:rFonts w:ascii="Times New Roman" w:eastAsia="Times New Roman" w:hAnsi="Times New Roman" w:cs="Times New Roman"/>
          <w:sz w:val="24"/>
          <w:szCs w:val="24"/>
        </w:rPr>
        <w:t>O+K</w:t>
      </w:r>
      <w:r w:rsidR="00947574" w:rsidRPr="00C37EAC">
        <w:rPr>
          <w:rFonts w:ascii="Times New Roman" w:eastAsia="Times New Roman" w:hAnsi="Times New Roman" w:cs="Times New Roman"/>
          <w:sz w:val="24"/>
          <w:szCs w:val="24"/>
          <w:vertAlign w:val="subscript"/>
        </w:rPr>
        <w:t>2</w:t>
      </w:r>
      <w:r w:rsidR="00947574" w:rsidRPr="00C37EAC">
        <w:rPr>
          <w:rFonts w:ascii="Times New Roman" w:eastAsia="Times New Roman" w:hAnsi="Times New Roman" w:cs="Times New Roman"/>
          <w:sz w:val="24"/>
          <w:szCs w:val="24"/>
        </w:rPr>
        <w:t>O ×100 for each clay sample in table 4</w:t>
      </w:r>
      <w:r w:rsidR="003015C9" w:rsidRPr="00C37EAC">
        <w:rPr>
          <w:rFonts w:ascii="Times New Roman" w:eastAsia="Times New Roman" w:hAnsi="Times New Roman" w:cs="Times New Roman"/>
          <w:sz w:val="24"/>
          <w:szCs w:val="24"/>
        </w:rPr>
        <w:t>,</w:t>
      </w:r>
      <w:r w:rsidR="00947574" w:rsidRPr="00C37EAC">
        <w:rPr>
          <w:rFonts w:ascii="Times New Roman" w:eastAsia="Times New Roman" w:hAnsi="Times New Roman" w:cs="Times New Roman"/>
          <w:sz w:val="24"/>
          <w:szCs w:val="24"/>
        </w:rPr>
        <w:t xml:space="preserve"> </w:t>
      </w:r>
    </w:p>
    <w:p w14:paraId="67B286AF" w14:textId="77777777" w:rsidR="00947574" w:rsidRPr="00C37EAC" w:rsidRDefault="00947574" w:rsidP="00C37EAC">
      <w:pPr>
        <w:spacing w:after="0" w:line="240" w:lineRule="auto"/>
        <w:jc w:val="both"/>
        <w:outlineLvl w:val="2"/>
        <w:rPr>
          <w:rFonts w:ascii="Times New Roman" w:eastAsia="Times New Roman" w:hAnsi="Times New Roman" w:cs="Times New Roman"/>
          <w:b/>
          <w:bCs/>
          <w:sz w:val="24"/>
          <w:szCs w:val="24"/>
        </w:rPr>
      </w:pPr>
      <w:r w:rsidRPr="00C37EAC">
        <w:rPr>
          <w:rFonts w:ascii="Times New Roman" w:eastAsia="Times New Roman" w:hAnsi="Times New Roman" w:cs="Times New Roman"/>
          <w:b/>
          <w:bCs/>
          <w:sz w:val="24"/>
          <w:szCs w:val="24"/>
        </w:rPr>
        <w:t>Table 4: Chemical Index of Alteration</w:t>
      </w:r>
    </w:p>
    <w:tbl>
      <w:tblPr>
        <w:tblStyle w:val="TableGrid"/>
        <w:tblW w:w="6487" w:type="dxa"/>
        <w:tblLayout w:type="fixed"/>
        <w:tblLook w:val="04A0" w:firstRow="1" w:lastRow="0" w:firstColumn="1" w:lastColumn="0" w:noHBand="0" w:noVBand="1"/>
      </w:tblPr>
      <w:tblGrid>
        <w:gridCol w:w="1822"/>
        <w:gridCol w:w="892"/>
        <w:gridCol w:w="893"/>
        <w:gridCol w:w="893"/>
        <w:gridCol w:w="893"/>
        <w:gridCol w:w="1094"/>
      </w:tblGrid>
      <w:tr w:rsidR="003015C9" w:rsidRPr="00C37EAC" w14:paraId="20FE5EC1" w14:textId="77777777" w:rsidTr="003015C9">
        <w:tc>
          <w:tcPr>
            <w:tcW w:w="1822" w:type="dxa"/>
            <w:tcBorders>
              <w:top w:val="single" w:sz="4" w:space="0" w:color="auto"/>
              <w:right w:val="single" w:sz="4" w:space="0" w:color="auto"/>
            </w:tcBorders>
            <w:hideMark/>
          </w:tcPr>
          <w:p w14:paraId="46E5C3BC" w14:textId="77777777" w:rsidR="003015C9" w:rsidRPr="00C37EAC" w:rsidRDefault="003015C9" w:rsidP="00C37EAC">
            <w:pPr>
              <w:jc w:val="both"/>
              <w:rPr>
                <w:rFonts w:ascii="Times New Roman" w:eastAsia="Times New Roman" w:hAnsi="Times New Roman" w:cs="Times New Roman"/>
                <w:b/>
                <w:bCs/>
                <w:sz w:val="24"/>
                <w:szCs w:val="24"/>
              </w:rPr>
            </w:pPr>
            <w:r w:rsidRPr="00C37EAC">
              <w:rPr>
                <w:rFonts w:ascii="Times New Roman" w:eastAsia="Times New Roman" w:hAnsi="Times New Roman" w:cs="Times New Roman"/>
                <w:b/>
                <w:bCs/>
                <w:sz w:val="24"/>
                <w:szCs w:val="24"/>
              </w:rPr>
              <w:t>Sample</w:t>
            </w:r>
          </w:p>
        </w:tc>
        <w:tc>
          <w:tcPr>
            <w:tcW w:w="892" w:type="dxa"/>
            <w:tcBorders>
              <w:top w:val="single" w:sz="4" w:space="0" w:color="auto"/>
            </w:tcBorders>
          </w:tcPr>
          <w:p w14:paraId="7792ED2B" w14:textId="77777777" w:rsidR="003015C9" w:rsidRPr="00C37EAC" w:rsidRDefault="003015C9" w:rsidP="00C37EAC">
            <w:pPr>
              <w:jc w:val="both"/>
              <w:rPr>
                <w:rFonts w:ascii="Times New Roman" w:eastAsia="Times New Roman" w:hAnsi="Times New Roman" w:cs="Times New Roman"/>
                <w:b/>
                <w:bCs/>
                <w:sz w:val="24"/>
                <w:szCs w:val="24"/>
              </w:rPr>
            </w:pPr>
            <w:r w:rsidRPr="00C37EAC">
              <w:rPr>
                <w:rFonts w:ascii="Times New Roman" w:eastAsia="Times New Roman" w:hAnsi="Times New Roman" w:cs="Times New Roman"/>
                <w:sz w:val="24"/>
                <w:szCs w:val="24"/>
              </w:rPr>
              <w:t>Al</w:t>
            </w:r>
            <w:r w:rsidRPr="00C37EAC">
              <w:rPr>
                <w:rFonts w:ascii="Times New Roman" w:eastAsia="Times New Roman" w:hAnsi="Times New Roman" w:cs="Times New Roman"/>
                <w:sz w:val="24"/>
                <w:szCs w:val="24"/>
                <w:vertAlign w:val="subscript"/>
              </w:rPr>
              <w:t>2</w:t>
            </w:r>
            <w:r w:rsidRPr="00C37EAC">
              <w:rPr>
                <w:rFonts w:ascii="Times New Roman" w:eastAsia="Times New Roman" w:hAnsi="Times New Roman" w:cs="Times New Roman"/>
                <w:sz w:val="24"/>
                <w:szCs w:val="24"/>
              </w:rPr>
              <w:t>O</w:t>
            </w:r>
            <w:r w:rsidRPr="00C37EAC">
              <w:rPr>
                <w:rFonts w:ascii="Times New Roman" w:eastAsia="Times New Roman" w:hAnsi="Times New Roman" w:cs="Times New Roman"/>
                <w:sz w:val="24"/>
                <w:szCs w:val="24"/>
                <w:vertAlign w:val="subscript"/>
              </w:rPr>
              <w:t>3</w:t>
            </w:r>
          </w:p>
        </w:tc>
        <w:tc>
          <w:tcPr>
            <w:tcW w:w="893" w:type="dxa"/>
            <w:tcBorders>
              <w:top w:val="single" w:sz="4" w:space="0" w:color="auto"/>
            </w:tcBorders>
          </w:tcPr>
          <w:p w14:paraId="5AA17DB6" w14:textId="77777777" w:rsidR="003015C9" w:rsidRPr="00C37EAC" w:rsidRDefault="003015C9" w:rsidP="00C37EAC">
            <w:pPr>
              <w:jc w:val="both"/>
              <w:rPr>
                <w:rFonts w:ascii="Times New Roman" w:hAnsi="Times New Roman" w:cs="Times New Roman"/>
                <w:sz w:val="24"/>
                <w:szCs w:val="24"/>
              </w:rPr>
            </w:pPr>
            <w:proofErr w:type="spellStart"/>
            <w:r w:rsidRPr="00C37EAC">
              <w:rPr>
                <w:rFonts w:ascii="Times New Roman" w:eastAsia="Times New Roman" w:hAnsi="Times New Roman" w:cs="Times New Roman"/>
                <w:sz w:val="24"/>
                <w:szCs w:val="24"/>
              </w:rPr>
              <w:t>CaO</w:t>
            </w:r>
            <w:proofErr w:type="spellEnd"/>
          </w:p>
        </w:tc>
        <w:tc>
          <w:tcPr>
            <w:tcW w:w="893" w:type="dxa"/>
            <w:tcBorders>
              <w:top w:val="single" w:sz="4" w:space="0" w:color="auto"/>
            </w:tcBorders>
          </w:tcPr>
          <w:p w14:paraId="006088F6" w14:textId="77777777" w:rsidR="003015C9" w:rsidRPr="00C37EAC" w:rsidRDefault="003015C9" w:rsidP="00C37EAC">
            <w:pPr>
              <w:jc w:val="both"/>
              <w:rPr>
                <w:rFonts w:ascii="Times New Roman" w:hAnsi="Times New Roman" w:cs="Times New Roman"/>
                <w:sz w:val="24"/>
                <w:szCs w:val="24"/>
              </w:rPr>
            </w:pPr>
            <w:r w:rsidRPr="00C37EAC">
              <w:rPr>
                <w:rFonts w:ascii="Times New Roman" w:eastAsia="Times New Roman" w:hAnsi="Times New Roman" w:cs="Times New Roman"/>
                <w:sz w:val="24"/>
                <w:szCs w:val="24"/>
              </w:rPr>
              <w:t>Na</w:t>
            </w:r>
            <w:r w:rsidRPr="00C37EAC">
              <w:rPr>
                <w:rFonts w:ascii="Times New Roman" w:eastAsia="Times New Roman" w:hAnsi="Times New Roman" w:cs="Times New Roman"/>
                <w:sz w:val="24"/>
                <w:szCs w:val="24"/>
                <w:vertAlign w:val="subscript"/>
              </w:rPr>
              <w:t>2</w:t>
            </w:r>
            <w:r w:rsidRPr="00C37EAC">
              <w:rPr>
                <w:rFonts w:ascii="Times New Roman" w:eastAsia="Times New Roman" w:hAnsi="Times New Roman" w:cs="Times New Roman"/>
                <w:sz w:val="24"/>
                <w:szCs w:val="24"/>
              </w:rPr>
              <w:t>O</w:t>
            </w:r>
          </w:p>
        </w:tc>
        <w:tc>
          <w:tcPr>
            <w:tcW w:w="893" w:type="dxa"/>
            <w:tcBorders>
              <w:top w:val="single" w:sz="4" w:space="0" w:color="auto"/>
            </w:tcBorders>
          </w:tcPr>
          <w:p w14:paraId="1272F0AE" w14:textId="77777777" w:rsidR="003015C9" w:rsidRPr="00C37EAC" w:rsidRDefault="003015C9" w:rsidP="00C37EAC">
            <w:pPr>
              <w:jc w:val="both"/>
              <w:rPr>
                <w:rFonts w:ascii="Times New Roman" w:hAnsi="Times New Roman" w:cs="Times New Roman"/>
                <w:sz w:val="24"/>
                <w:szCs w:val="24"/>
              </w:rPr>
            </w:pPr>
            <w:r w:rsidRPr="00C37EAC">
              <w:rPr>
                <w:rFonts w:ascii="Times New Roman" w:eastAsia="Times New Roman" w:hAnsi="Times New Roman" w:cs="Times New Roman"/>
                <w:sz w:val="24"/>
                <w:szCs w:val="24"/>
              </w:rPr>
              <w:t>K</w:t>
            </w:r>
            <w:r w:rsidRPr="00C37EAC">
              <w:rPr>
                <w:rFonts w:ascii="Times New Roman" w:eastAsia="Times New Roman" w:hAnsi="Times New Roman" w:cs="Times New Roman"/>
                <w:sz w:val="24"/>
                <w:szCs w:val="24"/>
                <w:vertAlign w:val="subscript"/>
              </w:rPr>
              <w:t>2</w:t>
            </w:r>
            <w:r w:rsidRPr="00C37EAC">
              <w:rPr>
                <w:rFonts w:ascii="Times New Roman" w:eastAsia="Times New Roman" w:hAnsi="Times New Roman" w:cs="Times New Roman"/>
                <w:sz w:val="24"/>
                <w:szCs w:val="24"/>
              </w:rPr>
              <w:t>O</w:t>
            </w:r>
          </w:p>
        </w:tc>
        <w:tc>
          <w:tcPr>
            <w:tcW w:w="1094" w:type="dxa"/>
            <w:tcBorders>
              <w:top w:val="single" w:sz="4" w:space="0" w:color="auto"/>
              <w:right w:val="single" w:sz="4" w:space="0" w:color="auto"/>
            </w:tcBorders>
          </w:tcPr>
          <w:p w14:paraId="5E87F63D" w14:textId="77777777" w:rsidR="003015C9" w:rsidRPr="00C37EAC" w:rsidRDefault="003015C9" w:rsidP="00C37EAC">
            <w:pPr>
              <w:jc w:val="both"/>
              <w:rPr>
                <w:rFonts w:ascii="Times New Roman" w:eastAsia="Times New Roman" w:hAnsi="Times New Roman" w:cs="Times New Roman"/>
                <w:b/>
                <w:bCs/>
                <w:sz w:val="24"/>
                <w:szCs w:val="24"/>
              </w:rPr>
            </w:pPr>
            <w:r w:rsidRPr="00C37EAC">
              <w:rPr>
                <w:rFonts w:ascii="Times New Roman" w:eastAsia="Times New Roman" w:hAnsi="Times New Roman" w:cs="Times New Roman"/>
                <w:b/>
                <w:bCs/>
                <w:sz w:val="24"/>
                <w:szCs w:val="24"/>
              </w:rPr>
              <w:t>CIA (%)</w:t>
            </w:r>
          </w:p>
        </w:tc>
      </w:tr>
      <w:tr w:rsidR="003015C9" w:rsidRPr="00C37EAC" w14:paraId="66CCAE5C" w14:textId="77777777" w:rsidTr="003015C9">
        <w:tc>
          <w:tcPr>
            <w:tcW w:w="1822" w:type="dxa"/>
            <w:tcBorders>
              <w:right w:val="single" w:sz="4" w:space="0" w:color="auto"/>
            </w:tcBorders>
            <w:hideMark/>
          </w:tcPr>
          <w:p w14:paraId="5985E0F0" w14:textId="77777777" w:rsidR="003015C9" w:rsidRPr="00C37EAC" w:rsidRDefault="003015C9" w:rsidP="00C37EAC">
            <w:pPr>
              <w:jc w:val="both"/>
              <w:rPr>
                <w:rFonts w:ascii="Times New Roman" w:eastAsia="Times New Roman" w:hAnsi="Times New Roman" w:cs="Times New Roman"/>
                <w:sz w:val="24"/>
                <w:szCs w:val="24"/>
              </w:rPr>
            </w:pPr>
            <w:proofErr w:type="spellStart"/>
            <w:r w:rsidRPr="00C37EAC">
              <w:rPr>
                <w:rFonts w:ascii="Times New Roman" w:eastAsia="Times New Roman" w:hAnsi="Times New Roman" w:cs="Times New Roman"/>
                <w:sz w:val="24"/>
                <w:szCs w:val="24"/>
              </w:rPr>
              <w:t>Enugwu-agidi</w:t>
            </w:r>
            <w:proofErr w:type="spellEnd"/>
          </w:p>
        </w:tc>
        <w:tc>
          <w:tcPr>
            <w:tcW w:w="892" w:type="dxa"/>
          </w:tcPr>
          <w:p w14:paraId="00133454" w14:textId="77777777" w:rsidR="003015C9" w:rsidRPr="00C37EAC" w:rsidRDefault="003015C9"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30.61</w:t>
            </w:r>
          </w:p>
        </w:tc>
        <w:tc>
          <w:tcPr>
            <w:tcW w:w="893" w:type="dxa"/>
          </w:tcPr>
          <w:p w14:paraId="7BCB2585" w14:textId="77777777" w:rsidR="003015C9" w:rsidRPr="00C37EAC" w:rsidRDefault="003015C9"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1.36</w:t>
            </w:r>
          </w:p>
        </w:tc>
        <w:tc>
          <w:tcPr>
            <w:tcW w:w="893" w:type="dxa"/>
          </w:tcPr>
          <w:p w14:paraId="3B6B6990" w14:textId="77777777" w:rsidR="003015C9" w:rsidRPr="00C37EAC" w:rsidRDefault="003015C9"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0.33</w:t>
            </w:r>
          </w:p>
        </w:tc>
        <w:tc>
          <w:tcPr>
            <w:tcW w:w="893" w:type="dxa"/>
          </w:tcPr>
          <w:p w14:paraId="22BD7F5F" w14:textId="77777777" w:rsidR="003015C9" w:rsidRPr="00C37EAC" w:rsidRDefault="003015C9"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0.48</w:t>
            </w:r>
          </w:p>
        </w:tc>
        <w:tc>
          <w:tcPr>
            <w:tcW w:w="1094" w:type="dxa"/>
            <w:tcBorders>
              <w:right w:val="single" w:sz="4" w:space="0" w:color="auto"/>
            </w:tcBorders>
          </w:tcPr>
          <w:p w14:paraId="5ACC32FB" w14:textId="77777777" w:rsidR="003015C9" w:rsidRPr="00C37EAC" w:rsidRDefault="003015C9"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93.4</w:t>
            </w:r>
          </w:p>
        </w:tc>
      </w:tr>
      <w:tr w:rsidR="003015C9" w:rsidRPr="00C37EAC" w14:paraId="1A09B55D" w14:textId="77777777" w:rsidTr="003015C9">
        <w:tc>
          <w:tcPr>
            <w:tcW w:w="1822" w:type="dxa"/>
            <w:tcBorders>
              <w:right w:val="single" w:sz="4" w:space="0" w:color="auto"/>
            </w:tcBorders>
            <w:hideMark/>
          </w:tcPr>
          <w:p w14:paraId="5549DDD5" w14:textId="77777777" w:rsidR="003015C9" w:rsidRPr="00C37EAC" w:rsidRDefault="003015C9" w:rsidP="00C37EAC">
            <w:pPr>
              <w:jc w:val="both"/>
              <w:rPr>
                <w:rFonts w:ascii="Times New Roman" w:eastAsia="Times New Roman" w:hAnsi="Times New Roman" w:cs="Times New Roman"/>
                <w:sz w:val="24"/>
                <w:szCs w:val="24"/>
              </w:rPr>
            </w:pPr>
            <w:proofErr w:type="spellStart"/>
            <w:r w:rsidRPr="00C37EAC">
              <w:rPr>
                <w:rFonts w:ascii="Times New Roman" w:eastAsia="Times New Roman" w:hAnsi="Times New Roman" w:cs="Times New Roman"/>
                <w:sz w:val="24"/>
                <w:szCs w:val="24"/>
              </w:rPr>
              <w:t>Mbaukwu</w:t>
            </w:r>
            <w:proofErr w:type="spellEnd"/>
          </w:p>
        </w:tc>
        <w:tc>
          <w:tcPr>
            <w:tcW w:w="892" w:type="dxa"/>
          </w:tcPr>
          <w:p w14:paraId="0DD00920" w14:textId="77777777" w:rsidR="003015C9" w:rsidRPr="00C37EAC" w:rsidRDefault="003015C9"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30.70</w:t>
            </w:r>
          </w:p>
        </w:tc>
        <w:tc>
          <w:tcPr>
            <w:tcW w:w="893" w:type="dxa"/>
            <w:vAlign w:val="bottom"/>
          </w:tcPr>
          <w:p w14:paraId="00FAD4D0" w14:textId="77777777" w:rsidR="003015C9" w:rsidRPr="00C37EAC" w:rsidRDefault="003015C9"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1.76</w:t>
            </w:r>
          </w:p>
        </w:tc>
        <w:tc>
          <w:tcPr>
            <w:tcW w:w="893" w:type="dxa"/>
            <w:vAlign w:val="bottom"/>
          </w:tcPr>
          <w:p w14:paraId="31C2EE47" w14:textId="77777777" w:rsidR="003015C9" w:rsidRPr="00C37EAC" w:rsidRDefault="003015C9"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0.81</w:t>
            </w:r>
          </w:p>
        </w:tc>
        <w:tc>
          <w:tcPr>
            <w:tcW w:w="893" w:type="dxa"/>
            <w:vAlign w:val="bottom"/>
          </w:tcPr>
          <w:p w14:paraId="1E3BF4E9" w14:textId="77777777" w:rsidR="003015C9" w:rsidRPr="00C37EAC" w:rsidRDefault="003015C9"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0.73</w:t>
            </w:r>
          </w:p>
        </w:tc>
        <w:tc>
          <w:tcPr>
            <w:tcW w:w="1094" w:type="dxa"/>
            <w:tcBorders>
              <w:right w:val="single" w:sz="4" w:space="0" w:color="auto"/>
            </w:tcBorders>
          </w:tcPr>
          <w:p w14:paraId="7D2F48D3" w14:textId="77777777" w:rsidR="003015C9" w:rsidRPr="00C37EAC" w:rsidRDefault="003015C9"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90.3</w:t>
            </w:r>
          </w:p>
        </w:tc>
      </w:tr>
    </w:tbl>
    <w:p w14:paraId="017F5F78" w14:textId="255697F4" w:rsidR="003216A3" w:rsidRPr="00C37EAC" w:rsidRDefault="005A6D6F" w:rsidP="00C37EAC">
      <w:pPr>
        <w:spacing w:after="0" w:line="240" w:lineRule="auto"/>
        <w:jc w:val="both"/>
        <w:rPr>
          <w:rFonts w:ascii="Times New Roman" w:eastAsia="Times New Roman" w:hAnsi="Times New Roman" w:cs="Times New Roman"/>
          <w:sz w:val="24"/>
          <w:szCs w:val="24"/>
        </w:rPr>
      </w:pPr>
      <w:r w:rsidRPr="00C37EAC">
        <w:rPr>
          <w:rFonts w:ascii="Times New Roman" w:hAnsi="Times New Roman" w:cs="Times New Roman"/>
          <w:sz w:val="24"/>
          <w:szCs w:val="24"/>
        </w:rPr>
        <w:t xml:space="preserve">The Chemical Index of Alteration (CIA) values </w:t>
      </w:r>
      <w:r w:rsidR="00FB1B9C">
        <w:rPr>
          <w:rFonts w:ascii="Times New Roman" w:hAnsi="Times New Roman" w:cs="Times New Roman"/>
          <w:sz w:val="24"/>
          <w:szCs w:val="24"/>
        </w:rPr>
        <w:t>were</w:t>
      </w:r>
      <w:r w:rsidRPr="00C37EAC">
        <w:rPr>
          <w:rFonts w:ascii="Times New Roman" w:hAnsi="Times New Roman" w:cs="Times New Roman"/>
          <w:sz w:val="24"/>
          <w:szCs w:val="24"/>
        </w:rPr>
        <w:t xml:space="preserve"> very high, ranging from 90.3 to 93.4%. </w:t>
      </w:r>
      <w:r w:rsidR="005E57E9" w:rsidRPr="00C37EAC">
        <w:rPr>
          <w:rFonts w:ascii="Times New Roman" w:hAnsi="Times New Roman" w:cs="Times New Roman"/>
          <w:sz w:val="24"/>
          <w:szCs w:val="24"/>
        </w:rPr>
        <w:t>These results align with previous studies on highly weathered clays within the Anambra Basin (</w:t>
      </w:r>
      <w:proofErr w:type="spellStart"/>
      <w:r w:rsidR="005E57E9" w:rsidRPr="00C37EAC">
        <w:rPr>
          <w:rFonts w:ascii="Times New Roman" w:hAnsi="Times New Roman" w:cs="Times New Roman"/>
          <w:sz w:val="24"/>
          <w:szCs w:val="24"/>
        </w:rPr>
        <w:t>Ezealaji</w:t>
      </w:r>
      <w:proofErr w:type="spellEnd"/>
      <w:r w:rsidR="005E57E9" w:rsidRPr="00C37EAC">
        <w:rPr>
          <w:rFonts w:ascii="Times New Roman" w:hAnsi="Times New Roman" w:cs="Times New Roman"/>
          <w:sz w:val="24"/>
          <w:szCs w:val="24"/>
        </w:rPr>
        <w:t xml:space="preserve"> et al., 2023). </w:t>
      </w:r>
      <w:r w:rsidRPr="00C37EAC">
        <w:rPr>
          <w:rFonts w:ascii="Times New Roman" w:hAnsi="Times New Roman" w:cs="Times New Roman"/>
          <w:sz w:val="24"/>
          <w:szCs w:val="24"/>
        </w:rPr>
        <w:t>These values indicate intense chemical weathering and significant leaching of mobile cations (Ca²⁺, Na⁺, and K⁺), consistent with tropical weathering conditions</w:t>
      </w:r>
      <w:r w:rsidR="00C37EAC" w:rsidRPr="00C37EAC">
        <w:rPr>
          <w:rFonts w:ascii="Times New Roman" w:hAnsi="Times New Roman" w:cs="Times New Roman"/>
          <w:sz w:val="24"/>
          <w:szCs w:val="24"/>
        </w:rPr>
        <w:t xml:space="preserve"> (Wilson, 2004).</w:t>
      </w:r>
    </w:p>
    <w:p w14:paraId="0E7E384B" w14:textId="1550933E" w:rsidR="00912D5A" w:rsidRPr="00C37EAC" w:rsidRDefault="00912D5A" w:rsidP="00C37EA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37EAC">
        <w:rPr>
          <w:rFonts w:ascii="Times New Roman" w:eastAsia="Times New Roman" w:hAnsi="Times New Roman" w:cs="Times New Roman"/>
          <w:b/>
          <w:bCs/>
          <w:sz w:val="24"/>
          <w:szCs w:val="24"/>
        </w:rPr>
        <w:t>Ternary Diagram Analysis (</w:t>
      </w:r>
      <w:proofErr w:type="spellStart"/>
      <w:r w:rsidRPr="00C37EAC">
        <w:rPr>
          <w:rFonts w:ascii="Times New Roman" w:eastAsia="Times New Roman" w:hAnsi="Times New Roman" w:cs="Times New Roman"/>
          <w:b/>
          <w:bCs/>
          <w:sz w:val="24"/>
          <w:szCs w:val="24"/>
        </w:rPr>
        <w:t>SiO</w:t>
      </w:r>
      <w:proofErr w:type="spellEnd"/>
      <w:r w:rsidRPr="00C37EAC">
        <w:rPr>
          <w:rFonts w:ascii="Times New Roman" w:eastAsia="Times New Roman" w:hAnsi="Times New Roman" w:cs="Times New Roman"/>
          <w:b/>
          <w:bCs/>
          <w:sz w:val="24"/>
          <w:szCs w:val="24"/>
        </w:rPr>
        <w:t>₂–</w:t>
      </w:r>
      <w:proofErr w:type="spellStart"/>
      <w:r w:rsidRPr="00C37EAC">
        <w:rPr>
          <w:rFonts w:ascii="Times New Roman" w:eastAsia="Times New Roman" w:hAnsi="Times New Roman" w:cs="Times New Roman"/>
          <w:b/>
          <w:bCs/>
          <w:sz w:val="24"/>
          <w:szCs w:val="24"/>
        </w:rPr>
        <w:t>Al₂O</w:t>
      </w:r>
      <w:proofErr w:type="spellEnd"/>
      <w:r w:rsidRPr="00C37EAC">
        <w:rPr>
          <w:rFonts w:ascii="Times New Roman" w:eastAsia="Times New Roman" w:hAnsi="Times New Roman" w:cs="Times New Roman"/>
          <w:b/>
          <w:bCs/>
          <w:sz w:val="24"/>
          <w:szCs w:val="24"/>
        </w:rPr>
        <w:t>₃–</w:t>
      </w:r>
      <w:proofErr w:type="spellStart"/>
      <w:r w:rsidRPr="00C37EAC">
        <w:rPr>
          <w:rFonts w:ascii="Times New Roman" w:eastAsia="Times New Roman" w:hAnsi="Times New Roman" w:cs="Times New Roman"/>
          <w:b/>
          <w:bCs/>
          <w:sz w:val="24"/>
          <w:szCs w:val="24"/>
        </w:rPr>
        <w:t>Fe₂O</w:t>
      </w:r>
      <w:proofErr w:type="spellEnd"/>
      <w:r w:rsidRPr="00C37EAC">
        <w:rPr>
          <w:rFonts w:ascii="Times New Roman" w:eastAsia="Times New Roman" w:hAnsi="Times New Roman" w:cs="Times New Roman"/>
          <w:b/>
          <w:bCs/>
          <w:sz w:val="24"/>
          <w:szCs w:val="24"/>
        </w:rPr>
        <w:t>₃)</w:t>
      </w:r>
    </w:p>
    <w:p w14:paraId="1B42437B" w14:textId="77777777" w:rsidR="00C67DA9" w:rsidRPr="00C37EAC" w:rsidRDefault="00912D5A" w:rsidP="00C37EAC">
      <w:pPr>
        <w:spacing w:before="100" w:beforeAutospacing="1" w:after="100" w:afterAutospacing="1" w:line="240" w:lineRule="auto"/>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 xml:space="preserve">Ternary diagrams were used to evaluate the compositional distribution of the clay samples and </w:t>
      </w:r>
      <w:r w:rsidR="00C62490" w:rsidRPr="00C37EAC">
        <w:rPr>
          <w:rFonts w:ascii="Times New Roman" w:eastAsia="Times New Roman" w:hAnsi="Times New Roman" w:cs="Times New Roman"/>
          <w:sz w:val="24"/>
          <w:szCs w:val="24"/>
        </w:rPr>
        <w:t>their industri</w:t>
      </w:r>
      <w:r w:rsidR="00C67DA9" w:rsidRPr="00C37EAC">
        <w:rPr>
          <w:rFonts w:ascii="Times New Roman" w:eastAsia="Times New Roman" w:hAnsi="Times New Roman" w:cs="Times New Roman"/>
          <w:sz w:val="24"/>
          <w:szCs w:val="24"/>
        </w:rPr>
        <w:t>al relevance as seen in figure 3</w:t>
      </w:r>
      <w:r w:rsidR="00C62490" w:rsidRPr="00C37EAC">
        <w:rPr>
          <w:rFonts w:ascii="Times New Roman" w:eastAsia="Times New Roman" w:hAnsi="Times New Roman" w:cs="Times New Roman"/>
          <w:sz w:val="24"/>
          <w:szCs w:val="24"/>
        </w:rPr>
        <w:t>.</w:t>
      </w:r>
    </w:p>
    <w:p w14:paraId="5823876F" w14:textId="77777777" w:rsidR="00912D5A" w:rsidRPr="00C37EAC" w:rsidRDefault="00C67DA9" w:rsidP="00C37EAC">
      <w:pPr>
        <w:spacing w:after="0" w:line="240" w:lineRule="auto"/>
        <w:jc w:val="both"/>
        <w:rPr>
          <w:rFonts w:ascii="Times New Roman" w:eastAsia="Times New Roman" w:hAnsi="Times New Roman" w:cs="Times New Roman"/>
          <w:sz w:val="24"/>
          <w:szCs w:val="24"/>
        </w:rPr>
      </w:pPr>
      <w:r w:rsidRPr="00C37EAC">
        <w:rPr>
          <w:rFonts w:ascii="Times New Roman" w:eastAsia="Times New Roman" w:hAnsi="Times New Roman" w:cs="Times New Roman"/>
          <w:bCs/>
          <w:sz w:val="24"/>
          <w:szCs w:val="24"/>
        </w:rPr>
        <w:t>Figure 3</w:t>
      </w:r>
      <w:r w:rsidR="00912D5A" w:rsidRPr="00C37EAC">
        <w:rPr>
          <w:rFonts w:ascii="Times New Roman" w:eastAsia="Times New Roman" w:hAnsi="Times New Roman" w:cs="Times New Roman"/>
          <w:bCs/>
          <w:sz w:val="24"/>
          <w:szCs w:val="24"/>
        </w:rPr>
        <w:t xml:space="preserve">: Ternary diagram of </w:t>
      </w:r>
      <w:proofErr w:type="spellStart"/>
      <w:r w:rsidR="00912D5A" w:rsidRPr="00C37EAC">
        <w:rPr>
          <w:rFonts w:ascii="Times New Roman" w:eastAsia="Times New Roman" w:hAnsi="Times New Roman" w:cs="Times New Roman"/>
          <w:bCs/>
          <w:sz w:val="24"/>
          <w:szCs w:val="24"/>
        </w:rPr>
        <w:t>SiO</w:t>
      </w:r>
      <w:proofErr w:type="spellEnd"/>
      <w:r w:rsidR="00912D5A" w:rsidRPr="00C37EAC">
        <w:rPr>
          <w:rFonts w:ascii="Times New Roman" w:eastAsia="Times New Roman" w:hAnsi="Times New Roman" w:cs="Times New Roman"/>
          <w:bCs/>
          <w:sz w:val="24"/>
          <w:szCs w:val="24"/>
        </w:rPr>
        <w:t>₂–</w:t>
      </w:r>
      <w:proofErr w:type="spellStart"/>
      <w:r w:rsidR="00912D5A" w:rsidRPr="00C37EAC">
        <w:rPr>
          <w:rFonts w:ascii="Times New Roman" w:eastAsia="Times New Roman" w:hAnsi="Times New Roman" w:cs="Times New Roman"/>
          <w:bCs/>
          <w:sz w:val="24"/>
          <w:szCs w:val="24"/>
        </w:rPr>
        <w:t>Al₂O</w:t>
      </w:r>
      <w:proofErr w:type="spellEnd"/>
      <w:r w:rsidR="00912D5A" w:rsidRPr="00C37EAC">
        <w:rPr>
          <w:rFonts w:ascii="Times New Roman" w:eastAsia="Times New Roman" w:hAnsi="Times New Roman" w:cs="Times New Roman"/>
          <w:bCs/>
          <w:sz w:val="24"/>
          <w:szCs w:val="24"/>
        </w:rPr>
        <w:t>₃–</w:t>
      </w:r>
      <w:proofErr w:type="spellStart"/>
      <w:r w:rsidR="00912D5A" w:rsidRPr="00C37EAC">
        <w:rPr>
          <w:rFonts w:ascii="Times New Roman" w:eastAsia="Times New Roman" w:hAnsi="Times New Roman" w:cs="Times New Roman"/>
          <w:bCs/>
          <w:sz w:val="24"/>
          <w:szCs w:val="24"/>
        </w:rPr>
        <w:t>Fe₂O</w:t>
      </w:r>
      <w:proofErr w:type="spellEnd"/>
      <w:r w:rsidR="00912D5A" w:rsidRPr="00C37EAC">
        <w:rPr>
          <w:rFonts w:ascii="Times New Roman" w:eastAsia="Times New Roman" w:hAnsi="Times New Roman" w:cs="Times New Roman"/>
          <w:bCs/>
          <w:sz w:val="24"/>
          <w:szCs w:val="24"/>
        </w:rPr>
        <w:t>₃ for Enugu-</w:t>
      </w:r>
      <w:proofErr w:type="spellStart"/>
      <w:r w:rsidR="00912D5A" w:rsidRPr="00C37EAC">
        <w:rPr>
          <w:rFonts w:ascii="Times New Roman" w:eastAsia="Times New Roman" w:hAnsi="Times New Roman" w:cs="Times New Roman"/>
          <w:bCs/>
          <w:sz w:val="24"/>
          <w:szCs w:val="24"/>
        </w:rPr>
        <w:t>Agidi</w:t>
      </w:r>
      <w:proofErr w:type="spellEnd"/>
      <w:r w:rsidR="00912D5A" w:rsidRPr="00C37EAC">
        <w:rPr>
          <w:rFonts w:ascii="Times New Roman" w:eastAsia="Times New Roman" w:hAnsi="Times New Roman" w:cs="Times New Roman"/>
          <w:bCs/>
          <w:sz w:val="24"/>
          <w:szCs w:val="24"/>
        </w:rPr>
        <w:t xml:space="preserve"> and </w:t>
      </w:r>
      <w:proofErr w:type="spellStart"/>
      <w:r w:rsidR="00912D5A" w:rsidRPr="00C37EAC">
        <w:rPr>
          <w:rFonts w:ascii="Times New Roman" w:eastAsia="Times New Roman" w:hAnsi="Times New Roman" w:cs="Times New Roman"/>
          <w:bCs/>
          <w:sz w:val="24"/>
          <w:szCs w:val="24"/>
        </w:rPr>
        <w:t>Mbaukwu</w:t>
      </w:r>
      <w:proofErr w:type="spellEnd"/>
      <w:r w:rsidR="00912D5A" w:rsidRPr="00C37EAC">
        <w:rPr>
          <w:rFonts w:ascii="Times New Roman" w:eastAsia="Times New Roman" w:hAnsi="Times New Roman" w:cs="Times New Roman"/>
          <w:bCs/>
          <w:sz w:val="24"/>
          <w:szCs w:val="24"/>
        </w:rPr>
        <w:t xml:space="preserve"> clay samples.</w:t>
      </w:r>
    </w:p>
    <w:p w14:paraId="660F82EE" w14:textId="77777777" w:rsidR="00C62490" w:rsidRPr="00C37EAC" w:rsidRDefault="00C62490" w:rsidP="00C37EAC">
      <w:pPr>
        <w:spacing w:after="0" w:line="240" w:lineRule="auto"/>
        <w:jc w:val="both"/>
        <w:rPr>
          <w:rFonts w:ascii="Times New Roman" w:eastAsia="Times New Roman" w:hAnsi="Times New Roman" w:cs="Times New Roman"/>
          <w:sz w:val="24"/>
          <w:szCs w:val="24"/>
        </w:rPr>
      </w:pPr>
      <w:r w:rsidRPr="00C37EAC">
        <w:rPr>
          <w:rFonts w:ascii="Times New Roman" w:eastAsia="Times New Roman" w:hAnsi="Times New Roman" w:cs="Times New Roman"/>
          <w:noProof/>
          <w:sz w:val="24"/>
          <w:szCs w:val="24"/>
        </w:rPr>
        <w:lastRenderedPageBreak/>
        <w:drawing>
          <wp:inline distT="0" distB="0" distL="0" distR="0" wp14:anchorId="33E83D93" wp14:editId="6F8F0E0F">
            <wp:extent cx="3353257" cy="2596042"/>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3353257" cy="2596042"/>
                    </a:xfrm>
                    <a:prstGeom prst="rect">
                      <a:avLst/>
                    </a:prstGeom>
                    <a:noFill/>
                    <a:ln w="9525">
                      <a:noFill/>
                      <a:miter lim="800000"/>
                      <a:headEnd/>
                      <a:tailEnd/>
                    </a:ln>
                  </pic:spPr>
                </pic:pic>
              </a:graphicData>
            </a:graphic>
          </wp:inline>
        </w:drawing>
      </w:r>
    </w:p>
    <w:p w14:paraId="7C1EBF45" w14:textId="77777777" w:rsidR="00C62490" w:rsidRPr="00C37EAC" w:rsidRDefault="00C62490" w:rsidP="00C37EAC">
      <w:pPr>
        <w:spacing w:before="100" w:beforeAutospacing="1" w:after="100" w:afterAutospacing="1" w:line="240" w:lineRule="auto"/>
        <w:jc w:val="both"/>
        <w:rPr>
          <w:rFonts w:ascii="Times New Roman" w:eastAsia="Times New Roman" w:hAnsi="Times New Roman" w:cs="Times New Roman"/>
          <w:sz w:val="24"/>
          <w:szCs w:val="24"/>
        </w:rPr>
      </w:pPr>
      <w:r w:rsidRPr="00C37EAC">
        <w:rPr>
          <w:rFonts w:ascii="Times New Roman" w:hAnsi="Times New Roman" w:cs="Times New Roman"/>
          <w:sz w:val="24"/>
          <w:szCs w:val="24"/>
        </w:rPr>
        <w:t xml:space="preserve">The </w:t>
      </w:r>
      <w:proofErr w:type="spellStart"/>
      <w:r w:rsidRPr="00C37EAC">
        <w:rPr>
          <w:rFonts w:ascii="Times New Roman" w:hAnsi="Times New Roman" w:cs="Times New Roman"/>
          <w:sz w:val="24"/>
          <w:szCs w:val="24"/>
        </w:rPr>
        <w:t>SiO</w:t>
      </w:r>
      <w:proofErr w:type="spellEnd"/>
      <w:r w:rsidRPr="00C37EAC">
        <w:rPr>
          <w:rFonts w:ascii="Times New Roman" w:hAnsi="Times New Roman" w:cs="Times New Roman"/>
          <w:sz w:val="24"/>
          <w:szCs w:val="24"/>
        </w:rPr>
        <w:t>₂–</w:t>
      </w:r>
      <w:proofErr w:type="spellStart"/>
      <w:r w:rsidRPr="00C37EAC">
        <w:rPr>
          <w:rFonts w:ascii="Times New Roman" w:hAnsi="Times New Roman" w:cs="Times New Roman"/>
          <w:sz w:val="24"/>
          <w:szCs w:val="24"/>
        </w:rPr>
        <w:t>Al₂O</w:t>
      </w:r>
      <w:proofErr w:type="spellEnd"/>
      <w:r w:rsidRPr="00C37EAC">
        <w:rPr>
          <w:rFonts w:ascii="Times New Roman" w:hAnsi="Times New Roman" w:cs="Times New Roman"/>
          <w:sz w:val="24"/>
          <w:szCs w:val="24"/>
        </w:rPr>
        <w:t>₃–</w:t>
      </w:r>
      <w:proofErr w:type="spellStart"/>
      <w:r w:rsidRPr="00C37EAC">
        <w:rPr>
          <w:rFonts w:ascii="Times New Roman" w:hAnsi="Times New Roman" w:cs="Times New Roman"/>
          <w:sz w:val="24"/>
          <w:szCs w:val="24"/>
        </w:rPr>
        <w:t>Fe₂O</w:t>
      </w:r>
      <w:proofErr w:type="spellEnd"/>
      <w:r w:rsidRPr="00C37EAC">
        <w:rPr>
          <w:rFonts w:ascii="Times New Roman" w:hAnsi="Times New Roman" w:cs="Times New Roman"/>
          <w:sz w:val="24"/>
          <w:szCs w:val="24"/>
        </w:rPr>
        <w:t xml:space="preserve">₃ ternary plot shows that both samples cluster near the </w:t>
      </w:r>
      <w:proofErr w:type="spellStart"/>
      <w:r w:rsidRPr="00C37EAC">
        <w:rPr>
          <w:rFonts w:ascii="Times New Roman" w:hAnsi="Times New Roman" w:cs="Times New Roman"/>
          <w:sz w:val="24"/>
          <w:szCs w:val="24"/>
        </w:rPr>
        <w:t>SiO</w:t>
      </w:r>
      <w:proofErr w:type="spellEnd"/>
      <w:r w:rsidRPr="00C37EAC">
        <w:rPr>
          <w:rFonts w:ascii="Times New Roman" w:hAnsi="Times New Roman" w:cs="Times New Roman"/>
          <w:sz w:val="24"/>
          <w:szCs w:val="24"/>
        </w:rPr>
        <w:t>₂–</w:t>
      </w:r>
      <w:proofErr w:type="spellStart"/>
      <w:r w:rsidRPr="00C37EAC">
        <w:rPr>
          <w:rFonts w:ascii="Times New Roman" w:hAnsi="Times New Roman" w:cs="Times New Roman"/>
          <w:sz w:val="24"/>
          <w:szCs w:val="24"/>
        </w:rPr>
        <w:t>Al₂O</w:t>
      </w:r>
      <w:proofErr w:type="spellEnd"/>
      <w:r w:rsidRPr="00C37EAC">
        <w:rPr>
          <w:rFonts w:ascii="Times New Roman" w:hAnsi="Times New Roman" w:cs="Times New Roman"/>
          <w:sz w:val="24"/>
          <w:szCs w:val="24"/>
        </w:rPr>
        <w:t>₃ axis, indicating low iron content and dominance of aluminosilicate phases. This compositional field is consistent with kaolinite-rich clays with minor quartz and iron oxide impurities.</w:t>
      </w:r>
      <w:r w:rsidRPr="00C37EAC">
        <w:rPr>
          <w:rFonts w:ascii="Times New Roman" w:eastAsia="Times New Roman" w:hAnsi="Times New Roman" w:cs="Times New Roman"/>
          <w:sz w:val="24"/>
          <w:szCs w:val="24"/>
        </w:rPr>
        <w:t xml:space="preserve"> The </w:t>
      </w:r>
      <w:proofErr w:type="spellStart"/>
      <w:r w:rsidRPr="00C37EAC">
        <w:rPr>
          <w:rFonts w:ascii="Times New Roman" w:eastAsia="Times New Roman" w:hAnsi="Times New Roman" w:cs="Times New Roman"/>
          <w:sz w:val="24"/>
          <w:szCs w:val="24"/>
        </w:rPr>
        <w:t>Enug</w:t>
      </w:r>
      <w:r w:rsidR="00050612" w:rsidRPr="00C37EAC">
        <w:rPr>
          <w:rFonts w:ascii="Times New Roman" w:eastAsia="Times New Roman" w:hAnsi="Times New Roman" w:cs="Times New Roman"/>
          <w:sz w:val="24"/>
          <w:szCs w:val="24"/>
        </w:rPr>
        <w:t>w</w:t>
      </w:r>
      <w:r w:rsidRPr="00C37EAC">
        <w:rPr>
          <w:rFonts w:ascii="Times New Roman" w:eastAsia="Times New Roman" w:hAnsi="Times New Roman" w:cs="Times New Roman"/>
          <w:sz w:val="24"/>
          <w:szCs w:val="24"/>
        </w:rPr>
        <w:t>u-Agidi</w:t>
      </w:r>
      <w:proofErr w:type="spellEnd"/>
      <w:r w:rsidRPr="00C37EAC">
        <w:rPr>
          <w:rFonts w:ascii="Times New Roman" w:eastAsia="Times New Roman" w:hAnsi="Times New Roman" w:cs="Times New Roman"/>
          <w:sz w:val="24"/>
          <w:szCs w:val="24"/>
        </w:rPr>
        <w:t xml:space="preserve"> clay plots closer to the </w:t>
      </w:r>
      <w:proofErr w:type="spellStart"/>
      <w:r w:rsidRPr="00C37EAC">
        <w:rPr>
          <w:rFonts w:ascii="Times New Roman" w:eastAsia="Times New Roman" w:hAnsi="Times New Roman" w:cs="Times New Roman"/>
          <w:sz w:val="24"/>
          <w:szCs w:val="24"/>
        </w:rPr>
        <w:t>Al₂O</w:t>
      </w:r>
      <w:proofErr w:type="spellEnd"/>
      <w:r w:rsidRPr="00C37EAC">
        <w:rPr>
          <w:rFonts w:ascii="Times New Roman" w:eastAsia="Times New Roman" w:hAnsi="Times New Roman" w:cs="Times New Roman"/>
          <w:sz w:val="24"/>
          <w:szCs w:val="24"/>
        </w:rPr>
        <w:t xml:space="preserve">₃ apex, indicating higher kaolinite content and greater suitability for ceramic and refractory applications. In contrast, the </w:t>
      </w:r>
      <w:proofErr w:type="spellStart"/>
      <w:r w:rsidRPr="00C37EAC">
        <w:rPr>
          <w:rFonts w:ascii="Times New Roman" w:eastAsia="Times New Roman" w:hAnsi="Times New Roman" w:cs="Times New Roman"/>
          <w:sz w:val="24"/>
          <w:szCs w:val="24"/>
        </w:rPr>
        <w:t>Mbaukwu</w:t>
      </w:r>
      <w:proofErr w:type="spellEnd"/>
      <w:r w:rsidRPr="00C37EAC">
        <w:rPr>
          <w:rFonts w:ascii="Times New Roman" w:eastAsia="Times New Roman" w:hAnsi="Times New Roman" w:cs="Times New Roman"/>
          <w:sz w:val="24"/>
          <w:szCs w:val="24"/>
        </w:rPr>
        <w:t xml:space="preserve"> clay plots toward the </w:t>
      </w:r>
      <w:proofErr w:type="spellStart"/>
      <w:r w:rsidRPr="00C37EAC">
        <w:rPr>
          <w:rFonts w:ascii="Times New Roman" w:eastAsia="Times New Roman" w:hAnsi="Times New Roman" w:cs="Times New Roman"/>
          <w:sz w:val="24"/>
          <w:szCs w:val="24"/>
        </w:rPr>
        <w:t>SiO</w:t>
      </w:r>
      <w:proofErr w:type="spellEnd"/>
      <w:r w:rsidRPr="00C37EAC">
        <w:rPr>
          <w:rFonts w:ascii="Times New Roman" w:eastAsia="Times New Roman" w:hAnsi="Times New Roman" w:cs="Times New Roman"/>
          <w:sz w:val="24"/>
          <w:szCs w:val="24"/>
        </w:rPr>
        <w:t>₂-rich region, reflecting higher quartz content and lower plasticity.</w:t>
      </w:r>
      <w:r w:rsidR="00050612" w:rsidRPr="00C37EAC">
        <w:rPr>
          <w:rFonts w:ascii="Times New Roman" w:eastAsia="Times New Roman" w:hAnsi="Times New Roman" w:cs="Times New Roman"/>
          <w:sz w:val="24"/>
          <w:szCs w:val="24"/>
        </w:rPr>
        <w:t xml:space="preserve"> </w:t>
      </w:r>
      <w:r w:rsidRPr="00C37EAC">
        <w:rPr>
          <w:rFonts w:ascii="Times New Roman" w:eastAsia="Times New Roman" w:hAnsi="Times New Roman" w:cs="Times New Roman"/>
          <w:sz w:val="24"/>
          <w:szCs w:val="24"/>
        </w:rPr>
        <w:t xml:space="preserve">Both samples fall within the typical compositional field of kaolinitic clays used in ceramic production, although </w:t>
      </w:r>
      <w:proofErr w:type="spellStart"/>
      <w:r w:rsidRPr="00C37EAC">
        <w:rPr>
          <w:rFonts w:ascii="Times New Roman" w:eastAsia="Times New Roman" w:hAnsi="Times New Roman" w:cs="Times New Roman"/>
          <w:sz w:val="24"/>
          <w:szCs w:val="24"/>
        </w:rPr>
        <w:t>Mbaukwu</w:t>
      </w:r>
      <w:proofErr w:type="spellEnd"/>
      <w:r w:rsidRPr="00C37EAC">
        <w:rPr>
          <w:rFonts w:ascii="Times New Roman" w:eastAsia="Times New Roman" w:hAnsi="Times New Roman" w:cs="Times New Roman"/>
          <w:sz w:val="24"/>
          <w:szCs w:val="24"/>
        </w:rPr>
        <w:t xml:space="preserve"> clay may require beneficiation to reduce excess silica.</w:t>
      </w:r>
    </w:p>
    <w:p w14:paraId="429CBFF7" w14:textId="66AC7C3D" w:rsidR="007A399B" w:rsidRPr="00C37EAC" w:rsidRDefault="007A399B" w:rsidP="00C37EA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37EAC">
        <w:rPr>
          <w:rFonts w:ascii="Times New Roman" w:eastAsia="Times New Roman" w:hAnsi="Times New Roman" w:cs="Times New Roman"/>
          <w:b/>
          <w:bCs/>
          <w:sz w:val="24"/>
          <w:szCs w:val="24"/>
        </w:rPr>
        <w:t>Comparison with Standard Industrial Clay Specifications</w:t>
      </w:r>
    </w:p>
    <w:p w14:paraId="127D30FD" w14:textId="77777777" w:rsidR="00910CB0" w:rsidRPr="00C37EAC" w:rsidRDefault="007A399B" w:rsidP="00C37EAC">
      <w:pPr>
        <w:spacing w:before="100" w:beforeAutospacing="1" w:after="100" w:afterAutospacing="1" w:line="240" w:lineRule="auto"/>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The chemical compositions of the studied clays were compared with standard industrial requirements for ceramic and refractory materials.</w:t>
      </w:r>
    </w:p>
    <w:p w14:paraId="67CD0D9C" w14:textId="2E81D7DD" w:rsidR="007A399B" w:rsidRPr="00C37EAC" w:rsidRDefault="007A399B" w:rsidP="00C37EAC">
      <w:pPr>
        <w:spacing w:before="100" w:beforeAutospacing="1" w:after="100" w:afterAutospacing="1" w:line="240" w:lineRule="auto"/>
        <w:jc w:val="both"/>
        <w:rPr>
          <w:rFonts w:ascii="Times New Roman" w:eastAsia="Times New Roman" w:hAnsi="Times New Roman" w:cs="Times New Roman"/>
          <w:sz w:val="24"/>
          <w:szCs w:val="24"/>
        </w:rPr>
      </w:pPr>
      <w:r w:rsidRPr="00C37EAC">
        <w:rPr>
          <w:rFonts w:ascii="Times New Roman" w:eastAsia="Times New Roman" w:hAnsi="Times New Roman" w:cs="Times New Roman"/>
          <w:b/>
          <w:bCs/>
          <w:sz w:val="24"/>
          <w:szCs w:val="24"/>
        </w:rPr>
        <w:t xml:space="preserve">Table </w:t>
      </w:r>
      <w:r w:rsidR="00B50B21">
        <w:rPr>
          <w:rFonts w:ascii="Times New Roman" w:eastAsia="Times New Roman" w:hAnsi="Times New Roman" w:cs="Times New Roman"/>
          <w:b/>
          <w:bCs/>
          <w:sz w:val="24"/>
          <w:szCs w:val="24"/>
        </w:rPr>
        <w:t>5</w:t>
      </w:r>
      <w:r w:rsidRPr="00C37EAC">
        <w:rPr>
          <w:rFonts w:ascii="Times New Roman" w:eastAsia="Times New Roman" w:hAnsi="Times New Roman" w:cs="Times New Roman"/>
          <w:b/>
          <w:bCs/>
          <w:sz w:val="24"/>
          <w:szCs w:val="24"/>
        </w:rPr>
        <w:t>: Comparison with Standard Industrial Clay Specifications</w:t>
      </w:r>
    </w:p>
    <w:tbl>
      <w:tblPr>
        <w:tblStyle w:val="TableGrid"/>
        <w:tblW w:w="0" w:type="auto"/>
        <w:tblLook w:val="04A0" w:firstRow="1" w:lastRow="0" w:firstColumn="1" w:lastColumn="0" w:noHBand="0" w:noVBand="1"/>
      </w:tblPr>
      <w:tblGrid>
        <w:gridCol w:w="1193"/>
        <w:gridCol w:w="1470"/>
        <w:gridCol w:w="1190"/>
        <w:gridCol w:w="2456"/>
      </w:tblGrid>
      <w:tr w:rsidR="007A399B" w:rsidRPr="00C37EAC" w14:paraId="2185B640" w14:textId="77777777" w:rsidTr="00A036A6">
        <w:tc>
          <w:tcPr>
            <w:tcW w:w="0" w:type="auto"/>
            <w:hideMark/>
          </w:tcPr>
          <w:p w14:paraId="40900040" w14:textId="77777777" w:rsidR="007A399B" w:rsidRPr="00C37EAC" w:rsidRDefault="007A399B"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Parameter</w:t>
            </w:r>
          </w:p>
        </w:tc>
        <w:tc>
          <w:tcPr>
            <w:tcW w:w="0" w:type="auto"/>
            <w:hideMark/>
          </w:tcPr>
          <w:p w14:paraId="6F666446" w14:textId="77777777" w:rsidR="007A399B" w:rsidRPr="00C37EAC" w:rsidRDefault="007A399B"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Enugu-</w:t>
            </w:r>
            <w:proofErr w:type="spellStart"/>
            <w:r w:rsidRPr="00C37EAC">
              <w:rPr>
                <w:rFonts w:ascii="Times New Roman" w:eastAsia="Times New Roman" w:hAnsi="Times New Roman" w:cs="Times New Roman"/>
                <w:sz w:val="24"/>
                <w:szCs w:val="24"/>
              </w:rPr>
              <w:t>Agidi</w:t>
            </w:r>
            <w:proofErr w:type="spellEnd"/>
          </w:p>
        </w:tc>
        <w:tc>
          <w:tcPr>
            <w:tcW w:w="0" w:type="auto"/>
            <w:hideMark/>
          </w:tcPr>
          <w:p w14:paraId="4621C724" w14:textId="77777777" w:rsidR="007A399B" w:rsidRPr="00C37EAC" w:rsidRDefault="007A399B" w:rsidP="00C37EAC">
            <w:pPr>
              <w:jc w:val="both"/>
              <w:rPr>
                <w:rFonts w:ascii="Times New Roman" w:eastAsia="Times New Roman" w:hAnsi="Times New Roman" w:cs="Times New Roman"/>
                <w:sz w:val="24"/>
                <w:szCs w:val="24"/>
              </w:rPr>
            </w:pPr>
            <w:proofErr w:type="spellStart"/>
            <w:r w:rsidRPr="00C37EAC">
              <w:rPr>
                <w:rFonts w:ascii="Times New Roman" w:eastAsia="Times New Roman" w:hAnsi="Times New Roman" w:cs="Times New Roman"/>
                <w:sz w:val="24"/>
                <w:szCs w:val="24"/>
              </w:rPr>
              <w:t>Mbaukwu</w:t>
            </w:r>
            <w:proofErr w:type="spellEnd"/>
          </w:p>
        </w:tc>
        <w:tc>
          <w:tcPr>
            <w:tcW w:w="0" w:type="auto"/>
            <w:hideMark/>
          </w:tcPr>
          <w:p w14:paraId="18E197B5" w14:textId="77777777" w:rsidR="007A399B" w:rsidRPr="00C37EAC" w:rsidRDefault="007A399B"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Standard Ceramic Clay</w:t>
            </w:r>
          </w:p>
        </w:tc>
      </w:tr>
      <w:tr w:rsidR="007A399B" w:rsidRPr="00C37EAC" w14:paraId="3BE98C9E" w14:textId="77777777" w:rsidTr="00A036A6">
        <w:tc>
          <w:tcPr>
            <w:tcW w:w="0" w:type="auto"/>
            <w:hideMark/>
          </w:tcPr>
          <w:p w14:paraId="21AD7145" w14:textId="77777777" w:rsidR="007A399B" w:rsidRPr="00C37EAC" w:rsidRDefault="007A399B" w:rsidP="00C37EAC">
            <w:pPr>
              <w:jc w:val="both"/>
              <w:rPr>
                <w:rFonts w:ascii="Times New Roman" w:eastAsia="Times New Roman" w:hAnsi="Times New Roman" w:cs="Times New Roman"/>
                <w:sz w:val="24"/>
                <w:szCs w:val="24"/>
              </w:rPr>
            </w:pPr>
            <w:proofErr w:type="spellStart"/>
            <w:r w:rsidRPr="00C37EAC">
              <w:rPr>
                <w:rFonts w:ascii="Times New Roman" w:eastAsia="Times New Roman" w:hAnsi="Times New Roman" w:cs="Times New Roman"/>
                <w:sz w:val="24"/>
                <w:szCs w:val="24"/>
              </w:rPr>
              <w:t>SiO</w:t>
            </w:r>
            <w:proofErr w:type="spellEnd"/>
            <w:r w:rsidRPr="00C37EAC">
              <w:rPr>
                <w:rFonts w:ascii="Times New Roman" w:eastAsia="Times New Roman" w:hAnsi="Times New Roman" w:cs="Times New Roman"/>
                <w:sz w:val="24"/>
                <w:szCs w:val="24"/>
              </w:rPr>
              <w:t>₂ (%)</w:t>
            </w:r>
          </w:p>
        </w:tc>
        <w:tc>
          <w:tcPr>
            <w:tcW w:w="0" w:type="auto"/>
            <w:hideMark/>
          </w:tcPr>
          <w:p w14:paraId="15DF2A80" w14:textId="77777777" w:rsidR="007A399B" w:rsidRPr="00C37EAC" w:rsidRDefault="00153FFF"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53.1</w:t>
            </w:r>
            <w:r w:rsidR="007A399B" w:rsidRPr="00C37EAC">
              <w:rPr>
                <w:rFonts w:ascii="Times New Roman" w:eastAsia="Times New Roman" w:hAnsi="Times New Roman" w:cs="Times New Roman"/>
                <w:sz w:val="24"/>
                <w:szCs w:val="24"/>
              </w:rPr>
              <w:t>0</w:t>
            </w:r>
          </w:p>
        </w:tc>
        <w:tc>
          <w:tcPr>
            <w:tcW w:w="0" w:type="auto"/>
            <w:hideMark/>
          </w:tcPr>
          <w:p w14:paraId="2D6E4073" w14:textId="77777777" w:rsidR="007A399B" w:rsidRPr="00C37EAC" w:rsidRDefault="00153FFF"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53.8</w:t>
            </w:r>
            <w:r w:rsidR="007A399B" w:rsidRPr="00C37EAC">
              <w:rPr>
                <w:rFonts w:ascii="Times New Roman" w:eastAsia="Times New Roman" w:hAnsi="Times New Roman" w:cs="Times New Roman"/>
                <w:sz w:val="24"/>
                <w:szCs w:val="24"/>
              </w:rPr>
              <w:t>0</w:t>
            </w:r>
          </w:p>
        </w:tc>
        <w:tc>
          <w:tcPr>
            <w:tcW w:w="0" w:type="auto"/>
            <w:hideMark/>
          </w:tcPr>
          <w:p w14:paraId="79AB4E58" w14:textId="77777777" w:rsidR="007A399B" w:rsidRPr="00C37EAC" w:rsidRDefault="007A399B"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45–60</w:t>
            </w:r>
          </w:p>
        </w:tc>
      </w:tr>
      <w:tr w:rsidR="007A399B" w:rsidRPr="00C37EAC" w14:paraId="09F8CD11" w14:textId="77777777" w:rsidTr="00A036A6">
        <w:tc>
          <w:tcPr>
            <w:tcW w:w="0" w:type="auto"/>
            <w:hideMark/>
          </w:tcPr>
          <w:p w14:paraId="09C44C9D" w14:textId="77777777" w:rsidR="007A399B" w:rsidRPr="00C37EAC" w:rsidRDefault="007A399B" w:rsidP="00C37EAC">
            <w:pPr>
              <w:jc w:val="both"/>
              <w:rPr>
                <w:rFonts w:ascii="Times New Roman" w:eastAsia="Times New Roman" w:hAnsi="Times New Roman" w:cs="Times New Roman"/>
                <w:sz w:val="24"/>
                <w:szCs w:val="24"/>
              </w:rPr>
            </w:pPr>
            <w:proofErr w:type="spellStart"/>
            <w:r w:rsidRPr="00C37EAC">
              <w:rPr>
                <w:rFonts w:ascii="Times New Roman" w:eastAsia="Times New Roman" w:hAnsi="Times New Roman" w:cs="Times New Roman"/>
                <w:sz w:val="24"/>
                <w:szCs w:val="24"/>
              </w:rPr>
              <w:t>Al₂O</w:t>
            </w:r>
            <w:proofErr w:type="spellEnd"/>
            <w:r w:rsidRPr="00C37EAC">
              <w:rPr>
                <w:rFonts w:ascii="Times New Roman" w:eastAsia="Times New Roman" w:hAnsi="Times New Roman" w:cs="Times New Roman"/>
                <w:sz w:val="24"/>
                <w:szCs w:val="24"/>
              </w:rPr>
              <w:t>₃ (%)</w:t>
            </w:r>
          </w:p>
        </w:tc>
        <w:tc>
          <w:tcPr>
            <w:tcW w:w="0" w:type="auto"/>
            <w:hideMark/>
          </w:tcPr>
          <w:p w14:paraId="4ABBD3E3" w14:textId="77777777" w:rsidR="007A399B" w:rsidRPr="00C37EAC" w:rsidRDefault="007A399B"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30.63</w:t>
            </w:r>
          </w:p>
        </w:tc>
        <w:tc>
          <w:tcPr>
            <w:tcW w:w="0" w:type="auto"/>
            <w:hideMark/>
          </w:tcPr>
          <w:p w14:paraId="22BC95CA" w14:textId="77777777" w:rsidR="007A399B" w:rsidRPr="00C37EAC" w:rsidRDefault="007A399B"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30.70</w:t>
            </w:r>
          </w:p>
        </w:tc>
        <w:tc>
          <w:tcPr>
            <w:tcW w:w="0" w:type="auto"/>
            <w:hideMark/>
          </w:tcPr>
          <w:p w14:paraId="37CB368F" w14:textId="77777777" w:rsidR="007A399B" w:rsidRPr="00C37EAC" w:rsidRDefault="007A399B"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20–35</w:t>
            </w:r>
          </w:p>
        </w:tc>
      </w:tr>
      <w:tr w:rsidR="007A399B" w:rsidRPr="00C37EAC" w14:paraId="0702C9E4" w14:textId="77777777" w:rsidTr="00A036A6">
        <w:tc>
          <w:tcPr>
            <w:tcW w:w="0" w:type="auto"/>
            <w:hideMark/>
          </w:tcPr>
          <w:p w14:paraId="28DFB2BC" w14:textId="77777777" w:rsidR="007A399B" w:rsidRPr="00C37EAC" w:rsidRDefault="007A399B" w:rsidP="00C37EAC">
            <w:pPr>
              <w:jc w:val="both"/>
              <w:rPr>
                <w:rFonts w:ascii="Times New Roman" w:eastAsia="Times New Roman" w:hAnsi="Times New Roman" w:cs="Times New Roman"/>
                <w:sz w:val="24"/>
                <w:szCs w:val="24"/>
              </w:rPr>
            </w:pPr>
            <w:proofErr w:type="spellStart"/>
            <w:r w:rsidRPr="00C37EAC">
              <w:rPr>
                <w:rFonts w:ascii="Times New Roman" w:eastAsia="Times New Roman" w:hAnsi="Times New Roman" w:cs="Times New Roman"/>
                <w:sz w:val="24"/>
                <w:szCs w:val="24"/>
              </w:rPr>
              <w:t>Fe₂O</w:t>
            </w:r>
            <w:proofErr w:type="spellEnd"/>
            <w:r w:rsidRPr="00C37EAC">
              <w:rPr>
                <w:rFonts w:ascii="Times New Roman" w:eastAsia="Times New Roman" w:hAnsi="Times New Roman" w:cs="Times New Roman"/>
                <w:sz w:val="24"/>
                <w:szCs w:val="24"/>
              </w:rPr>
              <w:t>₃ (%)</w:t>
            </w:r>
          </w:p>
        </w:tc>
        <w:tc>
          <w:tcPr>
            <w:tcW w:w="0" w:type="auto"/>
            <w:hideMark/>
          </w:tcPr>
          <w:p w14:paraId="28D89A8F" w14:textId="77777777" w:rsidR="007A399B" w:rsidRPr="00C37EAC" w:rsidRDefault="00153FFF"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3.97</w:t>
            </w:r>
          </w:p>
        </w:tc>
        <w:tc>
          <w:tcPr>
            <w:tcW w:w="0" w:type="auto"/>
            <w:hideMark/>
          </w:tcPr>
          <w:p w14:paraId="18AE25A3" w14:textId="77777777" w:rsidR="007A399B" w:rsidRPr="00C37EAC" w:rsidRDefault="00153FFF"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4.17</w:t>
            </w:r>
          </w:p>
        </w:tc>
        <w:tc>
          <w:tcPr>
            <w:tcW w:w="0" w:type="auto"/>
            <w:hideMark/>
          </w:tcPr>
          <w:p w14:paraId="6BE68ED7" w14:textId="77777777" w:rsidR="007A399B" w:rsidRPr="00C37EAC" w:rsidRDefault="007A399B"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&lt;10</w:t>
            </w:r>
          </w:p>
        </w:tc>
      </w:tr>
      <w:tr w:rsidR="007A399B" w:rsidRPr="00C37EAC" w14:paraId="039A6C89" w14:textId="77777777" w:rsidTr="00A036A6">
        <w:tc>
          <w:tcPr>
            <w:tcW w:w="0" w:type="auto"/>
            <w:hideMark/>
          </w:tcPr>
          <w:p w14:paraId="1107E601" w14:textId="77777777" w:rsidR="007A399B" w:rsidRPr="00C37EAC" w:rsidRDefault="007A399B"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LOI (%)</w:t>
            </w:r>
          </w:p>
        </w:tc>
        <w:tc>
          <w:tcPr>
            <w:tcW w:w="0" w:type="auto"/>
            <w:hideMark/>
          </w:tcPr>
          <w:p w14:paraId="770F7459" w14:textId="77777777" w:rsidR="007A399B" w:rsidRPr="00C37EAC" w:rsidRDefault="00153FFF"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6.2</w:t>
            </w:r>
            <w:r w:rsidR="007A399B" w:rsidRPr="00C37EAC">
              <w:rPr>
                <w:rFonts w:ascii="Times New Roman" w:eastAsia="Times New Roman" w:hAnsi="Times New Roman" w:cs="Times New Roman"/>
                <w:sz w:val="24"/>
                <w:szCs w:val="24"/>
              </w:rPr>
              <w:t>0</w:t>
            </w:r>
          </w:p>
        </w:tc>
        <w:tc>
          <w:tcPr>
            <w:tcW w:w="0" w:type="auto"/>
            <w:hideMark/>
          </w:tcPr>
          <w:p w14:paraId="26EF7F2F" w14:textId="77777777" w:rsidR="007A399B" w:rsidRPr="00C37EAC" w:rsidRDefault="00153FFF"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6.8</w:t>
            </w:r>
            <w:r w:rsidR="007A399B" w:rsidRPr="00C37EAC">
              <w:rPr>
                <w:rFonts w:ascii="Times New Roman" w:eastAsia="Times New Roman" w:hAnsi="Times New Roman" w:cs="Times New Roman"/>
                <w:sz w:val="24"/>
                <w:szCs w:val="24"/>
              </w:rPr>
              <w:t>0</w:t>
            </w:r>
          </w:p>
        </w:tc>
        <w:tc>
          <w:tcPr>
            <w:tcW w:w="0" w:type="auto"/>
            <w:hideMark/>
          </w:tcPr>
          <w:p w14:paraId="4CEEE37F" w14:textId="77777777" w:rsidR="007A399B" w:rsidRPr="00C37EAC" w:rsidRDefault="007A399B" w:rsidP="00C37EAC">
            <w:pPr>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5–15</w:t>
            </w:r>
          </w:p>
        </w:tc>
      </w:tr>
    </w:tbl>
    <w:p w14:paraId="56427EBD" w14:textId="2F01D3A4" w:rsidR="003216A3" w:rsidRPr="00C37EAC" w:rsidRDefault="007A399B" w:rsidP="00C37EAC">
      <w:pPr>
        <w:spacing w:before="100" w:beforeAutospacing="1" w:after="100" w:afterAutospacing="1" w:line="240" w:lineRule="auto"/>
        <w:jc w:val="both"/>
        <w:rPr>
          <w:rFonts w:ascii="Times New Roman" w:eastAsia="Times New Roman" w:hAnsi="Times New Roman" w:cs="Times New Roman"/>
          <w:sz w:val="24"/>
          <w:szCs w:val="24"/>
        </w:rPr>
      </w:pPr>
      <w:r w:rsidRPr="00C37EAC">
        <w:rPr>
          <w:rFonts w:ascii="Times New Roman" w:eastAsia="Times New Roman" w:hAnsi="Times New Roman" w:cs="Times New Roman"/>
          <w:sz w:val="24"/>
          <w:szCs w:val="24"/>
        </w:rPr>
        <w:t>Th</w:t>
      </w:r>
      <w:r w:rsidR="00A036A6" w:rsidRPr="00C37EAC">
        <w:rPr>
          <w:rFonts w:ascii="Times New Roman" w:eastAsia="Times New Roman" w:hAnsi="Times New Roman" w:cs="Times New Roman"/>
          <w:sz w:val="24"/>
          <w:szCs w:val="24"/>
        </w:rPr>
        <w:t>e</w:t>
      </w:r>
      <w:r w:rsidRPr="00C37EAC">
        <w:rPr>
          <w:rFonts w:ascii="Times New Roman" w:eastAsia="Times New Roman" w:hAnsi="Times New Roman" w:cs="Times New Roman"/>
          <w:sz w:val="24"/>
          <w:szCs w:val="24"/>
        </w:rPr>
        <w:t xml:space="preserve"> comparison show</w:t>
      </w:r>
      <w:r w:rsidR="00FB1B9C">
        <w:rPr>
          <w:rFonts w:ascii="Times New Roman" w:eastAsia="Times New Roman" w:hAnsi="Times New Roman" w:cs="Times New Roman"/>
          <w:sz w:val="24"/>
          <w:szCs w:val="24"/>
        </w:rPr>
        <w:t>ed</w:t>
      </w:r>
      <w:r w:rsidRPr="00C37EAC">
        <w:rPr>
          <w:rFonts w:ascii="Times New Roman" w:eastAsia="Times New Roman" w:hAnsi="Times New Roman" w:cs="Times New Roman"/>
          <w:sz w:val="24"/>
          <w:szCs w:val="24"/>
        </w:rPr>
        <w:t xml:space="preserve"> that both clay deposits meet the general requirements for ceramic raw materials. Enugu-</w:t>
      </w:r>
      <w:proofErr w:type="spellStart"/>
      <w:r w:rsidRPr="00C37EAC">
        <w:rPr>
          <w:rFonts w:ascii="Times New Roman" w:eastAsia="Times New Roman" w:hAnsi="Times New Roman" w:cs="Times New Roman"/>
          <w:sz w:val="24"/>
          <w:szCs w:val="24"/>
        </w:rPr>
        <w:t>Agidi</w:t>
      </w:r>
      <w:proofErr w:type="spellEnd"/>
      <w:r w:rsidRPr="00C37EAC">
        <w:rPr>
          <w:rFonts w:ascii="Times New Roman" w:eastAsia="Times New Roman" w:hAnsi="Times New Roman" w:cs="Times New Roman"/>
          <w:sz w:val="24"/>
          <w:szCs w:val="24"/>
        </w:rPr>
        <w:t xml:space="preserve"> clay, with higher alumina content, is more suitable for high-quality ceramic and refractory products.</w:t>
      </w:r>
      <w:r w:rsidR="00153FFF" w:rsidRPr="00C37EAC">
        <w:rPr>
          <w:rFonts w:ascii="Times New Roman" w:eastAsia="Times New Roman" w:hAnsi="Times New Roman" w:cs="Times New Roman"/>
          <w:sz w:val="24"/>
          <w:szCs w:val="24"/>
        </w:rPr>
        <w:t xml:space="preserve"> </w:t>
      </w:r>
      <w:proofErr w:type="spellStart"/>
      <w:r w:rsidR="00153FFF" w:rsidRPr="00C37EAC">
        <w:rPr>
          <w:rFonts w:ascii="Times New Roman" w:eastAsia="Times New Roman" w:hAnsi="Times New Roman" w:cs="Times New Roman"/>
          <w:sz w:val="24"/>
          <w:szCs w:val="24"/>
        </w:rPr>
        <w:t>Mbaukwu</w:t>
      </w:r>
      <w:proofErr w:type="spellEnd"/>
      <w:r w:rsidR="00153FFF" w:rsidRPr="00C37EAC">
        <w:rPr>
          <w:rFonts w:ascii="Times New Roman" w:eastAsia="Times New Roman" w:hAnsi="Times New Roman" w:cs="Times New Roman"/>
          <w:sz w:val="24"/>
          <w:szCs w:val="24"/>
        </w:rPr>
        <w:t xml:space="preserve"> clay, due to its higher iron content, is </w:t>
      </w:r>
      <w:r w:rsidR="00FB1B9C">
        <w:rPr>
          <w:rFonts w:ascii="Times New Roman" w:eastAsia="Times New Roman" w:hAnsi="Times New Roman" w:cs="Times New Roman"/>
          <w:sz w:val="24"/>
          <w:szCs w:val="24"/>
        </w:rPr>
        <w:t>s</w:t>
      </w:r>
      <w:r w:rsidR="00153FFF" w:rsidRPr="00C37EAC">
        <w:rPr>
          <w:rFonts w:ascii="Times New Roman" w:eastAsia="Times New Roman" w:hAnsi="Times New Roman" w:cs="Times New Roman"/>
          <w:sz w:val="24"/>
          <w:szCs w:val="24"/>
        </w:rPr>
        <w:t>uitable for bricks, tiles, and construction materials requiring dimensional stability and thermal resistance.</w:t>
      </w:r>
      <w:r w:rsidR="00555C16" w:rsidRPr="00C37EAC">
        <w:rPr>
          <w:rFonts w:ascii="Times New Roman" w:hAnsi="Times New Roman" w:cs="Times New Roman"/>
          <w:sz w:val="24"/>
          <w:szCs w:val="24"/>
        </w:rPr>
        <w:t xml:space="preserve"> </w:t>
      </w:r>
      <w:proofErr w:type="spellStart"/>
      <w:r w:rsidR="00555C16" w:rsidRPr="00C37EAC">
        <w:rPr>
          <w:rFonts w:ascii="Times New Roman" w:hAnsi="Times New Roman" w:cs="Times New Roman"/>
          <w:sz w:val="24"/>
          <w:szCs w:val="24"/>
        </w:rPr>
        <w:t>Enugwu-agidi</w:t>
      </w:r>
      <w:proofErr w:type="spellEnd"/>
      <w:r w:rsidR="00555C16" w:rsidRPr="00C37EAC">
        <w:rPr>
          <w:rFonts w:ascii="Times New Roman" w:hAnsi="Times New Roman" w:cs="Times New Roman"/>
          <w:sz w:val="24"/>
          <w:szCs w:val="24"/>
        </w:rPr>
        <w:t xml:space="preserve"> clay exhibits slightly lower </w:t>
      </w:r>
      <w:proofErr w:type="spellStart"/>
      <w:r w:rsidR="00555C16" w:rsidRPr="00C37EAC">
        <w:rPr>
          <w:rFonts w:ascii="Times New Roman" w:hAnsi="Times New Roman" w:cs="Times New Roman"/>
          <w:sz w:val="24"/>
          <w:szCs w:val="24"/>
        </w:rPr>
        <w:t>Fe₂O</w:t>
      </w:r>
      <w:proofErr w:type="spellEnd"/>
      <w:r w:rsidR="00555C16" w:rsidRPr="00C37EAC">
        <w:rPr>
          <w:rFonts w:ascii="Times New Roman" w:hAnsi="Times New Roman" w:cs="Times New Roman"/>
          <w:sz w:val="24"/>
          <w:szCs w:val="24"/>
        </w:rPr>
        <w:t xml:space="preserve">₃ and higher CIA values, suggesting a higher degree of weathering and greater mineralogical purity compared to </w:t>
      </w:r>
      <w:proofErr w:type="spellStart"/>
      <w:r w:rsidR="00555C16" w:rsidRPr="00C37EAC">
        <w:rPr>
          <w:rFonts w:ascii="Times New Roman" w:hAnsi="Times New Roman" w:cs="Times New Roman"/>
          <w:sz w:val="24"/>
          <w:szCs w:val="24"/>
        </w:rPr>
        <w:t>Mbaukwu</w:t>
      </w:r>
      <w:proofErr w:type="spellEnd"/>
      <w:r w:rsidR="00555C16" w:rsidRPr="00C37EAC">
        <w:rPr>
          <w:rFonts w:ascii="Times New Roman" w:hAnsi="Times New Roman" w:cs="Times New Roman"/>
          <w:sz w:val="24"/>
          <w:szCs w:val="24"/>
        </w:rPr>
        <w:t xml:space="preserve"> clay. In contrast, </w:t>
      </w:r>
      <w:proofErr w:type="spellStart"/>
      <w:r w:rsidR="00555C16" w:rsidRPr="00C37EAC">
        <w:rPr>
          <w:rFonts w:ascii="Times New Roman" w:hAnsi="Times New Roman" w:cs="Times New Roman"/>
          <w:sz w:val="24"/>
          <w:szCs w:val="24"/>
        </w:rPr>
        <w:t>Mbaukwu</w:t>
      </w:r>
      <w:proofErr w:type="spellEnd"/>
      <w:r w:rsidR="00555C16" w:rsidRPr="00C37EAC">
        <w:rPr>
          <w:rFonts w:ascii="Times New Roman" w:hAnsi="Times New Roman" w:cs="Times New Roman"/>
          <w:sz w:val="24"/>
          <w:szCs w:val="24"/>
        </w:rPr>
        <w:t xml:space="preserve"> clay show</w:t>
      </w:r>
      <w:r w:rsidR="00FB1B9C">
        <w:rPr>
          <w:rFonts w:ascii="Times New Roman" w:hAnsi="Times New Roman" w:cs="Times New Roman"/>
          <w:sz w:val="24"/>
          <w:szCs w:val="24"/>
        </w:rPr>
        <w:t>ed</w:t>
      </w:r>
      <w:r w:rsidR="00555C16" w:rsidRPr="00C37EAC">
        <w:rPr>
          <w:rFonts w:ascii="Times New Roman" w:hAnsi="Times New Roman" w:cs="Times New Roman"/>
          <w:sz w:val="24"/>
          <w:szCs w:val="24"/>
        </w:rPr>
        <w:t xml:space="preserve"> slightly higher concentrations of </w:t>
      </w:r>
      <w:proofErr w:type="spellStart"/>
      <w:r w:rsidR="00555C16" w:rsidRPr="00C37EAC">
        <w:rPr>
          <w:rFonts w:ascii="Times New Roman" w:hAnsi="Times New Roman" w:cs="Times New Roman"/>
          <w:sz w:val="24"/>
          <w:szCs w:val="24"/>
        </w:rPr>
        <w:t>Fe₂O</w:t>
      </w:r>
      <w:proofErr w:type="spellEnd"/>
      <w:r w:rsidR="00555C16" w:rsidRPr="00C37EAC">
        <w:rPr>
          <w:rFonts w:ascii="Times New Roman" w:hAnsi="Times New Roman" w:cs="Times New Roman"/>
          <w:sz w:val="24"/>
          <w:szCs w:val="24"/>
        </w:rPr>
        <w:t xml:space="preserve">₃, </w:t>
      </w:r>
      <w:proofErr w:type="spellStart"/>
      <w:r w:rsidR="00555C16" w:rsidRPr="00C37EAC">
        <w:rPr>
          <w:rFonts w:ascii="Times New Roman" w:hAnsi="Times New Roman" w:cs="Times New Roman"/>
          <w:sz w:val="24"/>
          <w:szCs w:val="24"/>
        </w:rPr>
        <w:t>TiO</w:t>
      </w:r>
      <w:proofErr w:type="spellEnd"/>
      <w:r w:rsidR="00555C16" w:rsidRPr="00C37EAC">
        <w:rPr>
          <w:rFonts w:ascii="Times New Roman" w:hAnsi="Times New Roman" w:cs="Times New Roman"/>
          <w:sz w:val="24"/>
          <w:szCs w:val="24"/>
        </w:rPr>
        <w:t>₂, and MgO, indicating a more heterogeneous composition with additional mineral phases.</w:t>
      </w:r>
    </w:p>
    <w:p w14:paraId="5004F0A0" w14:textId="237276CD" w:rsidR="00555C16" w:rsidRPr="00C37EAC" w:rsidRDefault="00555C16" w:rsidP="00C37EAC">
      <w:pPr>
        <w:pStyle w:val="Heading2"/>
        <w:jc w:val="both"/>
        <w:rPr>
          <w:rFonts w:ascii="Times New Roman" w:hAnsi="Times New Roman" w:cs="Times New Roman"/>
          <w:color w:val="auto"/>
          <w:sz w:val="24"/>
          <w:szCs w:val="24"/>
        </w:rPr>
      </w:pPr>
      <w:r w:rsidRPr="00C37EAC">
        <w:rPr>
          <w:rStyle w:val="Strong"/>
          <w:rFonts w:ascii="Times New Roman" w:hAnsi="Times New Roman" w:cs="Times New Roman"/>
          <w:b/>
          <w:bCs/>
          <w:color w:val="auto"/>
          <w:sz w:val="24"/>
          <w:szCs w:val="24"/>
        </w:rPr>
        <w:lastRenderedPageBreak/>
        <w:t>Industrial Implications</w:t>
      </w:r>
    </w:p>
    <w:p w14:paraId="68900D67" w14:textId="77777777" w:rsidR="003216A3" w:rsidRPr="00C37EAC" w:rsidRDefault="00555C16" w:rsidP="00C37EAC">
      <w:pPr>
        <w:pStyle w:val="NormalWeb"/>
        <w:jc w:val="both"/>
      </w:pPr>
      <w:r w:rsidRPr="00C37EAC">
        <w:t xml:space="preserve">The high alumina content and low alkali concentrations suggest that both clays are suitable for ceramic and refractory applications. However, the relatively lower impurity levels in </w:t>
      </w:r>
      <w:proofErr w:type="spellStart"/>
      <w:r w:rsidRPr="00C37EAC">
        <w:t>Enugwu-agidi</w:t>
      </w:r>
      <w:proofErr w:type="spellEnd"/>
      <w:r w:rsidRPr="00C37EAC">
        <w:t xml:space="preserve"> clay make it more suitable for high-quality ceramic production. </w:t>
      </w:r>
      <w:r w:rsidR="003216A3" w:rsidRPr="00C37EAC">
        <w:t>Blending of the two clays could also be explored to optimize properties for specific industrial uses.</w:t>
      </w:r>
    </w:p>
    <w:p w14:paraId="795F1C1B" w14:textId="77777777" w:rsidR="003216A3" w:rsidRPr="00C37EAC" w:rsidRDefault="00555C16" w:rsidP="00C37EA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37EAC">
        <w:rPr>
          <w:rFonts w:ascii="Times New Roman" w:eastAsia="Times New Roman" w:hAnsi="Times New Roman" w:cs="Times New Roman"/>
          <w:b/>
          <w:bCs/>
          <w:sz w:val="24"/>
          <w:szCs w:val="24"/>
        </w:rPr>
        <w:t>4</w:t>
      </w:r>
      <w:r w:rsidR="003216A3" w:rsidRPr="00C37EAC">
        <w:rPr>
          <w:rFonts w:ascii="Times New Roman" w:eastAsia="Times New Roman" w:hAnsi="Times New Roman" w:cs="Times New Roman"/>
          <w:b/>
          <w:bCs/>
          <w:sz w:val="24"/>
          <w:szCs w:val="24"/>
        </w:rPr>
        <w:t xml:space="preserve"> Conclusion</w:t>
      </w:r>
    </w:p>
    <w:p w14:paraId="50C62308" w14:textId="77777777" w:rsidR="003216A3" w:rsidRPr="00C37EAC" w:rsidRDefault="0026177D" w:rsidP="00C37EAC">
      <w:pPr>
        <w:spacing w:before="100" w:beforeAutospacing="1" w:after="100" w:afterAutospacing="1" w:line="240" w:lineRule="auto"/>
        <w:jc w:val="both"/>
        <w:rPr>
          <w:rFonts w:ascii="Times New Roman" w:eastAsia="Times New Roman" w:hAnsi="Times New Roman" w:cs="Times New Roman"/>
          <w:sz w:val="24"/>
          <w:szCs w:val="24"/>
        </w:rPr>
      </w:pPr>
      <w:r w:rsidRPr="00C37EAC">
        <w:rPr>
          <w:rFonts w:ascii="Times New Roman" w:hAnsi="Times New Roman" w:cs="Times New Roman"/>
          <w:sz w:val="24"/>
          <w:szCs w:val="24"/>
        </w:rPr>
        <w:t xml:space="preserve">The integrated XRD and XRF analyses reveal that the studied clays are predominantly kaolinite-rich with minor quartz and accessory minerals. Geochemical indices indicate intense weathering and confirm their suitability for industrial applications, particularly in ceramics and refractory materials. </w:t>
      </w:r>
      <w:proofErr w:type="spellStart"/>
      <w:r w:rsidRPr="00C37EAC">
        <w:rPr>
          <w:rFonts w:ascii="Times New Roman" w:hAnsi="Times New Roman" w:cs="Times New Roman"/>
          <w:sz w:val="24"/>
          <w:szCs w:val="24"/>
        </w:rPr>
        <w:t>Enugwu-agidi</w:t>
      </w:r>
      <w:proofErr w:type="spellEnd"/>
      <w:r w:rsidRPr="00C37EAC">
        <w:rPr>
          <w:rFonts w:ascii="Times New Roman" w:hAnsi="Times New Roman" w:cs="Times New Roman"/>
          <w:sz w:val="24"/>
          <w:szCs w:val="24"/>
        </w:rPr>
        <w:t xml:space="preserve"> clay exhibits superior quality compared to </w:t>
      </w:r>
      <w:proofErr w:type="spellStart"/>
      <w:r w:rsidRPr="00C37EAC">
        <w:rPr>
          <w:rFonts w:ascii="Times New Roman" w:hAnsi="Times New Roman" w:cs="Times New Roman"/>
          <w:sz w:val="24"/>
          <w:szCs w:val="24"/>
        </w:rPr>
        <w:t>Mbaukwu</w:t>
      </w:r>
      <w:proofErr w:type="spellEnd"/>
      <w:r w:rsidRPr="00C37EAC">
        <w:rPr>
          <w:rFonts w:ascii="Times New Roman" w:hAnsi="Times New Roman" w:cs="Times New Roman"/>
          <w:sz w:val="24"/>
          <w:szCs w:val="24"/>
        </w:rPr>
        <w:t xml:space="preserve"> clay.</w:t>
      </w:r>
      <w:r w:rsidR="003216A3" w:rsidRPr="00C37EAC">
        <w:rPr>
          <w:rFonts w:ascii="Times New Roman" w:eastAsia="Times New Roman" w:hAnsi="Times New Roman" w:cs="Times New Roman"/>
          <w:sz w:val="24"/>
          <w:szCs w:val="24"/>
        </w:rPr>
        <w:t xml:space="preserve"> These findings provide a scientific basis for the effective utilization and industrial development of these clay resources.</w:t>
      </w:r>
    </w:p>
    <w:p w14:paraId="4F958FE6" w14:textId="77777777" w:rsidR="00C37EAC" w:rsidRPr="00C37EAC" w:rsidRDefault="006719BD" w:rsidP="00C37EAC">
      <w:pPr>
        <w:shd w:val="clear" w:color="auto" w:fill="FFFFFF" w:themeFill="background1"/>
        <w:spacing w:before="100" w:beforeAutospacing="1" w:after="100" w:afterAutospacing="1" w:line="240" w:lineRule="auto"/>
        <w:ind w:left="720"/>
        <w:jc w:val="both"/>
        <w:rPr>
          <w:rFonts w:ascii="Times New Roman" w:hAnsi="Times New Roman" w:cs="Times New Roman"/>
          <w:b/>
          <w:sz w:val="24"/>
          <w:szCs w:val="24"/>
        </w:rPr>
      </w:pPr>
      <w:r w:rsidRPr="00C37EAC">
        <w:rPr>
          <w:rFonts w:ascii="Times New Roman" w:hAnsi="Times New Roman" w:cs="Times New Roman"/>
          <w:b/>
          <w:sz w:val="24"/>
          <w:szCs w:val="24"/>
        </w:rPr>
        <w:t>References</w:t>
      </w:r>
    </w:p>
    <w:p w14:paraId="37BE3CD4" w14:textId="77777777" w:rsidR="00C37EAC" w:rsidRPr="00C37EAC" w:rsidRDefault="00C37EAC" w:rsidP="00C37EAC">
      <w:pPr>
        <w:pStyle w:val="NormalWeb"/>
        <w:jc w:val="both"/>
      </w:pPr>
      <w:proofErr w:type="spellStart"/>
      <w:r w:rsidRPr="00C37EAC">
        <w:t>Ansón-Casaos</w:t>
      </w:r>
      <w:proofErr w:type="spellEnd"/>
      <w:r w:rsidRPr="00C37EAC">
        <w:t xml:space="preserve">, A., </w:t>
      </w:r>
      <w:proofErr w:type="spellStart"/>
      <w:r w:rsidRPr="00C37EAC">
        <w:t>Berges</w:t>
      </w:r>
      <w:proofErr w:type="spellEnd"/>
      <w:r w:rsidRPr="00C37EAC">
        <w:t xml:space="preserve">, J. M., </w:t>
      </w:r>
      <w:proofErr w:type="spellStart"/>
      <w:r w:rsidRPr="00C37EAC">
        <w:t>Ciria</w:t>
      </w:r>
      <w:proofErr w:type="spellEnd"/>
      <w:r w:rsidRPr="00C37EAC">
        <w:t xml:space="preserve">, J. C., Maser, W. K., Benito, A. M., &amp; </w:t>
      </w:r>
      <w:proofErr w:type="spellStart"/>
      <w:r w:rsidRPr="00C37EAC">
        <w:t>Duboys</w:t>
      </w:r>
      <w:proofErr w:type="spellEnd"/>
      <w:r w:rsidRPr="00C37EAC">
        <w:t xml:space="preserve">, J. M. (2024). Controlling clay slips with a process vibrational viscometer. </w:t>
      </w:r>
      <w:r w:rsidRPr="00C37EAC">
        <w:rPr>
          <w:rStyle w:val="Emphasis"/>
        </w:rPr>
        <w:t>Applied Clay Science, 257</w:t>
      </w:r>
      <w:r w:rsidRPr="00C37EAC">
        <w:t>, 107447.</w:t>
      </w:r>
    </w:p>
    <w:p w14:paraId="1830556E" w14:textId="77777777" w:rsidR="00C37EAC" w:rsidRPr="00C37EAC" w:rsidRDefault="00C37EAC" w:rsidP="00C37EAC">
      <w:pPr>
        <w:pStyle w:val="NormalWeb"/>
        <w:jc w:val="both"/>
      </w:pPr>
      <w:r w:rsidRPr="00C37EAC">
        <w:t xml:space="preserve">Adeniyi, A. G., </w:t>
      </w:r>
      <w:proofErr w:type="spellStart"/>
      <w:r w:rsidRPr="00C37EAC">
        <w:t>Iwuozor</w:t>
      </w:r>
      <w:proofErr w:type="spellEnd"/>
      <w:r w:rsidRPr="00C37EAC">
        <w:t xml:space="preserve">, K. O., &amp; </w:t>
      </w:r>
      <w:proofErr w:type="spellStart"/>
      <w:r w:rsidRPr="00C37EAC">
        <w:t>Emenike</w:t>
      </w:r>
      <w:proofErr w:type="spellEnd"/>
      <w:r w:rsidRPr="00C37EAC">
        <w:t xml:space="preserve">, E. C. (2023). Material development potential of Nigeria’s kaolin. </w:t>
      </w:r>
      <w:r w:rsidRPr="00C37EAC">
        <w:rPr>
          <w:rStyle w:val="Emphasis"/>
        </w:rPr>
        <w:t>Chemistry Africa, 6</w:t>
      </w:r>
      <w:r w:rsidRPr="00C37EAC">
        <w:t>(4), 1709–1725.</w:t>
      </w:r>
    </w:p>
    <w:p w14:paraId="114A0A39" w14:textId="77777777" w:rsidR="00C37EAC" w:rsidRPr="00C37EAC" w:rsidRDefault="00C37EAC" w:rsidP="00C37EAC">
      <w:pPr>
        <w:pStyle w:val="NormalWeb"/>
        <w:jc w:val="both"/>
      </w:pPr>
      <w:proofErr w:type="spellStart"/>
      <w:r w:rsidRPr="00C37EAC">
        <w:t>Belghazdis</w:t>
      </w:r>
      <w:proofErr w:type="spellEnd"/>
      <w:r w:rsidRPr="00C37EAC">
        <w:t xml:space="preserve">, M., &amp; </w:t>
      </w:r>
      <w:proofErr w:type="spellStart"/>
      <w:r w:rsidRPr="00C37EAC">
        <w:t>Hachem</w:t>
      </w:r>
      <w:proofErr w:type="spellEnd"/>
      <w:r w:rsidRPr="00C37EAC">
        <w:t xml:space="preserve">, E. K. (2022). Clay and clay minerals: A detailed review. </w:t>
      </w:r>
      <w:r w:rsidRPr="00C37EAC">
        <w:rPr>
          <w:rStyle w:val="Emphasis"/>
        </w:rPr>
        <w:t>International Journal of Recent Technology and Applied Science, 4</w:t>
      </w:r>
      <w:r w:rsidRPr="00C37EAC">
        <w:t>(2), 54–75.</w:t>
      </w:r>
    </w:p>
    <w:p w14:paraId="6076D517" w14:textId="77777777" w:rsidR="00C37EAC" w:rsidRPr="00C37EAC" w:rsidRDefault="00C37EAC" w:rsidP="00C37EAC">
      <w:pPr>
        <w:pStyle w:val="NormalWeb"/>
        <w:jc w:val="both"/>
      </w:pPr>
      <w:proofErr w:type="spellStart"/>
      <w:r w:rsidRPr="00C37EAC">
        <w:t>Ezealaji</w:t>
      </w:r>
      <w:proofErr w:type="spellEnd"/>
      <w:r w:rsidRPr="00C37EAC">
        <w:t xml:space="preserve">, I., </w:t>
      </w:r>
      <w:proofErr w:type="spellStart"/>
      <w:r w:rsidRPr="00C37EAC">
        <w:t>Akudinobi</w:t>
      </w:r>
      <w:proofErr w:type="spellEnd"/>
      <w:r w:rsidRPr="00C37EAC">
        <w:t xml:space="preserve">, B. E. B., &amp; Lar, U. A. (2023). Assessment of mineralogical and heavy metal constituents of </w:t>
      </w:r>
      <w:proofErr w:type="spellStart"/>
      <w:r w:rsidRPr="00C37EAC">
        <w:t>geophagic</w:t>
      </w:r>
      <w:proofErr w:type="spellEnd"/>
      <w:r w:rsidRPr="00C37EAC">
        <w:t xml:space="preserve"> clays in parts of Anambra State, Nigeria. </w:t>
      </w:r>
      <w:r w:rsidRPr="00C37EAC">
        <w:rPr>
          <w:rStyle w:val="Emphasis"/>
        </w:rPr>
        <w:t>Journal of Basic Physical Research, 11</w:t>
      </w:r>
      <w:r w:rsidRPr="00C37EAC">
        <w:t>(1), 77–89.</w:t>
      </w:r>
    </w:p>
    <w:p w14:paraId="49D9CFE3" w14:textId="77777777" w:rsidR="00C37EAC" w:rsidRPr="00C37EAC" w:rsidRDefault="00C37EAC" w:rsidP="00C37EAC">
      <w:pPr>
        <w:pStyle w:val="NormalWeb"/>
        <w:jc w:val="both"/>
      </w:pPr>
      <w:r w:rsidRPr="00C37EAC">
        <w:t xml:space="preserve">Fatima, M., </w:t>
      </w:r>
      <w:proofErr w:type="spellStart"/>
      <w:r w:rsidRPr="00C37EAC">
        <w:t>Ltifi</w:t>
      </w:r>
      <w:proofErr w:type="spellEnd"/>
      <w:r w:rsidRPr="00C37EAC">
        <w:t xml:space="preserve">, M., Rashid, K., &amp; Zafar, I. (2025). Clay mineralogy and its role in advancing limestone calcined clay cement (LC3): A comprehensive review. </w:t>
      </w:r>
      <w:r w:rsidRPr="00C37EAC">
        <w:rPr>
          <w:rStyle w:val="Emphasis"/>
        </w:rPr>
        <w:t>Journal of Advanced Concrete Technology, 23</w:t>
      </w:r>
      <w:r w:rsidRPr="00C37EAC">
        <w:t>(12), 596–611.</w:t>
      </w:r>
    </w:p>
    <w:p w14:paraId="44090CF5" w14:textId="77777777" w:rsidR="00C37EAC" w:rsidRPr="00C37EAC" w:rsidRDefault="00C37EAC" w:rsidP="00C37EAC">
      <w:pPr>
        <w:pStyle w:val="NormalWeb"/>
        <w:jc w:val="both"/>
      </w:pPr>
      <w:proofErr w:type="spellStart"/>
      <w:r w:rsidRPr="00C37EAC">
        <w:t>Kalendová</w:t>
      </w:r>
      <w:proofErr w:type="spellEnd"/>
      <w:r w:rsidRPr="00C37EAC">
        <w:t xml:space="preserve">, A., </w:t>
      </w:r>
      <w:proofErr w:type="spellStart"/>
      <w:r w:rsidRPr="00C37EAC">
        <w:t>Kupková</w:t>
      </w:r>
      <w:proofErr w:type="spellEnd"/>
      <w:r w:rsidRPr="00C37EAC">
        <w:t xml:space="preserve">, J., </w:t>
      </w:r>
      <w:proofErr w:type="spellStart"/>
      <w:r w:rsidRPr="00C37EAC">
        <w:t>Urbášková</w:t>
      </w:r>
      <w:proofErr w:type="spellEnd"/>
      <w:r w:rsidRPr="00C37EAC">
        <w:t xml:space="preserve">, M., &amp; </w:t>
      </w:r>
      <w:proofErr w:type="spellStart"/>
      <w:r w:rsidRPr="00C37EAC">
        <w:t>Merinská</w:t>
      </w:r>
      <w:proofErr w:type="spellEnd"/>
      <w:r w:rsidRPr="00C37EAC">
        <w:t xml:space="preserve">, D. (2024). Application of clays in nanocomposites and ceramics. </w:t>
      </w:r>
      <w:r w:rsidRPr="00C37EAC">
        <w:rPr>
          <w:rStyle w:val="Emphasis"/>
        </w:rPr>
        <w:t>Minerals, 14</w:t>
      </w:r>
      <w:r w:rsidRPr="00C37EAC">
        <w:t xml:space="preserve">(1), 93. </w:t>
      </w:r>
      <w:hyperlink r:id="rId11" w:tgtFrame="_new" w:history="1">
        <w:r w:rsidRPr="00C37EAC">
          <w:rPr>
            <w:rStyle w:val="Hyperlink"/>
          </w:rPr>
          <w:t>https://doi.org/10.3390/min14010093</w:t>
        </w:r>
      </w:hyperlink>
    </w:p>
    <w:p w14:paraId="2A42F683" w14:textId="77777777" w:rsidR="00C37EAC" w:rsidRPr="00C37EAC" w:rsidRDefault="00C37EAC" w:rsidP="00C37EAC">
      <w:pPr>
        <w:pStyle w:val="NormalWeb"/>
        <w:jc w:val="both"/>
      </w:pPr>
      <w:proofErr w:type="spellStart"/>
      <w:r w:rsidRPr="00C37EAC">
        <w:t>Nnameme</w:t>
      </w:r>
      <w:proofErr w:type="spellEnd"/>
      <w:r w:rsidRPr="00C37EAC">
        <w:t xml:space="preserve">, F. O., </w:t>
      </w:r>
      <w:proofErr w:type="spellStart"/>
      <w:r w:rsidRPr="00C37EAC">
        <w:t>Onuegbu</w:t>
      </w:r>
      <w:proofErr w:type="spellEnd"/>
      <w:r w:rsidRPr="00C37EAC">
        <w:t xml:space="preserve">, T. U., </w:t>
      </w:r>
      <w:proofErr w:type="spellStart"/>
      <w:r w:rsidRPr="00C37EAC">
        <w:t>Agbo</w:t>
      </w:r>
      <w:proofErr w:type="spellEnd"/>
      <w:r w:rsidRPr="00C37EAC">
        <w:t xml:space="preserve">, S. C., &amp; </w:t>
      </w:r>
      <w:proofErr w:type="spellStart"/>
      <w:r w:rsidRPr="00C37EAC">
        <w:t>Okwute</w:t>
      </w:r>
      <w:proofErr w:type="spellEnd"/>
      <w:r w:rsidRPr="00C37EAC">
        <w:t xml:space="preserve">, E. S. (2020). Characterization of local clay from Anambra State, Nigeria for ceramic applications. </w:t>
      </w:r>
      <w:r w:rsidRPr="00C37EAC">
        <w:rPr>
          <w:rStyle w:val="Emphasis"/>
        </w:rPr>
        <w:t>Asian Journal of Chemical Sciences, 8</w:t>
      </w:r>
      <w:r w:rsidRPr="00C37EAC">
        <w:t>(2), 1–10.</w:t>
      </w:r>
    </w:p>
    <w:p w14:paraId="65F7BB75" w14:textId="77777777" w:rsidR="00C37EAC" w:rsidRPr="00C37EAC" w:rsidRDefault="00C37EAC" w:rsidP="00C37EAC">
      <w:pPr>
        <w:pStyle w:val="NormalWeb"/>
        <w:jc w:val="both"/>
      </w:pPr>
      <w:proofErr w:type="spellStart"/>
      <w:r w:rsidRPr="00C37EAC">
        <w:t>Utazi</w:t>
      </w:r>
      <w:proofErr w:type="spellEnd"/>
      <w:r w:rsidRPr="00C37EAC">
        <w:t xml:space="preserve">, B. A. (2022). Mineralogical evaluation of clay deposits of </w:t>
      </w:r>
      <w:proofErr w:type="spellStart"/>
      <w:r w:rsidRPr="00C37EAC">
        <w:t>Nanka</w:t>
      </w:r>
      <w:proofErr w:type="spellEnd"/>
      <w:r w:rsidRPr="00C37EAC">
        <w:t xml:space="preserve"> Formation in southeastern Nigeria. </w:t>
      </w:r>
      <w:r w:rsidRPr="00C37EAC">
        <w:rPr>
          <w:rStyle w:val="Emphasis"/>
        </w:rPr>
        <w:t>International Journal of Physical Sciences, 17</w:t>
      </w:r>
      <w:r w:rsidRPr="00C37EAC">
        <w:t>(3), 84–95.</w:t>
      </w:r>
    </w:p>
    <w:p w14:paraId="6BDF565C" w14:textId="77777777" w:rsidR="00C37EAC" w:rsidRPr="00C37EAC" w:rsidRDefault="00C37EAC" w:rsidP="00C37EAC">
      <w:pPr>
        <w:pStyle w:val="NormalWeb"/>
        <w:jc w:val="both"/>
      </w:pPr>
      <w:r w:rsidRPr="00C37EAC">
        <w:lastRenderedPageBreak/>
        <w:t xml:space="preserve">Warr, L. N. (2022). Earth’s clay mineral inventory and its climate interaction. </w:t>
      </w:r>
      <w:r w:rsidRPr="00C37EAC">
        <w:rPr>
          <w:rStyle w:val="Emphasis"/>
        </w:rPr>
        <w:t>Earth-Science Reviews, 234</w:t>
      </w:r>
      <w:r w:rsidRPr="00C37EAC">
        <w:t>, 104198.</w:t>
      </w:r>
    </w:p>
    <w:p w14:paraId="720105F9" w14:textId="77777777" w:rsidR="00C37EAC" w:rsidRPr="00C37EAC" w:rsidRDefault="00C37EAC" w:rsidP="00C37EAC">
      <w:pPr>
        <w:pStyle w:val="NormalWeb"/>
        <w:jc w:val="both"/>
      </w:pPr>
      <w:r w:rsidRPr="00C37EAC">
        <w:t xml:space="preserve">Wilson, M. (2004). Weathering of primary rock-forming minerals. </w:t>
      </w:r>
      <w:r w:rsidRPr="00C37EAC">
        <w:rPr>
          <w:rStyle w:val="Emphasis"/>
        </w:rPr>
        <w:t>Clay Mineralogy, 39</w:t>
      </w:r>
      <w:r w:rsidRPr="00C37EAC">
        <w:t>(3), 233–266.</w:t>
      </w:r>
    </w:p>
    <w:p w14:paraId="2C4F19B8" w14:textId="77777777" w:rsidR="0051477E" w:rsidRPr="00C37EAC" w:rsidRDefault="006719BD" w:rsidP="00C37EAC">
      <w:pPr>
        <w:shd w:val="clear" w:color="auto" w:fill="FFFFFF" w:themeFill="background1"/>
        <w:spacing w:before="100" w:beforeAutospacing="1" w:after="100" w:afterAutospacing="1" w:line="240" w:lineRule="auto"/>
        <w:ind w:left="720"/>
        <w:jc w:val="both"/>
        <w:rPr>
          <w:rFonts w:ascii="Times New Roman" w:hAnsi="Times New Roman" w:cs="Times New Roman"/>
          <w:sz w:val="24"/>
          <w:szCs w:val="24"/>
        </w:rPr>
      </w:pPr>
      <w:r w:rsidRPr="00C37EAC">
        <w:rPr>
          <w:rFonts w:ascii="Times New Roman" w:hAnsi="Times New Roman" w:cs="Times New Roman"/>
          <w:sz w:val="24"/>
          <w:szCs w:val="24"/>
        </w:rPr>
        <w:t xml:space="preserve"> </w:t>
      </w:r>
    </w:p>
    <w:p w14:paraId="719A6FD9" w14:textId="77777777" w:rsidR="006719BD" w:rsidRPr="00C37EAC" w:rsidRDefault="006719BD" w:rsidP="00C37EAC">
      <w:pPr>
        <w:spacing w:after="0" w:line="240" w:lineRule="auto"/>
        <w:ind w:left="1080"/>
        <w:jc w:val="both"/>
        <w:rPr>
          <w:rFonts w:ascii="Times New Roman" w:eastAsia="Times New Roman" w:hAnsi="Times New Roman" w:cs="Times New Roman"/>
          <w:sz w:val="24"/>
          <w:szCs w:val="24"/>
        </w:rPr>
      </w:pPr>
    </w:p>
    <w:p w14:paraId="4CC1C706" w14:textId="77777777" w:rsidR="00061F1D" w:rsidRPr="00C37EAC" w:rsidRDefault="00061F1D" w:rsidP="00C37EAC">
      <w:pPr>
        <w:shd w:val="clear" w:color="auto" w:fill="FFFFFF" w:themeFill="background1"/>
        <w:spacing w:before="100" w:beforeAutospacing="1" w:after="100" w:afterAutospacing="1" w:line="240" w:lineRule="auto"/>
        <w:jc w:val="both"/>
        <w:rPr>
          <w:rFonts w:ascii="Times New Roman" w:hAnsi="Times New Roman" w:cs="Times New Roman"/>
          <w:sz w:val="24"/>
          <w:szCs w:val="24"/>
        </w:rPr>
      </w:pPr>
    </w:p>
    <w:sectPr w:rsidR="00061F1D" w:rsidRPr="00C37EAC" w:rsidSect="00061F1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D6BEE" w14:textId="77777777" w:rsidR="00360B5F" w:rsidRDefault="00360B5F" w:rsidP="00D158A3">
      <w:pPr>
        <w:spacing w:after="0" w:line="240" w:lineRule="auto"/>
      </w:pPr>
      <w:r>
        <w:separator/>
      </w:r>
    </w:p>
  </w:endnote>
  <w:endnote w:type="continuationSeparator" w:id="0">
    <w:p w14:paraId="4C406FCD" w14:textId="77777777" w:rsidR="00360B5F" w:rsidRDefault="00360B5F" w:rsidP="00D1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961B5" w14:textId="77777777" w:rsidR="00D158A3" w:rsidRDefault="00D15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DF379" w14:textId="77777777" w:rsidR="00D158A3" w:rsidRDefault="00D15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AD9B" w14:textId="77777777" w:rsidR="00D158A3" w:rsidRDefault="00D15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2287B" w14:textId="77777777" w:rsidR="00360B5F" w:rsidRDefault="00360B5F" w:rsidP="00D158A3">
      <w:pPr>
        <w:spacing w:after="0" w:line="240" w:lineRule="auto"/>
      </w:pPr>
      <w:r>
        <w:separator/>
      </w:r>
    </w:p>
  </w:footnote>
  <w:footnote w:type="continuationSeparator" w:id="0">
    <w:p w14:paraId="0D942EE9" w14:textId="77777777" w:rsidR="00360B5F" w:rsidRDefault="00360B5F" w:rsidP="00D15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009AC" w14:textId="046FF555" w:rsidR="00D158A3" w:rsidRDefault="00D158A3">
    <w:pPr>
      <w:pStyle w:val="Header"/>
    </w:pPr>
    <w:r>
      <w:rPr>
        <w:noProof/>
      </w:rPr>
      <w:pict w14:anchorId="7B584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63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47C30" w14:textId="704BB160" w:rsidR="00D158A3" w:rsidRDefault="00D158A3">
    <w:pPr>
      <w:pStyle w:val="Header"/>
    </w:pPr>
    <w:r>
      <w:rPr>
        <w:noProof/>
      </w:rPr>
      <w:pict w14:anchorId="713DF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63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CAFA0" w14:textId="102E890E" w:rsidR="00D158A3" w:rsidRDefault="00D158A3">
    <w:pPr>
      <w:pStyle w:val="Header"/>
    </w:pPr>
    <w:r>
      <w:rPr>
        <w:noProof/>
      </w:rPr>
      <w:pict w14:anchorId="675A5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63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C3E84"/>
    <w:multiLevelType w:val="hybridMultilevel"/>
    <w:tmpl w:val="04B03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2335722"/>
    <w:multiLevelType w:val="multilevel"/>
    <w:tmpl w:val="089A6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3946E1"/>
    <w:multiLevelType w:val="multilevel"/>
    <w:tmpl w:val="B81EF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B16423"/>
    <w:multiLevelType w:val="hybridMultilevel"/>
    <w:tmpl w:val="BC8E3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32513"/>
    <w:multiLevelType w:val="multilevel"/>
    <w:tmpl w:val="08D4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91"/>
    <w:rsid w:val="00020B87"/>
    <w:rsid w:val="00050612"/>
    <w:rsid w:val="00061F1D"/>
    <w:rsid w:val="0006485A"/>
    <w:rsid w:val="000E68C5"/>
    <w:rsid w:val="000E7F60"/>
    <w:rsid w:val="00153FFF"/>
    <w:rsid w:val="001F5495"/>
    <w:rsid w:val="00252D90"/>
    <w:rsid w:val="0026177D"/>
    <w:rsid w:val="002644C7"/>
    <w:rsid w:val="002758D4"/>
    <w:rsid w:val="002B6B72"/>
    <w:rsid w:val="002C7B1C"/>
    <w:rsid w:val="002D04B7"/>
    <w:rsid w:val="003015C9"/>
    <w:rsid w:val="00305EA1"/>
    <w:rsid w:val="003216A3"/>
    <w:rsid w:val="00360B5F"/>
    <w:rsid w:val="0036642F"/>
    <w:rsid w:val="0038446C"/>
    <w:rsid w:val="003A05C6"/>
    <w:rsid w:val="003B7D6E"/>
    <w:rsid w:val="0045203D"/>
    <w:rsid w:val="004855CF"/>
    <w:rsid w:val="0051477E"/>
    <w:rsid w:val="005326D3"/>
    <w:rsid w:val="00535353"/>
    <w:rsid w:val="00555C16"/>
    <w:rsid w:val="0056659A"/>
    <w:rsid w:val="0059362D"/>
    <w:rsid w:val="005A6D6F"/>
    <w:rsid w:val="005E57E9"/>
    <w:rsid w:val="006719BD"/>
    <w:rsid w:val="006C31C1"/>
    <w:rsid w:val="006C5697"/>
    <w:rsid w:val="006E2265"/>
    <w:rsid w:val="007A399B"/>
    <w:rsid w:val="007D2C06"/>
    <w:rsid w:val="00807D27"/>
    <w:rsid w:val="008F0431"/>
    <w:rsid w:val="00910CB0"/>
    <w:rsid w:val="00912D5A"/>
    <w:rsid w:val="00945E4B"/>
    <w:rsid w:val="00947574"/>
    <w:rsid w:val="00955F5D"/>
    <w:rsid w:val="00981206"/>
    <w:rsid w:val="009B3267"/>
    <w:rsid w:val="009F0256"/>
    <w:rsid w:val="00A032ED"/>
    <w:rsid w:val="00A036A6"/>
    <w:rsid w:val="00A43DFA"/>
    <w:rsid w:val="00AB3EB4"/>
    <w:rsid w:val="00AB6496"/>
    <w:rsid w:val="00AC5259"/>
    <w:rsid w:val="00AE65C9"/>
    <w:rsid w:val="00B049B3"/>
    <w:rsid w:val="00B23E2B"/>
    <w:rsid w:val="00B31491"/>
    <w:rsid w:val="00B50B21"/>
    <w:rsid w:val="00B620E2"/>
    <w:rsid w:val="00B94061"/>
    <w:rsid w:val="00BF552E"/>
    <w:rsid w:val="00C243A9"/>
    <w:rsid w:val="00C37EAC"/>
    <w:rsid w:val="00C62490"/>
    <w:rsid w:val="00C67DA9"/>
    <w:rsid w:val="00C9733A"/>
    <w:rsid w:val="00CA7D44"/>
    <w:rsid w:val="00CC403C"/>
    <w:rsid w:val="00CC6940"/>
    <w:rsid w:val="00D158A3"/>
    <w:rsid w:val="00D32BFA"/>
    <w:rsid w:val="00D46980"/>
    <w:rsid w:val="00D81230"/>
    <w:rsid w:val="00D852F8"/>
    <w:rsid w:val="00E30970"/>
    <w:rsid w:val="00E63FDE"/>
    <w:rsid w:val="00EB3755"/>
    <w:rsid w:val="00F53CCB"/>
    <w:rsid w:val="00FB1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FC760D"/>
  <w15:docId w15:val="{8E265D5D-3F79-4B6D-87E7-022DDC4B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491"/>
  </w:style>
  <w:style w:type="paragraph" w:styleId="Heading1">
    <w:name w:val="heading 1"/>
    <w:basedOn w:val="Normal"/>
    <w:link w:val="Heading1Char"/>
    <w:uiPriority w:val="9"/>
    <w:qFormat/>
    <w:rsid w:val="007D2C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55C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D2C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B375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3E2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3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E2B"/>
    <w:rPr>
      <w:rFonts w:ascii="Tahoma" w:hAnsi="Tahoma" w:cs="Tahoma"/>
      <w:sz w:val="16"/>
      <w:szCs w:val="16"/>
    </w:rPr>
  </w:style>
  <w:style w:type="paragraph" w:styleId="ListParagraph">
    <w:name w:val="List Paragraph"/>
    <w:basedOn w:val="Normal"/>
    <w:uiPriority w:val="34"/>
    <w:qFormat/>
    <w:rsid w:val="00CC403C"/>
    <w:pPr>
      <w:ind w:left="720"/>
      <w:contextualSpacing/>
    </w:pPr>
  </w:style>
  <w:style w:type="paragraph" w:styleId="NoSpacing">
    <w:name w:val="No Spacing"/>
    <w:link w:val="NoSpacingChar"/>
    <w:uiPriority w:val="1"/>
    <w:qFormat/>
    <w:rsid w:val="0059362D"/>
    <w:pPr>
      <w:spacing w:after="0" w:line="240" w:lineRule="auto"/>
    </w:pPr>
    <w:rPr>
      <w:rFonts w:ascii="Calibri" w:eastAsia="Calibri" w:hAnsi="Calibri" w:cs="Times New Roman"/>
    </w:rPr>
  </w:style>
  <w:style w:type="character" w:customStyle="1" w:styleId="NoSpacingChar">
    <w:name w:val="No Spacing Char"/>
    <w:link w:val="NoSpacing"/>
    <w:uiPriority w:val="1"/>
    <w:rsid w:val="0059362D"/>
    <w:rPr>
      <w:rFonts w:ascii="Calibri" w:eastAsia="Calibri" w:hAnsi="Calibri" w:cs="Times New Roman"/>
    </w:rPr>
  </w:style>
  <w:style w:type="table" w:styleId="TableGrid">
    <w:name w:val="Table Grid"/>
    <w:basedOn w:val="TableNormal"/>
    <w:uiPriority w:val="59"/>
    <w:rsid w:val="001F54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D2C0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D2C06"/>
    <w:rPr>
      <w:rFonts w:ascii="Times New Roman" w:eastAsia="Times New Roman" w:hAnsi="Times New Roman" w:cs="Times New Roman"/>
      <w:b/>
      <w:bCs/>
      <w:sz w:val="27"/>
      <w:szCs w:val="27"/>
    </w:rPr>
  </w:style>
  <w:style w:type="character" w:styleId="Strong">
    <w:name w:val="Strong"/>
    <w:basedOn w:val="DefaultParagraphFont"/>
    <w:uiPriority w:val="22"/>
    <w:qFormat/>
    <w:rsid w:val="007D2C06"/>
    <w:rPr>
      <w:b/>
      <w:bCs/>
    </w:rPr>
  </w:style>
  <w:style w:type="character" w:customStyle="1" w:styleId="katex-mathml">
    <w:name w:val="katex-mathml"/>
    <w:basedOn w:val="DefaultParagraphFont"/>
    <w:rsid w:val="007D2C06"/>
  </w:style>
  <w:style w:type="character" w:customStyle="1" w:styleId="mord">
    <w:name w:val="mord"/>
    <w:basedOn w:val="DefaultParagraphFont"/>
    <w:rsid w:val="007D2C06"/>
  </w:style>
  <w:style w:type="character" w:customStyle="1" w:styleId="vlist-s">
    <w:name w:val="vlist-s"/>
    <w:basedOn w:val="DefaultParagraphFont"/>
    <w:rsid w:val="007D2C06"/>
  </w:style>
  <w:style w:type="character" w:customStyle="1" w:styleId="mrel">
    <w:name w:val="mrel"/>
    <w:basedOn w:val="DefaultParagraphFont"/>
    <w:rsid w:val="007D2C06"/>
  </w:style>
  <w:style w:type="character" w:customStyle="1" w:styleId="mbin">
    <w:name w:val="mbin"/>
    <w:basedOn w:val="DefaultParagraphFont"/>
    <w:rsid w:val="007D2C06"/>
  </w:style>
  <w:style w:type="character" w:customStyle="1" w:styleId="Heading2Char">
    <w:name w:val="Heading 2 Char"/>
    <w:basedOn w:val="DefaultParagraphFont"/>
    <w:link w:val="Heading2"/>
    <w:uiPriority w:val="9"/>
    <w:semiHidden/>
    <w:rsid w:val="00555C16"/>
    <w:rPr>
      <w:rFonts w:asciiTheme="majorHAnsi" w:eastAsiaTheme="majorEastAsia" w:hAnsiTheme="majorHAnsi" w:cstheme="majorBidi"/>
      <w:b/>
      <w:bCs/>
      <w:color w:val="4F81BD" w:themeColor="accent1"/>
      <w:sz w:val="26"/>
      <w:szCs w:val="26"/>
    </w:rPr>
  </w:style>
  <w:style w:type="character" w:customStyle="1" w:styleId="min-w-0">
    <w:name w:val="min-w-0"/>
    <w:basedOn w:val="DefaultParagraphFont"/>
    <w:rsid w:val="00955F5D"/>
  </w:style>
  <w:style w:type="character" w:customStyle="1" w:styleId="Heading4Char">
    <w:name w:val="Heading 4 Char"/>
    <w:basedOn w:val="DefaultParagraphFont"/>
    <w:link w:val="Heading4"/>
    <w:uiPriority w:val="9"/>
    <w:semiHidden/>
    <w:rsid w:val="00EB3755"/>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719BD"/>
    <w:rPr>
      <w:color w:val="0000FF" w:themeColor="hyperlink"/>
      <w:u w:val="single"/>
    </w:rPr>
  </w:style>
  <w:style w:type="character" w:styleId="Emphasis">
    <w:name w:val="Emphasis"/>
    <w:basedOn w:val="DefaultParagraphFont"/>
    <w:uiPriority w:val="20"/>
    <w:qFormat/>
    <w:rsid w:val="006719BD"/>
    <w:rPr>
      <w:i/>
      <w:iCs/>
    </w:rPr>
  </w:style>
  <w:style w:type="character" w:styleId="SubtleEmphasis">
    <w:name w:val="Subtle Emphasis"/>
    <w:uiPriority w:val="19"/>
    <w:qFormat/>
    <w:rsid w:val="00535353"/>
    <w:rPr>
      <w:i/>
      <w:iCs/>
      <w:color w:val="404040"/>
    </w:rPr>
  </w:style>
  <w:style w:type="character" w:styleId="UnresolvedMention">
    <w:name w:val="Unresolved Mention"/>
    <w:basedOn w:val="DefaultParagraphFont"/>
    <w:uiPriority w:val="99"/>
    <w:semiHidden/>
    <w:unhideWhenUsed/>
    <w:rsid w:val="00535353"/>
    <w:rPr>
      <w:color w:val="605E5C"/>
      <w:shd w:val="clear" w:color="auto" w:fill="E1DFDD"/>
    </w:rPr>
  </w:style>
  <w:style w:type="paragraph" w:styleId="Header">
    <w:name w:val="header"/>
    <w:basedOn w:val="Normal"/>
    <w:link w:val="HeaderChar"/>
    <w:uiPriority w:val="99"/>
    <w:unhideWhenUsed/>
    <w:rsid w:val="00D15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8A3"/>
  </w:style>
  <w:style w:type="paragraph" w:styleId="Footer">
    <w:name w:val="footer"/>
    <w:basedOn w:val="Normal"/>
    <w:link w:val="FooterChar"/>
    <w:uiPriority w:val="99"/>
    <w:unhideWhenUsed/>
    <w:rsid w:val="00D15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6250">
      <w:bodyDiv w:val="1"/>
      <w:marLeft w:val="0"/>
      <w:marRight w:val="0"/>
      <w:marTop w:val="0"/>
      <w:marBottom w:val="0"/>
      <w:divBdr>
        <w:top w:val="none" w:sz="0" w:space="0" w:color="auto"/>
        <w:left w:val="none" w:sz="0" w:space="0" w:color="auto"/>
        <w:bottom w:val="none" w:sz="0" w:space="0" w:color="auto"/>
        <w:right w:val="none" w:sz="0" w:space="0" w:color="auto"/>
      </w:divBdr>
    </w:div>
    <w:div w:id="314073408">
      <w:bodyDiv w:val="1"/>
      <w:marLeft w:val="0"/>
      <w:marRight w:val="0"/>
      <w:marTop w:val="0"/>
      <w:marBottom w:val="0"/>
      <w:divBdr>
        <w:top w:val="none" w:sz="0" w:space="0" w:color="auto"/>
        <w:left w:val="none" w:sz="0" w:space="0" w:color="auto"/>
        <w:bottom w:val="none" w:sz="0" w:space="0" w:color="auto"/>
        <w:right w:val="none" w:sz="0" w:space="0" w:color="auto"/>
      </w:divBdr>
    </w:div>
    <w:div w:id="394744692">
      <w:bodyDiv w:val="1"/>
      <w:marLeft w:val="0"/>
      <w:marRight w:val="0"/>
      <w:marTop w:val="0"/>
      <w:marBottom w:val="0"/>
      <w:divBdr>
        <w:top w:val="none" w:sz="0" w:space="0" w:color="auto"/>
        <w:left w:val="none" w:sz="0" w:space="0" w:color="auto"/>
        <w:bottom w:val="none" w:sz="0" w:space="0" w:color="auto"/>
        <w:right w:val="none" w:sz="0" w:space="0" w:color="auto"/>
      </w:divBdr>
    </w:div>
    <w:div w:id="471220405">
      <w:bodyDiv w:val="1"/>
      <w:marLeft w:val="0"/>
      <w:marRight w:val="0"/>
      <w:marTop w:val="0"/>
      <w:marBottom w:val="0"/>
      <w:divBdr>
        <w:top w:val="none" w:sz="0" w:space="0" w:color="auto"/>
        <w:left w:val="none" w:sz="0" w:space="0" w:color="auto"/>
        <w:bottom w:val="none" w:sz="0" w:space="0" w:color="auto"/>
        <w:right w:val="none" w:sz="0" w:space="0" w:color="auto"/>
      </w:divBdr>
    </w:div>
    <w:div w:id="682322965">
      <w:bodyDiv w:val="1"/>
      <w:marLeft w:val="0"/>
      <w:marRight w:val="0"/>
      <w:marTop w:val="0"/>
      <w:marBottom w:val="0"/>
      <w:divBdr>
        <w:top w:val="none" w:sz="0" w:space="0" w:color="auto"/>
        <w:left w:val="none" w:sz="0" w:space="0" w:color="auto"/>
        <w:bottom w:val="none" w:sz="0" w:space="0" w:color="auto"/>
        <w:right w:val="none" w:sz="0" w:space="0" w:color="auto"/>
      </w:divBdr>
    </w:div>
    <w:div w:id="745345127">
      <w:bodyDiv w:val="1"/>
      <w:marLeft w:val="0"/>
      <w:marRight w:val="0"/>
      <w:marTop w:val="0"/>
      <w:marBottom w:val="0"/>
      <w:divBdr>
        <w:top w:val="none" w:sz="0" w:space="0" w:color="auto"/>
        <w:left w:val="none" w:sz="0" w:space="0" w:color="auto"/>
        <w:bottom w:val="none" w:sz="0" w:space="0" w:color="auto"/>
        <w:right w:val="none" w:sz="0" w:space="0" w:color="auto"/>
      </w:divBdr>
    </w:div>
    <w:div w:id="1082291051">
      <w:bodyDiv w:val="1"/>
      <w:marLeft w:val="0"/>
      <w:marRight w:val="0"/>
      <w:marTop w:val="0"/>
      <w:marBottom w:val="0"/>
      <w:divBdr>
        <w:top w:val="none" w:sz="0" w:space="0" w:color="auto"/>
        <w:left w:val="none" w:sz="0" w:space="0" w:color="auto"/>
        <w:bottom w:val="none" w:sz="0" w:space="0" w:color="auto"/>
        <w:right w:val="none" w:sz="0" w:space="0" w:color="auto"/>
      </w:divBdr>
    </w:div>
    <w:div w:id="1141121513">
      <w:bodyDiv w:val="1"/>
      <w:marLeft w:val="0"/>
      <w:marRight w:val="0"/>
      <w:marTop w:val="0"/>
      <w:marBottom w:val="0"/>
      <w:divBdr>
        <w:top w:val="none" w:sz="0" w:space="0" w:color="auto"/>
        <w:left w:val="none" w:sz="0" w:space="0" w:color="auto"/>
        <w:bottom w:val="none" w:sz="0" w:space="0" w:color="auto"/>
        <w:right w:val="none" w:sz="0" w:space="0" w:color="auto"/>
      </w:divBdr>
      <w:divsChild>
        <w:div w:id="46072683">
          <w:marLeft w:val="0"/>
          <w:marRight w:val="0"/>
          <w:marTop w:val="0"/>
          <w:marBottom w:val="0"/>
          <w:divBdr>
            <w:top w:val="none" w:sz="0" w:space="0" w:color="auto"/>
            <w:left w:val="none" w:sz="0" w:space="0" w:color="auto"/>
            <w:bottom w:val="none" w:sz="0" w:space="0" w:color="auto"/>
            <w:right w:val="none" w:sz="0" w:space="0" w:color="auto"/>
          </w:divBdr>
          <w:divsChild>
            <w:div w:id="644549756">
              <w:marLeft w:val="0"/>
              <w:marRight w:val="0"/>
              <w:marTop w:val="0"/>
              <w:marBottom w:val="0"/>
              <w:divBdr>
                <w:top w:val="none" w:sz="0" w:space="0" w:color="auto"/>
                <w:left w:val="none" w:sz="0" w:space="0" w:color="auto"/>
                <w:bottom w:val="none" w:sz="0" w:space="0" w:color="auto"/>
                <w:right w:val="none" w:sz="0" w:space="0" w:color="auto"/>
              </w:divBdr>
            </w:div>
          </w:divsChild>
        </w:div>
        <w:div w:id="610094534">
          <w:marLeft w:val="0"/>
          <w:marRight w:val="0"/>
          <w:marTop w:val="0"/>
          <w:marBottom w:val="0"/>
          <w:divBdr>
            <w:top w:val="none" w:sz="0" w:space="0" w:color="auto"/>
            <w:left w:val="none" w:sz="0" w:space="0" w:color="auto"/>
            <w:bottom w:val="none" w:sz="0" w:space="0" w:color="auto"/>
            <w:right w:val="none" w:sz="0" w:space="0" w:color="auto"/>
          </w:divBdr>
          <w:divsChild>
            <w:div w:id="4876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56945">
      <w:bodyDiv w:val="1"/>
      <w:marLeft w:val="0"/>
      <w:marRight w:val="0"/>
      <w:marTop w:val="0"/>
      <w:marBottom w:val="0"/>
      <w:divBdr>
        <w:top w:val="none" w:sz="0" w:space="0" w:color="auto"/>
        <w:left w:val="none" w:sz="0" w:space="0" w:color="auto"/>
        <w:bottom w:val="none" w:sz="0" w:space="0" w:color="auto"/>
        <w:right w:val="none" w:sz="0" w:space="0" w:color="auto"/>
      </w:divBdr>
    </w:div>
    <w:div w:id="1293051850">
      <w:bodyDiv w:val="1"/>
      <w:marLeft w:val="0"/>
      <w:marRight w:val="0"/>
      <w:marTop w:val="0"/>
      <w:marBottom w:val="0"/>
      <w:divBdr>
        <w:top w:val="none" w:sz="0" w:space="0" w:color="auto"/>
        <w:left w:val="none" w:sz="0" w:space="0" w:color="auto"/>
        <w:bottom w:val="none" w:sz="0" w:space="0" w:color="auto"/>
        <w:right w:val="none" w:sz="0" w:space="0" w:color="auto"/>
      </w:divBdr>
    </w:div>
    <w:div w:id="1330209347">
      <w:bodyDiv w:val="1"/>
      <w:marLeft w:val="0"/>
      <w:marRight w:val="0"/>
      <w:marTop w:val="0"/>
      <w:marBottom w:val="0"/>
      <w:divBdr>
        <w:top w:val="none" w:sz="0" w:space="0" w:color="auto"/>
        <w:left w:val="none" w:sz="0" w:space="0" w:color="auto"/>
        <w:bottom w:val="none" w:sz="0" w:space="0" w:color="auto"/>
        <w:right w:val="none" w:sz="0" w:space="0" w:color="auto"/>
      </w:divBdr>
    </w:div>
    <w:div w:id="1374892076">
      <w:bodyDiv w:val="1"/>
      <w:marLeft w:val="0"/>
      <w:marRight w:val="0"/>
      <w:marTop w:val="0"/>
      <w:marBottom w:val="0"/>
      <w:divBdr>
        <w:top w:val="none" w:sz="0" w:space="0" w:color="auto"/>
        <w:left w:val="none" w:sz="0" w:space="0" w:color="auto"/>
        <w:bottom w:val="none" w:sz="0" w:space="0" w:color="auto"/>
        <w:right w:val="none" w:sz="0" w:space="0" w:color="auto"/>
      </w:divBdr>
    </w:div>
    <w:div w:id="2107573007">
      <w:bodyDiv w:val="1"/>
      <w:marLeft w:val="0"/>
      <w:marRight w:val="0"/>
      <w:marTop w:val="0"/>
      <w:marBottom w:val="0"/>
      <w:divBdr>
        <w:top w:val="none" w:sz="0" w:space="0" w:color="auto"/>
        <w:left w:val="none" w:sz="0" w:space="0" w:color="auto"/>
        <w:bottom w:val="none" w:sz="0" w:space="0" w:color="auto"/>
        <w:right w:val="none" w:sz="0" w:space="0" w:color="auto"/>
      </w:divBdr>
      <w:divsChild>
        <w:div w:id="329137189">
          <w:marLeft w:val="0"/>
          <w:marRight w:val="0"/>
          <w:marTop w:val="0"/>
          <w:marBottom w:val="0"/>
          <w:divBdr>
            <w:top w:val="none" w:sz="0" w:space="0" w:color="auto"/>
            <w:left w:val="none" w:sz="0" w:space="0" w:color="auto"/>
            <w:bottom w:val="none" w:sz="0" w:space="0" w:color="auto"/>
            <w:right w:val="none" w:sz="0" w:space="0" w:color="auto"/>
          </w:divBdr>
          <w:divsChild>
            <w:div w:id="568929757">
              <w:marLeft w:val="0"/>
              <w:marRight w:val="0"/>
              <w:marTop w:val="0"/>
              <w:marBottom w:val="0"/>
              <w:divBdr>
                <w:top w:val="none" w:sz="0" w:space="0" w:color="auto"/>
                <w:left w:val="none" w:sz="0" w:space="0" w:color="auto"/>
                <w:bottom w:val="none" w:sz="0" w:space="0" w:color="auto"/>
                <w:right w:val="none" w:sz="0" w:space="0" w:color="auto"/>
              </w:divBdr>
              <w:divsChild>
                <w:div w:id="1700545228">
                  <w:marLeft w:val="0"/>
                  <w:marRight w:val="0"/>
                  <w:marTop w:val="0"/>
                  <w:marBottom w:val="0"/>
                  <w:divBdr>
                    <w:top w:val="none" w:sz="0" w:space="0" w:color="auto"/>
                    <w:left w:val="none" w:sz="0" w:space="0" w:color="auto"/>
                    <w:bottom w:val="none" w:sz="0" w:space="0" w:color="auto"/>
                    <w:right w:val="none" w:sz="0" w:space="0" w:color="auto"/>
                  </w:divBdr>
                  <w:divsChild>
                    <w:div w:id="1492402150">
                      <w:marLeft w:val="0"/>
                      <w:marRight w:val="0"/>
                      <w:marTop w:val="0"/>
                      <w:marBottom w:val="0"/>
                      <w:divBdr>
                        <w:top w:val="none" w:sz="0" w:space="0" w:color="auto"/>
                        <w:left w:val="none" w:sz="0" w:space="0" w:color="auto"/>
                        <w:bottom w:val="none" w:sz="0" w:space="0" w:color="auto"/>
                        <w:right w:val="none" w:sz="0" w:space="0" w:color="auto"/>
                      </w:divBdr>
                      <w:divsChild>
                        <w:div w:id="571547419">
                          <w:marLeft w:val="0"/>
                          <w:marRight w:val="0"/>
                          <w:marTop w:val="0"/>
                          <w:marBottom w:val="0"/>
                          <w:divBdr>
                            <w:top w:val="none" w:sz="0" w:space="0" w:color="auto"/>
                            <w:left w:val="none" w:sz="0" w:space="0" w:color="auto"/>
                            <w:bottom w:val="none" w:sz="0" w:space="0" w:color="auto"/>
                            <w:right w:val="none" w:sz="0" w:space="0" w:color="auto"/>
                          </w:divBdr>
                          <w:divsChild>
                            <w:div w:id="923295341">
                              <w:marLeft w:val="0"/>
                              <w:marRight w:val="0"/>
                              <w:marTop w:val="0"/>
                              <w:marBottom w:val="0"/>
                              <w:divBdr>
                                <w:top w:val="none" w:sz="0" w:space="0" w:color="auto"/>
                                <w:left w:val="none" w:sz="0" w:space="0" w:color="auto"/>
                                <w:bottom w:val="none" w:sz="0" w:space="0" w:color="auto"/>
                                <w:right w:val="none" w:sz="0" w:space="0" w:color="auto"/>
                              </w:divBdr>
                              <w:divsChild>
                                <w:div w:id="304508680">
                                  <w:marLeft w:val="0"/>
                                  <w:marRight w:val="0"/>
                                  <w:marTop w:val="0"/>
                                  <w:marBottom w:val="0"/>
                                  <w:divBdr>
                                    <w:top w:val="none" w:sz="0" w:space="0" w:color="auto"/>
                                    <w:left w:val="none" w:sz="0" w:space="0" w:color="auto"/>
                                    <w:bottom w:val="none" w:sz="0" w:space="0" w:color="auto"/>
                                    <w:right w:val="none" w:sz="0" w:space="0" w:color="auto"/>
                                  </w:divBdr>
                                  <w:divsChild>
                                    <w:div w:id="9238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806482">
          <w:marLeft w:val="0"/>
          <w:marRight w:val="0"/>
          <w:marTop w:val="0"/>
          <w:marBottom w:val="0"/>
          <w:divBdr>
            <w:top w:val="none" w:sz="0" w:space="0" w:color="auto"/>
            <w:left w:val="none" w:sz="0" w:space="0" w:color="auto"/>
            <w:bottom w:val="none" w:sz="0" w:space="0" w:color="auto"/>
            <w:right w:val="none" w:sz="0" w:space="0" w:color="auto"/>
          </w:divBdr>
          <w:divsChild>
            <w:div w:id="1555578261">
              <w:marLeft w:val="0"/>
              <w:marRight w:val="0"/>
              <w:marTop w:val="0"/>
              <w:marBottom w:val="0"/>
              <w:divBdr>
                <w:top w:val="none" w:sz="0" w:space="0" w:color="auto"/>
                <w:left w:val="none" w:sz="0" w:space="0" w:color="auto"/>
                <w:bottom w:val="none" w:sz="0" w:space="0" w:color="auto"/>
                <w:right w:val="none" w:sz="0" w:space="0" w:color="auto"/>
              </w:divBdr>
              <w:divsChild>
                <w:div w:id="1652368469">
                  <w:marLeft w:val="0"/>
                  <w:marRight w:val="0"/>
                  <w:marTop w:val="0"/>
                  <w:marBottom w:val="0"/>
                  <w:divBdr>
                    <w:top w:val="none" w:sz="0" w:space="0" w:color="auto"/>
                    <w:left w:val="none" w:sz="0" w:space="0" w:color="auto"/>
                    <w:bottom w:val="none" w:sz="0" w:space="0" w:color="auto"/>
                    <w:right w:val="none" w:sz="0" w:space="0" w:color="auto"/>
                  </w:divBdr>
                  <w:divsChild>
                    <w:div w:id="64239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0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in1401009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7</cp:revision>
  <dcterms:created xsi:type="dcterms:W3CDTF">2026-04-16T07:34:00Z</dcterms:created>
  <dcterms:modified xsi:type="dcterms:W3CDTF">2026-04-16T13:13:00Z</dcterms:modified>
</cp:coreProperties>
</file>