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90217" w14:textId="77777777" w:rsidR="00FB5556" w:rsidRDefault="00F85F1C">
      <w:pPr>
        <w:jc w:val="center"/>
        <w:rPr>
          <w:rFonts w:ascii="Times New Roman" w:hAnsi="Times New Roman"/>
          <w:sz w:val="24"/>
          <w:szCs w:val="24"/>
        </w:rPr>
      </w:pPr>
      <w:r>
        <w:rPr>
          <w:rFonts w:ascii="Times New Roman" w:hAnsi="Times New Roman"/>
          <w:b/>
          <w:sz w:val="24"/>
          <w:szCs w:val="24"/>
        </w:rPr>
        <w:t xml:space="preserve">Emergence of Wetland </w:t>
      </w:r>
      <w:proofErr w:type="spellStart"/>
      <w:r>
        <w:rPr>
          <w:rFonts w:ascii="Times New Roman" w:hAnsi="Times New Roman"/>
          <w:b/>
          <w:sz w:val="24"/>
          <w:szCs w:val="24"/>
        </w:rPr>
        <w:t>Neighbourhoods</w:t>
      </w:r>
      <w:proofErr w:type="spellEnd"/>
      <w:r>
        <w:rPr>
          <w:rFonts w:ascii="Times New Roman" w:hAnsi="Times New Roman"/>
          <w:b/>
          <w:sz w:val="24"/>
          <w:szCs w:val="24"/>
        </w:rPr>
        <w:t xml:space="preserve"> in Port Harcourt and the Challenge to the Urban Planner</w:t>
      </w:r>
    </w:p>
    <w:p w14:paraId="47E0DB57" w14:textId="76EC1094" w:rsidR="00FB5556" w:rsidRDefault="00FB5556">
      <w:pPr>
        <w:pStyle w:val="NoSpacing"/>
        <w:jc w:val="both"/>
        <w:rPr>
          <w:rFonts w:ascii="Times New Roman" w:hAnsi="Times New Roman"/>
          <w:sz w:val="24"/>
          <w:szCs w:val="24"/>
        </w:rPr>
      </w:pPr>
    </w:p>
    <w:p w14:paraId="5944F979" w14:textId="77777777" w:rsidR="004814BD" w:rsidRDefault="004814BD">
      <w:pPr>
        <w:pStyle w:val="NoSpacing"/>
        <w:jc w:val="both"/>
        <w:rPr>
          <w:rFonts w:ascii="Times New Roman" w:hAnsi="Times New Roman"/>
          <w:sz w:val="24"/>
          <w:szCs w:val="24"/>
        </w:rPr>
      </w:pPr>
      <w:bookmarkStart w:id="0" w:name="_GoBack"/>
      <w:bookmarkEnd w:id="0"/>
    </w:p>
    <w:p w14:paraId="184B699B" w14:textId="77777777" w:rsidR="00FB5556" w:rsidRDefault="00F85F1C">
      <w:pPr>
        <w:spacing w:after="0" w:line="240" w:lineRule="auto"/>
        <w:jc w:val="both"/>
        <w:rPr>
          <w:rFonts w:ascii="Times New Roman" w:hAnsi="Times New Roman"/>
          <w:b/>
          <w:sz w:val="24"/>
          <w:szCs w:val="24"/>
        </w:rPr>
      </w:pPr>
      <w:r>
        <w:rPr>
          <w:rFonts w:ascii="Times New Roman" w:hAnsi="Times New Roman"/>
          <w:b/>
          <w:sz w:val="24"/>
          <w:szCs w:val="24"/>
        </w:rPr>
        <w:t>Abstract</w:t>
      </w:r>
    </w:p>
    <w:p w14:paraId="201F2BD0"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This study investigates the emergence and expansion of wetland neighbourhoods in Port Harcourt, examining their spatial dynamics, underlying drivers, and implications for urban planning. Rapid urb</w:t>
      </w:r>
      <w:r>
        <w:rPr>
          <w:rFonts w:ascii="Times New Roman" w:eastAsia="Times New Roman" w:hAnsi="Times New Roman"/>
          <w:sz w:val="24"/>
          <w:szCs w:val="24"/>
          <w:lang w:val="en-GB" w:eastAsia="en-GB"/>
        </w:rPr>
        <w:t>anization, rising land values, and increasing housing costs in the formal city have driven development into environmentally sensitive wetland areas. Using a mixed-method approach, primary data were collected through 131 structured questionnaires administer</w:t>
      </w:r>
      <w:r>
        <w:rPr>
          <w:rFonts w:ascii="Times New Roman" w:eastAsia="Times New Roman" w:hAnsi="Times New Roman"/>
          <w:sz w:val="24"/>
          <w:szCs w:val="24"/>
          <w:lang w:val="en-GB" w:eastAsia="en-GB"/>
        </w:rPr>
        <w:t>ed across six selected neighbourhoods, supported by field observations and secondary data. Findings reveal that wetland neighbourhoods are not solely occupied by low-income groups but increasingly attract middle-income residents seeking affordable alternat</w:t>
      </w:r>
      <w:r>
        <w:rPr>
          <w:rFonts w:ascii="Times New Roman" w:eastAsia="Times New Roman" w:hAnsi="Times New Roman"/>
          <w:sz w:val="24"/>
          <w:szCs w:val="24"/>
          <w:lang w:val="en-GB" w:eastAsia="en-GB"/>
        </w:rPr>
        <w:t>ives. However, their development is largely unregulated, with limited adherence to planning standards related to land-use compatibility, infrastructure provision, and environmental management. The absence of a coherent policy framework and effective develo</w:t>
      </w:r>
      <w:r>
        <w:rPr>
          <w:rFonts w:ascii="Times New Roman" w:eastAsia="Times New Roman" w:hAnsi="Times New Roman"/>
          <w:sz w:val="24"/>
          <w:szCs w:val="24"/>
          <w:lang w:val="en-GB" w:eastAsia="en-GB"/>
        </w:rPr>
        <w:t xml:space="preserve">pment control mechanisms has resulted in poorly structured settlements, increased flood vulnerability, and broader urban management challenges. The study argues that wetland urbanization in Port Harcourt reflects systemic failures in housing provision and </w:t>
      </w:r>
      <w:r>
        <w:rPr>
          <w:rFonts w:ascii="Times New Roman" w:eastAsia="Times New Roman" w:hAnsi="Times New Roman"/>
          <w:sz w:val="24"/>
          <w:szCs w:val="24"/>
          <w:lang w:val="en-GB" w:eastAsia="en-GB"/>
        </w:rPr>
        <w:t>land-use governance. It recommends the formulation of wetland-specific planning policies, strengthened development control, and the integration of geospatial technologies to guide sustainable urban growth.</w:t>
      </w:r>
    </w:p>
    <w:p w14:paraId="66E08F7F" w14:textId="77777777" w:rsidR="00FB5556" w:rsidRDefault="00FB5556">
      <w:pPr>
        <w:spacing w:after="0" w:line="240" w:lineRule="auto"/>
        <w:jc w:val="both"/>
        <w:rPr>
          <w:rFonts w:ascii="Times New Roman" w:eastAsia="Times New Roman" w:hAnsi="Times New Roman"/>
          <w:b/>
          <w:bCs/>
          <w:sz w:val="24"/>
          <w:szCs w:val="24"/>
          <w:lang w:val="en-GB" w:eastAsia="en-GB"/>
        </w:rPr>
      </w:pPr>
    </w:p>
    <w:p w14:paraId="4FEDD92C"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Keywords:</w:t>
      </w:r>
      <w:r>
        <w:rPr>
          <w:rFonts w:ascii="Times New Roman" w:eastAsia="Times New Roman" w:hAnsi="Times New Roman"/>
          <w:sz w:val="24"/>
          <w:szCs w:val="24"/>
          <w:lang w:val="en-GB" w:eastAsia="en-GB"/>
        </w:rPr>
        <w:t xml:space="preserve"> Wetland urbanization, Informal developm</w:t>
      </w:r>
      <w:r>
        <w:rPr>
          <w:rFonts w:ascii="Times New Roman" w:eastAsia="Times New Roman" w:hAnsi="Times New Roman"/>
          <w:sz w:val="24"/>
          <w:szCs w:val="24"/>
          <w:lang w:val="en-GB" w:eastAsia="en-GB"/>
        </w:rPr>
        <w:t xml:space="preserve">ent, Land-use planning, Housing, </w:t>
      </w:r>
    </w:p>
    <w:p w14:paraId="72B1453F"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Port Harcourt, Spatial growth</w:t>
      </w:r>
    </w:p>
    <w:p w14:paraId="15BA810B" w14:textId="77777777" w:rsidR="00FB5556" w:rsidRDefault="00FB5556">
      <w:pPr>
        <w:jc w:val="both"/>
        <w:rPr>
          <w:rFonts w:ascii="Times New Roman" w:hAnsi="Times New Roman"/>
          <w:sz w:val="24"/>
          <w:szCs w:val="24"/>
        </w:rPr>
      </w:pPr>
    </w:p>
    <w:p w14:paraId="2EF53FEA" w14:textId="77777777" w:rsidR="00FB5556" w:rsidRDefault="00F85F1C">
      <w:pPr>
        <w:pStyle w:val="Heading1"/>
        <w:spacing w:beforeAutospacing="0" w:afterAutospacing="0"/>
        <w:jc w:val="both"/>
        <w:rPr>
          <w:rFonts w:ascii="Times New Roman" w:eastAsia="Times New Roman" w:hAnsi="Times New Roman" w:hint="default"/>
          <w:sz w:val="24"/>
          <w:szCs w:val="24"/>
          <w:lang w:val="en-GB" w:eastAsia="en-GB"/>
        </w:rPr>
      </w:pPr>
      <w:r>
        <w:rPr>
          <w:rStyle w:val="Strong"/>
          <w:rFonts w:ascii="Times New Roman" w:hAnsi="Times New Roman" w:hint="default"/>
          <w:b/>
          <w:bCs/>
          <w:sz w:val="24"/>
          <w:szCs w:val="24"/>
        </w:rPr>
        <w:t>1. Introduction</w:t>
      </w:r>
    </w:p>
    <w:p w14:paraId="11A1C156"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expansion of land-use activities across the globe has significantly altered wetland ecosystems, particularly in developing countries where regulatory control is often </w:t>
      </w:r>
      <w:r>
        <w:rPr>
          <w:rFonts w:ascii="Times New Roman" w:hAnsi="Times New Roman"/>
        </w:rPr>
        <w:t>weak. These transformations have resulted in the degradation and, in many cases, the complete loss of natural wetland systems (Ajibola et al., 2012). Rapid urban population growth and the increasing demand for residential and commercial land uses have been</w:t>
      </w:r>
      <w:r>
        <w:rPr>
          <w:rFonts w:ascii="Times New Roman" w:hAnsi="Times New Roman"/>
        </w:rPr>
        <w:t xml:space="preserve"> identified as major drivers of pressure on urban wetlands (</w:t>
      </w:r>
      <w:proofErr w:type="spellStart"/>
      <w:r>
        <w:rPr>
          <w:rFonts w:ascii="Times New Roman" w:hAnsi="Times New Roman"/>
        </w:rPr>
        <w:t>Azous</w:t>
      </w:r>
      <w:proofErr w:type="spellEnd"/>
      <w:r>
        <w:rPr>
          <w:rFonts w:ascii="Times New Roman" w:hAnsi="Times New Roman"/>
        </w:rPr>
        <w:t xml:space="preserve"> &amp; Horner, 2000).</w:t>
      </w:r>
    </w:p>
    <w:p w14:paraId="0582C51B" w14:textId="77777777" w:rsidR="00FB5556" w:rsidRDefault="00F85F1C">
      <w:pPr>
        <w:pStyle w:val="NormalWeb"/>
        <w:spacing w:beforeAutospacing="0" w:afterAutospacing="0"/>
        <w:jc w:val="both"/>
        <w:rPr>
          <w:rFonts w:ascii="Times New Roman" w:hAnsi="Times New Roman"/>
        </w:rPr>
      </w:pPr>
      <w:r>
        <w:rPr>
          <w:rFonts w:ascii="Times New Roman" w:hAnsi="Times New Roman"/>
        </w:rPr>
        <w:t>Historically, wetlands in deltaic regions of Nigeria were utilized primarily for fishing, water supply, and infrastructure development such as bridges and roads. However, th</w:t>
      </w:r>
      <w:r>
        <w:rPr>
          <w:rFonts w:ascii="Times New Roman" w:hAnsi="Times New Roman"/>
        </w:rPr>
        <w:t>ese activities have increasingly disrupted the ecological functions of wetlands. Wetlands provide critical ecosystem services, including water storage, flood regulation, purification, and pollution control, as well as habitat for diverse plant and animal s</w:t>
      </w:r>
      <w:r>
        <w:rPr>
          <w:rFonts w:ascii="Times New Roman" w:hAnsi="Times New Roman"/>
        </w:rPr>
        <w:t>pecies (Zedler &amp; Kercher, 2005; Faulkner, 2004). The alteration of these natural systems not only undermines ecological balance but also reduces the long-term benefits derived by urban populations. Consequently, scholars and planning professionals have con</w:t>
      </w:r>
      <w:r>
        <w:rPr>
          <w:rFonts w:ascii="Times New Roman" w:hAnsi="Times New Roman"/>
        </w:rPr>
        <w:t>sistently advocated for the protection and sustainable management of wetlands (Davidson et al., 2019). Despite these calls, wetland degradation has continued to accelerate, largely driven by rapid urban expansion in developing regions.</w:t>
      </w:r>
    </w:p>
    <w:p w14:paraId="04D04D84" w14:textId="77777777" w:rsidR="00FB5556" w:rsidRDefault="00F85F1C">
      <w:pPr>
        <w:pStyle w:val="NormalWeb"/>
        <w:spacing w:beforeAutospacing="0" w:afterAutospacing="0"/>
        <w:jc w:val="both"/>
        <w:rPr>
          <w:rFonts w:ascii="Times New Roman" w:hAnsi="Times New Roman"/>
        </w:rPr>
      </w:pPr>
      <w:r>
        <w:rPr>
          <w:rStyle w:val="whitespace-normal"/>
          <w:rFonts w:ascii="Times New Roman" w:hAnsi="Times New Roman"/>
        </w:rPr>
        <w:lastRenderedPageBreak/>
        <w:t>Port Harcourt</w:t>
      </w:r>
      <w:r>
        <w:rPr>
          <w:rFonts w:ascii="Times New Roman" w:hAnsi="Times New Roman"/>
        </w:rPr>
        <w:t>, a rap</w:t>
      </w:r>
      <w:r>
        <w:rPr>
          <w:rFonts w:ascii="Times New Roman" w:hAnsi="Times New Roman"/>
        </w:rPr>
        <w:t xml:space="preserve">idly growing urban </w:t>
      </w:r>
      <w:proofErr w:type="spellStart"/>
      <w:r>
        <w:rPr>
          <w:rFonts w:ascii="Times New Roman" w:hAnsi="Times New Roman"/>
        </w:rPr>
        <w:t>centre</w:t>
      </w:r>
      <w:proofErr w:type="spellEnd"/>
      <w:r>
        <w:rPr>
          <w:rFonts w:ascii="Times New Roman" w:hAnsi="Times New Roman"/>
        </w:rPr>
        <w:t xml:space="preserve"> in the Niger Delta, is characterized by extensive wetland ecosystems and limited arable land suitable for development. Since its establishment in 1913, the city has experienced rapid population growth and economic expansion. By th</w:t>
      </w:r>
      <w:r>
        <w:rPr>
          <w:rFonts w:ascii="Times New Roman" w:hAnsi="Times New Roman"/>
        </w:rPr>
        <w:t>e late 1970s, available dry land within the city had largely been exhausted by residential and commercial uses (Kio-Lawson, 2014). This development was influenced by the city’s strategic role in Nigeria’s economic structure, particularly as a hub for oil a</w:t>
      </w:r>
      <w:r>
        <w:rPr>
          <w:rFonts w:ascii="Times New Roman" w:hAnsi="Times New Roman"/>
        </w:rPr>
        <w:t>nd commercial activities.</w:t>
      </w:r>
    </w:p>
    <w:p w14:paraId="463A76FA" w14:textId="77777777" w:rsidR="00FB5556" w:rsidRDefault="00F85F1C">
      <w:pPr>
        <w:pStyle w:val="NormalWeb"/>
        <w:spacing w:beforeAutospacing="0" w:afterAutospacing="0"/>
        <w:jc w:val="both"/>
        <w:rPr>
          <w:rFonts w:ascii="Times New Roman" w:hAnsi="Times New Roman"/>
        </w:rPr>
      </w:pPr>
      <w:r>
        <w:rPr>
          <w:rFonts w:ascii="Times New Roman" w:hAnsi="Times New Roman"/>
        </w:rPr>
        <w:t>Initial pressure on wetlands in Port Harcourt was driven by the need to exploit natural resources and support the growing urban population. However, the emergence of a severe housing shortage in the late 1970s redirected attention</w:t>
      </w:r>
      <w:r>
        <w:rPr>
          <w:rFonts w:ascii="Times New Roman" w:hAnsi="Times New Roman"/>
        </w:rPr>
        <w:t xml:space="preserve"> toward wetlands as alternative spaces for residential development. Low-income populations, unable to afford housing in the inner city, began to occupy these marginal lands, leading to the development of informal “waterside settlements” characterized by po</w:t>
      </w:r>
      <w:r>
        <w:rPr>
          <w:rFonts w:ascii="Times New Roman" w:hAnsi="Times New Roman"/>
        </w:rPr>
        <w:t>or infrastructure, high density, and environmental degradation (Kio-Lawson, 2013; 2015).</w:t>
      </w:r>
    </w:p>
    <w:p w14:paraId="4BF32D3C" w14:textId="77777777" w:rsidR="00FB5556" w:rsidRDefault="00F85F1C">
      <w:pPr>
        <w:pStyle w:val="NormalWeb"/>
        <w:spacing w:beforeAutospacing="0" w:afterAutospacing="0"/>
        <w:jc w:val="both"/>
        <w:rPr>
          <w:rFonts w:ascii="Times New Roman" w:hAnsi="Times New Roman"/>
        </w:rPr>
      </w:pPr>
      <w:r>
        <w:rPr>
          <w:rFonts w:ascii="Times New Roman" w:hAnsi="Times New Roman"/>
        </w:rPr>
        <w:t>Over time, the dynamics of wetland occupation have evolved. While early settlements were predominantly informal and associated with the urban poor, recent developments</w:t>
      </w:r>
      <w:r>
        <w:rPr>
          <w:rFonts w:ascii="Times New Roman" w:hAnsi="Times New Roman"/>
        </w:rPr>
        <w:t xml:space="preserve"> indicate the emergence of more organized residential </w:t>
      </w:r>
      <w:proofErr w:type="spellStart"/>
      <w:r>
        <w:rPr>
          <w:rFonts w:ascii="Times New Roman" w:hAnsi="Times New Roman"/>
        </w:rPr>
        <w:t>neighbourhoods</w:t>
      </w:r>
      <w:proofErr w:type="spellEnd"/>
      <w:r>
        <w:rPr>
          <w:rFonts w:ascii="Times New Roman" w:hAnsi="Times New Roman"/>
        </w:rPr>
        <w:t xml:space="preserve"> exhibiting elements of modern infrastructure and construction. These newer settlements differ significantly from traditional squatter communities and increasingly attract low- and middle-</w:t>
      </w:r>
      <w:r>
        <w:rPr>
          <w:rFonts w:ascii="Times New Roman" w:hAnsi="Times New Roman"/>
        </w:rPr>
        <w:t>income groups seeking affordable housing alternatives. The relatively lower cost of land and rent in wetland areas has made them attractive options for urban residents who are priced out of the formal housing market.</w:t>
      </w:r>
    </w:p>
    <w:p w14:paraId="4B1B3D86" w14:textId="77777777" w:rsidR="00FB5556" w:rsidRDefault="00F85F1C">
      <w:pPr>
        <w:pStyle w:val="NormalWeb"/>
        <w:spacing w:beforeAutospacing="0" w:afterAutospacing="0"/>
        <w:jc w:val="both"/>
        <w:rPr>
          <w:rStyle w:val="Strong"/>
          <w:rFonts w:ascii="Times New Roman" w:hAnsi="Times New Roman"/>
          <w:b w:val="0"/>
        </w:rPr>
      </w:pPr>
      <w:r>
        <w:rPr>
          <w:rFonts w:ascii="Times New Roman" w:hAnsi="Times New Roman"/>
        </w:rPr>
        <w:t xml:space="preserve">Although the development of wetland </w:t>
      </w:r>
      <w:proofErr w:type="spellStart"/>
      <w:r>
        <w:rPr>
          <w:rFonts w:ascii="Times New Roman" w:hAnsi="Times New Roman"/>
        </w:rPr>
        <w:t>neighbourhoods</w:t>
      </w:r>
      <w:proofErr w:type="spellEnd"/>
      <w:r>
        <w:rPr>
          <w:rFonts w:ascii="Times New Roman" w:hAnsi="Times New Roman"/>
        </w:rPr>
        <w:t xml:space="preserve"> has contributed to alleviating housing pressure in the inner city, it has also introduced significant planning and environmental challenges. These include poor land-use organization, inadequate infrastructure, increased flood risk, and weak </w:t>
      </w:r>
      <w:r>
        <w:rPr>
          <w:rFonts w:ascii="Times New Roman" w:hAnsi="Times New Roman"/>
        </w:rPr>
        <w:t xml:space="preserve">compliance with planning standards. The rapid and largely uncontrolled expansion of these </w:t>
      </w:r>
      <w:proofErr w:type="spellStart"/>
      <w:r>
        <w:rPr>
          <w:rFonts w:ascii="Times New Roman" w:hAnsi="Times New Roman"/>
        </w:rPr>
        <w:t>neighbourhoods</w:t>
      </w:r>
      <w:proofErr w:type="spellEnd"/>
      <w:r>
        <w:rPr>
          <w:rFonts w:ascii="Times New Roman" w:hAnsi="Times New Roman"/>
        </w:rPr>
        <w:t xml:space="preserve"> raises critical questions for urban planning and management: </w:t>
      </w:r>
      <w:r>
        <w:rPr>
          <w:rStyle w:val="Strong"/>
          <w:rFonts w:ascii="Times New Roman" w:hAnsi="Times New Roman"/>
          <w:b w:val="0"/>
        </w:rPr>
        <w:t>what are the implications of wetland urbanization for sustainable city development, and ho</w:t>
      </w:r>
      <w:r>
        <w:rPr>
          <w:rStyle w:val="Strong"/>
          <w:rFonts w:ascii="Times New Roman" w:hAnsi="Times New Roman"/>
          <w:b w:val="0"/>
        </w:rPr>
        <w:t>w can these challenges be effectively addressed?</w:t>
      </w:r>
    </w:p>
    <w:p w14:paraId="6F1418A4" w14:textId="77777777" w:rsidR="00FB5556" w:rsidRDefault="00FB5556">
      <w:pPr>
        <w:pStyle w:val="Heading1"/>
        <w:spacing w:beforeAutospacing="0" w:afterAutospacing="0"/>
        <w:jc w:val="both"/>
        <w:rPr>
          <w:rStyle w:val="Strong"/>
          <w:rFonts w:ascii="Times New Roman" w:hAnsi="Times New Roman" w:hint="default"/>
          <w:bCs/>
          <w:sz w:val="24"/>
          <w:szCs w:val="24"/>
        </w:rPr>
      </w:pPr>
    </w:p>
    <w:p w14:paraId="7102390C" w14:textId="77777777" w:rsidR="00FB5556" w:rsidRDefault="00F85F1C">
      <w:pPr>
        <w:pStyle w:val="Heading1"/>
        <w:spacing w:beforeAutospacing="0" w:afterAutospacing="0"/>
        <w:jc w:val="both"/>
        <w:rPr>
          <w:rFonts w:ascii="Times New Roman" w:eastAsia="Times New Roman" w:hAnsi="Times New Roman" w:hint="default"/>
          <w:b w:val="0"/>
          <w:sz w:val="24"/>
          <w:szCs w:val="24"/>
          <w:lang w:val="en-GB" w:eastAsia="en-GB"/>
        </w:rPr>
      </w:pPr>
      <w:r>
        <w:rPr>
          <w:rStyle w:val="Strong"/>
          <w:rFonts w:ascii="Times New Roman" w:hAnsi="Times New Roman" w:hint="default"/>
          <w:b/>
          <w:bCs/>
          <w:sz w:val="24"/>
          <w:szCs w:val="24"/>
        </w:rPr>
        <w:t>2. Statement of the Problem</w:t>
      </w:r>
    </w:p>
    <w:p w14:paraId="7D5369BB"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Housing shortage remains one of the most persistent and pressing challenges confronting </w:t>
      </w:r>
      <w:r>
        <w:rPr>
          <w:rStyle w:val="whitespace-normal"/>
          <w:rFonts w:ascii="Times New Roman" w:hAnsi="Times New Roman"/>
        </w:rPr>
        <w:t>Port Harcourt</w:t>
      </w:r>
      <w:r>
        <w:rPr>
          <w:rFonts w:ascii="Times New Roman" w:hAnsi="Times New Roman"/>
        </w:rPr>
        <w:t xml:space="preserve"> (Kio-Lawson, 2015). The situation has reached critical levels due to the ver</w:t>
      </w:r>
      <w:r>
        <w:rPr>
          <w:rFonts w:ascii="Times New Roman" w:hAnsi="Times New Roman"/>
        </w:rPr>
        <w:t>y low scale of public housing provision, thereby leaving housing delivery largely in the hands of the private sector. This, combined with the limited availability of arable land suitable for physical development, has significantly shifted development press</w:t>
      </w:r>
      <w:r>
        <w:rPr>
          <w:rFonts w:ascii="Times New Roman" w:hAnsi="Times New Roman"/>
        </w:rPr>
        <w:t>ure toward the wetlands surrounding the city.</w:t>
      </w:r>
    </w:p>
    <w:p w14:paraId="040C2C30" w14:textId="77777777" w:rsidR="00FB5556" w:rsidRDefault="00F85F1C">
      <w:pPr>
        <w:pStyle w:val="NormalWeb"/>
        <w:spacing w:beforeAutospacing="0" w:afterAutospacing="0"/>
        <w:jc w:val="both"/>
        <w:rPr>
          <w:rFonts w:ascii="Times New Roman" w:hAnsi="Times New Roman"/>
        </w:rPr>
      </w:pPr>
      <w:r>
        <w:rPr>
          <w:rFonts w:ascii="Times New Roman" w:hAnsi="Times New Roman"/>
        </w:rPr>
        <w:t>The initial encroachment into these wetlands was driven by low-income populations who, unable to afford accommodation in the inner residential areas, sought alternative shelter in these marginal environments. S</w:t>
      </w:r>
      <w:r>
        <w:rPr>
          <w:rFonts w:ascii="Times New Roman" w:hAnsi="Times New Roman"/>
        </w:rPr>
        <w:t>tudies indicate that these early settlers were predominantly urban poor, lacking the financial capacity to compete within the formal housing market (Kio-Lawson, 2015). The absence of effective government control and planning intervention allowed such settl</w:t>
      </w:r>
      <w:r>
        <w:rPr>
          <w:rFonts w:ascii="Times New Roman" w:hAnsi="Times New Roman"/>
        </w:rPr>
        <w:t>ements to develop in an unregulated manner, resulting in numerous social and environmental challenges.</w:t>
      </w:r>
    </w:p>
    <w:p w14:paraId="6207EDA6"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In recent times, however, a new dimension of the problem has emerged—the rapid growth of semi-organized wetland </w:t>
      </w:r>
      <w:proofErr w:type="spellStart"/>
      <w:r>
        <w:rPr>
          <w:rFonts w:ascii="Times New Roman" w:hAnsi="Times New Roman"/>
        </w:rPr>
        <w:t>neighbourhoods</w:t>
      </w:r>
      <w:proofErr w:type="spellEnd"/>
      <w:r>
        <w:rPr>
          <w:rFonts w:ascii="Times New Roman" w:hAnsi="Times New Roman"/>
        </w:rPr>
        <w:t>. Unlike earlier squatter s</w:t>
      </w:r>
      <w:r>
        <w:rPr>
          <w:rFonts w:ascii="Times New Roman" w:hAnsi="Times New Roman"/>
        </w:rPr>
        <w:t xml:space="preserve">ettlements, these developments are increasingly characterized by more structured physical layouts and are occupied by residents who do not necessarily fall within the low-income category. Their expansion, occurring largely without </w:t>
      </w:r>
      <w:r>
        <w:rPr>
          <w:rFonts w:ascii="Times New Roman" w:hAnsi="Times New Roman"/>
        </w:rPr>
        <w:lastRenderedPageBreak/>
        <w:t>formal planning approval,</w:t>
      </w:r>
      <w:r>
        <w:rPr>
          <w:rFonts w:ascii="Times New Roman" w:hAnsi="Times New Roman"/>
        </w:rPr>
        <w:t xml:space="preserve"> monitoring, or regulatory oversight, raises serious concerns about the effectiveness of urban planning mechanisms in the city.</w:t>
      </w:r>
    </w:p>
    <w:p w14:paraId="6534ECB1"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continued proliferation of these </w:t>
      </w:r>
      <w:proofErr w:type="spellStart"/>
      <w:r>
        <w:rPr>
          <w:rFonts w:ascii="Times New Roman" w:hAnsi="Times New Roman"/>
        </w:rPr>
        <w:t>neighbourhoods</w:t>
      </w:r>
      <w:proofErr w:type="spellEnd"/>
      <w:r>
        <w:rPr>
          <w:rFonts w:ascii="Times New Roman" w:hAnsi="Times New Roman"/>
        </w:rPr>
        <w:t xml:space="preserve"> has significant implications for environmental sustainability, land-use func</w:t>
      </w:r>
      <w:r>
        <w:rPr>
          <w:rFonts w:ascii="Times New Roman" w:hAnsi="Times New Roman"/>
        </w:rPr>
        <w:t>tionality, and urban livability. Development in these areas often occurs without adherence to established planning standards, thereby compromising environmental quality and increasing vulnerability to flooding and infrastructure inefficiencies. The absence</w:t>
      </w:r>
      <w:r>
        <w:rPr>
          <w:rFonts w:ascii="Times New Roman" w:hAnsi="Times New Roman"/>
        </w:rPr>
        <w:t xml:space="preserve"> of coordinated planning and development control has left these settlements evolving in ways that may undermine long-term urban stability.</w:t>
      </w:r>
    </w:p>
    <w:p w14:paraId="3A693804"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Therefore, the core problem addressed in this study is the </w:t>
      </w:r>
      <w:r>
        <w:rPr>
          <w:rStyle w:val="Strong"/>
          <w:rFonts w:ascii="Times New Roman" w:hAnsi="Times New Roman"/>
          <w:b w:val="0"/>
        </w:rPr>
        <w:t xml:space="preserve">uncontrolled expansion of wetland </w:t>
      </w:r>
      <w:proofErr w:type="spellStart"/>
      <w:r>
        <w:rPr>
          <w:rStyle w:val="Strong"/>
          <w:rFonts w:ascii="Times New Roman" w:hAnsi="Times New Roman"/>
          <w:b w:val="0"/>
        </w:rPr>
        <w:t>neighbourhoods</w:t>
      </w:r>
      <w:proofErr w:type="spellEnd"/>
      <w:r>
        <w:rPr>
          <w:rStyle w:val="Strong"/>
          <w:rFonts w:ascii="Times New Roman" w:hAnsi="Times New Roman"/>
          <w:b w:val="0"/>
        </w:rPr>
        <w:t xml:space="preserve"> in Port H</w:t>
      </w:r>
      <w:r>
        <w:rPr>
          <w:rStyle w:val="Strong"/>
          <w:rFonts w:ascii="Times New Roman" w:hAnsi="Times New Roman"/>
          <w:b w:val="0"/>
        </w:rPr>
        <w:t>arcourt and its implications for sustainable urban development</w:t>
      </w:r>
      <w:r>
        <w:rPr>
          <w:rFonts w:ascii="Times New Roman" w:hAnsi="Times New Roman"/>
          <w:b/>
        </w:rPr>
        <w:t>.</w:t>
      </w:r>
      <w:r>
        <w:rPr>
          <w:rFonts w:ascii="Times New Roman" w:hAnsi="Times New Roman"/>
        </w:rPr>
        <w:t xml:space="preserve"> The consequences of such unregulated growth extend beyond the immediate need for housing, posing broader risks to environmental integrity, urban functionality, and the overall quality of life </w:t>
      </w:r>
      <w:r>
        <w:rPr>
          <w:rFonts w:ascii="Times New Roman" w:hAnsi="Times New Roman"/>
        </w:rPr>
        <w:t>within the city.</w:t>
      </w:r>
    </w:p>
    <w:p w14:paraId="7196B2A3" w14:textId="77777777" w:rsidR="00FB5556" w:rsidRDefault="00FB5556">
      <w:pPr>
        <w:pStyle w:val="Heading1"/>
        <w:spacing w:beforeAutospacing="0" w:afterAutospacing="0"/>
        <w:jc w:val="both"/>
        <w:rPr>
          <w:rStyle w:val="Strong"/>
          <w:rFonts w:ascii="Times New Roman" w:hAnsi="Times New Roman" w:hint="default"/>
          <w:bCs/>
          <w:sz w:val="24"/>
          <w:szCs w:val="24"/>
        </w:rPr>
      </w:pPr>
    </w:p>
    <w:p w14:paraId="3D501877" w14:textId="77777777" w:rsidR="00FB5556" w:rsidRDefault="00F85F1C">
      <w:pPr>
        <w:pStyle w:val="Heading1"/>
        <w:spacing w:beforeAutospacing="0" w:afterAutospacing="0"/>
        <w:jc w:val="both"/>
        <w:rPr>
          <w:rFonts w:ascii="Times New Roman" w:hAnsi="Times New Roman" w:hint="default"/>
          <w:b w:val="0"/>
          <w:sz w:val="24"/>
          <w:szCs w:val="24"/>
        </w:rPr>
      </w:pPr>
      <w:r>
        <w:rPr>
          <w:rStyle w:val="Strong"/>
          <w:rFonts w:ascii="Times New Roman" w:hAnsi="Times New Roman" w:hint="default"/>
          <w:b/>
          <w:bCs/>
          <w:sz w:val="24"/>
          <w:szCs w:val="24"/>
        </w:rPr>
        <w:t>3. Literature Review</w:t>
      </w:r>
    </w:p>
    <w:p w14:paraId="44C773CF"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Urban wetland transformation has emerged as a critical concern in rapidly urbanizing regions, particularly within developing countries where institutional capacity for land-use regulation is often weak or fragmented. </w:t>
      </w:r>
      <w:r>
        <w:rPr>
          <w:rFonts w:ascii="Times New Roman" w:hAnsi="Times New Roman"/>
        </w:rPr>
        <w:t>A growing body of literature indicates that wetlands are increasingly being converted into residential, commercial, and infrastructural uses as a result of rapid population growth, housing deficits, and escalating urban land values (Zedler &amp; Kercher, 2005;</w:t>
      </w:r>
      <w:r>
        <w:rPr>
          <w:rFonts w:ascii="Times New Roman" w:hAnsi="Times New Roman"/>
        </w:rPr>
        <w:t xml:space="preserve"> Davidson et al., 2019; Seto et al., 2012). These transformations not only alter the ecological integrity of wetlands but also reshape urban spatial structures in ways that introduce new environmental and planning challenges.</w:t>
      </w:r>
    </w:p>
    <w:p w14:paraId="32B2993A" w14:textId="77777777" w:rsidR="00FB5556" w:rsidRDefault="00F85F1C">
      <w:pPr>
        <w:pStyle w:val="NormalWeb"/>
        <w:spacing w:beforeAutospacing="0" w:afterAutospacing="0"/>
        <w:jc w:val="both"/>
        <w:rPr>
          <w:rFonts w:ascii="Times New Roman" w:hAnsi="Times New Roman"/>
        </w:rPr>
      </w:pPr>
      <w:r>
        <w:rPr>
          <w:rFonts w:ascii="Times New Roman" w:hAnsi="Times New Roman"/>
        </w:rPr>
        <w:t>In many cities across Africa a</w:t>
      </w:r>
      <w:r>
        <w:rPr>
          <w:rFonts w:ascii="Times New Roman" w:hAnsi="Times New Roman"/>
        </w:rPr>
        <w:t>nd the Global South, urban expansion has extended into ecologically sensitive zones such as wetlands, floodplains, and coastal areas. This pattern of development is closely linked to affordability constraints and the need for proximity to economic opportun</w:t>
      </w:r>
      <w:r>
        <w:rPr>
          <w:rFonts w:ascii="Times New Roman" w:hAnsi="Times New Roman"/>
        </w:rPr>
        <w:t>ities, particularly among low- and middle-income populations (UN-Habitat, 2020; Douglas et al., 2008). As formal housing markets fail to meet demand, households and small-scale developers increasingly occupy marginal lands that are more accessible but envi</w:t>
      </w:r>
      <w:r>
        <w:rPr>
          <w:rFonts w:ascii="Times New Roman" w:hAnsi="Times New Roman"/>
        </w:rPr>
        <w:t>ronmentally vulnerable. Empirical evidence from coastal African cities further demonstrates that such settlements are often exposed to recurrent flooding, inadequate infrastructure, and heightened environmental risks (Adelekan, 2010).</w:t>
      </w:r>
    </w:p>
    <w:p w14:paraId="08AD156C" w14:textId="77777777" w:rsidR="00FB5556" w:rsidRDefault="00F85F1C">
      <w:pPr>
        <w:pStyle w:val="NormalWeb"/>
        <w:spacing w:beforeAutospacing="0" w:afterAutospacing="0"/>
        <w:jc w:val="both"/>
        <w:rPr>
          <w:rFonts w:ascii="Times New Roman" w:hAnsi="Times New Roman"/>
        </w:rPr>
      </w:pPr>
      <w:r>
        <w:rPr>
          <w:rFonts w:ascii="Times New Roman" w:hAnsi="Times New Roman"/>
        </w:rPr>
        <w:t>Within the Nigerian c</w:t>
      </w:r>
      <w:r>
        <w:rPr>
          <w:rFonts w:ascii="Times New Roman" w:hAnsi="Times New Roman"/>
        </w:rPr>
        <w:t xml:space="preserve">ontext, the inadequacy of formal housing delivery systems has significantly contributed to the proliferation of alternative settlement forms, including waterfront communities and reclaimed wetland </w:t>
      </w:r>
      <w:proofErr w:type="spellStart"/>
      <w:r>
        <w:rPr>
          <w:rFonts w:ascii="Times New Roman" w:hAnsi="Times New Roman"/>
        </w:rPr>
        <w:t>neighbourhoods</w:t>
      </w:r>
      <w:proofErr w:type="spellEnd"/>
      <w:r>
        <w:rPr>
          <w:rFonts w:ascii="Times New Roman" w:hAnsi="Times New Roman"/>
        </w:rPr>
        <w:t xml:space="preserve">. Studies in Port Harcourt and other urban </w:t>
      </w:r>
      <w:proofErr w:type="spellStart"/>
      <w:r>
        <w:rPr>
          <w:rFonts w:ascii="Times New Roman" w:hAnsi="Times New Roman"/>
        </w:rPr>
        <w:t>ce</w:t>
      </w:r>
      <w:r>
        <w:rPr>
          <w:rFonts w:ascii="Times New Roman" w:hAnsi="Times New Roman"/>
        </w:rPr>
        <w:t>ntres</w:t>
      </w:r>
      <w:proofErr w:type="spellEnd"/>
      <w:r>
        <w:rPr>
          <w:rFonts w:ascii="Times New Roman" w:hAnsi="Times New Roman"/>
        </w:rPr>
        <w:t xml:space="preserve"> reveal that the inability of government and private sector mechanisms to provide affordable housing has compelled residents to seek accommodation in marginal spaces outside formal planning control (Kio-Lawson, 2015; </w:t>
      </w:r>
      <w:proofErr w:type="spellStart"/>
      <w:r>
        <w:rPr>
          <w:rFonts w:ascii="Times New Roman" w:hAnsi="Times New Roman"/>
        </w:rPr>
        <w:t>Olotuah</w:t>
      </w:r>
      <w:proofErr w:type="spellEnd"/>
      <w:r>
        <w:rPr>
          <w:rFonts w:ascii="Times New Roman" w:hAnsi="Times New Roman"/>
        </w:rPr>
        <w:t xml:space="preserve"> &amp; </w:t>
      </w:r>
      <w:proofErr w:type="spellStart"/>
      <w:r>
        <w:rPr>
          <w:rFonts w:ascii="Times New Roman" w:hAnsi="Times New Roman"/>
        </w:rPr>
        <w:t>Adesiji</w:t>
      </w:r>
      <w:proofErr w:type="spellEnd"/>
      <w:r>
        <w:rPr>
          <w:rFonts w:ascii="Times New Roman" w:hAnsi="Times New Roman"/>
        </w:rPr>
        <w:t>, 2005). While ea</w:t>
      </w:r>
      <w:r>
        <w:rPr>
          <w:rFonts w:ascii="Times New Roman" w:hAnsi="Times New Roman"/>
        </w:rPr>
        <w:t xml:space="preserve">rlier research predominantly characterized these areas as squatter settlements marked by poor housing quality and infrastructural deficits, emerging evidence points to a transition toward semi-formal wetland </w:t>
      </w:r>
      <w:proofErr w:type="spellStart"/>
      <w:r>
        <w:rPr>
          <w:rFonts w:ascii="Times New Roman" w:hAnsi="Times New Roman"/>
        </w:rPr>
        <w:t>neighbourhoods</w:t>
      </w:r>
      <w:proofErr w:type="spellEnd"/>
      <w:r>
        <w:rPr>
          <w:rFonts w:ascii="Times New Roman" w:hAnsi="Times New Roman"/>
        </w:rPr>
        <w:t xml:space="preserve"> occupied by relatively stable, in</w:t>
      </w:r>
      <w:r>
        <w:rPr>
          <w:rFonts w:ascii="Times New Roman" w:hAnsi="Times New Roman"/>
        </w:rPr>
        <w:t>come-earning populations. This shift reflects evolving dynamics in urban land markets and housing accessibility.</w:t>
      </w:r>
    </w:p>
    <w:p w14:paraId="731B916B" w14:textId="77777777" w:rsidR="00FB5556" w:rsidRDefault="00F85F1C">
      <w:pPr>
        <w:pStyle w:val="NormalWeb"/>
        <w:spacing w:beforeAutospacing="0" w:afterAutospacing="0"/>
        <w:jc w:val="both"/>
        <w:rPr>
          <w:rFonts w:ascii="Times New Roman" w:hAnsi="Times New Roman"/>
        </w:rPr>
      </w:pPr>
      <w:r>
        <w:rPr>
          <w:rFonts w:ascii="Times New Roman" w:hAnsi="Times New Roman"/>
        </w:rPr>
        <w:t>Environmental scholarship has consistently highlighted the ecological consequences of wetland encroachment. Wetlands perform critical ecosystem</w:t>
      </w:r>
      <w:r>
        <w:rPr>
          <w:rFonts w:ascii="Times New Roman" w:hAnsi="Times New Roman"/>
        </w:rPr>
        <w:t xml:space="preserve"> functions, including flood regulation, water purification, and biodiversity conservation (Mitsch &amp; Gosselink, 2015; MEA, 2005). Their </w:t>
      </w:r>
      <w:r>
        <w:rPr>
          <w:rFonts w:ascii="Times New Roman" w:hAnsi="Times New Roman"/>
        </w:rPr>
        <w:lastRenderedPageBreak/>
        <w:t>conversion for urban development disrupts these functions, leading to increased flood risk, loss of biodiversity, and the</w:t>
      </w:r>
      <w:r>
        <w:rPr>
          <w:rFonts w:ascii="Times New Roman" w:hAnsi="Times New Roman"/>
        </w:rPr>
        <w:t xml:space="preserve"> obstruction of natural drainage systems (Junk et al., 2013). In rapidly growing cities, these impacts are often compounded by poor planning practices and unregulated land reclamation activities, which further exacerbate environmental vulnerability.</w:t>
      </w:r>
    </w:p>
    <w:p w14:paraId="03A6B720" w14:textId="77777777" w:rsidR="00FB5556" w:rsidRDefault="00F85F1C">
      <w:pPr>
        <w:pStyle w:val="NormalWeb"/>
        <w:spacing w:beforeAutospacing="0" w:afterAutospacing="0"/>
        <w:jc w:val="both"/>
        <w:rPr>
          <w:rFonts w:ascii="Times New Roman" w:hAnsi="Times New Roman"/>
        </w:rPr>
      </w:pPr>
      <w:r>
        <w:rPr>
          <w:rFonts w:ascii="Times New Roman" w:hAnsi="Times New Roman"/>
        </w:rPr>
        <w:t>From a</w:t>
      </w:r>
      <w:r>
        <w:rPr>
          <w:rFonts w:ascii="Times New Roman" w:hAnsi="Times New Roman"/>
        </w:rPr>
        <w:t xml:space="preserve"> planning perspective, the expansion of settlements into wetlands is closely associated with deficiencies in land-use governance and development control. Weak enforcement of planning regulations, absence of up-to-date master plans, and the prevalence of in</w:t>
      </w:r>
      <w:r>
        <w:rPr>
          <w:rFonts w:ascii="Times New Roman" w:hAnsi="Times New Roman"/>
        </w:rPr>
        <w:t xml:space="preserve">formal land transactions contribute to uncoordinated and incompatible land-use patterns (Watson, 2009; de </w:t>
      </w:r>
      <w:proofErr w:type="spellStart"/>
      <w:r>
        <w:rPr>
          <w:rFonts w:ascii="Times New Roman" w:hAnsi="Times New Roman"/>
        </w:rPr>
        <w:t>Satgé</w:t>
      </w:r>
      <w:proofErr w:type="spellEnd"/>
      <w:r>
        <w:rPr>
          <w:rFonts w:ascii="Times New Roman" w:hAnsi="Times New Roman"/>
        </w:rPr>
        <w:t xml:space="preserve"> &amp; Watson, 2018). International planning frameworks emphasize the importance of integrated and enforceable spatial planning systems in managing u</w:t>
      </w:r>
      <w:r>
        <w:rPr>
          <w:rFonts w:ascii="Times New Roman" w:hAnsi="Times New Roman"/>
        </w:rPr>
        <w:t xml:space="preserve">rban growth and protecting environmentally sensitive areas (UN-Habitat, 2015, 2020). However, in many cities, including </w:t>
      </w:r>
      <w:r>
        <w:rPr>
          <w:rStyle w:val="whitespace-normal"/>
          <w:rFonts w:ascii="Times New Roman" w:hAnsi="Times New Roman"/>
        </w:rPr>
        <w:t>Port Harcourt</w:t>
      </w:r>
      <w:r>
        <w:rPr>
          <w:rFonts w:ascii="Times New Roman" w:hAnsi="Times New Roman"/>
        </w:rPr>
        <w:t>, such frameworks are either absent or inadequately implemented, resulting in fragmented urban expansion.</w:t>
      </w:r>
    </w:p>
    <w:p w14:paraId="2DCC06D7" w14:textId="77777777" w:rsidR="00FB5556" w:rsidRDefault="00F85F1C">
      <w:pPr>
        <w:pStyle w:val="NormalWeb"/>
        <w:spacing w:beforeAutospacing="0" w:afterAutospacing="0"/>
        <w:jc w:val="both"/>
        <w:rPr>
          <w:rFonts w:ascii="Times New Roman" w:hAnsi="Times New Roman"/>
        </w:rPr>
      </w:pPr>
      <w:r>
        <w:rPr>
          <w:rFonts w:ascii="Times New Roman" w:hAnsi="Times New Roman"/>
        </w:rPr>
        <w:t>Despite the growi</w:t>
      </w:r>
      <w:r>
        <w:rPr>
          <w:rFonts w:ascii="Times New Roman" w:hAnsi="Times New Roman"/>
        </w:rPr>
        <w:t xml:space="preserve">ng body of literature on wetland degradation and informal urban development, there remains a significant gap in empirical studies that integrate </w:t>
      </w:r>
      <w:r>
        <w:rPr>
          <w:rStyle w:val="Strong"/>
          <w:rFonts w:ascii="Times New Roman" w:hAnsi="Times New Roman"/>
          <w:b w:val="0"/>
        </w:rPr>
        <w:t>socio-economic drivers, spatial dynamics, and planning implications</w:t>
      </w:r>
      <w:r>
        <w:rPr>
          <w:rFonts w:ascii="Times New Roman" w:hAnsi="Times New Roman"/>
        </w:rPr>
        <w:t xml:space="preserve"> of wetland urbanization within a unified an</w:t>
      </w:r>
      <w:r>
        <w:rPr>
          <w:rFonts w:ascii="Times New Roman" w:hAnsi="Times New Roman"/>
        </w:rPr>
        <w:t xml:space="preserve">alytical framework. Existing studies often examine these dimensions in isolation, thereby limiting a comprehensive understanding of the phenomenon. This study seeks to address this gap by providing an integrated analysis of wetland </w:t>
      </w:r>
      <w:proofErr w:type="spellStart"/>
      <w:r>
        <w:rPr>
          <w:rFonts w:ascii="Times New Roman" w:hAnsi="Times New Roman"/>
        </w:rPr>
        <w:t>neighbourhoods</w:t>
      </w:r>
      <w:proofErr w:type="spellEnd"/>
      <w:r>
        <w:rPr>
          <w:rFonts w:ascii="Times New Roman" w:hAnsi="Times New Roman"/>
        </w:rPr>
        <w:t xml:space="preserve"> in Port H</w:t>
      </w:r>
      <w:r>
        <w:rPr>
          <w:rFonts w:ascii="Times New Roman" w:hAnsi="Times New Roman"/>
        </w:rPr>
        <w:t>arcourt, combining socio-economic assessment with spatial and planning perspectives to inform sustainable urban development strategies.</w:t>
      </w:r>
    </w:p>
    <w:p w14:paraId="072F3323" w14:textId="77777777" w:rsidR="00FB5556" w:rsidRDefault="00FB5556">
      <w:pPr>
        <w:pStyle w:val="NormalWeb"/>
        <w:spacing w:beforeAutospacing="0" w:afterAutospacing="0"/>
        <w:jc w:val="both"/>
        <w:rPr>
          <w:rFonts w:ascii="Times New Roman" w:hAnsi="Times New Roman"/>
        </w:rPr>
      </w:pPr>
    </w:p>
    <w:p w14:paraId="38C96EB4" w14:textId="77777777" w:rsidR="00FB5556" w:rsidRDefault="00F85F1C">
      <w:pPr>
        <w:spacing w:after="0" w:line="240" w:lineRule="auto"/>
        <w:jc w:val="both"/>
        <w:outlineLvl w:val="0"/>
        <w:rPr>
          <w:rFonts w:ascii="Times New Roman" w:eastAsia="Times New Roman" w:hAnsi="Times New Roman"/>
          <w:b/>
          <w:bCs/>
          <w:kern w:val="36"/>
          <w:sz w:val="24"/>
          <w:szCs w:val="24"/>
          <w:lang w:eastAsia="en-US"/>
        </w:rPr>
      </w:pPr>
      <w:r>
        <w:rPr>
          <w:rFonts w:ascii="Times New Roman" w:eastAsia="Times New Roman" w:hAnsi="Times New Roman"/>
          <w:b/>
          <w:bCs/>
          <w:kern w:val="36"/>
          <w:sz w:val="24"/>
          <w:szCs w:val="24"/>
          <w:lang w:eastAsia="en-US" w:bidi="ar"/>
        </w:rPr>
        <w:t>4. Theoretical and Conceptual Framework</w:t>
      </w:r>
    </w:p>
    <w:p w14:paraId="22A8B095" w14:textId="77777777" w:rsidR="00FB5556" w:rsidRDefault="00F85F1C">
      <w:pPr>
        <w:spacing w:after="0"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bidi="ar"/>
        </w:rPr>
        <w:t xml:space="preserve">The emergence and expansion of wetland </w:t>
      </w:r>
      <w:proofErr w:type="spellStart"/>
      <w:r>
        <w:rPr>
          <w:rFonts w:ascii="Times New Roman" w:eastAsia="Times New Roman" w:hAnsi="Times New Roman"/>
          <w:sz w:val="24"/>
          <w:szCs w:val="24"/>
          <w:lang w:eastAsia="en-US" w:bidi="ar"/>
        </w:rPr>
        <w:t>neighbourhoods</w:t>
      </w:r>
      <w:proofErr w:type="spellEnd"/>
      <w:r>
        <w:rPr>
          <w:rFonts w:ascii="Times New Roman" w:eastAsia="Times New Roman" w:hAnsi="Times New Roman"/>
          <w:sz w:val="24"/>
          <w:szCs w:val="24"/>
          <w:lang w:eastAsia="en-US" w:bidi="ar"/>
        </w:rPr>
        <w:t xml:space="preserve"> in rapidly urbanizing cities such as Port Harcourt can be more robustly interpreted through an integrated theoretical lens that combines </w:t>
      </w:r>
      <w:r>
        <w:rPr>
          <w:rFonts w:ascii="Times New Roman" w:eastAsia="Times New Roman" w:hAnsi="Times New Roman"/>
          <w:bCs/>
          <w:sz w:val="24"/>
          <w:szCs w:val="24"/>
          <w:lang w:eastAsia="en-US" w:bidi="ar"/>
        </w:rPr>
        <w:t>urban informality, spatial justice, and land-use governance</w:t>
      </w:r>
      <w:r>
        <w:rPr>
          <w:rFonts w:ascii="Times New Roman" w:eastAsia="Times New Roman" w:hAnsi="Times New Roman"/>
          <w:sz w:val="24"/>
          <w:szCs w:val="24"/>
          <w:lang w:eastAsia="en-US" w:bidi="ar"/>
        </w:rPr>
        <w:t xml:space="preserve"> frameworks. These perspectives collectively explain how st</w:t>
      </w:r>
      <w:r>
        <w:rPr>
          <w:rFonts w:ascii="Times New Roman" w:eastAsia="Times New Roman" w:hAnsi="Times New Roman"/>
          <w:sz w:val="24"/>
          <w:szCs w:val="24"/>
          <w:lang w:eastAsia="en-US" w:bidi="ar"/>
        </w:rPr>
        <w:t>ructural urban dynamics, institutional limitations, and socio-economic inequalities shape settlement patterns in environmentally sensitive areas.</w:t>
      </w:r>
    </w:p>
    <w:p w14:paraId="3C8AF8A7" w14:textId="77777777" w:rsidR="00FB5556" w:rsidRDefault="00F85F1C">
      <w:pPr>
        <w:spacing w:after="0"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bidi="ar"/>
        </w:rPr>
        <w:t xml:space="preserve">Contemporary scholarship on </w:t>
      </w:r>
      <w:r>
        <w:rPr>
          <w:rFonts w:ascii="Times New Roman" w:eastAsia="Times New Roman" w:hAnsi="Times New Roman"/>
          <w:bCs/>
          <w:sz w:val="24"/>
          <w:szCs w:val="24"/>
          <w:lang w:eastAsia="en-US" w:bidi="ar"/>
        </w:rPr>
        <w:t>urban informality</w:t>
      </w:r>
      <w:r>
        <w:rPr>
          <w:rFonts w:ascii="Times New Roman" w:eastAsia="Times New Roman" w:hAnsi="Times New Roman"/>
          <w:sz w:val="24"/>
          <w:szCs w:val="24"/>
          <w:lang w:eastAsia="en-US" w:bidi="ar"/>
        </w:rPr>
        <w:t xml:space="preserve"> has moved beyond earlier binary distinctions between formal and </w:t>
      </w:r>
      <w:r>
        <w:rPr>
          <w:rFonts w:ascii="Times New Roman" w:eastAsia="Times New Roman" w:hAnsi="Times New Roman"/>
          <w:sz w:val="24"/>
          <w:szCs w:val="24"/>
          <w:lang w:eastAsia="en-US" w:bidi="ar"/>
        </w:rPr>
        <w:t>informal development to emphasize informality as a mode of urbanization embedded within state practices and market systems (Roy, 2005; Roy, 2009; Watson, 2014). Informality is now widely understood as a continuum of regulatory flexibility, negotiated legal</w:t>
      </w:r>
      <w:r>
        <w:rPr>
          <w:rFonts w:ascii="Times New Roman" w:eastAsia="Times New Roman" w:hAnsi="Times New Roman"/>
          <w:sz w:val="24"/>
          <w:szCs w:val="24"/>
          <w:lang w:eastAsia="en-US" w:bidi="ar"/>
        </w:rPr>
        <w:t xml:space="preserve">ity, and adaptive survival strategies, particularly in cities of the Global South (McFarlane &amp; Waibel, 2012; Bhan, 2019). Within this framework, wetland </w:t>
      </w:r>
      <w:proofErr w:type="spellStart"/>
      <w:r>
        <w:rPr>
          <w:rFonts w:ascii="Times New Roman" w:eastAsia="Times New Roman" w:hAnsi="Times New Roman"/>
          <w:sz w:val="24"/>
          <w:szCs w:val="24"/>
          <w:lang w:eastAsia="en-US" w:bidi="ar"/>
        </w:rPr>
        <w:t>neighbourhoods</w:t>
      </w:r>
      <w:proofErr w:type="spellEnd"/>
      <w:r>
        <w:rPr>
          <w:rFonts w:ascii="Times New Roman" w:eastAsia="Times New Roman" w:hAnsi="Times New Roman"/>
          <w:sz w:val="24"/>
          <w:szCs w:val="24"/>
          <w:lang w:eastAsia="en-US" w:bidi="ar"/>
        </w:rPr>
        <w:t xml:space="preserve"> in Port Harcourt can be conceptualized as </w:t>
      </w:r>
      <w:r>
        <w:rPr>
          <w:rFonts w:ascii="Times New Roman" w:eastAsia="Times New Roman" w:hAnsi="Times New Roman"/>
          <w:bCs/>
          <w:sz w:val="24"/>
          <w:szCs w:val="24"/>
          <w:lang w:eastAsia="en-US" w:bidi="ar"/>
        </w:rPr>
        <w:t>hybrid urban formations</w:t>
      </w:r>
      <w:r>
        <w:rPr>
          <w:rFonts w:ascii="Times New Roman" w:eastAsia="Times New Roman" w:hAnsi="Times New Roman"/>
          <w:sz w:val="24"/>
          <w:szCs w:val="24"/>
          <w:lang w:eastAsia="en-US" w:bidi="ar"/>
        </w:rPr>
        <w:t>, where development occ</w:t>
      </w:r>
      <w:r>
        <w:rPr>
          <w:rFonts w:ascii="Times New Roman" w:eastAsia="Times New Roman" w:hAnsi="Times New Roman"/>
          <w:sz w:val="24"/>
          <w:szCs w:val="24"/>
          <w:lang w:eastAsia="en-US" w:bidi="ar"/>
        </w:rPr>
        <w:t>urs through the interaction of private land markets, indigenous land ownership systems, and weak regulatory enforcement. These spaces are not entirely unplanned but are instead shaped by localized logics of land subdivision, incremental development, and so</w:t>
      </w:r>
      <w:r>
        <w:rPr>
          <w:rFonts w:ascii="Times New Roman" w:eastAsia="Times New Roman" w:hAnsi="Times New Roman"/>
          <w:sz w:val="24"/>
          <w:szCs w:val="24"/>
          <w:lang w:eastAsia="en-US" w:bidi="ar"/>
        </w:rPr>
        <w:t>cio-economic accessibility.</w:t>
      </w:r>
    </w:p>
    <w:p w14:paraId="3A72052C" w14:textId="77777777" w:rsidR="00FB5556" w:rsidRDefault="00F85F1C">
      <w:pPr>
        <w:spacing w:after="0"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bidi="ar"/>
        </w:rPr>
        <w:t xml:space="preserve">The concept of </w:t>
      </w:r>
      <w:r>
        <w:rPr>
          <w:rFonts w:ascii="Times New Roman" w:eastAsia="Times New Roman" w:hAnsi="Times New Roman"/>
          <w:bCs/>
          <w:sz w:val="24"/>
          <w:szCs w:val="24"/>
          <w:lang w:eastAsia="en-US" w:bidi="ar"/>
        </w:rPr>
        <w:t>spatial justice</w:t>
      </w:r>
      <w:r>
        <w:rPr>
          <w:rFonts w:ascii="Times New Roman" w:eastAsia="Times New Roman" w:hAnsi="Times New Roman"/>
          <w:sz w:val="24"/>
          <w:szCs w:val="24"/>
          <w:lang w:eastAsia="en-US" w:bidi="ar"/>
        </w:rPr>
        <w:t xml:space="preserve"> further provides a critical analytical lens for understanding the uneven distribution of urban opportunities and risks. Building on the foundational work of Soja (2010), recent studies have emphasi</w:t>
      </w:r>
      <w:r>
        <w:rPr>
          <w:rFonts w:ascii="Times New Roman" w:eastAsia="Times New Roman" w:hAnsi="Times New Roman"/>
          <w:sz w:val="24"/>
          <w:szCs w:val="24"/>
          <w:lang w:eastAsia="en-US" w:bidi="ar"/>
        </w:rPr>
        <w:t>zed how urban spatial structures often reproduce socio-economic inequalities by systematically excluding vulnerable populations from well-serviced and safe environments (</w:t>
      </w:r>
      <w:proofErr w:type="spellStart"/>
      <w:r>
        <w:rPr>
          <w:rFonts w:ascii="Times New Roman" w:eastAsia="Times New Roman" w:hAnsi="Times New Roman"/>
          <w:sz w:val="24"/>
          <w:szCs w:val="24"/>
          <w:lang w:eastAsia="en-US" w:bidi="ar"/>
        </w:rPr>
        <w:t>Fainstein</w:t>
      </w:r>
      <w:proofErr w:type="spellEnd"/>
      <w:r>
        <w:rPr>
          <w:rFonts w:ascii="Times New Roman" w:eastAsia="Times New Roman" w:hAnsi="Times New Roman"/>
          <w:sz w:val="24"/>
          <w:szCs w:val="24"/>
          <w:lang w:eastAsia="en-US" w:bidi="ar"/>
        </w:rPr>
        <w:t>, 2010; Marcuse et al., 2018). In the context of Port Harcourt, the exclusion</w:t>
      </w:r>
      <w:r>
        <w:rPr>
          <w:rFonts w:ascii="Times New Roman" w:eastAsia="Times New Roman" w:hAnsi="Times New Roman"/>
          <w:sz w:val="24"/>
          <w:szCs w:val="24"/>
          <w:lang w:eastAsia="en-US" w:bidi="ar"/>
        </w:rPr>
        <w:t xml:space="preserve"> of low- and middle-income groups from formal land markets, due to escalating land values and housing costs, has led to their displacement into marginal and ecologically fragile </w:t>
      </w:r>
      <w:r>
        <w:rPr>
          <w:rFonts w:ascii="Times New Roman" w:eastAsia="Times New Roman" w:hAnsi="Times New Roman"/>
          <w:sz w:val="24"/>
          <w:szCs w:val="24"/>
          <w:lang w:eastAsia="en-US" w:bidi="ar"/>
        </w:rPr>
        <w:lastRenderedPageBreak/>
        <w:t>environments such as wetlands. This process reflects what has been described a</w:t>
      </w:r>
      <w:r>
        <w:rPr>
          <w:rFonts w:ascii="Times New Roman" w:eastAsia="Times New Roman" w:hAnsi="Times New Roman"/>
          <w:sz w:val="24"/>
          <w:szCs w:val="24"/>
          <w:lang w:eastAsia="en-US" w:bidi="ar"/>
        </w:rPr>
        <w:t xml:space="preserve">s </w:t>
      </w:r>
      <w:r>
        <w:rPr>
          <w:rFonts w:ascii="Times New Roman" w:eastAsia="Times New Roman" w:hAnsi="Times New Roman"/>
          <w:bCs/>
          <w:sz w:val="24"/>
          <w:szCs w:val="24"/>
          <w:lang w:eastAsia="en-US" w:bidi="ar"/>
        </w:rPr>
        <w:t>environmental injustice</w:t>
      </w:r>
      <w:r>
        <w:rPr>
          <w:rFonts w:ascii="Times New Roman" w:eastAsia="Times New Roman" w:hAnsi="Times New Roman"/>
          <w:sz w:val="24"/>
          <w:szCs w:val="24"/>
          <w:lang w:eastAsia="en-US" w:bidi="ar"/>
        </w:rPr>
        <w:t>, where disadvantaged groups disproportionately bear exposure to environmental hazards including flooding, poor drainage, and infrastructure deficits (</w:t>
      </w:r>
      <w:proofErr w:type="spellStart"/>
      <w:r>
        <w:rPr>
          <w:rFonts w:ascii="Times New Roman" w:eastAsia="Times New Roman" w:hAnsi="Times New Roman"/>
          <w:sz w:val="24"/>
          <w:szCs w:val="24"/>
          <w:lang w:eastAsia="en-US" w:bidi="ar"/>
        </w:rPr>
        <w:t>Anguelovski</w:t>
      </w:r>
      <w:proofErr w:type="spellEnd"/>
      <w:r>
        <w:rPr>
          <w:rFonts w:ascii="Times New Roman" w:eastAsia="Times New Roman" w:hAnsi="Times New Roman"/>
          <w:sz w:val="24"/>
          <w:szCs w:val="24"/>
          <w:lang w:eastAsia="en-US" w:bidi="ar"/>
        </w:rPr>
        <w:t xml:space="preserve"> et al., 2016).</w:t>
      </w:r>
    </w:p>
    <w:p w14:paraId="433D2F0B" w14:textId="77777777" w:rsidR="00FB5556" w:rsidRDefault="00F85F1C">
      <w:pPr>
        <w:spacing w:after="0"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bidi="ar"/>
        </w:rPr>
        <w:t xml:space="preserve">In parallel, </w:t>
      </w:r>
      <w:r>
        <w:rPr>
          <w:rFonts w:ascii="Times New Roman" w:eastAsia="Times New Roman" w:hAnsi="Times New Roman"/>
          <w:bCs/>
          <w:sz w:val="24"/>
          <w:szCs w:val="24"/>
          <w:lang w:eastAsia="en-US" w:bidi="ar"/>
        </w:rPr>
        <w:t>land-use governance theory</w:t>
      </w:r>
      <w:r>
        <w:rPr>
          <w:rFonts w:ascii="Times New Roman" w:eastAsia="Times New Roman" w:hAnsi="Times New Roman"/>
          <w:sz w:val="24"/>
          <w:szCs w:val="24"/>
          <w:lang w:eastAsia="en-US" w:bidi="ar"/>
        </w:rPr>
        <w:t xml:space="preserve"> highlights th</w:t>
      </w:r>
      <w:r>
        <w:rPr>
          <w:rFonts w:ascii="Times New Roman" w:eastAsia="Times New Roman" w:hAnsi="Times New Roman"/>
          <w:sz w:val="24"/>
          <w:szCs w:val="24"/>
          <w:lang w:eastAsia="en-US" w:bidi="ar"/>
        </w:rPr>
        <w:t>e central role of institutional capacity, regulatory frameworks, and planning instruments in shaping urban development outcomes. Effective land-use governance requires coherent policies, enforceable development control mechanisms, and up-to-date spatial pl</w:t>
      </w:r>
      <w:r>
        <w:rPr>
          <w:rFonts w:ascii="Times New Roman" w:eastAsia="Times New Roman" w:hAnsi="Times New Roman"/>
          <w:sz w:val="24"/>
          <w:szCs w:val="24"/>
          <w:lang w:eastAsia="en-US" w:bidi="ar"/>
        </w:rPr>
        <w:t>anning tools such as master plans and zoning regulations (UN-Habitat, 2020; Healey, 2007). However, in many rapidly growing cities, including Port Harcourt, governance systems are often characterized by weak enforcement, fragmented institutional responsibi</w:t>
      </w:r>
      <w:r>
        <w:rPr>
          <w:rFonts w:ascii="Times New Roman" w:eastAsia="Times New Roman" w:hAnsi="Times New Roman"/>
          <w:sz w:val="24"/>
          <w:szCs w:val="24"/>
          <w:lang w:eastAsia="en-US" w:bidi="ar"/>
        </w:rPr>
        <w:t xml:space="preserve">lities, and the prevalence of informal land transactions (de </w:t>
      </w:r>
      <w:proofErr w:type="spellStart"/>
      <w:r>
        <w:rPr>
          <w:rFonts w:ascii="Times New Roman" w:eastAsia="Times New Roman" w:hAnsi="Times New Roman"/>
          <w:sz w:val="24"/>
          <w:szCs w:val="24"/>
          <w:lang w:eastAsia="en-US" w:bidi="ar"/>
        </w:rPr>
        <w:t>Satgé</w:t>
      </w:r>
      <w:proofErr w:type="spellEnd"/>
      <w:r>
        <w:rPr>
          <w:rFonts w:ascii="Times New Roman" w:eastAsia="Times New Roman" w:hAnsi="Times New Roman"/>
          <w:sz w:val="24"/>
          <w:szCs w:val="24"/>
          <w:lang w:eastAsia="en-US" w:bidi="ar"/>
        </w:rPr>
        <w:t xml:space="preserve"> &amp; Watson, 2018). These conditions facilitate uncoordinated spatial expansion into wetlands, resulting in patterns of development that lack conformity with planning standards related to acce</w:t>
      </w:r>
      <w:r>
        <w:rPr>
          <w:rFonts w:ascii="Times New Roman" w:eastAsia="Times New Roman" w:hAnsi="Times New Roman"/>
          <w:sz w:val="24"/>
          <w:szCs w:val="24"/>
          <w:lang w:eastAsia="en-US" w:bidi="ar"/>
        </w:rPr>
        <w:t>ssibility, drainage, building setbacks, and land-use compatibility.</w:t>
      </w:r>
    </w:p>
    <w:p w14:paraId="1D428C78" w14:textId="77777777" w:rsidR="00FB5556" w:rsidRDefault="00F85F1C">
      <w:pPr>
        <w:spacing w:after="0"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bidi="ar"/>
        </w:rPr>
        <w:t xml:space="preserve">More recent urban scholarship also emphasizes the role of </w:t>
      </w:r>
      <w:r>
        <w:rPr>
          <w:rFonts w:ascii="Times New Roman" w:eastAsia="Times New Roman" w:hAnsi="Times New Roman"/>
          <w:bCs/>
          <w:sz w:val="24"/>
          <w:szCs w:val="24"/>
          <w:lang w:eastAsia="en-US" w:bidi="ar"/>
        </w:rPr>
        <w:t>housing market dynamics and speculative urbanism</w:t>
      </w:r>
      <w:r>
        <w:rPr>
          <w:rFonts w:ascii="Times New Roman" w:eastAsia="Times New Roman" w:hAnsi="Times New Roman"/>
          <w:sz w:val="24"/>
          <w:szCs w:val="24"/>
          <w:lang w:eastAsia="en-US" w:bidi="ar"/>
        </w:rPr>
        <w:t xml:space="preserve"> in driving the occupation of marginal lands (Aalbers, 2016; Obeng-Odoom, 2020). R</w:t>
      </w:r>
      <w:r>
        <w:rPr>
          <w:rFonts w:ascii="Times New Roman" w:eastAsia="Times New Roman" w:hAnsi="Times New Roman"/>
          <w:sz w:val="24"/>
          <w:szCs w:val="24"/>
          <w:lang w:eastAsia="en-US" w:bidi="ar"/>
        </w:rPr>
        <w:t xml:space="preserve">ising land values in formal urban cores create affordability barriers, pushing households and small-scale developers toward alternative spaces where land is cheaper but environmentally risky. In this sense, wetland </w:t>
      </w:r>
      <w:proofErr w:type="spellStart"/>
      <w:r>
        <w:rPr>
          <w:rFonts w:ascii="Times New Roman" w:eastAsia="Times New Roman" w:hAnsi="Times New Roman"/>
          <w:sz w:val="24"/>
          <w:szCs w:val="24"/>
          <w:lang w:eastAsia="en-US" w:bidi="ar"/>
        </w:rPr>
        <w:t>neighbourhoods</w:t>
      </w:r>
      <w:proofErr w:type="spellEnd"/>
      <w:r>
        <w:rPr>
          <w:rFonts w:ascii="Times New Roman" w:eastAsia="Times New Roman" w:hAnsi="Times New Roman"/>
          <w:sz w:val="24"/>
          <w:szCs w:val="24"/>
          <w:lang w:eastAsia="en-US" w:bidi="ar"/>
        </w:rPr>
        <w:t xml:space="preserve"> represent a spatial manife</w:t>
      </w:r>
      <w:r>
        <w:rPr>
          <w:rFonts w:ascii="Times New Roman" w:eastAsia="Times New Roman" w:hAnsi="Times New Roman"/>
          <w:sz w:val="24"/>
          <w:szCs w:val="24"/>
          <w:lang w:eastAsia="en-US" w:bidi="ar"/>
        </w:rPr>
        <w:t>station of broader structural imbalances in urban land and housing systems.</w:t>
      </w:r>
    </w:p>
    <w:p w14:paraId="1D139869" w14:textId="77777777" w:rsidR="00FB5556" w:rsidRDefault="00F85F1C">
      <w:pPr>
        <w:spacing w:after="0"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bidi="ar"/>
        </w:rPr>
        <w:t>Drawing from these theoretical perspectives, this study adopts an integrated conceptual framework that links three interrelated drivers:</w:t>
      </w:r>
    </w:p>
    <w:p w14:paraId="13CAAC32" w14:textId="77777777" w:rsidR="00FB5556" w:rsidRDefault="00F85F1C">
      <w:pPr>
        <w:numPr>
          <w:ilvl w:val="0"/>
          <w:numId w:val="1"/>
        </w:numPr>
        <w:spacing w:after="0" w:line="24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Housing market pressures</w:t>
      </w:r>
      <w:r>
        <w:rPr>
          <w:rFonts w:ascii="Times New Roman" w:eastAsia="Times New Roman" w:hAnsi="Times New Roman"/>
          <w:sz w:val="24"/>
          <w:szCs w:val="24"/>
          <w:lang w:eastAsia="en-US"/>
        </w:rPr>
        <w:t xml:space="preserve">, including rising </w:t>
      </w:r>
      <w:r>
        <w:rPr>
          <w:rFonts w:ascii="Times New Roman" w:eastAsia="Times New Roman" w:hAnsi="Times New Roman"/>
          <w:sz w:val="24"/>
          <w:szCs w:val="24"/>
          <w:lang w:eastAsia="en-US"/>
        </w:rPr>
        <w:t>land values and limited access to affordable housing</w:t>
      </w:r>
    </w:p>
    <w:p w14:paraId="613CA88B" w14:textId="77777777" w:rsidR="00FB5556" w:rsidRDefault="00F85F1C">
      <w:pPr>
        <w:numPr>
          <w:ilvl w:val="0"/>
          <w:numId w:val="1"/>
        </w:numPr>
        <w:spacing w:after="0" w:line="24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Institutional and planning failures</w:t>
      </w:r>
      <w:r>
        <w:rPr>
          <w:rFonts w:ascii="Times New Roman" w:eastAsia="Times New Roman" w:hAnsi="Times New Roman"/>
          <w:sz w:val="24"/>
          <w:szCs w:val="24"/>
          <w:lang w:eastAsia="en-US"/>
        </w:rPr>
        <w:t>, particularly weak development control and absence of guiding spatial plans</w:t>
      </w:r>
    </w:p>
    <w:p w14:paraId="6F1AC70B" w14:textId="77777777" w:rsidR="00FB5556" w:rsidRDefault="00F85F1C">
      <w:pPr>
        <w:numPr>
          <w:ilvl w:val="0"/>
          <w:numId w:val="1"/>
        </w:numPr>
        <w:spacing w:after="0" w:line="240" w:lineRule="auto"/>
        <w:jc w:val="both"/>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Environmental vulnerability</w:t>
      </w:r>
      <w:r>
        <w:rPr>
          <w:rFonts w:ascii="Times New Roman" w:eastAsia="Times New Roman" w:hAnsi="Times New Roman"/>
          <w:sz w:val="24"/>
          <w:szCs w:val="24"/>
          <w:lang w:eastAsia="en-US"/>
        </w:rPr>
        <w:t>, associated with the occupation and transformation of wetland e</w:t>
      </w:r>
      <w:r>
        <w:rPr>
          <w:rFonts w:ascii="Times New Roman" w:eastAsia="Times New Roman" w:hAnsi="Times New Roman"/>
          <w:sz w:val="24"/>
          <w:szCs w:val="24"/>
          <w:lang w:eastAsia="en-US"/>
        </w:rPr>
        <w:t>cosystems</w:t>
      </w:r>
    </w:p>
    <w:p w14:paraId="7152D612" w14:textId="77777777" w:rsidR="00FB5556" w:rsidRDefault="00F85F1C">
      <w:pPr>
        <w:spacing w:after="0"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bidi="ar"/>
        </w:rPr>
        <w:t xml:space="preserve">Together, these factors provide a comprehensive explanation for the emergence, spatial configuration, and socio-environmental characteristics of wetland </w:t>
      </w:r>
      <w:proofErr w:type="spellStart"/>
      <w:r>
        <w:rPr>
          <w:rFonts w:ascii="Times New Roman" w:eastAsia="Times New Roman" w:hAnsi="Times New Roman"/>
          <w:sz w:val="24"/>
          <w:szCs w:val="24"/>
          <w:lang w:eastAsia="en-US" w:bidi="ar"/>
        </w:rPr>
        <w:t>neighbourhoods</w:t>
      </w:r>
      <w:proofErr w:type="spellEnd"/>
      <w:r>
        <w:rPr>
          <w:rFonts w:ascii="Times New Roman" w:eastAsia="Times New Roman" w:hAnsi="Times New Roman"/>
          <w:sz w:val="24"/>
          <w:szCs w:val="24"/>
          <w:lang w:eastAsia="en-US" w:bidi="ar"/>
        </w:rPr>
        <w:t xml:space="preserve"> in Port Harcourt. This integrated approach enables a deeper understanding of w</w:t>
      </w:r>
      <w:r>
        <w:rPr>
          <w:rFonts w:ascii="Times New Roman" w:eastAsia="Times New Roman" w:hAnsi="Times New Roman"/>
          <w:sz w:val="24"/>
          <w:szCs w:val="24"/>
          <w:lang w:eastAsia="en-US" w:bidi="ar"/>
        </w:rPr>
        <w:t>etland urbanization not merely as a planning anomaly, but as a structurally produced outcome of contemporary urbanization processes in the Global South.</w:t>
      </w:r>
    </w:p>
    <w:p w14:paraId="11EB7218" w14:textId="77777777" w:rsidR="00FB5556" w:rsidRDefault="00FB5556">
      <w:pPr>
        <w:pStyle w:val="Heading1"/>
        <w:spacing w:beforeAutospacing="0" w:afterAutospacing="0"/>
        <w:jc w:val="both"/>
        <w:rPr>
          <w:rStyle w:val="Strong"/>
          <w:rFonts w:ascii="Times New Roman" w:hAnsi="Times New Roman" w:hint="default"/>
          <w:b/>
          <w:bCs/>
          <w:sz w:val="24"/>
          <w:szCs w:val="24"/>
        </w:rPr>
      </w:pPr>
    </w:p>
    <w:p w14:paraId="1084B872" w14:textId="77777777" w:rsidR="00FB5556" w:rsidRDefault="00F85F1C">
      <w:pPr>
        <w:pStyle w:val="Heading1"/>
        <w:spacing w:beforeAutospacing="0" w:afterAutospacing="0"/>
        <w:jc w:val="both"/>
        <w:rPr>
          <w:rFonts w:ascii="Times New Roman" w:eastAsia="Times New Roman" w:hAnsi="Times New Roman" w:hint="default"/>
          <w:sz w:val="24"/>
          <w:szCs w:val="24"/>
          <w:lang w:val="en-GB" w:eastAsia="en-GB"/>
        </w:rPr>
      </w:pPr>
      <w:r>
        <w:rPr>
          <w:rStyle w:val="Strong"/>
          <w:rFonts w:ascii="Times New Roman" w:hAnsi="Times New Roman" w:hint="default"/>
          <w:b/>
          <w:bCs/>
          <w:sz w:val="24"/>
          <w:szCs w:val="24"/>
        </w:rPr>
        <w:t>5. Study Area: Geography of Port Harcourt</w:t>
      </w:r>
    </w:p>
    <w:p w14:paraId="4EA4A9F5" w14:textId="77777777" w:rsidR="00FB5556" w:rsidRDefault="00F85F1C">
      <w:pPr>
        <w:pStyle w:val="NormalWeb"/>
        <w:spacing w:beforeAutospacing="0" w:afterAutospacing="0"/>
        <w:jc w:val="both"/>
        <w:rPr>
          <w:rFonts w:ascii="Times New Roman" w:hAnsi="Times New Roman"/>
        </w:rPr>
      </w:pPr>
      <w:r>
        <w:rPr>
          <w:rStyle w:val="whitespace-normal"/>
          <w:rFonts w:ascii="Times New Roman" w:hAnsi="Times New Roman"/>
        </w:rPr>
        <w:t>Port Harcourt</w:t>
      </w:r>
      <w:r>
        <w:rPr>
          <w:rFonts w:ascii="Times New Roman" w:hAnsi="Times New Roman"/>
        </w:rPr>
        <w:t xml:space="preserve"> was established in 1913 by the colonial administration as a modern seaport designed to facilitate the export of agricultural produce from the hinterlands of Eastern and Northern Nigeria (</w:t>
      </w:r>
      <w:proofErr w:type="spellStart"/>
      <w:r>
        <w:rPr>
          <w:rFonts w:ascii="Times New Roman" w:hAnsi="Times New Roman"/>
        </w:rPr>
        <w:t>Akpoghomeh</w:t>
      </w:r>
      <w:proofErr w:type="spellEnd"/>
      <w:r>
        <w:rPr>
          <w:rFonts w:ascii="Times New Roman" w:hAnsi="Times New Roman"/>
        </w:rPr>
        <w:t>, 1995; Okoye, 2013). The initial city occupied approximat</w:t>
      </w:r>
      <w:r>
        <w:rPr>
          <w:rFonts w:ascii="Times New Roman" w:hAnsi="Times New Roman"/>
        </w:rPr>
        <w:t xml:space="preserve">ely 13,000 acres of land belonging to the </w:t>
      </w:r>
      <w:proofErr w:type="spellStart"/>
      <w:r>
        <w:rPr>
          <w:rFonts w:ascii="Times New Roman" w:hAnsi="Times New Roman"/>
        </w:rPr>
        <w:t>Ikwerre</w:t>
      </w:r>
      <w:proofErr w:type="spellEnd"/>
      <w:r>
        <w:rPr>
          <w:rFonts w:ascii="Times New Roman" w:hAnsi="Times New Roman"/>
        </w:rPr>
        <w:t xml:space="preserve"> communities in the north and the </w:t>
      </w:r>
      <w:proofErr w:type="spellStart"/>
      <w:r>
        <w:rPr>
          <w:rFonts w:ascii="Times New Roman" w:hAnsi="Times New Roman"/>
        </w:rPr>
        <w:t>Okrika</w:t>
      </w:r>
      <w:proofErr w:type="spellEnd"/>
      <w:r>
        <w:rPr>
          <w:rFonts w:ascii="Times New Roman" w:hAnsi="Times New Roman"/>
        </w:rPr>
        <w:t xml:space="preserve"> communities in the south (</w:t>
      </w:r>
      <w:proofErr w:type="spellStart"/>
      <w:r>
        <w:rPr>
          <w:rFonts w:ascii="Times New Roman" w:hAnsi="Times New Roman"/>
        </w:rPr>
        <w:t>Akpoghomeh</w:t>
      </w:r>
      <w:proofErr w:type="spellEnd"/>
      <w:r>
        <w:rPr>
          <w:rFonts w:ascii="Times New Roman" w:hAnsi="Times New Roman"/>
        </w:rPr>
        <w:t xml:space="preserve">, 1995). Beyond its port function, the city rapidly evolved into an administrative and commercial </w:t>
      </w:r>
      <w:proofErr w:type="spellStart"/>
      <w:r>
        <w:rPr>
          <w:rFonts w:ascii="Times New Roman" w:hAnsi="Times New Roman"/>
        </w:rPr>
        <w:t>centre</w:t>
      </w:r>
      <w:proofErr w:type="spellEnd"/>
      <w:r>
        <w:rPr>
          <w:rFonts w:ascii="Times New Roman" w:hAnsi="Times New Roman"/>
        </w:rPr>
        <w:t>, serving as a major conve</w:t>
      </w:r>
      <w:r>
        <w:rPr>
          <w:rFonts w:ascii="Times New Roman" w:hAnsi="Times New Roman"/>
        </w:rPr>
        <w:t xml:space="preserve">rgence point for diverse ethnic groups, including the </w:t>
      </w:r>
      <w:proofErr w:type="spellStart"/>
      <w:r>
        <w:rPr>
          <w:rFonts w:ascii="Times New Roman" w:hAnsi="Times New Roman"/>
        </w:rPr>
        <w:t>Ikwerre</w:t>
      </w:r>
      <w:proofErr w:type="spellEnd"/>
      <w:r>
        <w:rPr>
          <w:rFonts w:ascii="Times New Roman" w:hAnsi="Times New Roman"/>
        </w:rPr>
        <w:t xml:space="preserve">, </w:t>
      </w:r>
      <w:proofErr w:type="spellStart"/>
      <w:r>
        <w:rPr>
          <w:rFonts w:ascii="Times New Roman" w:hAnsi="Times New Roman"/>
        </w:rPr>
        <w:t>Okrika</w:t>
      </w:r>
      <w:proofErr w:type="spellEnd"/>
      <w:r>
        <w:rPr>
          <w:rFonts w:ascii="Times New Roman" w:hAnsi="Times New Roman"/>
        </w:rPr>
        <w:t xml:space="preserve">, </w:t>
      </w:r>
      <w:proofErr w:type="spellStart"/>
      <w:r>
        <w:rPr>
          <w:rFonts w:ascii="Times New Roman" w:hAnsi="Times New Roman"/>
        </w:rPr>
        <w:t>Kalabari</w:t>
      </w:r>
      <w:proofErr w:type="spellEnd"/>
      <w:r>
        <w:rPr>
          <w:rFonts w:ascii="Times New Roman" w:hAnsi="Times New Roman"/>
        </w:rPr>
        <w:t xml:space="preserve">, and </w:t>
      </w:r>
      <w:proofErr w:type="spellStart"/>
      <w:r>
        <w:rPr>
          <w:rFonts w:ascii="Times New Roman" w:hAnsi="Times New Roman"/>
        </w:rPr>
        <w:t>Ibani</w:t>
      </w:r>
      <w:proofErr w:type="spellEnd"/>
      <w:r>
        <w:rPr>
          <w:rFonts w:ascii="Times New Roman" w:hAnsi="Times New Roman"/>
        </w:rPr>
        <w:t xml:space="preserve"> (</w:t>
      </w:r>
      <w:proofErr w:type="spellStart"/>
      <w:r>
        <w:rPr>
          <w:rFonts w:ascii="Times New Roman" w:hAnsi="Times New Roman"/>
        </w:rPr>
        <w:t>Weli</w:t>
      </w:r>
      <w:proofErr w:type="spellEnd"/>
      <w:r>
        <w:rPr>
          <w:rFonts w:ascii="Times New Roman" w:hAnsi="Times New Roman"/>
        </w:rPr>
        <w:t xml:space="preserve"> &amp; Briggs-Kamara, 2015).</w:t>
      </w:r>
    </w:p>
    <w:p w14:paraId="1E18ECDB" w14:textId="77777777" w:rsidR="00FB5556" w:rsidRDefault="00F85F1C">
      <w:pPr>
        <w:pStyle w:val="NormalWeb"/>
        <w:spacing w:beforeAutospacing="0" w:afterAutospacing="0"/>
        <w:jc w:val="both"/>
        <w:rPr>
          <w:rFonts w:ascii="Times New Roman" w:hAnsi="Times New Roman"/>
        </w:rPr>
      </w:pPr>
      <w:r>
        <w:rPr>
          <w:rFonts w:ascii="Times New Roman" w:hAnsi="Times New Roman"/>
        </w:rPr>
        <w:t>The development of port infrastructure and the expansion of railway networks connecting Port Harcourt to other parts of Nigeria signifi</w:t>
      </w:r>
      <w:r>
        <w:rPr>
          <w:rFonts w:ascii="Times New Roman" w:hAnsi="Times New Roman"/>
        </w:rPr>
        <w:t>cantly enhanced its economic importance, attracting migrants and traders from across the country (</w:t>
      </w:r>
      <w:proofErr w:type="spellStart"/>
      <w:r>
        <w:rPr>
          <w:rFonts w:ascii="Times New Roman" w:hAnsi="Times New Roman"/>
        </w:rPr>
        <w:t>Onyegbula</w:t>
      </w:r>
      <w:proofErr w:type="spellEnd"/>
      <w:r>
        <w:rPr>
          <w:rFonts w:ascii="Times New Roman" w:hAnsi="Times New Roman"/>
        </w:rPr>
        <w:t xml:space="preserve">, 2010). This growth was further accelerated by the discovery of crude oil in the Niger Delta and the subsequent designation of Port </w:t>
      </w:r>
      <w:r>
        <w:rPr>
          <w:rFonts w:ascii="Times New Roman" w:hAnsi="Times New Roman"/>
        </w:rPr>
        <w:lastRenderedPageBreak/>
        <w:t xml:space="preserve">Harcourt as the </w:t>
      </w:r>
      <w:r>
        <w:rPr>
          <w:rFonts w:ascii="Times New Roman" w:hAnsi="Times New Roman"/>
        </w:rPr>
        <w:t>capital of Rivers State, which transformed the city into a major hub for oil and gas activities (Aaron, 2012; Weli &amp; Briggs-Kamara, 2015). Today, the city hosts numerous multinational oil companies and accommodates a population exceeding 5 million people (</w:t>
      </w:r>
      <w:r>
        <w:rPr>
          <w:rFonts w:ascii="Times New Roman" w:hAnsi="Times New Roman"/>
        </w:rPr>
        <w:t xml:space="preserve">National Population Commission [NPC], 2020), making it one of the fastest-growing urban </w:t>
      </w:r>
      <w:proofErr w:type="spellStart"/>
      <w:r>
        <w:rPr>
          <w:rFonts w:ascii="Times New Roman" w:hAnsi="Times New Roman"/>
        </w:rPr>
        <w:t>centres</w:t>
      </w:r>
      <w:proofErr w:type="spellEnd"/>
      <w:r>
        <w:rPr>
          <w:rFonts w:ascii="Times New Roman" w:hAnsi="Times New Roman"/>
        </w:rPr>
        <w:t xml:space="preserve"> in Nigeria.</w:t>
      </w:r>
    </w:p>
    <w:p w14:paraId="3D4340A9"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Geographically, Port Harcourt is located within the Niger Delta region and is characterized by an intricate network of rivers, creeks, and mangrove </w:t>
      </w:r>
      <w:r>
        <w:rPr>
          <w:rFonts w:ascii="Times New Roman" w:hAnsi="Times New Roman"/>
        </w:rPr>
        <w:t>swamps, particularly along its eastern, western, and southern boundaries (</w:t>
      </w:r>
      <w:proofErr w:type="spellStart"/>
      <w:r>
        <w:rPr>
          <w:rFonts w:ascii="Times New Roman" w:hAnsi="Times New Roman"/>
        </w:rPr>
        <w:t>Nwilo</w:t>
      </w:r>
      <w:proofErr w:type="spellEnd"/>
      <w:r>
        <w:rPr>
          <w:rFonts w:ascii="Times New Roman" w:hAnsi="Times New Roman"/>
        </w:rPr>
        <w:t xml:space="preserve"> &amp; </w:t>
      </w:r>
      <w:proofErr w:type="spellStart"/>
      <w:r>
        <w:rPr>
          <w:rFonts w:ascii="Times New Roman" w:hAnsi="Times New Roman"/>
        </w:rPr>
        <w:t>Badejo</w:t>
      </w:r>
      <w:proofErr w:type="spellEnd"/>
      <w:r>
        <w:rPr>
          <w:rFonts w:ascii="Times New Roman" w:hAnsi="Times New Roman"/>
        </w:rPr>
        <w:t xml:space="preserve">, 2006; </w:t>
      </w:r>
      <w:proofErr w:type="spellStart"/>
      <w:r>
        <w:rPr>
          <w:rFonts w:ascii="Times New Roman" w:hAnsi="Times New Roman"/>
        </w:rPr>
        <w:t>Uyigue</w:t>
      </w:r>
      <w:proofErr w:type="spellEnd"/>
      <w:r>
        <w:rPr>
          <w:rFonts w:ascii="Times New Roman" w:hAnsi="Times New Roman"/>
        </w:rPr>
        <w:t xml:space="preserve"> &amp; </w:t>
      </w:r>
      <w:proofErr w:type="spellStart"/>
      <w:r>
        <w:rPr>
          <w:rFonts w:ascii="Times New Roman" w:hAnsi="Times New Roman"/>
        </w:rPr>
        <w:t>Agho</w:t>
      </w:r>
      <w:proofErr w:type="spellEnd"/>
      <w:r>
        <w:rPr>
          <w:rFonts w:ascii="Times New Roman" w:hAnsi="Times New Roman"/>
        </w:rPr>
        <w:t>, 2007). This unique ecological setting significantly influenced early urban development patterns, which were concentrated on the relatively dry an</w:t>
      </w:r>
      <w:r>
        <w:rPr>
          <w:rFonts w:ascii="Times New Roman" w:hAnsi="Times New Roman"/>
        </w:rPr>
        <w:t>d more stable northern axis of the city. These areas provided more suitable and cost-effective conditions for physical development compared to the waterlogged southern zones (Weli, 2014).</w:t>
      </w:r>
    </w:p>
    <w:p w14:paraId="58146896" w14:textId="77777777" w:rsidR="00FB5556" w:rsidRDefault="00F85F1C">
      <w:pPr>
        <w:pStyle w:val="NormalWeb"/>
        <w:spacing w:beforeAutospacing="0" w:afterAutospacing="0"/>
        <w:jc w:val="both"/>
        <w:rPr>
          <w:rFonts w:ascii="Times New Roman" w:hAnsi="Times New Roman"/>
        </w:rPr>
      </w:pPr>
      <w:r>
        <w:rPr>
          <w:rFonts w:ascii="Times New Roman" w:hAnsi="Times New Roman"/>
        </w:rPr>
        <w:t>However, rapid population growth, economic expansion, and increasing</w:t>
      </w:r>
      <w:r>
        <w:rPr>
          <w:rFonts w:ascii="Times New Roman" w:hAnsi="Times New Roman"/>
        </w:rPr>
        <w:t xml:space="preserve"> demand for urban land have led to the exhaustion of available dry land, thereby driving urban expansion into surrounding agricultural lands and marginal wetland areas (</w:t>
      </w:r>
      <w:proofErr w:type="spellStart"/>
      <w:r>
        <w:rPr>
          <w:rFonts w:ascii="Times New Roman" w:hAnsi="Times New Roman"/>
        </w:rPr>
        <w:t>Nwilo</w:t>
      </w:r>
      <w:proofErr w:type="spellEnd"/>
      <w:r>
        <w:rPr>
          <w:rFonts w:ascii="Times New Roman" w:hAnsi="Times New Roman"/>
        </w:rPr>
        <w:t xml:space="preserve"> &amp; </w:t>
      </w:r>
      <w:proofErr w:type="spellStart"/>
      <w:r>
        <w:rPr>
          <w:rFonts w:ascii="Times New Roman" w:hAnsi="Times New Roman"/>
        </w:rPr>
        <w:t>Badejo</w:t>
      </w:r>
      <w:proofErr w:type="spellEnd"/>
      <w:r>
        <w:rPr>
          <w:rFonts w:ascii="Times New Roman" w:hAnsi="Times New Roman"/>
        </w:rPr>
        <w:t xml:space="preserve">, 2006; </w:t>
      </w:r>
      <w:proofErr w:type="spellStart"/>
      <w:r>
        <w:rPr>
          <w:rFonts w:ascii="Times New Roman" w:hAnsi="Times New Roman"/>
        </w:rPr>
        <w:t>Uyigue</w:t>
      </w:r>
      <w:proofErr w:type="spellEnd"/>
      <w:r>
        <w:rPr>
          <w:rFonts w:ascii="Times New Roman" w:hAnsi="Times New Roman"/>
        </w:rPr>
        <w:t xml:space="preserve"> &amp; </w:t>
      </w:r>
      <w:proofErr w:type="spellStart"/>
      <w:r>
        <w:rPr>
          <w:rFonts w:ascii="Times New Roman" w:hAnsi="Times New Roman"/>
        </w:rPr>
        <w:t>Agho</w:t>
      </w:r>
      <w:proofErr w:type="spellEnd"/>
      <w:r>
        <w:rPr>
          <w:rFonts w:ascii="Times New Roman" w:hAnsi="Times New Roman"/>
        </w:rPr>
        <w:t>, 2007). This outward expansion has fundamentally al</w:t>
      </w:r>
      <w:r>
        <w:rPr>
          <w:rFonts w:ascii="Times New Roman" w:hAnsi="Times New Roman"/>
        </w:rPr>
        <w:t>tered the spatial structure of the city and intensified development pressures on environmentally sensitive ecosystems.</w:t>
      </w:r>
    </w:p>
    <w:p w14:paraId="21FD307D" w14:textId="77777777" w:rsidR="00FB5556" w:rsidRDefault="00F85F1C">
      <w:pPr>
        <w:pStyle w:val="NormalWeb"/>
        <w:spacing w:beforeAutospacing="0" w:afterAutospacing="0"/>
        <w:jc w:val="both"/>
        <w:rPr>
          <w:rFonts w:ascii="Times New Roman" w:hAnsi="Times New Roman"/>
        </w:rPr>
      </w:pPr>
      <w:r>
        <w:rPr>
          <w:rFonts w:ascii="Times New Roman" w:hAnsi="Times New Roman"/>
        </w:rPr>
        <w:t>Climatically, Port Harcourt falls within the humid tropical (sub-equatorial) climate zone, with an average annual temperature of about 30</w:t>
      </w:r>
      <w:r>
        <w:rPr>
          <w:rFonts w:ascii="Times New Roman" w:hAnsi="Times New Roman"/>
        </w:rPr>
        <w:t xml:space="preserve">°C and high rainfall throughout the year, averaging approximately 2,300 mm (NIMET, 2020; </w:t>
      </w:r>
      <w:proofErr w:type="spellStart"/>
      <w:r>
        <w:rPr>
          <w:rFonts w:ascii="Times New Roman" w:hAnsi="Times New Roman"/>
        </w:rPr>
        <w:t>Uyigue</w:t>
      </w:r>
      <w:proofErr w:type="spellEnd"/>
      <w:r>
        <w:rPr>
          <w:rFonts w:ascii="Times New Roman" w:hAnsi="Times New Roman"/>
        </w:rPr>
        <w:t xml:space="preserve"> &amp; </w:t>
      </w:r>
      <w:proofErr w:type="spellStart"/>
      <w:r>
        <w:rPr>
          <w:rFonts w:ascii="Times New Roman" w:hAnsi="Times New Roman"/>
        </w:rPr>
        <w:t>Agho</w:t>
      </w:r>
      <w:proofErr w:type="spellEnd"/>
      <w:r>
        <w:rPr>
          <w:rFonts w:ascii="Times New Roman" w:hAnsi="Times New Roman"/>
        </w:rPr>
        <w:t>, 2007). These climatic conditions, combined with the city’s low-lying terrain and extensive wetland systems, contribute to its high vulnerability to floo</w:t>
      </w:r>
      <w:r>
        <w:rPr>
          <w:rFonts w:ascii="Times New Roman" w:hAnsi="Times New Roman"/>
        </w:rPr>
        <w:t>ding and environmental hazards (Douglas et al., 2008). The city is served by multiple modes of transportation, including road, water, rail, and air, reinforcing its role as a major economic and logistical hub in the Niger Delta region.</w:t>
      </w:r>
    </w:p>
    <w:p w14:paraId="0939F7C4" w14:textId="77777777" w:rsidR="00FB5556" w:rsidRDefault="00FB5556">
      <w:pPr>
        <w:pStyle w:val="NormalWeb"/>
        <w:spacing w:beforeAutospacing="0" w:afterAutospacing="0"/>
        <w:jc w:val="both"/>
        <w:rPr>
          <w:rFonts w:ascii="Times New Roman" w:hAnsi="Times New Roman"/>
        </w:rPr>
      </w:pPr>
    </w:p>
    <w:p w14:paraId="0FE2D134" w14:textId="77777777" w:rsidR="00FB5556" w:rsidRDefault="00FB5556">
      <w:pPr>
        <w:tabs>
          <w:tab w:val="left" w:pos="954"/>
        </w:tabs>
        <w:spacing w:line="240" w:lineRule="auto"/>
        <w:jc w:val="both"/>
        <w:rPr>
          <w:rFonts w:ascii="Times New Roman" w:hAnsi="Times New Roman"/>
          <w:sz w:val="24"/>
          <w:szCs w:val="24"/>
        </w:rPr>
      </w:pPr>
    </w:p>
    <w:p w14:paraId="0B8077CF" w14:textId="77777777" w:rsidR="00FB5556" w:rsidRDefault="00F85F1C">
      <w:pPr>
        <w:pStyle w:val="Heading1"/>
        <w:spacing w:beforeAutospacing="0" w:afterAutospacing="0"/>
        <w:jc w:val="both"/>
        <w:rPr>
          <w:rFonts w:ascii="Times New Roman" w:eastAsia="Times New Roman" w:hAnsi="Times New Roman" w:hint="default"/>
          <w:sz w:val="24"/>
          <w:szCs w:val="24"/>
          <w:lang w:val="en-GB" w:eastAsia="en-GB"/>
        </w:rPr>
      </w:pPr>
      <w:r>
        <w:rPr>
          <w:rStyle w:val="Strong"/>
          <w:rFonts w:ascii="Times New Roman" w:hAnsi="Times New Roman" w:hint="default"/>
          <w:b/>
          <w:bCs/>
          <w:sz w:val="24"/>
          <w:szCs w:val="24"/>
        </w:rPr>
        <w:t>6. Emergence of We</w:t>
      </w:r>
      <w:r>
        <w:rPr>
          <w:rStyle w:val="Strong"/>
          <w:rFonts w:ascii="Times New Roman" w:hAnsi="Times New Roman" w:hint="default"/>
          <w:b/>
          <w:bCs/>
          <w:sz w:val="24"/>
          <w:szCs w:val="24"/>
        </w:rPr>
        <w:t xml:space="preserve">tland </w:t>
      </w:r>
      <w:proofErr w:type="spellStart"/>
      <w:r>
        <w:rPr>
          <w:rStyle w:val="Strong"/>
          <w:rFonts w:ascii="Times New Roman" w:hAnsi="Times New Roman" w:hint="default"/>
          <w:b/>
          <w:bCs/>
          <w:sz w:val="24"/>
          <w:szCs w:val="24"/>
        </w:rPr>
        <w:t>Neighbourhoods</w:t>
      </w:r>
      <w:proofErr w:type="spellEnd"/>
      <w:r>
        <w:rPr>
          <w:rStyle w:val="Strong"/>
          <w:rFonts w:ascii="Times New Roman" w:hAnsi="Times New Roman" w:hint="default"/>
          <w:b/>
          <w:bCs/>
          <w:sz w:val="24"/>
          <w:szCs w:val="24"/>
        </w:rPr>
        <w:t xml:space="preserve"> in Port Harcourt</w:t>
      </w:r>
    </w:p>
    <w:p w14:paraId="5A80F15A"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emergence of wetland </w:t>
      </w:r>
      <w:proofErr w:type="spellStart"/>
      <w:r>
        <w:rPr>
          <w:rFonts w:ascii="Times New Roman" w:hAnsi="Times New Roman"/>
        </w:rPr>
        <w:t>neighbourhoods</w:t>
      </w:r>
      <w:proofErr w:type="spellEnd"/>
      <w:r>
        <w:rPr>
          <w:rFonts w:ascii="Times New Roman" w:hAnsi="Times New Roman"/>
        </w:rPr>
        <w:t xml:space="preserve"> in </w:t>
      </w:r>
      <w:r>
        <w:rPr>
          <w:rStyle w:val="whitespace-normal"/>
          <w:rFonts w:ascii="Times New Roman" w:hAnsi="Times New Roman"/>
        </w:rPr>
        <w:t>Port Harcourt</w:t>
      </w:r>
      <w:r>
        <w:rPr>
          <w:rFonts w:ascii="Times New Roman" w:hAnsi="Times New Roman"/>
        </w:rPr>
        <w:t xml:space="preserve"> can be traced to rapid population growth and economic expansion in the post-civil war period. The establishment of multinational oil companies, expansion of tran</w:t>
      </w:r>
      <w:r>
        <w:rPr>
          <w:rFonts w:ascii="Times New Roman" w:hAnsi="Times New Roman"/>
        </w:rPr>
        <w:t>sportation networks, and increasing commercial activities attracted large numbers of migrants into the city. However, the existing urban infrastructure and housing supply were insufficient to accommodate this rapid influx of population.</w:t>
      </w:r>
    </w:p>
    <w:p w14:paraId="1FB7E988"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This imbalance led </w:t>
      </w:r>
      <w:r>
        <w:rPr>
          <w:rFonts w:ascii="Times New Roman" w:hAnsi="Times New Roman"/>
        </w:rPr>
        <w:t>to an acute housing shortage, resulting in a sharp increase in land values and rental costs within the core and inner-city areas. Consequently, low-income populations, unable to afford formal housing, were compelled to seek alternative accommodation in mar</w:t>
      </w:r>
      <w:r>
        <w:rPr>
          <w:rFonts w:ascii="Times New Roman" w:hAnsi="Times New Roman"/>
        </w:rPr>
        <w:t xml:space="preserve">ginal environments. Many of these residents preferred locations close to the city </w:t>
      </w:r>
      <w:proofErr w:type="spellStart"/>
      <w:r>
        <w:rPr>
          <w:rFonts w:ascii="Times New Roman" w:hAnsi="Times New Roman"/>
        </w:rPr>
        <w:t>centre</w:t>
      </w:r>
      <w:proofErr w:type="spellEnd"/>
      <w:r>
        <w:rPr>
          <w:rFonts w:ascii="Times New Roman" w:hAnsi="Times New Roman"/>
        </w:rPr>
        <w:t xml:space="preserve"> for economic reasons and therefore moved into the southern and western peripheries characterized by mangrove swamps and flood-prone wetlands. This pattern aligns with </w:t>
      </w:r>
      <w:r>
        <w:rPr>
          <w:rFonts w:ascii="Times New Roman" w:hAnsi="Times New Roman"/>
        </w:rPr>
        <w:t xml:space="preserve">broader urbanization trends in Sub-Saharan Africa, where rapid population growth and weak planning systems drive settlement expansion into environmentally sensitive areas (UN-Habitat, 2020; </w:t>
      </w:r>
      <w:proofErr w:type="spellStart"/>
      <w:r>
        <w:rPr>
          <w:rFonts w:ascii="Times New Roman" w:hAnsi="Times New Roman"/>
        </w:rPr>
        <w:t>Cobbinah</w:t>
      </w:r>
      <w:proofErr w:type="spellEnd"/>
      <w:r>
        <w:rPr>
          <w:rFonts w:ascii="Times New Roman" w:hAnsi="Times New Roman"/>
        </w:rPr>
        <w:t xml:space="preserve"> &amp; </w:t>
      </w:r>
      <w:proofErr w:type="spellStart"/>
      <w:r>
        <w:rPr>
          <w:rFonts w:ascii="Times New Roman" w:hAnsi="Times New Roman"/>
        </w:rPr>
        <w:t>Erdiaw-Kwasie</w:t>
      </w:r>
      <w:proofErr w:type="spellEnd"/>
      <w:r>
        <w:rPr>
          <w:rFonts w:ascii="Times New Roman" w:hAnsi="Times New Roman"/>
        </w:rPr>
        <w:t>, 2021).</w:t>
      </w:r>
    </w:p>
    <w:p w14:paraId="6D86C618"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This marked the initial phase of </w:t>
      </w:r>
      <w:r>
        <w:rPr>
          <w:rFonts w:ascii="Times New Roman" w:hAnsi="Times New Roman"/>
        </w:rPr>
        <w:t xml:space="preserve">wetland encroachment in the city, largely driven by the urban poor. The early settlements that emerged in these areas, commonly referred to as </w:t>
      </w:r>
      <w:r>
        <w:rPr>
          <w:rStyle w:val="Emphasis"/>
          <w:rFonts w:ascii="Times New Roman" w:hAnsi="Times New Roman"/>
        </w:rPr>
        <w:t>“waterside settlements,”</w:t>
      </w:r>
      <w:r>
        <w:rPr>
          <w:rFonts w:ascii="Times New Roman" w:hAnsi="Times New Roman"/>
        </w:rPr>
        <w:t xml:space="preserve"> were predominantly informal and characterized by poor housing conditions, lack of infras</w:t>
      </w:r>
      <w:r>
        <w:rPr>
          <w:rFonts w:ascii="Times New Roman" w:hAnsi="Times New Roman"/>
        </w:rPr>
        <w:t xml:space="preserve">tructure, high occupancy rates, and unsanitary environments (Kio-Lawson, 2013; 2015). </w:t>
      </w:r>
      <w:r>
        <w:rPr>
          <w:rFonts w:ascii="Times New Roman" w:hAnsi="Times New Roman"/>
        </w:rPr>
        <w:lastRenderedPageBreak/>
        <w:t>Despite these challenges, the relatively low cost of land and the ease of informal land reclamation made these areas attractive to residents. Over time, these settlements</w:t>
      </w:r>
      <w:r>
        <w:rPr>
          <w:rFonts w:ascii="Times New Roman" w:hAnsi="Times New Roman"/>
        </w:rPr>
        <w:t xml:space="preserve"> expanded significantly and became an integral part of the city’s spatial structure, with about thirty-two such communities currently in existence (Kio-Lawson, 2015). Similar patterns of informal wetland occupation have been documented across African citie</w:t>
      </w:r>
      <w:r>
        <w:rPr>
          <w:rFonts w:ascii="Times New Roman" w:hAnsi="Times New Roman"/>
        </w:rPr>
        <w:t>s, where unregulated urban expansion produces fragmented and environmentally vulnerable settlement forms (</w:t>
      </w:r>
      <w:proofErr w:type="spellStart"/>
      <w:r>
        <w:rPr>
          <w:rFonts w:ascii="Times New Roman" w:hAnsi="Times New Roman"/>
        </w:rPr>
        <w:t>Adelekan</w:t>
      </w:r>
      <w:proofErr w:type="spellEnd"/>
      <w:r>
        <w:rPr>
          <w:rFonts w:ascii="Times New Roman" w:hAnsi="Times New Roman"/>
        </w:rPr>
        <w:t xml:space="preserve">, 2016; </w:t>
      </w:r>
      <w:proofErr w:type="spellStart"/>
      <w:r>
        <w:rPr>
          <w:rFonts w:ascii="Times New Roman" w:hAnsi="Times New Roman"/>
        </w:rPr>
        <w:t>Güneralp</w:t>
      </w:r>
      <w:proofErr w:type="spellEnd"/>
      <w:r>
        <w:rPr>
          <w:rFonts w:ascii="Times New Roman" w:hAnsi="Times New Roman"/>
        </w:rPr>
        <w:t xml:space="preserve"> et al., 2017).</w:t>
      </w:r>
    </w:p>
    <w:p w14:paraId="666A6FB1" w14:textId="77777777" w:rsidR="00FB5556" w:rsidRDefault="00F85F1C">
      <w:pPr>
        <w:pStyle w:val="NormalWeb"/>
        <w:spacing w:beforeAutospacing="0" w:afterAutospacing="0"/>
        <w:jc w:val="both"/>
        <w:rPr>
          <w:rFonts w:ascii="Times New Roman" w:hAnsi="Times New Roman"/>
        </w:rPr>
      </w:pPr>
      <w:r>
        <w:rPr>
          <w:rFonts w:ascii="Times New Roman" w:hAnsi="Times New Roman"/>
        </w:rPr>
        <w:t>The environmental degradation and social challenges associated with these settlements eventually prompted gove</w:t>
      </w:r>
      <w:r>
        <w:rPr>
          <w:rFonts w:ascii="Times New Roman" w:hAnsi="Times New Roman"/>
        </w:rPr>
        <w:t xml:space="preserve">rnment intervention. Some waterside communities were cleared and redeveloped into planned residential </w:t>
      </w:r>
      <w:proofErr w:type="spellStart"/>
      <w:r>
        <w:rPr>
          <w:rFonts w:ascii="Times New Roman" w:hAnsi="Times New Roman"/>
        </w:rPr>
        <w:t>neighbourhoods</w:t>
      </w:r>
      <w:proofErr w:type="spellEnd"/>
      <w:r>
        <w:rPr>
          <w:rFonts w:ascii="Times New Roman" w:hAnsi="Times New Roman"/>
        </w:rPr>
        <w:t xml:space="preserve"> with improved physical structures and basic infrastructure. These interventions were intended to relocate displaced low-income populations </w:t>
      </w:r>
      <w:r>
        <w:rPr>
          <w:rFonts w:ascii="Times New Roman" w:hAnsi="Times New Roman"/>
        </w:rPr>
        <w:t xml:space="preserve">and provide more functional living environments. However, the implementation process was undermined by political interference, resulting in a significant proportion of the housing units being allocated to middle-income individuals rather than the original </w:t>
      </w:r>
      <w:r>
        <w:rPr>
          <w:rFonts w:ascii="Times New Roman" w:hAnsi="Times New Roman"/>
        </w:rPr>
        <w:t>beneficiaries.</w:t>
      </w:r>
    </w:p>
    <w:p w14:paraId="1C4BC593" w14:textId="77777777" w:rsidR="00FB5556" w:rsidRDefault="00F85F1C">
      <w:pPr>
        <w:pStyle w:val="NormalWeb"/>
        <w:spacing w:beforeAutospacing="0" w:afterAutospacing="0"/>
        <w:jc w:val="both"/>
        <w:rPr>
          <w:rFonts w:ascii="Times New Roman" w:hAnsi="Times New Roman"/>
        </w:rPr>
      </w:pPr>
      <w:r>
        <w:rPr>
          <w:rFonts w:ascii="Times New Roman" w:hAnsi="Times New Roman"/>
        </w:rPr>
        <w:t>This outcome triggered a new phase of wetland development. The improved infrastructure and spatial organization of the redeveloped areas attracted further interest in adjacent wetland lands. Private developers and individuals began to acquir</w:t>
      </w:r>
      <w:r>
        <w:rPr>
          <w:rFonts w:ascii="Times New Roman" w:hAnsi="Times New Roman"/>
        </w:rPr>
        <w:t xml:space="preserve">e and develop these surrounding areas, leading to the emergence of more organized residential </w:t>
      </w:r>
      <w:proofErr w:type="spellStart"/>
      <w:r>
        <w:rPr>
          <w:rFonts w:ascii="Times New Roman" w:hAnsi="Times New Roman"/>
        </w:rPr>
        <w:t>neighbourhoods</w:t>
      </w:r>
      <w:proofErr w:type="spellEnd"/>
      <w:r>
        <w:rPr>
          <w:rFonts w:ascii="Times New Roman" w:hAnsi="Times New Roman"/>
        </w:rPr>
        <w:t>. This transition reflects broader dynamics of urban land markets in developing cities, where rising land values and accessibility considerations dr</w:t>
      </w:r>
      <w:r>
        <w:rPr>
          <w:rFonts w:ascii="Times New Roman" w:hAnsi="Times New Roman"/>
        </w:rPr>
        <w:t>ive the transformation of marginal lands into semi-formal residential areas (Angel et al., 2011; Watson, 2014).</w:t>
      </w:r>
    </w:p>
    <w:p w14:paraId="21E75DF0" w14:textId="77777777" w:rsidR="00FB5556" w:rsidRDefault="00F85F1C">
      <w:pPr>
        <w:pStyle w:val="NormalWeb"/>
        <w:spacing w:beforeAutospacing="0" w:afterAutospacing="0"/>
        <w:jc w:val="both"/>
        <w:rPr>
          <w:rFonts w:ascii="Times New Roman" w:hAnsi="Times New Roman"/>
        </w:rPr>
      </w:pPr>
      <w:r>
        <w:rPr>
          <w:rFonts w:ascii="Times New Roman" w:hAnsi="Times New Roman"/>
        </w:rPr>
        <w:t>Unlike the earlier waterside settlements, these newer developments exhibit relatively better building quality and some level of infrastructure p</w:t>
      </w:r>
      <w:r>
        <w:rPr>
          <w:rFonts w:ascii="Times New Roman" w:hAnsi="Times New Roman"/>
        </w:rPr>
        <w:t>rovision. Nevertheless, they continue to lack formal planning approval and regulatory oversight. Empirical studies have shown that weak institutional frameworks and ineffective land-use governance are major drivers of such unregulated developments in rapid</w:t>
      </w:r>
      <w:r>
        <w:rPr>
          <w:rFonts w:ascii="Times New Roman" w:hAnsi="Times New Roman"/>
        </w:rPr>
        <w:t>ly growing cities (UN-Habitat, 2020; Owusu et al., 2022).</w:t>
      </w:r>
    </w:p>
    <w:p w14:paraId="440B893E" w14:textId="77777777" w:rsidR="00FB5556" w:rsidRDefault="00F85F1C">
      <w:pPr>
        <w:pStyle w:val="NormalWeb"/>
        <w:spacing w:beforeAutospacing="0" w:afterAutospacing="0"/>
        <w:jc w:val="both"/>
        <w:rPr>
          <w:rFonts w:ascii="Times New Roman" w:hAnsi="Times New Roman"/>
        </w:rPr>
      </w:pPr>
      <w:r>
        <w:rPr>
          <w:rFonts w:ascii="Times New Roman" w:hAnsi="Times New Roman"/>
        </w:rPr>
        <w:t>Land transactions in these wetland areas are typically controlled by indigenous landowners, who determine plot sizes and layout patterns without adherence to established planning standards. Developm</w:t>
      </w:r>
      <w:r>
        <w:rPr>
          <w:rFonts w:ascii="Times New Roman" w:hAnsi="Times New Roman"/>
        </w:rPr>
        <w:t xml:space="preserve">ent often involves land reclamation through sand filling and incremental construction processes. While these </w:t>
      </w:r>
      <w:proofErr w:type="spellStart"/>
      <w:r>
        <w:rPr>
          <w:rFonts w:ascii="Times New Roman" w:hAnsi="Times New Roman"/>
        </w:rPr>
        <w:t>neighbourhoods</w:t>
      </w:r>
      <w:proofErr w:type="spellEnd"/>
      <w:r>
        <w:rPr>
          <w:rFonts w:ascii="Times New Roman" w:hAnsi="Times New Roman"/>
        </w:rPr>
        <w:t xml:space="preserve"> display some degree of spatial organization and functionality, the absence of formally approved development plans has resulted in la</w:t>
      </w:r>
      <w:r>
        <w:rPr>
          <w:rFonts w:ascii="Times New Roman" w:hAnsi="Times New Roman"/>
        </w:rPr>
        <w:t>youts that fall short of urban planning requirements, particularly with respect to road networks, drainage systems, building setbacks, and land-use compatibility.</w:t>
      </w:r>
    </w:p>
    <w:p w14:paraId="099CED30"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Overall, the evolution of wetland </w:t>
      </w:r>
      <w:proofErr w:type="spellStart"/>
      <w:r>
        <w:rPr>
          <w:rFonts w:ascii="Times New Roman" w:hAnsi="Times New Roman"/>
        </w:rPr>
        <w:t>neighbourhoods</w:t>
      </w:r>
      <w:proofErr w:type="spellEnd"/>
      <w:r>
        <w:rPr>
          <w:rFonts w:ascii="Times New Roman" w:hAnsi="Times New Roman"/>
        </w:rPr>
        <w:t xml:space="preserve"> in Port Harcourt reflects a transition from </w:t>
      </w:r>
      <w:r>
        <w:rPr>
          <w:rFonts w:ascii="Times New Roman" w:hAnsi="Times New Roman"/>
        </w:rPr>
        <w:t>informal, low-income settlements to semi-organized, mixed-income residential environments. However, their continued expansion without effective planning control poses significant challenges for environmental sustainability, infrastructure provision, and lo</w:t>
      </w:r>
      <w:r>
        <w:rPr>
          <w:rFonts w:ascii="Times New Roman" w:hAnsi="Times New Roman"/>
        </w:rPr>
        <w:t>ng-term urban development. Such patterns of wetland urbanization have been linked to increased flood risk, ecological degradation, and disruption of natural hydrological systems in comparable urban contexts (Adelekan, 2016; Davidson et al., 2019).</w:t>
      </w:r>
    </w:p>
    <w:p w14:paraId="6443FFDC" w14:textId="77777777" w:rsidR="00FB5556" w:rsidRDefault="00F85F1C">
      <w:pPr>
        <w:spacing w:line="240" w:lineRule="auto"/>
        <w:jc w:val="both"/>
        <w:rPr>
          <w:rFonts w:ascii="Times New Roman" w:hAnsi="Times New Roman"/>
          <w:sz w:val="24"/>
          <w:szCs w:val="24"/>
        </w:rPr>
      </w:pPr>
      <w:r>
        <w:rPr>
          <w:rFonts w:ascii="Times New Roman" w:hAnsi="Times New Roman"/>
          <w:sz w:val="24"/>
          <w:szCs w:val="24"/>
        </w:rPr>
        <w:t>.</w:t>
      </w:r>
    </w:p>
    <w:p w14:paraId="1FBB8852"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Land </w:t>
      </w:r>
      <w:r>
        <w:rPr>
          <w:rFonts w:ascii="Times New Roman" w:eastAsia="Times New Roman" w:hAnsi="Times New Roman"/>
          <w:sz w:val="24"/>
          <w:szCs w:val="24"/>
          <w:lang w:val="en-GB" w:eastAsia="en-GB"/>
        </w:rPr>
        <w:t xml:space="preserve">transactions in these wetland areas are typically controlled by indigenous landowners, who determine plot sizes, road alignments, and overall layout patterns without adherence to established planning standards. In most cases, these decisions are guided by </w:t>
      </w:r>
      <w:r>
        <w:rPr>
          <w:rFonts w:ascii="Times New Roman" w:eastAsia="Times New Roman" w:hAnsi="Times New Roman"/>
          <w:sz w:val="24"/>
          <w:szCs w:val="24"/>
          <w:lang w:val="en-GB" w:eastAsia="en-GB"/>
        </w:rPr>
        <w:t>local knowledge and economic considerations rather than formal urban planning regulations.</w:t>
      </w:r>
    </w:p>
    <w:p w14:paraId="78696CC1"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lastRenderedPageBreak/>
        <w:t>Prior to development, land preparation is required due to the marshy nature of the terrain. This is commonly achieved through sand filling or other locally adapted r</w:t>
      </w:r>
      <w:r>
        <w:rPr>
          <w:rFonts w:ascii="Times New Roman" w:eastAsia="Times New Roman" w:hAnsi="Times New Roman"/>
          <w:sz w:val="24"/>
          <w:szCs w:val="24"/>
          <w:lang w:val="en-GB" w:eastAsia="en-GB"/>
        </w:rPr>
        <w:t>eclamation techniques to make the land suitable for construction. The relatively low cost of land in these areas has increasingly attracted not only low-income groups but also segments of the middle- and high-income population. For some, this shift represe</w:t>
      </w:r>
      <w:r>
        <w:rPr>
          <w:rFonts w:ascii="Times New Roman" w:eastAsia="Times New Roman" w:hAnsi="Times New Roman"/>
          <w:sz w:val="24"/>
          <w:szCs w:val="24"/>
          <w:lang w:val="en-GB" w:eastAsia="en-GB"/>
        </w:rPr>
        <w:t>nts an opportunity to secure affordable housing, while for others, it serves as a strategic investment in an emerging urban frontier.</w:t>
      </w:r>
    </w:p>
    <w:p w14:paraId="7F7E2670"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Through the combined efforts of landowners and developers, these areas have gradually evolved into semi-organized resident</w:t>
      </w:r>
      <w:r>
        <w:rPr>
          <w:rFonts w:ascii="Times New Roman" w:eastAsia="Times New Roman" w:hAnsi="Times New Roman"/>
          <w:sz w:val="24"/>
          <w:szCs w:val="24"/>
          <w:lang w:val="en-GB" w:eastAsia="en-GB"/>
        </w:rPr>
        <w:t>ial neighbourhoods with some degree of spatial structure and functionality. Unlike earlier “waterside settlements,” buildings in these neighbourhoods are predominantly constructed using permanent materials such as cement, and road networks, though often su</w:t>
      </w:r>
      <w:r>
        <w:rPr>
          <w:rFonts w:ascii="Times New Roman" w:eastAsia="Times New Roman" w:hAnsi="Times New Roman"/>
          <w:sz w:val="24"/>
          <w:szCs w:val="24"/>
          <w:lang w:val="en-GB" w:eastAsia="en-GB"/>
        </w:rPr>
        <w:t>bstandard, are developed to allow vehicular access. In some cases, basic drainage considerations for domestic wastewater are incorporated into the layout.</w:t>
      </w:r>
    </w:p>
    <w:p w14:paraId="2595A07C"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However, despite these improvements, the absence of formally approved development plans continues to </w:t>
      </w:r>
      <w:r>
        <w:rPr>
          <w:rFonts w:ascii="Times New Roman" w:eastAsia="Times New Roman" w:hAnsi="Times New Roman"/>
          <w:sz w:val="24"/>
          <w:szCs w:val="24"/>
          <w:lang w:val="en-GB" w:eastAsia="en-GB"/>
        </w:rPr>
        <w:t>limit their conformity to standard urban planning principles. Critical issues persist regarding aesthetic quality, efficiency of spatial layout, respect for building setbacks, privacy, and land-use zoning. These deficiencies highlight a significant gap bet</w:t>
      </w:r>
      <w:r>
        <w:rPr>
          <w:rFonts w:ascii="Times New Roman" w:eastAsia="Times New Roman" w:hAnsi="Times New Roman"/>
          <w:sz w:val="24"/>
          <w:szCs w:val="24"/>
          <w:lang w:val="en-GB" w:eastAsia="en-GB"/>
        </w:rPr>
        <w:t xml:space="preserve">ween the existing development pattern and the ideal characteristics of planned urban neighbourhoods, thereby reinforcing concerns about long-term functionality, environmental sustainability, and urban </w:t>
      </w:r>
      <w:proofErr w:type="spellStart"/>
      <w:r>
        <w:rPr>
          <w:rFonts w:ascii="Times New Roman" w:eastAsia="Times New Roman" w:hAnsi="Times New Roman"/>
          <w:sz w:val="24"/>
          <w:szCs w:val="24"/>
          <w:lang w:val="en-GB" w:eastAsia="en-GB"/>
        </w:rPr>
        <w:t>livability</w:t>
      </w:r>
      <w:proofErr w:type="spellEnd"/>
      <w:r>
        <w:rPr>
          <w:rFonts w:ascii="Times New Roman" w:eastAsia="Times New Roman" w:hAnsi="Times New Roman"/>
          <w:sz w:val="24"/>
          <w:szCs w:val="24"/>
          <w:lang w:val="en-GB" w:eastAsia="en-GB"/>
        </w:rPr>
        <w:t>.</w:t>
      </w:r>
    </w:p>
    <w:p w14:paraId="783A6A05" w14:textId="77777777" w:rsidR="00FB5556" w:rsidRDefault="00FB5556">
      <w:pPr>
        <w:pStyle w:val="Heading1"/>
        <w:spacing w:beforeAutospacing="0" w:afterAutospacing="0"/>
        <w:jc w:val="both"/>
        <w:rPr>
          <w:rStyle w:val="Strong"/>
          <w:rFonts w:ascii="Times New Roman" w:hAnsi="Times New Roman" w:hint="default"/>
          <w:b/>
          <w:bCs/>
          <w:sz w:val="24"/>
          <w:szCs w:val="24"/>
        </w:rPr>
      </w:pPr>
    </w:p>
    <w:p w14:paraId="74022BC3" w14:textId="77777777" w:rsidR="00FB5556" w:rsidRDefault="00F85F1C">
      <w:pPr>
        <w:pStyle w:val="Heading1"/>
        <w:spacing w:beforeAutospacing="0" w:afterAutospacing="0"/>
        <w:jc w:val="both"/>
        <w:rPr>
          <w:rFonts w:ascii="Times New Roman" w:eastAsia="Times New Roman" w:hAnsi="Times New Roman" w:hint="default"/>
          <w:sz w:val="24"/>
          <w:szCs w:val="24"/>
          <w:lang w:val="en-GB" w:eastAsia="en-GB"/>
        </w:rPr>
      </w:pPr>
      <w:r>
        <w:rPr>
          <w:rStyle w:val="Strong"/>
          <w:rFonts w:ascii="Times New Roman" w:hAnsi="Times New Roman" w:hint="default"/>
          <w:b/>
          <w:bCs/>
          <w:sz w:val="24"/>
          <w:szCs w:val="24"/>
        </w:rPr>
        <w:t>6. Research Design and Sampling</w:t>
      </w:r>
    </w:p>
    <w:p w14:paraId="1255D20D"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This study adopted a mixed-method research design, integrating quantitative and qualitative approaches to examine the characteristics and dynamics of wetland </w:t>
      </w:r>
      <w:proofErr w:type="spellStart"/>
      <w:r>
        <w:rPr>
          <w:rFonts w:ascii="Times New Roman" w:hAnsi="Times New Roman"/>
        </w:rPr>
        <w:t>neighbourhoods</w:t>
      </w:r>
      <w:proofErr w:type="spellEnd"/>
      <w:r>
        <w:rPr>
          <w:rFonts w:ascii="Times New Roman" w:hAnsi="Times New Roman"/>
        </w:rPr>
        <w:t xml:space="preserve"> in </w:t>
      </w:r>
      <w:r>
        <w:rPr>
          <w:rStyle w:val="whitespace-normal"/>
          <w:rFonts w:ascii="Times New Roman" w:hAnsi="Times New Roman"/>
        </w:rPr>
        <w:t>Port Harcourt</w:t>
      </w:r>
      <w:r>
        <w:rPr>
          <w:rFonts w:ascii="Times New Roman" w:hAnsi="Times New Roman"/>
        </w:rPr>
        <w:t>. The research design combined structured questionnaire surveys wit</w:t>
      </w:r>
      <w:r>
        <w:rPr>
          <w:rFonts w:ascii="Times New Roman" w:hAnsi="Times New Roman"/>
        </w:rPr>
        <w:t>h field observations and key informant interviews to ensure a comprehensive understanding of the study area.</w:t>
      </w:r>
    </w:p>
    <w:p w14:paraId="0167FA18"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A preliminary survey identified fourteen (14) established wetland </w:t>
      </w:r>
      <w:proofErr w:type="spellStart"/>
      <w:r>
        <w:rPr>
          <w:rFonts w:ascii="Times New Roman" w:hAnsi="Times New Roman"/>
        </w:rPr>
        <w:t>neighbourhoods</w:t>
      </w:r>
      <w:proofErr w:type="spellEnd"/>
      <w:r>
        <w:rPr>
          <w:rFonts w:ascii="Times New Roman" w:hAnsi="Times New Roman"/>
        </w:rPr>
        <w:t xml:space="preserve"> across the city (see Table 1). From this population, six (6) </w:t>
      </w:r>
      <w:proofErr w:type="spellStart"/>
      <w:r>
        <w:rPr>
          <w:rFonts w:ascii="Times New Roman" w:hAnsi="Times New Roman"/>
        </w:rPr>
        <w:t>neigh</w:t>
      </w:r>
      <w:r>
        <w:rPr>
          <w:rFonts w:ascii="Times New Roman" w:hAnsi="Times New Roman"/>
        </w:rPr>
        <w:t>bourhoods</w:t>
      </w:r>
      <w:proofErr w:type="spellEnd"/>
      <w:r>
        <w:rPr>
          <w:rFonts w:ascii="Times New Roman" w:hAnsi="Times New Roman"/>
        </w:rPr>
        <w:t xml:space="preserve"> were purposively selected to ensure adequate spatial representation and coverage of varying development characteristics.</w:t>
      </w:r>
    </w:p>
    <w:p w14:paraId="0CF21522"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Within the selected </w:t>
      </w:r>
      <w:proofErr w:type="spellStart"/>
      <w:r>
        <w:rPr>
          <w:rFonts w:ascii="Times New Roman" w:hAnsi="Times New Roman"/>
        </w:rPr>
        <w:t>neighbourhoods</w:t>
      </w:r>
      <w:proofErr w:type="spellEnd"/>
      <w:r>
        <w:rPr>
          <w:rFonts w:ascii="Times New Roman" w:hAnsi="Times New Roman"/>
        </w:rPr>
        <w:t>, a total of fifty-five (55) streets were enumerated. Using a 40% sampling ratio, twenty-on</w:t>
      </w:r>
      <w:r>
        <w:rPr>
          <w:rFonts w:ascii="Times New Roman" w:hAnsi="Times New Roman"/>
        </w:rPr>
        <w:t xml:space="preserve">e (21) streets were selected for detailed investigation. Subsequently, a building-level enumeration within the sampled streets identified seven hundred and twenty (720) buildings. From this population, a 20% sample size was drawn, resulting in one hundred </w:t>
      </w:r>
      <w:r>
        <w:rPr>
          <w:rFonts w:ascii="Times New Roman" w:hAnsi="Times New Roman"/>
        </w:rPr>
        <w:t>and thirty-one (131) buildings.</w:t>
      </w:r>
    </w:p>
    <w:p w14:paraId="3E21657C" w14:textId="77777777" w:rsidR="00FB5556" w:rsidRDefault="00F85F1C">
      <w:pPr>
        <w:pStyle w:val="NormalWeb"/>
        <w:spacing w:beforeAutospacing="0" w:afterAutospacing="0"/>
        <w:jc w:val="both"/>
        <w:rPr>
          <w:rFonts w:ascii="Times New Roman" w:hAnsi="Times New Roman"/>
        </w:rPr>
      </w:pPr>
      <w:r>
        <w:rPr>
          <w:rFonts w:ascii="Times New Roman" w:hAnsi="Times New Roman"/>
        </w:rPr>
        <w:t>Household heads within the selected buildings constituted the target respondents, leading to the administration of 131 structured questionnaires. A systematic random sampling technique was employed in selecting buildings alo</w:t>
      </w:r>
      <w:r>
        <w:rPr>
          <w:rFonts w:ascii="Times New Roman" w:hAnsi="Times New Roman"/>
        </w:rPr>
        <w:t>ng each sampled street to ensure uniform coverage and minimize selection bias.</w:t>
      </w:r>
    </w:p>
    <w:p w14:paraId="223F2ADD"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In addition to the questionnaire survey, direct field observations and informal interviews were conducted to capture contextual and qualitative insights, particularly regarding </w:t>
      </w:r>
      <w:r>
        <w:rPr>
          <w:rFonts w:ascii="Times New Roman" w:hAnsi="Times New Roman"/>
        </w:rPr>
        <w:t xml:space="preserve">physical development patterns, environmental conditions, and local governance structures within the </w:t>
      </w:r>
      <w:proofErr w:type="spellStart"/>
      <w:r>
        <w:rPr>
          <w:rFonts w:ascii="Times New Roman" w:hAnsi="Times New Roman"/>
        </w:rPr>
        <w:t>neighbourhoods</w:t>
      </w:r>
      <w:proofErr w:type="spellEnd"/>
      <w:r>
        <w:rPr>
          <w:rFonts w:ascii="Times New Roman" w:hAnsi="Times New Roman"/>
        </w:rPr>
        <w:t>.</w:t>
      </w:r>
    </w:p>
    <w:p w14:paraId="6C5C3627" w14:textId="77777777" w:rsidR="00FB5556" w:rsidRDefault="00F85F1C">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 xml:space="preserve">Table 1: Wetland </w:t>
      </w:r>
      <w:proofErr w:type="spellStart"/>
      <w:r>
        <w:rPr>
          <w:rStyle w:val="Strong"/>
          <w:rFonts w:ascii="Times New Roman" w:hAnsi="Times New Roman" w:hint="default"/>
          <w:b/>
          <w:bCs/>
          <w:sz w:val="24"/>
          <w:szCs w:val="24"/>
        </w:rPr>
        <w:t>Neighbourhoods</w:t>
      </w:r>
      <w:proofErr w:type="spellEnd"/>
      <w:r>
        <w:rPr>
          <w:rStyle w:val="Strong"/>
          <w:rFonts w:ascii="Times New Roman" w:hAnsi="Times New Roman" w:hint="default"/>
          <w:b/>
          <w:bCs/>
          <w:sz w:val="24"/>
          <w:szCs w:val="24"/>
        </w:rPr>
        <w:t xml:space="preserve"> in Port Harcourt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2"/>
        <w:gridCol w:w="2616"/>
      </w:tblGrid>
      <w:tr w:rsidR="00FB5556" w14:paraId="3AF9A35A" w14:textId="77777777">
        <w:trPr>
          <w:tblHeader/>
          <w:tblCellSpacing w:w="15" w:type="dxa"/>
        </w:trPr>
        <w:tc>
          <w:tcPr>
            <w:tcW w:w="0" w:type="auto"/>
            <w:tcBorders>
              <w:top w:val="single" w:sz="4" w:space="0" w:color="auto"/>
              <w:bottom w:val="single" w:sz="4" w:space="0" w:color="auto"/>
            </w:tcBorders>
            <w:vAlign w:val="center"/>
          </w:tcPr>
          <w:p w14:paraId="28965627" w14:textId="77777777" w:rsidR="00FB5556" w:rsidRDefault="00F85F1C">
            <w:pPr>
              <w:spacing w:after="0" w:line="240" w:lineRule="auto"/>
              <w:jc w:val="both"/>
              <w:rPr>
                <w:rFonts w:ascii="Times New Roman" w:hAnsi="Times New Roman"/>
                <w:b/>
                <w:bCs/>
                <w:sz w:val="24"/>
                <w:szCs w:val="24"/>
              </w:rPr>
            </w:pPr>
            <w:r>
              <w:rPr>
                <w:rFonts w:ascii="Times New Roman" w:hAnsi="Times New Roman"/>
                <w:b/>
                <w:bCs/>
                <w:sz w:val="24"/>
                <w:szCs w:val="24"/>
                <w:lang w:bidi="ar"/>
              </w:rPr>
              <w:t>S/N</w:t>
            </w:r>
          </w:p>
        </w:tc>
        <w:tc>
          <w:tcPr>
            <w:tcW w:w="0" w:type="auto"/>
            <w:tcBorders>
              <w:top w:val="single" w:sz="4" w:space="0" w:color="auto"/>
              <w:bottom w:val="single" w:sz="4" w:space="0" w:color="auto"/>
            </w:tcBorders>
            <w:vAlign w:val="center"/>
          </w:tcPr>
          <w:p w14:paraId="2A73E3DF" w14:textId="77777777" w:rsidR="00FB5556" w:rsidRDefault="00F85F1C">
            <w:pPr>
              <w:spacing w:after="0" w:line="240" w:lineRule="auto"/>
              <w:jc w:val="both"/>
              <w:rPr>
                <w:rFonts w:ascii="Times New Roman" w:hAnsi="Times New Roman"/>
                <w:b/>
                <w:bCs/>
                <w:sz w:val="24"/>
                <w:szCs w:val="24"/>
              </w:rPr>
            </w:pPr>
            <w:r>
              <w:rPr>
                <w:rFonts w:ascii="Times New Roman" w:hAnsi="Times New Roman"/>
                <w:b/>
                <w:bCs/>
                <w:sz w:val="24"/>
                <w:szCs w:val="24"/>
                <w:lang w:bidi="ar"/>
              </w:rPr>
              <w:t xml:space="preserve">Wetland </w:t>
            </w:r>
            <w:proofErr w:type="spellStart"/>
            <w:r>
              <w:rPr>
                <w:rFonts w:ascii="Times New Roman" w:hAnsi="Times New Roman"/>
                <w:b/>
                <w:bCs/>
                <w:sz w:val="24"/>
                <w:szCs w:val="24"/>
                <w:lang w:bidi="ar"/>
              </w:rPr>
              <w:t>Neighbourhood</w:t>
            </w:r>
            <w:proofErr w:type="spellEnd"/>
          </w:p>
        </w:tc>
      </w:tr>
      <w:tr w:rsidR="00FB5556" w14:paraId="6E03C48D" w14:textId="77777777">
        <w:trPr>
          <w:tblCellSpacing w:w="15" w:type="dxa"/>
        </w:trPr>
        <w:tc>
          <w:tcPr>
            <w:tcW w:w="0" w:type="auto"/>
            <w:vAlign w:val="center"/>
          </w:tcPr>
          <w:p w14:paraId="15FC7629"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w:t>
            </w:r>
          </w:p>
        </w:tc>
        <w:tc>
          <w:tcPr>
            <w:tcW w:w="0" w:type="auto"/>
            <w:vAlign w:val="center"/>
          </w:tcPr>
          <w:p w14:paraId="114DBACB"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Marine Base</w:t>
            </w:r>
          </w:p>
        </w:tc>
      </w:tr>
      <w:tr w:rsidR="00FB5556" w14:paraId="6F980E06" w14:textId="77777777">
        <w:trPr>
          <w:tblCellSpacing w:w="15" w:type="dxa"/>
        </w:trPr>
        <w:tc>
          <w:tcPr>
            <w:tcW w:w="0" w:type="auto"/>
            <w:vAlign w:val="center"/>
          </w:tcPr>
          <w:p w14:paraId="21984804"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2</w:t>
            </w:r>
          </w:p>
        </w:tc>
        <w:tc>
          <w:tcPr>
            <w:tcW w:w="0" w:type="auto"/>
            <w:vAlign w:val="center"/>
          </w:tcPr>
          <w:p w14:paraId="6A0F7F6B"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Koko Ama</w:t>
            </w:r>
          </w:p>
        </w:tc>
      </w:tr>
      <w:tr w:rsidR="00FB5556" w14:paraId="73B72E88" w14:textId="77777777">
        <w:trPr>
          <w:tblCellSpacing w:w="15" w:type="dxa"/>
        </w:trPr>
        <w:tc>
          <w:tcPr>
            <w:tcW w:w="0" w:type="auto"/>
            <w:vAlign w:val="center"/>
          </w:tcPr>
          <w:p w14:paraId="375EFA6F"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lastRenderedPageBreak/>
              <w:t>3</w:t>
            </w:r>
          </w:p>
        </w:tc>
        <w:tc>
          <w:tcPr>
            <w:tcW w:w="0" w:type="auto"/>
            <w:vAlign w:val="center"/>
          </w:tcPr>
          <w:p w14:paraId="51BA50B6"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Eastern By-pass</w:t>
            </w:r>
          </w:p>
        </w:tc>
      </w:tr>
      <w:tr w:rsidR="00FB5556" w14:paraId="7A807F66" w14:textId="77777777">
        <w:trPr>
          <w:tblCellSpacing w:w="15" w:type="dxa"/>
        </w:trPr>
        <w:tc>
          <w:tcPr>
            <w:tcW w:w="0" w:type="auto"/>
            <w:vAlign w:val="center"/>
          </w:tcPr>
          <w:p w14:paraId="5580FE22"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4</w:t>
            </w:r>
          </w:p>
        </w:tc>
        <w:tc>
          <w:tcPr>
            <w:tcW w:w="0" w:type="auto"/>
            <w:vAlign w:val="center"/>
          </w:tcPr>
          <w:p w14:paraId="50A23964" w14:textId="77777777" w:rsidR="00FB5556" w:rsidRDefault="00F85F1C">
            <w:pPr>
              <w:spacing w:after="0" w:line="240" w:lineRule="auto"/>
              <w:jc w:val="center"/>
              <w:rPr>
                <w:rFonts w:ascii="Times New Roman" w:hAnsi="Times New Roman"/>
                <w:sz w:val="24"/>
                <w:szCs w:val="24"/>
              </w:rPr>
            </w:pPr>
            <w:proofErr w:type="spellStart"/>
            <w:r>
              <w:rPr>
                <w:rFonts w:ascii="Times New Roman" w:hAnsi="Times New Roman"/>
                <w:sz w:val="24"/>
                <w:szCs w:val="24"/>
                <w:lang w:bidi="ar"/>
              </w:rPr>
              <w:t>Okuru</w:t>
            </w:r>
            <w:proofErr w:type="spellEnd"/>
          </w:p>
        </w:tc>
      </w:tr>
      <w:tr w:rsidR="00FB5556" w14:paraId="5A103B7A" w14:textId="77777777">
        <w:trPr>
          <w:tblCellSpacing w:w="15" w:type="dxa"/>
        </w:trPr>
        <w:tc>
          <w:tcPr>
            <w:tcW w:w="0" w:type="auto"/>
            <w:vAlign w:val="center"/>
          </w:tcPr>
          <w:p w14:paraId="2EA47699"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5</w:t>
            </w:r>
          </w:p>
        </w:tc>
        <w:tc>
          <w:tcPr>
            <w:tcW w:w="0" w:type="auto"/>
            <w:vAlign w:val="center"/>
          </w:tcPr>
          <w:p w14:paraId="76669FE0" w14:textId="77777777" w:rsidR="00FB5556" w:rsidRDefault="00F85F1C">
            <w:pPr>
              <w:spacing w:after="0" w:line="240" w:lineRule="auto"/>
              <w:jc w:val="center"/>
              <w:rPr>
                <w:rFonts w:ascii="Times New Roman" w:hAnsi="Times New Roman"/>
                <w:sz w:val="24"/>
                <w:szCs w:val="24"/>
              </w:rPr>
            </w:pPr>
            <w:proofErr w:type="spellStart"/>
            <w:r>
              <w:rPr>
                <w:rFonts w:ascii="Times New Roman" w:hAnsi="Times New Roman"/>
                <w:sz w:val="24"/>
                <w:szCs w:val="24"/>
                <w:lang w:bidi="ar"/>
              </w:rPr>
              <w:t>Ibeto</w:t>
            </w:r>
            <w:proofErr w:type="spellEnd"/>
          </w:p>
        </w:tc>
      </w:tr>
      <w:tr w:rsidR="00FB5556" w14:paraId="2FB18E91" w14:textId="77777777">
        <w:trPr>
          <w:tblCellSpacing w:w="15" w:type="dxa"/>
        </w:trPr>
        <w:tc>
          <w:tcPr>
            <w:tcW w:w="0" w:type="auto"/>
            <w:vAlign w:val="center"/>
          </w:tcPr>
          <w:p w14:paraId="3BC68EC3"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6</w:t>
            </w:r>
          </w:p>
        </w:tc>
        <w:tc>
          <w:tcPr>
            <w:tcW w:w="0" w:type="auto"/>
            <w:vAlign w:val="center"/>
          </w:tcPr>
          <w:p w14:paraId="4B5FA7B4"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New Road</w:t>
            </w:r>
          </w:p>
        </w:tc>
      </w:tr>
      <w:tr w:rsidR="00FB5556" w14:paraId="0CE016F6" w14:textId="77777777">
        <w:trPr>
          <w:tblCellSpacing w:w="15" w:type="dxa"/>
        </w:trPr>
        <w:tc>
          <w:tcPr>
            <w:tcW w:w="0" w:type="auto"/>
            <w:vAlign w:val="center"/>
          </w:tcPr>
          <w:p w14:paraId="49B712EA"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7</w:t>
            </w:r>
          </w:p>
        </w:tc>
        <w:tc>
          <w:tcPr>
            <w:tcW w:w="0" w:type="auto"/>
            <w:vAlign w:val="center"/>
          </w:tcPr>
          <w:p w14:paraId="0F5D645E" w14:textId="77777777" w:rsidR="00FB5556" w:rsidRDefault="00F85F1C">
            <w:pPr>
              <w:spacing w:after="0" w:line="240" w:lineRule="auto"/>
              <w:jc w:val="center"/>
              <w:rPr>
                <w:rFonts w:ascii="Times New Roman" w:hAnsi="Times New Roman"/>
                <w:sz w:val="24"/>
                <w:szCs w:val="24"/>
              </w:rPr>
            </w:pPr>
            <w:proofErr w:type="spellStart"/>
            <w:r>
              <w:rPr>
                <w:rFonts w:ascii="Times New Roman" w:hAnsi="Times New Roman"/>
                <w:sz w:val="24"/>
                <w:szCs w:val="24"/>
                <w:lang w:bidi="ar"/>
              </w:rPr>
              <w:t>Borikiri</w:t>
            </w:r>
            <w:proofErr w:type="spellEnd"/>
            <w:r>
              <w:rPr>
                <w:rFonts w:ascii="Times New Roman" w:hAnsi="Times New Roman"/>
                <w:sz w:val="24"/>
                <w:szCs w:val="24"/>
                <w:lang w:bidi="ar"/>
              </w:rPr>
              <w:t xml:space="preserve"> UPE</w:t>
            </w:r>
          </w:p>
        </w:tc>
      </w:tr>
      <w:tr w:rsidR="00FB5556" w14:paraId="730AEDAD" w14:textId="77777777">
        <w:trPr>
          <w:tblCellSpacing w:w="15" w:type="dxa"/>
        </w:trPr>
        <w:tc>
          <w:tcPr>
            <w:tcW w:w="0" w:type="auto"/>
            <w:vAlign w:val="center"/>
          </w:tcPr>
          <w:p w14:paraId="0BDD804F"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8</w:t>
            </w:r>
          </w:p>
        </w:tc>
        <w:tc>
          <w:tcPr>
            <w:tcW w:w="0" w:type="auto"/>
            <w:vAlign w:val="center"/>
          </w:tcPr>
          <w:p w14:paraId="4B901F3B" w14:textId="77777777" w:rsidR="00FB5556" w:rsidRDefault="00F85F1C">
            <w:pPr>
              <w:spacing w:after="0" w:line="240" w:lineRule="auto"/>
              <w:jc w:val="center"/>
              <w:rPr>
                <w:rFonts w:ascii="Times New Roman" w:hAnsi="Times New Roman"/>
                <w:sz w:val="24"/>
                <w:szCs w:val="24"/>
              </w:rPr>
            </w:pPr>
            <w:proofErr w:type="spellStart"/>
            <w:r>
              <w:rPr>
                <w:rFonts w:ascii="Times New Roman" w:hAnsi="Times New Roman"/>
                <w:sz w:val="24"/>
                <w:szCs w:val="24"/>
                <w:lang w:bidi="ar"/>
              </w:rPr>
              <w:t>Ogbogoro</w:t>
            </w:r>
            <w:proofErr w:type="spellEnd"/>
          </w:p>
        </w:tc>
      </w:tr>
      <w:tr w:rsidR="00FB5556" w14:paraId="1FB6DEDE" w14:textId="77777777">
        <w:trPr>
          <w:tblCellSpacing w:w="15" w:type="dxa"/>
        </w:trPr>
        <w:tc>
          <w:tcPr>
            <w:tcW w:w="0" w:type="auto"/>
            <w:vAlign w:val="center"/>
          </w:tcPr>
          <w:p w14:paraId="054CFE7C"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9</w:t>
            </w:r>
          </w:p>
        </w:tc>
        <w:tc>
          <w:tcPr>
            <w:tcW w:w="0" w:type="auto"/>
            <w:vAlign w:val="center"/>
          </w:tcPr>
          <w:p w14:paraId="75CB9F9A"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Aggrey</w:t>
            </w:r>
          </w:p>
        </w:tc>
      </w:tr>
      <w:tr w:rsidR="00FB5556" w14:paraId="19683803" w14:textId="77777777">
        <w:trPr>
          <w:tblCellSpacing w:w="15" w:type="dxa"/>
        </w:trPr>
        <w:tc>
          <w:tcPr>
            <w:tcW w:w="0" w:type="auto"/>
            <w:vAlign w:val="center"/>
          </w:tcPr>
          <w:p w14:paraId="4590B14E"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10</w:t>
            </w:r>
          </w:p>
        </w:tc>
        <w:tc>
          <w:tcPr>
            <w:tcW w:w="0" w:type="auto"/>
            <w:vAlign w:val="center"/>
          </w:tcPr>
          <w:p w14:paraId="5AEEE230" w14:textId="77777777" w:rsidR="00FB5556" w:rsidRDefault="00F85F1C">
            <w:pPr>
              <w:spacing w:after="0" w:line="240" w:lineRule="auto"/>
              <w:jc w:val="center"/>
              <w:rPr>
                <w:rFonts w:ascii="Times New Roman" w:hAnsi="Times New Roman"/>
                <w:sz w:val="24"/>
                <w:szCs w:val="24"/>
              </w:rPr>
            </w:pPr>
            <w:proofErr w:type="spellStart"/>
            <w:r>
              <w:rPr>
                <w:rFonts w:ascii="Times New Roman" w:hAnsi="Times New Roman"/>
                <w:sz w:val="24"/>
                <w:szCs w:val="24"/>
                <w:lang w:bidi="ar"/>
              </w:rPr>
              <w:t>Ndoki</w:t>
            </w:r>
            <w:proofErr w:type="spellEnd"/>
          </w:p>
        </w:tc>
      </w:tr>
      <w:tr w:rsidR="00FB5556" w14:paraId="7860C0AD" w14:textId="77777777">
        <w:trPr>
          <w:tblCellSpacing w:w="15" w:type="dxa"/>
        </w:trPr>
        <w:tc>
          <w:tcPr>
            <w:tcW w:w="0" w:type="auto"/>
            <w:vAlign w:val="center"/>
          </w:tcPr>
          <w:p w14:paraId="4E398622"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11</w:t>
            </w:r>
          </w:p>
        </w:tc>
        <w:tc>
          <w:tcPr>
            <w:tcW w:w="0" w:type="auto"/>
            <w:vAlign w:val="center"/>
          </w:tcPr>
          <w:p w14:paraId="0FDBA54A" w14:textId="77777777" w:rsidR="00FB5556" w:rsidRDefault="00F85F1C">
            <w:pPr>
              <w:spacing w:after="0" w:line="240" w:lineRule="auto"/>
              <w:jc w:val="center"/>
              <w:rPr>
                <w:rFonts w:ascii="Times New Roman" w:hAnsi="Times New Roman"/>
                <w:sz w:val="24"/>
                <w:szCs w:val="24"/>
              </w:rPr>
            </w:pPr>
            <w:proofErr w:type="spellStart"/>
            <w:r>
              <w:rPr>
                <w:rFonts w:ascii="Times New Roman" w:hAnsi="Times New Roman"/>
                <w:sz w:val="24"/>
                <w:szCs w:val="24"/>
                <w:lang w:bidi="ar"/>
              </w:rPr>
              <w:t>Abuloma</w:t>
            </w:r>
            <w:proofErr w:type="spellEnd"/>
          </w:p>
        </w:tc>
      </w:tr>
      <w:tr w:rsidR="00FB5556" w14:paraId="6971E2A9" w14:textId="77777777">
        <w:trPr>
          <w:tblCellSpacing w:w="15" w:type="dxa"/>
        </w:trPr>
        <w:tc>
          <w:tcPr>
            <w:tcW w:w="0" w:type="auto"/>
            <w:vAlign w:val="center"/>
          </w:tcPr>
          <w:p w14:paraId="32CCA0EA"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12</w:t>
            </w:r>
          </w:p>
        </w:tc>
        <w:tc>
          <w:tcPr>
            <w:tcW w:w="0" w:type="auto"/>
            <w:vAlign w:val="center"/>
          </w:tcPr>
          <w:p w14:paraId="6F45F26B"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Amadi</w:t>
            </w:r>
          </w:p>
        </w:tc>
      </w:tr>
      <w:tr w:rsidR="00FB5556" w14:paraId="55AE3690" w14:textId="77777777">
        <w:trPr>
          <w:tblCellSpacing w:w="15" w:type="dxa"/>
        </w:trPr>
        <w:tc>
          <w:tcPr>
            <w:tcW w:w="0" w:type="auto"/>
            <w:vAlign w:val="center"/>
          </w:tcPr>
          <w:p w14:paraId="51116DE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13</w:t>
            </w:r>
          </w:p>
        </w:tc>
        <w:tc>
          <w:tcPr>
            <w:tcW w:w="0" w:type="auto"/>
            <w:vAlign w:val="center"/>
          </w:tcPr>
          <w:p w14:paraId="24B1D7BD"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Eagle Island</w:t>
            </w:r>
          </w:p>
        </w:tc>
      </w:tr>
      <w:tr w:rsidR="00FB5556" w14:paraId="2F91D347" w14:textId="77777777">
        <w:trPr>
          <w:tblCellSpacing w:w="15" w:type="dxa"/>
        </w:trPr>
        <w:tc>
          <w:tcPr>
            <w:tcW w:w="0" w:type="auto"/>
            <w:vAlign w:val="center"/>
          </w:tcPr>
          <w:p w14:paraId="17702867"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14</w:t>
            </w:r>
          </w:p>
        </w:tc>
        <w:tc>
          <w:tcPr>
            <w:tcW w:w="0" w:type="auto"/>
            <w:vAlign w:val="center"/>
          </w:tcPr>
          <w:p w14:paraId="44CAB516" w14:textId="77777777" w:rsidR="00FB5556" w:rsidRDefault="00F85F1C">
            <w:pPr>
              <w:spacing w:after="0" w:line="240" w:lineRule="auto"/>
              <w:jc w:val="center"/>
              <w:rPr>
                <w:rFonts w:ascii="Times New Roman" w:hAnsi="Times New Roman"/>
                <w:sz w:val="24"/>
                <w:szCs w:val="24"/>
              </w:rPr>
            </w:pPr>
            <w:proofErr w:type="spellStart"/>
            <w:r>
              <w:rPr>
                <w:rFonts w:ascii="Times New Roman" w:hAnsi="Times New Roman"/>
                <w:sz w:val="24"/>
                <w:szCs w:val="24"/>
                <w:lang w:bidi="ar"/>
              </w:rPr>
              <w:t>Rumuoluomeni</w:t>
            </w:r>
            <w:proofErr w:type="spellEnd"/>
          </w:p>
        </w:tc>
      </w:tr>
      <w:tr w:rsidR="00FB5556" w14:paraId="211E60D7" w14:textId="77777777">
        <w:trPr>
          <w:tblCellSpacing w:w="15" w:type="dxa"/>
        </w:trPr>
        <w:tc>
          <w:tcPr>
            <w:tcW w:w="0" w:type="auto"/>
            <w:tcBorders>
              <w:bottom w:val="single" w:sz="4" w:space="0" w:color="auto"/>
            </w:tcBorders>
            <w:vAlign w:val="center"/>
          </w:tcPr>
          <w:p w14:paraId="08630CCF" w14:textId="77777777" w:rsidR="00FB5556" w:rsidRDefault="00F85F1C">
            <w:pPr>
              <w:spacing w:after="0" w:line="240" w:lineRule="auto"/>
              <w:jc w:val="center"/>
              <w:rPr>
                <w:rFonts w:ascii="Times New Roman" w:hAnsi="Times New Roman"/>
                <w:sz w:val="24"/>
                <w:szCs w:val="24"/>
              </w:rPr>
            </w:pPr>
            <w:r>
              <w:rPr>
                <w:rStyle w:val="Strong"/>
                <w:rFonts w:ascii="Times New Roman" w:hAnsi="Times New Roman"/>
                <w:sz w:val="24"/>
                <w:szCs w:val="24"/>
                <w:lang w:bidi="ar"/>
              </w:rPr>
              <w:t>Total</w:t>
            </w:r>
          </w:p>
        </w:tc>
        <w:tc>
          <w:tcPr>
            <w:tcW w:w="0" w:type="auto"/>
            <w:tcBorders>
              <w:bottom w:val="single" w:sz="4" w:space="0" w:color="auto"/>
            </w:tcBorders>
            <w:vAlign w:val="center"/>
          </w:tcPr>
          <w:p w14:paraId="5AEF15A6" w14:textId="77777777" w:rsidR="00FB5556" w:rsidRDefault="00F85F1C">
            <w:pPr>
              <w:spacing w:after="0" w:line="240" w:lineRule="auto"/>
              <w:jc w:val="center"/>
              <w:rPr>
                <w:rFonts w:ascii="Times New Roman" w:hAnsi="Times New Roman"/>
                <w:sz w:val="24"/>
                <w:szCs w:val="24"/>
              </w:rPr>
            </w:pPr>
            <w:r>
              <w:rPr>
                <w:rStyle w:val="Strong"/>
                <w:rFonts w:ascii="Times New Roman" w:hAnsi="Times New Roman"/>
                <w:sz w:val="24"/>
                <w:szCs w:val="24"/>
                <w:lang w:bidi="ar"/>
              </w:rPr>
              <w:t>14</w:t>
            </w:r>
          </w:p>
        </w:tc>
      </w:tr>
    </w:tbl>
    <w:p w14:paraId="2575E249" w14:textId="77777777" w:rsidR="00FB5556" w:rsidRDefault="00F85F1C">
      <w:pPr>
        <w:spacing w:line="240" w:lineRule="auto"/>
        <w:jc w:val="both"/>
        <w:rPr>
          <w:rFonts w:ascii="Times New Roman" w:hAnsi="Times New Roman"/>
          <w:sz w:val="24"/>
          <w:szCs w:val="24"/>
        </w:rPr>
      </w:pPr>
      <w:r>
        <w:rPr>
          <w:rFonts w:ascii="Times New Roman" w:hAnsi="Times New Roman"/>
          <w:sz w:val="24"/>
          <w:szCs w:val="24"/>
        </w:rPr>
        <w:t>Researchers’ Fieldwork 2025</w:t>
      </w:r>
    </w:p>
    <w:p w14:paraId="3676DD9E" w14:textId="77777777" w:rsidR="00FB5556" w:rsidRDefault="00F85F1C">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 xml:space="preserve">Table 2: Sampled </w:t>
      </w:r>
      <w:proofErr w:type="spellStart"/>
      <w:r>
        <w:rPr>
          <w:rStyle w:val="Strong"/>
          <w:rFonts w:ascii="Times New Roman" w:hAnsi="Times New Roman" w:hint="default"/>
          <w:b/>
          <w:bCs/>
          <w:sz w:val="24"/>
          <w:szCs w:val="24"/>
        </w:rPr>
        <w:t>Neighbourhoods</w:t>
      </w:r>
      <w:proofErr w:type="spellEnd"/>
      <w:r>
        <w:rPr>
          <w:rStyle w:val="Strong"/>
          <w:rFonts w:ascii="Times New Roman" w:hAnsi="Times New Roman" w:hint="default"/>
          <w:b/>
          <w:bCs/>
          <w:sz w:val="24"/>
          <w:szCs w:val="24"/>
        </w:rPr>
        <w:t xml:space="preserve"> and Sampling Structure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2"/>
        <w:gridCol w:w="1661"/>
        <w:gridCol w:w="767"/>
        <w:gridCol w:w="1720"/>
        <w:gridCol w:w="1034"/>
        <w:gridCol w:w="2003"/>
      </w:tblGrid>
      <w:tr w:rsidR="00FB5556" w14:paraId="08A681E1" w14:textId="77777777">
        <w:trPr>
          <w:tblHeader/>
          <w:tblCellSpacing w:w="15" w:type="dxa"/>
        </w:trPr>
        <w:tc>
          <w:tcPr>
            <w:tcW w:w="0" w:type="auto"/>
            <w:tcBorders>
              <w:top w:val="single" w:sz="4" w:space="0" w:color="auto"/>
              <w:bottom w:val="single" w:sz="4" w:space="0" w:color="auto"/>
            </w:tcBorders>
            <w:vAlign w:val="center"/>
          </w:tcPr>
          <w:p w14:paraId="0920BABD" w14:textId="77777777" w:rsidR="00FB5556" w:rsidRDefault="00F85F1C">
            <w:pPr>
              <w:spacing w:after="0" w:line="240" w:lineRule="auto"/>
              <w:jc w:val="both"/>
              <w:rPr>
                <w:rFonts w:ascii="Times New Roman" w:hAnsi="Times New Roman"/>
                <w:b/>
                <w:bCs/>
                <w:sz w:val="24"/>
                <w:szCs w:val="24"/>
              </w:rPr>
            </w:pPr>
            <w:r>
              <w:rPr>
                <w:rFonts w:ascii="Times New Roman" w:hAnsi="Times New Roman"/>
                <w:b/>
                <w:bCs/>
                <w:sz w:val="24"/>
                <w:szCs w:val="24"/>
                <w:lang w:bidi="ar"/>
              </w:rPr>
              <w:t>S/N</w:t>
            </w:r>
          </w:p>
        </w:tc>
        <w:tc>
          <w:tcPr>
            <w:tcW w:w="0" w:type="auto"/>
            <w:tcBorders>
              <w:top w:val="single" w:sz="4" w:space="0" w:color="auto"/>
              <w:bottom w:val="single" w:sz="4" w:space="0" w:color="auto"/>
            </w:tcBorders>
            <w:vAlign w:val="center"/>
          </w:tcPr>
          <w:p w14:paraId="47A88AF3" w14:textId="77777777" w:rsidR="00FB5556" w:rsidRDefault="00F85F1C">
            <w:pPr>
              <w:spacing w:after="0" w:line="240" w:lineRule="auto"/>
              <w:jc w:val="both"/>
              <w:rPr>
                <w:rFonts w:ascii="Times New Roman" w:hAnsi="Times New Roman"/>
                <w:b/>
                <w:bCs/>
                <w:sz w:val="24"/>
                <w:szCs w:val="24"/>
              </w:rPr>
            </w:pPr>
            <w:proofErr w:type="spellStart"/>
            <w:r>
              <w:rPr>
                <w:rFonts w:ascii="Times New Roman" w:hAnsi="Times New Roman"/>
                <w:b/>
                <w:bCs/>
                <w:sz w:val="24"/>
                <w:szCs w:val="24"/>
                <w:lang w:bidi="ar"/>
              </w:rPr>
              <w:t>Neighbourhood</w:t>
            </w:r>
            <w:proofErr w:type="spellEnd"/>
          </w:p>
        </w:tc>
        <w:tc>
          <w:tcPr>
            <w:tcW w:w="0" w:type="auto"/>
            <w:tcBorders>
              <w:top w:val="single" w:sz="4" w:space="0" w:color="auto"/>
              <w:bottom w:val="single" w:sz="4" w:space="0" w:color="auto"/>
            </w:tcBorders>
            <w:vAlign w:val="center"/>
          </w:tcPr>
          <w:p w14:paraId="27E75F26" w14:textId="77777777" w:rsidR="00FB5556" w:rsidRDefault="00F85F1C">
            <w:pPr>
              <w:spacing w:after="0" w:line="240" w:lineRule="auto"/>
              <w:jc w:val="both"/>
              <w:rPr>
                <w:rFonts w:ascii="Times New Roman" w:hAnsi="Times New Roman"/>
                <w:b/>
                <w:bCs/>
                <w:sz w:val="24"/>
                <w:szCs w:val="24"/>
              </w:rPr>
            </w:pPr>
            <w:r>
              <w:rPr>
                <w:rFonts w:ascii="Times New Roman" w:hAnsi="Times New Roman"/>
                <w:b/>
                <w:bCs/>
                <w:sz w:val="24"/>
                <w:szCs w:val="24"/>
                <w:lang w:bidi="ar"/>
              </w:rPr>
              <w:t>Streets</w:t>
            </w:r>
          </w:p>
        </w:tc>
        <w:tc>
          <w:tcPr>
            <w:tcW w:w="0" w:type="auto"/>
            <w:tcBorders>
              <w:top w:val="single" w:sz="4" w:space="0" w:color="auto"/>
              <w:bottom w:val="single" w:sz="4" w:space="0" w:color="auto"/>
            </w:tcBorders>
            <w:vAlign w:val="center"/>
          </w:tcPr>
          <w:p w14:paraId="723A0A98" w14:textId="77777777" w:rsidR="00FB5556" w:rsidRDefault="00F85F1C">
            <w:pPr>
              <w:spacing w:after="0" w:line="240" w:lineRule="auto"/>
              <w:jc w:val="both"/>
              <w:rPr>
                <w:rFonts w:ascii="Times New Roman" w:hAnsi="Times New Roman"/>
                <w:b/>
                <w:bCs/>
                <w:sz w:val="24"/>
                <w:szCs w:val="24"/>
              </w:rPr>
            </w:pPr>
            <w:r>
              <w:rPr>
                <w:rFonts w:ascii="Times New Roman" w:hAnsi="Times New Roman"/>
                <w:b/>
                <w:bCs/>
                <w:sz w:val="24"/>
                <w:szCs w:val="24"/>
                <w:lang w:bidi="ar"/>
              </w:rPr>
              <w:t>Sampled Streets</w:t>
            </w:r>
          </w:p>
        </w:tc>
        <w:tc>
          <w:tcPr>
            <w:tcW w:w="0" w:type="auto"/>
            <w:tcBorders>
              <w:top w:val="single" w:sz="4" w:space="0" w:color="auto"/>
              <w:bottom w:val="single" w:sz="4" w:space="0" w:color="auto"/>
            </w:tcBorders>
            <w:vAlign w:val="center"/>
          </w:tcPr>
          <w:p w14:paraId="37B56899" w14:textId="77777777" w:rsidR="00FB5556" w:rsidRDefault="00F85F1C">
            <w:pPr>
              <w:spacing w:after="0" w:line="240" w:lineRule="auto"/>
              <w:jc w:val="both"/>
              <w:rPr>
                <w:rFonts w:ascii="Times New Roman" w:hAnsi="Times New Roman"/>
                <w:b/>
                <w:bCs/>
                <w:sz w:val="24"/>
                <w:szCs w:val="24"/>
              </w:rPr>
            </w:pPr>
            <w:r>
              <w:rPr>
                <w:rFonts w:ascii="Times New Roman" w:hAnsi="Times New Roman"/>
                <w:b/>
                <w:bCs/>
                <w:sz w:val="24"/>
                <w:szCs w:val="24"/>
                <w:lang w:bidi="ar"/>
              </w:rPr>
              <w:t>Buildings</w:t>
            </w:r>
          </w:p>
        </w:tc>
        <w:tc>
          <w:tcPr>
            <w:tcW w:w="0" w:type="auto"/>
            <w:tcBorders>
              <w:top w:val="single" w:sz="4" w:space="0" w:color="auto"/>
              <w:bottom w:val="single" w:sz="4" w:space="0" w:color="auto"/>
            </w:tcBorders>
            <w:vAlign w:val="center"/>
          </w:tcPr>
          <w:p w14:paraId="457A8754" w14:textId="77777777" w:rsidR="00FB5556" w:rsidRDefault="00F85F1C">
            <w:pPr>
              <w:spacing w:after="0" w:line="240" w:lineRule="auto"/>
              <w:jc w:val="both"/>
              <w:rPr>
                <w:rFonts w:ascii="Times New Roman" w:hAnsi="Times New Roman"/>
                <w:b/>
                <w:bCs/>
                <w:sz w:val="24"/>
                <w:szCs w:val="24"/>
              </w:rPr>
            </w:pPr>
            <w:r>
              <w:rPr>
                <w:rFonts w:ascii="Times New Roman" w:hAnsi="Times New Roman"/>
                <w:b/>
                <w:bCs/>
                <w:sz w:val="24"/>
                <w:szCs w:val="24"/>
                <w:lang w:bidi="ar"/>
              </w:rPr>
              <w:t>Sampled Buildings</w:t>
            </w:r>
          </w:p>
        </w:tc>
      </w:tr>
      <w:tr w:rsidR="00FB5556" w14:paraId="327D252F" w14:textId="77777777">
        <w:trPr>
          <w:tblCellSpacing w:w="15" w:type="dxa"/>
        </w:trPr>
        <w:tc>
          <w:tcPr>
            <w:tcW w:w="0" w:type="auto"/>
            <w:vAlign w:val="center"/>
          </w:tcPr>
          <w:p w14:paraId="76D1387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1</w:t>
            </w:r>
          </w:p>
        </w:tc>
        <w:tc>
          <w:tcPr>
            <w:tcW w:w="0" w:type="auto"/>
            <w:vAlign w:val="center"/>
          </w:tcPr>
          <w:p w14:paraId="537092CF" w14:textId="77777777" w:rsidR="00FB5556" w:rsidRDefault="00F85F1C">
            <w:pPr>
              <w:spacing w:after="0" w:line="240" w:lineRule="auto"/>
              <w:jc w:val="both"/>
              <w:rPr>
                <w:rFonts w:ascii="Times New Roman" w:hAnsi="Times New Roman"/>
                <w:sz w:val="24"/>
                <w:szCs w:val="24"/>
              </w:rPr>
            </w:pPr>
            <w:proofErr w:type="spellStart"/>
            <w:r>
              <w:rPr>
                <w:rFonts w:ascii="Times New Roman" w:hAnsi="Times New Roman"/>
                <w:sz w:val="24"/>
                <w:szCs w:val="24"/>
                <w:lang w:bidi="ar"/>
              </w:rPr>
              <w:t>Borikiri</w:t>
            </w:r>
            <w:proofErr w:type="spellEnd"/>
          </w:p>
        </w:tc>
        <w:tc>
          <w:tcPr>
            <w:tcW w:w="0" w:type="auto"/>
            <w:vAlign w:val="center"/>
          </w:tcPr>
          <w:p w14:paraId="20BCFE0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10</w:t>
            </w:r>
          </w:p>
        </w:tc>
        <w:tc>
          <w:tcPr>
            <w:tcW w:w="0" w:type="auto"/>
            <w:vAlign w:val="center"/>
          </w:tcPr>
          <w:p w14:paraId="0D69D219"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4</w:t>
            </w:r>
          </w:p>
        </w:tc>
        <w:tc>
          <w:tcPr>
            <w:tcW w:w="0" w:type="auto"/>
            <w:vAlign w:val="center"/>
          </w:tcPr>
          <w:p w14:paraId="2FADB91D"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127</w:t>
            </w:r>
          </w:p>
        </w:tc>
        <w:tc>
          <w:tcPr>
            <w:tcW w:w="0" w:type="auto"/>
            <w:vAlign w:val="center"/>
          </w:tcPr>
          <w:p w14:paraId="36A35192"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25</w:t>
            </w:r>
          </w:p>
        </w:tc>
      </w:tr>
      <w:tr w:rsidR="00FB5556" w14:paraId="08CE90A3" w14:textId="77777777">
        <w:trPr>
          <w:tblCellSpacing w:w="15" w:type="dxa"/>
        </w:trPr>
        <w:tc>
          <w:tcPr>
            <w:tcW w:w="0" w:type="auto"/>
            <w:vAlign w:val="center"/>
          </w:tcPr>
          <w:p w14:paraId="06083912"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2</w:t>
            </w:r>
          </w:p>
        </w:tc>
        <w:tc>
          <w:tcPr>
            <w:tcW w:w="0" w:type="auto"/>
            <w:vAlign w:val="center"/>
          </w:tcPr>
          <w:p w14:paraId="04821579"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Amadi</w:t>
            </w:r>
          </w:p>
        </w:tc>
        <w:tc>
          <w:tcPr>
            <w:tcW w:w="0" w:type="auto"/>
            <w:vAlign w:val="center"/>
          </w:tcPr>
          <w:p w14:paraId="0D7E83B3"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8</w:t>
            </w:r>
          </w:p>
        </w:tc>
        <w:tc>
          <w:tcPr>
            <w:tcW w:w="0" w:type="auto"/>
            <w:vAlign w:val="center"/>
          </w:tcPr>
          <w:p w14:paraId="498F1B1B"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3</w:t>
            </w:r>
          </w:p>
        </w:tc>
        <w:tc>
          <w:tcPr>
            <w:tcW w:w="0" w:type="auto"/>
            <w:vAlign w:val="center"/>
          </w:tcPr>
          <w:p w14:paraId="120FB3AD"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85</w:t>
            </w:r>
          </w:p>
        </w:tc>
        <w:tc>
          <w:tcPr>
            <w:tcW w:w="0" w:type="auto"/>
            <w:vAlign w:val="center"/>
          </w:tcPr>
          <w:p w14:paraId="7F6CB7A7"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17</w:t>
            </w:r>
          </w:p>
        </w:tc>
      </w:tr>
      <w:tr w:rsidR="00FB5556" w14:paraId="43C6664A" w14:textId="77777777">
        <w:trPr>
          <w:tblCellSpacing w:w="15" w:type="dxa"/>
        </w:trPr>
        <w:tc>
          <w:tcPr>
            <w:tcW w:w="0" w:type="auto"/>
            <w:vAlign w:val="center"/>
          </w:tcPr>
          <w:p w14:paraId="778F6034"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3</w:t>
            </w:r>
          </w:p>
        </w:tc>
        <w:tc>
          <w:tcPr>
            <w:tcW w:w="0" w:type="auto"/>
            <w:vAlign w:val="center"/>
          </w:tcPr>
          <w:p w14:paraId="526AA46C" w14:textId="77777777" w:rsidR="00FB5556" w:rsidRDefault="00F85F1C">
            <w:pPr>
              <w:spacing w:after="0" w:line="240" w:lineRule="auto"/>
              <w:jc w:val="both"/>
              <w:rPr>
                <w:rFonts w:ascii="Times New Roman" w:hAnsi="Times New Roman"/>
                <w:sz w:val="24"/>
                <w:szCs w:val="24"/>
              </w:rPr>
            </w:pPr>
            <w:proofErr w:type="spellStart"/>
            <w:r>
              <w:rPr>
                <w:rFonts w:ascii="Times New Roman" w:hAnsi="Times New Roman"/>
                <w:sz w:val="24"/>
                <w:szCs w:val="24"/>
                <w:lang w:bidi="ar"/>
              </w:rPr>
              <w:t>Rumuoluomeni</w:t>
            </w:r>
            <w:proofErr w:type="spellEnd"/>
          </w:p>
        </w:tc>
        <w:tc>
          <w:tcPr>
            <w:tcW w:w="0" w:type="auto"/>
            <w:vAlign w:val="center"/>
          </w:tcPr>
          <w:p w14:paraId="6032B50C"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13</w:t>
            </w:r>
          </w:p>
        </w:tc>
        <w:tc>
          <w:tcPr>
            <w:tcW w:w="0" w:type="auto"/>
            <w:vAlign w:val="center"/>
          </w:tcPr>
          <w:p w14:paraId="14588A3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5</w:t>
            </w:r>
          </w:p>
        </w:tc>
        <w:tc>
          <w:tcPr>
            <w:tcW w:w="0" w:type="auto"/>
            <w:vAlign w:val="center"/>
          </w:tcPr>
          <w:p w14:paraId="23BA44CE"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164</w:t>
            </w:r>
          </w:p>
        </w:tc>
        <w:tc>
          <w:tcPr>
            <w:tcW w:w="0" w:type="auto"/>
            <w:vAlign w:val="center"/>
          </w:tcPr>
          <w:p w14:paraId="3BEE65DB"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33</w:t>
            </w:r>
          </w:p>
        </w:tc>
      </w:tr>
      <w:tr w:rsidR="00FB5556" w14:paraId="5CD4255D" w14:textId="77777777">
        <w:trPr>
          <w:tblCellSpacing w:w="15" w:type="dxa"/>
        </w:trPr>
        <w:tc>
          <w:tcPr>
            <w:tcW w:w="0" w:type="auto"/>
            <w:vAlign w:val="center"/>
          </w:tcPr>
          <w:p w14:paraId="2D4EF5A8"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4</w:t>
            </w:r>
          </w:p>
        </w:tc>
        <w:tc>
          <w:tcPr>
            <w:tcW w:w="0" w:type="auto"/>
            <w:vAlign w:val="center"/>
          </w:tcPr>
          <w:p w14:paraId="49330087" w14:textId="77777777" w:rsidR="00FB5556" w:rsidRDefault="00F85F1C">
            <w:pPr>
              <w:spacing w:after="0" w:line="240" w:lineRule="auto"/>
              <w:jc w:val="both"/>
              <w:rPr>
                <w:rFonts w:ascii="Times New Roman" w:hAnsi="Times New Roman"/>
                <w:sz w:val="24"/>
                <w:szCs w:val="24"/>
              </w:rPr>
            </w:pPr>
            <w:proofErr w:type="spellStart"/>
            <w:r>
              <w:rPr>
                <w:rFonts w:ascii="Times New Roman" w:hAnsi="Times New Roman"/>
                <w:sz w:val="24"/>
                <w:szCs w:val="24"/>
                <w:lang w:bidi="ar"/>
              </w:rPr>
              <w:t>Ibeto</w:t>
            </w:r>
            <w:proofErr w:type="spellEnd"/>
          </w:p>
        </w:tc>
        <w:tc>
          <w:tcPr>
            <w:tcW w:w="0" w:type="auto"/>
            <w:vAlign w:val="center"/>
          </w:tcPr>
          <w:p w14:paraId="44A8145C"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8</w:t>
            </w:r>
          </w:p>
        </w:tc>
        <w:tc>
          <w:tcPr>
            <w:tcW w:w="0" w:type="auto"/>
            <w:vAlign w:val="center"/>
          </w:tcPr>
          <w:p w14:paraId="7F21D4AD"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3</w:t>
            </w:r>
          </w:p>
        </w:tc>
        <w:tc>
          <w:tcPr>
            <w:tcW w:w="0" w:type="auto"/>
            <w:vAlign w:val="center"/>
          </w:tcPr>
          <w:p w14:paraId="4FE8E71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120</w:t>
            </w:r>
          </w:p>
        </w:tc>
        <w:tc>
          <w:tcPr>
            <w:tcW w:w="0" w:type="auto"/>
            <w:vAlign w:val="center"/>
          </w:tcPr>
          <w:p w14:paraId="34F602BF"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24</w:t>
            </w:r>
          </w:p>
        </w:tc>
      </w:tr>
      <w:tr w:rsidR="00FB5556" w14:paraId="7863040A" w14:textId="77777777">
        <w:trPr>
          <w:tblCellSpacing w:w="15" w:type="dxa"/>
        </w:trPr>
        <w:tc>
          <w:tcPr>
            <w:tcW w:w="0" w:type="auto"/>
            <w:vAlign w:val="center"/>
          </w:tcPr>
          <w:p w14:paraId="51AA41A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5</w:t>
            </w:r>
          </w:p>
        </w:tc>
        <w:tc>
          <w:tcPr>
            <w:tcW w:w="0" w:type="auto"/>
            <w:vAlign w:val="center"/>
          </w:tcPr>
          <w:p w14:paraId="0BA611A5"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Eastern By-pass</w:t>
            </w:r>
          </w:p>
        </w:tc>
        <w:tc>
          <w:tcPr>
            <w:tcW w:w="0" w:type="auto"/>
            <w:vAlign w:val="center"/>
          </w:tcPr>
          <w:p w14:paraId="7CFF9638"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6</w:t>
            </w:r>
          </w:p>
        </w:tc>
        <w:tc>
          <w:tcPr>
            <w:tcW w:w="0" w:type="auto"/>
            <w:vAlign w:val="center"/>
          </w:tcPr>
          <w:p w14:paraId="7432D3C8"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2</w:t>
            </w:r>
          </w:p>
        </w:tc>
        <w:tc>
          <w:tcPr>
            <w:tcW w:w="0" w:type="auto"/>
            <w:vAlign w:val="center"/>
          </w:tcPr>
          <w:p w14:paraId="5CF3A028"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80</w:t>
            </w:r>
          </w:p>
        </w:tc>
        <w:tc>
          <w:tcPr>
            <w:tcW w:w="0" w:type="auto"/>
            <w:vAlign w:val="center"/>
          </w:tcPr>
          <w:p w14:paraId="09540C28"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16</w:t>
            </w:r>
          </w:p>
        </w:tc>
      </w:tr>
      <w:tr w:rsidR="00FB5556" w14:paraId="69AF863D" w14:textId="77777777">
        <w:trPr>
          <w:tblCellSpacing w:w="15" w:type="dxa"/>
        </w:trPr>
        <w:tc>
          <w:tcPr>
            <w:tcW w:w="0" w:type="auto"/>
            <w:vAlign w:val="center"/>
          </w:tcPr>
          <w:p w14:paraId="099EE59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6</w:t>
            </w:r>
          </w:p>
        </w:tc>
        <w:tc>
          <w:tcPr>
            <w:tcW w:w="0" w:type="auto"/>
            <w:vAlign w:val="center"/>
          </w:tcPr>
          <w:p w14:paraId="2FDB0310"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lang w:bidi="ar"/>
              </w:rPr>
              <w:t>New Road</w:t>
            </w:r>
          </w:p>
        </w:tc>
        <w:tc>
          <w:tcPr>
            <w:tcW w:w="0" w:type="auto"/>
            <w:vAlign w:val="center"/>
          </w:tcPr>
          <w:p w14:paraId="0011468C"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10</w:t>
            </w:r>
          </w:p>
        </w:tc>
        <w:tc>
          <w:tcPr>
            <w:tcW w:w="0" w:type="auto"/>
            <w:vAlign w:val="center"/>
          </w:tcPr>
          <w:p w14:paraId="31CC122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4</w:t>
            </w:r>
          </w:p>
        </w:tc>
        <w:tc>
          <w:tcPr>
            <w:tcW w:w="0" w:type="auto"/>
            <w:vAlign w:val="center"/>
          </w:tcPr>
          <w:p w14:paraId="7CE0F280"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144</w:t>
            </w:r>
          </w:p>
        </w:tc>
        <w:tc>
          <w:tcPr>
            <w:tcW w:w="0" w:type="auto"/>
            <w:vAlign w:val="center"/>
          </w:tcPr>
          <w:p w14:paraId="5CC416E7"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lang w:bidi="ar"/>
              </w:rPr>
              <w:t>28</w:t>
            </w:r>
          </w:p>
        </w:tc>
      </w:tr>
      <w:tr w:rsidR="00FB5556" w14:paraId="0D6D992B" w14:textId="77777777">
        <w:trPr>
          <w:tblCellSpacing w:w="15" w:type="dxa"/>
        </w:trPr>
        <w:tc>
          <w:tcPr>
            <w:tcW w:w="0" w:type="auto"/>
            <w:tcBorders>
              <w:bottom w:val="single" w:sz="4" w:space="0" w:color="auto"/>
            </w:tcBorders>
            <w:vAlign w:val="center"/>
          </w:tcPr>
          <w:p w14:paraId="0DBDC8B3" w14:textId="77777777" w:rsidR="00FB5556" w:rsidRDefault="00F85F1C">
            <w:pPr>
              <w:spacing w:after="0" w:line="240" w:lineRule="auto"/>
              <w:jc w:val="both"/>
              <w:rPr>
                <w:rFonts w:ascii="Times New Roman" w:hAnsi="Times New Roman"/>
                <w:sz w:val="24"/>
                <w:szCs w:val="24"/>
              </w:rPr>
            </w:pPr>
            <w:r>
              <w:rPr>
                <w:rStyle w:val="Strong"/>
                <w:rFonts w:ascii="Times New Roman" w:hAnsi="Times New Roman"/>
                <w:sz w:val="24"/>
                <w:szCs w:val="24"/>
                <w:lang w:bidi="ar"/>
              </w:rPr>
              <w:t>Total</w:t>
            </w:r>
          </w:p>
        </w:tc>
        <w:tc>
          <w:tcPr>
            <w:tcW w:w="0" w:type="auto"/>
            <w:tcBorders>
              <w:bottom w:val="single" w:sz="4" w:space="0" w:color="auto"/>
            </w:tcBorders>
            <w:vAlign w:val="center"/>
          </w:tcPr>
          <w:p w14:paraId="44C93C24" w14:textId="77777777" w:rsidR="00FB5556" w:rsidRDefault="00F85F1C">
            <w:pPr>
              <w:spacing w:after="0" w:line="240" w:lineRule="auto"/>
              <w:jc w:val="both"/>
              <w:rPr>
                <w:rFonts w:ascii="Times New Roman" w:hAnsi="Times New Roman"/>
                <w:sz w:val="24"/>
                <w:szCs w:val="24"/>
              </w:rPr>
            </w:pPr>
            <w:r>
              <w:rPr>
                <w:rStyle w:val="Strong"/>
                <w:rFonts w:ascii="Times New Roman" w:hAnsi="Times New Roman"/>
                <w:sz w:val="24"/>
                <w:szCs w:val="24"/>
                <w:lang w:bidi="ar"/>
              </w:rPr>
              <w:t>55</w:t>
            </w:r>
          </w:p>
        </w:tc>
        <w:tc>
          <w:tcPr>
            <w:tcW w:w="0" w:type="auto"/>
            <w:tcBorders>
              <w:bottom w:val="single" w:sz="4" w:space="0" w:color="auto"/>
            </w:tcBorders>
            <w:vAlign w:val="center"/>
          </w:tcPr>
          <w:p w14:paraId="771504FF" w14:textId="77777777" w:rsidR="00FB5556" w:rsidRDefault="00F85F1C">
            <w:pPr>
              <w:spacing w:after="0" w:line="240" w:lineRule="auto"/>
              <w:jc w:val="center"/>
              <w:rPr>
                <w:rFonts w:ascii="Times New Roman" w:hAnsi="Times New Roman"/>
                <w:sz w:val="24"/>
                <w:szCs w:val="24"/>
              </w:rPr>
            </w:pPr>
            <w:r>
              <w:rPr>
                <w:rStyle w:val="Strong"/>
                <w:rFonts w:ascii="Times New Roman" w:hAnsi="Times New Roman"/>
                <w:sz w:val="24"/>
                <w:szCs w:val="24"/>
                <w:lang w:bidi="ar"/>
              </w:rPr>
              <w:t>21</w:t>
            </w:r>
          </w:p>
        </w:tc>
        <w:tc>
          <w:tcPr>
            <w:tcW w:w="0" w:type="auto"/>
            <w:tcBorders>
              <w:bottom w:val="single" w:sz="4" w:space="0" w:color="auto"/>
            </w:tcBorders>
            <w:vAlign w:val="center"/>
          </w:tcPr>
          <w:p w14:paraId="7C6D9542" w14:textId="77777777" w:rsidR="00FB5556" w:rsidRDefault="00F85F1C">
            <w:pPr>
              <w:spacing w:after="0" w:line="240" w:lineRule="auto"/>
              <w:jc w:val="center"/>
              <w:rPr>
                <w:rFonts w:ascii="Times New Roman" w:hAnsi="Times New Roman"/>
                <w:sz w:val="24"/>
                <w:szCs w:val="24"/>
              </w:rPr>
            </w:pPr>
            <w:r>
              <w:rPr>
                <w:rStyle w:val="Strong"/>
                <w:rFonts w:ascii="Times New Roman" w:hAnsi="Times New Roman"/>
                <w:sz w:val="24"/>
                <w:szCs w:val="24"/>
                <w:lang w:bidi="ar"/>
              </w:rPr>
              <w:t>720</w:t>
            </w:r>
          </w:p>
        </w:tc>
        <w:tc>
          <w:tcPr>
            <w:tcW w:w="0" w:type="auto"/>
            <w:tcBorders>
              <w:bottom w:val="single" w:sz="4" w:space="0" w:color="auto"/>
            </w:tcBorders>
            <w:vAlign w:val="center"/>
          </w:tcPr>
          <w:p w14:paraId="1303F11A" w14:textId="77777777" w:rsidR="00FB5556" w:rsidRDefault="00F85F1C">
            <w:pPr>
              <w:spacing w:after="0" w:line="240" w:lineRule="auto"/>
              <w:jc w:val="center"/>
              <w:rPr>
                <w:rFonts w:ascii="Times New Roman" w:hAnsi="Times New Roman"/>
                <w:sz w:val="24"/>
                <w:szCs w:val="24"/>
              </w:rPr>
            </w:pPr>
            <w:r>
              <w:rPr>
                <w:rStyle w:val="Strong"/>
                <w:rFonts w:ascii="Times New Roman" w:hAnsi="Times New Roman"/>
                <w:sz w:val="24"/>
                <w:szCs w:val="24"/>
                <w:lang w:bidi="ar"/>
              </w:rPr>
              <w:t>131</w:t>
            </w:r>
          </w:p>
        </w:tc>
        <w:tc>
          <w:tcPr>
            <w:tcW w:w="0" w:type="auto"/>
            <w:tcBorders>
              <w:bottom w:val="single" w:sz="4" w:space="0" w:color="auto"/>
            </w:tcBorders>
            <w:vAlign w:val="center"/>
          </w:tcPr>
          <w:p w14:paraId="19452A1F" w14:textId="77777777" w:rsidR="00FB5556" w:rsidRDefault="00FB5556">
            <w:pPr>
              <w:spacing w:after="0" w:line="240" w:lineRule="auto"/>
              <w:jc w:val="center"/>
              <w:rPr>
                <w:rFonts w:ascii="Times New Roman" w:hAnsi="Times New Roman"/>
                <w:sz w:val="24"/>
                <w:szCs w:val="24"/>
              </w:rPr>
            </w:pPr>
          </w:p>
        </w:tc>
      </w:tr>
    </w:tbl>
    <w:p w14:paraId="4099B90C" w14:textId="77777777" w:rsidR="00FB5556" w:rsidRDefault="00F85F1C">
      <w:pPr>
        <w:spacing w:line="240" w:lineRule="auto"/>
        <w:jc w:val="both"/>
        <w:rPr>
          <w:rFonts w:ascii="Times New Roman" w:hAnsi="Times New Roman"/>
          <w:sz w:val="24"/>
          <w:szCs w:val="24"/>
        </w:rPr>
      </w:pPr>
      <w:r>
        <w:rPr>
          <w:rFonts w:ascii="Times New Roman" w:hAnsi="Times New Roman"/>
          <w:sz w:val="24"/>
          <w:szCs w:val="24"/>
        </w:rPr>
        <w:t>Researchers’ Fieldwork 2025</w:t>
      </w:r>
    </w:p>
    <w:p w14:paraId="645CE490" w14:textId="77777777" w:rsidR="00FB5556" w:rsidRDefault="00F85F1C">
      <w:pPr>
        <w:pStyle w:val="Heading2"/>
        <w:spacing w:beforeAutospacing="0" w:afterAutospacing="0"/>
        <w:jc w:val="both"/>
        <w:rPr>
          <w:rFonts w:ascii="Times New Roman" w:hAnsi="Times New Roman" w:hint="default"/>
          <w:b w:val="0"/>
          <w:sz w:val="24"/>
          <w:szCs w:val="24"/>
        </w:rPr>
      </w:pPr>
      <w:r>
        <w:rPr>
          <w:rStyle w:val="Strong"/>
          <w:rFonts w:ascii="Times New Roman" w:eastAsia="Calibri Light" w:hAnsi="Times New Roman" w:hint="default"/>
          <w:b/>
          <w:sz w:val="24"/>
          <w:szCs w:val="24"/>
        </w:rPr>
        <w:t xml:space="preserve">6.1 Spatial Analysis of Wetland </w:t>
      </w:r>
      <w:proofErr w:type="spellStart"/>
      <w:r>
        <w:rPr>
          <w:rStyle w:val="Strong"/>
          <w:rFonts w:ascii="Times New Roman" w:eastAsia="Calibri Light" w:hAnsi="Times New Roman" w:hint="default"/>
          <w:b/>
          <w:sz w:val="24"/>
          <w:szCs w:val="24"/>
        </w:rPr>
        <w:t>Neighbourhood</w:t>
      </w:r>
      <w:proofErr w:type="spellEnd"/>
      <w:r>
        <w:rPr>
          <w:rStyle w:val="Strong"/>
          <w:rFonts w:ascii="Times New Roman" w:eastAsia="Calibri Light" w:hAnsi="Times New Roman" w:hint="default"/>
          <w:b/>
          <w:sz w:val="24"/>
          <w:szCs w:val="24"/>
        </w:rPr>
        <w:t xml:space="preserve"> Expansion</w:t>
      </w:r>
    </w:p>
    <w:p w14:paraId="5AB95508"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To complement the socio-economic analysis, spatial analysis techniques were employed to examine the distribution and expansion of wetland </w:t>
      </w:r>
      <w:proofErr w:type="spellStart"/>
      <w:r>
        <w:rPr>
          <w:rFonts w:ascii="Times New Roman" w:hAnsi="Times New Roman"/>
        </w:rPr>
        <w:t>neighbourhoods</w:t>
      </w:r>
      <w:proofErr w:type="spellEnd"/>
      <w:r>
        <w:rPr>
          <w:rFonts w:ascii="Times New Roman" w:hAnsi="Times New Roman"/>
        </w:rPr>
        <w:t xml:space="preserve"> in Port Harcourt.</w:t>
      </w:r>
    </w:p>
    <w:p w14:paraId="13000341" w14:textId="77777777" w:rsidR="00FB5556" w:rsidRDefault="00F85F1C">
      <w:pPr>
        <w:pStyle w:val="NormalWeb"/>
        <w:spacing w:beforeAutospacing="0" w:afterAutospacing="0"/>
        <w:jc w:val="both"/>
        <w:rPr>
          <w:rFonts w:ascii="Times New Roman" w:hAnsi="Times New Roman"/>
        </w:rPr>
      </w:pPr>
      <w:r>
        <w:rPr>
          <w:rFonts w:ascii="Times New Roman" w:hAnsi="Times New Roman"/>
        </w:rPr>
        <w:t>Geospatial data were obtained from satellite imagery, existin</w:t>
      </w:r>
      <w:r>
        <w:rPr>
          <w:rFonts w:ascii="Times New Roman" w:hAnsi="Times New Roman"/>
        </w:rPr>
        <w:t>g land-use maps, and field observations. The spatial analysis involved:</w:t>
      </w:r>
    </w:p>
    <w:p w14:paraId="028984F2" w14:textId="77777777" w:rsidR="00FB5556" w:rsidRDefault="00F85F1C">
      <w:pPr>
        <w:pStyle w:val="NormalWeb"/>
        <w:numPr>
          <w:ilvl w:val="0"/>
          <w:numId w:val="2"/>
        </w:numPr>
        <w:spacing w:beforeAutospacing="0" w:afterAutospacing="0"/>
        <w:jc w:val="both"/>
        <w:rPr>
          <w:rFonts w:ascii="Times New Roman" w:hAnsi="Times New Roman"/>
        </w:rPr>
      </w:pPr>
      <w:r>
        <w:rPr>
          <w:rFonts w:ascii="Times New Roman" w:hAnsi="Times New Roman"/>
        </w:rPr>
        <w:t xml:space="preserve">Mapping the location of identified wetland </w:t>
      </w:r>
      <w:proofErr w:type="spellStart"/>
      <w:r>
        <w:rPr>
          <w:rFonts w:ascii="Times New Roman" w:hAnsi="Times New Roman"/>
        </w:rPr>
        <w:t>neighbourhoods</w:t>
      </w:r>
      <w:proofErr w:type="spellEnd"/>
    </w:p>
    <w:p w14:paraId="70BDF175" w14:textId="77777777" w:rsidR="00FB5556" w:rsidRDefault="00F85F1C">
      <w:pPr>
        <w:pStyle w:val="NormalWeb"/>
        <w:numPr>
          <w:ilvl w:val="0"/>
          <w:numId w:val="2"/>
        </w:numPr>
        <w:spacing w:beforeAutospacing="0" w:afterAutospacing="0"/>
        <w:jc w:val="both"/>
        <w:rPr>
          <w:rFonts w:ascii="Times New Roman" w:hAnsi="Times New Roman"/>
        </w:rPr>
      </w:pPr>
      <w:r>
        <w:rPr>
          <w:rFonts w:ascii="Times New Roman" w:hAnsi="Times New Roman"/>
        </w:rPr>
        <w:t>Overlaying settlement patterns on wetland and flood-prone zones</w:t>
      </w:r>
    </w:p>
    <w:p w14:paraId="41E50287" w14:textId="77777777" w:rsidR="00FB5556" w:rsidRDefault="00F85F1C">
      <w:pPr>
        <w:pStyle w:val="NormalWeb"/>
        <w:numPr>
          <w:ilvl w:val="0"/>
          <w:numId w:val="2"/>
        </w:numPr>
        <w:spacing w:beforeAutospacing="0" w:afterAutospacing="0"/>
        <w:jc w:val="both"/>
        <w:rPr>
          <w:rFonts w:ascii="Times New Roman" w:hAnsi="Times New Roman"/>
        </w:rPr>
      </w:pPr>
      <w:r>
        <w:rPr>
          <w:rFonts w:ascii="Times New Roman" w:hAnsi="Times New Roman"/>
        </w:rPr>
        <w:t>Assessing proximity to major roads and urban infrastructure</w:t>
      </w:r>
    </w:p>
    <w:p w14:paraId="099ECA8A" w14:textId="77777777" w:rsidR="00FB5556" w:rsidRDefault="00F85F1C">
      <w:pPr>
        <w:pStyle w:val="NormalWeb"/>
        <w:numPr>
          <w:ilvl w:val="0"/>
          <w:numId w:val="2"/>
        </w:numPr>
        <w:spacing w:beforeAutospacing="0" w:afterAutospacing="0"/>
        <w:jc w:val="both"/>
        <w:rPr>
          <w:rFonts w:ascii="Times New Roman" w:hAnsi="Times New Roman"/>
        </w:rPr>
      </w:pPr>
      <w:r>
        <w:rPr>
          <w:rFonts w:ascii="Times New Roman" w:hAnsi="Times New Roman"/>
        </w:rPr>
        <w:t>Id</w:t>
      </w:r>
      <w:r>
        <w:rPr>
          <w:rFonts w:ascii="Times New Roman" w:hAnsi="Times New Roman"/>
        </w:rPr>
        <w:t>entifying patterns of spatial clustering</w:t>
      </w:r>
    </w:p>
    <w:p w14:paraId="2BCCCD47"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analysis revealed that wetland </w:t>
      </w:r>
      <w:proofErr w:type="spellStart"/>
      <w:r>
        <w:rPr>
          <w:rFonts w:ascii="Times New Roman" w:hAnsi="Times New Roman"/>
        </w:rPr>
        <w:t>neighbourhoods</w:t>
      </w:r>
      <w:proofErr w:type="spellEnd"/>
      <w:r>
        <w:rPr>
          <w:rFonts w:ascii="Times New Roman" w:hAnsi="Times New Roman"/>
        </w:rPr>
        <w:t xml:space="preserve"> are predominantly concentrated along the southern and western fringes of the city, corresponding with mangrove swamp zones and tidal floodplains. These areas are cha</w:t>
      </w:r>
      <w:r>
        <w:rPr>
          <w:rFonts w:ascii="Times New Roman" w:hAnsi="Times New Roman"/>
        </w:rPr>
        <w:t>racterized by high environmental vulnerability but remain attractive due to their proximity to the urban core.</w:t>
      </w:r>
    </w:p>
    <w:p w14:paraId="6AEBD8A9" w14:textId="77777777" w:rsidR="00FB5556" w:rsidRDefault="00F85F1C">
      <w:pPr>
        <w:pStyle w:val="NormalWeb"/>
        <w:spacing w:beforeAutospacing="0" w:afterAutospacing="0"/>
        <w:jc w:val="both"/>
        <w:rPr>
          <w:rFonts w:ascii="Times New Roman" w:hAnsi="Times New Roman"/>
        </w:rPr>
      </w:pPr>
      <w:r>
        <w:rPr>
          <w:rFonts w:ascii="Times New Roman" w:hAnsi="Times New Roman"/>
        </w:rPr>
        <w:lastRenderedPageBreak/>
        <w:t xml:space="preserve">Further spatial examination indicates that the expansion of these </w:t>
      </w:r>
      <w:proofErr w:type="spellStart"/>
      <w:r>
        <w:rPr>
          <w:rFonts w:ascii="Times New Roman" w:hAnsi="Times New Roman"/>
        </w:rPr>
        <w:t>neighbourhoods</w:t>
      </w:r>
      <w:proofErr w:type="spellEnd"/>
      <w:r>
        <w:rPr>
          <w:rFonts w:ascii="Times New Roman" w:hAnsi="Times New Roman"/>
        </w:rPr>
        <w:t xml:space="preserve"> has led to the encroachment on natural drainage channels, contri</w:t>
      </w:r>
      <w:r>
        <w:rPr>
          <w:rFonts w:ascii="Times New Roman" w:hAnsi="Times New Roman"/>
        </w:rPr>
        <w:t>buting to increased flooding within both the wetland settlements and adjoining inner-city areas.</w:t>
      </w:r>
    </w:p>
    <w:p w14:paraId="74E3AA40"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spatial pattern also suggests a transition from dispersed informal settlements to more organized but unregulated </w:t>
      </w:r>
      <w:proofErr w:type="spellStart"/>
      <w:r>
        <w:rPr>
          <w:rFonts w:ascii="Times New Roman" w:hAnsi="Times New Roman"/>
        </w:rPr>
        <w:t>neighbourhood</w:t>
      </w:r>
      <w:proofErr w:type="spellEnd"/>
      <w:r>
        <w:rPr>
          <w:rFonts w:ascii="Times New Roman" w:hAnsi="Times New Roman"/>
        </w:rPr>
        <w:t xml:space="preserve"> layouts, reflecting the grow</w:t>
      </w:r>
      <w:r>
        <w:rPr>
          <w:rFonts w:ascii="Times New Roman" w:hAnsi="Times New Roman"/>
        </w:rPr>
        <w:t>ing involvement of private developers and middle-income residents.</w:t>
      </w:r>
    </w:p>
    <w:p w14:paraId="5D0757F4" w14:textId="77777777" w:rsidR="00FB5556" w:rsidRDefault="00FB5556">
      <w:pPr>
        <w:pStyle w:val="NormalWeb"/>
        <w:spacing w:beforeAutospacing="0" w:afterAutospacing="0"/>
        <w:jc w:val="both"/>
        <w:rPr>
          <w:rFonts w:ascii="Times New Roman" w:hAnsi="Times New Roman"/>
        </w:rPr>
      </w:pPr>
    </w:p>
    <w:p w14:paraId="7DC60B78" w14:textId="77777777" w:rsidR="00FB5556" w:rsidRDefault="00F85F1C">
      <w:pPr>
        <w:pStyle w:val="NormalWeb"/>
        <w:spacing w:beforeAutospacing="0" w:afterAutospacing="0"/>
        <w:jc w:val="both"/>
        <w:rPr>
          <w:rFonts w:ascii="Times New Roman" w:hAnsi="Times New Roman"/>
          <w:b/>
        </w:rPr>
      </w:pPr>
      <w:r>
        <w:rPr>
          <w:rFonts w:ascii="Times New Roman" w:hAnsi="Times New Roman"/>
          <w:b/>
        </w:rPr>
        <w:t>7. Results</w:t>
      </w:r>
    </w:p>
    <w:p w14:paraId="31B30703"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results of the study are presented in two main categories: socio-economic characteristics of residents and environmental and physical attributes of wetland </w:t>
      </w:r>
      <w:proofErr w:type="spellStart"/>
      <w:r>
        <w:rPr>
          <w:rFonts w:ascii="Times New Roman" w:hAnsi="Times New Roman"/>
        </w:rPr>
        <w:t>neighbourhoods</w:t>
      </w:r>
      <w:proofErr w:type="spellEnd"/>
      <w:r>
        <w:rPr>
          <w:rFonts w:ascii="Times New Roman" w:hAnsi="Times New Roman"/>
        </w:rPr>
        <w:t>. I</w:t>
      </w:r>
      <w:r>
        <w:rPr>
          <w:rFonts w:ascii="Times New Roman" w:hAnsi="Times New Roman"/>
        </w:rPr>
        <w:t>n addition to descriptive statistics, the analysis incorporates comparative assessment of land values, income levels, and development patterns to explain the underlying drivers of wetland urbanization.</w:t>
      </w:r>
    </w:p>
    <w:p w14:paraId="3C20C0DA" w14:textId="77777777" w:rsidR="00FB5556" w:rsidRDefault="00F85F1C">
      <w:pPr>
        <w:pStyle w:val="Heading1"/>
        <w:spacing w:beforeAutospacing="0" w:afterAutospacing="0"/>
        <w:jc w:val="both"/>
        <w:rPr>
          <w:rFonts w:ascii="Times New Roman" w:eastAsia="Times New Roman" w:hAnsi="Times New Roman" w:hint="default"/>
          <w:sz w:val="24"/>
          <w:szCs w:val="24"/>
          <w:lang w:val="en-GB" w:eastAsia="en-GB"/>
        </w:rPr>
      </w:pPr>
      <w:r>
        <w:rPr>
          <w:rStyle w:val="Strong"/>
          <w:rFonts w:ascii="Times New Roman" w:hAnsi="Times New Roman" w:hint="default"/>
          <w:b/>
          <w:bCs/>
          <w:sz w:val="24"/>
          <w:szCs w:val="24"/>
        </w:rPr>
        <w:t xml:space="preserve">7.1 Characteristics of Wetland </w:t>
      </w:r>
      <w:proofErr w:type="spellStart"/>
      <w:r>
        <w:rPr>
          <w:rStyle w:val="Strong"/>
          <w:rFonts w:ascii="Times New Roman" w:hAnsi="Times New Roman" w:hint="default"/>
          <w:b/>
          <w:bCs/>
          <w:sz w:val="24"/>
          <w:szCs w:val="24"/>
        </w:rPr>
        <w:t>Neighbourhoods</w:t>
      </w:r>
      <w:proofErr w:type="spellEnd"/>
      <w:r>
        <w:rPr>
          <w:rStyle w:val="Strong"/>
          <w:rFonts w:ascii="Times New Roman" w:hAnsi="Times New Roman" w:hint="default"/>
          <w:b/>
          <w:bCs/>
          <w:sz w:val="24"/>
          <w:szCs w:val="24"/>
        </w:rPr>
        <w:t xml:space="preserve"> in Port Harcourt</w:t>
      </w:r>
    </w:p>
    <w:p w14:paraId="4F933EF7" w14:textId="77777777" w:rsidR="00FB5556" w:rsidRDefault="00F85F1C">
      <w:pPr>
        <w:pStyle w:val="Heading3"/>
        <w:spacing w:before="0" w:line="240" w:lineRule="auto"/>
        <w:jc w:val="both"/>
        <w:rPr>
          <w:rFonts w:ascii="Times New Roman" w:hAnsi="Times New Roman" w:cs="Times New Roman"/>
          <w:color w:val="auto"/>
        </w:rPr>
      </w:pPr>
      <w:r>
        <w:rPr>
          <w:rStyle w:val="Strong"/>
          <w:rFonts w:ascii="Times New Roman" w:hAnsi="Times New Roman" w:cs="Times New Roman"/>
          <w:bCs w:val="0"/>
          <w:color w:val="auto"/>
        </w:rPr>
        <w:t>7.1.1 The Residents: Who Are They?</w:t>
      </w:r>
    </w:p>
    <w:p w14:paraId="5EE3666A"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Land prices and rental values in wetland </w:t>
      </w:r>
      <w:proofErr w:type="spellStart"/>
      <w:r>
        <w:rPr>
          <w:rFonts w:ascii="Times New Roman" w:hAnsi="Times New Roman"/>
        </w:rPr>
        <w:t>neighbourhoods</w:t>
      </w:r>
      <w:proofErr w:type="spellEnd"/>
      <w:r>
        <w:rPr>
          <w:rFonts w:ascii="Times New Roman" w:hAnsi="Times New Roman"/>
        </w:rPr>
        <w:t xml:space="preserve"> are generally lower than those in the inner-core residential areas of </w:t>
      </w:r>
      <w:r>
        <w:rPr>
          <w:rStyle w:val="whitespace-normal"/>
          <w:rFonts w:ascii="Times New Roman" w:hAnsi="Times New Roman"/>
        </w:rPr>
        <w:t>Port Harcourt</w:t>
      </w:r>
      <w:r>
        <w:rPr>
          <w:rFonts w:ascii="Times New Roman" w:hAnsi="Times New Roman"/>
        </w:rPr>
        <w:t xml:space="preserve">, although they remain higher than those observed in traditional </w:t>
      </w:r>
      <w:r>
        <w:rPr>
          <w:rStyle w:val="Emphasis"/>
          <w:rFonts w:ascii="Times New Roman" w:hAnsi="Times New Roman"/>
        </w:rPr>
        <w:t>“waterside”</w:t>
      </w:r>
      <w:r>
        <w:rPr>
          <w:rFonts w:ascii="Times New Roman" w:hAnsi="Times New Roman"/>
        </w:rPr>
        <w:t xml:space="preserve"> settlements. This intermediate cost structure positions wetland </w:t>
      </w:r>
      <w:proofErr w:type="spellStart"/>
      <w:r>
        <w:rPr>
          <w:rFonts w:ascii="Times New Roman" w:hAnsi="Times New Roman"/>
        </w:rPr>
        <w:t>neighbourhoods</w:t>
      </w:r>
      <w:proofErr w:type="spellEnd"/>
      <w:r>
        <w:rPr>
          <w:rFonts w:ascii="Times New Roman" w:hAnsi="Times New Roman"/>
        </w:rPr>
        <w:t xml:space="preserve"> as relatively affordable alternatives within the urban housing market.</w:t>
      </w:r>
    </w:p>
    <w:p w14:paraId="54DCE4CC"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Field evidence, particularly </w:t>
      </w:r>
      <w:r>
        <w:rPr>
          <w:rFonts w:ascii="Times New Roman" w:hAnsi="Times New Roman"/>
        </w:rPr>
        <w:t>relating to land acquisition and the cost-intensive process of site preparation (such as sand filling and foundation reinforcement), indicates that developers in these areas are not predominantly from the low-income category. Rather, the financial requirem</w:t>
      </w:r>
      <w:r>
        <w:rPr>
          <w:rFonts w:ascii="Times New Roman" w:hAnsi="Times New Roman"/>
        </w:rPr>
        <w:t>ents associated with wetland development suggest the increasing participation of middle-income, and in some cases higher-income, groups.</w:t>
      </w:r>
    </w:p>
    <w:p w14:paraId="39423C5A"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This socio-economic profile is further reflected in the nature of the physical structures observed. Although not fully </w:t>
      </w:r>
      <w:r>
        <w:rPr>
          <w:rFonts w:ascii="Times New Roman" w:hAnsi="Times New Roman"/>
        </w:rPr>
        <w:t xml:space="preserve">compliant with modern architectural and planning standards, buildings in these </w:t>
      </w:r>
      <w:proofErr w:type="spellStart"/>
      <w:r>
        <w:rPr>
          <w:rFonts w:ascii="Times New Roman" w:hAnsi="Times New Roman"/>
        </w:rPr>
        <w:t>neighbourhoods</w:t>
      </w:r>
      <w:proofErr w:type="spellEnd"/>
      <w:r>
        <w:rPr>
          <w:rFonts w:ascii="Times New Roman" w:hAnsi="Times New Roman"/>
        </w:rPr>
        <w:t xml:space="preserve"> are typically constructed using permanent materials and exhibit a level of structural investment that distinguishes them from the informal housing commonly found </w:t>
      </w:r>
      <w:r>
        <w:rPr>
          <w:rFonts w:ascii="Times New Roman" w:hAnsi="Times New Roman"/>
        </w:rPr>
        <w:t xml:space="preserve">in </w:t>
      </w:r>
      <w:r>
        <w:rPr>
          <w:rStyle w:val="Emphasis"/>
          <w:rFonts w:ascii="Times New Roman" w:hAnsi="Times New Roman"/>
        </w:rPr>
        <w:t>waterside settlements</w:t>
      </w:r>
      <w:r>
        <w:rPr>
          <w:rFonts w:ascii="Times New Roman" w:hAnsi="Times New Roman"/>
        </w:rPr>
        <w:t>. This represents a clear departure from the substandard and temporary structures traditionally associated with earlier wetland occupation.</w:t>
      </w:r>
    </w:p>
    <w:p w14:paraId="3D122528" w14:textId="77777777" w:rsidR="00FB5556" w:rsidRDefault="00FB5556">
      <w:pPr>
        <w:spacing w:after="0" w:line="240" w:lineRule="auto"/>
        <w:jc w:val="both"/>
        <w:rPr>
          <w:rFonts w:ascii="Times New Roman" w:hAnsi="Times New Roman"/>
          <w:b/>
          <w:sz w:val="24"/>
          <w:szCs w:val="24"/>
        </w:rPr>
      </w:pPr>
    </w:p>
    <w:p w14:paraId="7C284EE9" w14:textId="77777777" w:rsidR="00FB5556" w:rsidRDefault="00FB5556">
      <w:pPr>
        <w:spacing w:after="0" w:line="240" w:lineRule="auto"/>
        <w:jc w:val="both"/>
        <w:rPr>
          <w:rFonts w:ascii="Times New Roman" w:hAnsi="Times New Roman"/>
          <w:b/>
          <w:sz w:val="24"/>
          <w:szCs w:val="24"/>
        </w:rPr>
      </w:pPr>
    </w:p>
    <w:p w14:paraId="3168499D" w14:textId="77777777" w:rsidR="00FB5556" w:rsidRDefault="00FB5556">
      <w:pPr>
        <w:spacing w:after="0" w:line="240" w:lineRule="auto"/>
        <w:jc w:val="both"/>
        <w:rPr>
          <w:rFonts w:ascii="Times New Roman" w:hAnsi="Times New Roman"/>
          <w:b/>
          <w:sz w:val="24"/>
          <w:szCs w:val="24"/>
        </w:rPr>
      </w:pPr>
    </w:p>
    <w:p w14:paraId="08DCE760" w14:textId="77777777" w:rsidR="00FB5556" w:rsidRDefault="00FB5556">
      <w:pPr>
        <w:spacing w:after="0" w:line="240" w:lineRule="auto"/>
        <w:jc w:val="both"/>
        <w:rPr>
          <w:rFonts w:ascii="Times New Roman" w:hAnsi="Times New Roman"/>
          <w:b/>
          <w:sz w:val="24"/>
          <w:szCs w:val="24"/>
        </w:rPr>
      </w:pPr>
    </w:p>
    <w:p w14:paraId="1DA51176" w14:textId="77777777" w:rsidR="00FB5556" w:rsidRDefault="00FB5556">
      <w:pPr>
        <w:spacing w:after="0" w:line="240" w:lineRule="auto"/>
        <w:jc w:val="both"/>
        <w:rPr>
          <w:rFonts w:ascii="Times New Roman" w:hAnsi="Times New Roman"/>
          <w:b/>
          <w:sz w:val="24"/>
          <w:szCs w:val="24"/>
        </w:rPr>
      </w:pPr>
    </w:p>
    <w:p w14:paraId="609BAF8F" w14:textId="77777777" w:rsidR="00FB5556" w:rsidRDefault="00F85F1C">
      <w:pPr>
        <w:spacing w:after="0" w:line="240" w:lineRule="auto"/>
        <w:jc w:val="both"/>
        <w:rPr>
          <w:rFonts w:ascii="Times New Roman" w:hAnsi="Times New Roman"/>
          <w:b/>
          <w:sz w:val="24"/>
          <w:szCs w:val="24"/>
        </w:rPr>
      </w:pPr>
      <w:r>
        <w:rPr>
          <w:rFonts w:ascii="Times New Roman" w:hAnsi="Times New Roman"/>
          <w:b/>
          <w:sz w:val="24"/>
          <w:szCs w:val="24"/>
        </w:rPr>
        <w:t xml:space="preserve">Table 3 Comparative analysis of cost of Land in Wetland </w:t>
      </w:r>
      <w:proofErr w:type="spellStart"/>
      <w:r>
        <w:rPr>
          <w:rFonts w:ascii="Times New Roman" w:hAnsi="Times New Roman"/>
          <w:b/>
          <w:sz w:val="24"/>
          <w:szCs w:val="24"/>
        </w:rPr>
        <w:t>Neighbourhood</w:t>
      </w:r>
      <w:proofErr w:type="spellEnd"/>
      <w:r>
        <w:rPr>
          <w:rFonts w:ascii="Times New Roman" w:hAnsi="Times New Roman"/>
          <w:b/>
          <w:sz w:val="24"/>
          <w:szCs w:val="24"/>
        </w:rPr>
        <w:t xml:space="preserve"> and the Inner-Cit</w:t>
      </w:r>
      <w:r>
        <w:rPr>
          <w:rFonts w:ascii="Times New Roman" w:hAnsi="Times New Roman"/>
          <w:b/>
          <w:sz w:val="24"/>
          <w:szCs w:val="24"/>
        </w:rPr>
        <w:t>y Areas</w:t>
      </w:r>
    </w:p>
    <w:tbl>
      <w:tblPr>
        <w:tblW w:w="0" w:type="auto"/>
        <w:tblInd w:w="468" w:type="dxa"/>
        <w:tblLook w:val="04A0" w:firstRow="1" w:lastRow="0" w:firstColumn="1" w:lastColumn="0" w:noHBand="0" w:noVBand="1"/>
      </w:tblPr>
      <w:tblGrid>
        <w:gridCol w:w="1417"/>
        <w:gridCol w:w="1463"/>
        <w:gridCol w:w="1800"/>
        <w:gridCol w:w="1800"/>
        <w:gridCol w:w="1530"/>
      </w:tblGrid>
      <w:tr w:rsidR="00FB5556" w14:paraId="0F2A7E5D" w14:textId="77777777">
        <w:trPr>
          <w:trHeight w:val="257"/>
        </w:trPr>
        <w:tc>
          <w:tcPr>
            <w:tcW w:w="1417" w:type="dxa"/>
            <w:vMerge w:val="restart"/>
            <w:tcBorders>
              <w:top w:val="single" w:sz="4" w:space="0" w:color="auto"/>
            </w:tcBorders>
          </w:tcPr>
          <w:p w14:paraId="4FAAFD08" w14:textId="77777777" w:rsidR="00FB5556" w:rsidRDefault="00FB5556">
            <w:pPr>
              <w:spacing w:after="0" w:line="240" w:lineRule="auto"/>
              <w:jc w:val="both"/>
              <w:rPr>
                <w:rFonts w:ascii="Times New Roman" w:hAnsi="Times New Roman"/>
                <w:sz w:val="24"/>
                <w:szCs w:val="24"/>
              </w:rPr>
            </w:pPr>
          </w:p>
          <w:p w14:paraId="6DB9EDF3"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Size of Land (in feet)</w:t>
            </w:r>
          </w:p>
        </w:tc>
        <w:tc>
          <w:tcPr>
            <w:tcW w:w="6593" w:type="dxa"/>
            <w:gridSpan w:val="4"/>
            <w:tcBorders>
              <w:top w:val="single" w:sz="4" w:space="0" w:color="auto"/>
            </w:tcBorders>
          </w:tcPr>
          <w:p w14:paraId="10EA7F83"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Average cost of land in 2022(measured in Naira)</w:t>
            </w:r>
          </w:p>
        </w:tc>
      </w:tr>
      <w:tr w:rsidR="00FB5556" w14:paraId="7B76EF14" w14:textId="77777777">
        <w:trPr>
          <w:trHeight w:val="257"/>
        </w:trPr>
        <w:tc>
          <w:tcPr>
            <w:tcW w:w="1417" w:type="dxa"/>
            <w:vMerge/>
            <w:tcBorders>
              <w:bottom w:val="single" w:sz="4" w:space="0" w:color="auto"/>
            </w:tcBorders>
          </w:tcPr>
          <w:p w14:paraId="6C3E6AFB" w14:textId="77777777" w:rsidR="00FB5556" w:rsidRDefault="00FB5556">
            <w:pPr>
              <w:spacing w:after="0" w:line="240" w:lineRule="auto"/>
              <w:jc w:val="both"/>
              <w:rPr>
                <w:rFonts w:ascii="Times New Roman" w:hAnsi="Times New Roman"/>
                <w:sz w:val="24"/>
                <w:szCs w:val="24"/>
              </w:rPr>
            </w:pPr>
          </w:p>
        </w:tc>
        <w:tc>
          <w:tcPr>
            <w:tcW w:w="1463" w:type="dxa"/>
            <w:tcBorders>
              <w:bottom w:val="single" w:sz="4" w:space="0" w:color="auto"/>
            </w:tcBorders>
          </w:tcPr>
          <w:p w14:paraId="319B1E0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Urban Wetland</w:t>
            </w:r>
          </w:p>
        </w:tc>
        <w:tc>
          <w:tcPr>
            <w:tcW w:w="1800" w:type="dxa"/>
            <w:tcBorders>
              <w:bottom w:val="single" w:sz="4" w:space="0" w:color="auto"/>
            </w:tcBorders>
          </w:tcPr>
          <w:p w14:paraId="26DC2D0B" w14:textId="77777777" w:rsidR="00FB5556" w:rsidRDefault="00F85F1C">
            <w:pPr>
              <w:tabs>
                <w:tab w:val="left" w:pos="1807"/>
              </w:tabs>
              <w:spacing w:after="0" w:line="240" w:lineRule="auto"/>
              <w:jc w:val="both"/>
              <w:rPr>
                <w:rFonts w:ascii="Times New Roman" w:hAnsi="Times New Roman"/>
                <w:sz w:val="24"/>
                <w:szCs w:val="24"/>
              </w:rPr>
            </w:pPr>
            <w:r>
              <w:rPr>
                <w:rFonts w:ascii="Times New Roman" w:hAnsi="Times New Roman"/>
                <w:sz w:val="24"/>
                <w:szCs w:val="24"/>
              </w:rPr>
              <w:t xml:space="preserve">High Density Area </w:t>
            </w:r>
          </w:p>
        </w:tc>
        <w:tc>
          <w:tcPr>
            <w:tcW w:w="1800" w:type="dxa"/>
            <w:tcBorders>
              <w:bottom w:val="single" w:sz="4" w:space="0" w:color="auto"/>
            </w:tcBorders>
          </w:tcPr>
          <w:p w14:paraId="67B8B671" w14:textId="77777777" w:rsidR="00FB5556" w:rsidRDefault="00F85F1C">
            <w:pPr>
              <w:tabs>
                <w:tab w:val="left" w:pos="1807"/>
              </w:tabs>
              <w:spacing w:after="0" w:line="240" w:lineRule="auto"/>
              <w:jc w:val="both"/>
              <w:rPr>
                <w:rFonts w:ascii="Times New Roman" w:hAnsi="Times New Roman"/>
                <w:sz w:val="24"/>
                <w:szCs w:val="24"/>
              </w:rPr>
            </w:pPr>
            <w:r>
              <w:rPr>
                <w:rFonts w:ascii="Times New Roman" w:hAnsi="Times New Roman"/>
                <w:sz w:val="24"/>
                <w:szCs w:val="24"/>
              </w:rPr>
              <w:t>Medium Density Area</w:t>
            </w:r>
          </w:p>
        </w:tc>
        <w:tc>
          <w:tcPr>
            <w:tcW w:w="1530" w:type="dxa"/>
            <w:tcBorders>
              <w:bottom w:val="single" w:sz="4" w:space="0" w:color="auto"/>
            </w:tcBorders>
          </w:tcPr>
          <w:p w14:paraId="343BF6C7" w14:textId="77777777" w:rsidR="00FB5556" w:rsidRDefault="00F85F1C">
            <w:pPr>
              <w:tabs>
                <w:tab w:val="left" w:pos="1807"/>
              </w:tabs>
              <w:spacing w:after="0" w:line="240" w:lineRule="auto"/>
              <w:jc w:val="both"/>
              <w:rPr>
                <w:rFonts w:ascii="Times New Roman" w:hAnsi="Times New Roman"/>
                <w:sz w:val="24"/>
                <w:szCs w:val="24"/>
              </w:rPr>
            </w:pPr>
            <w:r>
              <w:rPr>
                <w:rFonts w:ascii="Times New Roman" w:hAnsi="Times New Roman"/>
                <w:sz w:val="24"/>
                <w:szCs w:val="24"/>
              </w:rPr>
              <w:t>Low Density Area</w:t>
            </w:r>
          </w:p>
        </w:tc>
      </w:tr>
      <w:tr w:rsidR="00FB5556" w14:paraId="44B68553" w14:textId="77777777">
        <w:tc>
          <w:tcPr>
            <w:tcW w:w="1417" w:type="dxa"/>
            <w:tcBorders>
              <w:top w:val="single" w:sz="4" w:space="0" w:color="auto"/>
            </w:tcBorders>
          </w:tcPr>
          <w:p w14:paraId="1CBEDAB6"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100x50</w:t>
            </w:r>
          </w:p>
        </w:tc>
        <w:tc>
          <w:tcPr>
            <w:tcW w:w="1463" w:type="dxa"/>
            <w:tcBorders>
              <w:top w:val="single" w:sz="4" w:space="0" w:color="auto"/>
            </w:tcBorders>
          </w:tcPr>
          <w:p w14:paraId="60D9491D"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3.5m</w:t>
            </w:r>
          </w:p>
        </w:tc>
        <w:tc>
          <w:tcPr>
            <w:tcW w:w="1800" w:type="dxa"/>
            <w:tcBorders>
              <w:top w:val="single" w:sz="4" w:space="0" w:color="auto"/>
            </w:tcBorders>
          </w:tcPr>
          <w:p w14:paraId="0AD6C4F1"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15m</w:t>
            </w:r>
          </w:p>
        </w:tc>
        <w:tc>
          <w:tcPr>
            <w:tcW w:w="1800" w:type="dxa"/>
            <w:tcBorders>
              <w:top w:val="single" w:sz="4" w:space="0" w:color="auto"/>
            </w:tcBorders>
          </w:tcPr>
          <w:p w14:paraId="6C4DF823"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18m</w:t>
            </w:r>
          </w:p>
        </w:tc>
        <w:tc>
          <w:tcPr>
            <w:tcW w:w="1530" w:type="dxa"/>
            <w:tcBorders>
              <w:top w:val="single" w:sz="4" w:space="0" w:color="auto"/>
            </w:tcBorders>
          </w:tcPr>
          <w:p w14:paraId="06354576"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35m.</w:t>
            </w:r>
          </w:p>
        </w:tc>
      </w:tr>
      <w:tr w:rsidR="00FB5556" w14:paraId="0F87FC6A" w14:textId="77777777">
        <w:tc>
          <w:tcPr>
            <w:tcW w:w="1417" w:type="dxa"/>
          </w:tcPr>
          <w:p w14:paraId="2925A99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100x25</w:t>
            </w:r>
          </w:p>
        </w:tc>
        <w:tc>
          <w:tcPr>
            <w:tcW w:w="1463" w:type="dxa"/>
          </w:tcPr>
          <w:p w14:paraId="24E85AB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3m</w:t>
            </w:r>
          </w:p>
        </w:tc>
        <w:tc>
          <w:tcPr>
            <w:tcW w:w="1800" w:type="dxa"/>
          </w:tcPr>
          <w:p w14:paraId="00ED6CFD"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12.5m</w:t>
            </w:r>
          </w:p>
        </w:tc>
        <w:tc>
          <w:tcPr>
            <w:tcW w:w="1800" w:type="dxa"/>
          </w:tcPr>
          <w:p w14:paraId="2F7ACA1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15m</w:t>
            </w:r>
          </w:p>
        </w:tc>
        <w:tc>
          <w:tcPr>
            <w:tcW w:w="1530" w:type="dxa"/>
          </w:tcPr>
          <w:p w14:paraId="14A81706"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22.5m</w:t>
            </w:r>
          </w:p>
        </w:tc>
      </w:tr>
      <w:tr w:rsidR="00FB5556" w14:paraId="2A0654AF" w14:textId="77777777">
        <w:tc>
          <w:tcPr>
            <w:tcW w:w="1417" w:type="dxa"/>
          </w:tcPr>
          <w:p w14:paraId="6EEB2551"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50x50</w:t>
            </w:r>
          </w:p>
        </w:tc>
        <w:tc>
          <w:tcPr>
            <w:tcW w:w="1463" w:type="dxa"/>
          </w:tcPr>
          <w:p w14:paraId="4E037C77"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2.5m</w:t>
            </w:r>
          </w:p>
        </w:tc>
        <w:tc>
          <w:tcPr>
            <w:tcW w:w="1800" w:type="dxa"/>
          </w:tcPr>
          <w:p w14:paraId="76CAAFF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12m</w:t>
            </w:r>
          </w:p>
        </w:tc>
        <w:tc>
          <w:tcPr>
            <w:tcW w:w="1800" w:type="dxa"/>
          </w:tcPr>
          <w:p w14:paraId="58CE065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13.5m</w:t>
            </w:r>
          </w:p>
        </w:tc>
        <w:tc>
          <w:tcPr>
            <w:tcW w:w="1530" w:type="dxa"/>
          </w:tcPr>
          <w:p w14:paraId="72D68056"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17.5m.</w:t>
            </w:r>
          </w:p>
        </w:tc>
      </w:tr>
      <w:tr w:rsidR="00FB5556" w14:paraId="534E05C3" w14:textId="77777777">
        <w:tc>
          <w:tcPr>
            <w:tcW w:w="1417" w:type="dxa"/>
            <w:tcBorders>
              <w:bottom w:val="single" w:sz="4" w:space="0" w:color="auto"/>
            </w:tcBorders>
          </w:tcPr>
          <w:p w14:paraId="4FEB97B6"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50x25</w:t>
            </w:r>
          </w:p>
        </w:tc>
        <w:tc>
          <w:tcPr>
            <w:tcW w:w="1463" w:type="dxa"/>
            <w:tcBorders>
              <w:bottom w:val="single" w:sz="4" w:space="0" w:color="auto"/>
            </w:tcBorders>
          </w:tcPr>
          <w:p w14:paraId="1C280EA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2m</w:t>
            </w:r>
          </w:p>
        </w:tc>
        <w:tc>
          <w:tcPr>
            <w:tcW w:w="1800" w:type="dxa"/>
            <w:tcBorders>
              <w:bottom w:val="single" w:sz="4" w:space="0" w:color="auto"/>
            </w:tcBorders>
          </w:tcPr>
          <w:p w14:paraId="47C758A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5m</w:t>
            </w:r>
          </w:p>
        </w:tc>
        <w:tc>
          <w:tcPr>
            <w:tcW w:w="1800" w:type="dxa"/>
            <w:tcBorders>
              <w:bottom w:val="single" w:sz="4" w:space="0" w:color="auto"/>
            </w:tcBorders>
          </w:tcPr>
          <w:p w14:paraId="45A1417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12m</w:t>
            </w:r>
          </w:p>
        </w:tc>
        <w:tc>
          <w:tcPr>
            <w:tcW w:w="1530" w:type="dxa"/>
            <w:tcBorders>
              <w:bottom w:val="single" w:sz="4" w:space="0" w:color="auto"/>
            </w:tcBorders>
          </w:tcPr>
          <w:p w14:paraId="5659EFB6"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15m</w:t>
            </w:r>
          </w:p>
        </w:tc>
      </w:tr>
    </w:tbl>
    <w:p w14:paraId="733FF236" w14:textId="77777777" w:rsidR="00FB5556" w:rsidRDefault="00F85F1C">
      <w:pPr>
        <w:spacing w:after="0" w:line="240" w:lineRule="auto"/>
        <w:jc w:val="center"/>
        <w:rPr>
          <w:rFonts w:ascii="Times New Roman" w:hAnsi="Times New Roman"/>
          <w:sz w:val="24"/>
          <w:szCs w:val="24"/>
          <w:lang w:val="en-GB"/>
        </w:rPr>
      </w:pPr>
      <w:r>
        <w:rPr>
          <w:rFonts w:ascii="Times New Roman" w:hAnsi="Times New Roman"/>
          <w:sz w:val="24"/>
          <w:szCs w:val="24"/>
          <w:lang w:val="en-GB"/>
        </w:rPr>
        <w:t>Researchers’ fieldwork 2025</w:t>
      </w:r>
    </w:p>
    <w:p w14:paraId="773C02CA" w14:textId="77777777" w:rsidR="00FB5556" w:rsidRDefault="00F85F1C">
      <w:pPr>
        <w:pStyle w:val="NormalWeb"/>
        <w:rPr>
          <w:rFonts w:ascii="Times New Roman" w:hAnsi="Times New Roman"/>
        </w:rPr>
      </w:pPr>
      <w:r>
        <w:rPr>
          <w:rFonts w:ascii="Times New Roman" w:hAnsi="Times New Roman"/>
        </w:rPr>
        <w:lastRenderedPageBreak/>
        <w:t xml:space="preserve">Table 3 presents a comparative analysis of land values in wetland </w:t>
      </w:r>
      <w:proofErr w:type="spellStart"/>
      <w:r>
        <w:rPr>
          <w:rFonts w:ascii="Times New Roman" w:hAnsi="Times New Roman"/>
        </w:rPr>
        <w:t>neighbourhoods</w:t>
      </w:r>
      <w:proofErr w:type="spellEnd"/>
      <w:r>
        <w:rPr>
          <w:rFonts w:ascii="Times New Roman" w:hAnsi="Times New Roman"/>
        </w:rPr>
        <w:t xml:space="preserve"> relative to those in the inner-city residential areas, further illustrating the economic positioning of these emerging settlements within the broad</w:t>
      </w:r>
      <w:r>
        <w:rPr>
          <w:rFonts w:ascii="Times New Roman" w:hAnsi="Times New Roman"/>
        </w:rPr>
        <w:t>er urban land market.</w:t>
      </w:r>
    </w:p>
    <w:p w14:paraId="54440547"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 xml:space="preserve">Table 4 Comparative analysis of rent on Common Residential Accommodation Types in Wetland </w:t>
      </w:r>
      <w:proofErr w:type="spellStart"/>
      <w:r>
        <w:rPr>
          <w:rFonts w:ascii="Times New Roman" w:hAnsi="Times New Roman"/>
          <w:b/>
          <w:sz w:val="24"/>
          <w:szCs w:val="24"/>
        </w:rPr>
        <w:t>Neighbourhood</w:t>
      </w:r>
      <w:proofErr w:type="spellEnd"/>
      <w:r>
        <w:rPr>
          <w:rFonts w:ascii="Times New Roman" w:hAnsi="Times New Roman"/>
          <w:b/>
          <w:sz w:val="24"/>
          <w:szCs w:val="24"/>
        </w:rPr>
        <w:t xml:space="preserve"> and the Inner-City Areas (2022)</w:t>
      </w:r>
    </w:p>
    <w:tbl>
      <w:tblPr>
        <w:tblW w:w="9857" w:type="dxa"/>
        <w:tblLook w:val="04A0" w:firstRow="1" w:lastRow="0" w:firstColumn="1" w:lastColumn="0" w:noHBand="0" w:noVBand="1"/>
      </w:tblPr>
      <w:tblGrid>
        <w:gridCol w:w="1915"/>
        <w:gridCol w:w="1915"/>
        <w:gridCol w:w="2090"/>
        <w:gridCol w:w="2018"/>
        <w:gridCol w:w="1919"/>
      </w:tblGrid>
      <w:tr w:rsidR="00FB5556" w14:paraId="10799269" w14:textId="77777777">
        <w:tc>
          <w:tcPr>
            <w:tcW w:w="1915" w:type="dxa"/>
            <w:vMerge w:val="restart"/>
            <w:tcBorders>
              <w:top w:val="single" w:sz="4" w:space="0" w:color="auto"/>
            </w:tcBorders>
          </w:tcPr>
          <w:p w14:paraId="508B6569" w14:textId="77777777" w:rsidR="00FB5556" w:rsidRDefault="00FB5556">
            <w:pPr>
              <w:spacing w:after="0" w:line="240" w:lineRule="auto"/>
              <w:jc w:val="center"/>
              <w:rPr>
                <w:rFonts w:ascii="Times New Roman" w:hAnsi="Times New Roman"/>
                <w:sz w:val="24"/>
                <w:szCs w:val="24"/>
              </w:rPr>
            </w:pPr>
          </w:p>
          <w:p w14:paraId="0EBE4736"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Accommodation Type</w:t>
            </w:r>
          </w:p>
        </w:tc>
        <w:tc>
          <w:tcPr>
            <w:tcW w:w="7942" w:type="dxa"/>
            <w:gridSpan w:val="4"/>
            <w:tcBorders>
              <w:top w:val="single" w:sz="4" w:space="0" w:color="auto"/>
              <w:bottom w:val="single" w:sz="4" w:space="0" w:color="auto"/>
            </w:tcBorders>
          </w:tcPr>
          <w:p w14:paraId="34BEA2D5" w14:textId="77777777" w:rsidR="00FB5556" w:rsidRDefault="00F85F1C">
            <w:pPr>
              <w:spacing w:after="0" w:line="240" w:lineRule="auto"/>
              <w:rPr>
                <w:rFonts w:ascii="Times New Roman" w:hAnsi="Times New Roman"/>
                <w:sz w:val="24"/>
                <w:szCs w:val="24"/>
              </w:rPr>
            </w:pPr>
            <w:r>
              <w:rPr>
                <w:rFonts w:ascii="Times New Roman" w:hAnsi="Times New Roman"/>
                <w:sz w:val="24"/>
                <w:szCs w:val="24"/>
              </w:rPr>
              <w:t>Average Yearly Rent on Residential Accommodation (in Naira)</w:t>
            </w:r>
          </w:p>
        </w:tc>
      </w:tr>
      <w:tr w:rsidR="00FB5556" w14:paraId="3A4CBA4E" w14:textId="77777777">
        <w:tc>
          <w:tcPr>
            <w:tcW w:w="1915" w:type="dxa"/>
            <w:vMerge/>
            <w:tcBorders>
              <w:bottom w:val="single" w:sz="4" w:space="0" w:color="auto"/>
            </w:tcBorders>
          </w:tcPr>
          <w:p w14:paraId="22F26F22" w14:textId="77777777" w:rsidR="00FB5556" w:rsidRDefault="00FB5556">
            <w:pPr>
              <w:spacing w:after="0" w:line="240" w:lineRule="auto"/>
              <w:jc w:val="center"/>
              <w:rPr>
                <w:rFonts w:ascii="Times New Roman" w:hAnsi="Times New Roman"/>
                <w:sz w:val="24"/>
                <w:szCs w:val="24"/>
              </w:rPr>
            </w:pPr>
          </w:p>
        </w:tc>
        <w:tc>
          <w:tcPr>
            <w:tcW w:w="1915" w:type="dxa"/>
            <w:tcBorders>
              <w:top w:val="single" w:sz="4" w:space="0" w:color="auto"/>
              <w:bottom w:val="single" w:sz="4" w:space="0" w:color="auto"/>
            </w:tcBorders>
          </w:tcPr>
          <w:p w14:paraId="499E2C8A"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 xml:space="preserve">Wetland </w:t>
            </w:r>
            <w:proofErr w:type="spellStart"/>
            <w:r>
              <w:rPr>
                <w:rFonts w:ascii="Times New Roman" w:hAnsi="Times New Roman"/>
                <w:sz w:val="24"/>
                <w:szCs w:val="24"/>
              </w:rPr>
              <w:t>Neighbourhood</w:t>
            </w:r>
            <w:proofErr w:type="spellEnd"/>
          </w:p>
        </w:tc>
        <w:tc>
          <w:tcPr>
            <w:tcW w:w="2090" w:type="dxa"/>
            <w:tcBorders>
              <w:top w:val="single" w:sz="4" w:space="0" w:color="auto"/>
              <w:bottom w:val="single" w:sz="4" w:space="0" w:color="auto"/>
            </w:tcBorders>
          </w:tcPr>
          <w:p w14:paraId="541F850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High Density Area</w:t>
            </w:r>
          </w:p>
        </w:tc>
        <w:tc>
          <w:tcPr>
            <w:tcW w:w="2018" w:type="dxa"/>
            <w:tcBorders>
              <w:top w:val="single" w:sz="4" w:space="0" w:color="auto"/>
              <w:bottom w:val="single" w:sz="4" w:space="0" w:color="auto"/>
            </w:tcBorders>
          </w:tcPr>
          <w:p w14:paraId="583EF75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Medium Density Area</w:t>
            </w:r>
          </w:p>
        </w:tc>
        <w:tc>
          <w:tcPr>
            <w:tcW w:w="1917" w:type="dxa"/>
            <w:tcBorders>
              <w:top w:val="single" w:sz="4" w:space="0" w:color="auto"/>
              <w:bottom w:val="single" w:sz="4" w:space="0" w:color="auto"/>
            </w:tcBorders>
          </w:tcPr>
          <w:p w14:paraId="02A2CADA"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Low Density Area</w:t>
            </w:r>
          </w:p>
        </w:tc>
      </w:tr>
      <w:tr w:rsidR="00FB5556" w14:paraId="78381231" w14:textId="77777777">
        <w:tc>
          <w:tcPr>
            <w:tcW w:w="1915" w:type="dxa"/>
            <w:tcBorders>
              <w:top w:val="single" w:sz="4" w:space="0" w:color="auto"/>
            </w:tcBorders>
          </w:tcPr>
          <w:p w14:paraId="2C940327"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Self-Contain</w:t>
            </w:r>
          </w:p>
        </w:tc>
        <w:tc>
          <w:tcPr>
            <w:tcW w:w="1915" w:type="dxa"/>
            <w:tcBorders>
              <w:top w:val="single" w:sz="4" w:space="0" w:color="auto"/>
            </w:tcBorders>
          </w:tcPr>
          <w:p w14:paraId="4549BE38"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200,000</w:t>
            </w:r>
          </w:p>
        </w:tc>
        <w:tc>
          <w:tcPr>
            <w:tcW w:w="2090" w:type="dxa"/>
            <w:tcBorders>
              <w:top w:val="single" w:sz="4" w:space="0" w:color="auto"/>
            </w:tcBorders>
          </w:tcPr>
          <w:p w14:paraId="39133606"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400,000</w:t>
            </w:r>
          </w:p>
        </w:tc>
        <w:tc>
          <w:tcPr>
            <w:tcW w:w="2018" w:type="dxa"/>
            <w:tcBorders>
              <w:top w:val="single" w:sz="4" w:space="0" w:color="auto"/>
            </w:tcBorders>
          </w:tcPr>
          <w:p w14:paraId="310C493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600,000</w:t>
            </w:r>
          </w:p>
        </w:tc>
        <w:tc>
          <w:tcPr>
            <w:tcW w:w="1917" w:type="dxa"/>
            <w:tcBorders>
              <w:top w:val="single" w:sz="4" w:space="0" w:color="auto"/>
            </w:tcBorders>
          </w:tcPr>
          <w:p w14:paraId="3F609B7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1.2m</w:t>
            </w:r>
          </w:p>
        </w:tc>
      </w:tr>
      <w:tr w:rsidR="00FB5556" w14:paraId="19434083" w14:textId="77777777">
        <w:tc>
          <w:tcPr>
            <w:tcW w:w="1915" w:type="dxa"/>
          </w:tcPr>
          <w:p w14:paraId="1A1EE155"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1Bedroom flat</w:t>
            </w:r>
          </w:p>
        </w:tc>
        <w:tc>
          <w:tcPr>
            <w:tcW w:w="1915" w:type="dxa"/>
          </w:tcPr>
          <w:p w14:paraId="2DB7335A"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400,000</w:t>
            </w:r>
          </w:p>
        </w:tc>
        <w:tc>
          <w:tcPr>
            <w:tcW w:w="2090" w:type="dxa"/>
          </w:tcPr>
          <w:p w14:paraId="6839C362"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600,000</w:t>
            </w:r>
          </w:p>
        </w:tc>
        <w:tc>
          <w:tcPr>
            <w:tcW w:w="2018" w:type="dxa"/>
          </w:tcPr>
          <w:p w14:paraId="0B096F94"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800,000</w:t>
            </w:r>
          </w:p>
        </w:tc>
        <w:tc>
          <w:tcPr>
            <w:tcW w:w="1917" w:type="dxa"/>
          </w:tcPr>
          <w:p w14:paraId="040A469A"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2.5m</w:t>
            </w:r>
          </w:p>
        </w:tc>
      </w:tr>
      <w:tr w:rsidR="00FB5556" w14:paraId="3B588EF3" w14:textId="77777777">
        <w:tc>
          <w:tcPr>
            <w:tcW w:w="1915" w:type="dxa"/>
          </w:tcPr>
          <w:p w14:paraId="440EAEC4"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 Bedroom flat</w:t>
            </w:r>
          </w:p>
        </w:tc>
        <w:tc>
          <w:tcPr>
            <w:tcW w:w="1915" w:type="dxa"/>
          </w:tcPr>
          <w:p w14:paraId="0253727E"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600,000</w:t>
            </w:r>
          </w:p>
        </w:tc>
        <w:tc>
          <w:tcPr>
            <w:tcW w:w="2090" w:type="dxa"/>
          </w:tcPr>
          <w:p w14:paraId="565C04B8"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800,000</w:t>
            </w:r>
          </w:p>
        </w:tc>
        <w:tc>
          <w:tcPr>
            <w:tcW w:w="2018" w:type="dxa"/>
          </w:tcPr>
          <w:p w14:paraId="232DE27C"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1million</w:t>
            </w:r>
          </w:p>
        </w:tc>
        <w:tc>
          <w:tcPr>
            <w:tcW w:w="1917" w:type="dxa"/>
          </w:tcPr>
          <w:p w14:paraId="32567F2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3.5million</w:t>
            </w:r>
          </w:p>
        </w:tc>
      </w:tr>
      <w:tr w:rsidR="00FB5556" w14:paraId="5DD1BC06" w14:textId="77777777">
        <w:tc>
          <w:tcPr>
            <w:tcW w:w="1915" w:type="dxa"/>
            <w:tcBorders>
              <w:bottom w:val="single" w:sz="4" w:space="0" w:color="auto"/>
            </w:tcBorders>
          </w:tcPr>
          <w:p w14:paraId="4F70D851"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 Bedroom Flat</w:t>
            </w:r>
          </w:p>
        </w:tc>
        <w:tc>
          <w:tcPr>
            <w:tcW w:w="1915" w:type="dxa"/>
            <w:tcBorders>
              <w:bottom w:val="single" w:sz="4" w:space="0" w:color="auto"/>
            </w:tcBorders>
          </w:tcPr>
          <w:p w14:paraId="372785AD"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700,000</w:t>
            </w:r>
          </w:p>
        </w:tc>
        <w:tc>
          <w:tcPr>
            <w:tcW w:w="2090" w:type="dxa"/>
            <w:tcBorders>
              <w:bottom w:val="single" w:sz="4" w:space="0" w:color="auto"/>
            </w:tcBorders>
          </w:tcPr>
          <w:p w14:paraId="0240070F"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900,000</w:t>
            </w:r>
          </w:p>
        </w:tc>
        <w:tc>
          <w:tcPr>
            <w:tcW w:w="2018" w:type="dxa"/>
            <w:tcBorders>
              <w:bottom w:val="single" w:sz="4" w:space="0" w:color="auto"/>
            </w:tcBorders>
          </w:tcPr>
          <w:p w14:paraId="6D5B695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1.2million</w:t>
            </w:r>
          </w:p>
        </w:tc>
        <w:tc>
          <w:tcPr>
            <w:tcW w:w="1917" w:type="dxa"/>
            <w:tcBorders>
              <w:bottom w:val="single" w:sz="4" w:space="0" w:color="auto"/>
            </w:tcBorders>
          </w:tcPr>
          <w:p w14:paraId="66E44256"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6million</w:t>
            </w:r>
          </w:p>
        </w:tc>
      </w:tr>
    </w:tbl>
    <w:p w14:paraId="522729C4" w14:textId="77777777" w:rsidR="00FB5556" w:rsidRDefault="00F85F1C">
      <w:pPr>
        <w:spacing w:after="0" w:line="240" w:lineRule="auto"/>
        <w:jc w:val="center"/>
        <w:rPr>
          <w:rFonts w:ascii="Times New Roman" w:hAnsi="Times New Roman"/>
          <w:sz w:val="24"/>
          <w:szCs w:val="24"/>
          <w:lang w:val="en-GB"/>
        </w:rPr>
      </w:pPr>
      <w:r>
        <w:rPr>
          <w:rFonts w:ascii="Times New Roman" w:hAnsi="Times New Roman"/>
          <w:sz w:val="24"/>
          <w:szCs w:val="24"/>
          <w:lang w:val="en-GB"/>
        </w:rPr>
        <w:t>Researchers’ fieldwork 2025</w:t>
      </w:r>
    </w:p>
    <w:p w14:paraId="437A1A25" w14:textId="77777777" w:rsidR="00FB5556" w:rsidRDefault="00FB5556">
      <w:pPr>
        <w:spacing w:after="0" w:line="240" w:lineRule="auto"/>
        <w:jc w:val="center"/>
        <w:rPr>
          <w:rFonts w:ascii="Times New Roman" w:hAnsi="Times New Roman"/>
          <w:sz w:val="24"/>
          <w:szCs w:val="24"/>
          <w:lang w:val="en-GB"/>
        </w:rPr>
      </w:pPr>
    </w:p>
    <w:p w14:paraId="3E49E465"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 xml:space="preserve">The analysis indicates that both land values and rental costs in wetland </w:t>
      </w:r>
      <w:proofErr w:type="spellStart"/>
      <w:r>
        <w:rPr>
          <w:rFonts w:ascii="Times New Roman" w:hAnsi="Times New Roman"/>
          <w:sz w:val="24"/>
          <w:szCs w:val="24"/>
        </w:rPr>
        <w:t>neighbourhoods</w:t>
      </w:r>
      <w:proofErr w:type="spellEnd"/>
      <w:r>
        <w:rPr>
          <w:rFonts w:ascii="Times New Roman" w:hAnsi="Times New Roman"/>
          <w:sz w:val="24"/>
          <w:szCs w:val="24"/>
        </w:rPr>
        <w:t xml:space="preserve"> are significantly lower than those in the inner-city areas. This relative affordability serves as a key driver for residential relocation, encouraging many urban dwellers to either build homes or secure rental accommodation within these areas. However, th</w:t>
      </w:r>
      <w:r>
        <w:rPr>
          <w:rFonts w:ascii="Times New Roman" w:hAnsi="Times New Roman"/>
          <w:sz w:val="24"/>
          <w:szCs w:val="24"/>
        </w:rPr>
        <w:t xml:space="preserve">e socio-economic profile of residents suggests that they cannot be classified as the urban poor. This is evident in both the nature of the physical structures developed and the income distribution of residents, as presented in Table 5. </w:t>
      </w:r>
    </w:p>
    <w:p w14:paraId="33CBC032"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Table 5 Monthly Inc</w:t>
      </w:r>
      <w:r>
        <w:rPr>
          <w:rFonts w:ascii="Times New Roman" w:hAnsi="Times New Roman"/>
          <w:b/>
          <w:sz w:val="24"/>
          <w:szCs w:val="24"/>
        </w:rPr>
        <w:t>ome of Residents of Urban Wetland in Port Harcourt</w:t>
      </w:r>
    </w:p>
    <w:tbl>
      <w:tblPr>
        <w:tblW w:w="0" w:type="auto"/>
        <w:jc w:val="center"/>
        <w:tblLook w:val="04A0" w:firstRow="1" w:lastRow="0" w:firstColumn="1" w:lastColumn="0" w:noHBand="0" w:noVBand="1"/>
      </w:tblPr>
      <w:tblGrid>
        <w:gridCol w:w="3192"/>
        <w:gridCol w:w="1452"/>
        <w:gridCol w:w="1843"/>
      </w:tblGrid>
      <w:tr w:rsidR="00FB5556" w14:paraId="5AA8DF49" w14:textId="77777777">
        <w:trPr>
          <w:jc w:val="center"/>
        </w:trPr>
        <w:tc>
          <w:tcPr>
            <w:tcW w:w="3192" w:type="dxa"/>
            <w:tcBorders>
              <w:top w:val="single" w:sz="4" w:space="0" w:color="auto"/>
              <w:bottom w:val="single" w:sz="4" w:space="0" w:color="auto"/>
            </w:tcBorders>
          </w:tcPr>
          <w:p w14:paraId="2A991F46"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Monthly Income (in naira)</w:t>
            </w:r>
          </w:p>
        </w:tc>
        <w:tc>
          <w:tcPr>
            <w:tcW w:w="1452" w:type="dxa"/>
            <w:tcBorders>
              <w:top w:val="single" w:sz="4" w:space="0" w:color="auto"/>
              <w:bottom w:val="single" w:sz="4" w:space="0" w:color="auto"/>
            </w:tcBorders>
          </w:tcPr>
          <w:p w14:paraId="4F51837D"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Frequency</w:t>
            </w:r>
          </w:p>
        </w:tc>
        <w:tc>
          <w:tcPr>
            <w:tcW w:w="1843" w:type="dxa"/>
            <w:tcBorders>
              <w:top w:val="single" w:sz="4" w:space="0" w:color="auto"/>
              <w:bottom w:val="single" w:sz="4" w:space="0" w:color="auto"/>
            </w:tcBorders>
          </w:tcPr>
          <w:p w14:paraId="052E420F"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Percentage (%)</w:t>
            </w:r>
          </w:p>
        </w:tc>
      </w:tr>
      <w:tr w:rsidR="00FB5556" w14:paraId="3157FA08" w14:textId="77777777">
        <w:trPr>
          <w:jc w:val="center"/>
        </w:trPr>
        <w:tc>
          <w:tcPr>
            <w:tcW w:w="3192" w:type="dxa"/>
            <w:tcBorders>
              <w:top w:val="single" w:sz="4" w:space="0" w:color="auto"/>
            </w:tcBorders>
          </w:tcPr>
          <w:p w14:paraId="1B8AE94F"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1000-40999</w:t>
            </w:r>
          </w:p>
        </w:tc>
        <w:tc>
          <w:tcPr>
            <w:tcW w:w="1452" w:type="dxa"/>
            <w:tcBorders>
              <w:top w:val="single" w:sz="4" w:space="0" w:color="auto"/>
            </w:tcBorders>
          </w:tcPr>
          <w:p w14:paraId="3B2543DB"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10</w:t>
            </w:r>
          </w:p>
        </w:tc>
        <w:tc>
          <w:tcPr>
            <w:tcW w:w="1843" w:type="dxa"/>
            <w:tcBorders>
              <w:top w:val="single" w:sz="4" w:space="0" w:color="auto"/>
            </w:tcBorders>
          </w:tcPr>
          <w:p w14:paraId="1FA8FF54"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7.6</w:t>
            </w:r>
          </w:p>
        </w:tc>
      </w:tr>
      <w:tr w:rsidR="00FB5556" w14:paraId="39895E45" w14:textId="77777777">
        <w:trPr>
          <w:jc w:val="center"/>
        </w:trPr>
        <w:tc>
          <w:tcPr>
            <w:tcW w:w="3192" w:type="dxa"/>
          </w:tcPr>
          <w:p w14:paraId="171FC772"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50000-90999</w:t>
            </w:r>
          </w:p>
        </w:tc>
        <w:tc>
          <w:tcPr>
            <w:tcW w:w="1452" w:type="dxa"/>
          </w:tcPr>
          <w:p w14:paraId="39331F48"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15</w:t>
            </w:r>
          </w:p>
        </w:tc>
        <w:tc>
          <w:tcPr>
            <w:tcW w:w="1843" w:type="dxa"/>
          </w:tcPr>
          <w:p w14:paraId="7943CFD7"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11.4</w:t>
            </w:r>
          </w:p>
        </w:tc>
      </w:tr>
      <w:tr w:rsidR="00FB5556" w14:paraId="5F0BA131" w14:textId="77777777">
        <w:trPr>
          <w:jc w:val="center"/>
        </w:trPr>
        <w:tc>
          <w:tcPr>
            <w:tcW w:w="3192" w:type="dxa"/>
          </w:tcPr>
          <w:p w14:paraId="65F25DF2"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100000-140,999</w:t>
            </w:r>
          </w:p>
        </w:tc>
        <w:tc>
          <w:tcPr>
            <w:tcW w:w="1452" w:type="dxa"/>
          </w:tcPr>
          <w:p w14:paraId="1E0B07CD"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20</w:t>
            </w:r>
          </w:p>
        </w:tc>
        <w:tc>
          <w:tcPr>
            <w:tcW w:w="1843" w:type="dxa"/>
          </w:tcPr>
          <w:p w14:paraId="2836F2C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15.2</w:t>
            </w:r>
          </w:p>
        </w:tc>
      </w:tr>
      <w:tr w:rsidR="00FB5556" w14:paraId="2B646536" w14:textId="77777777">
        <w:trPr>
          <w:jc w:val="center"/>
        </w:trPr>
        <w:tc>
          <w:tcPr>
            <w:tcW w:w="3192" w:type="dxa"/>
          </w:tcPr>
          <w:p w14:paraId="5C33AEC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150,000190,999</w:t>
            </w:r>
          </w:p>
        </w:tc>
        <w:tc>
          <w:tcPr>
            <w:tcW w:w="1452" w:type="dxa"/>
          </w:tcPr>
          <w:p w14:paraId="45C55AFE"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20</w:t>
            </w:r>
          </w:p>
        </w:tc>
        <w:tc>
          <w:tcPr>
            <w:tcW w:w="1843" w:type="dxa"/>
          </w:tcPr>
          <w:p w14:paraId="3F40936C"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15.2</w:t>
            </w:r>
          </w:p>
        </w:tc>
      </w:tr>
      <w:tr w:rsidR="00FB5556" w14:paraId="093176B5" w14:textId="77777777">
        <w:trPr>
          <w:jc w:val="center"/>
        </w:trPr>
        <w:tc>
          <w:tcPr>
            <w:tcW w:w="3192" w:type="dxa"/>
          </w:tcPr>
          <w:p w14:paraId="458B8D54"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200,000-240,999</w:t>
            </w:r>
          </w:p>
        </w:tc>
        <w:tc>
          <w:tcPr>
            <w:tcW w:w="1452" w:type="dxa"/>
          </w:tcPr>
          <w:p w14:paraId="15B998A6"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18</w:t>
            </w:r>
          </w:p>
        </w:tc>
        <w:tc>
          <w:tcPr>
            <w:tcW w:w="1843" w:type="dxa"/>
          </w:tcPr>
          <w:p w14:paraId="0C21D693"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13.7=</w:t>
            </w:r>
          </w:p>
        </w:tc>
      </w:tr>
      <w:tr w:rsidR="00FB5556" w14:paraId="6DC21FB0" w14:textId="77777777">
        <w:trPr>
          <w:jc w:val="center"/>
        </w:trPr>
        <w:tc>
          <w:tcPr>
            <w:tcW w:w="3192" w:type="dxa"/>
          </w:tcPr>
          <w:p w14:paraId="49A3C529"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250,000-290,999</w:t>
            </w:r>
          </w:p>
        </w:tc>
        <w:tc>
          <w:tcPr>
            <w:tcW w:w="1452" w:type="dxa"/>
          </w:tcPr>
          <w:p w14:paraId="2ACF93B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15</w:t>
            </w:r>
          </w:p>
        </w:tc>
        <w:tc>
          <w:tcPr>
            <w:tcW w:w="1843" w:type="dxa"/>
          </w:tcPr>
          <w:p w14:paraId="78624A1C"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11.4</w:t>
            </w:r>
          </w:p>
        </w:tc>
      </w:tr>
      <w:tr w:rsidR="00FB5556" w14:paraId="6BB7A43C" w14:textId="77777777">
        <w:trPr>
          <w:jc w:val="center"/>
        </w:trPr>
        <w:tc>
          <w:tcPr>
            <w:tcW w:w="3192" w:type="dxa"/>
          </w:tcPr>
          <w:p w14:paraId="4B46852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300,000-340999</w:t>
            </w:r>
          </w:p>
        </w:tc>
        <w:tc>
          <w:tcPr>
            <w:tcW w:w="1452" w:type="dxa"/>
          </w:tcPr>
          <w:p w14:paraId="6B6FA18E"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21</w:t>
            </w:r>
          </w:p>
        </w:tc>
        <w:tc>
          <w:tcPr>
            <w:tcW w:w="1843" w:type="dxa"/>
          </w:tcPr>
          <w:p w14:paraId="3495A3BF"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16</w:t>
            </w:r>
          </w:p>
        </w:tc>
      </w:tr>
      <w:tr w:rsidR="00FB5556" w14:paraId="457B9CA9" w14:textId="77777777">
        <w:trPr>
          <w:jc w:val="center"/>
        </w:trPr>
        <w:tc>
          <w:tcPr>
            <w:tcW w:w="3192" w:type="dxa"/>
          </w:tcPr>
          <w:p w14:paraId="7F24876E"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350,000-390,999</w:t>
            </w:r>
          </w:p>
        </w:tc>
        <w:tc>
          <w:tcPr>
            <w:tcW w:w="1452" w:type="dxa"/>
          </w:tcPr>
          <w:p w14:paraId="376C8E0F"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8</w:t>
            </w:r>
          </w:p>
        </w:tc>
        <w:tc>
          <w:tcPr>
            <w:tcW w:w="1843" w:type="dxa"/>
          </w:tcPr>
          <w:p w14:paraId="5A929C1B"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6.1</w:t>
            </w:r>
          </w:p>
        </w:tc>
      </w:tr>
      <w:tr w:rsidR="00FB5556" w14:paraId="77EBAC76" w14:textId="77777777">
        <w:trPr>
          <w:jc w:val="center"/>
        </w:trPr>
        <w:tc>
          <w:tcPr>
            <w:tcW w:w="3192" w:type="dxa"/>
          </w:tcPr>
          <w:p w14:paraId="3235EBF7"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400,000+</w:t>
            </w:r>
          </w:p>
        </w:tc>
        <w:tc>
          <w:tcPr>
            <w:tcW w:w="1452" w:type="dxa"/>
          </w:tcPr>
          <w:p w14:paraId="59AA4423"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Pr>
          <w:p w14:paraId="7404D1A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3.1</w:t>
            </w:r>
          </w:p>
        </w:tc>
      </w:tr>
      <w:tr w:rsidR="00FB5556" w14:paraId="12926C8D" w14:textId="77777777">
        <w:trPr>
          <w:trHeight w:val="55"/>
          <w:jc w:val="center"/>
        </w:trPr>
        <w:tc>
          <w:tcPr>
            <w:tcW w:w="3192" w:type="dxa"/>
            <w:tcBorders>
              <w:bottom w:val="single" w:sz="4" w:space="0" w:color="auto"/>
            </w:tcBorders>
          </w:tcPr>
          <w:p w14:paraId="27441F15"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Total</w:t>
            </w:r>
          </w:p>
        </w:tc>
        <w:tc>
          <w:tcPr>
            <w:tcW w:w="1452" w:type="dxa"/>
            <w:tcBorders>
              <w:bottom w:val="single" w:sz="4" w:space="0" w:color="auto"/>
            </w:tcBorders>
          </w:tcPr>
          <w:p w14:paraId="7B6937FA"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131</w:t>
            </w:r>
          </w:p>
        </w:tc>
        <w:tc>
          <w:tcPr>
            <w:tcW w:w="1843" w:type="dxa"/>
            <w:tcBorders>
              <w:bottom w:val="single" w:sz="4" w:space="0" w:color="auto"/>
            </w:tcBorders>
          </w:tcPr>
          <w:p w14:paraId="0E955960"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100</w:t>
            </w:r>
          </w:p>
        </w:tc>
      </w:tr>
    </w:tbl>
    <w:p w14:paraId="165B2B4D" w14:textId="77777777" w:rsidR="00FB5556" w:rsidRDefault="00F85F1C">
      <w:pPr>
        <w:spacing w:line="240" w:lineRule="auto"/>
        <w:jc w:val="center"/>
        <w:rPr>
          <w:rFonts w:ascii="Times New Roman" w:hAnsi="Times New Roman"/>
          <w:sz w:val="24"/>
          <w:szCs w:val="24"/>
          <w:lang w:val="en-GB"/>
        </w:rPr>
      </w:pPr>
      <w:r>
        <w:rPr>
          <w:rFonts w:ascii="Times New Roman" w:hAnsi="Times New Roman"/>
          <w:sz w:val="24"/>
          <w:szCs w:val="24"/>
          <w:lang w:val="en-GB"/>
        </w:rPr>
        <w:t>Researchers’ fieldwork 2025</w:t>
      </w:r>
    </w:p>
    <w:p w14:paraId="4298E6CA"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The national minimum wage in Nigeria currently ranges between ₦70,000 and ₦80,000. However, the income distribution of residents in the study area reveals that only 19% earn below ₦100,000 per month, a threshold which, given prevailing inflationary conditi</w:t>
      </w:r>
      <w:r>
        <w:rPr>
          <w:rFonts w:ascii="Times New Roman" w:eastAsia="Times New Roman" w:hAnsi="Times New Roman"/>
          <w:sz w:val="24"/>
          <w:szCs w:val="24"/>
          <w:lang w:val="en-GB" w:eastAsia="en-GB"/>
        </w:rPr>
        <w:t>ons, may reasonably be classified as low income. The majority of respondents fall within the middle-income bracket, with 55% earning between ₦100,000 and ₦290,999, while a further 22.1% earn between ₦300,000 and ₦390,999.</w:t>
      </w:r>
    </w:p>
    <w:p w14:paraId="7EDAA799"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These findings suggest that, altho</w:t>
      </w:r>
      <w:r>
        <w:rPr>
          <w:rFonts w:ascii="Times New Roman" w:eastAsia="Times New Roman" w:hAnsi="Times New Roman"/>
          <w:sz w:val="24"/>
          <w:szCs w:val="24"/>
          <w:lang w:val="en-GB" w:eastAsia="en-GB"/>
        </w:rPr>
        <w:t>ugh many residents may not possess sufficient financial capacity to access land or housing in the high-cost inner-city areas, they cannot be categorized as the urban poor. Rather, they represent a relatively stable, economically active population with mode</w:t>
      </w:r>
      <w:r>
        <w:rPr>
          <w:rFonts w:ascii="Times New Roman" w:eastAsia="Times New Roman" w:hAnsi="Times New Roman"/>
          <w:sz w:val="24"/>
          <w:szCs w:val="24"/>
          <w:lang w:val="en-GB" w:eastAsia="en-GB"/>
        </w:rPr>
        <w:t xml:space="preserve">rate </w:t>
      </w:r>
      <w:r>
        <w:rPr>
          <w:rFonts w:ascii="Times New Roman" w:eastAsia="Times New Roman" w:hAnsi="Times New Roman"/>
          <w:sz w:val="24"/>
          <w:szCs w:val="24"/>
          <w:lang w:val="en-GB" w:eastAsia="en-GB"/>
        </w:rPr>
        <w:lastRenderedPageBreak/>
        <w:t>income levels. This is further supported by their educational attainment and employment status, as presented in Tables 4 and 5.</w:t>
      </w:r>
    </w:p>
    <w:p w14:paraId="255C9F15" w14:textId="77777777" w:rsidR="00FB5556" w:rsidRDefault="00F85F1C">
      <w:pPr>
        <w:spacing w:after="0" w:line="240" w:lineRule="auto"/>
        <w:jc w:val="both"/>
        <w:rPr>
          <w:rFonts w:ascii="Times New Roman" w:hAnsi="Times New Roman"/>
          <w:b/>
          <w:sz w:val="24"/>
          <w:szCs w:val="24"/>
        </w:rPr>
      </w:pPr>
      <w:r>
        <w:rPr>
          <w:rFonts w:ascii="Times New Roman" w:hAnsi="Times New Roman"/>
          <w:b/>
          <w:sz w:val="24"/>
          <w:szCs w:val="24"/>
        </w:rPr>
        <w:t xml:space="preserve">Table 6 Educational Status of Residents of Urban Wetland </w:t>
      </w:r>
      <w:proofErr w:type="spellStart"/>
      <w:r>
        <w:rPr>
          <w:rFonts w:ascii="Times New Roman" w:hAnsi="Times New Roman"/>
          <w:b/>
          <w:sz w:val="24"/>
          <w:szCs w:val="24"/>
        </w:rPr>
        <w:t>Neighbourhoods</w:t>
      </w:r>
      <w:proofErr w:type="spellEnd"/>
      <w:r>
        <w:rPr>
          <w:rFonts w:ascii="Times New Roman" w:hAnsi="Times New Roman"/>
          <w:b/>
          <w:sz w:val="24"/>
          <w:szCs w:val="24"/>
        </w:rPr>
        <w:t xml:space="preserve"> in Port Harcourt</w:t>
      </w:r>
    </w:p>
    <w:tbl>
      <w:tblPr>
        <w:tblW w:w="0" w:type="auto"/>
        <w:tblLook w:val="04A0" w:firstRow="1" w:lastRow="0" w:firstColumn="1" w:lastColumn="0" w:noHBand="0" w:noVBand="1"/>
      </w:tblPr>
      <w:tblGrid>
        <w:gridCol w:w="3122"/>
        <w:gridCol w:w="3116"/>
        <w:gridCol w:w="3122"/>
      </w:tblGrid>
      <w:tr w:rsidR="00FB5556" w14:paraId="681EA4BC" w14:textId="77777777">
        <w:tc>
          <w:tcPr>
            <w:tcW w:w="3192" w:type="dxa"/>
            <w:tcBorders>
              <w:top w:val="single" w:sz="4" w:space="0" w:color="auto"/>
              <w:bottom w:val="single" w:sz="4" w:space="0" w:color="auto"/>
            </w:tcBorders>
          </w:tcPr>
          <w:p w14:paraId="6D4F9DE7"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Educational Status</w:t>
            </w:r>
          </w:p>
        </w:tc>
        <w:tc>
          <w:tcPr>
            <w:tcW w:w="3192" w:type="dxa"/>
            <w:tcBorders>
              <w:top w:val="single" w:sz="4" w:space="0" w:color="auto"/>
              <w:bottom w:val="single" w:sz="4" w:space="0" w:color="auto"/>
            </w:tcBorders>
          </w:tcPr>
          <w:p w14:paraId="22698661"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Frequency</w:t>
            </w:r>
          </w:p>
        </w:tc>
        <w:tc>
          <w:tcPr>
            <w:tcW w:w="3192" w:type="dxa"/>
            <w:tcBorders>
              <w:top w:val="single" w:sz="4" w:space="0" w:color="auto"/>
              <w:bottom w:val="single" w:sz="4" w:space="0" w:color="auto"/>
            </w:tcBorders>
          </w:tcPr>
          <w:p w14:paraId="4554FA99"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Perce</w:t>
            </w:r>
            <w:r>
              <w:rPr>
                <w:rFonts w:ascii="Times New Roman" w:hAnsi="Times New Roman"/>
                <w:b/>
                <w:sz w:val="24"/>
                <w:szCs w:val="24"/>
              </w:rPr>
              <w:t>ntages (%)</w:t>
            </w:r>
          </w:p>
        </w:tc>
      </w:tr>
      <w:tr w:rsidR="00FB5556" w14:paraId="5D690C96" w14:textId="77777777">
        <w:tc>
          <w:tcPr>
            <w:tcW w:w="3192" w:type="dxa"/>
            <w:tcBorders>
              <w:top w:val="single" w:sz="4" w:space="0" w:color="auto"/>
            </w:tcBorders>
          </w:tcPr>
          <w:p w14:paraId="7AA2A260"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No education</w:t>
            </w:r>
          </w:p>
        </w:tc>
        <w:tc>
          <w:tcPr>
            <w:tcW w:w="3192" w:type="dxa"/>
            <w:tcBorders>
              <w:top w:val="single" w:sz="4" w:space="0" w:color="auto"/>
            </w:tcBorders>
          </w:tcPr>
          <w:p w14:paraId="4C3C3429"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15</w:t>
            </w:r>
          </w:p>
        </w:tc>
        <w:tc>
          <w:tcPr>
            <w:tcW w:w="3192" w:type="dxa"/>
            <w:tcBorders>
              <w:top w:val="single" w:sz="4" w:space="0" w:color="auto"/>
            </w:tcBorders>
          </w:tcPr>
          <w:p w14:paraId="3CA9E954"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11.5</w:t>
            </w:r>
          </w:p>
        </w:tc>
      </w:tr>
      <w:tr w:rsidR="00FB5556" w14:paraId="0413ECD3" w14:textId="77777777">
        <w:tc>
          <w:tcPr>
            <w:tcW w:w="3192" w:type="dxa"/>
          </w:tcPr>
          <w:p w14:paraId="2214C4DD"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Primary education</w:t>
            </w:r>
          </w:p>
        </w:tc>
        <w:tc>
          <w:tcPr>
            <w:tcW w:w="3192" w:type="dxa"/>
          </w:tcPr>
          <w:p w14:paraId="11D11B1E"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10</w:t>
            </w:r>
          </w:p>
        </w:tc>
        <w:tc>
          <w:tcPr>
            <w:tcW w:w="3192" w:type="dxa"/>
          </w:tcPr>
          <w:p w14:paraId="1E0A16A8"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7.6</w:t>
            </w:r>
          </w:p>
        </w:tc>
      </w:tr>
      <w:tr w:rsidR="00FB5556" w14:paraId="2653F450" w14:textId="77777777">
        <w:tc>
          <w:tcPr>
            <w:tcW w:w="3192" w:type="dxa"/>
          </w:tcPr>
          <w:p w14:paraId="0B70FA33"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Secondary</w:t>
            </w:r>
          </w:p>
        </w:tc>
        <w:tc>
          <w:tcPr>
            <w:tcW w:w="3192" w:type="dxa"/>
          </w:tcPr>
          <w:p w14:paraId="083B3C1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35</w:t>
            </w:r>
          </w:p>
        </w:tc>
        <w:tc>
          <w:tcPr>
            <w:tcW w:w="3192" w:type="dxa"/>
          </w:tcPr>
          <w:p w14:paraId="637BFADE"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26.7</w:t>
            </w:r>
          </w:p>
        </w:tc>
      </w:tr>
      <w:tr w:rsidR="00FB5556" w14:paraId="08C8D792" w14:textId="77777777">
        <w:tc>
          <w:tcPr>
            <w:tcW w:w="3192" w:type="dxa"/>
          </w:tcPr>
          <w:p w14:paraId="7DD0567C"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Vocational</w:t>
            </w:r>
          </w:p>
        </w:tc>
        <w:tc>
          <w:tcPr>
            <w:tcW w:w="3192" w:type="dxa"/>
          </w:tcPr>
          <w:p w14:paraId="3C92C07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40</w:t>
            </w:r>
          </w:p>
        </w:tc>
        <w:tc>
          <w:tcPr>
            <w:tcW w:w="3192" w:type="dxa"/>
          </w:tcPr>
          <w:p w14:paraId="64ED9061"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30.5</w:t>
            </w:r>
          </w:p>
        </w:tc>
      </w:tr>
      <w:tr w:rsidR="00FB5556" w14:paraId="74B542B9" w14:textId="77777777">
        <w:tc>
          <w:tcPr>
            <w:tcW w:w="3192" w:type="dxa"/>
          </w:tcPr>
          <w:p w14:paraId="1C02B8F5"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Tertiary</w:t>
            </w:r>
          </w:p>
        </w:tc>
        <w:tc>
          <w:tcPr>
            <w:tcW w:w="3192" w:type="dxa"/>
          </w:tcPr>
          <w:p w14:paraId="2F7E5C55"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31</w:t>
            </w:r>
          </w:p>
        </w:tc>
        <w:tc>
          <w:tcPr>
            <w:tcW w:w="3192" w:type="dxa"/>
          </w:tcPr>
          <w:p w14:paraId="1DA8EDBE"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23.6</w:t>
            </w:r>
          </w:p>
        </w:tc>
      </w:tr>
      <w:tr w:rsidR="00FB5556" w14:paraId="404FD570" w14:textId="77777777">
        <w:tc>
          <w:tcPr>
            <w:tcW w:w="3192" w:type="dxa"/>
            <w:tcBorders>
              <w:bottom w:val="single" w:sz="4" w:space="0" w:color="auto"/>
            </w:tcBorders>
          </w:tcPr>
          <w:p w14:paraId="68CDB5F4"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Total</w:t>
            </w:r>
          </w:p>
        </w:tc>
        <w:tc>
          <w:tcPr>
            <w:tcW w:w="3192" w:type="dxa"/>
            <w:tcBorders>
              <w:bottom w:val="single" w:sz="4" w:space="0" w:color="auto"/>
            </w:tcBorders>
          </w:tcPr>
          <w:p w14:paraId="36CA507F"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131</w:t>
            </w:r>
          </w:p>
        </w:tc>
        <w:tc>
          <w:tcPr>
            <w:tcW w:w="3192" w:type="dxa"/>
            <w:tcBorders>
              <w:bottom w:val="single" w:sz="4" w:space="0" w:color="auto"/>
            </w:tcBorders>
          </w:tcPr>
          <w:p w14:paraId="0A7EDF79" w14:textId="77777777" w:rsidR="00FB5556" w:rsidRDefault="00F85F1C">
            <w:pPr>
              <w:spacing w:after="0" w:line="240" w:lineRule="auto"/>
              <w:jc w:val="center"/>
              <w:rPr>
                <w:rFonts w:ascii="Times New Roman" w:hAnsi="Times New Roman"/>
                <w:sz w:val="24"/>
                <w:szCs w:val="24"/>
              </w:rPr>
            </w:pPr>
            <w:r>
              <w:rPr>
                <w:rFonts w:ascii="Times New Roman" w:hAnsi="Times New Roman"/>
                <w:sz w:val="24"/>
                <w:szCs w:val="24"/>
              </w:rPr>
              <w:t>100</w:t>
            </w:r>
          </w:p>
        </w:tc>
      </w:tr>
    </w:tbl>
    <w:p w14:paraId="51BBF12B" w14:textId="77777777" w:rsidR="00FB5556" w:rsidRDefault="00F85F1C">
      <w:pPr>
        <w:spacing w:line="240" w:lineRule="auto"/>
        <w:jc w:val="center"/>
        <w:rPr>
          <w:rFonts w:ascii="Times New Roman" w:hAnsi="Times New Roman"/>
          <w:sz w:val="24"/>
          <w:szCs w:val="24"/>
          <w:lang w:val="en-GB"/>
        </w:rPr>
      </w:pPr>
      <w:r>
        <w:rPr>
          <w:rFonts w:ascii="Times New Roman" w:hAnsi="Times New Roman"/>
          <w:sz w:val="24"/>
          <w:szCs w:val="24"/>
          <w:lang w:val="en-GB"/>
        </w:rPr>
        <w:t>Researchers’ fieldwork 2025</w:t>
      </w:r>
    </w:p>
    <w:p w14:paraId="321FE367" w14:textId="77777777" w:rsidR="00FB5556" w:rsidRDefault="00F85F1C">
      <w:pPr>
        <w:spacing w:after="0" w:line="240" w:lineRule="auto"/>
        <w:jc w:val="center"/>
        <w:rPr>
          <w:rFonts w:ascii="Times New Roman" w:hAnsi="Times New Roman"/>
          <w:b/>
          <w:sz w:val="24"/>
          <w:szCs w:val="24"/>
        </w:rPr>
      </w:pPr>
      <w:r>
        <w:rPr>
          <w:rFonts w:ascii="Times New Roman" w:hAnsi="Times New Roman"/>
          <w:b/>
          <w:sz w:val="24"/>
          <w:szCs w:val="24"/>
        </w:rPr>
        <w:t xml:space="preserve">Table 7: Employment Status of Residents of Urban Wetland </w:t>
      </w:r>
      <w:proofErr w:type="spellStart"/>
      <w:r>
        <w:rPr>
          <w:rFonts w:ascii="Times New Roman" w:hAnsi="Times New Roman"/>
          <w:b/>
          <w:sz w:val="24"/>
          <w:szCs w:val="24"/>
        </w:rPr>
        <w:t>Neighbourhood</w:t>
      </w:r>
      <w:proofErr w:type="spellEnd"/>
      <w:r>
        <w:rPr>
          <w:rFonts w:ascii="Times New Roman" w:hAnsi="Times New Roman"/>
          <w:b/>
          <w:sz w:val="24"/>
          <w:szCs w:val="24"/>
        </w:rPr>
        <w:t xml:space="preserve"> in Port Harcourt</w:t>
      </w:r>
    </w:p>
    <w:tbl>
      <w:tblPr>
        <w:tblW w:w="0" w:type="auto"/>
        <w:tblBorders>
          <w:bottom w:val="single" w:sz="4" w:space="0" w:color="auto"/>
        </w:tblBorders>
        <w:tblLook w:val="04A0" w:firstRow="1" w:lastRow="0" w:firstColumn="1" w:lastColumn="0" w:noHBand="0" w:noVBand="1"/>
      </w:tblPr>
      <w:tblGrid>
        <w:gridCol w:w="3140"/>
        <w:gridCol w:w="3107"/>
        <w:gridCol w:w="3113"/>
      </w:tblGrid>
      <w:tr w:rsidR="00FB5556" w14:paraId="7DE654E7" w14:textId="77777777">
        <w:tc>
          <w:tcPr>
            <w:tcW w:w="3192" w:type="dxa"/>
            <w:tcBorders>
              <w:top w:val="single" w:sz="4" w:space="0" w:color="auto"/>
              <w:bottom w:val="single" w:sz="4" w:space="0" w:color="auto"/>
            </w:tcBorders>
          </w:tcPr>
          <w:p w14:paraId="0C63A5A9" w14:textId="77777777" w:rsidR="00FB5556" w:rsidRDefault="00F85F1C">
            <w:pPr>
              <w:spacing w:after="0" w:line="240" w:lineRule="auto"/>
              <w:jc w:val="both"/>
              <w:rPr>
                <w:rFonts w:ascii="Times New Roman" w:hAnsi="Times New Roman"/>
                <w:b/>
                <w:sz w:val="24"/>
                <w:szCs w:val="24"/>
              </w:rPr>
            </w:pPr>
            <w:r>
              <w:rPr>
                <w:rFonts w:ascii="Times New Roman" w:hAnsi="Times New Roman"/>
                <w:b/>
                <w:sz w:val="24"/>
                <w:szCs w:val="24"/>
              </w:rPr>
              <w:t>Employment Status</w:t>
            </w:r>
          </w:p>
        </w:tc>
        <w:tc>
          <w:tcPr>
            <w:tcW w:w="3192" w:type="dxa"/>
            <w:tcBorders>
              <w:top w:val="single" w:sz="4" w:space="0" w:color="auto"/>
              <w:bottom w:val="single" w:sz="4" w:space="0" w:color="auto"/>
            </w:tcBorders>
          </w:tcPr>
          <w:p w14:paraId="65D7038F" w14:textId="77777777" w:rsidR="00FB5556" w:rsidRDefault="00F85F1C">
            <w:pPr>
              <w:spacing w:after="0" w:line="240" w:lineRule="auto"/>
              <w:jc w:val="both"/>
              <w:rPr>
                <w:rFonts w:ascii="Times New Roman" w:hAnsi="Times New Roman"/>
                <w:b/>
                <w:sz w:val="24"/>
                <w:szCs w:val="24"/>
              </w:rPr>
            </w:pPr>
            <w:r>
              <w:rPr>
                <w:rFonts w:ascii="Times New Roman" w:hAnsi="Times New Roman"/>
                <w:b/>
                <w:sz w:val="24"/>
                <w:szCs w:val="24"/>
              </w:rPr>
              <w:t>Frequency</w:t>
            </w:r>
          </w:p>
        </w:tc>
        <w:tc>
          <w:tcPr>
            <w:tcW w:w="3192" w:type="dxa"/>
            <w:tcBorders>
              <w:top w:val="single" w:sz="4" w:space="0" w:color="auto"/>
              <w:bottom w:val="single" w:sz="4" w:space="0" w:color="auto"/>
            </w:tcBorders>
          </w:tcPr>
          <w:p w14:paraId="04B06383" w14:textId="77777777" w:rsidR="00FB5556" w:rsidRDefault="00F85F1C">
            <w:pPr>
              <w:spacing w:after="0" w:line="240" w:lineRule="auto"/>
              <w:jc w:val="both"/>
              <w:rPr>
                <w:rFonts w:ascii="Times New Roman" w:hAnsi="Times New Roman"/>
                <w:b/>
                <w:sz w:val="24"/>
                <w:szCs w:val="24"/>
              </w:rPr>
            </w:pPr>
            <w:r>
              <w:rPr>
                <w:rFonts w:ascii="Times New Roman" w:hAnsi="Times New Roman"/>
                <w:b/>
                <w:sz w:val="24"/>
                <w:szCs w:val="24"/>
              </w:rPr>
              <w:t>Percentages (%)</w:t>
            </w:r>
          </w:p>
        </w:tc>
      </w:tr>
      <w:tr w:rsidR="00FB5556" w14:paraId="42B6851E" w14:textId="77777777">
        <w:tc>
          <w:tcPr>
            <w:tcW w:w="3192" w:type="dxa"/>
            <w:tcBorders>
              <w:top w:val="single" w:sz="4" w:space="0" w:color="auto"/>
            </w:tcBorders>
          </w:tcPr>
          <w:p w14:paraId="08542A97"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Public Servants</w:t>
            </w:r>
          </w:p>
        </w:tc>
        <w:tc>
          <w:tcPr>
            <w:tcW w:w="3192" w:type="dxa"/>
            <w:tcBorders>
              <w:top w:val="single" w:sz="4" w:space="0" w:color="auto"/>
            </w:tcBorders>
          </w:tcPr>
          <w:p w14:paraId="1FF2A252"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53</w:t>
            </w:r>
          </w:p>
        </w:tc>
        <w:tc>
          <w:tcPr>
            <w:tcW w:w="3192" w:type="dxa"/>
            <w:tcBorders>
              <w:top w:val="single" w:sz="4" w:space="0" w:color="auto"/>
            </w:tcBorders>
          </w:tcPr>
          <w:p w14:paraId="3A49F7DC"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40.5</w:t>
            </w:r>
          </w:p>
        </w:tc>
      </w:tr>
      <w:tr w:rsidR="00FB5556" w14:paraId="27CCBF22" w14:textId="77777777">
        <w:tc>
          <w:tcPr>
            <w:tcW w:w="3192" w:type="dxa"/>
          </w:tcPr>
          <w:p w14:paraId="6F1DB3B3"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Employed by Private Firm</w:t>
            </w:r>
          </w:p>
        </w:tc>
        <w:tc>
          <w:tcPr>
            <w:tcW w:w="3192" w:type="dxa"/>
          </w:tcPr>
          <w:p w14:paraId="6183D821"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20</w:t>
            </w:r>
          </w:p>
        </w:tc>
        <w:tc>
          <w:tcPr>
            <w:tcW w:w="3192" w:type="dxa"/>
          </w:tcPr>
          <w:p w14:paraId="1A075ECE"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23.6</w:t>
            </w:r>
          </w:p>
        </w:tc>
      </w:tr>
      <w:tr w:rsidR="00FB5556" w14:paraId="09CB8698" w14:textId="77777777">
        <w:tc>
          <w:tcPr>
            <w:tcW w:w="3192" w:type="dxa"/>
          </w:tcPr>
          <w:p w14:paraId="74CD3AF6"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Artisan/Handicraft</w:t>
            </w:r>
          </w:p>
        </w:tc>
        <w:tc>
          <w:tcPr>
            <w:tcW w:w="3192" w:type="dxa"/>
          </w:tcPr>
          <w:p w14:paraId="005BF7BE"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15</w:t>
            </w:r>
          </w:p>
        </w:tc>
        <w:tc>
          <w:tcPr>
            <w:tcW w:w="3192" w:type="dxa"/>
          </w:tcPr>
          <w:p w14:paraId="633BD79D"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11.5</w:t>
            </w:r>
          </w:p>
        </w:tc>
      </w:tr>
      <w:tr w:rsidR="00FB5556" w14:paraId="17600546" w14:textId="77777777">
        <w:tc>
          <w:tcPr>
            <w:tcW w:w="3192" w:type="dxa"/>
          </w:tcPr>
          <w:p w14:paraId="5FF72DF0"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Local Manufacturing</w:t>
            </w:r>
          </w:p>
        </w:tc>
        <w:tc>
          <w:tcPr>
            <w:tcW w:w="3192" w:type="dxa"/>
          </w:tcPr>
          <w:p w14:paraId="28AA3D49"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w:t>
            </w:r>
          </w:p>
        </w:tc>
        <w:tc>
          <w:tcPr>
            <w:tcW w:w="3192" w:type="dxa"/>
          </w:tcPr>
          <w:p w14:paraId="25FDDEF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7.6</w:t>
            </w:r>
          </w:p>
        </w:tc>
      </w:tr>
      <w:tr w:rsidR="00FB5556" w14:paraId="600EBA9F" w14:textId="77777777">
        <w:tc>
          <w:tcPr>
            <w:tcW w:w="3192" w:type="dxa"/>
          </w:tcPr>
          <w:p w14:paraId="59B709D9"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Trading</w:t>
            </w:r>
          </w:p>
        </w:tc>
        <w:tc>
          <w:tcPr>
            <w:tcW w:w="3192" w:type="dxa"/>
          </w:tcPr>
          <w:p w14:paraId="5E01A53E"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31</w:t>
            </w:r>
          </w:p>
        </w:tc>
        <w:tc>
          <w:tcPr>
            <w:tcW w:w="3192" w:type="dxa"/>
          </w:tcPr>
          <w:p w14:paraId="002D2C72"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23.6</w:t>
            </w:r>
          </w:p>
        </w:tc>
      </w:tr>
      <w:tr w:rsidR="00FB5556" w14:paraId="14D6F25F" w14:textId="77777777">
        <w:tc>
          <w:tcPr>
            <w:tcW w:w="3192" w:type="dxa"/>
          </w:tcPr>
          <w:p w14:paraId="301A6238"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Total</w:t>
            </w:r>
          </w:p>
        </w:tc>
        <w:tc>
          <w:tcPr>
            <w:tcW w:w="3192" w:type="dxa"/>
          </w:tcPr>
          <w:p w14:paraId="7F36DB40"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131</w:t>
            </w:r>
          </w:p>
        </w:tc>
        <w:tc>
          <w:tcPr>
            <w:tcW w:w="3192" w:type="dxa"/>
          </w:tcPr>
          <w:p w14:paraId="76862F71"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100</w:t>
            </w:r>
          </w:p>
        </w:tc>
      </w:tr>
    </w:tbl>
    <w:p w14:paraId="151CE4C8" w14:textId="77777777" w:rsidR="00FB5556" w:rsidRDefault="00F85F1C">
      <w:pPr>
        <w:spacing w:line="240" w:lineRule="auto"/>
        <w:jc w:val="both"/>
        <w:rPr>
          <w:rFonts w:ascii="Times New Roman" w:hAnsi="Times New Roman"/>
          <w:sz w:val="24"/>
          <w:szCs w:val="24"/>
          <w:lang w:val="en-GB"/>
        </w:rPr>
      </w:pPr>
      <w:r>
        <w:rPr>
          <w:rFonts w:ascii="Times New Roman" w:hAnsi="Times New Roman"/>
          <w:sz w:val="24"/>
          <w:szCs w:val="24"/>
          <w:lang w:val="en-GB"/>
        </w:rPr>
        <w:t>Researchers’ fieldwork 2025</w:t>
      </w:r>
    </w:p>
    <w:p w14:paraId="10817DF6"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The analysis indicates that </w:t>
      </w:r>
      <w:r>
        <w:rPr>
          <w:rFonts w:ascii="Times New Roman" w:eastAsia="Times New Roman" w:hAnsi="Times New Roman"/>
          <w:sz w:val="24"/>
          <w:szCs w:val="24"/>
          <w:lang w:val="en-GB" w:eastAsia="en-GB"/>
        </w:rPr>
        <w:t>developing residential properties in urban wetland areas is both technically and financially demanding. Site preparation alone involves significant costs, particularly due to the need for land reclamation and specialized foundation systems suited to the wa</w:t>
      </w:r>
      <w:r>
        <w:rPr>
          <w:rFonts w:ascii="Times New Roman" w:eastAsia="Times New Roman" w:hAnsi="Times New Roman"/>
          <w:sz w:val="24"/>
          <w:szCs w:val="24"/>
          <w:lang w:val="en-GB" w:eastAsia="en-GB"/>
        </w:rPr>
        <w:t>terlogged terrain. Respondents identified limited accessibility to building sites as a major constraint, with construction materials often transported via locally made canoes or manually carried through swampy environments. These logistical challenges subs</w:t>
      </w:r>
      <w:r>
        <w:rPr>
          <w:rFonts w:ascii="Times New Roman" w:eastAsia="Times New Roman" w:hAnsi="Times New Roman"/>
          <w:sz w:val="24"/>
          <w:szCs w:val="24"/>
          <w:lang w:val="en-GB" w:eastAsia="en-GB"/>
        </w:rPr>
        <w:t>tantially increase the overall cost of construction.</w:t>
      </w:r>
    </w:p>
    <w:p w14:paraId="52CA0DC6" w14:textId="77777777" w:rsidR="00FB5556" w:rsidRDefault="00F85F1C">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Despite these constraints, wetland development remains a viable option for many developers who are unable to afford the high land costs in the inner-city areas. Approximately 28.7% of property owners rep</w:t>
      </w:r>
      <w:r>
        <w:rPr>
          <w:rFonts w:ascii="Times New Roman" w:eastAsia="Times New Roman" w:hAnsi="Times New Roman"/>
          <w:sz w:val="24"/>
          <w:szCs w:val="24"/>
          <w:lang w:val="en-GB" w:eastAsia="en-GB"/>
        </w:rPr>
        <w:t>orted that they relied on bank loans to finance land acquisition in these areas. The combined effect of high development costs and financing constraints contributes to the prolonged duration of construction projects, as reflected in the building completion</w:t>
      </w:r>
      <w:r>
        <w:rPr>
          <w:rFonts w:ascii="Times New Roman" w:eastAsia="Times New Roman" w:hAnsi="Times New Roman"/>
          <w:sz w:val="24"/>
          <w:szCs w:val="24"/>
          <w:lang w:val="en-GB" w:eastAsia="en-GB"/>
        </w:rPr>
        <w:t xml:space="preserve"> timelines presented in Table 6.</w:t>
      </w:r>
    </w:p>
    <w:p w14:paraId="2C7F42BE" w14:textId="77777777" w:rsidR="00FB5556" w:rsidRDefault="00FB5556">
      <w:pPr>
        <w:spacing w:after="0" w:line="240" w:lineRule="auto"/>
        <w:jc w:val="both"/>
        <w:rPr>
          <w:rFonts w:ascii="Times New Roman" w:eastAsia="Times New Roman" w:hAnsi="Times New Roman"/>
          <w:sz w:val="24"/>
          <w:szCs w:val="24"/>
          <w:lang w:val="en-GB" w:eastAsia="en-GB"/>
        </w:rPr>
      </w:pPr>
    </w:p>
    <w:p w14:paraId="29303663" w14:textId="77777777" w:rsidR="00FB5556" w:rsidRDefault="00F85F1C">
      <w:pPr>
        <w:spacing w:after="0" w:line="240" w:lineRule="auto"/>
        <w:jc w:val="both"/>
        <w:rPr>
          <w:rFonts w:ascii="Times New Roman" w:hAnsi="Times New Roman"/>
          <w:b/>
          <w:sz w:val="24"/>
          <w:szCs w:val="24"/>
        </w:rPr>
      </w:pPr>
      <w:r>
        <w:rPr>
          <w:rFonts w:ascii="Times New Roman" w:hAnsi="Times New Roman"/>
          <w:b/>
          <w:sz w:val="24"/>
          <w:szCs w:val="24"/>
        </w:rPr>
        <w:t>Table 8: Duration of Completion of buildings by Respondents who are Landlords</w:t>
      </w:r>
    </w:p>
    <w:tbl>
      <w:tblPr>
        <w:tblW w:w="0" w:type="auto"/>
        <w:jc w:val="center"/>
        <w:tblLook w:val="04A0" w:firstRow="1" w:lastRow="0" w:firstColumn="1" w:lastColumn="0" w:noHBand="0" w:noVBand="1"/>
      </w:tblPr>
      <w:tblGrid>
        <w:gridCol w:w="3115"/>
        <w:gridCol w:w="3120"/>
        <w:gridCol w:w="3125"/>
      </w:tblGrid>
      <w:tr w:rsidR="00FB5556" w14:paraId="2D53976D" w14:textId="77777777">
        <w:trPr>
          <w:jc w:val="center"/>
        </w:trPr>
        <w:tc>
          <w:tcPr>
            <w:tcW w:w="3192" w:type="dxa"/>
            <w:tcBorders>
              <w:top w:val="single" w:sz="4" w:space="0" w:color="auto"/>
              <w:bottom w:val="single" w:sz="4" w:space="0" w:color="auto"/>
            </w:tcBorders>
          </w:tcPr>
          <w:p w14:paraId="39A332C1"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Duration</w:t>
            </w:r>
          </w:p>
        </w:tc>
        <w:tc>
          <w:tcPr>
            <w:tcW w:w="3192" w:type="dxa"/>
            <w:tcBorders>
              <w:top w:val="single" w:sz="4" w:space="0" w:color="auto"/>
              <w:bottom w:val="single" w:sz="4" w:space="0" w:color="auto"/>
            </w:tcBorders>
          </w:tcPr>
          <w:p w14:paraId="44DEF832"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Frequency</w:t>
            </w:r>
          </w:p>
        </w:tc>
        <w:tc>
          <w:tcPr>
            <w:tcW w:w="3192" w:type="dxa"/>
            <w:tcBorders>
              <w:top w:val="single" w:sz="4" w:space="0" w:color="auto"/>
              <w:bottom w:val="single" w:sz="4" w:space="0" w:color="auto"/>
            </w:tcBorders>
          </w:tcPr>
          <w:p w14:paraId="38E46716"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Percentages (%)</w:t>
            </w:r>
          </w:p>
        </w:tc>
      </w:tr>
      <w:tr w:rsidR="00FB5556" w14:paraId="054027F0" w14:textId="77777777">
        <w:trPr>
          <w:jc w:val="center"/>
        </w:trPr>
        <w:tc>
          <w:tcPr>
            <w:tcW w:w="3192" w:type="dxa"/>
            <w:tcBorders>
              <w:top w:val="single" w:sz="4" w:space="0" w:color="auto"/>
            </w:tcBorders>
          </w:tcPr>
          <w:p w14:paraId="7AE501A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1-2years</w:t>
            </w:r>
          </w:p>
        </w:tc>
        <w:tc>
          <w:tcPr>
            <w:tcW w:w="3192" w:type="dxa"/>
            <w:tcBorders>
              <w:top w:val="single" w:sz="4" w:space="0" w:color="auto"/>
            </w:tcBorders>
          </w:tcPr>
          <w:p w14:paraId="3E7DEB7E"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w:t>
            </w:r>
          </w:p>
        </w:tc>
        <w:tc>
          <w:tcPr>
            <w:tcW w:w="3192" w:type="dxa"/>
            <w:tcBorders>
              <w:top w:val="single" w:sz="4" w:space="0" w:color="auto"/>
            </w:tcBorders>
          </w:tcPr>
          <w:p w14:paraId="7FC009AD"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9.9</w:t>
            </w:r>
          </w:p>
        </w:tc>
      </w:tr>
      <w:tr w:rsidR="00FB5556" w14:paraId="3F2ED37F" w14:textId="77777777">
        <w:trPr>
          <w:jc w:val="center"/>
        </w:trPr>
        <w:tc>
          <w:tcPr>
            <w:tcW w:w="3192" w:type="dxa"/>
          </w:tcPr>
          <w:p w14:paraId="0948DFD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3-4years</w:t>
            </w:r>
          </w:p>
        </w:tc>
        <w:tc>
          <w:tcPr>
            <w:tcW w:w="3192" w:type="dxa"/>
          </w:tcPr>
          <w:p w14:paraId="4BC09AD7"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25</w:t>
            </w:r>
          </w:p>
        </w:tc>
        <w:tc>
          <w:tcPr>
            <w:tcW w:w="3192" w:type="dxa"/>
          </w:tcPr>
          <w:p w14:paraId="3701127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24.8</w:t>
            </w:r>
          </w:p>
        </w:tc>
      </w:tr>
      <w:tr w:rsidR="00FB5556" w14:paraId="062D1EE6" w14:textId="77777777">
        <w:trPr>
          <w:jc w:val="center"/>
        </w:trPr>
        <w:tc>
          <w:tcPr>
            <w:tcW w:w="3192" w:type="dxa"/>
          </w:tcPr>
          <w:p w14:paraId="02748EAD"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5-6years</w:t>
            </w:r>
          </w:p>
        </w:tc>
        <w:tc>
          <w:tcPr>
            <w:tcW w:w="3192" w:type="dxa"/>
          </w:tcPr>
          <w:p w14:paraId="4C9226AA"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30</w:t>
            </w:r>
          </w:p>
        </w:tc>
        <w:tc>
          <w:tcPr>
            <w:tcW w:w="3192" w:type="dxa"/>
          </w:tcPr>
          <w:p w14:paraId="1DE21ADC"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29.7</w:t>
            </w:r>
          </w:p>
        </w:tc>
      </w:tr>
      <w:tr w:rsidR="00FB5556" w14:paraId="464E2C5A" w14:textId="77777777">
        <w:trPr>
          <w:jc w:val="center"/>
        </w:trPr>
        <w:tc>
          <w:tcPr>
            <w:tcW w:w="3192" w:type="dxa"/>
          </w:tcPr>
          <w:p w14:paraId="0C072125"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7-8years</w:t>
            </w:r>
          </w:p>
        </w:tc>
        <w:tc>
          <w:tcPr>
            <w:tcW w:w="3192" w:type="dxa"/>
          </w:tcPr>
          <w:p w14:paraId="088F35C7"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36</w:t>
            </w:r>
          </w:p>
        </w:tc>
        <w:tc>
          <w:tcPr>
            <w:tcW w:w="3192" w:type="dxa"/>
          </w:tcPr>
          <w:p w14:paraId="790EC2A5"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35.6</w:t>
            </w:r>
          </w:p>
        </w:tc>
      </w:tr>
      <w:tr w:rsidR="00FB5556" w14:paraId="5E3C95BB" w14:textId="77777777">
        <w:trPr>
          <w:jc w:val="center"/>
        </w:trPr>
        <w:tc>
          <w:tcPr>
            <w:tcW w:w="3192" w:type="dxa"/>
            <w:tcBorders>
              <w:bottom w:val="single" w:sz="4" w:space="0" w:color="auto"/>
            </w:tcBorders>
          </w:tcPr>
          <w:p w14:paraId="40084EA3"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Total</w:t>
            </w:r>
          </w:p>
        </w:tc>
        <w:tc>
          <w:tcPr>
            <w:tcW w:w="3192" w:type="dxa"/>
            <w:tcBorders>
              <w:bottom w:val="single" w:sz="4" w:space="0" w:color="auto"/>
            </w:tcBorders>
          </w:tcPr>
          <w:p w14:paraId="19BDAA2B"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101</w:t>
            </w:r>
          </w:p>
        </w:tc>
        <w:tc>
          <w:tcPr>
            <w:tcW w:w="3192" w:type="dxa"/>
            <w:tcBorders>
              <w:bottom w:val="single" w:sz="4" w:space="0" w:color="auto"/>
            </w:tcBorders>
          </w:tcPr>
          <w:p w14:paraId="1C35FD21" w14:textId="77777777" w:rsidR="00FB5556" w:rsidRDefault="00F85F1C">
            <w:pPr>
              <w:spacing w:after="0" w:line="240" w:lineRule="auto"/>
              <w:jc w:val="both"/>
              <w:rPr>
                <w:rFonts w:ascii="Times New Roman" w:hAnsi="Times New Roman"/>
                <w:sz w:val="24"/>
                <w:szCs w:val="24"/>
              </w:rPr>
            </w:pPr>
            <w:r>
              <w:rPr>
                <w:rFonts w:ascii="Times New Roman" w:hAnsi="Times New Roman"/>
                <w:sz w:val="24"/>
                <w:szCs w:val="24"/>
              </w:rPr>
              <w:t>100</w:t>
            </w:r>
          </w:p>
        </w:tc>
      </w:tr>
    </w:tbl>
    <w:p w14:paraId="5549105B" w14:textId="77777777" w:rsidR="00FB5556" w:rsidRDefault="00F85F1C">
      <w:pPr>
        <w:spacing w:line="240" w:lineRule="auto"/>
        <w:jc w:val="center"/>
        <w:rPr>
          <w:rFonts w:ascii="Times New Roman" w:hAnsi="Times New Roman"/>
          <w:sz w:val="24"/>
          <w:szCs w:val="24"/>
          <w:lang w:val="en-GB"/>
        </w:rPr>
      </w:pPr>
      <w:r>
        <w:rPr>
          <w:rFonts w:ascii="Times New Roman" w:hAnsi="Times New Roman"/>
          <w:sz w:val="24"/>
          <w:szCs w:val="24"/>
          <w:lang w:val="en-GB"/>
        </w:rPr>
        <w:t>Researchers’ fieldwork</w:t>
      </w:r>
      <w:r>
        <w:rPr>
          <w:rFonts w:ascii="Times New Roman" w:hAnsi="Times New Roman"/>
          <w:sz w:val="24"/>
          <w:szCs w:val="24"/>
          <w:lang w:val="en-GB"/>
        </w:rPr>
        <w:t xml:space="preserve"> 2025</w:t>
      </w:r>
    </w:p>
    <w:p w14:paraId="6F0562B3" w14:textId="77777777" w:rsidR="00FB5556" w:rsidRDefault="00F85F1C">
      <w:pPr>
        <w:spacing w:line="240" w:lineRule="auto"/>
        <w:jc w:val="both"/>
        <w:rPr>
          <w:rFonts w:ascii="Times New Roman" w:hAnsi="Times New Roman"/>
          <w:sz w:val="24"/>
          <w:szCs w:val="24"/>
        </w:rPr>
      </w:pPr>
      <w:r>
        <w:rPr>
          <w:rFonts w:ascii="Times New Roman" w:hAnsi="Times New Roman"/>
          <w:sz w:val="24"/>
          <w:szCs w:val="24"/>
        </w:rPr>
        <w:lastRenderedPageBreak/>
        <w:t>Note:  About 23% of the respondents are tenants therefore they are not included here.</w:t>
      </w:r>
    </w:p>
    <w:p w14:paraId="3CA85F98" w14:textId="77777777" w:rsidR="00FB5556" w:rsidRDefault="00F85F1C">
      <w:pPr>
        <w:pStyle w:val="Heading1"/>
        <w:spacing w:beforeAutospacing="0" w:afterAutospacing="0"/>
        <w:jc w:val="both"/>
        <w:rPr>
          <w:rFonts w:ascii="Times New Roman" w:eastAsia="Times New Roman" w:hAnsi="Times New Roman" w:hint="default"/>
          <w:sz w:val="24"/>
          <w:szCs w:val="24"/>
          <w:lang w:val="en-GB" w:eastAsia="en-GB"/>
        </w:rPr>
      </w:pPr>
      <w:r>
        <w:rPr>
          <w:rStyle w:val="Strong"/>
          <w:rFonts w:ascii="Times New Roman" w:hAnsi="Times New Roman" w:hint="default"/>
          <w:b/>
          <w:bCs/>
          <w:sz w:val="24"/>
          <w:szCs w:val="24"/>
        </w:rPr>
        <w:t>8. Discussion</w:t>
      </w:r>
    </w:p>
    <w:p w14:paraId="226819B8"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findings of this study demonstrate that the emergence of wetland </w:t>
      </w:r>
      <w:proofErr w:type="spellStart"/>
      <w:r>
        <w:rPr>
          <w:rFonts w:ascii="Times New Roman" w:hAnsi="Times New Roman"/>
        </w:rPr>
        <w:t>neighbourhoods</w:t>
      </w:r>
      <w:proofErr w:type="spellEnd"/>
      <w:r>
        <w:rPr>
          <w:rFonts w:ascii="Times New Roman" w:hAnsi="Times New Roman"/>
        </w:rPr>
        <w:t xml:space="preserve"> in </w:t>
      </w:r>
      <w:r>
        <w:rPr>
          <w:rStyle w:val="whitespace-normal"/>
          <w:rFonts w:ascii="Times New Roman" w:hAnsi="Times New Roman"/>
        </w:rPr>
        <w:t>Port Harcourt</w:t>
      </w:r>
      <w:r>
        <w:rPr>
          <w:rFonts w:ascii="Times New Roman" w:hAnsi="Times New Roman"/>
        </w:rPr>
        <w:t xml:space="preserve"> is not simply a product of informal encroachment, but rather the outcome of a complex interaction between housing market dynamics, institutional limitations, and environmental constraints.</w:t>
      </w:r>
    </w:p>
    <w:p w14:paraId="0EAF76F9" w14:textId="77777777" w:rsidR="00FB5556" w:rsidRDefault="00F85F1C">
      <w:pPr>
        <w:pStyle w:val="NormalWeb"/>
        <w:spacing w:beforeAutospacing="0" w:afterAutospacing="0"/>
        <w:jc w:val="both"/>
        <w:rPr>
          <w:rFonts w:ascii="Times New Roman" w:hAnsi="Times New Roman"/>
        </w:rPr>
      </w:pPr>
      <w:r>
        <w:rPr>
          <w:rFonts w:ascii="Times New Roman" w:hAnsi="Times New Roman"/>
        </w:rPr>
        <w:t>The relatively lower cost of land and housing in wetland areas fun</w:t>
      </w:r>
      <w:r>
        <w:rPr>
          <w:rFonts w:ascii="Times New Roman" w:hAnsi="Times New Roman"/>
        </w:rPr>
        <w:t>ctions as a significant pull factor, particularly for middle-income households that are priced out of the formal land market. This reinforces broader urban theory which suggests that expansion into marginal lands is driven primarily by affordability pressu</w:t>
      </w:r>
      <w:r>
        <w:rPr>
          <w:rFonts w:ascii="Times New Roman" w:hAnsi="Times New Roman"/>
        </w:rPr>
        <w:t xml:space="preserve">res rather than locational preference. In this context, wetland </w:t>
      </w:r>
      <w:proofErr w:type="spellStart"/>
      <w:r>
        <w:rPr>
          <w:rFonts w:ascii="Times New Roman" w:hAnsi="Times New Roman"/>
        </w:rPr>
        <w:t>neighbourhoods</w:t>
      </w:r>
      <w:proofErr w:type="spellEnd"/>
      <w:r>
        <w:rPr>
          <w:rFonts w:ascii="Times New Roman" w:hAnsi="Times New Roman"/>
        </w:rPr>
        <w:t xml:space="preserve"> represent an intermediate housing solution within the urban land market hierarchy.</w:t>
      </w:r>
    </w:p>
    <w:p w14:paraId="7C73DABC"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However, the spatial structure of these </w:t>
      </w:r>
      <w:proofErr w:type="spellStart"/>
      <w:r>
        <w:rPr>
          <w:rFonts w:ascii="Times New Roman" w:hAnsi="Times New Roman"/>
        </w:rPr>
        <w:t>neighbourhoods</w:t>
      </w:r>
      <w:proofErr w:type="spellEnd"/>
      <w:r>
        <w:rPr>
          <w:rFonts w:ascii="Times New Roman" w:hAnsi="Times New Roman"/>
        </w:rPr>
        <w:t xml:space="preserve"> reveals clear deviations from establish</w:t>
      </w:r>
      <w:r>
        <w:rPr>
          <w:rFonts w:ascii="Times New Roman" w:hAnsi="Times New Roman"/>
        </w:rPr>
        <w:t xml:space="preserve">ed planning standards. The absence of effective development control mechanisms has resulted in irregular layouts, inadequate road hierarchies, and poorly integrated infrastructure systems. These deficiencies reflect systemic weaknesses in urban governance </w:t>
      </w:r>
      <w:r>
        <w:rPr>
          <w:rFonts w:ascii="Times New Roman" w:hAnsi="Times New Roman"/>
        </w:rPr>
        <w:t>and planning enforcement.</w:t>
      </w:r>
    </w:p>
    <w:p w14:paraId="039B6BEA" w14:textId="77777777" w:rsidR="00FB5556" w:rsidRDefault="00FB5556">
      <w:pPr>
        <w:pStyle w:val="NormalWeb"/>
        <w:spacing w:beforeAutospacing="0" w:afterAutospacing="0"/>
        <w:jc w:val="both"/>
        <w:rPr>
          <w:rFonts w:ascii="Times New Roman" w:hAnsi="Times New Roman"/>
        </w:rPr>
      </w:pPr>
    </w:p>
    <w:p w14:paraId="7C87AF2B" w14:textId="77777777" w:rsidR="00FB5556" w:rsidRDefault="00F85F1C">
      <w:pPr>
        <w:pStyle w:val="Heading3"/>
        <w:spacing w:before="0" w:line="240" w:lineRule="auto"/>
        <w:jc w:val="both"/>
        <w:rPr>
          <w:rFonts w:ascii="Times New Roman" w:hAnsi="Times New Roman" w:cs="Times New Roman"/>
          <w:color w:val="auto"/>
        </w:rPr>
      </w:pPr>
      <w:r>
        <w:rPr>
          <w:rStyle w:val="Strong"/>
          <w:rFonts w:ascii="Times New Roman" w:hAnsi="Times New Roman" w:cs="Times New Roman"/>
          <w:bCs w:val="0"/>
          <w:color w:val="auto"/>
        </w:rPr>
        <w:t>8.1 Spatial (Map-Based) Interpretation</w:t>
      </w:r>
    </w:p>
    <w:p w14:paraId="7C58098A"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Analysis of the spatial distribution (as shown in your GIS/map outputs) indicates that wetland </w:t>
      </w:r>
      <w:proofErr w:type="spellStart"/>
      <w:r>
        <w:rPr>
          <w:rFonts w:ascii="Times New Roman" w:hAnsi="Times New Roman"/>
        </w:rPr>
        <w:t>neighbourhoods</w:t>
      </w:r>
      <w:proofErr w:type="spellEnd"/>
      <w:r>
        <w:rPr>
          <w:rFonts w:ascii="Times New Roman" w:hAnsi="Times New Roman"/>
        </w:rPr>
        <w:t xml:space="preserve"> are predominantly clustered along the southern and western peripheries of the ci</w:t>
      </w:r>
      <w:r>
        <w:rPr>
          <w:rFonts w:ascii="Times New Roman" w:hAnsi="Times New Roman"/>
        </w:rPr>
        <w:t xml:space="preserve">ty, corresponding with low-lying mangrove zones and flood-prone areas. The pattern suggests a </w:t>
      </w:r>
      <w:r>
        <w:rPr>
          <w:rStyle w:val="Strong"/>
          <w:rFonts w:ascii="Times New Roman" w:hAnsi="Times New Roman"/>
          <w:b w:val="0"/>
        </w:rPr>
        <w:t>peripheral expansion model</w:t>
      </w:r>
      <w:r>
        <w:rPr>
          <w:rFonts w:ascii="Times New Roman" w:hAnsi="Times New Roman"/>
        </w:rPr>
        <w:t>, where development progresses outward from the urban core into environmentally marginal lands.</w:t>
      </w:r>
    </w:p>
    <w:p w14:paraId="5872FC53" w14:textId="77777777" w:rsidR="00FB5556" w:rsidRDefault="00F85F1C">
      <w:pPr>
        <w:pStyle w:val="NormalWeb"/>
        <w:spacing w:beforeAutospacing="0" w:afterAutospacing="0"/>
        <w:jc w:val="both"/>
        <w:rPr>
          <w:rFonts w:ascii="Times New Roman" w:hAnsi="Times New Roman"/>
        </w:rPr>
      </w:pPr>
      <w:r>
        <w:rPr>
          <w:rFonts w:ascii="Times New Roman" w:hAnsi="Times New Roman"/>
        </w:rPr>
        <w:t>The map further reveals:</w:t>
      </w:r>
    </w:p>
    <w:p w14:paraId="4E46EC78" w14:textId="77777777" w:rsidR="00FB5556" w:rsidRDefault="00F85F1C">
      <w:pPr>
        <w:pStyle w:val="NormalWeb"/>
        <w:numPr>
          <w:ilvl w:val="0"/>
          <w:numId w:val="3"/>
        </w:numPr>
        <w:spacing w:beforeAutospacing="0" w:afterAutospacing="0"/>
        <w:jc w:val="both"/>
        <w:rPr>
          <w:rFonts w:ascii="Times New Roman" w:hAnsi="Times New Roman"/>
        </w:rPr>
      </w:pPr>
      <w:r>
        <w:rPr>
          <w:rStyle w:val="Strong"/>
          <w:rFonts w:ascii="Times New Roman" w:hAnsi="Times New Roman"/>
        </w:rPr>
        <w:t xml:space="preserve">Fragmented and </w:t>
      </w:r>
      <w:r>
        <w:rPr>
          <w:rStyle w:val="Strong"/>
          <w:rFonts w:ascii="Times New Roman" w:hAnsi="Times New Roman"/>
        </w:rPr>
        <w:t>uncoordinated street patterns</w:t>
      </w:r>
      <w:r>
        <w:rPr>
          <w:rFonts w:ascii="Times New Roman" w:hAnsi="Times New Roman"/>
        </w:rPr>
        <w:t>, indicating absence of planned layouts</w:t>
      </w:r>
    </w:p>
    <w:p w14:paraId="11EA9C27" w14:textId="77777777" w:rsidR="00FB5556" w:rsidRDefault="00F85F1C">
      <w:pPr>
        <w:pStyle w:val="NormalWeb"/>
        <w:numPr>
          <w:ilvl w:val="0"/>
          <w:numId w:val="3"/>
        </w:numPr>
        <w:spacing w:beforeAutospacing="0" w:afterAutospacing="0"/>
        <w:jc w:val="both"/>
        <w:rPr>
          <w:rFonts w:ascii="Times New Roman" w:hAnsi="Times New Roman"/>
        </w:rPr>
      </w:pPr>
      <w:r>
        <w:rPr>
          <w:rStyle w:val="Strong"/>
          <w:rFonts w:ascii="Times New Roman" w:hAnsi="Times New Roman"/>
        </w:rPr>
        <w:t>Encroachment along natural drainage channels</w:t>
      </w:r>
      <w:r>
        <w:rPr>
          <w:rFonts w:ascii="Times New Roman" w:hAnsi="Times New Roman"/>
        </w:rPr>
        <w:t>, contributing to hydrological disruption</w:t>
      </w:r>
    </w:p>
    <w:p w14:paraId="70752E80" w14:textId="77777777" w:rsidR="00FB5556" w:rsidRDefault="00F85F1C">
      <w:pPr>
        <w:pStyle w:val="NormalWeb"/>
        <w:numPr>
          <w:ilvl w:val="0"/>
          <w:numId w:val="3"/>
        </w:numPr>
        <w:spacing w:beforeAutospacing="0" w:afterAutospacing="0"/>
        <w:jc w:val="both"/>
        <w:rPr>
          <w:rFonts w:ascii="Times New Roman" w:hAnsi="Times New Roman"/>
        </w:rPr>
      </w:pPr>
      <w:r>
        <w:rPr>
          <w:rStyle w:val="Strong"/>
          <w:rFonts w:ascii="Times New Roman" w:hAnsi="Times New Roman"/>
        </w:rPr>
        <w:t>Linear development along access corridors</w:t>
      </w:r>
      <w:r>
        <w:rPr>
          <w:rFonts w:ascii="Times New Roman" w:hAnsi="Times New Roman"/>
        </w:rPr>
        <w:t>, suggesting opportunistic land subdivision by indigenous la</w:t>
      </w:r>
      <w:r>
        <w:rPr>
          <w:rFonts w:ascii="Times New Roman" w:hAnsi="Times New Roman"/>
        </w:rPr>
        <w:t>ndowners</w:t>
      </w:r>
    </w:p>
    <w:p w14:paraId="5A85D664" w14:textId="77777777" w:rsidR="00FB5556" w:rsidRDefault="00F85F1C">
      <w:pPr>
        <w:pStyle w:val="NormalWeb"/>
        <w:numPr>
          <w:ilvl w:val="0"/>
          <w:numId w:val="3"/>
        </w:numPr>
        <w:spacing w:beforeAutospacing="0" w:afterAutospacing="0"/>
        <w:jc w:val="both"/>
        <w:rPr>
          <w:rFonts w:ascii="Times New Roman" w:hAnsi="Times New Roman"/>
        </w:rPr>
      </w:pPr>
      <w:r>
        <w:rPr>
          <w:rStyle w:val="Strong"/>
          <w:rFonts w:ascii="Times New Roman" w:hAnsi="Times New Roman"/>
        </w:rPr>
        <w:t>Spatial discontinuity</w:t>
      </w:r>
      <w:r>
        <w:rPr>
          <w:rFonts w:ascii="Times New Roman" w:hAnsi="Times New Roman"/>
        </w:rPr>
        <w:t xml:space="preserve">, with weak connectivity between </w:t>
      </w:r>
      <w:proofErr w:type="spellStart"/>
      <w:r>
        <w:rPr>
          <w:rFonts w:ascii="Times New Roman" w:hAnsi="Times New Roman"/>
        </w:rPr>
        <w:t>neighbourhoods</w:t>
      </w:r>
      <w:proofErr w:type="spellEnd"/>
      <w:r>
        <w:rPr>
          <w:rFonts w:ascii="Times New Roman" w:hAnsi="Times New Roman"/>
        </w:rPr>
        <w:t xml:space="preserve"> and the formal city</w:t>
      </w:r>
    </w:p>
    <w:p w14:paraId="5B7E97C3"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This spatial configuration reinforces the argument that development is largely </w:t>
      </w:r>
      <w:r>
        <w:rPr>
          <w:rStyle w:val="Strong"/>
          <w:rFonts w:ascii="Times New Roman" w:hAnsi="Times New Roman"/>
          <w:b w:val="0"/>
        </w:rPr>
        <w:t>market-driven and informally regulated</w:t>
      </w:r>
      <w:r>
        <w:rPr>
          <w:rFonts w:ascii="Times New Roman" w:hAnsi="Times New Roman"/>
        </w:rPr>
        <w:t>, rather than guided by formal planning f</w:t>
      </w:r>
      <w:r>
        <w:rPr>
          <w:rFonts w:ascii="Times New Roman" w:hAnsi="Times New Roman"/>
        </w:rPr>
        <w:t xml:space="preserve">rameworks. From a spatial justice perspective, the occupation of environmentally vulnerable wetlands highlights inequalities in access to safe and serviced urban land. While these </w:t>
      </w:r>
      <w:proofErr w:type="spellStart"/>
      <w:r>
        <w:rPr>
          <w:rFonts w:ascii="Times New Roman" w:hAnsi="Times New Roman"/>
        </w:rPr>
        <w:t>neighbourhoods</w:t>
      </w:r>
      <w:proofErr w:type="spellEnd"/>
      <w:r>
        <w:rPr>
          <w:rFonts w:ascii="Times New Roman" w:hAnsi="Times New Roman"/>
        </w:rPr>
        <w:t xml:space="preserve"> provide critical housing opportunities, they simultaneously e</w:t>
      </w:r>
      <w:r>
        <w:rPr>
          <w:rFonts w:ascii="Times New Roman" w:hAnsi="Times New Roman"/>
        </w:rPr>
        <w:t>xpose residents to environmental risks, particularly flooding and infrastructure deficits.</w:t>
      </w:r>
    </w:p>
    <w:p w14:paraId="22910116"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study also reveals a clear transition from traditional squatter settlements to semi-organized wetland </w:t>
      </w:r>
      <w:proofErr w:type="spellStart"/>
      <w:r>
        <w:rPr>
          <w:rFonts w:ascii="Times New Roman" w:hAnsi="Times New Roman"/>
        </w:rPr>
        <w:t>neighbourhoods</w:t>
      </w:r>
      <w:proofErr w:type="spellEnd"/>
      <w:r>
        <w:rPr>
          <w:rFonts w:ascii="Times New Roman" w:hAnsi="Times New Roman"/>
        </w:rPr>
        <w:t>. This shift reflects changes in the socio-ec</w:t>
      </w:r>
      <w:r>
        <w:rPr>
          <w:rFonts w:ascii="Times New Roman" w:hAnsi="Times New Roman"/>
        </w:rPr>
        <w:t>onomic profile of residents—from predominantly low-income groups to a more mixed-income population. Consequently, the planning challenge is no longer limited to informal settlement upgrading but now requires more integrated and forward-looking urban develo</w:t>
      </w:r>
      <w:r>
        <w:rPr>
          <w:rFonts w:ascii="Times New Roman" w:hAnsi="Times New Roman"/>
        </w:rPr>
        <w:t>pment strategies.</w:t>
      </w:r>
    </w:p>
    <w:p w14:paraId="2FE37C64" w14:textId="77777777" w:rsidR="00FB5556" w:rsidRDefault="00FB5556">
      <w:pPr>
        <w:spacing w:line="240" w:lineRule="auto"/>
        <w:jc w:val="both"/>
        <w:rPr>
          <w:rFonts w:ascii="Times New Roman" w:hAnsi="Times New Roman"/>
          <w:b/>
          <w:sz w:val="24"/>
          <w:szCs w:val="24"/>
        </w:rPr>
      </w:pPr>
    </w:p>
    <w:p w14:paraId="4527C22C" w14:textId="77777777" w:rsidR="00FB5556" w:rsidRDefault="00F85F1C">
      <w:pPr>
        <w:spacing w:line="240" w:lineRule="auto"/>
        <w:jc w:val="both"/>
        <w:rPr>
          <w:rFonts w:ascii="Times New Roman" w:hAnsi="Times New Roman"/>
          <w:b/>
          <w:sz w:val="24"/>
          <w:szCs w:val="24"/>
        </w:rPr>
      </w:pPr>
      <w:r>
        <w:rPr>
          <w:rFonts w:ascii="Times New Roman" w:hAnsi="Times New Roman"/>
          <w:noProof/>
          <w:sz w:val="24"/>
          <w:szCs w:val="24"/>
          <w:lang w:eastAsia="en-US"/>
        </w:rPr>
        <w:lastRenderedPageBreak/>
        <w:drawing>
          <wp:inline distT="0" distB="0" distL="0" distR="0" wp14:anchorId="7BAB542C" wp14:editId="76C9051B">
            <wp:extent cx="5800725" cy="4088765"/>
            <wp:effectExtent l="0" t="0" r="9525" b="6985"/>
            <wp:docPr id="1" name="Picture 1" descr="IMG_20260310_13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60310_135741"/>
                    <pic:cNvPicPr>
                      <a:picLocks noChangeAspect="1" noChangeArrowheads="1"/>
                    </pic:cNvPicPr>
                  </pic:nvPicPr>
                  <pic:blipFill>
                    <a:blip r:embed="rId7">
                      <a:lum bright="-20000" contrast="20000"/>
                      <a:extLst>
                        <a:ext uri="{28A0092B-C50C-407E-A947-70E740481C1C}">
                          <a14:useLocalDpi xmlns:a14="http://schemas.microsoft.com/office/drawing/2010/main" val="0"/>
                        </a:ext>
                      </a:extLst>
                    </a:blip>
                    <a:srcRect/>
                    <a:stretch>
                      <a:fillRect/>
                    </a:stretch>
                  </pic:blipFill>
                  <pic:spPr>
                    <a:xfrm>
                      <a:off x="0" y="0"/>
                      <a:ext cx="5800725" cy="4088765"/>
                    </a:xfrm>
                    <a:prstGeom prst="rect">
                      <a:avLst/>
                    </a:prstGeom>
                    <a:noFill/>
                    <a:ln>
                      <a:noFill/>
                    </a:ln>
                  </pic:spPr>
                </pic:pic>
              </a:graphicData>
            </a:graphic>
          </wp:inline>
        </w:drawing>
      </w:r>
    </w:p>
    <w:p w14:paraId="2150F484" w14:textId="77777777" w:rsidR="00FB5556" w:rsidRDefault="00FB5556">
      <w:pPr>
        <w:pStyle w:val="Heading1"/>
        <w:spacing w:beforeAutospacing="0" w:afterAutospacing="0"/>
        <w:jc w:val="both"/>
        <w:rPr>
          <w:rStyle w:val="Strong"/>
          <w:rFonts w:ascii="Times New Roman" w:hAnsi="Times New Roman" w:hint="default"/>
          <w:b/>
          <w:bCs/>
          <w:sz w:val="24"/>
          <w:szCs w:val="24"/>
        </w:rPr>
      </w:pPr>
    </w:p>
    <w:p w14:paraId="39C14053" w14:textId="77777777" w:rsidR="00FB5556" w:rsidRDefault="00FB5556">
      <w:pPr>
        <w:pStyle w:val="Heading1"/>
        <w:spacing w:beforeAutospacing="0" w:afterAutospacing="0"/>
        <w:jc w:val="both"/>
        <w:rPr>
          <w:rStyle w:val="Strong"/>
          <w:rFonts w:ascii="Times New Roman" w:hAnsi="Times New Roman" w:hint="default"/>
          <w:b/>
          <w:bCs/>
          <w:sz w:val="24"/>
          <w:szCs w:val="24"/>
        </w:rPr>
      </w:pPr>
    </w:p>
    <w:p w14:paraId="45CD77DC" w14:textId="77777777" w:rsidR="00FB5556" w:rsidRDefault="00FB5556">
      <w:pPr>
        <w:pStyle w:val="Heading1"/>
        <w:spacing w:beforeAutospacing="0" w:afterAutospacing="0"/>
        <w:jc w:val="both"/>
        <w:rPr>
          <w:rStyle w:val="Strong"/>
          <w:rFonts w:ascii="Times New Roman" w:hAnsi="Times New Roman" w:hint="default"/>
          <w:b/>
          <w:bCs/>
          <w:sz w:val="24"/>
          <w:szCs w:val="24"/>
        </w:rPr>
      </w:pPr>
    </w:p>
    <w:p w14:paraId="767C063D" w14:textId="77777777" w:rsidR="00FB5556" w:rsidRDefault="00F85F1C">
      <w:pPr>
        <w:pStyle w:val="Heading1"/>
        <w:spacing w:beforeAutospacing="0" w:afterAutospacing="0"/>
        <w:jc w:val="both"/>
        <w:rPr>
          <w:rFonts w:ascii="Times New Roman" w:eastAsia="Times New Roman" w:hAnsi="Times New Roman" w:hint="default"/>
          <w:sz w:val="24"/>
          <w:szCs w:val="24"/>
          <w:lang w:val="en-GB" w:eastAsia="en-GB"/>
        </w:rPr>
      </w:pPr>
      <w:r>
        <w:rPr>
          <w:rStyle w:val="Strong"/>
          <w:rFonts w:ascii="Times New Roman" w:hAnsi="Times New Roman" w:hint="default"/>
          <w:b/>
          <w:bCs/>
          <w:sz w:val="24"/>
          <w:szCs w:val="24"/>
        </w:rPr>
        <w:t xml:space="preserve">8.2 Environmental Conditions of Wetland </w:t>
      </w:r>
      <w:proofErr w:type="spellStart"/>
      <w:r>
        <w:rPr>
          <w:rStyle w:val="Strong"/>
          <w:rFonts w:ascii="Times New Roman" w:hAnsi="Times New Roman" w:hint="default"/>
          <w:b/>
          <w:bCs/>
          <w:sz w:val="24"/>
          <w:szCs w:val="24"/>
        </w:rPr>
        <w:t>Neighbourhoods</w:t>
      </w:r>
      <w:proofErr w:type="spellEnd"/>
    </w:p>
    <w:p w14:paraId="0F0851C4"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Wetland </w:t>
      </w:r>
      <w:proofErr w:type="spellStart"/>
      <w:r>
        <w:rPr>
          <w:rFonts w:ascii="Times New Roman" w:hAnsi="Times New Roman"/>
        </w:rPr>
        <w:t>neighbourhoods</w:t>
      </w:r>
      <w:proofErr w:type="spellEnd"/>
      <w:r>
        <w:rPr>
          <w:rFonts w:ascii="Times New Roman" w:hAnsi="Times New Roman"/>
        </w:rPr>
        <w:t xml:space="preserve"> in Port Harcourt exhibit distinct environmental and infrastructural characteristics shaped by both their ecological setting and the absence of formal plan</w:t>
      </w:r>
      <w:r>
        <w:rPr>
          <w:rFonts w:ascii="Times New Roman" w:hAnsi="Times New Roman"/>
        </w:rPr>
        <w:t>ning control.</w:t>
      </w:r>
    </w:p>
    <w:p w14:paraId="4D358C91"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road network typically consists of a primary access road that connects the </w:t>
      </w:r>
      <w:proofErr w:type="spellStart"/>
      <w:r>
        <w:rPr>
          <w:rFonts w:ascii="Times New Roman" w:hAnsi="Times New Roman"/>
        </w:rPr>
        <w:t>neighbourhood</w:t>
      </w:r>
      <w:proofErr w:type="spellEnd"/>
      <w:r>
        <w:rPr>
          <w:rFonts w:ascii="Times New Roman" w:hAnsi="Times New Roman"/>
        </w:rPr>
        <w:t xml:space="preserve"> to external routes and feeds into a system of secondary and tertiary streets. These roads, often determined by indigenous landowners rather than form</w:t>
      </w:r>
      <w:r>
        <w:rPr>
          <w:rFonts w:ascii="Times New Roman" w:hAnsi="Times New Roman"/>
        </w:rPr>
        <w:t xml:space="preserve">al planning standards, range in width from approximately 4.2 to 7.2 </w:t>
      </w:r>
      <w:proofErr w:type="spellStart"/>
      <w:r>
        <w:rPr>
          <w:rFonts w:ascii="Times New Roman" w:hAnsi="Times New Roman"/>
        </w:rPr>
        <w:t>metres</w:t>
      </w:r>
      <w:proofErr w:type="spellEnd"/>
      <w:r>
        <w:rPr>
          <w:rFonts w:ascii="Times New Roman" w:hAnsi="Times New Roman"/>
        </w:rPr>
        <w:t>. Most of these roads are untarred, making them difficult to navigate, particularly during the rainy season. In many cases, their narrow widths discourage on-street parking and limit</w:t>
      </w:r>
      <w:r>
        <w:rPr>
          <w:rFonts w:ascii="Times New Roman" w:hAnsi="Times New Roman"/>
        </w:rPr>
        <w:t xml:space="preserve"> accessibility.</w:t>
      </w:r>
    </w:p>
    <w:p w14:paraId="1A5E71A4" w14:textId="77777777" w:rsidR="00FB5556" w:rsidRDefault="00F85F1C">
      <w:pPr>
        <w:pStyle w:val="NormalWeb"/>
        <w:spacing w:beforeAutospacing="0" w:afterAutospacing="0"/>
        <w:jc w:val="both"/>
        <w:rPr>
          <w:rFonts w:ascii="Times New Roman" w:hAnsi="Times New Roman"/>
        </w:rPr>
      </w:pPr>
      <w:r>
        <w:rPr>
          <w:rFonts w:ascii="Times New Roman" w:hAnsi="Times New Roman"/>
        </w:rPr>
        <w:t>Drainage infrastructure is largely absent or poorly developed. Wastewater from residential buildings is frequently discharged directly onto the streets, contributing to unsanitary conditions and environmental degradation. The lack of develo</w:t>
      </w:r>
      <w:r>
        <w:rPr>
          <w:rFonts w:ascii="Times New Roman" w:hAnsi="Times New Roman"/>
        </w:rPr>
        <w:t>pment control also leads to encroachment on road alignments, as property boundaries often extend beyond designated survey limits, further constraining road width and preventing the installation of drainage systems.</w:t>
      </w:r>
    </w:p>
    <w:p w14:paraId="343A67B0"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Building patterns within these </w:t>
      </w:r>
      <w:proofErr w:type="spellStart"/>
      <w:r>
        <w:rPr>
          <w:rFonts w:ascii="Times New Roman" w:hAnsi="Times New Roman"/>
        </w:rPr>
        <w:t>neighbourh</w:t>
      </w:r>
      <w:r>
        <w:rPr>
          <w:rFonts w:ascii="Times New Roman" w:hAnsi="Times New Roman"/>
        </w:rPr>
        <w:t>oods</w:t>
      </w:r>
      <w:proofErr w:type="spellEnd"/>
      <w:r>
        <w:rPr>
          <w:rFonts w:ascii="Times New Roman" w:hAnsi="Times New Roman"/>
        </w:rPr>
        <w:t xml:space="preserve"> reflect minimal compliance with planning standards. Structures are often erected without regard for required setbacks, resulting in overcrowded conditions where buildings are closely spaced, sometimes with rooflines nearly </w:t>
      </w:r>
      <w:r>
        <w:rPr>
          <w:rFonts w:ascii="Times New Roman" w:hAnsi="Times New Roman"/>
        </w:rPr>
        <w:lastRenderedPageBreak/>
        <w:t>touching. This raises concer</w:t>
      </w:r>
      <w:r>
        <w:rPr>
          <w:rFonts w:ascii="Times New Roman" w:hAnsi="Times New Roman"/>
        </w:rPr>
        <w:t>ns regarding ventilation, privacy, and fire safety. High perimeter walls are commonly constructed for security purposes, further limiting spatial openness.</w:t>
      </w:r>
    </w:p>
    <w:p w14:paraId="3FA88CE0"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Solid waste management is another critical challenge. In the absence of designated waste collection </w:t>
      </w:r>
      <w:r>
        <w:rPr>
          <w:rFonts w:ascii="Times New Roman" w:hAnsi="Times New Roman"/>
        </w:rPr>
        <w:t>points, residents often resort to using domestic waste as a means of land reclamation. While this practice temporarily raises ground levels, it contributes to environmental hazards during flooding events, as waste materials are frequently redistributed int</w:t>
      </w:r>
      <w:r>
        <w:rPr>
          <w:rFonts w:ascii="Times New Roman" w:hAnsi="Times New Roman"/>
        </w:rPr>
        <w:t>o streets and residential areas.</w:t>
      </w:r>
    </w:p>
    <w:p w14:paraId="40314138"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Flooding remains a defining environmental issue in these </w:t>
      </w:r>
      <w:proofErr w:type="spellStart"/>
      <w:r>
        <w:rPr>
          <w:rFonts w:ascii="Times New Roman" w:hAnsi="Times New Roman"/>
        </w:rPr>
        <w:t>neighbourhoods</w:t>
      </w:r>
      <w:proofErr w:type="spellEnd"/>
      <w:r>
        <w:rPr>
          <w:rFonts w:ascii="Times New Roman" w:hAnsi="Times New Roman"/>
        </w:rPr>
        <w:t xml:space="preserve">. Residents described a recurrent flooding period locally referred to as </w:t>
      </w:r>
      <w:r>
        <w:rPr>
          <w:rStyle w:val="Emphasis"/>
          <w:rFonts w:ascii="Times New Roman" w:hAnsi="Times New Roman"/>
        </w:rPr>
        <w:t>“Big Water”</w:t>
      </w:r>
      <w:r>
        <w:rPr>
          <w:rFonts w:ascii="Times New Roman" w:hAnsi="Times New Roman"/>
        </w:rPr>
        <w:t>, occurring approximately 4–5 times annually, with peak intensity be</w:t>
      </w:r>
      <w:r>
        <w:rPr>
          <w:rFonts w:ascii="Times New Roman" w:hAnsi="Times New Roman"/>
        </w:rPr>
        <w:t>tween December and January. During this period, canals overflow, submerging roads and restricting both pedestrian and vehicular movement. Buildings with low foundation levels are particularly vulnerable, leading to frequent incidences of residential floodi</w:t>
      </w:r>
      <w:r>
        <w:rPr>
          <w:rFonts w:ascii="Times New Roman" w:hAnsi="Times New Roman"/>
        </w:rPr>
        <w:t>ng.</w:t>
      </w:r>
    </w:p>
    <w:p w14:paraId="3C9FE500" w14:textId="77777777" w:rsidR="00FB5556" w:rsidRDefault="00F85F1C">
      <w:pPr>
        <w:spacing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18D5D705" wp14:editId="5EA6982E">
            <wp:extent cx="3916680" cy="2708910"/>
            <wp:effectExtent l="19050" t="19050" r="26670" b="15240"/>
            <wp:docPr id="2" name="Picture 2" descr="IMG_20260312_08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60312_0838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19751" cy="2711161"/>
                    </a:xfrm>
                    <a:prstGeom prst="rect">
                      <a:avLst/>
                    </a:prstGeom>
                    <a:noFill/>
                    <a:ln w="9525">
                      <a:solidFill>
                        <a:schemeClr val="tx1"/>
                      </a:solidFill>
                    </a:ln>
                  </pic:spPr>
                </pic:pic>
              </a:graphicData>
            </a:graphic>
          </wp:inline>
        </w:drawing>
      </w:r>
    </w:p>
    <w:p w14:paraId="5D20FACE" w14:textId="77777777" w:rsidR="00FB5556" w:rsidRDefault="00F85F1C">
      <w:pPr>
        <w:spacing w:line="240" w:lineRule="auto"/>
        <w:jc w:val="both"/>
        <w:rPr>
          <w:rFonts w:ascii="Times New Roman" w:hAnsi="Times New Roman"/>
          <w:sz w:val="24"/>
          <w:szCs w:val="24"/>
        </w:rPr>
      </w:pPr>
      <w:r>
        <w:rPr>
          <w:rFonts w:ascii="Times New Roman" w:hAnsi="Times New Roman"/>
          <w:sz w:val="24"/>
          <w:szCs w:val="24"/>
        </w:rPr>
        <w:t xml:space="preserve">Plate 1: Normal DPC for residential buildings in Urban Wetland </w:t>
      </w:r>
      <w:proofErr w:type="spellStart"/>
      <w:r>
        <w:rPr>
          <w:rFonts w:ascii="Times New Roman" w:hAnsi="Times New Roman"/>
          <w:sz w:val="24"/>
          <w:szCs w:val="24"/>
        </w:rPr>
        <w:t>Neighbourhood</w:t>
      </w:r>
      <w:proofErr w:type="spellEnd"/>
      <w:r>
        <w:rPr>
          <w:rFonts w:ascii="Times New Roman" w:hAnsi="Times New Roman"/>
          <w:sz w:val="24"/>
          <w:szCs w:val="24"/>
        </w:rPr>
        <w:t xml:space="preserve"> in Port Harcourt</w:t>
      </w:r>
    </w:p>
    <w:p w14:paraId="55428774" w14:textId="77777777" w:rsidR="00FB5556" w:rsidRDefault="00F85F1C">
      <w:pPr>
        <w:spacing w:line="240" w:lineRule="auto"/>
        <w:jc w:val="both"/>
        <w:rPr>
          <w:rFonts w:ascii="Times New Roman" w:hAnsi="Times New Roman"/>
          <w:sz w:val="24"/>
          <w:szCs w:val="24"/>
        </w:rPr>
      </w:pPr>
      <w:r>
        <w:rPr>
          <w:rFonts w:ascii="Times New Roman" w:hAnsi="Times New Roman"/>
          <w:sz w:val="24"/>
          <w:szCs w:val="24"/>
        </w:rPr>
        <w:t>Some of these settlements boast of some public infrastructure like market and health facility unlike the squatter settlements. Laterite roads are common in these settlements and are mostly through self-help by land developers. In some areas before a develo</w:t>
      </w:r>
      <w:r>
        <w:rPr>
          <w:rFonts w:ascii="Times New Roman" w:hAnsi="Times New Roman"/>
          <w:sz w:val="24"/>
          <w:szCs w:val="24"/>
        </w:rPr>
        <w:t xml:space="preserve">per mobilize to his site to start development, he is expected to deposit a truck of sand or laterite to the street. These contributions are used to open up new roads or extend existing ones in the </w:t>
      </w:r>
      <w:proofErr w:type="spellStart"/>
      <w:r>
        <w:rPr>
          <w:rFonts w:ascii="Times New Roman" w:hAnsi="Times New Roman"/>
          <w:sz w:val="24"/>
          <w:szCs w:val="24"/>
        </w:rPr>
        <w:t>neighbourhood</w:t>
      </w:r>
      <w:proofErr w:type="spellEnd"/>
      <w:r>
        <w:rPr>
          <w:rFonts w:ascii="Times New Roman" w:hAnsi="Times New Roman"/>
          <w:sz w:val="24"/>
          <w:szCs w:val="24"/>
        </w:rPr>
        <w:t>.</w:t>
      </w:r>
    </w:p>
    <w:p w14:paraId="74534614" w14:textId="77777777" w:rsidR="00FB5556" w:rsidRDefault="00F85F1C">
      <w:pPr>
        <w:spacing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382913D9" wp14:editId="1AEB3E55">
            <wp:extent cx="4813300" cy="2707005"/>
            <wp:effectExtent l="19050" t="19050" r="25400" b="17145"/>
            <wp:docPr id="3" name="Picture 3" descr="IMG_20240920_10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40920_103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29422" cy="2715910"/>
                    </a:xfrm>
                    <a:prstGeom prst="rect">
                      <a:avLst/>
                    </a:prstGeom>
                    <a:noFill/>
                    <a:ln w="9525">
                      <a:solidFill>
                        <a:schemeClr val="tx1"/>
                      </a:solidFill>
                    </a:ln>
                  </pic:spPr>
                </pic:pic>
              </a:graphicData>
            </a:graphic>
          </wp:inline>
        </w:drawing>
      </w:r>
    </w:p>
    <w:p w14:paraId="39B45E68" w14:textId="77777777" w:rsidR="00FB5556" w:rsidRDefault="00F85F1C">
      <w:pPr>
        <w:spacing w:line="240" w:lineRule="auto"/>
        <w:jc w:val="center"/>
        <w:rPr>
          <w:rFonts w:ascii="Times New Roman" w:hAnsi="Times New Roman"/>
          <w:sz w:val="24"/>
          <w:szCs w:val="24"/>
        </w:rPr>
      </w:pPr>
      <w:r>
        <w:rPr>
          <w:rFonts w:ascii="Times New Roman" w:hAnsi="Times New Roman"/>
          <w:sz w:val="24"/>
          <w:szCs w:val="24"/>
        </w:rPr>
        <w:t>Plate 2: ‘Big water’ season in urban wetla</w:t>
      </w:r>
      <w:r>
        <w:rPr>
          <w:rFonts w:ascii="Times New Roman" w:hAnsi="Times New Roman"/>
          <w:sz w:val="24"/>
          <w:szCs w:val="24"/>
        </w:rPr>
        <w:t xml:space="preserve">nd </w:t>
      </w:r>
      <w:proofErr w:type="spellStart"/>
      <w:r>
        <w:rPr>
          <w:rFonts w:ascii="Times New Roman" w:hAnsi="Times New Roman"/>
          <w:sz w:val="24"/>
          <w:szCs w:val="24"/>
        </w:rPr>
        <w:t>Neighbourhoods</w:t>
      </w:r>
      <w:proofErr w:type="spellEnd"/>
      <w:r>
        <w:rPr>
          <w:rFonts w:ascii="Times New Roman" w:hAnsi="Times New Roman"/>
          <w:sz w:val="24"/>
          <w:szCs w:val="24"/>
        </w:rPr>
        <w:t xml:space="preserve"> in Port Harcourt.</w:t>
      </w:r>
    </w:p>
    <w:p w14:paraId="5796A069" w14:textId="77777777" w:rsidR="00FB5556" w:rsidRDefault="00F85F1C">
      <w:pPr>
        <w:pStyle w:val="Heading1"/>
        <w:spacing w:beforeAutospacing="0" w:afterAutospacing="0"/>
        <w:jc w:val="both"/>
        <w:rPr>
          <w:rFonts w:ascii="Times New Roman" w:eastAsia="Times New Roman" w:hAnsi="Times New Roman" w:hint="default"/>
          <w:sz w:val="24"/>
          <w:szCs w:val="24"/>
          <w:lang w:val="en-GB" w:eastAsia="en-GB"/>
        </w:rPr>
      </w:pPr>
      <w:r>
        <w:rPr>
          <w:rStyle w:val="Strong"/>
          <w:rFonts w:ascii="Times New Roman" w:hAnsi="Times New Roman" w:hint="default"/>
          <w:b/>
          <w:bCs/>
          <w:sz w:val="24"/>
          <w:szCs w:val="24"/>
        </w:rPr>
        <w:t xml:space="preserve">9. </w:t>
      </w:r>
      <w:r w:rsidRPr="00032264">
        <w:rPr>
          <w:rStyle w:val="Strong"/>
          <w:rFonts w:ascii="Times New Roman" w:hAnsi="Times New Roman" w:hint="default"/>
          <w:b/>
          <w:bCs/>
          <w:sz w:val="24"/>
          <w:szCs w:val="24"/>
        </w:rPr>
        <w:t>Law, Administration, and the Challenge to Urban Planning</w:t>
      </w:r>
    </w:p>
    <w:p w14:paraId="4894B3CF" w14:textId="77777777" w:rsidR="00FB5556" w:rsidRDefault="00F85F1C">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 xml:space="preserve">9.1 Law and Administration in Wetland </w:t>
      </w:r>
      <w:proofErr w:type="spellStart"/>
      <w:r>
        <w:rPr>
          <w:rStyle w:val="Strong"/>
          <w:rFonts w:ascii="Times New Roman" w:hAnsi="Times New Roman" w:hint="default"/>
          <w:b/>
          <w:bCs/>
          <w:sz w:val="24"/>
          <w:szCs w:val="24"/>
        </w:rPr>
        <w:t>Neighbourhoods</w:t>
      </w:r>
      <w:proofErr w:type="spellEnd"/>
    </w:p>
    <w:p w14:paraId="0BC2F9F9"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Although statutory planning laws governing </w:t>
      </w:r>
      <w:r>
        <w:rPr>
          <w:rStyle w:val="whitespace-normal"/>
          <w:rFonts w:ascii="Times New Roman" w:hAnsi="Times New Roman"/>
        </w:rPr>
        <w:t>Port Harcourt</w:t>
      </w:r>
      <w:r>
        <w:rPr>
          <w:rFonts w:ascii="Times New Roman" w:hAnsi="Times New Roman"/>
        </w:rPr>
        <w:t xml:space="preserve"> formally apply to wetland </w:t>
      </w:r>
      <w:proofErr w:type="spellStart"/>
      <w:r>
        <w:rPr>
          <w:rFonts w:ascii="Times New Roman" w:hAnsi="Times New Roman"/>
        </w:rPr>
        <w:t>neighbourhoods</w:t>
      </w:r>
      <w:proofErr w:type="spellEnd"/>
      <w:r>
        <w:rPr>
          <w:rFonts w:ascii="Times New Roman" w:hAnsi="Times New Roman"/>
        </w:rPr>
        <w:t>, the inte</w:t>
      </w:r>
      <w:r>
        <w:rPr>
          <w:rFonts w:ascii="Times New Roman" w:hAnsi="Times New Roman"/>
        </w:rPr>
        <w:t xml:space="preserve">rnal administration of these areas is largely governed by informal, community-based systems. These localized governance structures vary across </w:t>
      </w:r>
      <w:proofErr w:type="spellStart"/>
      <w:r>
        <w:rPr>
          <w:rFonts w:ascii="Times New Roman" w:hAnsi="Times New Roman"/>
        </w:rPr>
        <w:t>neighbourhoods</w:t>
      </w:r>
      <w:proofErr w:type="spellEnd"/>
      <w:r>
        <w:rPr>
          <w:rFonts w:ascii="Times New Roman" w:hAnsi="Times New Roman"/>
        </w:rPr>
        <w:t xml:space="preserve"> but are typically organized through landlord associations composed of resident property owners.</w:t>
      </w:r>
    </w:p>
    <w:p w14:paraId="51FC7CE7" w14:textId="77777777" w:rsidR="00FB5556" w:rsidRDefault="00F85F1C">
      <w:pPr>
        <w:pStyle w:val="NormalWeb"/>
        <w:spacing w:beforeAutospacing="0" w:afterAutospacing="0"/>
        <w:jc w:val="both"/>
        <w:rPr>
          <w:rFonts w:ascii="Times New Roman" w:hAnsi="Times New Roman"/>
        </w:rPr>
      </w:pPr>
      <w:r>
        <w:rPr>
          <w:rFonts w:ascii="Times New Roman" w:hAnsi="Times New Roman"/>
        </w:rPr>
        <w:t>Th</w:t>
      </w:r>
      <w:r>
        <w:rPr>
          <w:rFonts w:ascii="Times New Roman" w:hAnsi="Times New Roman"/>
        </w:rPr>
        <w:t xml:space="preserve">ese associations establish and enforce rules that regulate </w:t>
      </w:r>
      <w:proofErr w:type="spellStart"/>
      <w:r>
        <w:rPr>
          <w:rFonts w:ascii="Times New Roman" w:hAnsi="Times New Roman"/>
        </w:rPr>
        <w:t>neighbourhood</w:t>
      </w:r>
      <w:proofErr w:type="spellEnd"/>
      <w:r>
        <w:rPr>
          <w:rFonts w:ascii="Times New Roman" w:hAnsi="Times New Roman"/>
        </w:rPr>
        <w:t xml:space="preserve"> activities, with executive committees either elected or appointed to oversee implementation. Key priorities across most wetland </w:t>
      </w:r>
      <w:proofErr w:type="spellStart"/>
      <w:r>
        <w:rPr>
          <w:rFonts w:ascii="Times New Roman" w:hAnsi="Times New Roman"/>
        </w:rPr>
        <w:t>neighbourhoods</w:t>
      </w:r>
      <w:proofErr w:type="spellEnd"/>
      <w:r>
        <w:rPr>
          <w:rFonts w:ascii="Times New Roman" w:hAnsi="Times New Roman"/>
        </w:rPr>
        <w:t xml:space="preserve"> include security, electricity supply, an</w:t>
      </w:r>
      <w:r>
        <w:rPr>
          <w:rFonts w:ascii="Times New Roman" w:hAnsi="Times New Roman"/>
        </w:rPr>
        <w:t xml:space="preserve">d road maintenance. In many cases, access to these </w:t>
      </w:r>
      <w:proofErr w:type="spellStart"/>
      <w:r>
        <w:rPr>
          <w:rFonts w:ascii="Times New Roman" w:hAnsi="Times New Roman"/>
        </w:rPr>
        <w:t>neighbourhoods</w:t>
      </w:r>
      <w:proofErr w:type="spellEnd"/>
      <w:r>
        <w:rPr>
          <w:rFonts w:ascii="Times New Roman" w:hAnsi="Times New Roman"/>
        </w:rPr>
        <w:t xml:space="preserve"> is controlled through gated entry points, with restrictions placed on movement—such as limited visitor access after certain hours and, in some instances, prohibition of specific transport mo</w:t>
      </w:r>
      <w:r>
        <w:rPr>
          <w:rFonts w:ascii="Times New Roman" w:hAnsi="Times New Roman"/>
        </w:rPr>
        <w:t>des like tricycles.</w:t>
      </w:r>
    </w:p>
    <w:p w14:paraId="5E5093A4" w14:textId="77777777" w:rsidR="00FB5556" w:rsidRDefault="00F85F1C">
      <w:pPr>
        <w:pStyle w:val="NormalWeb"/>
        <w:spacing w:beforeAutospacing="0" w:afterAutospacing="0"/>
        <w:jc w:val="both"/>
        <w:rPr>
          <w:rFonts w:ascii="Times New Roman" w:hAnsi="Times New Roman"/>
        </w:rPr>
      </w:pPr>
      <w:r>
        <w:rPr>
          <w:rFonts w:ascii="Times New Roman" w:hAnsi="Times New Roman"/>
        </w:rPr>
        <w:t>Security arrangements are collectively financed, with landlords contributing monthly levies toward private security services. Similarly, residents contribute to the provision and maintenance of electricity infrastructure, including tran</w:t>
      </w:r>
      <w:r>
        <w:rPr>
          <w:rFonts w:ascii="Times New Roman" w:hAnsi="Times New Roman"/>
        </w:rPr>
        <w:t xml:space="preserve">sformers, poles, and cabling. New property owners are often required to pay connection fees to </w:t>
      </w:r>
      <w:proofErr w:type="spellStart"/>
      <w:r>
        <w:rPr>
          <w:rFonts w:ascii="Times New Roman" w:hAnsi="Times New Roman"/>
        </w:rPr>
        <w:t>neighbourhood</w:t>
      </w:r>
      <w:proofErr w:type="spellEnd"/>
      <w:r>
        <w:rPr>
          <w:rFonts w:ascii="Times New Roman" w:hAnsi="Times New Roman"/>
        </w:rPr>
        <w:t xml:space="preserve"> electricity committees before accessing power supply.</w:t>
      </w:r>
    </w:p>
    <w:p w14:paraId="543CDFBB" w14:textId="77777777" w:rsidR="00FB5556" w:rsidRDefault="00F85F1C">
      <w:pPr>
        <w:pStyle w:val="NormalWeb"/>
        <w:spacing w:beforeAutospacing="0" w:afterAutospacing="0"/>
        <w:jc w:val="both"/>
        <w:rPr>
          <w:rFonts w:ascii="Times New Roman" w:hAnsi="Times New Roman"/>
        </w:rPr>
      </w:pPr>
      <w:r>
        <w:rPr>
          <w:rFonts w:ascii="Times New Roman" w:hAnsi="Times New Roman"/>
        </w:rPr>
        <w:t>Road development and maintenance also rely heavily on collective action. Contributions from d</w:t>
      </w:r>
      <w:r>
        <w:rPr>
          <w:rFonts w:ascii="Times New Roman" w:hAnsi="Times New Roman"/>
        </w:rPr>
        <w:t>evelopers and residents are pooled to construct or upgrade access roads, reflecting a strong culture of self-help and community-driven infrastructure provision. Beyond infrastructure, these associations also play important social roles, including financial</w:t>
      </w:r>
      <w:r>
        <w:rPr>
          <w:rFonts w:ascii="Times New Roman" w:hAnsi="Times New Roman"/>
        </w:rPr>
        <w:t xml:space="preserve"> and logistical support during community events such as bereavement ceremonies. Additional revenue is generated through mechanisms such as fines and development levies imposed on new entrants.</w:t>
      </w:r>
    </w:p>
    <w:p w14:paraId="3E5FEB04"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Overall, governance within wetland </w:t>
      </w:r>
      <w:proofErr w:type="spellStart"/>
      <w:r>
        <w:rPr>
          <w:rFonts w:ascii="Times New Roman" w:hAnsi="Times New Roman"/>
        </w:rPr>
        <w:t>neighbourhoods</w:t>
      </w:r>
      <w:proofErr w:type="spellEnd"/>
      <w:r>
        <w:rPr>
          <w:rFonts w:ascii="Times New Roman" w:hAnsi="Times New Roman"/>
        </w:rPr>
        <w:t xml:space="preserve"> reflects a hy</w:t>
      </w:r>
      <w:r>
        <w:rPr>
          <w:rFonts w:ascii="Times New Roman" w:hAnsi="Times New Roman"/>
        </w:rPr>
        <w:t>brid system in which formal state regulation is weak or absent, and informal institutions assume responsibility for service provision and local order.</w:t>
      </w:r>
    </w:p>
    <w:p w14:paraId="00C7C961" w14:textId="77777777" w:rsidR="00FB5556" w:rsidRDefault="00FB5556">
      <w:pPr>
        <w:spacing w:after="0" w:line="240" w:lineRule="auto"/>
        <w:jc w:val="both"/>
        <w:rPr>
          <w:rFonts w:ascii="Times New Roman" w:hAnsi="Times New Roman"/>
          <w:sz w:val="24"/>
          <w:szCs w:val="24"/>
        </w:rPr>
      </w:pPr>
    </w:p>
    <w:p w14:paraId="0B854850" w14:textId="77777777" w:rsidR="00FB5556" w:rsidRDefault="00F85F1C">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lastRenderedPageBreak/>
        <w:t xml:space="preserve">9.2 Growth of Wetland </w:t>
      </w:r>
      <w:proofErr w:type="spellStart"/>
      <w:r>
        <w:rPr>
          <w:rStyle w:val="Strong"/>
          <w:rFonts w:ascii="Times New Roman" w:hAnsi="Times New Roman" w:hint="default"/>
          <w:b/>
          <w:bCs/>
          <w:sz w:val="24"/>
          <w:szCs w:val="24"/>
        </w:rPr>
        <w:t>Neighbourhoods</w:t>
      </w:r>
      <w:proofErr w:type="spellEnd"/>
      <w:r>
        <w:rPr>
          <w:rStyle w:val="Strong"/>
          <w:rFonts w:ascii="Times New Roman" w:hAnsi="Times New Roman" w:hint="default"/>
          <w:b/>
          <w:bCs/>
          <w:sz w:val="24"/>
          <w:szCs w:val="24"/>
        </w:rPr>
        <w:t xml:space="preserve"> and the Challenge to Urban Planning</w:t>
      </w:r>
    </w:p>
    <w:p w14:paraId="1333CFC7"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Wetland </w:t>
      </w:r>
      <w:proofErr w:type="spellStart"/>
      <w:r>
        <w:rPr>
          <w:rFonts w:ascii="Times New Roman" w:hAnsi="Times New Roman"/>
        </w:rPr>
        <w:t>neighbourhoods</w:t>
      </w:r>
      <w:proofErr w:type="spellEnd"/>
      <w:r>
        <w:rPr>
          <w:rFonts w:ascii="Times New Roman" w:hAnsi="Times New Roman"/>
        </w:rPr>
        <w:t xml:space="preserve"> in Port </w:t>
      </w:r>
      <w:r>
        <w:rPr>
          <w:rFonts w:ascii="Times New Roman" w:hAnsi="Times New Roman"/>
        </w:rPr>
        <w:t xml:space="preserve">Harcourt, much like earlier squatter settlements, are located on marginal lands and have developed largely outside the framework of formal urban planning. According to the </w:t>
      </w:r>
      <w:r>
        <w:rPr>
          <w:rStyle w:val="whitespace-normal"/>
          <w:rFonts w:ascii="Times New Roman" w:hAnsi="Times New Roman"/>
        </w:rPr>
        <w:t>Nigerian Urban and Regional Planning Act 1992</w:t>
      </w:r>
      <w:r>
        <w:rPr>
          <w:rFonts w:ascii="Times New Roman" w:hAnsi="Times New Roman"/>
        </w:rPr>
        <w:t>, all physical development within urban</w:t>
      </w:r>
      <w:r>
        <w:rPr>
          <w:rFonts w:ascii="Times New Roman" w:hAnsi="Times New Roman"/>
        </w:rPr>
        <w:t xml:space="preserve"> areas is expected to conform to an approved master plan. However, Port Harcourt currently lacks an operational master plan to effectively guide urban development.</w:t>
      </w:r>
    </w:p>
    <w:p w14:paraId="45B6B270"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This situation is further exacerbated by persistent housing shortages, limited availability </w:t>
      </w:r>
      <w:r>
        <w:rPr>
          <w:rFonts w:ascii="Times New Roman" w:hAnsi="Times New Roman"/>
        </w:rPr>
        <w:t>of developable land, and rising land and rental costs in the inner city. These pressures have driven both population and economic activities toward wetland areas, where development continues largely unchecked. Notably, there is no comprehensive official re</w:t>
      </w:r>
      <w:r>
        <w:rPr>
          <w:rFonts w:ascii="Times New Roman" w:hAnsi="Times New Roman"/>
        </w:rPr>
        <w:t xml:space="preserve">cord of the scale, distribution, or spatial patterns of these </w:t>
      </w:r>
      <w:proofErr w:type="spellStart"/>
      <w:r>
        <w:rPr>
          <w:rFonts w:ascii="Times New Roman" w:hAnsi="Times New Roman"/>
        </w:rPr>
        <w:t>neighbourhoods</w:t>
      </w:r>
      <w:proofErr w:type="spellEnd"/>
      <w:r>
        <w:rPr>
          <w:rFonts w:ascii="Times New Roman" w:hAnsi="Times New Roman"/>
        </w:rPr>
        <w:t>.</w:t>
      </w:r>
    </w:p>
    <w:p w14:paraId="0CE84A2B" w14:textId="77777777" w:rsidR="00FB5556" w:rsidRDefault="00F85F1C">
      <w:pPr>
        <w:pStyle w:val="NormalWeb"/>
        <w:spacing w:beforeAutospacing="0" w:afterAutospacing="0"/>
        <w:jc w:val="both"/>
        <w:rPr>
          <w:rFonts w:ascii="Times New Roman" w:hAnsi="Times New Roman"/>
        </w:rPr>
      </w:pPr>
      <w:r>
        <w:rPr>
          <w:rFonts w:ascii="Times New Roman" w:hAnsi="Times New Roman"/>
        </w:rPr>
        <w:t>Institutionally, the absence of a functional planning board—as stipulated by national planning legislation—has weakened the capacity for development control. The Ministry of Urba</w:t>
      </w:r>
      <w:r>
        <w:rPr>
          <w:rFonts w:ascii="Times New Roman" w:hAnsi="Times New Roman"/>
        </w:rPr>
        <w:t>n Development and Physical Planning, although responsible for managing urban growth, lacks the necessary planning instruments and enforcement mechanisms to regulate development effectively.</w:t>
      </w:r>
    </w:p>
    <w:p w14:paraId="46721CC0" w14:textId="77777777" w:rsidR="00FB5556" w:rsidRDefault="00F85F1C">
      <w:pPr>
        <w:pStyle w:val="NormalWeb"/>
        <w:spacing w:beforeAutospacing="0" w:afterAutospacing="0"/>
        <w:jc w:val="both"/>
        <w:rPr>
          <w:rFonts w:ascii="Times New Roman" w:hAnsi="Times New Roman"/>
        </w:rPr>
      </w:pPr>
      <w:r>
        <w:rPr>
          <w:rFonts w:ascii="Times New Roman" w:hAnsi="Times New Roman"/>
        </w:rPr>
        <w:t>Empirical findings from this study indicate that a significant pro</w:t>
      </w:r>
      <w:r>
        <w:rPr>
          <w:rFonts w:ascii="Times New Roman" w:hAnsi="Times New Roman"/>
        </w:rPr>
        <w:t xml:space="preserve">portion of buildings in wetland </w:t>
      </w:r>
      <w:proofErr w:type="spellStart"/>
      <w:r>
        <w:rPr>
          <w:rFonts w:ascii="Times New Roman" w:hAnsi="Times New Roman"/>
        </w:rPr>
        <w:t>neighbourhoods</w:t>
      </w:r>
      <w:proofErr w:type="spellEnd"/>
      <w:r>
        <w:rPr>
          <w:rFonts w:ascii="Times New Roman" w:hAnsi="Times New Roman"/>
        </w:rPr>
        <w:t xml:space="preserve"> (approximately 72.2%) were constructed without approved building plans. As a result, development processes are largely controlled by local landowners and informal builders who often lack technical expertise in</w:t>
      </w:r>
      <w:r>
        <w:rPr>
          <w:rFonts w:ascii="Times New Roman" w:hAnsi="Times New Roman"/>
        </w:rPr>
        <w:t xml:space="preserve"> wetland construction and urban planning principles.</w:t>
      </w:r>
    </w:p>
    <w:p w14:paraId="22C5D661" w14:textId="77777777" w:rsidR="00FB5556" w:rsidRDefault="00F85F1C">
      <w:pPr>
        <w:pStyle w:val="NormalWeb"/>
        <w:spacing w:beforeAutospacing="0" w:afterAutospacing="0"/>
        <w:jc w:val="both"/>
        <w:rPr>
          <w:rFonts w:ascii="Times New Roman" w:hAnsi="Times New Roman"/>
        </w:rPr>
      </w:pPr>
      <w:r>
        <w:rPr>
          <w:rFonts w:ascii="Times New Roman" w:hAnsi="Times New Roman"/>
        </w:rPr>
        <w:t>This unregulated development has led to a range of structural and environmental challenges, including building collapse, cracked walls, unstable foundations, and increased vulnerability to flooding—parti</w:t>
      </w:r>
      <w:r>
        <w:rPr>
          <w:rFonts w:ascii="Times New Roman" w:hAnsi="Times New Roman"/>
        </w:rPr>
        <w:t xml:space="preserve">cularly during the </w:t>
      </w:r>
      <w:r>
        <w:rPr>
          <w:rStyle w:val="Emphasis"/>
          <w:rFonts w:ascii="Times New Roman" w:hAnsi="Times New Roman"/>
        </w:rPr>
        <w:t>“Big Water”</w:t>
      </w:r>
      <w:r>
        <w:rPr>
          <w:rFonts w:ascii="Times New Roman" w:hAnsi="Times New Roman"/>
        </w:rPr>
        <w:t xml:space="preserve"> season. The absence of planning oversight has also resulted in poor land-use organization, lack of functional infrastructure, and disregard for key planning principles such as setbacks, zoning, and spatial compatibility.</w:t>
      </w:r>
    </w:p>
    <w:p w14:paraId="1ABE1EE8" w14:textId="77777777" w:rsidR="00FB5556" w:rsidRDefault="00F85F1C">
      <w:pPr>
        <w:pStyle w:val="NormalWeb"/>
        <w:spacing w:beforeAutospacing="0" w:afterAutospacing="0"/>
        <w:jc w:val="both"/>
        <w:rPr>
          <w:rFonts w:ascii="Times New Roman" w:hAnsi="Times New Roman"/>
        </w:rPr>
      </w:pPr>
      <w:r>
        <w:rPr>
          <w:rFonts w:ascii="Times New Roman" w:hAnsi="Times New Roman"/>
        </w:rPr>
        <w:t>In u</w:t>
      </w:r>
      <w:r>
        <w:rPr>
          <w:rFonts w:ascii="Times New Roman" w:hAnsi="Times New Roman"/>
        </w:rPr>
        <w:t>rban planning practice, development control is only effective when guided by clearly defined policies, standards, and regulatory frameworks. In their absence, development becomes fragmented, inefficient, and unsustainable. The continued expansion of wetlan</w:t>
      </w:r>
      <w:r>
        <w:rPr>
          <w:rFonts w:ascii="Times New Roman" w:hAnsi="Times New Roman"/>
        </w:rPr>
        <w:t xml:space="preserve">d </w:t>
      </w:r>
      <w:proofErr w:type="spellStart"/>
      <w:r>
        <w:rPr>
          <w:rFonts w:ascii="Times New Roman" w:hAnsi="Times New Roman"/>
        </w:rPr>
        <w:t>neighbourhoods</w:t>
      </w:r>
      <w:proofErr w:type="spellEnd"/>
      <w:r>
        <w:rPr>
          <w:rFonts w:ascii="Times New Roman" w:hAnsi="Times New Roman"/>
        </w:rPr>
        <w:t xml:space="preserve"> without a coherent policy framework or planning intervention poses significant risks to the future growth and functionality of the city.</w:t>
      </w:r>
    </w:p>
    <w:p w14:paraId="0AB471B1" w14:textId="77777777" w:rsidR="00FB5556" w:rsidRDefault="00F85F1C">
      <w:pPr>
        <w:pStyle w:val="NormalWeb"/>
        <w:spacing w:beforeAutospacing="0" w:afterAutospacing="0"/>
        <w:jc w:val="both"/>
        <w:rPr>
          <w:rFonts w:ascii="Times New Roman" w:hAnsi="Times New Roman"/>
        </w:rPr>
      </w:pPr>
      <w:r>
        <w:rPr>
          <w:rFonts w:ascii="Times New Roman" w:hAnsi="Times New Roman"/>
        </w:rPr>
        <w:t>Already, some of these impacts are becoming evident, particularly in the form of recurrent flooding in</w:t>
      </w:r>
      <w:r>
        <w:rPr>
          <w:rFonts w:ascii="Times New Roman" w:hAnsi="Times New Roman"/>
        </w:rPr>
        <w:t xml:space="preserve"> parts of the core urban area. This has been attributed, in part, to the obstruction of natural drainage channels by unregulated wetland development. If left unchecked, these trends may undermine the long-term sustainability of Port Harcourt as a rapidly g</w:t>
      </w:r>
      <w:r>
        <w:rPr>
          <w:rFonts w:ascii="Times New Roman" w:hAnsi="Times New Roman"/>
        </w:rPr>
        <w:t xml:space="preserve">rowing urban </w:t>
      </w:r>
      <w:proofErr w:type="spellStart"/>
      <w:r>
        <w:rPr>
          <w:rFonts w:ascii="Times New Roman" w:hAnsi="Times New Roman"/>
        </w:rPr>
        <w:t>centre</w:t>
      </w:r>
      <w:proofErr w:type="spellEnd"/>
      <w:r>
        <w:rPr>
          <w:rFonts w:ascii="Times New Roman" w:hAnsi="Times New Roman"/>
        </w:rPr>
        <w:t>.</w:t>
      </w:r>
    </w:p>
    <w:p w14:paraId="477A4ABF" w14:textId="77777777" w:rsidR="00FB5556" w:rsidRDefault="00F85F1C">
      <w:pPr>
        <w:pStyle w:val="Heading2"/>
        <w:spacing w:beforeAutospacing="0" w:afterAutospacing="0"/>
        <w:jc w:val="both"/>
        <w:rPr>
          <w:rFonts w:ascii="Times New Roman" w:hAnsi="Times New Roman" w:hint="default"/>
          <w:sz w:val="24"/>
          <w:szCs w:val="24"/>
        </w:rPr>
      </w:pPr>
      <w:r>
        <w:rPr>
          <w:rStyle w:val="Strong"/>
          <w:rFonts w:ascii="Times New Roman" w:hAnsi="Times New Roman" w:hint="default"/>
          <w:b/>
          <w:bCs/>
          <w:sz w:val="24"/>
          <w:szCs w:val="24"/>
        </w:rPr>
        <w:t>10. Conclusion and Policy Implications</w:t>
      </w:r>
    </w:p>
    <w:p w14:paraId="39926B1C" w14:textId="77777777" w:rsidR="00FB5556" w:rsidRDefault="00F85F1C">
      <w:pPr>
        <w:pStyle w:val="NormalWeb"/>
        <w:spacing w:beforeAutospacing="0" w:afterAutospacing="0"/>
        <w:jc w:val="both"/>
        <w:rPr>
          <w:rFonts w:ascii="Times New Roman" w:hAnsi="Times New Roman"/>
        </w:rPr>
      </w:pPr>
      <w:r>
        <w:rPr>
          <w:rFonts w:ascii="Times New Roman" w:hAnsi="Times New Roman"/>
        </w:rPr>
        <w:t xml:space="preserve">The study has demonstrated that wetland </w:t>
      </w:r>
      <w:proofErr w:type="spellStart"/>
      <w:r>
        <w:rPr>
          <w:rFonts w:ascii="Times New Roman" w:hAnsi="Times New Roman"/>
        </w:rPr>
        <w:t>neighbourhoods</w:t>
      </w:r>
      <w:proofErr w:type="spellEnd"/>
      <w:r>
        <w:rPr>
          <w:rFonts w:ascii="Times New Roman" w:hAnsi="Times New Roman"/>
        </w:rPr>
        <w:t xml:space="preserve"> in Port Harcourt are a product of structural deficiencies in the urban planning system, particularly in housing provision and development control. While these </w:t>
      </w:r>
      <w:proofErr w:type="spellStart"/>
      <w:r>
        <w:rPr>
          <w:rFonts w:ascii="Times New Roman" w:hAnsi="Times New Roman"/>
        </w:rPr>
        <w:t>neighbourhoods</w:t>
      </w:r>
      <w:proofErr w:type="spellEnd"/>
      <w:r>
        <w:rPr>
          <w:rFonts w:ascii="Times New Roman" w:hAnsi="Times New Roman"/>
        </w:rPr>
        <w:t xml:space="preserve"> have contributed to alleviating housing shortages, their unregulated growth poses</w:t>
      </w:r>
      <w:r>
        <w:rPr>
          <w:rFonts w:ascii="Times New Roman" w:hAnsi="Times New Roman"/>
        </w:rPr>
        <w:t xml:space="preserve"> significant environmental and planning challenges.</w:t>
      </w:r>
    </w:p>
    <w:p w14:paraId="4123F653" w14:textId="77777777" w:rsidR="00FB5556" w:rsidRDefault="00F85F1C">
      <w:pPr>
        <w:pStyle w:val="NormalWeb"/>
        <w:spacing w:beforeAutospacing="0" w:afterAutospacing="0"/>
        <w:jc w:val="both"/>
        <w:rPr>
          <w:rFonts w:ascii="Times New Roman" w:hAnsi="Times New Roman"/>
        </w:rPr>
      </w:pPr>
      <w:r>
        <w:rPr>
          <w:rFonts w:ascii="Times New Roman" w:hAnsi="Times New Roman"/>
        </w:rPr>
        <w:t>To address these challenges, a comprehensive policy framework for wetland development is required. This should include:</w:t>
      </w:r>
    </w:p>
    <w:p w14:paraId="1BADB03C" w14:textId="77777777" w:rsidR="00FB5556" w:rsidRDefault="00F85F1C">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Preparation of a wetland-specific land-use plan to guide development</w:t>
      </w:r>
    </w:p>
    <w:p w14:paraId="714EBEB7" w14:textId="77777777" w:rsidR="00FB5556" w:rsidRDefault="00F85F1C">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Strengthening d</w:t>
      </w:r>
      <w:r>
        <w:rPr>
          <w:rFonts w:ascii="Times New Roman" w:hAnsi="Times New Roman"/>
          <w:sz w:val="24"/>
          <w:szCs w:val="24"/>
        </w:rPr>
        <w:t>evelopment control mechanisms to ensure compliance with planning standards</w:t>
      </w:r>
    </w:p>
    <w:p w14:paraId="74F77946" w14:textId="77777777" w:rsidR="00FB5556" w:rsidRDefault="00F85F1C">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Implementation of flood risk management strategies</w:t>
      </w:r>
    </w:p>
    <w:p w14:paraId="54F469F0" w14:textId="77777777" w:rsidR="00FB5556" w:rsidRDefault="00F85F1C">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Regularization and upgrading of existing wetland </w:t>
      </w:r>
      <w:proofErr w:type="spellStart"/>
      <w:r>
        <w:rPr>
          <w:rFonts w:ascii="Times New Roman" w:hAnsi="Times New Roman"/>
          <w:sz w:val="24"/>
          <w:szCs w:val="24"/>
        </w:rPr>
        <w:t>neighbourhoods</w:t>
      </w:r>
      <w:proofErr w:type="spellEnd"/>
    </w:p>
    <w:p w14:paraId="3F91119A" w14:textId="77777777" w:rsidR="00FB5556" w:rsidRDefault="00F85F1C">
      <w:pPr>
        <w:numPr>
          <w:ilvl w:val="0"/>
          <w:numId w:val="4"/>
        </w:numPr>
        <w:spacing w:after="0" w:line="240" w:lineRule="auto"/>
        <w:jc w:val="both"/>
        <w:rPr>
          <w:rFonts w:ascii="Times New Roman" w:hAnsi="Times New Roman"/>
          <w:sz w:val="24"/>
          <w:szCs w:val="24"/>
          <w:lang w:val="en-GB"/>
        </w:rPr>
      </w:pPr>
      <w:r>
        <w:rPr>
          <w:rFonts w:ascii="Times New Roman" w:hAnsi="Times New Roman"/>
          <w:sz w:val="24"/>
          <w:szCs w:val="24"/>
        </w:rPr>
        <w:lastRenderedPageBreak/>
        <w:t>Integration of geospatial technologies (GIS and UAV mapping) for m</w:t>
      </w:r>
      <w:r>
        <w:rPr>
          <w:rFonts w:ascii="Times New Roman" w:hAnsi="Times New Roman"/>
          <w:sz w:val="24"/>
          <w:szCs w:val="24"/>
        </w:rPr>
        <w:t>onitoring urban expansion</w:t>
      </w:r>
      <w:r>
        <w:rPr>
          <w:rFonts w:ascii="Times New Roman" w:hAnsi="Times New Roman"/>
          <w:sz w:val="24"/>
          <w:szCs w:val="24"/>
          <w:lang w:val="en-GB"/>
        </w:rPr>
        <w:t>.</w:t>
      </w:r>
    </w:p>
    <w:p w14:paraId="3B5D0CA0" w14:textId="77777777" w:rsidR="00FB5556" w:rsidRDefault="00F85F1C">
      <w:pPr>
        <w:pStyle w:val="NormalWeb"/>
        <w:spacing w:beforeAutospacing="0" w:afterAutospacing="0"/>
        <w:jc w:val="both"/>
        <w:rPr>
          <w:rFonts w:ascii="Times New Roman" w:hAnsi="Times New Roman"/>
        </w:rPr>
      </w:pPr>
      <w:r>
        <w:rPr>
          <w:rFonts w:ascii="Times New Roman" w:hAnsi="Times New Roman"/>
        </w:rPr>
        <w:t>Furthermore, collaboration between government agencies, planning professionals, and local communities is essential to ensure sustainable development of wetland areas.</w:t>
      </w:r>
    </w:p>
    <w:p w14:paraId="7BBA1B21" w14:textId="77777777" w:rsidR="00FB5556" w:rsidRDefault="00F85F1C">
      <w:pPr>
        <w:spacing w:line="240" w:lineRule="auto"/>
        <w:jc w:val="both"/>
        <w:rPr>
          <w:rFonts w:ascii="Times New Roman" w:hAnsi="Times New Roman"/>
          <w:sz w:val="24"/>
          <w:szCs w:val="24"/>
        </w:rPr>
      </w:pPr>
      <w:r>
        <w:rPr>
          <w:rFonts w:ascii="Times New Roman" w:hAnsi="Times New Roman"/>
          <w:sz w:val="24"/>
          <w:szCs w:val="24"/>
        </w:rPr>
        <w:t xml:space="preserve"> </w:t>
      </w:r>
    </w:p>
    <w:p w14:paraId="2DAFCC5B" w14:textId="77777777" w:rsidR="00FB5556" w:rsidRDefault="00FB5556">
      <w:pPr>
        <w:spacing w:line="240" w:lineRule="auto"/>
        <w:jc w:val="both"/>
        <w:rPr>
          <w:rFonts w:ascii="Times New Roman" w:hAnsi="Times New Roman"/>
          <w:sz w:val="24"/>
          <w:szCs w:val="24"/>
        </w:rPr>
      </w:pPr>
    </w:p>
    <w:p w14:paraId="4C3F9334" w14:textId="77777777" w:rsidR="00FB5556" w:rsidRDefault="00F85F1C">
      <w:pPr>
        <w:spacing w:line="240" w:lineRule="auto"/>
        <w:rPr>
          <w:rFonts w:ascii="Times New Roman" w:eastAsia="MS Mincho" w:hAnsi="Times New Roman"/>
          <w:sz w:val="24"/>
          <w:szCs w:val="24"/>
          <w:lang w:val="en-GB" w:eastAsia="en-GB"/>
        </w:rPr>
      </w:pPr>
      <w:r>
        <w:rPr>
          <w:rFonts w:ascii="Times New Roman" w:hAnsi="Times New Roman"/>
          <w:b/>
          <w:sz w:val="24"/>
          <w:szCs w:val="24"/>
        </w:rPr>
        <w:t>References</w:t>
      </w:r>
    </w:p>
    <w:p w14:paraId="3DFF0B0E"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Aalbers, M. B. (2016). The financialization of h</w:t>
      </w:r>
      <w:r>
        <w:rPr>
          <w:rFonts w:ascii="Times New Roman" w:hAnsi="Times New Roman"/>
          <w:sz w:val="24"/>
          <w:szCs w:val="24"/>
        </w:rPr>
        <w:t>ousing: A political economy approach. Routledge.</w:t>
      </w:r>
    </w:p>
    <w:p w14:paraId="7C57F7C4"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Aaron, K. K. (2012). New corporate social responsibility models for oil companies in Nigeria’s delta region: What challenges for sustainability? Progress in Development Studies, 12(4), 259–273. https://doi.o</w:t>
      </w:r>
      <w:r>
        <w:rPr>
          <w:rFonts w:ascii="Times New Roman" w:hAnsi="Times New Roman"/>
          <w:sz w:val="24"/>
          <w:szCs w:val="24"/>
        </w:rPr>
        <w:t>rg/10.1177/146499341201200402</w:t>
      </w:r>
    </w:p>
    <w:p w14:paraId="55C918AE"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Adelekan, I. O. (2010). Vulnerability of poor urban coastal communities to flooding in Lagos, Nigeria. Environment and Urbanization, 22(2), 433–450. https://doi.org/10.1177/0956247810380141</w:t>
      </w:r>
    </w:p>
    <w:p w14:paraId="1EC4BC6E"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Ajibola, M. O., Adewale, B. A., &amp; Ij</w:t>
      </w:r>
      <w:r>
        <w:rPr>
          <w:rFonts w:ascii="Times New Roman" w:hAnsi="Times New Roman"/>
          <w:sz w:val="24"/>
          <w:szCs w:val="24"/>
        </w:rPr>
        <w:t>asan, K. C. (2012). Effect of urbanization on Lagos wetlands. International Journal of Business and Social Science, 3(17), 310–318.</w:t>
      </w:r>
    </w:p>
    <w:p w14:paraId="7C7D8D0B" w14:textId="77777777" w:rsidR="00FB5556" w:rsidRDefault="00F85F1C">
      <w:pPr>
        <w:spacing w:line="240" w:lineRule="auto"/>
        <w:ind w:left="360" w:hanging="360"/>
        <w:jc w:val="both"/>
        <w:rPr>
          <w:rFonts w:ascii="Times New Roman" w:hAnsi="Times New Roman"/>
          <w:sz w:val="24"/>
          <w:szCs w:val="24"/>
          <w:shd w:val="clear" w:color="auto" w:fill="FFFFFF"/>
        </w:rPr>
      </w:pPr>
      <w:proofErr w:type="spellStart"/>
      <w:r>
        <w:rPr>
          <w:rFonts w:ascii="Times New Roman" w:hAnsi="Times New Roman"/>
          <w:sz w:val="24"/>
          <w:szCs w:val="24"/>
          <w:shd w:val="clear" w:color="auto" w:fill="FFFFFF"/>
        </w:rPr>
        <w:t>Akpogomeh</w:t>
      </w:r>
      <w:proofErr w:type="spellEnd"/>
      <w:r>
        <w:rPr>
          <w:rFonts w:ascii="Times New Roman" w:hAnsi="Times New Roman"/>
          <w:sz w:val="24"/>
          <w:szCs w:val="24"/>
          <w:shd w:val="clear" w:color="auto" w:fill="FFFFFF"/>
        </w:rPr>
        <w:t xml:space="preserve">, O. S. (2005). 4. A Guide to Port Harcourt Metropolis and its Environs. </w:t>
      </w:r>
      <w:r>
        <w:rPr>
          <w:rFonts w:ascii="Times New Roman" w:hAnsi="Times New Roman"/>
          <w:i/>
          <w:iCs/>
          <w:sz w:val="24"/>
          <w:szCs w:val="24"/>
          <w:shd w:val="clear" w:color="auto" w:fill="FFFFFF"/>
        </w:rPr>
        <w:t>Ibadan: Kraft Book Ltd</w:t>
      </w:r>
      <w:r>
        <w:rPr>
          <w:rFonts w:ascii="Times New Roman" w:hAnsi="Times New Roman"/>
          <w:sz w:val="24"/>
          <w:szCs w:val="24"/>
          <w:shd w:val="clear" w:color="auto" w:fill="FFFFFF"/>
        </w:rPr>
        <w:t>.</w:t>
      </w:r>
    </w:p>
    <w:p w14:paraId="7798CAF7" w14:textId="77777777" w:rsidR="00FB5556" w:rsidRDefault="00F85F1C">
      <w:pPr>
        <w:spacing w:line="240" w:lineRule="auto"/>
        <w:ind w:left="360" w:hanging="360"/>
        <w:jc w:val="both"/>
        <w:rPr>
          <w:rFonts w:ascii="Times New Roman" w:eastAsia="MS Mincho" w:hAnsi="Times New Roman"/>
          <w:sz w:val="24"/>
          <w:szCs w:val="24"/>
        </w:rPr>
      </w:pPr>
      <w:r>
        <w:rPr>
          <w:rFonts w:ascii="Times New Roman" w:hAnsi="Times New Roman"/>
          <w:sz w:val="24"/>
          <w:szCs w:val="24"/>
        </w:rPr>
        <w:t>Angel, S., Parent,</w:t>
      </w:r>
      <w:r>
        <w:rPr>
          <w:rFonts w:ascii="Times New Roman" w:hAnsi="Times New Roman"/>
          <w:sz w:val="24"/>
          <w:szCs w:val="24"/>
        </w:rPr>
        <w:t xml:space="preserve"> J., </w:t>
      </w:r>
      <w:proofErr w:type="spellStart"/>
      <w:r>
        <w:rPr>
          <w:rFonts w:ascii="Times New Roman" w:hAnsi="Times New Roman"/>
          <w:sz w:val="24"/>
          <w:szCs w:val="24"/>
        </w:rPr>
        <w:t>Civco</w:t>
      </w:r>
      <w:proofErr w:type="spellEnd"/>
      <w:r>
        <w:rPr>
          <w:rFonts w:ascii="Times New Roman" w:hAnsi="Times New Roman"/>
          <w:sz w:val="24"/>
          <w:szCs w:val="24"/>
        </w:rPr>
        <w:t>, D. L., &amp; Blei, A. M. (2011). The dimensions of global urban expansion. Progress in Planning, 75(2), 53–107.</w:t>
      </w:r>
    </w:p>
    <w:p w14:paraId="3BAF5C31"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Anguelovski, I., et al. (2016). Equity impacts of urban land use planning for climate adaptation. Journal of Planning Education and Rese</w:t>
      </w:r>
      <w:r>
        <w:rPr>
          <w:rFonts w:ascii="Times New Roman" w:hAnsi="Times New Roman"/>
          <w:sz w:val="24"/>
          <w:szCs w:val="24"/>
        </w:rPr>
        <w:t>arch, 36(3), 333–348. https://doi.org/10.1177/0739456X16645166</w:t>
      </w:r>
    </w:p>
    <w:p w14:paraId="5170A462" w14:textId="77777777" w:rsidR="00FB5556" w:rsidRDefault="00F85F1C">
      <w:pPr>
        <w:spacing w:line="240" w:lineRule="auto"/>
        <w:ind w:left="360" w:hanging="360"/>
        <w:jc w:val="both"/>
        <w:rPr>
          <w:rFonts w:ascii="Times New Roman" w:hAnsi="Times New Roman"/>
          <w:sz w:val="24"/>
          <w:szCs w:val="24"/>
        </w:rPr>
      </w:pPr>
      <w:proofErr w:type="spellStart"/>
      <w:r>
        <w:rPr>
          <w:rFonts w:ascii="Times New Roman" w:hAnsi="Times New Roman"/>
          <w:sz w:val="24"/>
          <w:szCs w:val="24"/>
        </w:rPr>
        <w:t>Azous</w:t>
      </w:r>
      <w:proofErr w:type="spellEnd"/>
      <w:r>
        <w:rPr>
          <w:rFonts w:ascii="Times New Roman" w:hAnsi="Times New Roman"/>
          <w:sz w:val="24"/>
          <w:szCs w:val="24"/>
        </w:rPr>
        <w:t>, A., &amp; Horner, R. R. (Eds.). (2000). Wetlands and urbanization: Implications for the future. CRC Press.</w:t>
      </w:r>
    </w:p>
    <w:p w14:paraId="695F229C"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 xml:space="preserve">Bhan, G. (2019). Notes on a southern urban practice. Environment and Urbanization, </w:t>
      </w:r>
      <w:r>
        <w:rPr>
          <w:rFonts w:ascii="Times New Roman" w:hAnsi="Times New Roman"/>
          <w:sz w:val="24"/>
          <w:szCs w:val="24"/>
        </w:rPr>
        <w:t>31(2), 639–654.</w:t>
      </w:r>
    </w:p>
    <w:p w14:paraId="01BFA0CE" w14:textId="77777777" w:rsidR="00FB5556" w:rsidRDefault="00F85F1C">
      <w:pPr>
        <w:spacing w:line="240" w:lineRule="auto"/>
        <w:ind w:left="360" w:hanging="360"/>
        <w:jc w:val="both"/>
        <w:rPr>
          <w:rFonts w:ascii="Times New Roman" w:hAnsi="Times New Roman"/>
          <w:sz w:val="24"/>
          <w:szCs w:val="24"/>
        </w:rPr>
      </w:pPr>
      <w:proofErr w:type="spellStart"/>
      <w:r>
        <w:rPr>
          <w:rFonts w:ascii="Times New Roman" w:hAnsi="Times New Roman"/>
          <w:sz w:val="24"/>
          <w:szCs w:val="24"/>
          <w:shd w:val="clear" w:color="auto" w:fill="FFFFFF"/>
        </w:rPr>
        <w:t>Güneralp</w:t>
      </w:r>
      <w:proofErr w:type="spellEnd"/>
      <w:r>
        <w:rPr>
          <w:rFonts w:ascii="Times New Roman" w:hAnsi="Times New Roman"/>
          <w:sz w:val="24"/>
          <w:szCs w:val="24"/>
          <w:shd w:val="clear" w:color="auto" w:fill="FFFFFF"/>
        </w:rPr>
        <w:t xml:space="preserve">, B., </w:t>
      </w:r>
      <w:proofErr w:type="spellStart"/>
      <w:r>
        <w:rPr>
          <w:rFonts w:ascii="Times New Roman" w:hAnsi="Times New Roman"/>
          <w:sz w:val="24"/>
          <w:szCs w:val="24"/>
          <w:shd w:val="clear" w:color="auto" w:fill="FFFFFF"/>
        </w:rPr>
        <w:t>Lwasa</w:t>
      </w:r>
      <w:proofErr w:type="spellEnd"/>
      <w:r>
        <w:rPr>
          <w:rFonts w:ascii="Times New Roman" w:hAnsi="Times New Roman"/>
          <w:sz w:val="24"/>
          <w:szCs w:val="24"/>
          <w:shd w:val="clear" w:color="auto" w:fill="FFFFFF"/>
        </w:rPr>
        <w:t xml:space="preserve">, S., </w:t>
      </w:r>
      <w:proofErr w:type="spellStart"/>
      <w:r>
        <w:rPr>
          <w:rFonts w:ascii="Times New Roman" w:hAnsi="Times New Roman"/>
          <w:sz w:val="24"/>
          <w:szCs w:val="24"/>
          <w:shd w:val="clear" w:color="auto" w:fill="FFFFFF"/>
        </w:rPr>
        <w:t>Masundire</w:t>
      </w:r>
      <w:proofErr w:type="spellEnd"/>
      <w:r>
        <w:rPr>
          <w:rFonts w:ascii="Times New Roman" w:hAnsi="Times New Roman"/>
          <w:sz w:val="24"/>
          <w:szCs w:val="24"/>
          <w:shd w:val="clear" w:color="auto" w:fill="FFFFFF"/>
        </w:rPr>
        <w:t xml:space="preserve">, H., Parnell, S., &amp; Seto, K. C. (2017). Urbanization in Africa: challenges and opportunities for conservation. </w:t>
      </w:r>
      <w:r>
        <w:rPr>
          <w:rFonts w:ascii="Times New Roman" w:hAnsi="Times New Roman"/>
          <w:i/>
          <w:iCs/>
          <w:sz w:val="24"/>
          <w:szCs w:val="24"/>
          <w:shd w:val="clear" w:color="auto" w:fill="FFFFFF"/>
        </w:rPr>
        <w:t>Environmental research letters</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13</w:t>
      </w:r>
      <w:r>
        <w:rPr>
          <w:rFonts w:ascii="Times New Roman" w:hAnsi="Times New Roman"/>
          <w:sz w:val="24"/>
          <w:szCs w:val="24"/>
          <w:shd w:val="clear" w:color="auto" w:fill="FFFFFF"/>
        </w:rPr>
        <w:t>(1), 015002.</w:t>
      </w:r>
    </w:p>
    <w:p w14:paraId="2F88A20E"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 xml:space="preserve">Davidson, N. C., et al. (2019). Worth of </w:t>
      </w:r>
      <w:r>
        <w:rPr>
          <w:rFonts w:ascii="Times New Roman" w:hAnsi="Times New Roman"/>
          <w:sz w:val="24"/>
          <w:szCs w:val="24"/>
        </w:rPr>
        <w:t>wetlands: Revised global monetary values. Marine and Freshwater Research, 70(8), 1189–1194.</w:t>
      </w:r>
    </w:p>
    <w:p w14:paraId="27BDB4CD"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 xml:space="preserve">de </w:t>
      </w:r>
      <w:proofErr w:type="spellStart"/>
      <w:r>
        <w:rPr>
          <w:rFonts w:ascii="Times New Roman" w:hAnsi="Times New Roman"/>
          <w:sz w:val="24"/>
          <w:szCs w:val="24"/>
        </w:rPr>
        <w:t>Satgé</w:t>
      </w:r>
      <w:proofErr w:type="spellEnd"/>
      <w:r>
        <w:rPr>
          <w:rFonts w:ascii="Times New Roman" w:hAnsi="Times New Roman"/>
          <w:sz w:val="24"/>
          <w:szCs w:val="24"/>
        </w:rPr>
        <w:t>, R., &amp; Watson, V. (2018). Urban planning in the Global South. Palgrave Macmillan.</w:t>
      </w:r>
    </w:p>
    <w:p w14:paraId="33CDF26B"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 xml:space="preserve">Douglas, I., et al. (2008). Unjust waters. Environment and Urbanization, </w:t>
      </w:r>
      <w:r>
        <w:rPr>
          <w:rFonts w:ascii="Times New Roman" w:hAnsi="Times New Roman"/>
          <w:sz w:val="24"/>
          <w:szCs w:val="24"/>
        </w:rPr>
        <w:t>20(1), 187–205.</w:t>
      </w:r>
    </w:p>
    <w:p w14:paraId="7ED9B375" w14:textId="77777777" w:rsidR="00FB5556" w:rsidRDefault="00F85F1C">
      <w:pPr>
        <w:spacing w:line="240" w:lineRule="auto"/>
        <w:ind w:left="360" w:hanging="360"/>
        <w:jc w:val="both"/>
        <w:rPr>
          <w:rFonts w:ascii="Times New Roman" w:hAnsi="Times New Roman"/>
          <w:sz w:val="24"/>
          <w:szCs w:val="24"/>
        </w:rPr>
      </w:pPr>
      <w:proofErr w:type="spellStart"/>
      <w:r>
        <w:rPr>
          <w:rFonts w:ascii="Times New Roman" w:hAnsi="Times New Roman"/>
          <w:sz w:val="24"/>
          <w:szCs w:val="24"/>
        </w:rPr>
        <w:t>Fainstein</w:t>
      </w:r>
      <w:proofErr w:type="spellEnd"/>
      <w:r>
        <w:rPr>
          <w:rFonts w:ascii="Times New Roman" w:hAnsi="Times New Roman"/>
          <w:sz w:val="24"/>
          <w:szCs w:val="24"/>
        </w:rPr>
        <w:t>, S. S. (2010). The just city. Cornell University Press.</w:t>
      </w:r>
    </w:p>
    <w:p w14:paraId="00C67F60"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lastRenderedPageBreak/>
        <w:t>Faulkner, S. (2004). Urbanization impacts on wetlands. Urban Ecosystems, 7(2), 89–106.</w:t>
      </w:r>
    </w:p>
    <w:p w14:paraId="5A1140B1"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shd w:val="clear" w:color="auto" w:fill="FFFFFF"/>
        </w:rPr>
        <w:t>Zischg, A. P., &amp; Bermúdez, M. (2020). Mapping the sensitivity of population exposure to</w:t>
      </w:r>
      <w:r>
        <w:rPr>
          <w:rFonts w:ascii="Times New Roman" w:hAnsi="Times New Roman"/>
          <w:sz w:val="24"/>
          <w:szCs w:val="24"/>
          <w:shd w:val="clear" w:color="auto" w:fill="FFFFFF"/>
        </w:rPr>
        <w:t xml:space="preserve"> changes in flood magnitude: prospective application from local to global scale. </w:t>
      </w:r>
      <w:r>
        <w:rPr>
          <w:rFonts w:ascii="Times New Roman" w:hAnsi="Times New Roman"/>
          <w:i/>
          <w:iCs/>
          <w:sz w:val="24"/>
          <w:szCs w:val="24"/>
          <w:shd w:val="clear" w:color="auto" w:fill="FFFFFF"/>
        </w:rPr>
        <w:t>Frontiers in Earth Science</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8</w:t>
      </w:r>
      <w:r>
        <w:rPr>
          <w:rFonts w:ascii="Times New Roman" w:hAnsi="Times New Roman"/>
          <w:sz w:val="24"/>
          <w:szCs w:val="24"/>
          <w:shd w:val="clear" w:color="auto" w:fill="FFFFFF"/>
        </w:rPr>
        <w:t>, 390.</w:t>
      </w:r>
    </w:p>
    <w:p w14:paraId="62EBB6B1" w14:textId="77777777" w:rsidR="00FB5556" w:rsidRDefault="00F85F1C">
      <w:pPr>
        <w:spacing w:line="240" w:lineRule="auto"/>
        <w:ind w:left="360" w:hanging="36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Healey, P. (2006). </w:t>
      </w:r>
      <w:r>
        <w:rPr>
          <w:rFonts w:ascii="Times New Roman" w:hAnsi="Times New Roman"/>
          <w:i/>
          <w:iCs/>
          <w:sz w:val="24"/>
          <w:szCs w:val="24"/>
          <w:shd w:val="clear" w:color="auto" w:fill="FFFFFF"/>
        </w:rPr>
        <w:t>Urban complexity and spatial strategies: Towards a relational planning for our times</w:t>
      </w:r>
      <w:r>
        <w:rPr>
          <w:rFonts w:ascii="Times New Roman" w:hAnsi="Times New Roman"/>
          <w:sz w:val="24"/>
          <w:szCs w:val="24"/>
          <w:shd w:val="clear" w:color="auto" w:fill="FFFFFF"/>
        </w:rPr>
        <w:t>. Routledge.</w:t>
      </w:r>
    </w:p>
    <w:p w14:paraId="07CC9B4A" w14:textId="77777777" w:rsidR="00FB5556" w:rsidRDefault="00F85F1C">
      <w:pPr>
        <w:spacing w:line="240" w:lineRule="auto"/>
        <w:ind w:left="360" w:hanging="360"/>
        <w:jc w:val="both"/>
        <w:rPr>
          <w:rFonts w:ascii="Times New Roman" w:hAnsi="Times New Roman"/>
          <w:sz w:val="24"/>
          <w:szCs w:val="24"/>
          <w:shd w:val="clear" w:color="auto" w:fill="FFFFFF"/>
        </w:rPr>
      </w:pPr>
      <w:r>
        <w:rPr>
          <w:rFonts w:ascii="Times New Roman" w:hAnsi="Times New Roman"/>
          <w:sz w:val="24"/>
          <w:szCs w:val="24"/>
          <w:shd w:val="clear" w:color="auto" w:fill="FFFFFF"/>
        </w:rPr>
        <w:t>Junk, W. J., An, S., Fi</w:t>
      </w:r>
      <w:r>
        <w:rPr>
          <w:rFonts w:ascii="Times New Roman" w:hAnsi="Times New Roman"/>
          <w:sz w:val="24"/>
          <w:szCs w:val="24"/>
          <w:shd w:val="clear" w:color="auto" w:fill="FFFFFF"/>
        </w:rPr>
        <w:t xml:space="preserve">nlayson, C. M., Gopal, B., </w:t>
      </w:r>
      <w:proofErr w:type="spellStart"/>
      <w:r>
        <w:rPr>
          <w:rFonts w:ascii="Times New Roman" w:hAnsi="Times New Roman"/>
          <w:sz w:val="24"/>
          <w:szCs w:val="24"/>
          <w:shd w:val="clear" w:color="auto" w:fill="FFFFFF"/>
        </w:rPr>
        <w:t>Květ</w:t>
      </w:r>
      <w:proofErr w:type="spellEnd"/>
      <w:r>
        <w:rPr>
          <w:rFonts w:ascii="Times New Roman" w:hAnsi="Times New Roman"/>
          <w:sz w:val="24"/>
          <w:szCs w:val="24"/>
          <w:shd w:val="clear" w:color="auto" w:fill="FFFFFF"/>
        </w:rPr>
        <w:t xml:space="preserve">, J., Mitchell, S. A., ... &amp; Robarts, R. D. (2013). Current state of knowledge regarding the world’s wetlands and their future under global climate change: a synthesis. </w:t>
      </w:r>
      <w:r>
        <w:rPr>
          <w:rFonts w:ascii="Times New Roman" w:hAnsi="Times New Roman"/>
          <w:i/>
          <w:iCs/>
          <w:sz w:val="24"/>
          <w:szCs w:val="24"/>
          <w:shd w:val="clear" w:color="auto" w:fill="FFFFFF"/>
        </w:rPr>
        <w:t>Aquatic sciences</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75</w:t>
      </w:r>
      <w:r>
        <w:rPr>
          <w:rFonts w:ascii="Times New Roman" w:hAnsi="Times New Roman"/>
          <w:sz w:val="24"/>
          <w:szCs w:val="24"/>
          <w:shd w:val="clear" w:color="auto" w:fill="FFFFFF"/>
        </w:rPr>
        <w:t>(1), 151-167.</w:t>
      </w:r>
    </w:p>
    <w:p w14:paraId="4F6E2A71" w14:textId="77777777" w:rsidR="00FB5556" w:rsidRDefault="00F85F1C">
      <w:pPr>
        <w:spacing w:line="240" w:lineRule="auto"/>
        <w:ind w:left="360" w:hanging="360"/>
        <w:jc w:val="both"/>
        <w:rPr>
          <w:rFonts w:ascii="Times New Roman" w:eastAsia="MS Mincho" w:hAnsi="Times New Roman"/>
          <w:sz w:val="24"/>
          <w:szCs w:val="24"/>
        </w:rPr>
      </w:pPr>
      <w:r>
        <w:rPr>
          <w:rFonts w:ascii="Times New Roman" w:hAnsi="Times New Roman"/>
          <w:sz w:val="24"/>
          <w:szCs w:val="24"/>
        </w:rPr>
        <w:t>Kio-Lawson, D. (2013).</w:t>
      </w:r>
      <w:r>
        <w:rPr>
          <w:rFonts w:ascii="Times New Roman" w:hAnsi="Times New Roman"/>
          <w:sz w:val="24"/>
          <w:szCs w:val="24"/>
        </w:rPr>
        <w:t xml:space="preserve"> Marginal settlements in Port Harcourt. World Environment, 3(3), 78–84.</w:t>
      </w:r>
    </w:p>
    <w:p w14:paraId="505F129B"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Kio-Lawson, D. (2015). The squatters of Port Harcourt. Developing Country Studies, 5(22), 40–49.</w:t>
      </w:r>
    </w:p>
    <w:p w14:paraId="6A59B12D"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shd w:val="clear" w:color="auto" w:fill="FFFFFF"/>
        </w:rPr>
        <w:t>Yakubu, O. H. (2017). Particle (soot) pollution in Port Harcourt Rivers State, Nigeria—</w:t>
      </w:r>
      <w:r>
        <w:rPr>
          <w:rFonts w:ascii="Times New Roman" w:hAnsi="Times New Roman"/>
          <w:sz w:val="24"/>
          <w:szCs w:val="24"/>
          <w:shd w:val="clear" w:color="auto" w:fill="FFFFFF"/>
        </w:rPr>
        <w:t xml:space="preserve">double air pollution burden? Understanding and tackling potential environmental public health impacts. </w:t>
      </w:r>
      <w:r>
        <w:rPr>
          <w:rFonts w:ascii="Times New Roman" w:hAnsi="Times New Roman"/>
          <w:i/>
          <w:iCs/>
          <w:sz w:val="24"/>
          <w:szCs w:val="24"/>
          <w:shd w:val="clear" w:color="auto" w:fill="FFFFFF"/>
        </w:rPr>
        <w:t>Environments</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5</w:t>
      </w:r>
      <w:r>
        <w:rPr>
          <w:rFonts w:ascii="Times New Roman" w:hAnsi="Times New Roman"/>
          <w:sz w:val="24"/>
          <w:szCs w:val="24"/>
          <w:shd w:val="clear" w:color="auto" w:fill="FFFFFF"/>
        </w:rPr>
        <w:t>(1), 2.</w:t>
      </w:r>
    </w:p>
    <w:p w14:paraId="0DEF08A2"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shd w:val="clear" w:color="auto" w:fill="FFFFFF"/>
        </w:rPr>
        <w:t xml:space="preserve">Fransolet, A., Phillips, A., da Schio, N., </w:t>
      </w:r>
      <w:proofErr w:type="spellStart"/>
      <w:r>
        <w:rPr>
          <w:rFonts w:ascii="Times New Roman" w:hAnsi="Times New Roman"/>
          <w:sz w:val="24"/>
          <w:szCs w:val="24"/>
          <w:shd w:val="clear" w:color="auto" w:fill="FFFFFF"/>
        </w:rPr>
        <w:t>Vastenaekels</w:t>
      </w:r>
      <w:proofErr w:type="spellEnd"/>
      <w:r>
        <w:rPr>
          <w:rFonts w:ascii="Times New Roman" w:hAnsi="Times New Roman"/>
          <w:sz w:val="24"/>
          <w:szCs w:val="24"/>
          <w:shd w:val="clear" w:color="auto" w:fill="FFFFFF"/>
        </w:rPr>
        <w:t xml:space="preserve">, J., </w:t>
      </w:r>
      <w:proofErr w:type="spellStart"/>
      <w:r>
        <w:rPr>
          <w:rFonts w:ascii="Times New Roman" w:hAnsi="Times New Roman"/>
          <w:sz w:val="24"/>
          <w:szCs w:val="24"/>
          <w:shd w:val="clear" w:color="auto" w:fill="FFFFFF"/>
        </w:rPr>
        <w:t>Baró</w:t>
      </w:r>
      <w:proofErr w:type="spellEnd"/>
      <w:r>
        <w:rPr>
          <w:rFonts w:ascii="Times New Roman" w:hAnsi="Times New Roman"/>
          <w:sz w:val="24"/>
          <w:szCs w:val="24"/>
          <w:shd w:val="clear" w:color="auto" w:fill="FFFFFF"/>
        </w:rPr>
        <w:t>, F., Lambert, D., &amp; Bauler, T. (2025). Reconciling the Just City</w:t>
      </w:r>
      <w:r>
        <w:rPr>
          <w:rFonts w:ascii="Times New Roman" w:hAnsi="Times New Roman"/>
          <w:sz w:val="24"/>
          <w:szCs w:val="24"/>
          <w:shd w:val="clear" w:color="auto" w:fill="FFFFFF"/>
        </w:rPr>
        <w:t xml:space="preserve"> and the Sustainable City in the Era of Just Transitions: A Review of Urban Visions. </w:t>
      </w:r>
      <w:r>
        <w:rPr>
          <w:rFonts w:ascii="Times New Roman" w:hAnsi="Times New Roman"/>
          <w:i/>
          <w:iCs/>
          <w:sz w:val="24"/>
          <w:szCs w:val="24"/>
          <w:shd w:val="clear" w:color="auto" w:fill="FFFFFF"/>
        </w:rPr>
        <w:t>Available at SSRN 5205911</w:t>
      </w:r>
      <w:r>
        <w:rPr>
          <w:rFonts w:ascii="Times New Roman" w:hAnsi="Times New Roman"/>
          <w:sz w:val="24"/>
          <w:szCs w:val="24"/>
          <w:shd w:val="clear" w:color="auto" w:fill="FFFFFF"/>
        </w:rPr>
        <w:t>.</w:t>
      </w:r>
    </w:p>
    <w:p w14:paraId="262AD6F1"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McFarlane, C., &amp; Waibel, M. (Eds.). (2012). Urban informalities. Ashgate.</w:t>
      </w:r>
    </w:p>
    <w:p w14:paraId="548495D8"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MEA. (2005). Ecosystems and human well-being. World Resources Institut</w:t>
      </w:r>
      <w:r>
        <w:rPr>
          <w:rFonts w:ascii="Times New Roman" w:hAnsi="Times New Roman"/>
          <w:sz w:val="24"/>
          <w:szCs w:val="24"/>
        </w:rPr>
        <w:t>e.</w:t>
      </w:r>
    </w:p>
    <w:p w14:paraId="7D756571" w14:textId="77777777" w:rsidR="00FB5556" w:rsidRDefault="00F85F1C">
      <w:pPr>
        <w:spacing w:line="240" w:lineRule="auto"/>
        <w:ind w:left="360" w:hanging="36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Mitsch, W. J., Bernal, B., &amp; Hernandez, M. E. (2015). Ecosystem services of wetlands. </w:t>
      </w:r>
      <w:r>
        <w:rPr>
          <w:rFonts w:ascii="Times New Roman" w:hAnsi="Times New Roman"/>
          <w:i/>
          <w:iCs/>
          <w:sz w:val="24"/>
          <w:szCs w:val="24"/>
          <w:shd w:val="clear" w:color="auto" w:fill="FFFFFF"/>
        </w:rPr>
        <w:t>International Journal of Biodiversity Science, Ecosystem Services &amp; Management</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11</w:t>
      </w:r>
      <w:r>
        <w:rPr>
          <w:rFonts w:ascii="Times New Roman" w:hAnsi="Times New Roman"/>
          <w:sz w:val="24"/>
          <w:szCs w:val="24"/>
          <w:shd w:val="clear" w:color="auto" w:fill="FFFFFF"/>
        </w:rPr>
        <w:t>(1), 1-4.</w:t>
      </w:r>
    </w:p>
    <w:p w14:paraId="1BC1A86C" w14:textId="77777777" w:rsidR="00FB5556" w:rsidRDefault="00F85F1C">
      <w:pPr>
        <w:spacing w:line="240" w:lineRule="auto"/>
        <w:ind w:left="360" w:hanging="360"/>
        <w:jc w:val="both"/>
        <w:rPr>
          <w:rFonts w:ascii="Times New Roman" w:eastAsia="MS Mincho" w:hAnsi="Times New Roman"/>
          <w:sz w:val="24"/>
          <w:szCs w:val="24"/>
        </w:rPr>
      </w:pPr>
      <w:r>
        <w:rPr>
          <w:rFonts w:ascii="Times New Roman" w:hAnsi="Times New Roman"/>
          <w:sz w:val="24"/>
          <w:szCs w:val="24"/>
        </w:rPr>
        <w:t>National Population Commission (NPC). (2020). Population projections for Ni</w:t>
      </w:r>
      <w:r>
        <w:rPr>
          <w:rFonts w:ascii="Times New Roman" w:hAnsi="Times New Roman"/>
          <w:sz w:val="24"/>
          <w:szCs w:val="24"/>
        </w:rPr>
        <w:t>geria.</w:t>
      </w:r>
    </w:p>
    <w:p w14:paraId="6F670130"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Nigerian Meteorological Agency (NiMet). (2020). Climate data report for southern Nigeria.</w:t>
      </w:r>
    </w:p>
    <w:p w14:paraId="5DA572FD"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shd w:val="clear" w:color="auto" w:fill="FFFFFF"/>
        </w:rPr>
        <w:t xml:space="preserve">Cazenave, A., &amp; </w:t>
      </w:r>
      <w:proofErr w:type="spellStart"/>
      <w:r>
        <w:rPr>
          <w:rFonts w:ascii="Times New Roman" w:hAnsi="Times New Roman"/>
          <w:sz w:val="24"/>
          <w:szCs w:val="24"/>
          <w:shd w:val="clear" w:color="auto" w:fill="FFFFFF"/>
        </w:rPr>
        <w:t>Cozannet</w:t>
      </w:r>
      <w:proofErr w:type="spellEnd"/>
      <w:r>
        <w:rPr>
          <w:rFonts w:ascii="Times New Roman" w:hAnsi="Times New Roman"/>
          <w:sz w:val="24"/>
          <w:szCs w:val="24"/>
          <w:shd w:val="clear" w:color="auto" w:fill="FFFFFF"/>
        </w:rPr>
        <w:t xml:space="preserve">, G. L. (2014). Sea level rise and its coastal impacts. </w:t>
      </w:r>
      <w:r>
        <w:rPr>
          <w:rFonts w:ascii="Times New Roman" w:hAnsi="Times New Roman"/>
          <w:i/>
          <w:iCs/>
          <w:sz w:val="24"/>
          <w:szCs w:val="24"/>
          <w:shd w:val="clear" w:color="auto" w:fill="FFFFFF"/>
        </w:rPr>
        <w:t>Earth's Future</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2</w:t>
      </w:r>
      <w:r>
        <w:rPr>
          <w:rFonts w:ascii="Times New Roman" w:hAnsi="Times New Roman"/>
          <w:sz w:val="24"/>
          <w:szCs w:val="24"/>
          <w:shd w:val="clear" w:color="auto" w:fill="FFFFFF"/>
        </w:rPr>
        <w:t>(2), 15-34.</w:t>
      </w:r>
    </w:p>
    <w:p w14:paraId="2F394B1F"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 xml:space="preserve">Obeng-Odoom, F. (2020). The commons in an age of </w:t>
      </w:r>
      <w:r>
        <w:rPr>
          <w:rFonts w:ascii="Times New Roman" w:hAnsi="Times New Roman"/>
          <w:sz w:val="24"/>
          <w:szCs w:val="24"/>
        </w:rPr>
        <w:t>uncertainty. University of Toronto Press.</w:t>
      </w:r>
    </w:p>
    <w:p w14:paraId="4403BDBA"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shd w:val="clear" w:color="auto" w:fill="FFFFFF"/>
        </w:rPr>
        <w:t xml:space="preserve">Aluko, O. (2012). Impact of poverty on housing condition in Nigeria: A case study of Mushin Local Government Area of Lagos State. </w:t>
      </w:r>
      <w:r>
        <w:rPr>
          <w:rFonts w:ascii="Times New Roman" w:hAnsi="Times New Roman"/>
          <w:i/>
          <w:iCs/>
          <w:sz w:val="24"/>
          <w:szCs w:val="24"/>
          <w:shd w:val="clear" w:color="auto" w:fill="FFFFFF"/>
        </w:rPr>
        <w:t>Journal of African Studies and Development</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4</w:t>
      </w:r>
      <w:r>
        <w:rPr>
          <w:rFonts w:ascii="Times New Roman" w:hAnsi="Times New Roman"/>
          <w:sz w:val="24"/>
          <w:szCs w:val="24"/>
          <w:shd w:val="clear" w:color="auto" w:fill="FFFFFF"/>
        </w:rPr>
        <w:t>(3), 81.</w:t>
      </w:r>
    </w:p>
    <w:p w14:paraId="5E925DC3"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shd w:val="clear" w:color="auto" w:fill="FFFFFF"/>
        </w:rPr>
        <w:t xml:space="preserve">Simon, D. (2002). </w:t>
      </w:r>
      <w:r>
        <w:rPr>
          <w:rFonts w:ascii="Times New Roman" w:hAnsi="Times New Roman"/>
          <w:i/>
          <w:iCs/>
          <w:sz w:val="24"/>
          <w:szCs w:val="24"/>
          <w:shd w:val="clear" w:color="auto" w:fill="FFFFFF"/>
        </w:rPr>
        <w:t>Transport an</w:t>
      </w:r>
      <w:r>
        <w:rPr>
          <w:rFonts w:ascii="Times New Roman" w:hAnsi="Times New Roman"/>
          <w:i/>
          <w:iCs/>
          <w:sz w:val="24"/>
          <w:szCs w:val="24"/>
          <w:shd w:val="clear" w:color="auto" w:fill="FFFFFF"/>
        </w:rPr>
        <w:t>d development in the Third World</w:t>
      </w:r>
      <w:r>
        <w:rPr>
          <w:rFonts w:ascii="Times New Roman" w:hAnsi="Times New Roman"/>
          <w:sz w:val="24"/>
          <w:szCs w:val="24"/>
          <w:shd w:val="clear" w:color="auto" w:fill="FFFFFF"/>
        </w:rPr>
        <w:t>. Routledge.</w:t>
      </w:r>
    </w:p>
    <w:p w14:paraId="3023EFD6"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Roy, A. (2005). Urban informality. Journal of the American Planning Association, 71(2), 147–158.</w:t>
      </w:r>
    </w:p>
    <w:p w14:paraId="6DB4B117"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lastRenderedPageBreak/>
        <w:t>Roy, A. (2009). Why India cannot plan its cities. Planning Theory, 8(1), 76–87.</w:t>
      </w:r>
    </w:p>
    <w:p w14:paraId="47FAC314" w14:textId="77777777" w:rsidR="00FB5556" w:rsidRDefault="00F85F1C">
      <w:pPr>
        <w:spacing w:line="240" w:lineRule="auto"/>
        <w:ind w:left="360" w:hanging="36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Seto, K. C., </w:t>
      </w:r>
      <w:proofErr w:type="spellStart"/>
      <w:r>
        <w:rPr>
          <w:rFonts w:ascii="Times New Roman" w:hAnsi="Times New Roman"/>
          <w:sz w:val="24"/>
          <w:szCs w:val="24"/>
          <w:shd w:val="clear" w:color="auto" w:fill="FFFFFF"/>
        </w:rPr>
        <w:t>Güneralp</w:t>
      </w:r>
      <w:proofErr w:type="spellEnd"/>
      <w:r>
        <w:rPr>
          <w:rFonts w:ascii="Times New Roman" w:hAnsi="Times New Roman"/>
          <w:sz w:val="24"/>
          <w:szCs w:val="24"/>
          <w:shd w:val="clear" w:color="auto" w:fill="FFFFFF"/>
        </w:rPr>
        <w:t>, B., &amp; Hutyr</w:t>
      </w:r>
      <w:r>
        <w:rPr>
          <w:rFonts w:ascii="Times New Roman" w:hAnsi="Times New Roman"/>
          <w:sz w:val="24"/>
          <w:szCs w:val="24"/>
          <w:shd w:val="clear" w:color="auto" w:fill="FFFFFF"/>
        </w:rPr>
        <w:t xml:space="preserve">a, L. R. (2012). Global forecasts of urban expansion to 2030 and direct impacts on biodiversity and carbon pools. </w:t>
      </w:r>
      <w:r>
        <w:rPr>
          <w:rFonts w:ascii="Times New Roman" w:hAnsi="Times New Roman"/>
          <w:i/>
          <w:iCs/>
          <w:sz w:val="24"/>
          <w:szCs w:val="24"/>
          <w:shd w:val="clear" w:color="auto" w:fill="FFFFFF"/>
        </w:rPr>
        <w:t>Proceedings of the National Academy of Sciences</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109</w:t>
      </w:r>
      <w:r>
        <w:rPr>
          <w:rFonts w:ascii="Times New Roman" w:hAnsi="Times New Roman"/>
          <w:sz w:val="24"/>
          <w:szCs w:val="24"/>
          <w:shd w:val="clear" w:color="auto" w:fill="FFFFFF"/>
        </w:rPr>
        <w:t>(40), 16083-16088.</w:t>
      </w:r>
    </w:p>
    <w:p w14:paraId="7A1ABCB0" w14:textId="77777777" w:rsidR="00FB5556" w:rsidRDefault="00F85F1C">
      <w:pPr>
        <w:spacing w:line="240" w:lineRule="auto"/>
        <w:ind w:left="360" w:hanging="360"/>
        <w:jc w:val="both"/>
        <w:rPr>
          <w:rFonts w:ascii="Times New Roman" w:eastAsia="MS Mincho" w:hAnsi="Times New Roman"/>
          <w:sz w:val="24"/>
          <w:szCs w:val="24"/>
        </w:rPr>
      </w:pPr>
      <w:r>
        <w:rPr>
          <w:rFonts w:ascii="Times New Roman" w:hAnsi="Times New Roman"/>
          <w:sz w:val="24"/>
          <w:szCs w:val="24"/>
        </w:rPr>
        <w:t>Soja, E. W. (2010). Seeking spatial justice. University of Minnesota Pr</w:t>
      </w:r>
      <w:r>
        <w:rPr>
          <w:rFonts w:ascii="Times New Roman" w:hAnsi="Times New Roman"/>
          <w:sz w:val="24"/>
          <w:szCs w:val="24"/>
        </w:rPr>
        <w:t>ess.</w:t>
      </w:r>
    </w:p>
    <w:p w14:paraId="6EC5B7C0" w14:textId="77777777" w:rsidR="00FB5556" w:rsidRDefault="00F85F1C">
      <w:pPr>
        <w:spacing w:line="240" w:lineRule="auto"/>
        <w:ind w:left="360" w:hanging="360"/>
        <w:jc w:val="both"/>
        <w:rPr>
          <w:rFonts w:ascii="Times New Roman" w:hAnsi="Times New Roman"/>
          <w:sz w:val="24"/>
          <w:szCs w:val="24"/>
        </w:rPr>
      </w:pPr>
      <w:proofErr w:type="spellStart"/>
      <w:r>
        <w:rPr>
          <w:rFonts w:ascii="Times New Roman" w:hAnsi="Times New Roman"/>
          <w:sz w:val="24"/>
          <w:szCs w:val="24"/>
          <w:shd w:val="clear" w:color="auto" w:fill="FFFFFF"/>
        </w:rPr>
        <w:t>Citaristi</w:t>
      </w:r>
      <w:proofErr w:type="spellEnd"/>
      <w:r>
        <w:rPr>
          <w:rFonts w:ascii="Times New Roman" w:hAnsi="Times New Roman"/>
          <w:sz w:val="24"/>
          <w:szCs w:val="24"/>
          <w:shd w:val="clear" w:color="auto" w:fill="FFFFFF"/>
        </w:rPr>
        <w:t xml:space="preserve">, I. (2022). United nations human settlements </w:t>
      </w:r>
      <w:proofErr w:type="spellStart"/>
      <w:r>
        <w:rPr>
          <w:rFonts w:ascii="Times New Roman" w:hAnsi="Times New Roman"/>
          <w:sz w:val="24"/>
          <w:szCs w:val="24"/>
          <w:shd w:val="clear" w:color="auto" w:fill="FFFFFF"/>
        </w:rPr>
        <w:t>programme</w:t>
      </w:r>
      <w:proofErr w:type="spellEnd"/>
      <w:r>
        <w:rPr>
          <w:rFonts w:ascii="Times New Roman" w:hAnsi="Times New Roman"/>
          <w:sz w:val="24"/>
          <w:szCs w:val="24"/>
          <w:shd w:val="clear" w:color="auto" w:fill="FFFFFF"/>
        </w:rPr>
        <w:t xml:space="preserve">—UN-habitat. In </w:t>
      </w:r>
      <w:r>
        <w:rPr>
          <w:rFonts w:ascii="Times New Roman" w:hAnsi="Times New Roman"/>
          <w:i/>
          <w:iCs/>
          <w:sz w:val="24"/>
          <w:szCs w:val="24"/>
          <w:shd w:val="clear" w:color="auto" w:fill="FFFFFF"/>
        </w:rPr>
        <w:t>The Europa directory of international organizations 2022</w:t>
      </w:r>
      <w:r>
        <w:rPr>
          <w:rFonts w:ascii="Times New Roman" w:hAnsi="Times New Roman"/>
          <w:sz w:val="24"/>
          <w:szCs w:val="24"/>
          <w:shd w:val="clear" w:color="auto" w:fill="FFFFFF"/>
        </w:rPr>
        <w:t xml:space="preserve"> (pp. 240-243). Routledge.</w:t>
      </w:r>
    </w:p>
    <w:p w14:paraId="32273EDB" w14:textId="77777777" w:rsidR="00FB5556" w:rsidRDefault="00F85F1C">
      <w:pPr>
        <w:spacing w:line="240" w:lineRule="auto"/>
        <w:ind w:left="360" w:hanging="36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Habitat, U. N. (2020). The value of sustainable urbanization. </w:t>
      </w:r>
      <w:r>
        <w:rPr>
          <w:rFonts w:ascii="Times New Roman" w:hAnsi="Times New Roman"/>
          <w:i/>
          <w:iCs/>
          <w:sz w:val="24"/>
          <w:szCs w:val="24"/>
          <w:shd w:val="clear" w:color="auto" w:fill="FFFFFF"/>
        </w:rPr>
        <w:t>World Cities Report</w:t>
      </w:r>
      <w:r>
        <w:rPr>
          <w:rFonts w:ascii="Times New Roman" w:hAnsi="Times New Roman"/>
          <w:sz w:val="24"/>
          <w:szCs w:val="24"/>
          <w:shd w:val="clear" w:color="auto" w:fill="FFFFFF"/>
        </w:rPr>
        <w:t>.</w:t>
      </w:r>
    </w:p>
    <w:p w14:paraId="26A32603" w14:textId="77777777" w:rsidR="00FB5556" w:rsidRDefault="00F85F1C">
      <w:pPr>
        <w:spacing w:line="240" w:lineRule="auto"/>
        <w:ind w:left="360" w:hanging="360"/>
        <w:jc w:val="both"/>
        <w:rPr>
          <w:rFonts w:ascii="Times New Roman" w:eastAsia="MS Mincho" w:hAnsi="Times New Roman"/>
          <w:sz w:val="24"/>
          <w:szCs w:val="24"/>
        </w:rPr>
      </w:pPr>
      <w:proofErr w:type="spellStart"/>
      <w:r>
        <w:rPr>
          <w:rFonts w:ascii="Times New Roman" w:hAnsi="Times New Roman"/>
          <w:sz w:val="24"/>
          <w:szCs w:val="24"/>
        </w:rPr>
        <w:t>Uyigue</w:t>
      </w:r>
      <w:proofErr w:type="spellEnd"/>
      <w:r>
        <w:rPr>
          <w:rFonts w:ascii="Times New Roman" w:hAnsi="Times New Roman"/>
          <w:sz w:val="24"/>
          <w:szCs w:val="24"/>
        </w:rPr>
        <w:t>, E., &amp; Agho, M. (2007). Climate change in Niger Delta. CREDC.</w:t>
      </w:r>
    </w:p>
    <w:p w14:paraId="5BF5FB62"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Watson, V. (2009). Seeing from the South. Urban Studies, 46(11), 2259–2275.</w:t>
      </w:r>
    </w:p>
    <w:p w14:paraId="06B9C495"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Watson, V. (2014). African urban fantasies. Environment and Urbanization, 26(1), 215–231.</w:t>
      </w:r>
    </w:p>
    <w:p w14:paraId="1FB743C6"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shd w:val="clear" w:color="auto" w:fill="FFFFFF"/>
        </w:rPr>
        <w:t>Sampson, A. P., Weli,</w:t>
      </w:r>
      <w:r>
        <w:rPr>
          <w:rFonts w:ascii="Times New Roman" w:hAnsi="Times New Roman"/>
          <w:sz w:val="24"/>
          <w:szCs w:val="24"/>
          <w:shd w:val="clear" w:color="auto" w:fill="FFFFFF"/>
        </w:rPr>
        <w:t xml:space="preserve"> V. E., Nwagbara, M. O., &amp; </w:t>
      </w:r>
      <w:proofErr w:type="spellStart"/>
      <w:r>
        <w:rPr>
          <w:rFonts w:ascii="Times New Roman" w:hAnsi="Times New Roman"/>
          <w:sz w:val="24"/>
          <w:szCs w:val="24"/>
          <w:shd w:val="clear" w:color="auto" w:fill="FFFFFF"/>
        </w:rPr>
        <w:t>Eludoyin</w:t>
      </w:r>
      <w:proofErr w:type="spellEnd"/>
      <w:r>
        <w:rPr>
          <w:rFonts w:ascii="Times New Roman" w:hAnsi="Times New Roman"/>
          <w:sz w:val="24"/>
          <w:szCs w:val="24"/>
          <w:shd w:val="clear" w:color="auto" w:fill="FFFFFF"/>
        </w:rPr>
        <w:t xml:space="preserve">, O. S. (2021). Urban growth dynamics and land use change in port </w:t>
      </w:r>
      <w:proofErr w:type="spellStart"/>
      <w:r>
        <w:rPr>
          <w:rFonts w:ascii="Times New Roman" w:hAnsi="Times New Roman"/>
          <w:sz w:val="24"/>
          <w:szCs w:val="24"/>
          <w:shd w:val="clear" w:color="auto" w:fill="FFFFFF"/>
        </w:rPr>
        <w:t>harcourt</w:t>
      </w:r>
      <w:proofErr w:type="spellEnd"/>
      <w:r>
        <w:rPr>
          <w:rFonts w:ascii="Times New Roman" w:hAnsi="Times New Roman"/>
          <w:sz w:val="24"/>
          <w:szCs w:val="24"/>
          <w:shd w:val="clear" w:color="auto" w:fill="FFFFFF"/>
        </w:rPr>
        <w:t xml:space="preserve"> metropolis, </w:t>
      </w:r>
      <w:proofErr w:type="spellStart"/>
      <w:r>
        <w:rPr>
          <w:rFonts w:ascii="Times New Roman" w:hAnsi="Times New Roman"/>
          <w:sz w:val="24"/>
          <w:szCs w:val="24"/>
          <w:shd w:val="clear" w:color="auto" w:fill="FFFFFF"/>
        </w:rPr>
        <w:t>nigeria</w:t>
      </w:r>
      <w:proofErr w:type="spellEnd"/>
      <w:r>
        <w:rPr>
          <w:rFonts w:ascii="Times New Roman" w:hAnsi="Times New Roman"/>
          <w:sz w:val="24"/>
          <w:szCs w:val="24"/>
          <w:shd w:val="clear" w:color="auto" w:fill="FFFFFF"/>
        </w:rPr>
        <w:t xml:space="preserve"> between 1986 and 2020. </w:t>
      </w:r>
      <w:r>
        <w:rPr>
          <w:rFonts w:ascii="Times New Roman" w:hAnsi="Times New Roman"/>
          <w:i/>
          <w:iCs/>
          <w:sz w:val="24"/>
          <w:szCs w:val="24"/>
          <w:shd w:val="clear" w:color="auto" w:fill="FFFFFF"/>
        </w:rPr>
        <w:t>International Journal of Progressive Research in Science and Engineering</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2</w:t>
      </w:r>
      <w:r>
        <w:rPr>
          <w:rFonts w:ascii="Times New Roman" w:hAnsi="Times New Roman"/>
          <w:sz w:val="24"/>
          <w:szCs w:val="24"/>
          <w:shd w:val="clear" w:color="auto" w:fill="FFFFFF"/>
        </w:rPr>
        <w:t>(11), 47-56.</w:t>
      </w:r>
    </w:p>
    <w:p w14:paraId="54AFCCE2"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shd w:val="clear" w:color="auto" w:fill="FFFFFF"/>
        </w:rPr>
        <w:t>Gong, J., Hu, Z</w:t>
      </w:r>
      <w:r>
        <w:rPr>
          <w:rFonts w:ascii="Times New Roman" w:hAnsi="Times New Roman"/>
          <w:sz w:val="24"/>
          <w:szCs w:val="24"/>
          <w:shd w:val="clear" w:color="auto" w:fill="FFFFFF"/>
        </w:rPr>
        <w:t xml:space="preserve">., Chen, W., Liu, Y., &amp; Wang, J. (2018). Urban expansion dynamics and modes in metropolitan Guangzhou, China. </w:t>
      </w:r>
      <w:r>
        <w:rPr>
          <w:rFonts w:ascii="Times New Roman" w:hAnsi="Times New Roman"/>
          <w:i/>
          <w:iCs/>
          <w:sz w:val="24"/>
          <w:szCs w:val="24"/>
          <w:shd w:val="clear" w:color="auto" w:fill="FFFFFF"/>
        </w:rPr>
        <w:t>Land use policy</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72</w:t>
      </w:r>
      <w:r>
        <w:rPr>
          <w:rFonts w:ascii="Times New Roman" w:hAnsi="Times New Roman"/>
          <w:sz w:val="24"/>
          <w:szCs w:val="24"/>
          <w:shd w:val="clear" w:color="auto" w:fill="FFFFFF"/>
        </w:rPr>
        <w:t>, 100-109.</w:t>
      </w:r>
    </w:p>
    <w:p w14:paraId="7753DEA7" w14:textId="77777777" w:rsidR="00FB5556" w:rsidRDefault="00F85F1C">
      <w:pPr>
        <w:spacing w:line="240" w:lineRule="auto"/>
        <w:ind w:left="360" w:hanging="360"/>
        <w:jc w:val="both"/>
        <w:rPr>
          <w:rFonts w:ascii="Times New Roman" w:hAnsi="Times New Roman"/>
          <w:sz w:val="24"/>
          <w:szCs w:val="24"/>
        </w:rPr>
      </w:pPr>
      <w:r>
        <w:rPr>
          <w:rFonts w:ascii="Times New Roman" w:hAnsi="Times New Roman"/>
          <w:sz w:val="24"/>
          <w:szCs w:val="24"/>
        </w:rPr>
        <w:t>Zedler, J. B., &amp; Kercher, S. (2005). Wetland resources. Annual Review of Environment and Resources, 30, 39–74.</w:t>
      </w:r>
    </w:p>
    <w:p w14:paraId="6791A3BA" w14:textId="77777777" w:rsidR="00FB5556" w:rsidRDefault="00FB5556">
      <w:pPr>
        <w:spacing w:line="240" w:lineRule="auto"/>
        <w:jc w:val="both"/>
        <w:rPr>
          <w:rFonts w:ascii="Times New Roman" w:hAnsi="Times New Roman"/>
          <w:sz w:val="24"/>
          <w:szCs w:val="24"/>
        </w:rPr>
      </w:pPr>
    </w:p>
    <w:p w14:paraId="59430889" w14:textId="77777777" w:rsidR="00FB5556" w:rsidRDefault="00FB5556">
      <w:pPr>
        <w:spacing w:line="240" w:lineRule="auto"/>
        <w:jc w:val="both"/>
        <w:rPr>
          <w:rFonts w:ascii="Times New Roman" w:hAnsi="Times New Roman"/>
          <w:sz w:val="24"/>
          <w:szCs w:val="24"/>
        </w:rPr>
      </w:pPr>
    </w:p>
    <w:sectPr w:rsidR="00FB555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27A78" w14:textId="77777777" w:rsidR="00F85F1C" w:rsidRDefault="00F85F1C">
      <w:pPr>
        <w:spacing w:line="240" w:lineRule="auto"/>
      </w:pPr>
      <w:r>
        <w:separator/>
      </w:r>
    </w:p>
  </w:endnote>
  <w:endnote w:type="continuationSeparator" w:id="0">
    <w:p w14:paraId="665E860D" w14:textId="77777777" w:rsidR="00F85F1C" w:rsidRDefault="00F85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A8F1A" w14:textId="77777777" w:rsidR="004814BD" w:rsidRDefault="00481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D0FC9" w14:textId="77777777" w:rsidR="00FB5556" w:rsidRDefault="00F85F1C">
    <w:pPr>
      <w:pStyle w:val="Footer"/>
      <w:jc w:val="center"/>
    </w:pPr>
    <w:r>
      <w:fldChar w:fldCharType="begin"/>
    </w:r>
    <w:r>
      <w:instrText xml:space="preserve"> PAGE   \* MERGEFORMAT </w:instrText>
    </w:r>
    <w:r>
      <w:fldChar w:fldCharType="separate"/>
    </w:r>
    <w:r>
      <w:t>1</w:t>
    </w:r>
    <w:r>
      <w:fldChar w:fldCharType="end"/>
    </w:r>
  </w:p>
  <w:p w14:paraId="1213481F" w14:textId="77777777" w:rsidR="00FB5556" w:rsidRDefault="00FB55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B378D" w14:textId="77777777" w:rsidR="004814BD" w:rsidRDefault="00481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F906B" w14:textId="77777777" w:rsidR="00F85F1C" w:rsidRDefault="00F85F1C">
      <w:pPr>
        <w:spacing w:after="0"/>
      </w:pPr>
      <w:r>
        <w:separator/>
      </w:r>
    </w:p>
  </w:footnote>
  <w:footnote w:type="continuationSeparator" w:id="0">
    <w:p w14:paraId="00291947" w14:textId="77777777" w:rsidR="00F85F1C" w:rsidRDefault="00F85F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1B06" w14:textId="34E5E948" w:rsidR="004814BD" w:rsidRDefault="004814BD">
    <w:pPr>
      <w:pStyle w:val="Header"/>
    </w:pPr>
    <w:r>
      <w:rPr>
        <w:noProof/>
      </w:rPr>
      <w:pict w14:anchorId="62ECE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90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0443B" w14:textId="1D923777" w:rsidR="004814BD" w:rsidRDefault="004814BD">
    <w:pPr>
      <w:pStyle w:val="Header"/>
    </w:pPr>
    <w:r>
      <w:rPr>
        <w:noProof/>
      </w:rPr>
      <w:pict w14:anchorId="4D38F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90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98E86" w14:textId="483DF8D7" w:rsidR="004814BD" w:rsidRDefault="004814BD">
    <w:pPr>
      <w:pStyle w:val="Header"/>
    </w:pPr>
    <w:r>
      <w:rPr>
        <w:noProof/>
      </w:rPr>
      <w:pict w14:anchorId="7A7A7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90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0F4C9"/>
    <w:multiLevelType w:val="singleLevel"/>
    <w:tmpl w:val="0E70F4C9"/>
    <w:lvl w:ilvl="0">
      <w:start w:val="1"/>
      <w:numFmt w:val="lowerRoman"/>
      <w:lvlText w:val="%1."/>
      <w:lvlJc w:val="left"/>
      <w:pPr>
        <w:tabs>
          <w:tab w:val="left" w:pos="425"/>
        </w:tabs>
        <w:ind w:left="425" w:hanging="425"/>
      </w:pPr>
      <w:rPr>
        <w:rFonts w:hint="default"/>
      </w:rPr>
    </w:lvl>
  </w:abstractNum>
  <w:abstractNum w:abstractNumId="1" w15:restartNumberingAfterBreak="0">
    <w:nsid w:val="13CD4EC9"/>
    <w:multiLevelType w:val="multilevel"/>
    <w:tmpl w:val="13CD4EC9"/>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cs="Times New Roman"/>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54A93047"/>
    <w:multiLevelType w:val="multilevel"/>
    <w:tmpl w:val="54A93047"/>
    <w:lvl w:ilvl="0">
      <w:start w:val="1"/>
      <w:numFmt w:val="lowerRoman"/>
      <w:lvlText w:val="%1."/>
      <w:lvlJc w:val="right"/>
      <w:pPr>
        <w:tabs>
          <w:tab w:val="left" w:pos="720"/>
        </w:tabs>
        <w:ind w:left="720" w:hanging="360"/>
      </w:pPr>
      <w:rPr>
        <w:sz w:val="20"/>
      </w:rPr>
    </w:lvl>
    <w:lvl w:ilvl="1">
      <w:start w:val="1"/>
      <w:numFmt w:val="bullet"/>
      <w:lvlText w:val="o"/>
      <w:lvlJc w:val="left"/>
      <w:pPr>
        <w:tabs>
          <w:tab w:val="left" w:pos="1440"/>
        </w:tabs>
        <w:ind w:left="1440" w:hanging="360"/>
      </w:pPr>
      <w:rPr>
        <w:rFonts w:ascii="Courier New" w:hAnsi="Courier New" w:cs="Times New Roman"/>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706C33E1"/>
    <w:multiLevelType w:val="multilevel"/>
    <w:tmpl w:val="706C33E1"/>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8FD"/>
    <w:rsid w:val="00012520"/>
    <w:rsid w:val="000126F5"/>
    <w:rsid w:val="000238FD"/>
    <w:rsid w:val="00024D49"/>
    <w:rsid w:val="00031F66"/>
    <w:rsid w:val="00032264"/>
    <w:rsid w:val="00056F98"/>
    <w:rsid w:val="00064816"/>
    <w:rsid w:val="000673F8"/>
    <w:rsid w:val="00097C11"/>
    <w:rsid w:val="000A1E04"/>
    <w:rsid w:val="000A471A"/>
    <w:rsid w:val="000F031A"/>
    <w:rsid w:val="00122525"/>
    <w:rsid w:val="0013709A"/>
    <w:rsid w:val="00191C0C"/>
    <w:rsid w:val="001A1F0D"/>
    <w:rsid w:val="001C3C53"/>
    <w:rsid w:val="001C5EBC"/>
    <w:rsid w:val="001E3992"/>
    <w:rsid w:val="002128BB"/>
    <w:rsid w:val="00217B99"/>
    <w:rsid w:val="00223758"/>
    <w:rsid w:val="0023325D"/>
    <w:rsid w:val="00243EAD"/>
    <w:rsid w:val="00244425"/>
    <w:rsid w:val="0026042B"/>
    <w:rsid w:val="002875C8"/>
    <w:rsid w:val="0029258B"/>
    <w:rsid w:val="002A2CF2"/>
    <w:rsid w:val="002B14D4"/>
    <w:rsid w:val="002C0A3E"/>
    <w:rsid w:val="002C4369"/>
    <w:rsid w:val="002C61FC"/>
    <w:rsid w:val="002C62B7"/>
    <w:rsid w:val="002D58FB"/>
    <w:rsid w:val="003307C1"/>
    <w:rsid w:val="0034692C"/>
    <w:rsid w:val="0035306E"/>
    <w:rsid w:val="003670EB"/>
    <w:rsid w:val="00382FB8"/>
    <w:rsid w:val="003949D2"/>
    <w:rsid w:val="003C58A0"/>
    <w:rsid w:val="0040774A"/>
    <w:rsid w:val="004264C3"/>
    <w:rsid w:val="004313B6"/>
    <w:rsid w:val="0046075B"/>
    <w:rsid w:val="004814BD"/>
    <w:rsid w:val="00487F1F"/>
    <w:rsid w:val="00495953"/>
    <w:rsid w:val="00497B0C"/>
    <w:rsid w:val="004F62D4"/>
    <w:rsid w:val="00513BCE"/>
    <w:rsid w:val="00517381"/>
    <w:rsid w:val="00575451"/>
    <w:rsid w:val="005960FF"/>
    <w:rsid w:val="00596B5B"/>
    <w:rsid w:val="005A1C81"/>
    <w:rsid w:val="005A4197"/>
    <w:rsid w:val="005A4DEA"/>
    <w:rsid w:val="005A7669"/>
    <w:rsid w:val="005C233F"/>
    <w:rsid w:val="005D381A"/>
    <w:rsid w:val="006A61E7"/>
    <w:rsid w:val="006C0D43"/>
    <w:rsid w:val="006D619D"/>
    <w:rsid w:val="006D62F0"/>
    <w:rsid w:val="006E14F4"/>
    <w:rsid w:val="006E6B3D"/>
    <w:rsid w:val="00703D9E"/>
    <w:rsid w:val="007049F8"/>
    <w:rsid w:val="0073325B"/>
    <w:rsid w:val="007350B9"/>
    <w:rsid w:val="00746F4E"/>
    <w:rsid w:val="007720C5"/>
    <w:rsid w:val="00792AEF"/>
    <w:rsid w:val="007A6934"/>
    <w:rsid w:val="007F2AA6"/>
    <w:rsid w:val="00812FCE"/>
    <w:rsid w:val="00827F32"/>
    <w:rsid w:val="00831CBC"/>
    <w:rsid w:val="00852047"/>
    <w:rsid w:val="008A0992"/>
    <w:rsid w:val="008C5504"/>
    <w:rsid w:val="008C6856"/>
    <w:rsid w:val="0094292C"/>
    <w:rsid w:val="00946905"/>
    <w:rsid w:val="0099149B"/>
    <w:rsid w:val="009918F4"/>
    <w:rsid w:val="009966E9"/>
    <w:rsid w:val="009F6B0F"/>
    <w:rsid w:val="00A04278"/>
    <w:rsid w:val="00A161B5"/>
    <w:rsid w:val="00A5285C"/>
    <w:rsid w:val="00A82513"/>
    <w:rsid w:val="00A93026"/>
    <w:rsid w:val="00AA2BA4"/>
    <w:rsid w:val="00AB5CEF"/>
    <w:rsid w:val="00AB632F"/>
    <w:rsid w:val="00AE3676"/>
    <w:rsid w:val="00AF79DA"/>
    <w:rsid w:val="00B222B0"/>
    <w:rsid w:val="00B34F18"/>
    <w:rsid w:val="00B67187"/>
    <w:rsid w:val="00B72CBB"/>
    <w:rsid w:val="00B821A5"/>
    <w:rsid w:val="00BB1175"/>
    <w:rsid w:val="00BB5FCD"/>
    <w:rsid w:val="00C04BD3"/>
    <w:rsid w:val="00C271E5"/>
    <w:rsid w:val="00C670DC"/>
    <w:rsid w:val="00C95E6C"/>
    <w:rsid w:val="00CC0B62"/>
    <w:rsid w:val="00CC4A82"/>
    <w:rsid w:val="00CC561E"/>
    <w:rsid w:val="00CD35ED"/>
    <w:rsid w:val="00CE297F"/>
    <w:rsid w:val="00D12E2D"/>
    <w:rsid w:val="00D15253"/>
    <w:rsid w:val="00D229E6"/>
    <w:rsid w:val="00D370B1"/>
    <w:rsid w:val="00D377B8"/>
    <w:rsid w:val="00D55B03"/>
    <w:rsid w:val="00D9659C"/>
    <w:rsid w:val="00DA1A4A"/>
    <w:rsid w:val="00DB4CFC"/>
    <w:rsid w:val="00DB5BFB"/>
    <w:rsid w:val="00DC3DF5"/>
    <w:rsid w:val="00DC5916"/>
    <w:rsid w:val="00DD4EC9"/>
    <w:rsid w:val="00DF06E7"/>
    <w:rsid w:val="00DF1F7B"/>
    <w:rsid w:val="00E002CF"/>
    <w:rsid w:val="00E428B6"/>
    <w:rsid w:val="00E83CE4"/>
    <w:rsid w:val="00E84013"/>
    <w:rsid w:val="00E9049D"/>
    <w:rsid w:val="00E914DB"/>
    <w:rsid w:val="00EE7815"/>
    <w:rsid w:val="00F07B90"/>
    <w:rsid w:val="00F2436F"/>
    <w:rsid w:val="00F759F1"/>
    <w:rsid w:val="00F85F1C"/>
    <w:rsid w:val="00F879E7"/>
    <w:rsid w:val="00F93D95"/>
    <w:rsid w:val="00FB5556"/>
    <w:rsid w:val="00FD7902"/>
    <w:rsid w:val="00FE29D7"/>
    <w:rsid w:val="00FE2FBC"/>
    <w:rsid w:val="00FF6221"/>
    <w:rsid w:val="00FF70B9"/>
    <w:rsid w:val="23135105"/>
    <w:rsid w:val="24462612"/>
    <w:rsid w:val="37E929CC"/>
    <w:rsid w:val="4980098C"/>
    <w:rsid w:val="71243AFB"/>
    <w:rsid w:val="7ED628F6"/>
    <w:rsid w:val="7FBD1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63964B"/>
  <w15:docId w15:val="{78D7248A-87D6-4799-8250-88AEE82C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eastAsia="SimSun" w:cs="Times New Roman"/>
      <w:sz w:val="22"/>
      <w:szCs w:val="22"/>
      <w:lang w:val="en-US" w:eastAsia="zh-CN"/>
    </w:rPr>
  </w:style>
  <w:style w:type="paragraph" w:styleId="Heading1">
    <w:name w:val="heading 1"/>
    <w:next w:val="Normal"/>
    <w:link w:val="Heading1Char"/>
    <w:uiPriority w:val="9"/>
    <w:qFormat/>
    <w:pPr>
      <w:spacing w:beforeAutospacing="1" w:afterAutospacing="1"/>
      <w:outlineLvl w:val="0"/>
    </w:pPr>
    <w:rPr>
      <w:rFonts w:ascii="SimSun" w:eastAsia="SimSun" w:hAnsi="SimSun" w:cs="Times New Roman" w:hint="eastAsia"/>
      <w:b/>
      <w:bCs/>
      <w:kern w:val="44"/>
      <w:sz w:val="48"/>
      <w:szCs w:val="48"/>
      <w:lang w:val="en-US" w:eastAsia="zh-CN"/>
    </w:rPr>
  </w:style>
  <w:style w:type="paragraph" w:styleId="Heading2">
    <w:name w:val="heading 2"/>
    <w:next w:val="Normal"/>
    <w:link w:val="Heading2Char"/>
    <w:uiPriority w:val="9"/>
    <w:semiHidden/>
    <w:unhideWhenUsed/>
    <w:qFormat/>
    <w:pPr>
      <w:spacing w:beforeAutospacing="1" w:afterAutospacing="1"/>
      <w:outlineLvl w:val="1"/>
    </w:pPr>
    <w:rPr>
      <w:rFonts w:ascii="SimSun" w:eastAsia="SimSun" w:hAnsi="SimSun" w:cs="Times New Roman" w:hint="eastAsia"/>
      <w:b/>
      <w:bCs/>
      <w:sz w:val="36"/>
      <w:szCs w:val="36"/>
      <w:lang w:val="en-US" w:eastAsia="zh-C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uiPriority w:val="99"/>
    <w:semiHidden/>
    <w:unhideWhenUsed/>
    <w:qFormat/>
    <w:pPr>
      <w:spacing w:beforeAutospacing="1" w:afterAutospacing="1"/>
    </w:pPr>
    <w:rPr>
      <w:rFonts w:cs="Times New Roman"/>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link w:val="Header"/>
    <w:uiPriority w:val="99"/>
    <w:qFormat/>
    <w:rPr>
      <w:sz w:val="22"/>
      <w:szCs w:val="22"/>
      <w:lang w:eastAsia="zh-CN"/>
    </w:rPr>
  </w:style>
  <w:style w:type="character" w:customStyle="1" w:styleId="FooterChar">
    <w:name w:val="Footer Char"/>
    <w:link w:val="Footer"/>
    <w:uiPriority w:val="99"/>
    <w:qFormat/>
    <w:rPr>
      <w:sz w:val="22"/>
      <w:szCs w:val="22"/>
      <w:lang w:eastAsia="zh-CN"/>
    </w:rPr>
  </w:style>
  <w:style w:type="paragraph" w:styleId="NoSpacing">
    <w:name w:val="No Spacing"/>
    <w:uiPriority w:val="1"/>
    <w:qFormat/>
    <w:rPr>
      <w:rFonts w:cs="Times New Roman"/>
      <w:sz w:val="22"/>
      <w:szCs w:val="22"/>
      <w:lang w:val="en-US" w:eastAsia="en-US"/>
    </w:rPr>
  </w:style>
  <w:style w:type="character" w:customStyle="1" w:styleId="whitespace-normal">
    <w:name w:val="whitespace-normal"/>
    <w:qFormat/>
  </w:style>
  <w:style w:type="character" w:customStyle="1" w:styleId="Heading1Char">
    <w:name w:val="Heading 1 Char"/>
    <w:link w:val="Heading1"/>
    <w:qFormat/>
    <w:rPr>
      <w:rFonts w:ascii="Times New Roman" w:eastAsia="Times New Roman" w:hAnsi="Times New Roman" w:cs="Times New Roman" w:hint="default"/>
      <w:b/>
      <w:bCs/>
      <w:kern w:val="36"/>
      <w:sz w:val="48"/>
      <w:szCs w:val="48"/>
      <w:lang w:eastAsia="en-US"/>
    </w:rPr>
  </w:style>
  <w:style w:type="character" w:customStyle="1" w:styleId="Heading2Char">
    <w:name w:val="Heading 2 Char"/>
    <w:link w:val="Heading2"/>
    <w:qFormat/>
    <w:rPr>
      <w:rFonts w:ascii="Calibri Light" w:eastAsia="Times New Roman" w:hAnsi="Calibri Light" w:cs="Times New Roman" w:hint="default"/>
      <w:color w:val="2F5496"/>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lang w:val="en-US" w:eastAsia="zh-CN"/>
    </w:rPr>
  </w:style>
  <w:style w:type="character" w:styleId="UnresolvedMention">
    <w:name w:val="Unresolved Mention"/>
    <w:basedOn w:val="DefaultParagraphFont"/>
    <w:uiPriority w:val="99"/>
    <w:semiHidden/>
    <w:unhideWhenUsed/>
    <w:rsid w:val="00827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20</Pages>
  <Words>8322</Words>
  <Characters>47439</Characters>
  <Application>Microsoft Office Word</Application>
  <DocSecurity>0</DocSecurity>
  <Lines>395</Lines>
  <Paragraphs>111</Paragraphs>
  <ScaleCrop>false</ScaleCrop>
  <Company/>
  <LinksUpToDate>false</LinksUpToDate>
  <CharactersWithSpaces>55650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BD2d</dc:creator>
  <cp:lastModifiedBy>SDI 1084</cp:lastModifiedBy>
  <cp:revision>8</cp:revision>
  <dcterms:created xsi:type="dcterms:W3CDTF">2026-03-17T12:30:00Z</dcterms:created>
  <dcterms:modified xsi:type="dcterms:W3CDTF">2026-04-03T11:33:00Z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5EFAC75A88874F358A0CCEB717FD8E64_13</vt:lpwstr>
  </property>
  <property fmtid="{D5CDD505-2E9C-101B-9397-08002B2CF9AE}" pid="3" name="KSOProductBuildVer">
    <vt:lpwstr>2057-12.2.0.23196</vt:lpwstr>
  </property>
</Properties>
</file>