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9A6" w:rsidRDefault="00C30A2C">
      <w:pPr>
        <w:spacing w:after="400"/>
        <w:jc w:val="center"/>
      </w:pPr>
      <w:bookmarkStart w:id="0" w:name="_GoBack"/>
      <w:bookmarkEnd w:id="0"/>
      <w:r>
        <w:rPr>
          <w:b/>
          <w:bCs/>
          <w:sz w:val="32"/>
          <w:szCs w:val="32"/>
        </w:rPr>
        <w:t>GAN-Based Data Augmentation and Intelligent Fitting for Small-Sample Regression: A Comprehensive Review</w:t>
      </w:r>
    </w:p>
    <w:p w:rsidR="000F09A6" w:rsidRDefault="00C30A2C">
      <w:pPr>
        <w:spacing w:before="200" w:after="200"/>
        <w:jc w:val="center"/>
      </w:pPr>
      <w:r>
        <w:rPr>
          <w:b/>
          <w:bCs/>
          <w:sz w:val="26"/>
          <w:szCs w:val="26"/>
        </w:rPr>
        <w:t>Abstract</w:t>
      </w:r>
    </w:p>
    <w:p w:rsidR="000F09A6" w:rsidRDefault="00C30A2C">
      <w:pPr>
        <w:spacing w:after="200" w:line="360" w:lineRule="auto"/>
        <w:jc w:val="both"/>
      </w:pPr>
      <w:r>
        <w:t xml:space="preserve">The challenge of developing accurate regression models from limited data samples remains one of the most persistent obstacles in contemporary machine learning research and industrial applications. Small-sample regression problems arise across diverse domains, including materials science, chemical process engineering, biomedical research, and manufacturing quality control, where data acquisition is inherently expensive, time-consuming, or physically constrained. This comprehensive review examines the transformative role of Generative Adversarial Networks (GANs) in addressing small-sample regression challenges through synthetic data augmentation and intelligent model fitting strategies. The review systematically analyses the theoretical foundations of GAN architectures, beginning with the seminal work on adversarial training frameworks and progressing through significant variants including Wasserstein GANs, conditional GANs, and their hybrid formulations specifically designed for regression tasks. Particular attention is devoted to virtual sample generation methodologies that leverage GAN-based approaches to expand limited training datasets whilst preserving the underlying data distribution characteristics and feature correlations essential for accurate regression modelling. The review further explores intelligent fitting techniques that integrate GAN-generated samples with conventional machine learning algorithms, examining how these combined approaches enhance prediction accuracy, model </w:t>
      </w:r>
      <w:proofErr w:type="spellStart"/>
      <w:r>
        <w:t>generalisation</w:t>
      </w:r>
      <w:proofErr w:type="spellEnd"/>
      <w:r>
        <w:t>, and robustness in data-scarce scenarios. Critical evaluation of training stability issues, including mode collapse and convergence challenges specific to regression applications, is presented alongside established mitigation strategies. Comparative analysis with alternative generative models, particularly Variational Autoencoders and emerging diffusion models, provides practitioners with guidance for method selection. The review concludes by identifying current limitations, highlighting promising research directions, and offering practical recommendations for implementing GAN-based augmentation strategies in real-world small-sample regression applications.</w:t>
      </w:r>
    </w:p>
    <w:p w:rsidR="000F09A6" w:rsidRDefault="00C30A2C">
      <w:pPr>
        <w:spacing w:after="400" w:line="360" w:lineRule="auto"/>
      </w:pPr>
      <w:r>
        <w:rPr>
          <w:b/>
          <w:bCs/>
        </w:rPr>
        <w:t xml:space="preserve">Keywords: </w:t>
      </w:r>
      <w:r>
        <w:t>Generative Adversarial Networks; data augmentation; small-sample learning; regression modelling; virtual sample generation; Wasserstein GAN; conditional GAN; soft sensor; intelligent fitting; deep learning</w:t>
      </w:r>
    </w:p>
    <w:p w:rsidR="000F09A6" w:rsidRDefault="00C30A2C">
      <w:pPr>
        <w:pStyle w:val="Heading1"/>
        <w:spacing w:before="400" w:after="200"/>
      </w:pPr>
      <w:r>
        <w:rPr>
          <w:b/>
          <w:bCs/>
          <w:sz w:val="28"/>
          <w:szCs w:val="28"/>
        </w:rPr>
        <w:lastRenderedPageBreak/>
        <w:t>1. Introduction</w:t>
      </w:r>
    </w:p>
    <w:p w:rsidR="000F09A6" w:rsidRDefault="00C30A2C">
      <w:pPr>
        <w:spacing w:after="200" w:line="360" w:lineRule="auto"/>
        <w:jc w:val="both"/>
      </w:pPr>
      <w:r>
        <w:t xml:space="preserve">The proliferation of data-driven approaches across scientific and industrial domains has fundamentally transformed how researchers and practitioners approach prediction and modelling tasks. Machine learning algorithms, particularly deep learning methods, have demonstrated remarkable capabilities in extracting complex patterns from data and constructing highly accurate predictive models. However, these powerful techniques typically presuppose access to substantial quantities of training data to achieve optimal performance. This fundamental requirement presents a significant challenge in numerous real-world applications where data collection is constrained by practical, economic, or physical limitations. The small-sample problem, </w:t>
      </w:r>
      <w:proofErr w:type="spellStart"/>
      <w:r>
        <w:t>characterised</w:t>
      </w:r>
      <w:proofErr w:type="spellEnd"/>
      <w:r>
        <w:t xml:space="preserve"> by scenarios where available training instances are insufficient to adequately represent the underlying data distribution, continues to impede the application of advanced machine learning techniques across critical domains (</w:t>
      </w:r>
      <w:proofErr w:type="spellStart"/>
      <w:r>
        <w:t>Kokol</w:t>
      </w:r>
      <w:proofErr w:type="spellEnd"/>
      <w:r>
        <w:t xml:space="preserve"> et al., 2022).</w:t>
      </w:r>
    </w:p>
    <w:p w:rsidR="000F09A6" w:rsidRDefault="00C30A2C">
      <w:pPr>
        <w:spacing w:after="200" w:line="360" w:lineRule="auto"/>
        <w:jc w:val="both"/>
      </w:pPr>
      <w:r>
        <w:t xml:space="preserve">Small-sample regression problems manifest with particular severity in process industries, materials science, and biomedical applications where obtaining labelled samples involves expensive experiments, destructive testing, or time-intensive measurements. In chemical manufacturing, for instance, quality variables often require offline laboratory analysis that may take hours or days to complete, severely limiting the quantity of available labelled data for developing soft sensor models (Zhu et al., 2021). Similarly, in materials development, conducting comprehensive </w:t>
      </w:r>
      <w:proofErr w:type="spellStart"/>
      <w:r>
        <w:t>characterisation</w:t>
      </w:r>
      <w:proofErr w:type="spellEnd"/>
      <w:r>
        <w:t xml:space="preserve"> experiments across parameter spaces proves prohibitively expensive, leaving researchers with sparse datasets from which to construct predictive models. The consequences of data scarcity extend beyond mere inconvenience; models trained on insufficient data frequently exhibit poor </w:t>
      </w:r>
      <w:proofErr w:type="spellStart"/>
      <w:r>
        <w:t>generalisation</w:t>
      </w:r>
      <w:proofErr w:type="spellEnd"/>
      <w:r>
        <w:t>, high variance, and unreliable predictions when deployed in practical settings.</w:t>
      </w:r>
    </w:p>
    <w:p w:rsidR="000F09A6" w:rsidRDefault="00C30A2C">
      <w:pPr>
        <w:spacing w:after="200" w:line="360" w:lineRule="auto"/>
        <w:jc w:val="both"/>
      </w:pPr>
      <w:r>
        <w:t xml:space="preserve">Traditional approaches to addressing data scarcity have included </w:t>
      </w:r>
      <w:proofErr w:type="spellStart"/>
      <w:r>
        <w:t>regularisation</w:t>
      </w:r>
      <w:proofErr w:type="spellEnd"/>
      <w:r>
        <w:t xml:space="preserve"> techniques, transfer learning, and various forms of data augmentation. Whilst </w:t>
      </w:r>
      <w:proofErr w:type="spellStart"/>
      <w:r>
        <w:t>regularisation</w:t>
      </w:r>
      <w:proofErr w:type="spellEnd"/>
      <w:r>
        <w:t xml:space="preserve"> methods such as ridge regression and LASSO help prevent overfitting by constraining model complexity, they cannot fundamentally overcome the information deficit inherent in small training sets. Transfer learning offers potential relief by leveraging knowledge from related domains with abundant data, yet its applicability depends critically on the availability of suitable source domains and the degree of distributional shift between source and target tasks (Pan &amp; Yang, 2010; Weiss et al., 2016; Zhuang et al., 2021). Conventional data augmentation </w:t>
      </w:r>
      <w:r>
        <w:lastRenderedPageBreak/>
        <w:t>techniques, including interpolation-based methods such as the Synthetic Minority Over-sampling Technique (SMOTE) and its variants, have demonstrated utility in classification contexts but present significant limitations when applied to regression problems where the relationship between input features and continuous target variables must be preserved.</w:t>
      </w:r>
    </w:p>
    <w:p w:rsidR="000F09A6" w:rsidRDefault="00C30A2C">
      <w:pPr>
        <w:spacing w:after="200" w:line="360" w:lineRule="auto"/>
        <w:jc w:val="both"/>
      </w:pPr>
      <w:r>
        <w:t>The introduction of Generative Adversarial Networks by Goodfellow et al. (2014) marked a paradigm shift in generative modelling, establishing a framework capable of learning to produce synthetic samples that capture the essential characteristics of training data distributions. Unlike previous generative approaches that required explicit density estimation, GANs employ an adversarial training mechanism wherein a generator network learns to produce realistic samples by attempting to deceive a discriminator network trained to distinguish genuine from synthetic instances. This elegant formulation has enabled the generation of remarkably realistic synthetic data across diverse domains, from photorealistic images to molecular structures, suggesting substantial potential for addressing data augmentation challenges in small-sample scenarios.</w:t>
      </w:r>
    </w:p>
    <w:p w:rsidR="000F09A6" w:rsidRDefault="00C30A2C">
      <w:pPr>
        <w:spacing w:after="200" w:line="360" w:lineRule="auto"/>
        <w:jc w:val="both"/>
      </w:pPr>
      <w:r>
        <w:t xml:space="preserve">The application of GAN-based approaches to small-sample regression presents unique challenges distinct from the image generation tasks where these methods initially achieved prominence. Regression problems require that generated samples preserve not merely the marginal distributions of input features but also the complex, often nonlinear, relationships between features and continuous target variables. Furthermore, small training sets exacerbate the well-documented training difficulties associated with GANs, including mode collapse, where the generator produces only limited sample diversity, and training instability arising from the delicate balance required between generator and discriminator </w:t>
      </w:r>
      <w:proofErr w:type="spellStart"/>
      <w:r>
        <w:t>optimisation</w:t>
      </w:r>
      <w:proofErr w:type="spellEnd"/>
      <w:r>
        <w:t xml:space="preserve">. These challenges have motivated the development of </w:t>
      </w:r>
      <w:proofErr w:type="spellStart"/>
      <w:r>
        <w:t>specialised</w:t>
      </w:r>
      <w:proofErr w:type="spellEnd"/>
      <w:r>
        <w:t xml:space="preserve"> GAN architectures and training procedures tailored to the requirements of small-sample regression applications.</w:t>
      </w:r>
    </w:p>
    <w:p w:rsidR="000F09A6" w:rsidRDefault="00C30A2C">
      <w:pPr>
        <w:spacing w:after="200" w:line="360" w:lineRule="auto"/>
        <w:jc w:val="both"/>
      </w:pPr>
      <w:r>
        <w:t>Recent years have witnessed substantial advances in adapting GAN frameworks for regression-oriented data augmentation. The development of conditional GAN variants enables the generation of samples conditioned on specific target values, whilst Wasserstein GANs with gradient penalty provide improved training stability essential when working with limited data (</w:t>
      </w:r>
      <w:proofErr w:type="spellStart"/>
      <w:r>
        <w:t>Gulrajani</w:t>
      </w:r>
      <w:proofErr w:type="spellEnd"/>
      <w:r>
        <w:t xml:space="preserve"> et al., 2017). Researchers have proposed sophisticated architectures that embed regression models within the GAN framework, allowing simultaneous sample generation and prediction whilst ensuring generated samples maintain appropriate input-output relationships (Chen et al., 2021). These advances have demonstrated practical utility </w:t>
      </w:r>
      <w:r>
        <w:lastRenderedPageBreak/>
        <w:t>across diverse applications, from soft sensor development in chemical processes to materials property prediction, establishing GAN-based augmentation as a viable strategy for addressing small-sample regression challenges.</w:t>
      </w:r>
    </w:p>
    <w:p w:rsidR="000F09A6" w:rsidRDefault="00C30A2C">
      <w:pPr>
        <w:spacing w:after="200" w:line="360" w:lineRule="auto"/>
        <w:jc w:val="both"/>
      </w:pPr>
      <w:r>
        <w:t>Beyond sample generation, the concept of intelligent fitting encompasses the strategic integration of synthetic and real data in model training, the selection of appropriate regression algorithms compatible with augmented datasets, and the development of ensemble approaches that leverage diverse models trained on original and generated samples. The effectiveness of GAN-based augmentation depends critically on these downstream modelling decisions, which must account for the characteristics of generated samples, potential distribution shifts between real and synthetic data, and the specific requirements of the target application domain.</w:t>
      </w:r>
    </w:p>
    <w:p w:rsidR="000F09A6" w:rsidRDefault="00C30A2C">
      <w:pPr>
        <w:pStyle w:val="Heading2"/>
        <w:spacing w:before="400" w:after="200"/>
      </w:pPr>
      <w:r>
        <w:rPr>
          <w:b/>
          <w:bCs/>
        </w:rPr>
        <w:t>1.1 Scope and Objectives</w:t>
      </w:r>
    </w:p>
    <w:p w:rsidR="000F09A6" w:rsidRDefault="00C30A2C">
      <w:pPr>
        <w:spacing w:after="200" w:line="360" w:lineRule="auto"/>
        <w:jc w:val="both"/>
      </w:pPr>
      <w:r>
        <w:t>This review provides a comprehensive examination of GAN-based data augmentation and intelligent fitting methodologies for small-sample regression problems. The scope encompasses the theoretical foundations of generative adversarial networks, with particular emphasis on architectural variants and training procedures developed for or applicable to regression tasks. The review examines virtual sample generation strategies that employ GAN frameworks to expand limited training datasets whilst preserving data distribution characteristics and feature-target relationships essential for regression modelling.</w:t>
      </w:r>
    </w:p>
    <w:p w:rsidR="000F09A6" w:rsidRDefault="00C30A2C">
      <w:pPr>
        <w:spacing w:after="200" w:line="360" w:lineRule="auto"/>
        <w:jc w:val="both"/>
      </w:pPr>
      <w:r>
        <w:t xml:space="preserve">The primary objectives of this review are threefold. First, to </w:t>
      </w:r>
      <w:proofErr w:type="spellStart"/>
      <w:r>
        <w:t>synthesise</w:t>
      </w:r>
      <w:proofErr w:type="spellEnd"/>
      <w:r>
        <w:t xml:space="preserve"> current knowledge regarding GAN architectures and their adaptations for small-sample regression applications, providing researchers and practitioners with a structured understanding of available methods and their relative merits. Second, to critically evaluate the effectiveness of GAN-based augmentation strategies across diverse application domains, identifying factors that influence success and highlighting best practices for implementation. Third, to identify current limitations and promising research directions that may guide future developments in this rapidly evolving field.</w:t>
      </w:r>
    </w:p>
    <w:p w:rsidR="000F09A6" w:rsidRDefault="00C30A2C">
      <w:pPr>
        <w:spacing w:after="200" w:line="360" w:lineRule="auto"/>
        <w:jc w:val="both"/>
      </w:pPr>
      <w:r>
        <w:t xml:space="preserve">The review is structured to address these objectives systematically. Following the methodology section, the theoretical foundations of GANs and their variants are presented, with attention to the mathematical principles underlying adversarial training and the specific modifications required for regression applications. Subsequent sections examine virtual </w:t>
      </w:r>
      <w:r>
        <w:lastRenderedPageBreak/>
        <w:t xml:space="preserve">sample generation methodologies, intelligent fitting strategies, training stability considerations, and application domains. Comparative analysis with alternative generative approaches </w:t>
      </w:r>
      <w:proofErr w:type="spellStart"/>
      <w:r>
        <w:t>contextualises</w:t>
      </w:r>
      <w:proofErr w:type="spellEnd"/>
      <w:r>
        <w:t xml:space="preserve"> GAN-based methods within the broader landscape of small-sample learning solutions. The review concludes with discussions of limitations and future research directions.</w:t>
      </w:r>
    </w:p>
    <w:p w:rsidR="000F09A6" w:rsidRDefault="00C30A2C">
      <w:pPr>
        <w:pStyle w:val="Heading1"/>
        <w:spacing w:before="400" w:after="200"/>
      </w:pPr>
      <w:r>
        <w:rPr>
          <w:b/>
          <w:bCs/>
          <w:sz w:val="28"/>
          <w:szCs w:val="28"/>
        </w:rPr>
        <w:t>2. Methods for Literature Selection</w:t>
      </w:r>
    </w:p>
    <w:p w:rsidR="000F09A6" w:rsidRDefault="00C30A2C">
      <w:pPr>
        <w:spacing w:after="200" w:line="360" w:lineRule="auto"/>
        <w:jc w:val="both"/>
      </w:pPr>
      <w:r>
        <w:t>This narrative review was conducted through systematic searching of major academic databases to identify relevant literature on GAN-based data augmentation and intelligent fitting for small-sample regression applications. The primary databases searched included Web of Science, Scopus, Google Scholar, and PubMed, selected for their comprehensive coverage of engineering, computer science, and applied mathematics literature where relevant research predominantly appears. The search strategy employed combinations of key terms including generative adversarial network, GAN, data augmentation, small sample, limited data, regression, virtual sample generation, soft sensor, Wasserstein GAN, and conditional GAN. Boolean operators were used to construct search strings that captured diverse terminology whilst maintaining focus on the review topic.</w:t>
      </w:r>
    </w:p>
    <w:p w:rsidR="000F09A6" w:rsidRDefault="00C30A2C">
      <w:pPr>
        <w:spacing w:after="200" w:line="360" w:lineRule="auto"/>
        <w:jc w:val="both"/>
      </w:pPr>
      <w:r>
        <w:t xml:space="preserve">The search was limited to peer-reviewed journal articles published in English between 2001 and 2026, with particular emphasis on publications from 2014 onwards following the seminal introduction of the GAN framework. Whilst journal articles constitute the primary source material, certain foundational conference papers from venues such as </w:t>
      </w:r>
      <w:proofErr w:type="spellStart"/>
      <w:r>
        <w:t>NeurIPS</w:t>
      </w:r>
      <w:proofErr w:type="spellEnd"/>
      <w:r>
        <w:t>, ICML, and ICLR are included where they represent seminal methodological contributions that have not been superseded by subsequent journal publications; this exception acknowledges that significant advances in deep learning methodology frequently debut at these highly selective peer-reviewed conferences. Thesis, Grey literature, including technical reports and preprints and any non peer reviewed articles were excluded except where such sources provided essential technical details not available in peer-reviewed publications.</w:t>
      </w:r>
    </w:p>
    <w:p w:rsidR="00C30A2C" w:rsidRDefault="00C30A2C">
      <w:pPr>
        <w:spacing w:after="200" w:line="360" w:lineRule="auto"/>
        <w:jc w:val="both"/>
      </w:pPr>
      <w:r>
        <w:t xml:space="preserve">Inclusion criteria required that articles address generative modelling approaches for data augmentation in contexts involving limited sample sizes, with specific relevance to regression or continuous prediction tasks. Articles focusing exclusively on classification or image generation without implications for regression were excluded unless they provided foundational methodological contributions. Articles were also required to present either </w:t>
      </w:r>
      <w:r>
        <w:lastRenderedPageBreak/>
        <w:t xml:space="preserve">theoretical developments, empirical evaluations, or application studies demonstrating the use of GAN-based methods for small-sample problems. </w:t>
      </w:r>
    </w:p>
    <w:p w:rsidR="000F09A6" w:rsidRDefault="00C30A2C">
      <w:pPr>
        <w:spacing w:after="200" w:line="360" w:lineRule="auto"/>
        <w:jc w:val="both"/>
      </w:pPr>
      <w:r>
        <w:t xml:space="preserve">This review adopts a narrative rather than systematic review methodology for several reasons. The interdisciplinary nature of the topic, spanning machine learning, process engineering, materials science, and biomedical applications, presents heterogeneous methodological approaches that resist </w:t>
      </w:r>
      <w:proofErr w:type="spellStart"/>
      <w:r>
        <w:t>standardised</w:t>
      </w:r>
      <w:proofErr w:type="spellEnd"/>
      <w:r>
        <w:t xml:space="preserve"> quality assessment protocols typical of systematic reviews. Furthermore, the rapid evolution of the field, with significant methodological advances appearing continuously, necessitates an integrative approach capable of </w:t>
      </w:r>
      <w:proofErr w:type="spellStart"/>
      <w:r>
        <w:t>synthesising</w:t>
      </w:r>
      <w:proofErr w:type="spellEnd"/>
      <w:r>
        <w:t xml:space="preserve"> diverse contributions into a coherent framework for understanding current capabilities and future directions. The narrative approach enables comprehensive treatment of theoretical foundations alongside practical applications whilst accommodating the varied reporting standards across contributing disciplines.</w:t>
      </w:r>
    </w:p>
    <w:p w:rsidR="000F09A6" w:rsidRDefault="00C30A2C">
      <w:pPr>
        <w:pStyle w:val="Heading1"/>
        <w:spacing w:before="400" w:after="200"/>
      </w:pPr>
      <w:r>
        <w:rPr>
          <w:b/>
          <w:bCs/>
          <w:sz w:val="28"/>
          <w:szCs w:val="28"/>
        </w:rPr>
        <w:t>3. Theoretical Foundations of Generative Adversarial Networks</w:t>
      </w:r>
    </w:p>
    <w:p w:rsidR="000F09A6" w:rsidRDefault="00C30A2C">
      <w:pPr>
        <w:pStyle w:val="Heading2"/>
        <w:spacing w:before="400" w:after="200"/>
      </w:pPr>
      <w:r>
        <w:rPr>
          <w:b/>
          <w:bCs/>
        </w:rPr>
        <w:t>3.1 The Original GAN Framework</w:t>
      </w:r>
    </w:p>
    <w:p w:rsidR="000F09A6" w:rsidRDefault="00C30A2C">
      <w:pPr>
        <w:spacing w:after="200" w:line="360" w:lineRule="auto"/>
        <w:jc w:val="both"/>
      </w:pPr>
      <w:r>
        <w:t xml:space="preserve">The generative adversarial network framework introduced by Goodfellow et al. (2014) established a fundamentally novel approach to generative modelling based on game-theoretic principles. The framework comprises two neural networks engaged in adversarial competition: a generator network that learns to produce synthetic samples resembling training data, and a discriminator network that learns to distinguish genuine training samples from generator-produced synthetic samples. This adversarial dynamic creates a minimax game wherein the generator seeks to </w:t>
      </w:r>
      <w:proofErr w:type="spellStart"/>
      <w:r>
        <w:t>maximise</w:t>
      </w:r>
      <w:proofErr w:type="spellEnd"/>
      <w:r>
        <w:t xml:space="preserve"> the discriminator's classification errors whilst the discriminator seeks to </w:t>
      </w:r>
      <w:proofErr w:type="spellStart"/>
      <w:r>
        <w:t>minimise</w:t>
      </w:r>
      <w:proofErr w:type="spellEnd"/>
      <w:r>
        <w:t xml:space="preserve"> them.</w:t>
      </w:r>
    </w:p>
    <w:p w:rsidR="000F09A6" w:rsidRDefault="00C30A2C">
      <w:pPr>
        <w:spacing w:after="200" w:line="360" w:lineRule="auto"/>
        <w:jc w:val="both"/>
      </w:pPr>
      <w:r>
        <w:t>The generator network accepts random noise vectors sampled from a simple prior distribution, typically standard Gaussian, and transforms these inputs through a series of learned transformations to produce outputs in the data space. When trained successfully, this transformation learns to map the simple noise distribution to the complex data distribution, enabling generation of novel samples by simply sampling noise vectors and passing them through the trained generator. The discriminator network receives inputs from both the training data and the generator, producing probability estimates that input samples originated from the true data distribution rather than the generator.</w:t>
      </w:r>
    </w:p>
    <w:p w:rsidR="000F09A6" w:rsidRDefault="00C30A2C">
      <w:pPr>
        <w:spacing w:after="200" w:line="360" w:lineRule="auto"/>
        <w:jc w:val="both"/>
      </w:pPr>
      <w:r>
        <w:lastRenderedPageBreak/>
        <w:t xml:space="preserve">Training proceeds through alternating </w:t>
      </w:r>
      <w:proofErr w:type="spellStart"/>
      <w:r>
        <w:t>optimisation</w:t>
      </w:r>
      <w:proofErr w:type="spellEnd"/>
      <w:r>
        <w:t xml:space="preserve"> of the discriminator and generator networks. The discriminator is trained to correctly classify real and synthetic samples, whilst the generator is trained to produce samples that the discriminator classifies as real. Under ideal conditions, this adversarial training converges to an equilibrium wherein the generator produces samples indistinguishable from real data and the discriminator cannot reliably distinguish between the two sources, outputting probability estimates of 0.5 for all inputs. At this equilibrium, the generator has effectively learned the true data distribution.</w:t>
      </w:r>
    </w:p>
    <w:p w:rsidR="000F09A6" w:rsidRDefault="00C30A2C">
      <w:pPr>
        <w:spacing w:after="200" w:line="360" w:lineRule="auto"/>
        <w:jc w:val="both"/>
      </w:pPr>
      <w:r>
        <w:t>The original GAN formulation employs Jensen-Shannon divergence as the implicit distance measure between generated and true data distributions. Whilst theoretically elegant, this choice contributes to training difficulties in practice. When the discriminator achieves near-perfect classification, gradients flowing to the generator vanish, stalling learning. Conversely, a poorly trained discriminator provides uninformative gradients. This sensitivity to the relative training states of both networks necessitates careful hyperparameter tuning and training procedures to achieve stable convergence (Goodfellow et al., 2014, 2020).</w:t>
      </w:r>
    </w:p>
    <w:p w:rsidR="000F09A6" w:rsidRDefault="00C30A2C">
      <w:pPr>
        <w:pStyle w:val="Heading2"/>
        <w:spacing w:before="400" w:after="200"/>
      </w:pPr>
      <w:r>
        <w:rPr>
          <w:b/>
          <w:bCs/>
        </w:rPr>
        <w:t>3.2 Wasserstein GANs and Gradient Penalty</w:t>
      </w:r>
    </w:p>
    <w:p w:rsidR="000F09A6" w:rsidRDefault="00C30A2C">
      <w:pPr>
        <w:spacing w:after="200" w:line="360" w:lineRule="auto"/>
        <w:jc w:val="both"/>
      </w:pPr>
      <w:r>
        <w:t>The Wasserstein GAN (WGAN) variant addresses fundamental training stability issues by replacing Jensen-Shannon divergence with the Wasserstein distance, also known as the Earth Mover distance, as the measure of distributional discrepancy (</w:t>
      </w:r>
      <w:proofErr w:type="spellStart"/>
      <w:r>
        <w:t>Arjovsky</w:t>
      </w:r>
      <w:proofErr w:type="spellEnd"/>
      <w:r>
        <w:t xml:space="preserve"> et al., 2017). The Wasserstein distance quantifies the minimum cost of transforming one distribution into another, providing a meaningful measure of distance even when distributions have non-overlapping support, a scenario that causes Jensen-Shannon divergence to saturate and provide uninformative gradients. Recent theoretical advances have extended this framework to unified approaches for nonparametric regression and conditional distribution learning, enabling simultaneous estimation of regression functions and conditional generators through Wasserstein-based objectives (Song et al., 2026).</w:t>
      </w:r>
    </w:p>
    <w:p w:rsidR="000F09A6" w:rsidRDefault="00C30A2C">
      <w:pPr>
        <w:spacing w:after="200" w:line="360" w:lineRule="auto"/>
        <w:jc w:val="both"/>
      </w:pPr>
      <w:r>
        <w:t xml:space="preserve">Computing the Wasserstein distance directly is intractable for high-dimensional distributions. The WGAN framework circumvents this through the Kantorovich-Rubinstein duality, which establishes that the Wasserstein distance can be expressed as a supremum over a class of Lipschitz-continuous functions. In practice, this is implemented by constraining the discriminator, termed the critic in WGAN formulations, to satisfy a Lipschitz constraint. The </w:t>
      </w:r>
      <w:r>
        <w:lastRenderedPageBreak/>
        <w:t xml:space="preserve">original WGAN implementation enforced this constraint through weight clipping, bounding discriminator parameters within a fixed range after each </w:t>
      </w:r>
      <w:proofErr w:type="spellStart"/>
      <w:r>
        <w:t>optimisation</w:t>
      </w:r>
      <w:proofErr w:type="spellEnd"/>
      <w:r>
        <w:t xml:space="preserve"> step.</w:t>
      </w:r>
    </w:p>
    <w:p w:rsidR="000F09A6" w:rsidRDefault="00C30A2C">
      <w:pPr>
        <w:spacing w:after="200" w:line="360" w:lineRule="auto"/>
        <w:jc w:val="both"/>
      </w:pPr>
      <w:r>
        <w:t xml:space="preserve">Weight clipping, whilst conceptually simple, introduces its own difficulties. Aggressive clipping limits the discriminator's capacity, potentially preventing it from learning useful features, whilst insufficient clipping fails to adequately enforce the Lipschitz constraint. These issues motivated the gradient penalty approach introduced by </w:t>
      </w:r>
      <w:proofErr w:type="spellStart"/>
      <w:r>
        <w:t>Gulrajani</w:t>
      </w:r>
      <w:proofErr w:type="spellEnd"/>
      <w:r>
        <w:t xml:space="preserve"> et al. (2017), which directly </w:t>
      </w:r>
      <w:proofErr w:type="spellStart"/>
      <w:r>
        <w:t>penalises</w:t>
      </w:r>
      <w:proofErr w:type="spellEnd"/>
      <w:r>
        <w:t xml:space="preserve"> deviations of gradient norms from unity for interpolated points between real and generated samples. This soft constraint provides more stable training than weight clipping whilst maintaining the theoretical advantages of the Wasserstein distance.</w:t>
      </w:r>
    </w:p>
    <w:p w:rsidR="000F09A6" w:rsidRDefault="00C30A2C">
      <w:pPr>
        <w:spacing w:after="200" w:line="360" w:lineRule="auto"/>
        <w:jc w:val="both"/>
      </w:pPr>
      <w:r>
        <w:t>The WGAN with gradient penalty (WGAN-GP) has become a foundational architecture for numerous applications, including small-sample regression. Its improved training stability proves particularly valuable when working with limited data, where instabilities in training dynamics can more easily cause complete failure. The Wasserstein distance also provides a more interpretable training metric than the discriminator loss in standard GANs, with lower values indicating closer agreement between generated and real distributions, facilitating monitoring of training progress and hyperparameter selection (Saxena &amp; Cao, 2021).</w:t>
      </w:r>
    </w:p>
    <w:p w:rsidR="000F09A6" w:rsidRDefault="00C30A2C">
      <w:pPr>
        <w:pStyle w:val="Heading2"/>
        <w:spacing w:before="400" w:after="200"/>
      </w:pPr>
      <w:r>
        <w:rPr>
          <w:b/>
          <w:bCs/>
        </w:rPr>
        <w:t>3.3 Conditional Generative Adversarial Networks</w:t>
      </w:r>
    </w:p>
    <w:p w:rsidR="000F09A6" w:rsidRDefault="00C30A2C">
      <w:pPr>
        <w:spacing w:after="200" w:line="360" w:lineRule="auto"/>
        <w:jc w:val="both"/>
      </w:pPr>
      <w:r>
        <w:t>Standard GAN formulations generate samples unconditionally, learning the marginal distribution of training data without explicit control over generated sample characteristics. Conditional GANs (</w:t>
      </w:r>
      <w:proofErr w:type="spellStart"/>
      <w:r>
        <w:t>cGANs</w:t>
      </w:r>
      <w:proofErr w:type="spellEnd"/>
      <w:r>
        <w:t xml:space="preserve">) extend this framework to enable generation conditioned on additional information, such as class labels in classification contexts or, crucially for regression applications, target variable values. By conditioning both generator and discriminator on auxiliary information, </w:t>
      </w:r>
      <w:proofErr w:type="spellStart"/>
      <w:r>
        <w:t>cGANs</w:t>
      </w:r>
      <w:proofErr w:type="spellEnd"/>
      <w:r>
        <w:t xml:space="preserve"> learn conditional distributions, enabling targeted generation of samples with specified characteristics (Mirza &amp; </w:t>
      </w:r>
      <w:proofErr w:type="spellStart"/>
      <w:r>
        <w:t>Osindero</w:t>
      </w:r>
      <w:proofErr w:type="spellEnd"/>
      <w:r>
        <w:t>, 2014).</w:t>
      </w:r>
    </w:p>
    <w:p w:rsidR="000F09A6" w:rsidRDefault="00C30A2C">
      <w:pPr>
        <w:spacing w:after="200" w:line="360" w:lineRule="auto"/>
        <w:jc w:val="both"/>
      </w:pPr>
      <w:r>
        <w:t xml:space="preserve">In regression applications, conditional generation capability proves essential. Rather than merely generating samples that resemble training data in aggregate, regression-oriented augmentation requires generation of samples with specific target values, enabling controlled expansion of training data across the output space. The generator in a conditional GAN receives both noise vectors and conditioning information, learning to produce samples consistent with the specified conditions. The discriminator similarly receives both samples </w:t>
      </w:r>
      <w:r>
        <w:lastRenderedPageBreak/>
        <w:t>and conditions, learning to distinguish real from synthetic samples given the conditioning context.</w:t>
      </w:r>
    </w:p>
    <w:p w:rsidR="000F09A6" w:rsidRDefault="00C30A2C">
      <w:pPr>
        <w:spacing w:after="200" w:line="360" w:lineRule="auto"/>
        <w:jc w:val="both"/>
      </w:pPr>
      <w:r>
        <w:t>The combination of conditional generation with Wasserstein distance training, yielding conditional WGAN variants (CWGAN), provides a robust foundation for regression-oriented data augmentation. These architectures enable generation of virtual samples with specified output values whilst benefiting from the training stability improvements of the Wasserstein formulation. Additional modifications, such as embedding regression networks within the GAN framework to calibrate generated sample labels, further enhance applicability to small-sample regression scenarios (Zhu et al., 2021).</w:t>
      </w:r>
    </w:p>
    <w:p w:rsidR="000F09A6" w:rsidRDefault="00C30A2C">
      <w:pPr>
        <w:pStyle w:val="Heading1"/>
        <w:spacing w:before="400" w:after="200"/>
      </w:pPr>
      <w:r>
        <w:rPr>
          <w:b/>
          <w:bCs/>
          <w:sz w:val="28"/>
          <w:szCs w:val="28"/>
        </w:rPr>
        <w:t>4. Virtual Sample Generation Methodologies</w:t>
      </w:r>
    </w:p>
    <w:p w:rsidR="000F09A6" w:rsidRDefault="00C30A2C">
      <w:pPr>
        <w:pStyle w:val="Heading2"/>
        <w:spacing w:before="400" w:after="200"/>
      </w:pPr>
      <w:r>
        <w:rPr>
          <w:b/>
          <w:bCs/>
        </w:rPr>
        <w:t>4.1 Principles of Virtual Sample Generation</w:t>
      </w:r>
    </w:p>
    <w:p w:rsidR="000F09A6" w:rsidRDefault="00C30A2C">
      <w:pPr>
        <w:spacing w:after="200" w:line="360" w:lineRule="auto"/>
        <w:jc w:val="both"/>
      </w:pPr>
      <w:r>
        <w:t xml:space="preserve">Virtual sample generation (VSG) encompasses methodologies for creating synthetic training samples that augment limited original datasets. The fundamental premise underlying VSG is that appropriately generated virtual samples can provide the additional information required for machine learning algorithms to construct more accurate and </w:t>
      </w:r>
      <w:proofErr w:type="spellStart"/>
      <w:r>
        <w:t>generalisable</w:t>
      </w:r>
      <w:proofErr w:type="spellEnd"/>
      <w:r>
        <w:t xml:space="preserve"> models than would be achievable with original data alone. Effective VSG must balance two competing objectives: generating samples sufficiently diverse to expand the training distribution's effective coverage, whilst ensuring generated samples remain consistent with the true underlying data-generating process to avoid introducing misleading information (Li et al., 2023).</w:t>
      </w:r>
    </w:p>
    <w:p w:rsidR="000F09A6" w:rsidRDefault="00C30A2C">
      <w:pPr>
        <w:spacing w:after="200" w:line="360" w:lineRule="auto"/>
        <w:jc w:val="both"/>
      </w:pPr>
      <w:r>
        <w:t xml:space="preserve">Traditional VSG approaches include interpolation-based methods, statistical sampling from estimated distributions, and perturbation-based techniques that create variations of existing samples. SMOTE and its variants represent widely adopted interpolation approaches, creating synthetic samples along line segments connecting existing training instances in feature space. Genetic algorithm-based VSG methods have also been proposed to </w:t>
      </w:r>
      <w:proofErr w:type="spellStart"/>
      <w:r>
        <w:t>optimise</w:t>
      </w:r>
      <w:proofErr w:type="spellEnd"/>
      <w:r>
        <w:t xml:space="preserve"> the generation of virtual samples that </w:t>
      </w:r>
      <w:proofErr w:type="spellStart"/>
      <w:r>
        <w:t>maximise</w:t>
      </w:r>
      <w:proofErr w:type="spellEnd"/>
      <w:r>
        <w:t xml:space="preserve"> information content whilst maintaining consistency with observed data patterns (Li et al., 2014). Whilst effective for classification tasks, these methods face challenges in regression contexts where generated samples require appropriate target values that maintain the functional relationship between inputs and outputs. Simple interpolation of target values may produce samples inconsistent with the true input-output relationship, particularly for nonlinear functions.</w:t>
      </w:r>
    </w:p>
    <w:p w:rsidR="000F09A6" w:rsidRDefault="00C30A2C">
      <w:pPr>
        <w:spacing w:after="200" w:line="360" w:lineRule="auto"/>
        <w:jc w:val="both"/>
      </w:pPr>
      <w:r>
        <w:lastRenderedPageBreak/>
        <w:t>Statistical approaches estimate parametric distributions from training data and sample from these estimated distributions to generate virtual samples. Methods based on Gaussian mixture models, kernel density estimation, and mega-trend diffusion have demonstrated utility in various contexts (Wang et al., 2023). However, these approaches require assumptions about distributional forms that may not hold for complex real-world data, and their effectiveness diminishes when training samples are insufficient to accurately estimate distribution parameters. Small-sample scenarios, precisely where VSG is most needed, thus present the greatest challenges for these traditional approaches.</w:t>
      </w:r>
    </w:p>
    <w:p w:rsidR="000F09A6" w:rsidRDefault="00C30A2C">
      <w:pPr>
        <w:pStyle w:val="Heading2"/>
        <w:spacing w:before="400" w:after="200"/>
      </w:pPr>
      <w:r>
        <w:rPr>
          <w:b/>
          <w:bCs/>
        </w:rPr>
        <w:t>4.2 GAN-Based Virtual Sample Generation for Regression</w:t>
      </w:r>
    </w:p>
    <w:p w:rsidR="000F09A6" w:rsidRDefault="00C30A2C">
      <w:pPr>
        <w:spacing w:after="200" w:line="360" w:lineRule="auto"/>
        <w:jc w:val="both"/>
      </w:pPr>
      <w:r>
        <w:t>GAN-based VSG offers significant advantages over traditional approaches by learning implicit data distributions through the adversarial training process rather than requiring explicit distributional assumptions. The generator network, through competition with the discriminator, learns to produce samples that capture complex dependencies and nonlinear relationships present in training data. This capability proves particularly valuable for regression applications where preserving input-output relationships is essential for generated samples to provide meaningful augmentation.</w:t>
      </w:r>
    </w:p>
    <w:p w:rsidR="000F09A6" w:rsidRDefault="00C30A2C">
      <w:pPr>
        <w:spacing w:after="200" w:line="360" w:lineRule="auto"/>
        <w:jc w:val="both"/>
      </w:pPr>
      <w:r>
        <w:t xml:space="preserve">Several </w:t>
      </w:r>
      <w:proofErr w:type="spellStart"/>
      <w:r>
        <w:t>specialised</w:t>
      </w:r>
      <w:proofErr w:type="spellEnd"/>
      <w:r>
        <w:t xml:space="preserve"> architectures have been developed for regression-oriented VSG. Zhu et al. (2021) proposed embedding a deep neural network regressor within a conditional WGAN framework (</w:t>
      </w:r>
      <w:proofErr w:type="spellStart"/>
      <w:r>
        <w:t>rCWGAN</w:t>
      </w:r>
      <w:proofErr w:type="spellEnd"/>
      <w:r>
        <w:t>), enabling simultaneous sample generation and target value prediction. This architecture addresses a fundamental challenge in regression VSG: ensuring that generated input features correspond appropriately to specified or generated target values. The embedded regressor learns the input-output relationship from both real and generated samples, providing a mechanism to calibrate generated sample labels and assess generation quality.</w:t>
      </w:r>
    </w:p>
    <w:p w:rsidR="000F09A6" w:rsidRDefault="00C30A2C">
      <w:pPr>
        <w:spacing w:after="200" w:line="360" w:lineRule="auto"/>
        <w:jc w:val="both"/>
      </w:pPr>
      <w:r>
        <w:t xml:space="preserve">Chen et al. (2021) developed a virtual sample generation approach combining conditional GANs with centroidal Voronoi tessellation sampling. This method addresses the challenge of generating samples that fill sparse regions of the feature space whilst avoiding oversampling in densely populated regions. By targeting generation towards underrepresented regions identified through tessellation analysis, the method aims to </w:t>
      </w:r>
      <w:proofErr w:type="spellStart"/>
      <w:r>
        <w:t>maximise</w:t>
      </w:r>
      <w:proofErr w:type="spellEnd"/>
      <w:r>
        <w:t xml:space="preserve"> the informational contribution of generated samples. Such targeted generation strategies prove particularly valuable when training data exhibits clustering or non-uniform coverage of the input space.</w:t>
      </w:r>
    </w:p>
    <w:p w:rsidR="000F09A6" w:rsidRDefault="00C30A2C">
      <w:pPr>
        <w:spacing w:after="200" w:line="360" w:lineRule="auto"/>
        <w:jc w:val="both"/>
      </w:pPr>
      <w:proofErr w:type="spellStart"/>
      <w:r>
        <w:lastRenderedPageBreak/>
        <w:t>StyleGAN</w:t>
      </w:r>
      <w:proofErr w:type="spellEnd"/>
      <w:r>
        <w:t>-based architectures have been adapted for regression applications, leveraging the style-based generation mechanism to produce diverse samples with fine-grained control over generation characteristics. The regression loss-assisted conditional style GAN (RAC-</w:t>
      </w:r>
      <w:proofErr w:type="spellStart"/>
      <w:r>
        <w:t>StyleGAN</w:t>
      </w:r>
      <w:proofErr w:type="spellEnd"/>
      <w:r>
        <w:t xml:space="preserve">) integrates empirical risk </w:t>
      </w:r>
      <w:proofErr w:type="spellStart"/>
      <w:r>
        <w:t>minimisation</w:t>
      </w:r>
      <w:proofErr w:type="spellEnd"/>
      <w:r>
        <w:t xml:space="preserve"> within the </w:t>
      </w:r>
      <w:proofErr w:type="spellStart"/>
      <w:r>
        <w:t>StyleGAN</w:t>
      </w:r>
      <w:proofErr w:type="spellEnd"/>
      <w:r>
        <w:t xml:space="preserve"> framework, using regression loss to guide generation towards samples that support accurate prediction model development (Zhu et al., 2025). Conditional Wasserstein GAN approaches have also demonstrated effectiveness for oversampling tabular data, with gradient penalty </w:t>
      </w:r>
      <w:proofErr w:type="spellStart"/>
      <w:r>
        <w:t>regularisation</w:t>
      </w:r>
      <w:proofErr w:type="spellEnd"/>
      <w:r>
        <w:t xml:space="preserve"> ensuring stable training and high-quality sample generation (Engelmann &amp; </w:t>
      </w:r>
      <w:proofErr w:type="spellStart"/>
      <w:r>
        <w:t>Lessmann</w:t>
      </w:r>
      <w:proofErr w:type="spellEnd"/>
      <w:r>
        <w:t>, 2021). This approach demonstrates how architectural innovations originally developed for image generation can be productively adapted for tabular data augmentation in regression contexts.</w:t>
      </w:r>
    </w:p>
    <w:p w:rsidR="000F09A6" w:rsidRDefault="00C30A2C">
      <w:pPr>
        <w:pStyle w:val="Heading2"/>
        <w:spacing w:before="400" w:after="200"/>
      </w:pPr>
      <w:r>
        <w:rPr>
          <w:b/>
          <w:bCs/>
        </w:rPr>
        <w:t>4.3 Quality Assessment of Generated Samples</w:t>
      </w:r>
    </w:p>
    <w:p w:rsidR="000F09A6" w:rsidRDefault="00C30A2C">
      <w:pPr>
        <w:spacing w:after="200" w:line="360" w:lineRule="auto"/>
        <w:jc w:val="both"/>
      </w:pPr>
      <w:r>
        <w:t>Evaluating the quality of generated samples presents distinct challenges in regression applications compared to the image generation tasks where GANs achieved initial prominence. Visual inspection, whilst providing intuitive assessment of image quality, offers limited utility for tabular data typical of regression problems. Quantitative assessment must therefore rely on statistical comparisons between real and generated data distributions, evaluation of downstream model performance when trained on augmented datasets, and analysis of preserved relationships between features and target variables.</w:t>
      </w:r>
    </w:p>
    <w:p w:rsidR="000F09A6" w:rsidRDefault="00C30A2C">
      <w:pPr>
        <w:spacing w:after="200" w:line="360" w:lineRule="auto"/>
        <w:jc w:val="both"/>
      </w:pPr>
      <w:r>
        <w:t xml:space="preserve">Statistical assessment typically involves comparing summary statistics, marginal distributions, and correlation structures between real and generated samples. Standard tests including t-tests for mean comparison, </w:t>
      </w:r>
      <w:proofErr w:type="spellStart"/>
      <w:r>
        <w:t>Levene's</w:t>
      </w:r>
      <w:proofErr w:type="spellEnd"/>
      <w:r>
        <w:t xml:space="preserve"> test for variance equality, and Kolmogorov-Smirnov tests for distribution comparison provide formal evaluation of distributional similarity (Islam et al., 2021). However, passing these tests represents a necessary but not sufficient condition for effective augmentation; generated samples must additionally preserve the functional relationships relevant for regression modelling.</w:t>
      </w:r>
    </w:p>
    <w:p w:rsidR="000F09A6" w:rsidRDefault="00C30A2C">
      <w:pPr>
        <w:spacing w:after="200" w:line="360" w:lineRule="auto"/>
        <w:jc w:val="both"/>
      </w:pPr>
      <w:r>
        <w:t xml:space="preserve">Downstream task evaluation, wherein regression models are trained on augmented datasets and evaluated on held-out test data, provides the most practical assessment of augmentation effectiveness. Improvements in prediction accuracy, reductions in prediction variance, and enhanced </w:t>
      </w:r>
      <w:proofErr w:type="spellStart"/>
      <w:r>
        <w:t>generalisation</w:t>
      </w:r>
      <w:proofErr w:type="spellEnd"/>
      <w:r>
        <w:t xml:space="preserve"> to new samples indicate successful augmentation. This evaluation paradigm aligns naturally with the ultimate objective of VSG: enabling development of </w:t>
      </w:r>
      <w:r>
        <w:lastRenderedPageBreak/>
        <w:t>better-performing prediction models despite limited original training data. Cross-validation schemes that systematically vary the proportion of generated samples provide insight into optimal augmentation ratios for specific applications.</w:t>
      </w:r>
    </w:p>
    <w:p w:rsidR="000F09A6" w:rsidRDefault="00C30A2C">
      <w:pPr>
        <w:pStyle w:val="Heading1"/>
        <w:spacing w:before="400" w:after="200"/>
      </w:pPr>
      <w:r>
        <w:rPr>
          <w:b/>
          <w:bCs/>
          <w:sz w:val="28"/>
          <w:szCs w:val="28"/>
        </w:rPr>
        <w:t>5. Intelligent Fitting Strategies for Augmented Datasets</w:t>
      </w:r>
    </w:p>
    <w:p w:rsidR="000F09A6" w:rsidRDefault="00C30A2C">
      <w:pPr>
        <w:pStyle w:val="Heading2"/>
        <w:spacing w:before="400" w:after="200"/>
      </w:pPr>
      <w:r>
        <w:rPr>
          <w:b/>
          <w:bCs/>
        </w:rPr>
        <w:t>5.1 Integration of Real and Generated Samples</w:t>
      </w:r>
    </w:p>
    <w:p w:rsidR="000F09A6" w:rsidRDefault="00C30A2C">
      <w:pPr>
        <w:spacing w:after="200" w:line="360" w:lineRule="auto"/>
        <w:jc w:val="both"/>
      </w:pPr>
      <w:r>
        <w:t>The manner in which generated virtual samples are integrated with original training data significantly influences the effectiveness of GAN-based augmentation. Naive approaches that simply concatenate real and generated samples may dilute the influence of genuine data or introduce biases if generated samples exhibit systematic deviations from the true distribution. More sophisticated integration strategies consider the relative reliability of real versus generated samples, the distribution of generated samples across the input space, and the specific characteristics of the downstream regression algorithm.</w:t>
      </w:r>
    </w:p>
    <w:p w:rsidR="000F09A6" w:rsidRDefault="00C30A2C">
      <w:pPr>
        <w:spacing w:after="200" w:line="360" w:lineRule="auto"/>
        <w:jc w:val="both"/>
      </w:pPr>
      <w:r>
        <w:t>Weighted combination approaches assign different importance weights to real and generated samples during model training. These weights may be determined through cross-validation, reflecting the relative predictive value of different sample types, or based on confidence measures associated with generated samples. Samples generated with higher confidence or in regions well-represented by training data may receive weights approaching those of real samples, whilst less confident generations receive reduced weights that limit their influence on model parameters.</w:t>
      </w:r>
    </w:p>
    <w:p w:rsidR="000F09A6" w:rsidRDefault="00C30A2C">
      <w:pPr>
        <w:spacing w:after="200" w:line="360" w:lineRule="auto"/>
        <w:jc w:val="both"/>
      </w:pPr>
      <w:r>
        <w:t>Iterative augmentation and training schemes interleave sample generation with model development, using feedback from trained models to guide subsequent generation. Generated samples producing large prediction errors may indicate poor generation quality in those regions, prompting regeneration or exclusion. Conversely, samples that improve model performance on validation data confirm beneficial augmentation. These feedback mechanisms enable adaptive refinement of the augmented dataset, progressively improving both generation quality and downstream model performance.</w:t>
      </w:r>
    </w:p>
    <w:p w:rsidR="000F09A6" w:rsidRDefault="00C30A2C">
      <w:pPr>
        <w:pStyle w:val="Heading2"/>
        <w:spacing w:before="400" w:after="200"/>
      </w:pPr>
      <w:r>
        <w:rPr>
          <w:b/>
          <w:bCs/>
        </w:rPr>
        <w:t>5.2 Regression Algorithms for Augmented Data</w:t>
      </w:r>
    </w:p>
    <w:p w:rsidR="000F09A6" w:rsidRDefault="00C30A2C">
      <w:pPr>
        <w:spacing w:after="200" w:line="360" w:lineRule="auto"/>
        <w:jc w:val="both"/>
      </w:pPr>
      <w:r>
        <w:t xml:space="preserve">The selection of regression algorithms for training on GAN-augmented datasets requires consideration of algorithm characteristics and their interaction with properties of generated </w:t>
      </w:r>
      <w:r>
        <w:lastRenderedPageBreak/>
        <w:t>data. Different algorithms exhibit varying sensitivity to potential imperfections in generated samples, such as slight distributional shifts or noise in generated target values. Robust algorithms that tolerate moderate deviations from ideal conditions may prove preferable to methods that achieve higher accuracy on clean data but degrade significantly when data quality is compromised.</w:t>
      </w:r>
    </w:p>
    <w:p w:rsidR="000F09A6" w:rsidRDefault="00C30A2C">
      <w:pPr>
        <w:spacing w:after="200" w:line="360" w:lineRule="auto"/>
        <w:jc w:val="both"/>
      </w:pPr>
      <w:r>
        <w:t xml:space="preserve">Support vector regression (SVR) has demonstrated particular compatibility with GAN-augmented datasets in small-sample contexts. SVR's theoretical foundations in statistical learning theory provide performance guarantees even for limited sample sizes, whilst the kernel trick enables nonlinear modelling without explicit feature engineering. The </w:t>
      </w:r>
      <w:proofErr w:type="spellStart"/>
      <w:r>
        <w:t>regularisation</w:t>
      </w:r>
      <w:proofErr w:type="spellEnd"/>
      <w:r>
        <w:t xml:space="preserve"> inherent in SVR formulations provides robustness to noise in generated samples, and the sparse solution involving only support vectors reduces sensitivity to generated samples far from decision boundaries (Chen et al., 2021).</w:t>
      </w:r>
    </w:p>
    <w:p w:rsidR="000F09A6" w:rsidRDefault="00C30A2C">
      <w:pPr>
        <w:spacing w:after="200" w:line="360" w:lineRule="auto"/>
        <w:jc w:val="both"/>
      </w:pPr>
      <w:r>
        <w:t xml:space="preserve">Ensemble methods, including random forests, gradient boosting machines, and their variants such as </w:t>
      </w:r>
      <w:proofErr w:type="spellStart"/>
      <w:r>
        <w:t>XGBoost</w:t>
      </w:r>
      <w:proofErr w:type="spellEnd"/>
      <w:r>
        <w:t xml:space="preserve"> and </w:t>
      </w:r>
      <w:proofErr w:type="spellStart"/>
      <w:r>
        <w:t>CatBoost</w:t>
      </w:r>
      <w:proofErr w:type="spellEnd"/>
      <w:r>
        <w:t xml:space="preserve">, offer advantages through aggregation of multiple base learners. The averaging or voting mechanisms inherent in ensembles provide natural </w:t>
      </w:r>
      <w:proofErr w:type="spellStart"/>
      <w:r>
        <w:t>regularisation</w:t>
      </w:r>
      <w:proofErr w:type="spellEnd"/>
      <w:r>
        <w:t xml:space="preserve"> that can mitigate the effects of individual low-quality generated samples. Furthermore, ensemble methods' capacity to capture complex nonlinear relationships aligns well with the potentially complex distributions learned by GAN generators. Comparative studies have demonstrated competitive performance of ensemble methods on GAN-augmented datasets across diverse application domains (Shen et al., 2022).</w:t>
      </w:r>
    </w:p>
    <w:p w:rsidR="000F09A6" w:rsidRDefault="00C30A2C">
      <w:pPr>
        <w:spacing w:after="200" w:line="360" w:lineRule="auto"/>
        <w:jc w:val="both"/>
      </w:pPr>
      <w:r>
        <w:t xml:space="preserve">Neural network regressors present an interesting case for training on GAN-augmented data. As GANs themselves employ neural network architectures, there exists architectural similarity between the generator and potential downstream models. This similarity may facilitate transfer of learned representations or enable end-to-end training schemes that jointly </w:t>
      </w:r>
      <w:proofErr w:type="spellStart"/>
      <w:r>
        <w:t>optimise</w:t>
      </w:r>
      <w:proofErr w:type="spellEnd"/>
      <w:r>
        <w:t xml:space="preserve"> generation and regression. However, neural networks' tendency to overfit on small datasets necessitates careful </w:t>
      </w:r>
      <w:proofErr w:type="spellStart"/>
      <w:r>
        <w:t>regularisation</w:t>
      </w:r>
      <w:proofErr w:type="spellEnd"/>
      <w:r>
        <w:t xml:space="preserve"> and validation when working with augmented datasets where the effective sample size may be artificially inflated by generated samples of limited diversity.</w:t>
      </w:r>
    </w:p>
    <w:p w:rsidR="000F09A6" w:rsidRDefault="00C30A2C">
      <w:pPr>
        <w:pStyle w:val="Heading2"/>
        <w:spacing w:before="400" w:after="200"/>
      </w:pPr>
      <w:r>
        <w:rPr>
          <w:b/>
          <w:bCs/>
        </w:rPr>
        <w:t>5.3 Semi-Supervised and Self-Training Approaches</w:t>
      </w:r>
    </w:p>
    <w:p w:rsidR="000F09A6" w:rsidRDefault="00C30A2C">
      <w:pPr>
        <w:spacing w:after="200" w:line="360" w:lineRule="auto"/>
        <w:jc w:val="both"/>
      </w:pPr>
      <w:r>
        <w:t xml:space="preserve">GAN-based augmentation can be productively combined with semi-supervised learning frameworks that leverage both labelled and </w:t>
      </w:r>
      <w:proofErr w:type="spellStart"/>
      <w:r>
        <w:t>unlabelled</w:t>
      </w:r>
      <w:proofErr w:type="spellEnd"/>
      <w:r>
        <w:t xml:space="preserve"> data. In many practical scenarios, </w:t>
      </w:r>
      <w:r>
        <w:lastRenderedPageBreak/>
        <w:t>whilst labelled samples with measured target values are scarce, unlabelled input samples may be more readily available. Semi-supervised extensions of GAN frameworks enable leveraging this unlabelled data to improve both generation quality and downstream regression performance. The discriminator learns from the full data distribution, including unlabelled samples, potentially improving its capacity to distinguish realistic from unrealistic generations.</w:t>
      </w:r>
    </w:p>
    <w:p w:rsidR="000F09A6" w:rsidRDefault="00C30A2C">
      <w:pPr>
        <w:spacing w:after="200" w:line="360" w:lineRule="auto"/>
        <w:jc w:val="both"/>
      </w:pPr>
      <w:r>
        <w:t>Self-training approaches iteratively expand the labelled dataset by using predictions from trained models to assign labels to previously unlabelled samples. When combined with GAN-based augmentation, self-training creates a pipeline wherein generated samples and pseudo-labelled real samples jointly expand the effective training set. The GAN may be retrained on this expanded set, potentially improving generation quality through access to additional labelled examples. Careful confidence thresholding for pseudo-label assignment prevents error propagation that could degrade model quality across iterations (Tian et al., 2021).</w:t>
      </w:r>
    </w:p>
    <w:p w:rsidR="000F09A6" w:rsidRDefault="00C30A2C">
      <w:pPr>
        <w:spacing w:after="200" w:line="360" w:lineRule="auto"/>
        <w:jc w:val="both"/>
      </w:pPr>
      <w:r>
        <w:t>Co-training frameworks employ multiple learners trained on different views or feature subsets of the data, with each learner providing labels for unlabelled samples that expand training sets for other learners. GAN-generated samples can be incorporated into co-training schemes, with the generator providing an additional source of training instances. The diversity of perspectives provided by multiple learners helps identify and filter low-quality generated samples that produce inconsistent predictions across learners, improving the overall reliability of the augmented training process (Zhu et al., 2023).</w:t>
      </w:r>
    </w:p>
    <w:p w:rsidR="000F09A6" w:rsidRDefault="00C30A2C">
      <w:pPr>
        <w:pStyle w:val="Heading1"/>
        <w:spacing w:before="400" w:after="200"/>
      </w:pPr>
      <w:r>
        <w:rPr>
          <w:b/>
          <w:bCs/>
          <w:sz w:val="28"/>
          <w:szCs w:val="28"/>
        </w:rPr>
        <w:t>6. Training Stability and Mode Collapse Considerations</w:t>
      </w:r>
    </w:p>
    <w:p w:rsidR="000F09A6" w:rsidRDefault="00C30A2C">
      <w:pPr>
        <w:pStyle w:val="Heading2"/>
        <w:spacing w:before="400" w:after="200"/>
      </w:pPr>
      <w:r>
        <w:rPr>
          <w:b/>
          <w:bCs/>
        </w:rPr>
        <w:t>6.1 Mode Collapse in GAN Training</w:t>
      </w:r>
    </w:p>
    <w:p w:rsidR="000F09A6" w:rsidRDefault="00C30A2C">
      <w:pPr>
        <w:spacing w:after="200" w:line="360" w:lineRule="auto"/>
        <w:jc w:val="both"/>
      </w:pPr>
      <w:r>
        <w:t>Mode collapse represents one of the most significant challenges in GAN training, occurring when the generator learns to produce only a limited variety of samples that successfully deceive the discriminator rather than capturing the full diversity of the training distribution. In mode collapse scenarios, the generator converges to producing near-identical outputs regardless of input noise vectors, effectively losing the ability to generate diverse samples. This failure mode proves particularly problematic for data augmentation applications where sample diversity is essential for effective training set expansion (Mu et al., 2022).</w:t>
      </w:r>
    </w:p>
    <w:p w:rsidR="000F09A6" w:rsidRDefault="00C30A2C">
      <w:pPr>
        <w:spacing w:after="200" w:line="360" w:lineRule="auto"/>
        <w:jc w:val="both"/>
      </w:pPr>
      <w:r>
        <w:lastRenderedPageBreak/>
        <w:t>The dynamics underlying mode collapse involve the generator finding a local equilibrium wherein particular outputs consistently fool the discriminator. The discriminator, in attempting to catch these deceptive samples, over-</w:t>
      </w:r>
      <w:proofErr w:type="spellStart"/>
      <w:r>
        <w:t>specialises</w:t>
      </w:r>
      <w:proofErr w:type="spellEnd"/>
      <w:r>
        <w:t xml:space="preserve"> to reject them, creating pressure for the generator to shift to different outputs. This cycling between modes produces training instability and prevents convergence to solutions that capture the full data distribution. The phenomenon manifests with particular severity when training data is limited, as small datasets provide fewer distinct targets for the discriminator to distinguish and fewer modes for the generator to learn.</w:t>
      </w:r>
    </w:p>
    <w:p w:rsidR="000F09A6" w:rsidRDefault="00C30A2C">
      <w:pPr>
        <w:spacing w:after="200" w:line="360" w:lineRule="auto"/>
        <w:jc w:val="both"/>
      </w:pPr>
      <w:r>
        <w:t xml:space="preserve">For regression applications, mode collapse may manifest as generated samples clustering around specific regions of the input-output space, failing to provide coverage across the full range of conditions present in training data. A generator exhibiting mode collapse might, for instance, produce samples concentrated around mean feature values or targeting particular output ranges, leaving other regions </w:t>
      </w:r>
      <w:proofErr w:type="spellStart"/>
      <w:r>
        <w:t>unaugmented</w:t>
      </w:r>
      <w:proofErr w:type="spellEnd"/>
      <w:r>
        <w:t>. Detecting mode collapse requires careful examination of generated sample distributions, with metrics such as the number of distinct bins (NDB) providing quantitative assessment of generation diversity (Saad et al., 2022).</w:t>
      </w:r>
    </w:p>
    <w:p w:rsidR="000F09A6" w:rsidRDefault="00C30A2C">
      <w:pPr>
        <w:pStyle w:val="Heading2"/>
        <w:spacing w:before="400" w:after="200"/>
      </w:pPr>
      <w:r>
        <w:rPr>
          <w:b/>
          <w:bCs/>
        </w:rPr>
        <w:t>6.2 Mitigation Strategies</w:t>
      </w:r>
    </w:p>
    <w:p w:rsidR="000F09A6" w:rsidRDefault="00C30A2C">
      <w:pPr>
        <w:spacing w:after="200" w:line="360" w:lineRule="auto"/>
        <w:jc w:val="both"/>
      </w:pPr>
      <w:r>
        <w:t>Numerous strategies have been developed to mitigate mode collapse and improve GAN training stability, with several proving particularly relevant for small-sample regression applications. The Wasserstein distance formulation, discussed previously, addresses mode collapse at a fundamental level by providing meaningful gradients even when generated and real distributions have limited overlap. The improved gradient properties of WGAN training enable the generator to receive useful learning signals throughout training, reducing tendency towards mode collapse.</w:t>
      </w:r>
    </w:p>
    <w:p w:rsidR="000F09A6" w:rsidRDefault="00C30A2C">
      <w:pPr>
        <w:spacing w:after="200" w:line="360" w:lineRule="auto"/>
        <w:jc w:val="both"/>
      </w:pPr>
      <w:r>
        <w:t xml:space="preserve">Mini-batch discrimination introduces mechanisms for the discriminator to examine relationships between samples within a mini-batch rather than evaluating each sample independently. This architectural modification enables the discriminator to detect when generated samples lack diversity, providing explicit signals that </w:t>
      </w:r>
      <w:proofErr w:type="spellStart"/>
      <w:r>
        <w:t>penalise</w:t>
      </w:r>
      <w:proofErr w:type="spellEnd"/>
      <w:r>
        <w:t xml:space="preserve"> mode collapse. When the generator produces similar samples across a mini-batch, the discriminator can identify this lack of diversity and reject the batch, creating pressure for more diverse generation (</w:t>
      </w:r>
      <w:proofErr w:type="spellStart"/>
      <w:r>
        <w:t>Salimans</w:t>
      </w:r>
      <w:proofErr w:type="spellEnd"/>
      <w:r>
        <w:t xml:space="preserve"> et al., 2016).</w:t>
      </w:r>
    </w:p>
    <w:p w:rsidR="000F09A6" w:rsidRDefault="00C30A2C">
      <w:pPr>
        <w:spacing w:after="200" w:line="360" w:lineRule="auto"/>
        <w:jc w:val="both"/>
      </w:pPr>
      <w:r>
        <w:lastRenderedPageBreak/>
        <w:t xml:space="preserve">Feature matching modifies the generator's objective to match feature statistics computed by the discriminator rather than directly </w:t>
      </w:r>
      <w:proofErr w:type="spellStart"/>
      <w:r>
        <w:t>maximising</w:t>
      </w:r>
      <w:proofErr w:type="spellEnd"/>
      <w:r>
        <w:t xml:space="preserve"> discriminator classification errors. By targeting intermediate-layer feature distributions, this approach reduces sensitivity to discriminator over-fitting and provides more stable training signals. The generator learns to produce samples whose feature representations match those of real data, indirectly encouraging generation of samples across the full data distribution rather than focusing on particular modes that </w:t>
      </w:r>
      <w:proofErr w:type="spellStart"/>
      <w:r>
        <w:t>maximise</w:t>
      </w:r>
      <w:proofErr w:type="spellEnd"/>
      <w:r>
        <w:t xml:space="preserve"> discriminator confusion.</w:t>
      </w:r>
    </w:p>
    <w:p w:rsidR="000F09A6" w:rsidRDefault="00C30A2C">
      <w:pPr>
        <w:spacing w:after="200" w:line="360" w:lineRule="auto"/>
        <w:jc w:val="both"/>
      </w:pPr>
      <w:r>
        <w:t xml:space="preserve">Unrolled GAN training addresses mode collapse by having the generator anticipate discriminator updates when computing its gradients. Rather than responding to the current discriminator state, the generator considers how the discriminator will adapt to its current generation strategy, enabling it to find more stable equilibria. This forward-looking </w:t>
      </w:r>
      <w:proofErr w:type="spellStart"/>
      <w:r>
        <w:t>optimisation</w:t>
      </w:r>
      <w:proofErr w:type="spellEnd"/>
      <w:r>
        <w:t xml:space="preserve"> reduces the cycling </w:t>
      </w:r>
      <w:proofErr w:type="spellStart"/>
      <w:r>
        <w:t>behaviour</w:t>
      </w:r>
      <w:proofErr w:type="spellEnd"/>
      <w:r>
        <w:t xml:space="preserve"> characteristic of mode collapse, though at increased computational cost that may prove prohibitive for resource-constrained applications (Metz et al., 2017).</w:t>
      </w:r>
    </w:p>
    <w:p w:rsidR="000F09A6" w:rsidRDefault="00C30A2C">
      <w:pPr>
        <w:pStyle w:val="Heading2"/>
        <w:spacing w:before="400" w:after="200"/>
      </w:pPr>
      <w:r>
        <w:rPr>
          <w:b/>
          <w:bCs/>
        </w:rPr>
        <w:t xml:space="preserve">6.3 </w:t>
      </w:r>
      <w:proofErr w:type="spellStart"/>
      <w:r>
        <w:rPr>
          <w:b/>
          <w:bCs/>
        </w:rPr>
        <w:t>Regularisation</w:t>
      </w:r>
      <w:proofErr w:type="spellEnd"/>
      <w:r>
        <w:rPr>
          <w:b/>
          <w:bCs/>
        </w:rPr>
        <w:t xml:space="preserve"> Techniques</w:t>
      </w:r>
    </w:p>
    <w:p w:rsidR="000F09A6" w:rsidRDefault="00C30A2C">
      <w:pPr>
        <w:spacing w:after="200" w:line="360" w:lineRule="auto"/>
        <w:jc w:val="both"/>
      </w:pPr>
      <w:proofErr w:type="spellStart"/>
      <w:r>
        <w:t>Regularisation</w:t>
      </w:r>
      <w:proofErr w:type="spellEnd"/>
      <w:r>
        <w:t xml:space="preserve"> techniques applied to discriminator and generator networks contribute to training stability and generation quality. Spectral </w:t>
      </w:r>
      <w:proofErr w:type="spellStart"/>
      <w:r>
        <w:t>normalisation</w:t>
      </w:r>
      <w:proofErr w:type="spellEnd"/>
      <w:r>
        <w:t xml:space="preserve"> constrains discriminator weight matrices to have spectral norm bounded by one, controlling the Lipschitz constant of the discriminator function. This constraint improves training stability by preventing discriminator weights from growing unboundedly and provides theoretical guarantees related to the Wasserstein distance approximation (</w:t>
      </w:r>
      <w:proofErr w:type="spellStart"/>
      <w:r>
        <w:t>Miyato</w:t>
      </w:r>
      <w:proofErr w:type="spellEnd"/>
      <w:r>
        <w:t xml:space="preserve"> et al., 2018).</w:t>
      </w:r>
    </w:p>
    <w:p w:rsidR="000F09A6" w:rsidRDefault="00C30A2C">
      <w:pPr>
        <w:spacing w:after="200" w:line="360" w:lineRule="auto"/>
        <w:jc w:val="both"/>
      </w:pPr>
      <w:r>
        <w:t xml:space="preserve">Dropout and other stochastic </w:t>
      </w:r>
      <w:proofErr w:type="spellStart"/>
      <w:r>
        <w:t>regularisation</w:t>
      </w:r>
      <w:proofErr w:type="spellEnd"/>
      <w:r>
        <w:t xml:space="preserve"> techniques, applied particularly to the discriminator, prevent over-fitting to limited training data and provide implicit noise injection that improves training robustness. For small-sample applications, discriminator over-fitting represents a significant concern; with few training samples, the discriminator may </w:t>
      </w:r>
      <w:proofErr w:type="spellStart"/>
      <w:r>
        <w:t>memorise</w:t>
      </w:r>
      <w:proofErr w:type="spellEnd"/>
      <w:r>
        <w:t xml:space="preserve"> individual instances rather than learning </w:t>
      </w:r>
      <w:proofErr w:type="spellStart"/>
      <w:r>
        <w:t>generalisable</w:t>
      </w:r>
      <w:proofErr w:type="spellEnd"/>
      <w:r>
        <w:t xml:space="preserve"> features distinguishing real from synthetic data. </w:t>
      </w:r>
      <w:proofErr w:type="spellStart"/>
      <w:r>
        <w:t>Regularisation</w:t>
      </w:r>
      <w:proofErr w:type="spellEnd"/>
      <w:r>
        <w:t xml:space="preserve"> that prevents such </w:t>
      </w:r>
      <w:proofErr w:type="spellStart"/>
      <w:r>
        <w:t>memorisation</w:t>
      </w:r>
      <w:proofErr w:type="spellEnd"/>
      <w:r>
        <w:t xml:space="preserve"> is therefore essential for effective training.</w:t>
      </w:r>
    </w:p>
    <w:p w:rsidR="000F09A6" w:rsidRDefault="00C30A2C">
      <w:pPr>
        <w:spacing w:after="200" w:line="360" w:lineRule="auto"/>
        <w:jc w:val="both"/>
      </w:pPr>
      <w:r>
        <w:t xml:space="preserve">Data augmentation applied to discriminator inputs, including random transformations of both real and generated samples, provides an additional </w:t>
      </w:r>
      <w:proofErr w:type="spellStart"/>
      <w:r>
        <w:t>regularisation</w:t>
      </w:r>
      <w:proofErr w:type="spellEnd"/>
      <w:r>
        <w:t xml:space="preserve"> mechanism. The differentiable augmentation (</w:t>
      </w:r>
      <w:proofErr w:type="spellStart"/>
      <w:r>
        <w:t>DiffAugment</w:t>
      </w:r>
      <w:proofErr w:type="spellEnd"/>
      <w:r>
        <w:t xml:space="preserve">) approach applies identical random </w:t>
      </w:r>
      <w:r>
        <w:lastRenderedPageBreak/>
        <w:t>transformations to real and generated samples before discriminator evaluation, preventing the discriminator from using transformation-specific features for classification. This approach has demonstrated significant improvements for GAN training with limited data, enabling successful training with as few as 100 training samples in some contexts (Zhao et al., 2020).</w:t>
      </w:r>
    </w:p>
    <w:p w:rsidR="000F09A6" w:rsidRDefault="00C30A2C">
      <w:pPr>
        <w:pStyle w:val="Heading1"/>
        <w:spacing w:before="400" w:after="200"/>
      </w:pPr>
      <w:r>
        <w:rPr>
          <w:b/>
          <w:bCs/>
          <w:sz w:val="28"/>
          <w:szCs w:val="28"/>
        </w:rPr>
        <w:t>7. Application Domains and Case Studies</w:t>
      </w:r>
    </w:p>
    <w:p w:rsidR="000F09A6" w:rsidRDefault="00C30A2C">
      <w:pPr>
        <w:pStyle w:val="Heading2"/>
        <w:spacing w:before="400" w:after="200"/>
      </w:pPr>
      <w:r>
        <w:rPr>
          <w:b/>
          <w:bCs/>
        </w:rPr>
        <w:t>7.1 Soft Sensor Development in Process Industries</w:t>
      </w:r>
    </w:p>
    <w:p w:rsidR="000F09A6" w:rsidRDefault="00C30A2C">
      <w:pPr>
        <w:spacing w:after="200" w:line="360" w:lineRule="auto"/>
        <w:jc w:val="both"/>
      </w:pPr>
      <w:r>
        <w:t>Soft sensors, which employ mathematical models to estimate difficult-to-measure process variables from readily available measurements, represent a prominent application domain for GAN-based augmentation in small-sample regression. In chemical and manufacturing processes, quality variables often require expensive or time-delayed laboratory analysis, severely limiting the quantity of available labelled data for model development. GAN-based VSG has demonstrated substantial utility in expanding these limited datasets, enabling development of more accurate soft sensor models (Zhu et al., 2021).</w:t>
      </w:r>
    </w:p>
    <w:p w:rsidR="000F09A6" w:rsidRDefault="00C30A2C">
      <w:pPr>
        <w:spacing w:after="200" w:line="360" w:lineRule="auto"/>
        <w:jc w:val="both"/>
      </w:pPr>
      <w:r>
        <w:t xml:space="preserve">The purified terephthalic acid (PTA) production process has served as a benchmark application for evaluating GAN-based soft sensor development. This process involves oxidation and purification reactions with quality variables that must be measured offline, resulting in limited labelled samples for soft sensor training. Studies have demonstrated that conditional WGAN architectures with embedded regressors can effectively augment training sets, improving soft sensor prediction accuracy compared to models trained on original data alone. Validation across diverse operating conditions confirms the </w:t>
      </w:r>
      <w:proofErr w:type="spellStart"/>
      <w:r>
        <w:t>generalisation</w:t>
      </w:r>
      <w:proofErr w:type="spellEnd"/>
      <w:r>
        <w:t xml:space="preserve"> capability of models trained on augmented datasets (Chen et al., 2021).</w:t>
      </w:r>
    </w:p>
    <w:p w:rsidR="000F09A6" w:rsidRDefault="00C30A2C">
      <w:pPr>
        <w:spacing w:after="200" w:line="360" w:lineRule="auto"/>
        <w:jc w:val="both"/>
      </w:pPr>
      <w:r>
        <w:t>Fermentation processes present similar challenges, with product quality measurements requiring time-consuming assays whilst process dynamics demand adaptive modelling capabilities. GAN-based augmentation enables development of soft sensors that maintain accuracy across varying fermentation conditions, supporting real-time quality monitoring and control. The ability to generate virtual samples representing diverse process states proves particularly valuable for fermentation applications where batch-to-batch variability creates natural data scarcity for specific operating regimes.</w:t>
      </w:r>
    </w:p>
    <w:p w:rsidR="000F09A6" w:rsidRDefault="00C30A2C">
      <w:pPr>
        <w:pStyle w:val="Heading2"/>
        <w:spacing w:before="400" w:after="200"/>
      </w:pPr>
      <w:r>
        <w:rPr>
          <w:b/>
          <w:bCs/>
        </w:rPr>
        <w:t>7.2 Materials Science and Engineering</w:t>
      </w:r>
    </w:p>
    <w:p w:rsidR="000F09A6" w:rsidRDefault="00C30A2C">
      <w:pPr>
        <w:spacing w:after="200" w:line="360" w:lineRule="auto"/>
        <w:jc w:val="both"/>
      </w:pPr>
      <w:r>
        <w:lastRenderedPageBreak/>
        <w:t xml:space="preserve">Materials development inherently involves expensive and time-consuming experimental </w:t>
      </w:r>
      <w:proofErr w:type="spellStart"/>
      <w:r>
        <w:t>characterisation</w:t>
      </w:r>
      <w:proofErr w:type="spellEnd"/>
      <w:r>
        <w:t xml:space="preserve">, creating natural small-sample scenarios for property prediction modelling. GAN-based augmentation has demonstrated utility across diverse materials applications, from predicting mechanical properties of polymers to estimating thermal characteristics of composites. Empirical studies combining GANs with </w:t>
      </w:r>
      <w:proofErr w:type="spellStart"/>
      <w:r>
        <w:t>normalising</w:t>
      </w:r>
      <w:proofErr w:type="spellEnd"/>
      <w:r>
        <w:t xml:space="preserve"> flow models have shown that data augmentation can significantly improve materials informatics predictions, particularly when training data is limited (Ohno, 2020). The approach enables construction of predictive models that support materials design and </w:t>
      </w:r>
      <w:proofErr w:type="spellStart"/>
      <w:r>
        <w:t>optimisation</w:t>
      </w:r>
      <w:proofErr w:type="spellEnd"/>
      <w:r>
        <w:t xml:space="preserve"> despite limited experimental data (Wang et al., 2023).</w:t>
      </w:r>
    </w:p>
    <w:p w:rsidR="000F09A6" w:rsidRDefault="00C30A2C">
      <w:pPr>
        <w:spacing w:after="200" w:line="360" w:lineRule="auto"/>
        <w:jc w:val="both"/>
      </w:pPr>
      <w:r>
        <w:t>Rubber materials present a case study where GAN-based augmentation has demonstrated significant value. Predicting wear resistance and mechanical properties from composition and processing parameters requires extensive testing, with each test potentially consuming material samples. Studies employing GAN-based VSG combined with ensemble regression methods have achieved substantially improved prediction accuracy compared to models trained solely on limited original datasets, enabling more efficient exploration of rubber formulation spaces (Shen et al., 2022).</w:t>
      </w:r>
    </w:p>
    <w:p w:rsidR="000F09A6" w:rsidRDefault="00C30A2C">
      <w:pPr>
        <w:spacing w:after="200" w:line="360" w:lineRule="auto"/>
        <w:jc w:val="both"/>
      </w:pPr>
      <w:r>
        <w:t xml:space="preserve">Thermal barrier coating development exemplifies applications where physical constraints severely limit experimental sample availability. The high cost and complexity of coating deposition processes, combined with destructive testing requirements, create scenarios with extremely limited training data. GAN-based augmentation has enabled development of predictive models for coating performance that support </w:t>
      </w:r>
      <w:proofErr w:type="spellStart"/>
      <w:r>
        <w:t>optimisation</w:t>
      </w:r>
      <w:proofErr w:type="spellEnd"/>
      <w:r>
        <w:t xml:space="preserve"> of deposition parameters, demonstrating practical utility even with training sets of fewer than ten original samples when augmented with appropriately generated virtual samples.</w:t>
      </w:r>
    </w:p>
    <w:p w:rsidR="000F09A6" w:rsidRDefault="00C30A2C">
      <w:pPr>
        <w:pStyle w:val="Heading2"/>
        <w:spacing w:before="400" w:after="200"/>
      </w:pPr>
      <w:r>
        <w:rPr>
          <w:b/>
          <w:bCs/>
        </w:rPr>
        <w:t>7.3 Biomedical and Clinical Applications</w:t>
      </w:r>
    </w:p>
    <w:p w:rsidR="000F09A6" w:rsidRDefault="00C30A2C">
      <w:pPr>
        <w:spacing w:after="200" w:line="360" w:lineRule="auto"/>
        <w:jc w:val="both"/>
      </w:pPr>
      <w:r>
        <w:t xml:space="preserve">Biomedical applications frequently encounter small-sample scenarios due to ethical constraints on data collection, patient privacy requirements, and the rarity of specific conditions. GAN-based augmentation has been explored for clinical trial data expansion, physiological signal modelling, and disease outcome prediction. </w:t>
      </w:r>
      <w:proofErr w:type="spellStart"/>
      <w:r>
        <w:t>CycleGAN</w:t>
      </w:r>
      <w:proofErr w:type="spellEnd"/>
      <w:r>
        <w:t xml:space="preserve"> architectures have demonstrated effectiveness in improving </w:t>
      </w:r>
      <w:proofErr w:type="spellStart"/>
      <w:r>
        <w:t>generalisability</w:t>
      </w:r>
      <w:proofErr w:type="spellEnd"/>
      <w:r>
        <w:t xml:space="preserve"> of CT segmentation tasks through cross-domain augmentation, enabling models to perform consistently across different imaging protocols and scanner types (</w:t>
      </w:r>
      <w:proofErr w:type="spellStart"/>
      <w:r>
        <w:t>Sandfort</w:t>
      </w:r>
      <w:proofErr w:type="spellEnd"/>
      <w:r>
        <w:t xml:space="preserve"> et al., 2019). These applications require </w:t>
      </w:r>
      <w:r>
        <w:lastRenderedPageBreak/>
        <w:t>particular attention to maintaining realistic physiological relationships and avoiding generation of samples representing impossible or clinically implausible scenarios (</w:t>
      </w:r>
      <w:proofErr w:type="spellStart"/>
      <w:r>
        <w:t>Tschuchnig</w:t>
      </w:r>
      <w:proofErr w:type="spellEnd"/>
      <w:r>
        <w:t xml:space="preserve"> &amp; </w:t>
      </w:r>
      <w:proofErr w:type="spellStart"/>
      <w:r>
        <w:t>Gadermayr</w:t>
      </w:r>
      <w:proofErr w:type="spellEnd"/>
      <w:r>
        <w:t>, 2021).</w:t>
      </w:r>
    </w:p>
    <w:p w:rsidR="000F09A6" w:rsidRDefault="00C30A2C">
      <w:pPr>
        <w:spacing w:after="200" w:line="360" w:lineRule="auto"/>
        <w:jc w:val="both"/>
      </w:pPr>
      <w:r>
        <w:t>Variational autoencoders have demonstrated particular promise for clinical data augmentation, with their probabilistic framework providing natural mechanisms for uncertainty quantification in generated samples. Studies have shown that VAE-generated clinical data exhibit similar statistical properties to original data whilst enabling effective sample size expansion for model training. The application of these methods to clinical trials has potential to reduce required sample sizes whilst maintaining statistical power, addressing both ethical and practical concerns around clinical research (</w:t>
      </w:r>
      <w:proofErr w:type="spellStart"/>
      <w:r>
        <w:t>Tsialiamanis</w:t>
      </w:r>
      <w:proofErr w:type="spellEnd"/>
      <w:r>
        <w:t xml:space="preserve"> et al., 2023).</w:t>
      </w:r>
    </w:p>
    <w:p w:rsidR="000F09A6" w:rsidRDefault="00C30A2C">
      <w:pPr>
        <w:pStyle w:val="Heading1"/>
        <w:spacing w:before="400" w:after="200"/>
      </w:pPr>
      <w:r>
        <w:rPr>
          <w:b/>
          <w:bCs/>
          <w:sz w:val="28"/>
          <w:szCs w:val="28"/>
        </w:rPr>
        <w:t>8. Comparison with Alternative Generative Approaches</w:t>
      </w:r>
    </w:p>
    <w:p w:rsidR="000F09A6" w:rsidRDefault="00C30A2C">
      <w:pPr>
        <w:pStyle w:val="Heading2"/>
        <w:spacing w:before="400" w:after="200"/>
      </w:pPr>
      <w:r>
        <w:rPr>
          <w:b/>
          <w:bCs/>
        </w:rPr>
        <w:t>8.1 Variational Autoencoders</w:t>
      </w:r>
    </w:p>
    <w:p w:rsidR="000F09A6" w:rsidRDefault="00C30A2C">
      <w:pPr>
        <w:spacing w:after="200" w:line="360" w:lineRule="auto"/>
        <w:jc w:val="both"/>
      </w:pPr>
      <w:r>
        <w:t xml:space="preserve">Variational autoencoders (VAEs) represent the primary alternative to GANs for deep learning-based data generation. VAEs employ an encoder-decoder architecture wherein the encoder maps input data to a latent space modelled as a probability distribution, and the decoder reconstructs data from latent samples. Unlike GANs, VAEs are trained through explicit likelihood </w:t>
      </w:r>
      <w:proofErr w:type="spellStart"/>
      <w:r>
        <w:t>maximisation</w:t>
      </w:r>
      <w:proofErr w:type="spellEnd"/>
      <w:r>
        <w:t>, providing stable training dynamics and interpretable latent representations (</w:t>
      </w:r>
      <w:proofErr w:type="spellStart"/>
      <w:r>
        <w:t>Kingma</w:t>
      </w:r>
      <w:proofErr w:type="spellEnd"/>
      <w:r>
        <w:t xml:space="preserve"> &amp; Welling, 2014).</w:t>
      </w:r>
    </w:p>
    <w:p w:rsidR="000F09A6" w:rsidRDefault="00C30A2C">
      <w:pPr>
        <w:spacing w:after="200" w:line="360" w:lineRule="auto"/>
        <w:jc w:val="both"/>
      </w:pPr>
      <w:r>
        <w:t>The comparative advantages of VAEs include training stability, principled handling of uncertainty through probabilistic latent representations, and the ability to perform both generation and inference. VAE training does not suffer from mode collapse in the manner characteristic of GANs, as the reconstruction objective provides consistent learning signals throughout training. For small-sample applications, VAE training stability proves particularly valuable, reducing the risk of complete training failure that can occur with GANs when data is severely limited.</w:t>
      </w:r>
    </w:p>
    <w:p w:rsidR="000F09A6" w:rsidRDefault="00C30A2C">
      <w:pPr>
        <w:spacing w:after="200" w:line="360" w:lineRule="auto"/>
        <w:jc w:val="both"/>
      </w:pPr>
      <w:r>
        <w:t xml:space="preserve">However, VAEs typically produce samples of lower fidelity compared to well-trained GANs, with generated samples often appearing blurred or smoothed. This limitation arises from the pixel-wise reconstruction loss commonly employed in VAE training, which can produce samples that average over multiple modes rather than capturing sharp details. For regression applications where precise feature values matter, this smoothing effect may introduce biases </w:t>
      </w:r>
      <w:r>
        <w:lastRenderedPageBreak/>
        <w:t>in generated samples that affect downstream model performance. Hybrid approaches combining VAE and GAN components, such as VAE-GAN architectures, attempt to leverage advantages of both frameworks (</w:t>
      </w:r>
      <w:proofErr w:type="spellStart"/>
      <w:r>
        <w:t>Chadebec</w:t>
      </w:r>
      <w:proofErr w:type="spellEnd"/>
      <w:r>
        <w:t xml:space="preserve"> et al., 2023).</w:t>
      </w:r>
    </w:p>
    <w:p w:rsidR="000F09A6" w:rsidRDefault="00C30A2C">
      <w:pPr>
        <w:pStyle w:val="Heading2"/>
        <w:spacing w:before="400" w:after="200"/>
      </w:pPr>
      <w:r>
        <w:rPr>
          <w:b/>
          <w:bCs/>
        </w:rPr>
        <w:t>8.2 Diffusion Models</w:t>
      </w:r>
    </w:p>
    <w:p w:rsidR="000F09A6" w:rsidRDefault="00C30A2C">
      <w:pPr>
        <w:spacing w:after="200" w:line="360" w:lineRule="auto"/>
        <w:jc w:val="both"/>
      </w:pPr>
      <w:r>
        <w:t>Diffusion models have emerged as a powerful alternative to GANs, achieving state-of-the-art generation quality across numerous domains. These models operate by learning to reverse a gradual noise-addition process, enabling generation through iterative denoising of random noise. The theoretical foundations of diffusion models provide stable training dynamics without the adversarial instabilities characteristic of GANs, whilst producing high-quality, diverse samples (Ho et al., 2020).</w:t>
      </w:r>
    </w:p>
    <w:p w:rsidR="000F09A6" w:rsidRDefault="00C30A2C">
      <w:pPr>
        <w:spacing w:after="200" w:line="360" w:lineRule="auto"/>
        <w:jc w:val="both"/>
      </w:pPr>
      <w:r>
        <w:t>For data augmentation applications, diffusion models offer several advantages. Their stable training makes them more reliable for small-sample scenarios where GAN training may fail. The iterative generation process naturally avoids mode collapse by progressively refining samples from random noise rather than directly mapping noise to data space. Furthermore, diffusion models excel at capturing complex data distributions, potentially producing more accurate representations of training data characteristics than alternative approaches.</w:t>
      </w:r>
    </w:p>
    <w:p w:rsidR="000F09A6" w:rsidRDefault="00C30A2C">
      <w:pPr>
        <w:spacing w:after="200" w:line="360" w:lineRule="auto"/>
        <w:jc w:val="both"/>
      </w:pPr>
      <w:r>
        <w:t>The primary limitation of diffusion models for practical data augmentation applications is computational cost. Generation requires numerous iterative denoising steps, making sample generation substantially slower than GAN-based approaches where generation involves a single forward pass through the generator network. Recent advances including denoising diffusion GANs and latent diffusion models address this limitation through reduced iteration requirements or operation in compressed latent spaces, improving practical applicability for augmentation tasks whilst maintaining generation quality advantages (Yang et al., 2023).</w:t>
      </w:r>
    </w:p>
    <w:p w:rsidR="000F09A6" w:rsidRDefault="00C30A2C">
      <w:pPr>
        <w:pStyle w:val="Heading2"/>
        <w:spacing w:before="400" w:after="200"/>
      </w:pPr>
      <w:r>
        <w:rPr>
          <w:b/>
          <w:bCs/>
        </w:rPr>
        <w:t>8.3 Method Selection Considerations</w:t>
      </w:r>
    </w:p>
    <w:p w:rsidR="000F09A6" w:rsidRDefault="00C30A2C">
      <w:pPr>
        <w:spacing w:after="200" w:line="360" w:lineRule="auto"/>
        <w:jc w:val="both"/>
      </w:pPr>
      <w:r>
        <w:t xml:space="preserve">Selecting between GAN, VAE, and diffusion model approaches for small-sample regression augmentation depends on application-specific requirements including generation quality requirements, training data characteristics, computational constraints, and downstream task requirements. GANs offer fast generation and can capture sharp feature distributions when successfully trained, but require careful hyperparameter tuning and may fail in severely data-limited scenarios. VAEs provide reliable training and principled uncertainty handling at the </w:t>
      </w:r>
      <w:r>
        <w:lastRenderedPageBreak/>
        <w:t>cost of reduced sample fidelity. Diffusion models achieve the highest generation quality but at substantial computational expense.</w:t>
      </w:r>
    </w:p>
    <w:p w:rsidR="000F09A6" w:rsidRDefault="00C30A2C">
      <w:pPr>
        <w:spacing w:after="200" w:line="360" w:lineRule="auto"/>
        <w:jc w:val="both"/>
      </w:pPr>
      <w:r>
        <w:t>For regression applications where preserving precise numerical relationships matters, the ability to condition generation on target values proves essential. Conditional variants of all three frameworks exist, though conditional GANs are currently best established for regression applications. The choice between methods may also depend on interpretability requirements; VAEs provide interpretable latent spaces supporting analysis of learned representations, whilst GAN latent spaces typically lack such interpretability. Practitioners are advised to evaluate multiple approaches on their specific data, using downstream task performance as the ultimate criterion for method selection.</w:t>
      </w:r>
    </w:p>
    <w:p w:rsidR="000F09A6" w:rsidRDefault="00C30A2C">
      <w:pPr>
        <w:pStyle w:val="Heading1"/>
        <w:spacing w:before="400" w:after="200"/>
      </w:pPr>
      <w:r>
        <w:rPr>
          <w:b/>
          <w:bCs/>
          <w:sz w:val="28"/>
          <w:szCs w:val="28"/>
        </w:rPr>
        <w:t>9. Conclusions</w:t>
      </w:r>
    </w:p>
    <w:p w:rsidR="000F09A6" w:rsidRDefault="00C30A2C">
      <w:pPr>
        <w:spacing w:after="200" w:line="360" w:lineRule="auto"/>
        <w:jc w:val="both"/>
      </w:pPr>
      <w:r>
        <w:t>This comprehensive review has examined the application of Generative Adversarial Networks for data augmentation and intelligent fitting in small-sample regression contexts. The analysis demonstrates that GAN-based approaches offer substantial promise for addressing the persistent challenge of developing accurate regression models from limited training data, with documented successes across diverse application domains including soft sensor development, materials science, and biomedical applications.</w:t>
      </w:r>
    </w:p>
    <w:p w:rsidR="000F09A6" w:rsidRDefault="00C30A2C">
      <w:pPr>
        <w:spacing w:after="200" w:line="360" w:lineRule="auto"/>
        <w:jc w:val="both"/>
      </w:pPr>
      <w:r>
        <w:t xml:space="preserve">The theoretical foundations of GANs, particularly the Wasserstein formulation with gradient penalty and conditional generation capabilities, provide robust frameworks for virtual sample generation in regression contexts. </w:t>
      </w:r>
      <w:proofErr w:type="spellStart"/>
      <w:r>
        <w:t>Specialised</w:t>
      </w:r>
      <w:proofErr w:type="spellEnd"/>
      <w:r>
        <w:t xml:space="preserve"> architectures that embed regression components within the GAN framework enable simultaneous sample generation and target value prediction, addressing the fundamental challenge of generating samples with appropriate input-output relationships. These advances have enabled effective augmentation even in severely data-limited scenarios where traditional approaches prove inadequate.</w:t>
      </w:r>
    </w:p>
    <w:p w:rsidR="000F09A6" w:rsidRDefault="00C30A2C">
      <w:pPr>
        <w:spacing w:after="200" w:line="360" w:lineRule="auto"/>
        <w:jc w:val="both"/>
      </w:pPr>
      <w:r>
        <w:t xml:space="preserve">Training stability considerations remain central to successful implementation of GAN-based augmentation. Mode collapse and related training pathologies require careful attention through appropriate architectural choices, </w:t>
      </w:r>
      <w:proofErr w:type="spellStart"/>
      <w:r>
        <w:t>regularisation</w:t>
      </w:r>
      <w:proofErr w:type="spellEnd"/>
      <w:r>
        <w:t xml:space="preserve"> techniques, and training procedures. The strategies reviewed herein, including mini-batch discrimination, feature matching, spectral </w:t>
      </w:r>
      <w:proofErr w:type="spellStart"/>
      <w:r>
        <w:t>normalisation</w:t>
      </w:r>
      <w:proofErr w:type="spellEnd"/>
      <w:r>
        <w:t>, and differentiable augmentation, provide practitioners with established tools for achieving stable training in small-sample contexts.</w:t>
      </w:r>
    </w:p>
    <w:p w:rsidR="000F09A6" w:rsidRDefault="00C30A2C">
      <w:pPr>
        <w:spacing w:after="200" w:line="360" w:lineRule="auto"/>
        <w:jc w:val="both"/>
      </w:pPr>
      <w:r>
        <w:lastRenderedPageBreak/>
        <w:t xml:space="preserve">The integration of GAN-generated samples with downstream regression algorithms requires thoughtful consideration of sample weighting, algorithm selection, and validation strategies. Ensemble methods and support vector regression have demonstrated particular compatibility with augmented datasets, whilst semi-supervised and co-training frameworks offer additional avenues for leveraging generated samples alongside unlabelled real data. These intelligent fitting strategies </w:t>
      </w:r>
      <w:proofErr w:type="spellStart"/>
      <w:r>
        <w:t>maximise</w:t>
      </w:r>
      <w:proofErr w:type="spellEnd"/>
      <w:r>
        <w:t xml:space="preserve"> the practical benefit derived from GAN-based augmentation.</w:t>
      </w:r>
    </w:p>
    <w:p w:rsidR="000F09A6" w:rsidRDefault="00C30A2C">
      <w:pPr>
        <w:spacing w:after="200" w:line="360" w:lineRule="auto"/>
        <w:jc w:val="both"/>
      </w:pPr>
      <w:r>
        <w:t>Comparative analysis with alternative generative approaches reveals complementary strengths across methods. Variational autoencoders offer training stability advantages, whilst diffusion models achieve superior generation quality at increased computational cost. The selection between approaches depends on application-specific requirements, with no single method dominating across all scenarios. Future developments may see increased adoption of hybrid architectures and emerging generative paradigms as the field continues to advance.</w:t>
      </w:r>
    </w:p>
    <w:p w:rsidR="000F09A6" w:rsidRDefault="00C30A2C">
      <w:pPr>
        <w:pStyle w:val="Heading1"/>
        <w:spacing w:before="400" w:after="200"/>
      </w:pPr>
      <w:r>
        <w:rPr>
          <w:b/>
          <w:bCs/>
          <w:sz w:val="28"/>
          <w:szCs w:val="28"/>
        </w:rPr>
        <w:t>10. Limitations</w:t>
      </w:r>
    </w:p>
    <w:p w:rsidR="000F09A6" w:rsidRDefault="00C30A2C">
      <w:pPr>
        <w:spacing w:after="200" w:line="360" w:lineRule="auto"/>
        <w:jc w:val="both"/>
      </w:pPr>
      <w:r>
        <w:t xml:space="preserve">This review acknowledges several limitations that should inform interpretation of its findings and guide future research directions. The narrative review methodology, whilst appropriate for </w:t>
      </w:r>
      <w:proofErr w:type="spellStart"/>
      <w:r>
        <w:t>synthesising</w:t>
      </w:r>
      <w:proofErr w:type="spellEnd"/>
      <w:r>
        <w:t xml:space="preserve"> diverse literature across disciplines, does not provide the systematic quality assessment and bias evaluation characteristic of formal systematic reviews. The heterogeneity of methods, metrics, and application contexts across reviewed studies limits the potential for quantitative synthesis and direct comparison of reported results.</w:t>
      </w:r>
    </w:p>
    <w:p w:rsidR="000F09A6" w:rsidRDefault="00C30A2C">
      <w:pPr>
        <w:spacing w:after="200" w:line="360" w:lineRule="auto"/>
        <w:jc w:val="both"/>
      </w:pPr>
      <w:r>
        <w:t xml:space="preserve">Publication bias presents a concern for this field, as studies demonstrating successful GAN-based augmentation are more likely to reach publication than those reporting failures or limited improvements. The true reliability and </w:t>
      </w:r>
      <w:proofErr w:type="spellStart"/>
      <w:r>
        <w:t>generalisability</w:t>
      </w:r>
      <w:proofErr w:type="spellEnd"/>
      <w:r>
        <w:t xml:space="preserve"> of GAN-based approaches across application domains may therefore be less </w:t>
      </w:r>
      <w:proofErr w:type="spellStart"/>
      <w:r>
        <w:t>favourable</w:t>
      </w:r>
      <w:proofErr w:type="spellEnd"/>
      <w:r>
        <w:t xml:space="preserve"> than the published literature suggests. Practitioners implementing these methods should anticipate the need for extensive experimentation and hyperparameter tuning that may not be fully reflected in published accounts.</w:t>
      </w:r>
    </w:p>
    <w:p w:rsidR="000F09A6" w:rsidRDefault="00C30A2C">
      <w:pPr>
        <w:spacing w:after="200" w:line="360" w:lineRule="auto"/>
        <w:jc w:val="both"/>
      </w:pPr>
      <w:r>
        <w:t xml:space="preserve">The rapid evolution of the field presents challenges for maintaining comprehensive coverage. New architectures, training techniques, and application studies continue to appear at a rapid pace, potentially rendering portions of this review outdated by the time of publication. Readers are encouraged to supplement this review with current literature to capture recent developments, particularly regarding emerging approaches such as advanced diffusion </w:t>
      </w:r>
      <w:r>
        <w:lastRenderedPageBreak/>
        <w:t>models and foundation models that may transform the landscape of generative modelling for small-sample applications.</w:t>
      </w:r>
    </w:p>
    <w:p w:rsidR="000F09A6" w:rsidRDefault="00C30A2C">
      <w:pPr>
        <w:spacing w:after="200" w:line="360" w:lineRule="auto"/>
        <w:jc w:val="both"/>
      </w:pPr>
      <w:r>
        <w:t>The focus on regression applications, whilst providing depth of coverage for this important task, excludes consideration of related problems such as time series prediction, survival analysis, and structured output prediction that share characteristics with regression but present distinct challenges. GAN-based approaches for these related tasks may offer insights transferable to regression contexts but fall outside the scope of the present review. Additionally, the review focuses primarily on tabular and structured data applications, with limited coverage of domains such as image-based regression where distinct architectures and approaches may prove more appropriate.</w:t>
      </w:r>
    </w:p>
    <w:p w:rsidR="000F09A6" w:rsidRDefault="00C30A2C">
      <w:pPr>
        <w:spacing w:after="200" w:line="360" w:lineRule="auto"/>
        <w:jc w:val="both"/>
      </w:pPr>
      <w:r>
        <w:t>Finally, whilst the review discusses practical implementation considerations, it cannot provide the level of detail required for replication of specific methods. Practitioners seeking to implement GAN-based augmentation should consult original publications and available code repositories for complete methodological details. The complexity of GAN training and the sensitivity to implementation details mean that achieving reported results may require substantial expertise and experimentation beyond what can be conveyed in a review of this nature.</w:t>
      </w:r>
    </w:p>
    <w:p w:rsidR="000F09A6" w:rsidRDefault="00C30A2C">
      <w:pPr>
        <w:pStyle w:val="Heading1"/>
        <w:spacing w:before="400" w:after="200"/>
      </w:pPr>
      <w:r>
        <w:rPr>
          <w:b/>
          <w:bCs/>
          <w:sz w:val="28"/>
          <w:szCs w:val="28"/>
        </w:rPr>
        <w:t>References</w:t>
      </w:r>
    </w:p>
    <w:p w:rsidR="000F09A6" w:rsidRDefault="00C30A2C">
      <w:pPr>
        <w:spacing w:after="120" w:line="276" w:lineRule="auto"/>
        <w:ind w:left="720" w:hanging="720"/>
      </w:pPr>
      <w:proofErr w:type="spellStart"/>
      <w:r>
        <w:rPr>
          <w:sz w:val="22"/>
          <w:szCs w:val="22"/>
        </w:rPr>
        <w:t>Arjovsky</w:t>
      </w:r>
      <w:proofErr w:type="spellEnd"/>
      <w:r>
        <w:rPr>
          <w:sz w:val="22"/>
          <w:szCs w:val="22"/>
        </w:rPr>
        <w:t xml:space="preserve">, M., </w:t>
      </w:r>
      <w:proofErr w:type="spellStart"/>
      <w:r>
        <w:rPr>
          <w:sz w:val="22"/>
          <w:szCs w:val="22"/>
        </w:rPr>
        <w:t>Chintala</w:t>
      </w:r>
      <w:proofErr w:type="spellEnd"/>
      <w:r>
        <w:rPr>
          <w:sz w:val="22"/>
          <w:szCs w:val="22"/>
        </w:rPr>
        <w:t xml:space="preserve">, S., &amp; </w:t>
      </w:r>
      <w:proofErr w:type="spellStart"/>
      <w:r>
        <w:rPr>
          <w:sz w:val="22"/>
          <w:szCs w:val="22"/>
        </w:rPr>
        <w:t>Bottou</w:t>
      </w:r>
      <w:proofErr w:type="spellEnd"/>
      <w:r>
        <w:rPr>
          <w:sz w:val="22"/>
          <w:szCs w:val="22"/>
        </w:rPr>
        <w:t>, L. (2017). Wasserstein generative adversarial networks. Proceedings of the 34th International Conference on Machine Learning, 70, 214–223. https://proceedings.mlr.press/v70/arjovsky17a.html</w:t>
      </w:r>
    </w:p>
    <w:p w:rsidR="000F09A6" w:rsidRDefault="00C30A2C">
      <w:pPr>
        <w:spacing w:after="120" w:line="276" w:lineRule="auto"/>
        <w:ind w:left="720" w:hanging="720"/>
      </w:pPr>
      <w:proofErr w:type="spellStart"/>
      <w:r>
        <w:rPr>
          <w:sz w:val="22"/>
          <w:szCs w:val="22"/>
        </w:rPr>
        <w:t>Chadebec</w:t>
      </w:r>
      <w:proofErr w:type="spellEnd"/>
      <w:r>
        <w:rPr>
          <w:sz w:val="22"/>
          <w:szCs w:val="22"/>
        </w:rPr>
        <w:t xml:space="preserve">, C., </w:t>
      </w:r>
      <w:proofErr w:type="spellStart"/>
      <w:r>
        <w:rPr>
          <w:sz w:val="22"/>
          <w:szCs w:val="22"/>
        </w:rPr>
        <w:t>Thibeau-Sutre</w:t>
      </w:r>
      <w:proofErr w:type="spellEnd"/>
      <w:r>
        <w:rPr>
          <w:sz w:val="22"/>
          <w:szCs w:val="22"/>
        </w:rPr>
        <w:t xml:space="preserve">, E., Burgos, N., &amp; </w:t>
      </w:r>
      <w:proofErr w:type="spellStart"/>
      <w:r>
        <w:rPr>
          <w:sz w:val="22"/>
          <w:szCs w:val="22"/>
        </w:rPr>
        <w:t>Allassonnière</w:t>
      </w:r>
      <w:proofErr w:type="spellEnd"/>
      <w:r>
        <w:rPr>
          <w:sz w:val="22"/>
          <w:szCs w:val="22"/>
        </w:rPr>
        <w:t>, S. (2023). Data augmentation in high dimensional low sample size setting using a geometry-based variational autoencoder. IEEE Transactions on Pattern Analysis and Machine Intelligence, 45(3), 2879–2896. https://doi.org/10.1109/TPAMI.2022.3185773</w:t>
      </w:r>
    </w:p>
    <w:p w:rsidR="000F09A6" w:rsidRDefault="00C30A2C">
      <w:pPr>
        <w:spacing w:after="120" w:line="276" w:lineRule="auto"/>
        <w:ind w:left="720" w:hanging="720"/>
      </w:pPr>
      <w:r>
        <w:rPr>
          <w:sz w:val="22"/>
          <w:szCs w:val="22"/>
        </w:rPr>
        <w:t>Chen, Z.-S., Hou, K.-R., Zhu, M.-Y., Xu, Y., &amp; Zhu, Q.-X. (2021). A virtual sample generation approach based on a modified conditional GAN and centroidal Voronoi tessellation sampling to cope with small sample size problems: Application to soft sensing for chemical process. Applied Soft Computing, 101, 107070. https://doi.org/10.1016/j.asoc.2020.107070</w:t>
      </w:r>
    </w:p>
    <w:p w:rsidR="000F09A6" w:rsidRDefault="00C30A2C">
      <w:pPr>
        <w:spacing w:after="120" w:line="276" w:lineRule="auto"/>
        <w:ind w:left="720" w:hanging="720"/>
      </w:pPr>
      <w:r>
        <w:rPr>
          <w:sz w:val="22"/>
          <w:szCs w:val="22"/>
        </w:rPr>
        <w:t xml:space="preserve">Engelmann, J., &amp; </w:t>
      </w:r>
      <w:proofErr w:type="spellStart"/>
      <w:r>
        <w:rPr>
          <w:sz w:val="22"/>
          <w:szCs w:val="22"/>
        </w:rPr>
        <w:t>Lessmann</w:t>
      </w:r>
      <w:proofErr w:type="spellEnd"/>
      <w:r>
        <w:rPr>
          <w:sz w:val="22"/>
          <w:szCs w:val="22"/>
        </w:rPr>
        <w:t>, S. (2021). Conditional Wasserstein GAN-based oversampling of tabular data for imbalanced learning. Expert Systems with Applications, 174, 114582. https://doi.org/10.1016/j.eswa.2021.114582</w:t>
      </w:r>
    </w:p>
    <w:p w:rsidR="000F09A6" w:rsidRDefault="00C30A2C">
      <w:pPr>
        <w:spacing w:after="120" w:line="276" w:lineRule="auto"/>
        <w:ind w:left="720" w:hanging="720"/>
      </w:pPr>
      <w:r>
        <w:rPr>
          <w:sz w:val="22"/>
          <w:szCs w:val="22"/>
        </w:rPr>
        <w:t xml:space="preserve">Goodfellow, I., </w:t>
      </w:r>
      <w:proofErr w:type="spellStart"/>
      <w:r>
        <w:rPr>
          <w:sz w:val="22"/>
          <w:szCs w:val="22"/>
        </w:rPr>
        <w:t>Pouget</w:t>
      </w:r>
      <w:proofErr w:type="spellEnd"/>
      <w:r>
        <w:rPr>
          <w:sz w:val="22"/>
          <w:szCs w:val="22"/>
        </w:rPr>
        <w:t xml:space="preserve">-Abadie, J., Mirza, M., Xu, B., </w:t>
      </w:r>
      <w:proofErr w:type="spellStart"/>
      <w:r>
        <w:rPr>
          <w:sz w:val="22"/>
          <w:szCs w:val="22"/>
        </w:rPr>
        <w:t>Warde</w:t>
      </w:r>
      <w:proofErr w:type="spellEnd"/>
      <w:r>
        <w:rPr>
          <w:sz w:val="22"/>
          <w:szCs w:val="22"/>
        </w:rPr>
        <w:t xml:space="preserve">-Farley, D., </w:t>
      </w:r>
      <w:proofErr w:type="spellStart"/>
      <w:r>
        <w:rPr>
          <w:sz w:val="22"/>
          <w:szCs w:val="22"/>
        </w:rPr>
        <w:t>Ozair</w:t>
      </w:r>
      <w:proofErr w:type="spellEnd"/>
      <w:r>
        <w:rPr>
          <w:sz w:val="22"/>
          <w:szCs w:val="22"/>
        </w:rPr>
        <w:t xml:space="preserve">, S., Courville, A., &amp; </w:t>
      </w:r>
      <w:proofErr w:type="spellStart"/>
      <w:r>
        <w:rPr>
          <w:sz w:val="22"/>
          <w:szCs w:val="22"/>
        </w:rPr>
        <w:t>Bengio</w:t>
      </w:r>
      <w:proofErr w:type="spellEnd"/>
      <w:r>
        <w:rPr>
          <w:sz w:val="22"/>
          <w:szCs w:val="22"/>
        </w:rPr>
        <w:t>, Y. (2014). Generative adversarial nets. Advances in Neural Information Processing Systems, 27, 2672–2680.</w:t>
      </w:r>
    </w:p>
    <w:p w:rsidR="000F09A6" w:rsidRDefault="00C30A2C">
      <w:pPr>
        <w:spacing w:after="120" w:line="276" w:lineRule="auto"/>
        <w:ind w:left="720" w:hanging="720"/>
      </w:pPr>
      <w:r>
        <w:rPr>
          <w:sz w:val="22"/>
          <w:szCs w:val="22"/>
        </w:rPr>
        <w:lastRenderedPageBreak/>
        <w:t xml:space="preserve">Goodfellow, I., </w:t>
      </w:r>
      <w:proofErr w:type="spellStart"/>
      <w:r>
        <w:rPr>
          <w:sz w:val="22"/>
          <w:szCs w:val="22"/>
        </w:rPr>
        <w:t>Pouget</w:t>
      </w:r>
      <w:proofErr w:type="spellEnd"/>
      <w:r>
        <w:rPr>
          <w:sz w:val="22"/>
          <w:szCs w:val="22"/>
        </w:rPr>
        <w:t xml:space="preserve">-Abadie, J., Mirza, M., Xu, B., </w:t>
      </w:r>
      <w:proofErr w:type="spellStart"/>
      <w:r>
        <w:rPr>
          <w:sz w:val="22"/>
          <w:szCs w:val="22"/>
        </w:rPr>
        <w:t>Warde</w:t>
      </w:r>
      <w:proofErr w:type="spellEnd"/>
      <w:r>
        <w:rPr>
          <w:sz w:val="22"/>
          <w:szCs w:val="22"/>
        </w:rPr>
        <w:t xml:space="preserve">-Farley, D., </w:t>
      </w:r>
      <w:proofErr w:type="spellStart"/>
      <w:r>
        <w:rPr>
          <w:sz w:val="22"/>
          <w:szCs w:val="22"/>
        </w:rPr>
        <w:t>Ozair</w:t>
      </w:r>
      <w:proofErr w:type="spellEnd"/>
      <w:r>
        <w:rPr>
          <w:sz w:val="22"/>
          <w:szCs w:val="22"/>
        </w:rPr>
        <w:t xml:space="preserve">, S., Courville, A., &amp; </w:t>
      </w:r>
      <w:proofErr w:type="spellStart"/>
      <w:r>
        <w:rPr>
          <w:sz w:val="22"/>
          <w:szCs w:val="22"/>
        </w:rPr>
        <w:t>Bengio</w:t>
      </w:r>
      <w:proofErr w:type="spellEnd"/>
      <w:r>
        <w:rPr>
          <w:sz w:val="22"/>
          <w:szCs w:val="22"/>
        </w:rPr>
        <w:t>, Y. (2020). Generative adversarial networks. Communications of the ACM, 63(11), 139–144. https://doi.org/10.1145/3422622</w:t>
      </w:r>
    </w:p>
    <w:p w:rsidR="000F09A6" w:rsidRDefault="00C30A2C">
      <w:pPr>
        <w:spacing w:after="120" w:line="276" w:lineRule="auto"/>
        <w:ind w:left="720" w:hanging="720"/>
      </w:pPr>
      <w:proofErr w:type="spellStart"/>
      <w:r>
        <w:rPr>
          <w:sz w:val="22"/>
          <w:szCs w:val="22"/>
        </w:rPr>
        <w:t>Gulrajani</w:t>
      </w:r>
      <w:proofErr w:type="spellEnd"/>
      <w:r>
        <w:rPr>
          <w:sz w:val="22"/>
          <w:szCs w:val="22"/>
        </w:rPr>
        <w:t xml:space="preserve">, I., Ahmed, F., </w:t>
      </w:r>
      <w:proofErr w:type="spellStart"/>
      <w:r>
        <w:rPr>
          <w:sz w:val="22"/>
          <w:szCs w:val="22"/>
        </w:rPr>
        <w:t>Arjovsky</w:t>
      </w:r>
      <w:proofErr w:type="spellEnd"/>
      <w:r>
        <w:rPr>
          <w:sz w:val="22"/>
          <w:szCs w:val="22"/>
        </w:rPr>
        <w:t>, M., Dumoulin, V., &amp; Courville, A. (2017). Improved training of Wasserstein GANs. Advances in Neural Information Processing Systems, 30, 5767–5777.</w:t>
      </w:r>
    </w:p>
    <w:p w:rsidR="000F09A6" w:rsidRDefault="00C30A2C">
      <w:pPr>
        <w:spacing w:after="120" w:line="276" w:lineRule="auto"/>
        <w:ind w:left="720" w:hanging="720"/>
      </w:pPr>
      <w:r>
        <w:rPr>
          <w:sz w:val="22"/>
          <w:szCs w:val="22"/>
        </w:rPr>
        <w:t xml:space="preserve">Ho, J., Jain, A., &amp; </w:t>
      </w:r>
      <w:proofErr w:type="spellStart"/>
      <w:r>
        <w:rPr>
          <w:sz w:val="22"/>
          <w:szCs w:val="22"/>
        </w:rPr>
        <w:t>Abbeel</w:t>
      </w:r>
      <w:proofErr w:type="spellEnd"/>
      <w:r>
        <w:rPr>
          <w:sz w:val="22"/>
          <w:szCs w:val="22"/>
        </w:rPr>
        <w:t>, P. (2020). Denoising diffusion probabilistic models. Advances in Neural Information Processing Systems, 33, 6840–6851.</w:t>
      </w:r>
    </w:p>
    <w:p w:rsidR="000F09A6" w:rsidRDefault="00C30A2C">
      <w:pPr>
        <w:spacing w:after="120" w:line="276" w:lineRule="auto"/>
        <w:ind w:left="720" w:hanging="720"/>
      </w:pPr>
      <w:r>
        <w:rPr>
          <w:sz w:val="22"/>
          <w:szCs w:val="22"/>
        </w:rPr>
        <w:t>Islam, Z., Abdel-</w:t>
      </w:r>
      <w:proofErr w:type="spellStart"/>
      <w:r>
        <w:rPr>
          <w:sz w:val="22"/>
          <w:szCs w:val="22"/>
        </w:rPr>
        <w:t>Aty</w:t>
      </w:r>
      <w:proofErr w:type="spellEnd"/>
      <w:r>
        <w:rPr>
          <w:sz w:val="22"/>
          <w:szCs w:val="22"/>
        </w:rPr>
        <w:t>, M., Cai, Q., &amp; Yuan, J. (2021). Crash data augmentation using variational autoencoder. Accident Analysis &amp; Prevention, 151, 105950. https://doi.org/10.1016/j.aap.2020.105950</w:t>
      </w:r>
    </w:p>
    <w:p w:rsidR="000F09A6" w:rsidRDefault="00C30A2C">
      <w:pPr>
        <w:spacing w:after="120" w:line="276" w:lineRule="auto"/>
        <w:ind w:left="720" w:hanging="720"/>
      </w:pPr>
      <w:proofErr w:type="spellStart"/>
      <w:r>
        <w:rPr>
          <w:sz w:val="22"/>
          <w:szCs w:val="22"/>
        </w:rPr>
        <w:t>Kingma</w:t>
      </w:r>
      <w:proofErr w:type="spellEnd"/>
      <w:r>
        <w:rPr>
          <w:sz w:val="22"/>
          <w:szCs w:val="22"/>
        </w:rPr>
        <w:t>, D. P., &amp; Welling, M. (2014). Auto-encoding variational Bayes. Proceedings of the International Conference on Learning Representations (ICLR).</w:t>
      </w:r>
    </w:p>
    <w:p w:rsidR="000F09A6" w:rsidRDefault="00C30A2C">
      <w:pPr>
        <w:spacing w:after="120" w:line="276" w:lineRule="auto"/>
        <w:ind w:left="720" w:hanging="720"/>
      </w:pPr>
      <w:proofErr w:type="spellStart"/>
      <w:r>
        <w:rPr>
          <w:sz w:val="22"/>
          <w:szCs w:val="22"/>
        </w:rPr>
        <w:t>Kokol</w:t>
      </w:r>
      <w:proofErr w:type="spellEnd"/>
      <w:r>
        <w:rPr>
          <w:sz w:val="22"/>
          <w:szCs w:val="22"/>
        </w:rPr>
        <w:t xml:space="preserve">, P., </w:t>
      </w:r>
      <w:proofErr w:type="spellStart"/>
      <w:r>
        <w:rPr>
          <w:sz w:val="22"/>
          <w:szCs w:val="22"/>
        </w:rPr>
        <w:t>Kokol</w:t>
      </w:r>
      <w:proofErr w:type="spellEnd"/>
      <w:r>
        <w:rPr>
          <w:sz w:val="22"/>
          <w:szCs w:val="22"/>
        </w:rPr>
        <w:t xml:space="preserve">, M., &amp; </w:t>
      </w:r>
      <w:proofErr w:type="spellStart"/>
      <w:r>
        <w:rPr>
          <w:sz w:val="22"/>
          <w:szCs w:val="22"/>
        </w:rPr>
        <w:t>Zagoranski</w:t>
      </w:r>
      <w:proofErr w:type="spellEnd"/>
      <w:r>
        <w:rPr>
          <w:sz w:val="22"/>
          <w:szCs w:val="22"/>
        </w:rPr>
        <w:t>, S. (2022). Machine learning on small size samples: A synthetic knowledge synthesis. Science Progress, 105(1), 1–32. https://doi.org/10.1177/00368504211029777</w:t>
      </w:r>
    </w:p>
    <w:p w:rsidR="000F09A6" w:rsidRDefault="00C30A2C">
      <w:pPr>
        <w:spacing w:after="120" w:line="276" w:lineRule="auto"/>
        <w:ind w:left="720" w:hanging="720"/>
      </w:pPr>
      <w:r>
        <w:rPr>
          <w:sz w:val="22"/>
          <w:szCs w:val="22"/>
        </w:rPr>
        <w:t>Li, D.-C., Lin, L.-S., &amp; Peng, L.-J. (2014). A genetic algorithm-based virtual sample generation technique to improve small data set learning. Neurocomputing, 143, 222–230. https://doi.org/10.1016/j.neucom.2014.06.004</w:t>
      </w:r>
    </w:p>
    <w:p w:rsidR="000F09A6" w:rsidRDefault="00C30A2C">
      <w:pPr>
        <w:spacing w:after="120" w:line="276" w:lineRule="auto"/>
        <w:ind w:left="720" w:hanging="720"/>
      </w:pPr>
      <w:r>
        <w:rPr>
          <w:sz w:val="22"/>
          <w:szCs w:val="22"/>
        </w:rPr>
        <w:t>Li, X., Shen, H., Zhang, L., Zhang, H., Yuan, Q., &amp; Yang, G. (2023). Virtual sample generation for small sample learning: A survey, recent developments and future prospects. Neurocomputing, 563, 126915. https://doi.org/10.1016/j.neucom.2023.126915</w:t>
      </w:r>
    </w:p>
    <w:p w:rsidR="000F09A6" w:rsidRDefault="00C30A2C">
      <w:pPr>
        <w:spacing w:after="120" w:line="276" w:lineRule="auto"/>
        <w:ind w:left="720" w:hanging="720"/>
      </w:pPr>
      <w:r>
        <w:rPr>
          <w:sz w:val="22"/>
          <w:szCs w:val="22"/>
        </w:rPr>
        <w:t xml:space="preserve">Metz, L., Poole, B., Pfau, D., &amp; </w:t>
      </w:r>
      <w:proofErr w:type="spellStart"/>
      <w:r>
        <w:rPr>
          <w:sz w:val="22"/>
          <w:szCs w:val="22"/>
        </w:rPr>
        <w:t>Sohl</w:t>
      </w:r>
      <w:proofErr w:type="spellEnd"/>
      <w:r>
        <w:rPr>
          <w:sz w:val="22"/>
          <w:szCs w:val="22"/>
        </w:rPr>
        <w:t>-Dickstein, J. (2017). Unrolled generative adversarial networks. Proceedings of the International Conference on Learning Representations (ICLR).</w:t>
      </w:r>
    </w:p>
    <w:p w:rsidR="000F09A6" w:rsidRDefault="00C30A2C">
      <w:pPr>
        <w:spacing w:after="120" w:line="276" w:lineRule="auto"/>
        <w:ind w:left="720" w:hanging="720"/>
      </w:pPr>
      <w:r>
        <w:rPr>
          <w:sz w:val="22"/>
          <w:szCs w:val="22"/>
        </w:rPr>
        <w:t xml:space="preserve">Mirza, M., &amp; </w:t>
      </w:r>
      <w:proofErr w:type="spellStart"/>
      <w:r>
        <w:rPr>
          <w:sz w:val="22"/>
          <w:szCs w:val="22"/>
        </w:rPr>
        <w:t>Osindero</w:t>
      </w:r>
      <w:proofErr w:type="spellEnd"/>
      <w:r>
        <w:rPr>
          <w:sz w:val="22"/>
          <w:szCs w:val="22"/>
        </w:rPr>
        <w:t xml:space="preserve">, S. (2014). Conditional generative adversarial nets. </w:t>
      </w:r>
      <w:proofErr w:type="spellStart"/>
      <w:r>
        <w:rPr>
          <w:sz w:val="22"/>
          <w:szCs w:val="22"/>
        </w:rPr>
        <w:t>arXiv</w:t>
      </w:r>
      <w:proofErr w:type="spellEnd"/>
      <w:r>
        <w:rPr>
          <w:sz w:val="22"/>
          <w:szCs w:val="22"/>
        </w:rPr>
        <w:t xml:space="preserve"> preprint arXiv:1411.1784.</w:t>
      </w:r>
    </w:p>
    <w:p w:rsidR="000F09A6" w:rsidRDefault="00C30A2C">
      <w:pPr>
        <w:spacing w:after="120" w:line="276" w:lineRule="auto"/>
        <w:ind w:left="720" w:hanging="720"/>
      </w:pPr>
      <w:proofErr w:type="spellStart"/>
      <w:r>
        <w:rPr>
          <w:sz w:val="22"/>
          <w:szCs w:val="22"/>
        </w:rPr>
        <w:t>Miyato</w:t>
      </w:r>
      <w:proofErr w:type="spellEnd"/>
      <w:r>
        <w:rPr>
          <w:sz w:val="22"/>
          <w:szCs w:val="22"/>
        </w:rPr>
        <w:t>, T., Kataoka, T., Koyama, M., &amp; Yoshida, Y. (2018). Spectral normalization for generative adversarial networks. Proceedings of the International Conference on Learning Representations (ICLR).</w:t>
      </w:r>
    </w:p>
    <w:p w:rsidR="000F09A6" w:rsidRDefault="00C30A2C">
      <w:pPr>
        <w:spacing w:after="120" w:line="276" w:lineRule="auto"/>
        <w:ind w:left="720" w:hanging="720"/>
      </w:pPr>
      <w:r>
        <w:rPr>
          <w:sz w:val="22"/>
          <w:szCs w:val="22"/>
        </w:rPr>
        <w:t>Mu, W., Shi, X., Liu, Y., Zhang, J., &amp; Zhang, D. (2022). Taming mode collapse in generative adversarial networks using cooperative realness discriminators. IET Image Processing, 16(8), 2224–2237. https://doi.org/10.1049/ipr2.12487</w:t>
      </w:r>
    </w:p>
    <w:p w:rsidR="000F09A6" w:rsidRDefault="00C30A2C">
      <w:pPr>
        <w:spacing w:after="120" w:line="276" w:lineRule="auto"/>
        <w:ind w:left="720" w:hanging="720"/>
      </w:pPr>
      <w:r>
        <w:rPr>
          <w:sz w:val="22"/>
          <w:szCs w:val="22"/>
        </w:rPr>
        <w:t>Ohno, H. (2020). Training data augmentation: An empirical study using generative adversarial net-based approach with normalizing flow models for materials informatics. Applied Soft Computing, 86, 105932. https://doi.org/10.1016/j.asoc.2019.105932</w:t>
      </w:r>
    </w:p>
    <w:p w:rsidR="000F09A6" w:rsidRDefault="00C30A2C">
      <w:pPr>
        <w:spacing w:after="120" w:line="276" w:lineRule="auto"/>
        <w:ind w:left="720" w:hanging="720"/>
      </w:pPr>
      <w:r>
        <w:rPr>
          <w:sz w:val="22"/>
          <w:szCs w:val="22"/>
        </w:rPr>
        <w:t>Pan, S. J., &amp; Yang, Q. (2010). A survey on transfer learning. IEEE Transactions on Knowledge and Data Engineering, 22(10), 1345–1359. https://doi.org/10.1109/TKDE.2009.191</w:t>
      </w:r>
    </w:p>
    <w:p w:rsidR="000F09A6" w:rsidRDefault="00C30A2C">
      <w:pPr>
        <w:spacing w:after="120" w:line="276" w:lineRule="auto"/>
        <w:ind w:left="720" w:hanging="720"/>
      </w:pPr>
      <w:r>
        <w:rPr>
          <w:sz w:val="22"/>
          <w:szCs w:val="22"/>
        </w:rPr>
        <w:t xml:space="preserve">Saad, M. H., </w:t>
      </w:r>
      <w:proofErr w:type="spellStart"/>
      <w:r>
        <w:rPr>
          <w:sz w:val="22"/>
          <w:szCs w:val="22"/>
        </w:rPr>
        <w:t>Rehmani</w:t>
      </w:r>
      <w:proofErr w:type="spellEnd"/>
      <w:r>
        <w:rPr>
          <w:sz w:val="22"/>
          <w:szCs w:val="22"/>
        </w:rPr>
        <w:t>, M. H., &amp; O'Reilly, R. (2022). Mode collapse detection strategies in generative adversarial networks for X-ray images. Proceedings of the AAAI Conference on Artificial Intelligence, 36, 135493. https://doi.org/10.1609/aaai.v36i11.21681</w:t>
      </w:r>
    </w:p>
    <w:p w:rsidR="000F09A6" w:rsidRDefault="00C30A2C">
      <w:pPr>
        <w:spacing w:after="120" w:line="276" w:lineRule="auto"/>
        <w:ind w:left="720" w:hanging="720"/>
      </w:pPr>
      <w:proofErr w:type="spellStart"/>
      <w:r>
        <w:rPr>
          <w:sz w:val="22"/>
          <w:szCs w:val="22"/>
        </w:rPr>
        <w:lastRenderedPageBreak/>
        <w:t>Salimans</w:t>
      </w:r>
      <w:proofErr w:type="spellEnd"/>
      <w:r>
        <w:rPr>
          <w:sz w:val="22"/>
          <w:szCs w:val="22"/>
        </w:rPr>
        <w:t>, T., Goodfellow, I., Zaremba, W., Cheung, V., Radford, A., &amp; Chen, X. (2016). Improved techniques for training GANs. Advances in Neural Information Processing Systems, 29, 2234–2242.</w:t>
      </w:r>
    </w:p>
    <w:p w:rsidR="000F09A6" w:rsidRDefault="00C30A2C">
      <w:pPr>
        <w:spacing w:after="120" w:line="276" w:lineRule="auto"/>
        <w:ind w:left="720" w:hanging="720"/>
      </w:pPr>
      <w:proofErr w:type="spellStart"/>
      <w:r>
        <w:rPr>
          <w:sz w:val="22"/>
          <w:szCs w:val="22"/>
        </w:rPr>
        <w:t>Sandfort</w:t>
      </w:r>
      <w:proofErr w:type="spellEnd"/>
      <w:r>
        <w:rPr>
          <w:sz w:val="22"/>
          <w:szCs w:val="22"/>
        </w:rPr>
        <w:t xml:space="preserve">, V., Yan, K., </w:t>
      </w:r>
      <w:proofErr w:type="spellStart"/>
      <w:r>
        <w:rPr>
          <w:sz w:val="22"/>
          <w:szCs w:val="22"/>
        </w:rPr>
        <w:t>Pickhardt</w:t>
      </w:r>
      <w:proofErr w:type="spellEnd"/>
      <w:r>
        <w:rPr>
          <w:sz w:val="22"/>
          <w:szCs w:val="22"/>
        </w:rPr>
        <w:t>, P. J., &amp; Summers, R. M. (2019). Data augmentation using generative adversarial networks (</w:t>
      </w:r>
      <w:proofErr w:type="spellStart"/>
      <w:r>
        <w:rPr>
          <w:sz w:val="22"/>
          <w:szCs w:val="22"/>
        </w:rPr>
        <w:t>CycleGAN</w:t>
      </w:r>
      <w:proofErr w:type="spellEnd"/>
      <w:r>
        <w:rPr>
          <w:sz w:val="22"/>
          <w:szCs w:val="22"/>
        </w:rPr>
        <w:t>) to improve generalizability in CT segmentation tasks. Scientific Reports, 9(1), 16884. https://doi.org/10.1038/s41598-019-52737-x</w:t>
      </w:r>
    </w:p>
    <w:p w:rsidR="000F09A6" w:rsidRDefault="00C30A2C">
      <w:pPr>
        <w:spacing w:after="120" w:line="276" w:lineRule="auto"/>
        <w:ind w:left="720" w:hanging="720"/>
      </w:pPr>
      <w:r>
        <w:rPr>
          <w:sz w:val="22"/>
          <w:szCs w:val="22"/>
        </w:rPr>
        <w:t>Saxena, D., &amp; Cao, J. (2021). Generative adversarial networks (GANs): Challenges, solutions, and future directions. ACM Computing Surveys, 54(3), 1–42. https://doi.org/10.1145/3446374</w:t>
      </w:r>
    </w:p>
    <w:p w:rsidR="000F09A6" w:rsidRDefault="00C30A2C">
      <w:pPr>
        <w:spacing w:after="120" w:line="276" w:lineRule="auto"/>
        <w:ind w:left="720" w:hanging="720"/>
      </w:pPr>
      <w:r>
        <w:rPr>
          <w:sz w:val="22"/>
          <w:szCs w:val="22"/>
        </w:rPr>
        <w:t>Shen, H., Li, X., Wang, Y., &amp; Zhang, L. (2022). A virtual sample generation algorithm supporting machine learning with a small-sample dataset: A case study for rubber materials. Computational Materials Science, 211, 111542. https://doi.org/10.1016/j.commatsci.2022.111542</w:t>
      </w:r>
    </w:p>
    <w:p w:rsidR="000F09A6" w:rsidRDefault="00C30A2C">
      <w:pPr>
        <w:spacing w:after="120" w:line="276" w:lineRule="auto"/>
        <w:ind w:left="720" w:hanging="720"/>
      </w:pPr>
      <w:r>
        <w:rPr>
          <w:sz w:val="22"/>
          <w:szCs w:val="22"/>
        </w:rPr>
        <w:t>Tian, Y., Xu, Y., Zhu, Q.-X., &amp; He, Y.-L. (2021). Novel virtual sample generation using target-relevant autoencoder for small data-based soft sensor. IEEE Transactions on Instrumentation and Measurement, 70, 1–10. https://doi.org/10.1109/TIM.2021.3056744</w:t>
      </w:r>
    </w:p>
    <w:p w:rsidR="000F09A6" w:rsidRDefault="00C30A2C">
      <w:pPr>
        <w:spacing w:after="120" w:line="276" w:lineRule="auto"/>
        <w:ind w:left="720" w:hanging="720"/>
      </w:pPr>
      <w:proofErr w:type="spellStart"/>
      <w:r>
        <w:rPr>
          <w:sz w:val="22"/>
          <w:szCs w:val="22"/>
        </w:rPr>
        <w:t>Tschuchnig</w:t>
      </w:r>
      <w:proofErr w:type="spellEnd"/>
      <w:r>
        <w:rPr>
          <w:sz w:val="22"/>
          <w:szCs w:val="22"/>
        </w:rPr>
        <w:t xml:space="preserve">, M. E., &amp; </w:t>
      </w:r>
      <w:proofErr w:type="spellStart"/>
      <w:r>
        <w:rPr>
          <w:sz w:val="22"/>
          <w:szCs w:val="22"/>
        </w:rPr>
        <w:t>Gadermayr</w:t>
      </w:r>
      <w:proofErr w:type="spellEnd"/>
      <w:r>
        <w:rPr>
          <w:sz w:val="22"/>
          <w:szCs w:val="22"/>
        </w:rPr>
        <w:t xml:space="preserve">, M. (2021). Anomaly detection in medical imaging: A mini review. In P. Haber, T. J. </w:t>
      </w:r>
      <w:proofErr w:type="spellStart"/>
      <w:r>
        <w:rPr>
          <w:sz w:val="22"/>
          <w:szCs w:val="22"/>
        </w:rPr>
        <w:t>Lampoltshammer</w:t>
      </w:r>
      <w:proofErr w:type="spellEnd"/>
      <w:r>
        <w:rPr>
          <w:sz w:val="22"/>
          <w:szCs w:val="22"/>
        </w:rPr>
        <w:t xml:space="preserve">, H. Leopold, &amp; M. Mayr (Eds.), Data Science – Analytics and Applications (pp. 33–38). Springer </w:t>
      </w:r>
      <w:proofErr w:type="spellStart"/>
      <w:r>
        <w:rPr>
          <w:sz w:val="22"/>
          <w:szCs w:val="22"/>
        </w:rPr>
        <w:t>Vieweg</w:t>
      </w:r>
      <w:proofErr w:type="spellEnd"/>
      <w:r>
        <w:rPr>
          <w:sz w:val="22"/>
          <w:szCs w:val="22"/>
        </w:rPr>
        <w:t>. https://doi.org/10.1007/978-3-658-32182-6_6</w:t>
      </w:r>
    </w:p>
    <w:p w:rsidR="000F09A6" w:rsidRDefault="00C30A2C">
      <w:pPr>
        <w:spacing w:after="120" w:line="276" w:lineRule="auto"/>
        <w:ind w:left="720" w:hanging="720"/>
      </w:pPr>
      <w:proofErr w:type="spellStart"/>
      <w:r>
        <w:rPr>
          <w:sz w:val="22"/>
          <w:szCs w:val="22"/>
        </w:rPr>
        <w:t>Tsialiamanis</w:t>
      </w:r>
      <w:proofErr w:type="spellEnd"/>
      <w:r>
        <w:rPr>
          <w:sz w:val="22"/>
          <w:szCs w:val="22"/>
        </w:rPr>
        <w:t xml:space="preserve">, G., </w:t>
      </w:r>
      <w:proofErr w:type="spellStart"/>
      <w:r>
        <w:rPr>
          <w:sz w:val="22"/>
          <w:szCs w:val="22"/>
        </w:rPr>
        <w:t>Mylonas</w:t>
      </w:r>
      <w:proofErr w:type="spellEnd"/>
      <w:r>
        <w:rPr>
          <w:sz w:val="22"/>
          <w:szCs w:val="22"/>
        </w:rPr>
        <w:t xml:space="preserve">, C., </w:t>
      </w:r>
      <w:proofErr w:type="spellStart"/>
      <w:r>
        <w:rPr>
          <w:sz w:val="22"/>
          <w:szCs w:val="22"/>
        </w:rPr>
        <w:t>Chatzi</w:t>
      </w:r>
      <w:proofErr w:type="spellEnd"/>
      <w:r>
        <w:rPr>
          <w:sz w:val="22"/>
          <w:szCs w:val="22"/>
        </w:rPr>
        <w:t>, E., &amp; Wagg, D. J. (2023). Variational autoencoders for data augmentation in clinical studies. Applied Sciences, 13(15), 8793. https://doi.org/10.3390/app13158793</w:t>
      </w:r>
    </w:p>
    <w:p w:rsidR="000F09A6" w:rsidRDefault="00C30A2C">
      <w:pPr>
        <w:spacing w:after="120" w:line="276" w:lineRule="auto"/>
        <w:ind w:left="720" w:hanging="720"/>
      </w:pPr>
      <w:r>
        <w:rPr>
          <w:sz w:val="22"/>
          <w:szCs w:val="22"/>
        </w:rPr>
        <w:t>Wang, X., Xu, H., Zhang, L., &amp; He, Y. (2023). Virtual sample generation in machine learning assisted materials design and discovery. Journal of Materials Informatics, 3(2), 18. https://doi.org/10.20517/jmi.2023.18</w:t>
      </w:r>
    </w:p>
    <w:p w:rsidR="000F09A6" w:rsidRDefault="00C30A2C">
      <w:pPr>
        <w:spacing w:after="120" w:line="276" w:lineRule="auto"/>
        <w:ind w:left="720" w:hanging="720"/>
      </w:pPr>
      <w:r>
        <w:rPr>
          <w:sz w:val="22"/>
          <w:szCs w:val="22"/>
        </w:rPr>
        <w:t xml:space="preserve">Weiss, K., </w:t>
      </w:r>
      <w:proofErr w:type="spellStart"/>
      <w:r>
        <w:rPr>
          <w:sz w:val="22"/>
          <w:szCs w:val="22"/>
        </w:rPr>
        <w:t>Khoshgoftaar</w:t>
      </w:r>
      <w:proofErr w:type="spellEnd"/>
      <w:r>
        <w:rPr>
          <w:sz w:val="22"/>
          <w:szCs w:val="22"/>
        </w:rPr>
        <w:t>, T. M., &amp; Wang, D. (2016). A survey of transfer learning. Journal of Big Data, 3(1), 9. https://doi.org/10.1186/s40537-016-0043-6</w:t>
      </w:r>
    </w:p>
    <w:p w:rsidR="000F09A6" w:rsidRDefault="00C30A2C">
      <w:pPr>
        <w:spacing w:after="120" w:line="276" w:lineRule="auto"/>
        <w:ind w:left="720" w:hanging="720"/>
      </w:pPr>
      <w:r>
        <w:rPr>
          <w:sz w:val="22"/>
          <w:szCs w:val="22"/>
        </w:rPr>
        <w:t>Yang, L., Zhang, Z., Song, Y., Hong, S., Xu, R., Zhao, Y., Zhang, W., Cui, B., &amp; Yang, M.-H. (2023). Diffusion models: A comprehensive survey of methods and applications. ACM Computing Surveys, 56(4), 1–39. https://doi.org/10.1145/3626235</w:t>
      </w:r>
    </w:p>
    <w:p w:rsidR="000F09A6" w:rsidRDefault="00C30A2C">
      <w:pPr>
        <w:spacing w:after="120" w:line="276" w:lineRule="auto"/>
        <w:ind w:left="720" w:hanging="720"/>
      </w:pPr>
      <w:r>
        <w:rPr>
          <w:sz w:val="22"/>
          <w:szCs w:val="22"/>
        </w:rPr>
        <w:t>Zhao, S., Liu, Z., Lin, J., Zhu, J.-Y., &amp; Han, S. (2020). Differentiable augmentation for data-efficient GAN training. Advances in Neural Information Processing Systems, 33, 7559–7570.</w:t>
      </w:r>
    </w:p>
    <w:p w:rsidR="000F09A6" w:rsidRDefault="00C30A2C">
      <w:pPr>
        <w:spacing w:after="120" w:line="276" w:lineRule="auto"/>
        <w:ind w:left="720" w:hanging="720"/>
      </w:pPr>
      <w:r>
        <w:rPr>
          <w:sz w:val="22"/>
          <w:szCs w:val="22"/>
        </w:rPr>
        <w:t>Song, S., Wang, T., Shen, G., Lin, Y., &amp; Huang, J. (2026). Wasserstein generative regression. Journal of the Royal Statistical Society Series B: Statistical Methodology, 88(1), 330–351. https://doi.org/10.1093/jrsssb/qkaf053</w:t>
      </w:r>
    </w:p>
    <w:p w:rsidR="000F09A6" w:rsidRDefault="00C30A2C">
      <w:pPr>
        <w:spacing w:after="120" w:line="276" w:lineRule="auto"/>
        <w:ind w:left="720" w:hanging="720"/>
      </w:pPr>
      <w:r>
        <w:rPr>
          <w:sz w:val="22"/>
          <w:szCs w:val="22"/>
        </w:rPr>
        <w:t>Zhu, Q.-X., Chen, Z.-S., He, Y.-L., Xu, Y., &amp; Yuan, X. (2021). Integrating virtual sample generation with input-training neural network for solving small sample size problems: Application to purified terephthalic acid solvent system. Soft Computing, 25(9), 6489–6504. https://doi.org/10.1007/s00500-021-05641-4</w:t>
      </w:r>
    </w:p>
    <w:p w:rsidR="000F09A6" w:rsidRDefault="00C30A2C">
      <w:pPr>
        <w:spacing w:after="120" w:line="276" w:lineRule="auto"/>
        <w:ind w:left="720" w:hanging="720"/>
      </w:pPr>
      <w:r>
        <w:rPr>
          <w:sz w:val="22"/>
          <w:szCs w:val="22"/>
        </w:rPr>
        <w:t xml:space="preserve">Zhu, Q.-X., Hou, K.-R., Chen, Z.-S., Gao, Z.-S., Yuan, X., &amp; He, Y.-L. (2021). Novel virtual sample generation using conditional GAN for developing soft sensor with small data. Engineering </w:t>
      </w:r>
      <w:r>
        <w:rPr>
          <w:sz w:val="22"/>
          <w:szCs w:val="22"/>
        </w:rPr>
        <w:lastRenderedPageBreak/>
        <w:t>Applications of Artificial Intelligence, 106, 104497. https://doi.org/10.1016/j.engappai.2021.104497</w:t>
      </w:r>
    </w:p>
    <w:p w:rsidR="000F09A6" w:rsidRDefault="00C30A2C">
      <w:pPr>
        <w:spacing w:after="120" w:line="276" w:lineRule="auto"/>
        <w:ind w:left="720" w:hanging="720"/>
      </w:pPr>
      <w:r>
        <w:rPr>
          <w:sz w:val="22"/>
          <w:szCs w:val="22"/>
        </w:rPr>
        <w:t>Zhu, Q.-X., Zhang, H.-T., Tian, Y., Zhang, N., Xu, Y., &amp; He, Y.-L. (2023). Co-training based virtual sample generation for solving the small sample size problem in process industry. ISA Transactions, 134, 290–301. https://doi.org/10.1016/j.isatra.2022.08.023</w:t>
      </w:r>
    </w:p>
    <w:p w:rsidR="000F09A6" w:rsidRDefault="00C30A2C">
      <w:pPr>
        <w:spacing w:after="120" w:line="276" w:lineRule="auto"/>
        <w:ind w:left="720" w:hanging="720"/>
      </w:pPr>
      <w:r>
        <w:rPr>
          <w:sz w:val="22"/>
          <w:szCs w:val="22"/>
        </w:rPr>
        <w:t>Zhu, Q.-X., Zhang, Y., Tian, Y., Xu, Y., &amp; He, Y.-L. (2025). Regression loss-assisted conditional style generative adversarial network for virtual sample generation with small data in soft sensing. Engineering Applications of Artificial Intelligence, 145, 110306. https://doi.org/10.1016/j.engappai.2025.110306</w:t>
      </w:r>
    </w:p>
    <w:p w:rsidR="000F09A6" w:rsidRDefault="00C30A2C">
      <w:pPr>
        <w:spacing w:after="120" w:line="276" w:lineRule="auto"/>
        <w:ind w:left="720" w:hanging="720"/>
      </w:pPr>
      <w:r>
        <w:rPr>
          <w:sz w:val="22"/>
          <w:szCs w:val="22"/>
        </w:rPr>
        <w:t xml:space="preserve">Zhuang, F., Qi, Z., </w:t>
      </w:r>
      <w:proofErr w:type="spellStart"/>
      <w:r>
        <w:rPr>
          <w:sz w:val="22"/>
          <w:szCs w:val="22"/>
        </w:rPr>
        <w:t>Duan</w:t>
      </w:r>
      <w:proofErr w:type="spellEnd"/>
      <w:r>
        <w:rPr>
          <w:sz w:val="22"/>
          <w:szCs w:val="22"/>
        </w:rPr>
        <w:t xml:space="preserve">, K., Xi, D., Zhu, Y., Zhu, H., </w:t>
      </w:r>
      <w:proofErr w:type="spellStart"/>
      <w:r>
        <w:rPr>
          <w:sz w:val="22"/>
          <w:szCs w:val="22"/>
        </w:rPr>
        <w:t>Xiong</w:t>
      </w:r>
      <w:proofErr w:type="spellEnd"/>
      <w:r>
        <w:rPr>
          <w:sz w:val="22"/>
          <w:szCs w:val="22"/>
        </w:rPr>
        <w:t>, H., &amp; He, Q. (2021). A comprehensive survey on transfer learning. Proceedings of the IEEE, 109(1), 43–76. https://doi.org/10.1109/JPROC.2020.3004555</w:t>
      </w:r>
    </w:p>
    <w:sectPr w:rsidR="000F09A6" w:rsidSect="000F09A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016" w:rsidRDefault="00C64016" w:rsidP="00623C98">
      <w:r>
        <w:separator/>
      </w:r>
    </w:p>
  </w:endnote>
  <w:endnote w:type="continuationSeparator" w:id="0">
    <w:p w:rsidR="00C64016" w:rsidRDefault="00C64016" w:rsidP="0062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623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623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62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016" w:rsidRDefault="00C64016" w:rsidP="00623C98">
      <w:r>
        <w:separator/>
      </w:r>
    </w:p>
  </w:footnote>
  <w:footnote w:type="continuationSeparator" w:id="0">
    <w:p w:rsidR="00C64016" w:rsidRDefault="00C64016" w:rsidP="0062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623C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293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623C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293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98" w:rsidRDefault="00623C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293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3573B"/>
    <w:multiLevelType w:val="hybridMultilevel"/>
    <w:tmpl w:val="33301894"/>
    <w:lvl w:ilvl="0" w:tplc="3110B9DC">
      <w:start w:val="1"/>
      <w:numFmt w:val="bullet"/>
      <w:lvlText w:val="●"/>
      <w:lvlJc w:val="left"/>
      <w:pPr>
        <w:ind w:left="720" w:hanging="360"/>
      </w:pPr>
    </w:lvl>
    <w:lvl w:ilvl="1" w:tplc="C61A8406">
      <w:start w:val="1"/>
      <w:numFmt w:val="bullet"/>
      <w:lvlText w:val="○"/>
      <w:lvlJc w:val="left"/>
      <w:pPr>
        <w:ind w:left="1440" w:hanging="360"/>
      </w:pPr>
    </w:lvl>
    <w:lvl w:ilvl="2" w:tplc="42EA914A">
      <w:start w:val="1"/>
      <w:numFmt w:val="bullet"/>
      <w:lvlText w:val="■"/>
      <w:lvlJc w:val="left"/>
      <w:pPr>
        <w:ind w:left="2160" w:hanging="360"/>
      </w:pPr>
    </w:lvl>
    <w:lvl w:ilvl="3" w:tplc="5A86609A">
      <w:start w:val="1"/>
      <w:numFmt w:val="bullet"/>
      <w:lvlText w:val="●"/>
      <w:lvlJc w:val="left"/>
      <w:pPr>
        <w:ind w:left="2880" w:hanging="360"/>
      </w:pPr>
    </w:lvl>
    <w:lvl w:ilvl="4" w:tplc="5978D3B4">
      <w:start w:val="1"/>
      <w:numFmt w:val="bullet"/>
      <w:lvlText w:val="○"/>
      <w:lvlJc w:val="left"/>
      <w:pPr>
        <w:ind w:left="3600" w:hanging="360"/>
      </w:pPr>
    </w:lvl>
    <w:lvl w:ilvl="5" w:tplc="339E9AFC">
      <w:start w:val="1"/>
      <w:numFmt w:val="bullet"/>
      <w:lvlText w:val="■"/>
      <w:lvlJc w:val="left"/>
      <w:pPr>
        <w:ind w:left="4320" w:hanging="360"/>
      </w:pPr>
    </w:lvl>
    <w:lvl w:ilvl="6" w:tplc="61402C22">
      <w:start w:val="1"/>
      <w:numFmt w:val="bullet"/>
      <w:lvlText w:val="●"/>
      <w:lvlJc w:val="left"/>
      <w:pPr>
        <w:ind w:left="5040" w:hanging="360"/>
      </w:pPr>
    </w:lvl>
    <w:lvl w:ilvl="7" w:tplc="9C90DB0E">
      <w:start w:val="1"/>
      <w:numFmt w:val="bullet"/>
      <w:lvlText w:val="●"/>
      <w:lvlJc w:val="left"/>
      <w:pPr>
        <w:ind w:left="5760" w:hanging="360"/>
      </w:pPr>
    </w:lvl>
    <w:lvl w:ilvl="8" w:tplc="5242427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9A6"/>
    <w:rsid w:val="000F09A6"/>
    <w:rsid w:val="00623C98"/>
    <w:rsid w:val="00C30A2C"/>
    <w:rsid w:val="00C6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A684143-D379-4822-A734-EF3ADF46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0F09A6"/>
    <w:pPr>
      <w:outlineLvl w:val="0"/>
    </w:pPr>
    <w:rPr>
      <w:color w:val="2E74B5"/>
      <w:sz w:val="32"/>
      <w:szCs w:val="32"/>
    </w:rPr>
  </w:style>
  <w:style w:type="paragraph" w:styleId="Heading2">
    <w:name w:val="heading 2"/>
    <w:qFormat/>
    <w:rsid w:val="000F09A6"/>
    <w:pPr>
      <w:outlineLvl w:val="1"/>
    </w:pPr>
    <w:rPr>
      <w:color w:val="2E74B5"/>
      <w:sz w:val="26"/>
      <w:szCs w:val="26"/>
    </w:rPr>
  </w:style>
  <w:style w:type="paragraph" w:styleId="Heading3">
    <w:name w:val="heading 3"/>
    <w:qFormat/>
    <w:rsid w:val="000F09A6"/>
    <w:pPr>
      <w:outlineLvl w:val="2"/>
    </w:pPr>
    <w:rPr>
      <w:color w:val="1F4D78"/>
    </w:rPr>
  </w:style>
  <w:style w:type="paragraph" w:styleId="Heading4">
    <w:name w:val="heading 4"/>
    <w:qFormat/>
    <w:rsid w:val="000F09A6"/>
    <w:pPr>
      <w:outlineLvl w:val="3"/>
    </w:pPr>
    <w:rPr>
      <w:i/>
      <w:iCs/>
      <w:color w:val="2E74B5"/>
    </w:rPr>
  </w:style>
  <w:style w:type="paragraph" w:styleId="Heading5">
    <w:name w:val="heading 5"/>
    <w:qFormat/>
    <w:rsid w:val="000F09A6"/>
    <w:pPr>
      <w:outlineLvl w:val="4"/>
    </w:pPr>
    <w:rPr>
      <w:color w:val="2E74B5"/>
    </w:rPr>
  </w:style>
  <w:style w:type="paragraph" w:styleId="Heading6">
    <w:name w:val="heading 6"/>
    <w:qFormat/>
    <w:rsid w:val="000F09A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F09A6"/>
    <w:rPr>
      <w:sz w:val="56"/>
      <w:szCs w:val="56"/>
    </w:rPr>
  </w:style>
  <w:style w:type="paragraph" w:customStyle="1" w:styleId="Strong1">
    <w:name w:val="Strong1"/>
    <w:qFormat/>
    <w:rsid w:val="000F09A6"/>
    <w:rPr>
      <w:b/>
      <w:bCs/>
    </w:rPr>
  </w:style>
  <w:style w:type="paragraph" w:styleId="ListParagraph">
    <w:name w:val="List Paragraph"/>
    <w:qFormat/>
    <w:rsid w:val="000F09A6"/>
  </w:style>
  <w:style w:type="character" w:styleId="Hyperlink">
    <w:name w:val="Hyperlink"/>
    <w:uiPriority w:val="99"/>
    <w:unhideWhenUsed/>
    <w:rsid w:val="000F09A6"/>
    <w:rPr>
      <w:color w:val="0563C1"/>
      <w:u w:val="single"/>
    </w:rPr>
  </w:style>
  <w:style w:type="character" w:styleId="FootnoteReference">
    <w:name w:val="footnote reference"/>
    <w:uiPriority w:val="99"/>
    <w:semiHidden/>
    <w:unhideWhenUsed/>
    <w:rsid w:val="000F09A6"/>
    <w:rPr>
      <w:vertAlign w:val="superscript"/>
    </w:rPr>
  </w:style>
  <w:style w:type="paragraph" w:styleId="FootnoteText">
    <w:name w:val="footnote text"/>
    <w:link w:val="FootnoteTextChar"/>
    <w:uiPriority w:val="99"/>
    <w:semiHidden/>
    <w:unhideWhenUsed/>
    <w:rsid w:val="000F09A6"/>
    <w:rPr>
      <w:sz w:val="20"/>
      <w:szCs w:val="20"/>
    </w:rPr>
  </w:style>
  <w:style w:type="character" w:customStyle="1" w:styleId="FootnoteTextChar">
    <w:name w:val="Footnote Text Char"/>
    <w:link w:val="FootnoteText"/>
    <w:uiPriority w:val="99"/>
    <w:semiHidden/>
    <w:unhideWhenUsed/>
    <w:rsid w:val="000F09A6"/>
    <w:rPr>
      <w:sz w:val="20"/>
      <w:szCs w:val="20"/>
    </w:rPr>
  </w:style>
  <w:style w:type="character" w:styleId="EndnoteReference">
    <w:name w:val="endnote reference"/>
    <w:uiPriority w:val="99"/>
    <w:semiHidden/>
    <w:unhideWhenUsed/>
    <w:rsid w:val="000F09A6"/>
    <w:rPr>
      <w:vertAlign w:val="superscript"/>
    </w:rPr>
  </w:style>
  <w:style w:type="paragraph" w:styleId="EndnoteText">
    <w:name w:val="endnote text"/>
    <w:link w:val="EndnoteTextChar"/>
    <w:uiPriority w:val="99"/>
    <w:semiHidden/>
    <w:unhideWhenUsed/>
    <w:rsid w:val="000F09A6"/>
    <w:rPr>
      <w:sz w:val="20"/>
      <w:szCs w:val="20"/>
    </w:rPr>
  </w:style>
  <w:style w:type="character" w:customStyle="1" w:styleId="EndnoteTextChar">
    <w:name w:val="Endnote Text Char"/>
    <w:link w:val="EndnoteText"/>
    <w:uiPriority w:val="99"/>
    <w:semiHidden/>
    <w:unhideWhenUsed/>
    <w:rsid w:val="000F09A6"/>
    <w:rPr>
      <w:sz w:val="20"/>
      <w:szCs w:val="20"/>
    </w:rPr>
  </w:style>
  <w:style w:type="paragraph" w:styleId="Header">
    <w:name w:val="header"/>
    <w:basedOn w:val="Normal"/>
    <w:link w:val="HeaderChar"/>
    <w:uiPriority w:val="99"/>
    <w:unhideWhenUsed/>
    <w:rsid w:val="00623C98"/>
    <w:pPr>
      <w:tabs>
        <w:tab w:val="center" w:pos="4680"/>
        <w:tab w:val="right" w:pos="9360"/>
      </w:tabs>
    </w:pPr>
  </w:style>
  <w:style w:type="character" w:customStyle="1" w:styleId="HeaderChar">
    <w:name w:val="Header Char"/>
    <w:basedOn w:val="DefaultParagraphFont"/>
    <w:link w:val="Header"/>
    <w:uiPriority w:val="99"/>
    <w:rsid w:val="00623C98"/>
  </w:style>
  <w:style w:type="paragraph" w:styleId="Footer">
    <w:name w:val="footer"/>
    <w:basedOn w:val="Normal"/>
    <w:link w:val="FooterChar"/>
    <w:uiPriority w:val="99"/>
    <w:unhideWhenUsed/>
    <w:rsid w:val="00623C98"/>
    <w:pPr>
      <w:tabs>
        <w:tab w:val="center" w:pos="4680"/>
        <w:tab w:val="right" w:pos="9360"/>
      </w:tabs>
    </w:pPr>
  </w:style>
  <w:style w:type="character" w:customStyle="1" w:styleId="FooterChar">
    <w:name w:val="Footer Char"/>
    <w:basedOn w:val="DefaultParagraphFont"/>
    <w:link w:val="Footer"/>
    <w:uiPriority w:val="99"/>
    <w:rsid w:val="0062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9727</Words>
  <Characters>55444</Characters>
  <Application>Microsoft Office Word</Application>
  <DocSecurity>0</DocSecurity>
  <Lines>462</Lines>
  <Paragraphs>130</Paragraphs>
  <ScaleCrop>false</ScaleCrop>
  <Company>HP</Company>
  <LinksUpToDate>false</LinksUpToDate>
  <CharactersWithSpaces>65041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2026-04-01T14:55:00Z</dcterms:created>
  <dcterms:modified xsi:type="dcterms:W3CDTF">2026-04-02T10:38:00Z</dcterms:modified>
</cp:coreProperties>
</file>