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DCDE" w14:textId="050D5E08" w:rsidR="00D53954" w:rsidRDefault="00D53954" w:rsidP="00D53954">
      <w:pPr>
        <w:spacing w:after="0" w:line="240" w:lineRule="auto"/>
        <w:jc w:val="center"/>
        <w:rPr>
          <w:rFonts w:ascii="Times New Roman" w:eastAsia="Times New Roman" w:hAnsi="Times New Roman" w:cs="Times New Roman"/>
          <w:b/>
          <w:bCs/>
          <w:color w:val="1F1F1F"/>
          <w:kern w:val="0"/>
          <w:sz w:val="32"/>
          <w:szCs w:val="32"/>
          <w:bdr w:val="none" w:sz="0" w:space="0" w:color="auto" w:frame="1"/>
          <w:lang w:eastAsia="en-IN" w:bidi="hi-IN"/>
          <w14:ligatures w14:val="none"/>
        </w:rPr>
      </w:pPr>
      <w:r w:rsidRPr="00D53954">
        <w:rPr>
          <w:rFonts w:ascii="Times New Roman" w:eastAsia="Times New Roman" w:hAnsi="Times New Roman" w:cs="Times New Roman"/>
          <w:b/>
          <w:bCs/>
          <w:color w:val="1F1F1F"/>
          <w:kern w:val="0"/>
          <w:sz w:val="32"/>
          <w:szCs w:val="32"/>
          <w:bdr w:val="none" w:sz="0" w:space="0" w:color="auto" w:frame="1"/>
          <w:lang w:eastAsia="en-IN" w:bidi="hi-IN"/>
          <w14:ligatures w14:val="none"/>
        </w:rPr>
        <w:t>QR Code–Based Digital Extension for Next-Generation Agri-Extension</w:t>
      </w:r>
    </w:p>
    <w:p w14:paraId="6B5DD2BB" w14:textId="77777777" w:rsidR="000A2C67" w:rsidRPr="00D53954" w:rsidRDefault="000A2C67" w:rsidP="00D53954">
      <w:pPr>
        <w:spacing w:after="0" w:line="240" w:lineRule="auto"/>
        <w:jc w:val="center"/>
        <w:rPr>
          <w:rFonts w:ascii="Times New Roman" w:eastAsia="Times New Roman" w:hAnsi="Times New Roman" w:cs="Times New Roman"/>
          <w:color w:val="1F1F1F"/>
          <w:kern w:val="0"/>
          <w:sz w:val="32"/>
          <w:szCs w:val="32"/>
          <w:lang w:eastAsia="en-IN" w:bidi="hi-IN"/>
          <w14:ligatures w14:val="none"/>
        </w:rPr>
      </w:pPr>
    </w:p>
    <w:p w14:paraId="4D748D30" w14:textId="77777777" w:rsidR="000A2C67" w:rsidRDefault="000A2C67" w:rsidP="00D53954">
      <w:pPr>
        <w:spacing w:after="0" w:line="240" w:lineRule="auto"/>
        <w:jc w:val="center"/>
        <w:rPr>
          <w:rFonts w:ascii="Times New Roman" w:eastAsia="Times New Roman" w:hAnsi="Times New Roman" w:cs="Times New Roman"/>
          <w:i/>
          <w:iCs/>
          <w:color w:val="1F1F1F"/>
          <w:kern w:val="0"/>
          <w:sz w:val="24"/>
          <w:szCs w:val="24"/>
          <w:lang w:eastAsia="en-IN" w:bidi="hi-IN"/>
          <w14:ligatures w14:val="none"/>
        </w:rPr>
      </w:pPr>
      <w:bookmarkStart w:id="0" w:name="_GoBack"/>
      <w:bookmarkEnd w:id="0"/>
    </w:p>
    <w:p w14:paraId="43BBA4B1" w14:textId="77777777" w:rsidR="005D42F5" w:rsidRPr="00D53954" w:rsidRDefault="005D42F5" w:rsidP="00D53954">
      <w:pPr>
        <w:spacing w:after="0" w:line="240" w:lineRule="auto"/>
        <w:jc w:val="center"/>
        <w:rPr>
          <w:rFonts w:ascii="Times New Roman" w:eastAsia="Times New Roman" w:hAnsi="Times New Roman" w:cs="Times New Roman"/>
          <w:i/>
          <w:iCs/>
          <w:color w:val="1F1F1F"/>
          <w:kern w:val="0"/>
          <w:sz w:val="24"/>
          <w:szCs w:val="24"/>
          <w:lang w:eastAsia="en-IN" w:bidi="hi-IN"/>
          <w14:ligatures w14:val="none"/>
        </w:rPr>
      </w:pPr>
    </w:p>
    <w:p w14:paraId="5BBF048C"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ABSTRACT</w:t>
      </w:r>
    </w:p>
    <w:p w14:paraId="7E322035"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4A1E682B"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rapid evolution and deep penetration of digital technologies in the agricultural sector have created unprecedented opportunities for effective knowledge dissemination, particularly among small and marginal farmers who are often bypassed by traditional extension channels. Krishi Vigyan Kendra (KVK), Akola implemented an innovative QR code–based digital extension initiative to provide paperless, real-time, and demand-driven access to vital agricultural information. The initiative offered access to more than 164 agriculture-related topics meticulously categorized across six thematic domains: traditional cropping systems, plant protection, horticulture, veterinary science, home science, and modern agriculture. These QR codes were strategically deployed at high-footfall locations such as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-input dealer shops, across the KVK campus, on physical training materials, and through a master QR code distributed among trainees and programme participants. To empirically assess the effectiveness of this intervention, an ex-post facto field study involving 120 farmers exposed to the QR code–based digital extension was conducted. The demographic profile revealed that the majority of respondents were small and marginal farmers, displaying high levels of smartphone ownership and moderate to high digital literacy. The findings revealed highly encouraging awareness levels and regular, sustained utilization of QR code–based services. Information access scores indicated a high perceived usefulness of the technology, and the knowledge gain following exposure to the QR code–based information was statistically highly significant (t = 18.62, p &lt; 0.01). Furthermore, the adoption of recommended practices ranged from moderate to high, and overall user satisfaction with the system was exceptionally strong. The computed Digital Extension Effectiveness Index (DEEI) showed that more than half of the respondents experienced a high level of extension effectiveness. Correlation analysis revealed strong, positive, and significant relationships between DEEI and independent variables such as digital literacy, information access, frequency of QR code usage, and overall user satisfaction. The study empirically demonstrated that simple, low-cost intelligent technologies such as QR codes can significantly enhance extension effectiveness, accelerate knowledge dissemination, and positively influence adoption behaviour. Ultimately, the QR code–based digital extension model has emerged as a scalable, environmentally sustainable (paperless), and highly inclusive approach for strengthening next-generation agricultural extension systems in developing nations.</w:t>
      </w:r>
    </w:p>
    <w:p w14:paraId="0B8F1663"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Keywords: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Digital extension, QR code, paperless advisory, KVK, next-generation agriculture, technology adoption, DEEI.</w:t>
      </w:r>
    </w:p>
    <w:p w14:paraId="0B5A8280" w14:textId="640A86BD"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2A4D1443"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1. INTRODUCTION</w:t>
      </w:r>
    </w:p>
    <w:p w14:paraId="6579FC5F"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6A0F04CF"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1.1. The Evolving Landscape of Agricultural Extension</w:t>
      </w:r>
    </w:p>
    <w:p w14:paraId="5D387B6C" w14:textId="6AE4EEEE"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Agricultural extension has historically played a pivotal role in driving agrarian transformations, enhancing farmers’ technical knowledge, promoting the adoption of improved technologies, and building robust decision-making capacities among rural communities. The transfer of technology from research laboratories to farmers' fields is the cornerstone of achieving global food security and improving rural livelihoods. However, conventional extension approaches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which heavily rely on the distribution of printed literature, resource-intensive physical farm visits, and periodic, localized training programmes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have increasingly faced severe limitations. These traditional methods are often constrained by limited geographical reach, a lack of continuous engagement, delayed timeliness of information delivery, and prohibitive operational costs, particularly when attempting to serve a vast, dispersed population of small and marginal farmers. Furthermore, the increasing complexity of modern farming systems, coupled with climate-related uncertainties, fluctuating market dynamics, and the emergence of novel pests and diseases, has intensified the critical demand for rapid, reliable, and highly contextualized advisory services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(Swanson &amp; </w:t>
      </w:r>
      <w:proofErr w:type="spellStart"/>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Rajalahti</w:t>
      </w:r>
      <w:proofErr w:type="spellEnd"/>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2010; Davis et al., 2012).</w:t>
      </w:r>
    </w:p>
    <w:p w14:paraId="7B12ECBC"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5AE3D299"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1.2. The Digital Transformation in Agriculture</w:t>
      </w:r>
    </w:p>
    <w:p w14:paraId="711314CA" w14:textId="658AE1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overcome the inherent bottlenecks of conventional extension, the integration of Information and Communication Technologies (ICTs) has become a global imperative. Advances in ICTs have fundamentally transformed agricultural extension systems, shifting them from top-down, prescriptive models into more inclusive, interactive, and farmer-centric knowledge networks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(Meera et al., 2004).</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 the Indian context, the rapid penetration of affordable smartphones and the widespread availability of low-cost mobile internet networks in rural areas have created a highly favourable macro-environment for deploying sophisticated digital extension interventions. This digital readiness is no longer restricted to large-scale, affluent farmers; it has permeated deeply into smallholder farming communities</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(Mittal &amp; Mehar, 2016).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Nevertheless, despite the proliferation of digital tools, many existing platforms have required users to download specialized applications, consume high amounts of mobile data, or maintain continuous digital engagement, which have collectively limited their effectiveness and adoption rates at the grassroots level.</w:t>
      </w:r>
    </w:p>
    <w:p w14:paraId="5BD99DE7"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04118817"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1.3. The Advent of QR Code Technology in Extension</w:t>
      </w:r>
    </w:p>
    <w:p w14:paraId="2F9E93D4" w14:textId="5B9E94EB"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Amidst the array of digital tools, Quick Response (QR) code technology has emerged as a highly disruptive, simple, and low-cost solution. Originally developed for automotive supply chain tracking, the 2D matrix barcode has evolved into a universally compatible digital tool that enables instant, frictionless access to online multimedia content through standard smartphone cameras, entirely circumventing the need for dedicated, memory-heavy applications. QR codes have demonstrated immense potential in bridging the spatial and temporal gaps between physical extension systems and dynamic digital knowledge repositories by providing "point-of-need" access to validated, scientific information exactly when the farmer requires it</w:t>
      </w:r>
      <w:r w:rsidR="000A2C67" w:rsidRPr="000A2C67">
        <w:rPr>
          <w:rFonts w:cs="Mangal"/>
          <w:kern w:val="0"/>
          <w:szCs w:val="20"/>
          <w:lang w:bidi="mr-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(Saravanan, 2010).</w:t>
      </w:r>
    </w:p>
    <w:p w14:paraId="70252C2A"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7199EBB4"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1.4. Rationale and Objectives of the Study</w:t>
      </w:r>
    </w:p>
    <w:p w14:paraId="38F4415E"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Recognizing this immense potential to revolutionize knowledge delivery, Krishi Vigyan Kendra (KVK), Akola conceptualized and implemented an innovative QR code–based digital extension initiative. This initiative was designed to systematically promote a paperless, demand-driven, and self-learning agricultural advisory service model. While the deployment of the technology was successful, empirical evidence quantifying its actual impact on the end-users was required to validate the model's efficacy. Therefore, the present study was systematically undertaken to evaluate the overall effectiveness of QR code–based digital extension in improving awareness, facilitating information access, driving knowledge gain, influencing adoption behaviour, and determining the overarching extension effectiveness among farmers, with a special and deliberate focus on small and marginal landholders.</w:t>
      </w:r>
    </w:p>
    <w:p w14:paraId="0D7C790F" w14:textId="4D8E28FC"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7B3CF9FB"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2. METHODOLOGY</w:t>
      </w:r>
    </w:p>
    <w:p w14:paraId="0F04F134"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6D4F0199"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2.1. Research Design and Study Area</w:t>
      </w:r>
    </w:p>
    <w:p w14:paraId="0AFD4EAF"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systematically assess the impact of the deployed technological intervention, an ex-post facto research design was rigorously adopted. This design is scientifically appropriate as the independent variable (the introduction and exposure to the QR code-based extension system) had already occurred, and the researchers were investigating its subsequent impact on the dependent variables (knowledge gain, adoption, and satisfaction) without manipulating the environment. The study was purposefully conducted in the operational area of Krishi Vigyan Kendra, Akola, Maharashtra, covering specific rural villages where the QR code–based digital extension interventions had been actively implemented and actively promoted among the farming community.</w:t>
      </w:r>
    </w:p>
    <w:p w14:paraId="3CE95CFE"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32C04C0B"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2.2. Sampling Procedure and Sample Size</w:t>
      </w:r>
    </w:p>
    <w:p w14:paraId="16320BE1"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The population for this study comprised all farmers residing in the operational area who had interacted with the KVK's digital extension system. A purposive random sampling technique was employed to select the final respondents. A total sample size of 120 respondents, all of whom had been directly exposed to and had utilized the QR code–based digital extension services, were carefully selected for the detailed investigation. This sample size is statistically adequate to draw meaningful inferences and perform robust parametric and non-parametric tests.</w:t>
      </w:r>
    </w:p>
    <w:p w14:paraId="4A6EB3D9"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18FE6DF7"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2.3. Data Collection Instrument</w:t>
      </w:r>
    </w:p>
    <w:p w14:paraId="73CD4B2F"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Primary data were meticulously collected using a structured, comprehensive, and pre-tested interview schedule. The instrument was meticulously designed to capture a wide array of dimensions, specifically covering socio-personal characteristics, baseline digital literacy, the exact pattern of QR code usage, the perceived ease of information access, objective knowledge gain, practical adoption behaviour of the recommended agricultural practices, and overall perceived usefulness and satisfaction. To ensure the reliability and validity of the data, the primary data collection involved face-to-face personal interviews and focused group discussions to capture qualitative nuances, while secondary data were rigorously sourced from official KVK records and the backend digital usage logs linked to the specific QR codes.</w:t>
      </w:r>
    </w:p>
    <w:p w14:paraId="6CAD5FEA"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25CA3B98"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2.4. Statistical Analysis</w:t>
      </w:r>
    </w:p>
    <w:p w14:paraId="5A5CF0E3"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The raw data collected from the field were tabulated, classified, and subjected to rigorous statistical analysis to draw logical conclusions. Descriptive statistics, including frequency distribution, percentage analysis, arithmetic mean, and standard deviation, were primarily utilized to profile the respondents and summarize the central tendencies of the data. Furthermore, to scientifically validate the impact of the intervention, inferential statistical tools were employed. A paired t-test was utilized to assess the statistical significance of knowledge gain (comparing pre-exposure and post-exposure scores), and Pearson’s correlation analysis was conducted to uncover the precise relationships and degree of association among key socio-economic and technological variables.</w:t>
      </w:r>
    </w:p>
    <w:p w14:paraId="3A9216EC" w14:textId="5245902A"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11862923"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3. RESULTS AND DISCUSSION</w:t>
      </w:r>
    </w:p>
    <w:p w14:paraId="2C54530C"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62E4EF8A"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3.1. Socio-Personal Profile and Digital Readiness of the Respondents</w:t>
      </w:r>
    </w:p>
    <w:p w14:paraId="03C67A72" w14:textId="4253E68A"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foundational success of any digital agricultural intervention heavily depends on the socio-economic reality and the technological readiness of the target demographic. As detailed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1</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the respondents predominantly belonged to the marginal (40.0%) and small (35.0%)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farmer categories. This cumulative 75.0% accurately reflects the typical, resource-constrained clientele of India's public agricultural extension systems. Medium landholders constituted 16.7%, while large farmers made up only 8.3% of the sample</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(Mittal &amp; Mehar, 2016).</w:t>
      </w:r>
    </w:p>
    <w:p w14:paraId="294EA5D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70541DCF"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 terms of age demographics, the largest cohort belonged to the middle-aged group (31–45 years) at 38.3%, followed by the 46–60 years category (28.3%), and the younger generation (Up to 30 years) at 23.3%. This indicates an active, economically vital age group engaging with farming operations. Educationally, the distribution was relatively balanced but leaned toward basic schooling: 30.0% had education up to the primary level, while the majority (36.7%) had completed secondary education. Those with higher secondary education (21.7%) and graduates and above (11.6%) formed the rest of the sample.</w:t>
      </w:r>
    </w:p>
    <w:p w14:paraId="375B68B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66088974"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Crucially, regarding digital infrastructure, an overwhelming 93.3% of the respondents reported owning a smartphone. Furthermore, 81.7% reported having regular or occasional internet access. These remarkably high levels of smartphone ownership and internet connectivity indicate a highly favourable technological environment for implementing digital extension interventions, proving that hardware constraints are rapidly diminishing even within smallholder farming systems. These contemporary findings strongly corroborate earlier observations regarding the accelerating digital readiness and smartphone penetration among rural Indian farming communities.</w:t>
      </w:r>
    </w:p>
    <w:p w14:paraId="732E6A40"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708E1FB3"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3.2. Awareness and Digital Literacy Levels</w:t>
      </w:r>
    </w:p>
    <w:p w14:paraId="1762F9D6" w14:textId="6313DA09"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To utilize a system, the target audience must first be aware of its existence and possess the baseline skills to navigate it. The study evaluated awareness across four specific components (scored out of a maximum of 1.0). As presented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2</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respondents exhibited a highly encouraging overall awareness mean score of 3.39 out of 4 (84.8%). Specifically, the awareness of the basic availability of the QR codes was exceptional at 91.0% (mean score 0.91), followed closely by the knowledge of the system's core purpose at 86.0% (0.86). The awareness of various topic categories available via the codes was also strong at 83.0% (0.83), while knowledge of the exact physical display locations across the district was slightly lower but still robust at 79.0% (0.79). This high level of awareness regarding QR code–based digital extension services is a testament to the effective promotional and deployment strategies utilized by KVK Akola</w:t>
      </w:r>
      <w:r w:rsidR="000A2C67" w:rsidRPr="000A2C67">
        <w:rPr>
          <w:rFonts w:cs="Mangal"/>
          <w:kern w:val="0"/>
          <w:szCs w:val="20"/>
          <w:lang w:bidi="mr-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(Meera et al., 2004; Saravanan, 2010).</w:t>
      </w:r>
    </w:p>
    <w:p w14:paraId="1287F5E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4B17381F" w14:textId="7CE0F31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Regarding digital skills,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3</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illustrates the distribution of respondents based on their digital literacy index. The majority of the farmers (53.3%) possessed a medium level of digital literacy, while a significant 31.7% demonstrated high digital literacy. Only a small fraction (15.0%) fell into the low category. The mean digital literacy score stood at a solid 5.9 ± 1.4 out of a maximum score of 8. This indicates that most respondents were comfortably able to open a smartphone camera or scanning app, scan the QR codes, and autonomously navigate the resulting digital content, which is a critical prerequisite for self-directed learning</w:t>
      </w:r>
      <w:r w:rsid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w:t>
      </w:r>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(Swanson &amp; </w:t>
      </w:r>
      <w:proofErr w:type="spellStart"/>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Rajalahti</w:t>
      </w:r>
      <w:proofErr w:type="spellEnd"/>
      <w:r w:rsidR="000A2C67" w:rsidRPr="000A2C67">
        <w:rPr>
          <w:rFonts w:ascii="Times New Roman" w:eastAsia="Times New Roman" w:hAnsi="Times New Roman" w:cs="Times New Roman"/>
          <w:color w:val="1F1F1F"/>
          <w:kern w:val="0"/>
          <w:sz w:val="24"/>
          <w:szCs w:val="24"/>
          <w:bdr w:val="none" w:sz="0" w:space="0" w:color="auto" w:frame="1"/>
          <w:lang w:eastAsia="en-IN" w:bidi="hi-IN"/>
          <w14:ligatures w14:val="none"/>
        </w:rPr>
        <w:t>, 2010).</w:t>
      </w:r>
    </w:p>
    <w:p w14:paraId="4F9E123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54D0CBA3"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3.3. Utilization Pattern and Parameters of Information Access</w:t>
      </w:r>
    </w:p>
    <w:p w14:paraId="692105E7"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true value of an extension service lies in its frequency of use and the quality of the user experience.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4</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details the usage frequency, revealing that the largest segment of respondents (30.0%) utilized the QR codes on a weekly basis, followed by 23.3% who used them fortnightly, and 18.3% who engaged monthly. Interestingly, 11.7% were "super-users" who scanned codes daily, while 16.7% used them occasionally. This frequency indicates regular, habitual engagement, strongly suggesting that QR code–based systems have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successfully transitioned from novelty tools into dependable resources that effectively promote self-learning and on-demand access to technical information.</w:t>
      </w:r>
    </w:p>
    <w:p w14:paraId="32EC5904"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The quality of this information access was evaluated on a 5-point scale across multiple parameters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5</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respondents expressed exceptionally high satisfaction with the system, yielding an overall mean score of 4.21 out of 5. The highest rated parameter was the "Anytime, anywhere accessibility" of the information, scoring a remarkable 4.48. This was closely followed by the "Language simplicity" (4.41), "Proper categorization of content" (4.36), and "Ease of access" (4.32). The "Relevance to farming needs" (4.18) and "Timeliness of information" (4.06) also scored very highly. Even the parameter regarding "Reduced need to visit KVK" scored a strong 3.92, indicating that the digital system is effectively functioning as a decentralized proxy for physical institutional visits, saving farmers critical time and travel expenditure.</w:t>
      </w:r>
    </w:p>
    <w:p w14:paraId="2FE0A075"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301FD016"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3.4. Impact on Knowledge Gain and Practical Adoption Behaviour</w:t>
      </w:r>
    </w:p>
    <w:p w14:paraId="4F7EA978"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The ultimate metric of extension success is the measurable transfer of knowledge and the subsequent application of that knowledge in the field. To measure cognitive impact, a rigorous pre- and post-exposure knowledge test was administered. As detailed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6</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mean knowledge score of the respondents prior to exposure to the QR code system was 9.4 (Standard Deviation = 2.1). Following active exposure and utilization of the QR-linked multimedia content, the mean score dramatically increased to 14.8 (Standard Deviation = 2.3). To validate this, a paired t-test was conducted, yielding a highly significant t-value of 18.62 (p &lt; 0.01). This statistical analysis confirms a highly significant increase in knowledge levels after exposure to QR code–based information, conclusively proving the effectiveness of this approach in rapidly improving technical understanding and supporting timely, science-based decision-making on the farm. These empirical findings provide robust contemporary support to earlier studies that highlighted the transformative effectiveness of ICT-enabled extension tools in agrarian settings.</w:t>
      </w:r>
    </w:p>
    <w:p w14:paraId="49383364"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However, knowledge does not always guarantee practice.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7</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captures the actual adoption behaviour of the recommended agricultural practices accessed through the QR codes. The data is highly promising: a considerable 43.3% of respondents reported partial adoption of the technologies, while an impressive 28.3% reported full adoption. Combined, over 71% of the users integrated the digital advice into their physical farming operations. Conversely, 15.0% tried the practices but eventually discontinued them (likely due to external constraints such as input unavailability or adverse weather), and 13.4% did not adopt the practices at all. The high rates of partial and full adoption underscore the persuasive power of contextualized, easily accessible digital advisory.</w:t>
      </w:r>
    </w:p>
    <w:p w14:paraId="41506821"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0C185228"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3.5. User Satisfaction and the Digital Extension Effectiveness Index (DEEI)</w:t>
      </w:r>
    </w:p>
    <w:p w14:paraId="1C147F4E"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To gauge holistic system performance, user satisfaction and an aggregated effectiveness index were computed. As shown in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8</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overall user satisfaction levels were extremely positive. A commanding majority of 56.7% reported high satisfaction, and 35.0% reported medium satisfaction. Only a marginal 8.3% expressed low satisfaction. The mean satisfaction score was calculated at a robust 33.6 ± 4.2 out of a maximum possible score of 40. Qualitative feedback indicated this satisfaction was primarily driven by the system's ease of use, extreme time efficiency, and the environmentally friendly, paperless nature of the technology which prevented the physical degradation or loss of advisory material.</w:t>
      </w:r>
    </w:p>
    <w:p w14:paraId="5964A4B5"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encapsulate the overall success of the KVK initiative, a composite Digital Extension Effectiveness Index (DEEI) was formulated. The distribution of respondents according to the DEEI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9</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reveals that more than half of the respondents (51.7%) fell into the 'High' effectiveness category (score &gt; 66). The 'Medium' category (score 34–66) captured 38.3% of </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lastRenderedPageBreak/>
        <w:t>the respondents, while only 10.0% remained in the 'Low' category (score ≤ 33). The overall mean DEEI score stood at an impressive 68.4 ± 11.6, confirming that a majority of the respondents experienced a high level of overarching extension effectiveness from the QR code deployment.</w:t>
      </w:r>
    </w:p>
    <w:p w14:paraId="050F97A3"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To deeply understand the drivers of this effectiveness, Pearson's correlation coefficients (r) were calculated between the DEEI and selected independent variables (</w:t>
      </w: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Table 10</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The analysis revealed mathematically strong, positive relationships across the board. The most significant correlation was found between DEEI and Information access (r = 0.72**), followed closely by User satisfaction (r = 0.69**). Digital literacy (r = 0.61**) and the Frequency of QR usage (r = 0.58**) also showed robust positive correlations. Finally, formal Education (r = 0.42**) also played a significant role. All these variables were highly significant at the 1 per cent level. These correlations clearly emphasize the critical importance of ensuring system simplicity, frictionless information access, and highly user-centric design when developing digital extension tools; when the tool is easy to access and satisfies the user's immediate needs, the overall effectiveness of the extension effort magnifies exponentially.</w:t>
      </w:r>
    </w:p>
    <w:p w14:paraId="42390090" w14:textId="44B79194"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1FD75E92" w14:textId="77777777" w:rsid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bdr w:val="none" w:sz="0" w:space="0" w:color="auto" w:frame="1"/>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4. CONCLUSION AND POLICY IMPLICATIONS</w:t>
      </w:r>
    </w:p>
    <w:p w14:paraId="5506B99B" w14:textId="77777777" w:rsidR="000A2C67" w:rsidRPr="00D53954" w:rsidRDefault="000A2C67"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p>
    <w:p w14:paraId="2453BABE"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4.1. Conclusion</w:t>
      </w:r>
    </w:p>
    <w:p w14:paraId="3B2FCB3D"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This comprehensive ex-post facto investigation conclusively establishes that the integration of QR code–based digital extension is a highly effective, elegantly simple, and immensely scalable approach for delivering complex agricultural information in a decentralized, paperless mode. The pioneering initiative implemented by KVK Akola successfully bypassed the traditional barriers of physical extension, resulting in high levels of systemic awareness, regular and habitual utilization patterns, statistically significant technical knowledge gains, and an impressive rate of moderate to high adoption of recommended agricultural practices among the farming community.</w:t>
      </w:r>
    </w:p>
    <w:p w14:paraId="3394B030" w14:textId="77777777" w:rsidR="00D53954" w:rsidRDefault="00D53954" w:rsidP="00D53954">
      <w:pPr>
        <w:spacing w:after="0" w:line="240" w:lineRule="auto"/>
        <w:jc w:val="both"/>
        <w:rPr>
          <w:rFonts w:ascii="Times New Roman" w:eastAsia="Times New Roman" w:hAnsi="Times New Roman" w:cs="Times New Roman"/>
          <w:color w:val="1F1F1F"/>
          <w:kern w:val="0"/>
          <w:sz w:val="24"/>
          <w:szCs w:val="24"/>
          <w:bdr w:val="none" w:sz="0" w:space="0" w:color="auto" w:frame="1"/>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Perhaps the most profound takeaway from this research is the demonstration that digital extension does not fundamentally require the deployment of highly complex, expensive, or high-end backend technologies. The strategic, thoughtful deployment of simple, universally compatible tools such as QR codes—specifically when positioned at critical farmer touchpoints like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-input dealer networks, integrated into physical training programmes, and hosted on institutional platforms—can dramatically enhance the geographical outreach and operational efficiency of public extension services. QR code–based digital extension has thus empirically proven itself to be a highly viable, economically sustainable pathway for advancing intelligent, inclusive, and next-generation agricultural extension systems tailored for smallholder dominance.</w:t>
      </w:r>
    </w:p>
    <w:p w14:paraId="14550DB6" w14:textId="77777777" w:rsidR="000A2C67" w:rsidRPr="00D53954" w:rsidRDefault="000A2C67"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6A37F0C9" w14:textId="77777777" w:rsidR="00D53954" w:rsidRPr="00D53954" w:rsidRDefault="00D53954" w:rsidP="00D53954">
      <w:pPr>
        <w:spacing w:after="0" w:line="240" w:lineRule="auto"/>
        <w:jc w:val="both"/>
        <w:outlineLvl w:val="3"/>
        <w:rPr>
          <w:rFonts w:ascii="Times New Roman" w:eastAsia="Times New Roman" w:hAnsi="Times New Roman" w:cs="Times New Roman"/>
          <w:b/>
          <w:bCs/>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4.2. Strategic Implications for Next-Generation Agriculture</w:t>
      </w:r>
    </w:p>
    <w:p w14:paraId="7F1D3691" w14:textId="77777777" w:rsidR="00D53954" w:rsidRPr="00D53954" w:rsidRDefault="00D53954" w:rsidP="00D53954">
      <w:pPr>
        <w:spacing w:after="15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lang w:eastAsia="en-IN" w:bidi="hi-IN"/>
          <w14:ligatures w14:val="none"/>
        </w:rPr>
        <w:t>The findings of this study provide several critical imperatives for policymakers, agricultural research institutions, and grassroots extension workers:</w:t>
      </w:r>
    </w:p>
    <w:p w14:paraId="1EC359EE"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Mainstreaming the Methodology:</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The QR code–based digital extension framework should be officially integrated into the broader ICAR–KVK extension strategies nationwide, serving as a powerful complementary tool to support, rather than entirely replace, conventional physical extension methods.</w:t>
      </w:r>
    </w:p>
    <w:p w14:paraId="475DBFAD"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Ecosystem Policy Support:</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Dedicated policy support is urgently required at the state and national levels to heavily promote paperless extension models. This involves allocating resources to continually strengthen foundational digital literacy among marginal farmers.</w:t>
      </w:r>
    </w:p>
    <w:p w14:paraId="728F1CDF"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lastRenderedPageBreak/>
        <w:t>Decentralized Knowledge Hubs: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There is a strategic need to formally recognize and utilize rural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-input dealer shops as decentralized digital knowledge hubs, outfitting them with official, institution-backed QR repositories to ensure farmers receive validated information at the absolute point of purchase.</w:t>
      </w:r>
    </w:p>
    <w:p w14:paraId="77538CB9" w14:textId="77777777" w:rsidR="00D53954" w:rsidRPr="00D53954"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Standardized Content Validation:</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As the volume of digital content grows, establishing rigorous, standardized content validation mechanisms at the institutional level is necessary to maintain the scientific integrity of the advisory provided through these codes.</w:t>
      </w:r>
    </w:p>
    <w:p w14:paraId="5B4A7CD5" w14:textId="77777777" w:rsidR="00D53954" w:rsidRPr="000A2C67" w:rsidRDefault="00D53954"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b/>
          <w:bCs/>
          <w:color w:val="1F1F1F"/>
          <w:kern w:val="0"/>
          <w:sz w:val="24"/>
          <w:szCs w:val="24"/>
          <w:bdr w:val="none" w:sz="0" w:space="0" w:color="auto" w:frame="1"/>
          <w:lang w:eastAsia="en-IN" w:bidi="hi-IN"/>
          <w14:ligatures w14:val="none"/>
        </w:rPr>
        <w:t>Continuous Monitoring via Indices: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Finally, the continuous adoption of composite evaluation metrics, such as the Digital Extension Effectiveness Index (DEEI) utilized in this study, can significantly facilitate systematic, real-time monitoring and highly evidence-based decision-making for future digital extension programmes.</w:t>
      </w:r>
    </w:p>
    <w:p w14:paraId="240DDFFF" w14:textId="77777777" w:rsidR="000A2C67" w:rsidRPr="00D53954" w:rsidRDefault="000A2C67" w:rsidP="00D53954">
      <w:pPr>
        <w:numPr>
          <w:ilvl w:val="0"/>
          <w:numId w:val="1"/>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p>
    <w:p w14:paraId="53A3D94F" w14:textId="77777777" w:rsidR="00D53954" w:rsidRPr="00D53954" w:rsidRDefault="00D53954" w:rsidP="00D53954">
      <w:p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By leveraging these insights, the model developed by KVK Akola demonstrates a strong, empirically validated potential for immediate replication across various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agro</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-ecological zones, cementing its place as a cornerstone strategy for supporting next-generation agriculture.</w:t>
      </w:r>
    </w:p>
    <w:p w14:paraId="4FD4950C" w14:textId="1DFBA928" w:rsidR="00D53954" w:rsidRPr="00D53954" w:rsidRDefault="00D53954" w:rsidP="00D53954">
      <w:pPr>
        <w:spacing w:after="120" w:line="240" w:lineRule="auto"/>
        <w:jc w:val="both"/>
        <w:rPr>
          <w:rFonts w:ascii="Times New Roman" w:eastAsia="Times New Roman" w:hAnsi="Times New Roman" w:cs="Times New Roman"/>
          <w:color w:val="1F1F1F"/>
          <w:kern w:val="0"/>
          <w:sz w:val="24"/>
          <w:szCs w:val="24"/>
          <w:lang w:eastAsia="en-IN" w:bidi="hi-IN"/>
          <w14:ligatures w14:val="none"/>
        </w:rPr>
      </w:pPr>
    </w:p>
    <w:p w14:paraId="2966D609" w14:textId="77777777" w:rsidR="00D53954" w:rsidRPr="00D53954" w:rsidRDefault="00D53954" w:rsidP="00D53954">
      <w:pPr>
        <w:spacing w:after="0" w:line="240" w:lineRule="auto"/>
        <w:jc w:val="both"/>
        <w:outlineLvl w:val="2"/>
        <w:rPr>
          <w:rFonts w:ascii="Times New Roman" w:eastAsia="Times New Roman" w:hAnsi="Times New Roman" w:cs="Times New Roman"/>
          <w:b/>
          <w:bCs/>
          <w:color w:val="1F1F1F"/>
          <w:kern w:val="0"/>
          <w:sz w:val="27"/>
          <w:szCs w:val="27"/>
          <w:lang w:eastAsia="en-IN" w:bidi="hi-IN"/>
          <w14:ligatures w14:val="none"/>
        </w:rPr>
      </w:pPr>
      <w:r w:rsidRPr="00D53954">
        <w:rPr>
          <w:rFonts w:ascii="Times New Roman" w:eastAsia="Times New Roman" w:hAnsi="Times New Roman" w:cs="Times New Roman"/>
          <w:b/>
          <w:bCs/>
          <w:color w:val="1F1F1F"/>
          <w:kern w:val="0"/>
          <w:sz w:val="27"/>
          <w:szCs w:val="27"/>
          <w:bdr w:val="none" w:sz="0" w:space="0" w:color="auto" w:frame="1"/>
          <w:lang w:eastAsia="en-IN" w:bidi="hi-IN"/>
          <w14:ligatures w14:val="none"/>
        </w:rPr>
        <w:t>REFERENCES</w:t>
      </w:r>
    </w:p>
    <w:p w14:paraId="692DE797"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Davis, K., Swanson, B., &amp;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Amudavi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D. (2012). Review and recommendations for strengthening the agricultural extension system.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IFPRI Discussion Paper</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w:t>
      </w:r>
    </w:p>
    <w:p w14:paraId="211A8145"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Meera, S. N.,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Jhamtani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A., &amp; Rao, D. U. M. (2004). Information and communication technology in agricultural development: A comparative analysis.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Agricultural Extension Review</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16(2), 9–18.</w:t>
      </w:r>
    </w:p>
    <w:p w14:paraId="10DDFFBF"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Mittal, S., &amp; Mehar, M. (2016). Socio-economic factors affecting adoption of modern ICT by farmers in India.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Agricultural Economics Research Review</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29(2), 256–272.</w:t>
      </w:r>
    </w:p>
    <w:p w14:paraId="2FA90766"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Saravanan, R. (2010).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ICTs for agricultural extension: Global experiments, innovations and experiences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New India Publishing Agency, New Delhi.</w:t>
      </w:r>
    </w:p>
    <w:p w14:paraId="028D92B3" w14:textId="77777777" w:rsidR="00D53954" w:rsidRPr="00D53954" w:rsidRDefault="00D53954" w:rsidP="00D53954">
      <w:pPr>
        <w:numPr>
          <w:ilvl w:val="0"/>
          <w:numId w:val="2"/>
        </w:numPr>
        <w:spacing w:after="0" w:line="240" w:lineRule="auto"/>
        <w:jc w:val="both"/>
        <w:rPr>
          <w:rFonts w:ascii="Times New Roman" w:eastAsia="Times New Roman" w:hAnsi="Times New Roman" w:cs="Times New Roman"/>
          <w:color w:val="1F1F1F"/>
          <w:kern w:val="0"/>
          <w:sz w:val="24"/>
          <w:szCs w:val="24"/>
          <w:lang w:eastAsia="en-IN" w:bidi="hi-IN"/>
          <w14:ligatures w14:val="none"/>
        </w:rPr>
      </w:pP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Swanson, B. E., &amp; </w:t>
      </w:r>
      <w:proofErr w:type="spellStart"/>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Rajalahti</w:t>
      </w:r>
      <w:proofErr w:type="spellEnd"/>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xml:space="preserve">, R. (2010). </w:t>
      </w:r>
      <w:r w:rsidRPr="00D53954">
        <w:rPr>
          <w:rFonts w:ascii="Times New Roman" w:eastAsia="Times New Roman" w:hAnsi="Times New Roman" w:cs="Times New Roman"/>
          <w:i/>
          <w:iCs/>
          <w:color w:val="1F1F1F"/>
          <w:kern w:val="0"/>
          <w:sz w:val="24"/>
          <w:szCs w:val="24"/>
          <w:bdr w:val="none" w:sz="0" w:space="0" w:color="auto" w:frame="1"/>
          <w:lang w:eastAsia="en-IN" w:bidi="hi-IN"/>
          <w14:ligatures w14:val="none"/>
        </w:rPr>
        <w:t>Strengthening agricultural extension and advisory systems</w:t>
      </w:r>
      <w:r w:rsidRPr="00D53954">
        <w:rPr>
          <w:rFonts w:ascii="Times New Roman" w:eastAsia="Times New Roman" w:hAnsi="Times New Roman" w:cs="Times New Roman"/>
          <w:color w:val="1F1F1F"/>
          <w:kern w:val="0"/>
          <w:sz w:val="24"/>
          <w:szCs w:val="24"/>
          <w:bdr w:val="none" w:sz="0" w:space="0" w:color="auto" w:frame="1"/>
          <w:lang w:eastAsia="en-IN" w:bidi="hi-IN"/>
          <w14:ligatures w14:val="none"/>
        </w:rPr>
        <w:t>. World Bank, Washington, DC.</w:t>
      </w:r>
    </w:p>
    <w:p w14:paraId="20F0A2FF" w14:textId="77777777" w:rsidR="00CA1630" w:rsidRDefault="00CA1630" w:rsidP="00D53954">
      <w:pPr>
        <w:jc w:val="both"/>
        <w:rPr>
          <w:rFonts w:ascii="Times New Roman" w:hAnsi="Times New Roman" w:cs="Times New Roman"/>
        </w:rPr>
      </w:pPr>
    </w:p>
    <w:p w14:paraId="3B8EF78D"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 xml:space="preserve">Table 1. Distribution of respondents according to socio-personal characteristics </w:t>
      </w:r>
    </w:p>
    <w:tbl>
      <w:tblPr>
        <w:tblStyle w:val="TableGrid"/>
        <w:tblW w:w="9240" w:type="dxa"/>
        <w:tblLook w:val="04A0" w:firstRow="1" w:lastRow="0" w:firstColumn="1" w:lastColumn="0" w:noHBand="0" w:noVBand="1"/>
      </w:tblPr>
      <w:tblGrid>
        <w:gridCol w:w="2310"/>
        <w:gridCol w:w="2310"/>
        <w:gridCol w:w="2310"/>
        <w:gridCol w:w="2310"/>
      </w:tblGrid>
      <w:tr w:rsidR="000A2C67" w:rsidRPr="00D05002" w14:paraId="0C2A4182" w14:textId="77777777" w:rsidTr="0048069D">
        <w:tc>
          <w:tcPr>
            <w:tcW w:w="2310" w:type="dxa"/>
            <w:vAlign w:val="center"/>
          </w:tcPr>
          <w:p w14:paraId="76BBB802"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Characteristic</w:t>
            </w:r>
          </w:p>
        </w:tc>
        <w:tc>
          <w:tcPr>
            <w:tcW w:w="2310" w:type="dxa"/>
            <w:vAlign w:val="center"/>
          </w:tcPr>
          <w:p w14:paraId="1A8F122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Category</w:t>
            </w:r>
          </w:p>
        </w:tc>
        <w:tc>
          <w:tcPr>
            <w:tcW w:w="2310" w:type="dxa"/>
            <w:vAlign w:val="center"/>
          </w:tcPr>
          <w:p w14:paraId="7DB71097"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2310" w:type="dxa"/>
            <w:vAlign w:val="center"/>
          </w:tcPr>
          <w:p w14:paraId="73046F2F"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4652BBE7" w14:textId="77777777" w:rsidTr="0048069D">
        <w:tc>
          <w:tcPr>
            <w:tcW w:w="2310" w:type="dxa"/>
            <w:vAlign w:val="center"/>
          </w:tcPr>
          <w:p w14:paraId="4C1FCD3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Age (years)</w:t>
            </w:r>
          </w:p>
        </w:tc>
        <w:tc>
          <w:tcPr>
            <w:tcW w:w="2310" w:type="dxa"/>
            <w:vAlign w:val="center"/>
          </w:tcPr>
          <w:p w14:paraId="7B10077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Up to 30</w:t>
            </w:r>
          </w:p>
        </w:tc>
        <w:tc>
          <w:tcPr>
            <w:tcW w:w="2310" w:type="dxa"/>
            <w:vAlign w:val="center"/>
          </w:tcPr>
          <w:p w14:paraId="30FBA70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w:t>
            </w:r>
          </w:p>
        </w:tc>
        <w:tc>
          <w:tcPr>
            <w:tcW w:w="2310" w:type="dxa"/>
            <w:vAlign w:val="center"/>
          </w:tcPr>
          <w:p w14:paraId="41431A3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23.3</w:t>
            </w:r>
          </w:p>
        </w:tc>
      </w:tr>
      <w:tr w:rsidR="000A2C67" w:rsidRPr="00D05002" w14:paraId="7B213928" w14:textId="77777777" w:rsidTr="0048069D">
        <w:tc>
          <w:tcPr>
            <w:tcW w:w="2310" w:type="dxa"/>
            <w:vAlign w:val="center"/>
          </w:tcPr>
          <w:p w14:paraId="6EFF5EAA"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55DF801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31–45</w:t>
            </w:r>
          </w:p>
        </w:tc>
        <w:tc>
          <w:tcPr>
            <w:tcW w:w="2310" w:type="dxa"/>
            <w:vAlign w:val="center"/>
          </w:tcPr>
          <w:p w14:paraId="7A42C92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46</w:t>
            </w:r>
          </w:p>
        </w:tc>
        <w:tc>
          <w:tcPr>
            <w:tcW w:w="2310" w:type="dxa"/>
            <w:vAlign w:val="center"/>
          </w:tcPr>
          <w:p w14:paraId="6F2BB73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38.3</w:t>
            </w:r>
          </w:p>
        </w:tc>
      </w:tr>
      <w:tr w:rsidR="000A2C67" w:rsidRPr="00D05002" w14:paraId="43D13508" w14:textId="77777777" w:rsidTr="0048069D">
        <w:tc>
          <w:tcPr>
            <w:tcW w:w="2310" w:type="dxa"/>
            <w:vAlign w:val="center"/>
          </w:tcPr>
          <w:p w14:paraId="449AB4EF"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7E1C02F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46–60</w:t>
            </w:r>
          </w:p>
        </w:tc>
        <w:tc>
          <w:tcPr>
            <w:tcW w:w="2310" w:type="dxa"/>
            <w:vAlign w:val="center"/>
          </w:tcPr>
          <w:p w14:paraId="13AAF59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34</w:t>
            </w:r>
          </w:p>
        </w:tc>
        <w:tc>
          <w:tcPr>
            <w:tcW w:w="2310" w:type="dxa"/>
            <w:vAlign w:val="center"/>
          </w:tcPr>
          <w:p w14:paraId="209D0B8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28.3</w:t>
            </w:r>
          </w:p>
        </w:tc>
      </w:tr>
      <w:tr w:rsidR="000A2C67" w:rsidRPr="00D05002" w14:paraId="36B6E556" w14:textId="77777777" w:rsidTr="0048069D">
        <w:tc>
          <w:tcPr>
            <w:tcW w:w="2310" w:type="dxa"/>
            <w:vAlign w:val="center"/>
          </w:tcPr>
          <w:p w14:paraId="4BEC43B4"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41EE3B6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Above 60</w:t>
            </w:r>
          </w:p>
        </w:tc>
        <w:tc>
          <w:tcPr>
            <w:tcW w:w="2310" w:type="dxa"/>
            <w:vAlign w:val="center"/>
          </w:tcPr>
          <w:p w14:paraId="6B692D7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12</w:t>
            </w:r>
          </w:p>
        </w:tc>
        <w:tc>
          <w:tcPr>
            <w:tcW w:w="2310" w:type="dxa"/>
            <w:vAlign w:val="center"/>
          </w:tcPr>
          <w:p w14:paraId="3D02FD2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10.0</w:t>
            </w:r>
          </w:p>
        </w:tc>
      </w:tr>
      <w:tr w:rsidR="000A2C67" w:rsidRPr="00D05002" w14:paraId="07DE310D" w14:textId="77777777" w:rsidTr="0048069D">
        <w:tc>
          <w:tcPr>
            <w:tcW w:w="2310" w:type="dxa"/>
            <w:vAlign w:val="center"/>
          </w:tcPr>
          <w:p w14:paraId="2188ED1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Education</w:t>
            </w:r>
          </w:p>
        </w:tc>
        <w:tc>
          <w:tcPr>
            <w:tcW w:w="2310" w:type="dxa"/>
            <w:vAlign w:val="center"/>
          </w:tcPr>
          <w:p w14:paraId="1CFD0EF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Up to Primary</w:t>
            </w:r>
          </w:p>
        </w:tc>
        <w:tc>
          <w:tcPr>
            <w:tcW w:w="2310" w:type="dxa"/>
            <w:vAlign w:val="center"/>
          </w:tcPr>
          <w:p w14:paraId="33349BC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36</w:t>
            </w:r>
          </w:p>
        </w:tc>
        <w:tc>
          <w:tcPr>
            <w:tcW w:w="2310" w:type="dxa"/>
            <w:vAlign w:val="center"/>
          </w:tcPr>
          <w:p w14:paraId="0449376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30.0</w:t>
            </w:r>
          </w:p>
        </w:tc>
      </w:tr>
      <w:tr w:rsidR="000A2C67" w:rsidRPr="00D05002" w14:paraId="00D4AAE7" w14:textId="77777777" w:rsidTr="0048069D">
        <w:tc>
          <w:tcPr>
            <w:tcW w:w="2310" w:type="dxa"/>
            <w:vAlign w:val="center"/>
          </w:tcPr>
          <w:p w14:paraId="720C64A9"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607E964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Secondary</w:t>
            </w:r>
          </w:p>
        </w:tc>
        <w:tc>
          <w:tcPr>
            <w:tcW w:w="2310" w:type="dxa"/>
            <w:vAlign w:val="center"/>
          </w:tcPr>
          <w:p w14:paraId="7358682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44</w:t>
            </w:r>
          </w:p>
        </w:tc>
        <w:tc>
          <w:tcPr>
            <w:tcW w:w="2310" w:type="dxa"/>
            <w:vAlign w:val="center"/>
          </w:tcPr>
          <w:p w14:paraId="219F8C4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36.7</w:t>
            </w:r>
          </w:p>
        </w:tc>
      </w:tr>
      <w:tr w:rsidR="000A2C67" w:rsidRPr="00D05002" w14:paraId="1FE796C1" w14:textId="77777777" w:rsidTr="0048069D">
        <w:tc>
          <w:tcPr>
            <w:tcW w:w="2310" w:type="dxa"/>
            <w:vAlign w:val="center"/>
          </w:tcPr>
          <w:p w14:paraId="79AD1B1C"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00F5EE0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Higher Secondary</w:t>
            </w:r>
          </w:p>
        </w:tc>
        <w:tc>
          <w:tcPr>
            <w:tcW w:w="2310" w:type="dxa"/>
            <w:vAlign w:val="center"/>
          </w:tcPr>
          <w:p w14:paraId="75B9FE8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26</w:t>
            </w:r>
          </w:p>
        </w:tc>
        <w:tc>
          <w:tcPr>
            <w:tcW w:w="2310" w:type="dxa"/>
            <w:vAlign w:val="center"/>
          </w:tcPr>
          <w:p w14:paraId="7B66556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21.7</w:t>
            </w:r>
          </w:p>
        </w:tc>
      </w:tr>
      <w:tr w:rsidR="000A2C67" w:rsidRPr="00D05002" w14:paraId="2D4DD401" w14:textId="77777777" w:rsidTr="0048069D">
        <w:tc>
          <w:tcPr>
            <w:tcW w:w="2310" w:type="dxa"/>
            <w:vAlign w:val="center"/>
          </w:tcPr>
          <w:p w14:paraId="128F3C76"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1C0F463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Graduate &amp; above</w:t>
            </w:r>
          </w:p>
        </w:tc>
        <w:tc>
          <w:tcPr>
            <w:tcW w:w="2310" w:type="dxa"/>
            <w:vAlign w:val="center"/>
          </w:tcPr>
          <w:p w14:paraId="1106AE6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14</w:t>
            </w:r>
          </w:p>
        </w:tc>
        <w:tc>
          <w:tcPr>
            <w:tcW w:w="2310" w:type="dxa"/>
            <w:vAlign w:val="center"/>
          </w:tcPr>
          <w:p w14:paraId="485CDB1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11.6</w:t>
            </w:r>
          </w:p>
        </w:tc>
      </w:tr>
      <w:tr w:rsidR="000A2C67" w:rsidRPr="00D05002" w14:paraId="030B8348" w14:textId="77777777" w:rsidTr="0048069D">
        <w:tc>
          <w:tcPr>
            <w:tcW w:w="2310" w:type="dxa"/>
            <w:vAlign w:val="center"/>
          </w:tcPr>
          <w:p w14:paraId="1DCAEB4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Landholding</w:t>
            </w:r>
          </w:p>
        </w:tc>
        <w:tc>
          <w:tcPr>
            <w:tcW w:w="2310" w:type="dxa"/>
            <w:vAlign w:val="center"/>
          </w:tcPr>
          <w:p w14:paraId="0CAFDBA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Marginal</w:t>
            </w:r>
          </w:p>
        </w:tc>
        <w:tc>
          <w:tcPr>
            <w:tcW w:w="2310" w:type="dxa"/>
            <w:vAlign w:val="center"/>
          </w:tcPr>
          <w:p w14:paraId="5189801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48</w:t>
            </w:r>
          </w:p>
        </w:tc>
        <w:tc>
          <w:tcPr>
            <w:tcW w:w="2310" w:type="dxa"/>
            <w:vAlign w:val="center"/>
          </w:tcPr>
          <w:p w14:paraId="23049D1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40.0</w:t>
            </w:r>
          </w:p>
        </w:tc>
      </w:tr>
      <w:tr w:rsidR="000A2C67" w:rsidRPr="00D05002" w14:paraId="35C8AE14" w14:textId="77777777" w:rsidTr="0048069D">
        <w:tc>
          <w:tcPr>
            <w:tcW w:w="2310" w:type="dxa"/>
            <w:vAlign w:val="center"/>
          </w:tcPr>
          <w:p w14:paraId="6BB8014C"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0D16BDE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Small</w:t>
            </w:r>
          </w:p>
        </w:tc>
        <w:tc>
          <w:tcPr>
            <w:tcW w:w="2310" w:type="dxa"/>
            <w:vAlign w:val="center"/>
          </w:tcPr>
          <w:p w14:paraId="3C7FB95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42</w:t>
            </w:r>
          </w:p>
        </w:tc>
        <w:tc>
          <w:tcPr>
            <w:tcW w:w="2310" w:type="dxa"/>
            <w:vAlign w:val="center"/>
          </w:tcPr>
          <w:p w14:paraId="0AF6B69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35.0</w:t>
            </w:r>
          </w:p>
        </w:tc>
      </w:tr>
      <w:tr w:rsidR="000A2C67" w:rsidRPr="00D05002" w14:paraId="1B5509B7" w14:textId="77777777" w:rsidTr="0048069D">
        <w:tc>
          <w:tcPr>
            <w:tcW w:w="2310" w:type="dxa"/>
            <w:vAlign w:val="center"/>
          </w:tcPr>
          <w:p w14:paraId="6ECB1792"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005421D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2310" w:type="dxa"/>
            <w:vAlign w:val="center"/>
          </w:tcPr>
          <w:p w14:paraId="36A415C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20</w:t>
            </w:r>
          </w:p>
        </w:tc>
        <w:tc>
          <w:tcPr>
            <w:tcW w:w="2310" w:type="dxa"/>
            <w:vAlign w:val="center"/>
          </w:tcPr>
          <w:p w14:paraId="4FE4E5E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16.7</w:t>
            </w:r>
          </w:p>
        </w:tc>
      </w:tr>
      <w:tr w:rsidR="000A2C67" w:rsidRPr="00D05002" w14:paraId="416CD98A" w14:textId="77777777" w:rsidTr="0048069D">
        <w:tc>
          <w:tcPr>
            <w:tcW w:w="2310" w:type="dxa"/>
            <w:vAlign w:val="center"/>
          </w:tcPr>
          <w:p w14:paraId="286284CD" w14:textId="77777777" w:rsidR="000A2C67" w:rsidRPr="00D05002" w:rsidRDefault="000A2C67" w:rsidP="0048069D">
            <w:pPr>
              <w:jc w:val="both"/>
              <w:rPr>
                <w:rFonts w:ascii="Times New Roman" w:eastAsia="Times New Roman" w:hAnsi="Times New Roman" w:cs="Times New Roman"/>
                <w:sz w:val="24"/>
                <w:szCs w:val="24"/>
                <w:lang w:eastAsia="en-IN"/>
              </w:rPr>
            </w:pPr>
          </w:p>
        </w:tc>
        <w:tc>
          <w:tcPr>
            <w:tcW w:w="2310" w:type="dxa"/>
            <w:vAlign w:val="center"/>
          </w:tcPr>
          <w:p w14:paraId="668D85B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Large</w:t>
            </w:r>
          </w:p>
        </w:tc>
        <w:tc>
          <w:tcPr>
            <w:tcW w:w="2310" w:type="dxa"/>
            <w:vAlign w:val="center"/>
          </w:tcPr>
          <w:p w14:paraId="5E4F7DC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w:t>
            </w:r>
          </w:p>
        </w:tc>
        <w:tc>
          <w:tcPr>
            <w:tcW w:w="2310" w:type="dxa"/>
            <w:vAlign w:val="center"/>
          </w:tcPr>
          <w:p w14:paraId="2A98C29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8.3</w:t>
            </w:r>
          </w:p>
        </w:tc>
      </w:tr>
      <w:tr w:rsidR="000A2C67" w:rsidRPr="00D05002" w14:paraId="75488E5A" w14:textId="77777777" w:rsidTr="0048069D">
        <w:tc>
          <w:tcPr>
            <w:tcW w:w="2310" w:type="dxa"/>
            <w:vAlign w:val="center"/>
          </w:tcPr>
          <w:p w14:paraId="07E26B1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Smartphone ownership</w:t>
            </w:r>
          </w:p>
        </w:tc>
        <w:tc>
          <w:tcPr>
            <w:tcW w:w="2310" w:type="dxa"/>
            <w:vAlign w:val="center"/>
          </w:tcPr>
          <w:p w14:paraId="1431F5D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Yes</w:t>
            </w:r>
          </w:p>
        </w:tc>
        <w:tc>
          <w:tcPr>
            <w:tcW w:w="2310" w:type="dxa"/>
            <w:vAlign w:val="center"/>
          </w:tcPr>
          <w:p w14:paraId="5BB024D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112</w:t>
            </w:r>
          </w:p>
        </w:tc>
        <w:tc>
          <w:tcPr>
            <w:tcW w:w="2310" w:type="dxa"/>
            <w:vAlign w:val="center"/>
          </w:tcPr>
          <w:p w14:paraId="0F817A9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93.3</w:t>
            </w:r>
          </w:p>
        </w:tc>
      </w:tr>
      <w:tr w:rsidR="000A2C67" w:rsidRPr="00D05002" w14:paraId="6398A5CD" w14:textId="77777777" w:rsidTr="0048069D">
        <w:tc>
          <w:tcPr>
            <w:tcW w:w="2310" w:type="dxa"/>
            <w:vAlign w:val="center"/>
          </w:tcPr>
          <w:p w14:paraId="7B8A05E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Internet access</w:t>
            </w:r>
          </w:p>
        </w:tc>
        <w:tc>
          <w:tcPr>
            <w:tcW w:w="2310" w:type="dxa"/>
            <w:vAlign w:val="center"/>
          </w:tcPr>
          <w:p w14:paraId="791289B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Regular/Occasional</w:t>
            </w:r>
          </w:p>
        </w:tc>
        <w:tc>
          <w:tcPr>
            <w:tcW w:w="2310" w:type="dxa"/>
            <w:vAlign w:val="center"/>
          </w:tcPr>
          <w:p w14:paraId="573B623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98</w:t>
            </w:r>
          </w:p>
        </w:tc>
        <w:tc>
          <w:tcPr>
            <w:tcW w:w="2310" w:type="dxa"/>
            <w:vAlign w:val="center"/>
          </w:tcPr>
          <w:p w14:paraId="1C32CAB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81.7</w:t>
            </w:r>
          </w:p>
        </w:tc>
      </w:tr>
    </w:tbl>
    <w:p w14:paraId="721D8DF3"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72DB935E"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lastRenderedPageBreak/>
        <w:t>Table 2. Awareness of QR code–based digital extension services</w:t>
      </w:r>
    </w:p>
    <w:tbl>
      <w:tblPr>
        <w:tblStyle w:val="TableGrid"/>
        <w:tblW w:w="9240" w:type="dxa"/>
        <w:tblLook w:val="04A0" w:firstRow="1" w:lastRow="0" w:firstColumn="1" w:lastColumn="0" w:noHBand="0" w:noVBand="1"/>
      </w:tblPr>
      <w:tblGrid>
        <w:gridCol w:w="3080"/>
        <w:gridCol w:w="3080"/>
        <w:gridCol w:w="3080"/>
      </w:tblGrid>
      <w:tr w:rsidR="000A2C67" w:rsidRPr="00D05002" w14:paraId="567FAC9E" w14:textId="77777777" w:rsidTr="0048069D">
        <w:tc>
          <w:tcPr>
            <w:tcW w:w="3080" w:type="dxa"/>
            <w:vAlign w:val="center"/>
          </w:tcPr>
          <w:p w14:paraId="6CB17328"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Awareness component</w:t>
            </w:r>
          </w:p>
        </w:tc>
        <w:tc>
          <w:tcPr>
            <w:tcW w:w="3080" w:type="dxa"/>
            <w:vAlign w:val="center"/>
          </w:tcPr>
          <w:p w14:paraId="6E9BC907"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Mean score (Max. 1)</w:t>
            </w:r>
          </w:p>
        </w:tc>
        <w:tc>
          <w:tcPr>
            <w:tcW w:w="3080" w:type="dxa"/>
            <w:vAlign w:val="center"/>
          </w:tcPr>
          <w:p w14:paraId="697C095A"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Awareness (%)</w:t>
            </w:r>
          </w:p>
        </w:tc>
      </w:tr>
      <w:tr w:rsidR="000A2C67" w:rsidRPr="00D05002" w14:paraId="0AF9188D" w14:textId="77777777" w:rsidTr="0048069D">
        <w:tc>
          <w:tcPr>
            <w:tcW w:w="3080" w:type="dxa"/>
            <w:vAlign w:val="center"/>
          </w:tcPr>
          <w:p w14:paraId="7B0E0AF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Awareness of QR code availability</w:t>
            </w:r>
          </w:p>
        </w:tc>
        <w:tc>
          <w:tcPr>
            <w:tcW w:w="3080" w:type="dxa"/>
            <w:vAlign w:val="center"/>
          </w:tcPr>
          <w:p w14:paraId="64C71F8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0.91</w:t>
            </w:r>
          </w:p>
        </w:tc>
        <w:tc>
          <w:tcPr>
            <w:tcW w:w="3080" w:type="dxa"/>
            <w:vAlign w:val="center"/>
          </w:tcPr>
          <w:p w14:paraId="4610BB9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91.0</w:t>
            </w:r>
          </w:p>
        </w:tc>
      </w:tr>
      <w:tr w:rsidR="000A2C67" w:rsidRPr="00D05002" w14:paraId="244B1A66" w14:textId="77777777" w:rsidTr="0048069D">
        <w:tc>
          <w:tcPr>
            <w:tcW w:w="3080" w:type="dxa"/>
            <w:vAlign w:val="center"/>
          </w:tcPr>
          <w:p w14:paraId="112F8F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Knowledge of purpose</w:t>
            </w:r>
          </w:p>
        </w:tc>
        <w:tc>
          <w:tcPr>
            <w:tcW w:w="3080" w:type="dxa"/>
            <w:vAlign w:val="center"/>
          </w:tcPr>
          <w:p w14:paraId="689CFC0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0.86</w:t>
            </w:r>
          </w:p>
        </w:tc>
        <w:tc>
          <w:tcPr>
            <w:tcW w:w="3080" w:type="dxa"/>
            <w:vAlign w:val="center"/>
          </w:tcPr>
          <w:p w14:paraId="697E107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86.0</w:t>
            </w:r>
          </w:p>
        </w:tc>
      </w:tr>
      <w:tr w:rsidR="000A2C67" w:rsidRPr="00D05002" w14:paraId="01FC0624" w14:textId="77777777" w:rsidTr="0048069D">
        <w:tc>
          <w:tcPr>
            <w:tcW w:w="3080" w:type="dxa"/>
            <w:vAlign w:val="center"/>
          </w:tcPr>
          <w:p w14:paraId="70407B1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Knowledge of display locations</w:t>
            </w:r>
          </w:p>
        </w:tc>
        <w:tc>
          <w:tcPr>
            <w:tcW w:w="3080" w:type="dxa"/>
            <w:vAlign w:val="center"/>
          </w:tcPr>
          <w:p w14:paraId="74C0135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0.79</w:t>
            </w:r>
          </w:p>
        </w:tc>
        <w:tc>
          <w:tcPr>
            <w:tcW w:w="3080" w:type="dxa"/>
            <w:vAlign w:val="center"/>
          </w:tcPr>
          <w:p w14:paraId="07B33B7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79.0</w:t>
            </w:r>
          </w:p>
        </w:tc>
      </w:tr>
      <w:tr w:rsidR="000A2C67" w:rsidRPr="00D05002" w14:paraId="5A7E871F" w14:textId="77777777" w:rsidTr="0048069D">
        <w:tc>
          <w:tcPr>
            <w:tcW w:w="3080" w:type="dxa"/>
            <w:vAlign w:val="center"/>
          </w:tcPr>
          <w:p w14:paraId="3C844D5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Awareness of topic categories</w:t>
            </w:r>
          </w:p>
        </w:tc>
        <w:tc>
          <w:tcPr>
            <w:tcW w:w="3080" w:type="dxa"/>
            <w:vAlign w:val="center"/>
          </w:tcPr>
          <w:p w14:paraId="3A991B7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0.83</w:t>
            </w:r>
          </w:p>
        </w:tc>
        <w:tc>
          <w:tcPr>
            <w:tcW w:w="3080" w:type="dxa"/>
            <w:vAlign w:val="center"/>
          </w:tcPr>
          <w:p w14:paraId="1EC0836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83.0</w:t>
            </w:r>
          </w:p>
        </w:tc>
      </w:tr>
      <w:tr w:rsidR="000A2C67" w:rsidRPr="00D05002" w14:paraId="28C47D56" w14:textId="77777777" w:rsidTr="0048069D">
        <w:tc>
          <w:tcPr>
            <w:tcW w:w="3080" w:type="dxa"/>
            <w:vAlign w:val="center"/>
          </w:tcPr>
          <w:p w14:paraId="431295A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Overall awareness</w:t>
            </w:r>
          </w:p>
        </w:tc>
        <w:tc>
          <w:tcPr>
            <w:tcW w:w="3080" w:type="dxa"/>
            <w:vAlign w:val="center"/>
          </w:tcPr>
          <w:p w14:paraId="3B03853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3.39 / 4</w:t>
            </w:r>
          </w:p>
        </w:tc>
        <w:tc>
          <w:tcPr>
            <w:tcW w:w="3080" w:type="dxa"/>
            <w:vAlign w:val="center"/>
          </w:tcPr>
          <w:p w14:paraId="1119E07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84.8</w:t>
            </w:r>
          </w:p>
        </w:tc>
      </w:tr>
    </w:tbl>
    <w:p w14:paraId="150912C1"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82126AB"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3. Distribution of respondents according to digital literacy level</w:t>
      </w:r>
    </w:p>
    <w:tbl>
      <w:tblPr>
        <w:tblStyle w:val="TableGrid"/>
        <w:tblW w:w="9240" w:type="dxa"/>
        <w:tblLook w:val="04A0" w:firstRow="1" w:lastRow="0" w:firstColumn="1" w:lastColumn="0" w:noHBand="0" w:noVBand="1"/>
      </w:tblPr>
      <w:tblGrid>
        <w:gridCol w:w="3080"/>
        <w:gridCol w:w="3080"/>
        <w:gridCol w:w="3080"/>
      </w:tblGrid>
      <w:tr w:rsidR="000A2C67" w:rsidRPr="00D05002" w14:paraId="4F0234A9" w14:textId="77777777" w:rsidTr="0048069D">
        <w:tc>
          <w:tcPr>
            <w:tcW w:w="3080" w:type="dxa"/>
            <w:vAlign w:val="center"/>
          </w:tcPr>
          <w:p w14:paraId="4AD53C92"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Digital literacy level</w:t>
            </w:r>
          </w:p>
        </w:tc>
        <w:tc>
          <w:tcPr>
            <w:tcW w:w="3080" w:type="dxa"/>
            <w:vAlign w:val="center"/>
          </w:tcPr>
          <w:p w14:paraId="71818DB2"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3080" w:type="dxa"/>
            <w:vAlign w:val="center"/>
          </w:tcPr>
          <w:p w14:paraId="1225CBA5"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24F629A5" w14:textId="77777777" w:rsidTr="0048069D">
        <w:tc>
          <w:tcPr>
            <w:tcW w:w="3080" w:type="dxa"/>
            <w:vAlign w:val="center"/>
          </w:tcPr>
          <w:p w14:paraId="22AB085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Low</w:t>
            </w:r>
          </w:p>
        </w:tc>
        <w:tc>
          <w:tcPr>
            <w:tcW w:w="3080" w:type="dxa"/>
            <w:vAlign w:val="center"/>
          </w:tcPr>
          <w:p w14:paraId="166AEBD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18</w:t>
            </w:r>
          </w:p>
        </w:tc>
        <w:tc>
          <w:tcPr>
            <w:tcW w:w="3080" w:type="dxa"/>
            <w:vAlign w:val="center"/>
          </w:tcPr>
          <w:p w14:paraId="1EE727F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15.0</w:t>
            </w:r>
          </w:p>
        </w:tc>
      </w:tr>
      <w:tr w:rsidR="000A2C67" w:rsidRPr="00D05002" w14:paraId="5200B97A" w14:textId="77777777" w:rsidTr="0048069D">
        <w:tc>
          <w:tcPr>
            <w:tcW w:w="3080" w:type="dxa"/>
            <w:vAlign w:val="center"/>
          </w:tcPr>
          <w:p w14:paraId="12A867C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3080" w:type="dxa"/>
            <w:vAlign w:val="center"/>
          </w:tcPr>
          <w:p w14:paraId="61A1DFA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64</w:t>
            </w:r>
          </w:p>
        </w:tc>
        <w:tc>
          <w:tcPr>
            <w:tcW w:w="3080" w:type="dxa"/>
            <w:vAlign w:val="center"/>
          </w:tcPr>
          <w:p w14:paraId="1A0F24B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53.3</w:t>
            </w:r>
          </w:p>
        </w:tc>
      </w:tr>
      <w:tr w:rsidR="000A2C67" w:rsidRPr="00D05002" w14:paraId="3C2183C5" w14:textId="77777777" w:rsidTr="0048069D">
        <w:tc>
          <w:tcPr>
            <w:tcW w:w="3080" w:type="dxa"/>
            <w:vAlign w:val="center"/>
          </w:tcPr>
          <w:p w14:paraId="00D8693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w:t>
            </w:r>
          </w:p>
        </w:tc>
        <w:tc>
          <w:tcPr>
            <w:tcW w:w="3080" w:type="dxa"/>
            <w:vAlign w:val="center"/>
          </w:tcPr>
          <w:p w14:paraId="0949526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38</w:t>
            </w:r>
          </w:p>
        </w:tc>
        <w:tc>
          <w:tcPr>
            <w:tcW w:w="3080" w:type="dxa"/>
            <w:vAlign w:val="center"/>
          </w:tcPr>
          <w:p w14:paraId="5CEAF0B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31.7</w:t>
            </w:r>
          </w:p>
        </w:tc>
      </w:tr>
      <w:tr w:rsidR="000A2C67" w:rsidRPr="00D05002" w14:paraId="38F0F06D" w14:textId="77777777" w:rsidTr="0048069D">
        <w:tc>
          <w:tcPr>
            <w:tcW w:w="3080" w:type="dxa"/>
            <w:vAlign w:val="center"/>
          </w:tcPr>
          <w:p w14:paraId="6CC8F24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7403AC9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4C000C9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0E445613"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i/>
          <w:iCs/>
          <w:sz w:val="24"/>
          <w:szCs w:val="24"/>
          <w:lang w:eastAsia="en-IN"/>
        </w:rPr>
        <w:t>Mean digital literacy score: 5.9 ± 1.4 (Max. score = 8)</w:t>
      </w:r>
    </w:p>
    <w:p w14:paraId="6EA6CD86"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027777B"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4. Frequency of QR code usage by respondents</w:t>
      </w:r>
    </w:p>
    <w:tbl>
      <w:tblPr>
        <w:tblStyle w:val="TableGrid"/>
        <w:tblW w:w="9240" w:type="dxa"/>
        <w:tblLook w:val="04A0" w:firstRow="1" w:lastRow="0" w:firstColumn="1" w:lastColumn="0" w:noHBand="0" w:noVBand="1"/>
      </w:tblPr>
      <w:tblGrid>
        <w:gridCol w:w="3080"/>
        <w:gridCol w:w="3080"/>
        <w:gridCol w:w="3080"/>
      </w:tblGrid>
      <w:tr w:rsidR="000A2C67" w:rsidRPr="00D05002" w14:paraId="5A1986E0" w14:textId="77777777" w:rsidTr="0048069D">
        <w:tc>
          <w:tcPr>
            <w:tcW w:w="3080" w:type="dxa"/>
            <w:vAlign w:val="center"/>
          </w:tcPr>
          <w:p w14:paraId="551F6F71"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Usage frequency</w:t>
            </w:r>
          </w:p>
        </w:tc>
        <w:tc>
          <w:tcPr>
            <w:tcW w:w="3080" w:type="dxa"/>
            <w:vAlign w:val="center"/>
          </w:tcPr>
          <w:p w14:paraId="3203200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Respondents</w:t>
            </w:r>
          </w:p>
        </w:tc>
        <w:tc>
          <w:tcPr>
            <w:tcW w:w="3080" w:type="dxa"/>
            <w:vAlign w:val="center"/>
          </w:tcPr>
          <w:p w14:paraId="3CEFE46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33B34A15" w14:textId="77777777" w:rsidTr="0048069D">
        <w:tc>
          <w:tcPr>
            <w:tcW w:w="3080" w:type="dxa"/>
            <w:vAlign w:val="center"/>
          </w:tcPr>
          <w:p w14:paraId="2058223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Daily</w:t>
            </w:r>
          </w:p>
        </w:tc>
        <w:tc>
          <w:tcPr>
            <w:tcW w:w="3080" w:type="dxa"/>
            <w:vAlign w:val="center"/>
          </w:tcPr>
          <w:p w14:paraId="7025152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14</w:t>
            </w:r>
          </w:p>
        </w:tc>
        <w:tc>
          <w:tcPr>
            <w:tcW w:w="3080" w:type="dxa"/>
            <w:vAlign w:val="center"/>
          </w:tcPr>
          <w:p w14:paraId="59A896F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11.7</w:t>
            </w:r>
          </w:p>
        </w:tc>
      </w:tr>
      <w:tr w:rsidR="000A2C67" w:rsidRPr="00D05002" w14:paraId="516C2C72" w14:textId="77777777" w:rsidTr="0048069D">
        <w:tc>
          <w:tcPr>
            <w:tcW w:w="3080" w:type="dxa"/>
            <w:vAlign w:val="center"/>
          </w:tcPr>
          <w:p w14:paraId="002DD9C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Weekly</w:t>
            </w:r>
          </w:p>
        </w:tc>
        <w:tc>
          <w:tcPr>
            <w:tcW w:w="3080" w:type="dxa"/>
            <w:vAlign w:val="center"/>
          </w:tcPr>
          <w:p w14:paraId="7A07779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36</w:t>
            </w:r>
          </w:p>
        </w:tc>
        <w:tc>
          <w:tcPr>
            <w:tcW w:w="3080" w:type="dxa"/>
            <w:vAlign w:val="center"/>
          </w:tcPr>
          <w:p w14:paraId="0B83915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30.0</w:t>
            </w:r>
          </w:p>
        </w:tc>
      </w:tr>
      <w:tr w:rsidR="000A2C67" w:rsidRPr="00D05002" w14:paraId="3F9AA804" w14:textId="77777777" w:rsidTr="0048069D">
        <w:tc>
          <w:tcPr>
            <w:tcW w:w="3080" w:type="dxa"/>
            <w:vAlign w:val="center"/>
          </w:tcPr>
          <w:p w14:paraId="3DF1E9D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Fortnightly</w:t>
            </w:r>
          </w:p>
        </w:tc>
        <w:tc>
          <w:tcPr>
            <w:tcW w:w="3080" w:type="dxa"/>
            <w:vAlign w:val="center"/>
          </w:tcPr>
          <w:p w14:paraId="04A450B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w:t>
            </w:r>
          </w:p>
        </w:tc>
        <w:tc>
          <w:tcPr>
            <w:tcW w:w="3080" w:type="dxa"/>
            <w:vAlign w:val="center"/>
          </w:tcPr>
          <w:p w14:paraId="2EBA63F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23.3</w:t>
            </w:r>
          </w:p>
        </w:tc>
      </w:tr>
      <w:tr w:rsidR="000A2C67" w:rsidRPr="00D05002" w14:paraId="0DB7B334" w14:textId="77777777" w:rsidTr="0048069D">
        <w:tc>
          <w:tcPr>
            <w:tcW w:w="3080" w:type="dxa"/>
            <w:vAlign w:val="center"/>
          </w:tcPr>
          <w:p w14:paraId="2B2C89C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Monthly</w:t>
            </w:r>
          </w:p>
        </w:tc>
        <w:tc>
          <w:tcPr>
            <w:tcW w:w="3080" w:type="dxa"/>
            <w:vAlign w:val="center"/>
          </w:tcPr>
          <w:p w14:paraId="66AD84F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22</w:t>
            </w:r>
          </w:p>
        </w:tc>
        <w:tc>
          <w:tcPr>
            <w:tcW w:w="3080" w:type="dxa"/>
            <w:vAlign w:val="center"/>
          </w:tcPr>
          <w:p w14:paraId="29D28EA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18.3</w:t>
            </w:r>
          </w:p>
        </w:tc>
      </w:tr>
      <w:tr w:rsidR="000A2C67" w:rsidRPr="00D05002" w14:paraId="5DF3CDDE" w14:textId="77777777" w:rsidTr="0048069D">
        <w:tc>
          <w:tcPr>
            <w:tcW w:w="3080" w:type="dxa"/>
            <w:vAlign w:val="center"/>
          </w:tcPr>
          <w:p w14:paraId="5B62822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Occasionally</w:t>
            </w:r>
          </w:p>
        </w:tc>
        <w:tc>
          <w:tcPr>
            <w:tcW w:w="3080" w:type="dxa"/>
            <w:vAlign w:val="center"/>
          </w:tcPr>
          <w:p w14:paraId="6D279E6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20</w:t>
            </w:r>
          </w:p>
        </w:tc>
        <w:tc>
          <w:tcPr>
            <w:tcW w:w="3080" w:type="dxa"/>
            <w:vAlign w:val="center"/>
          </w:tcPr>
          <w:p w14:paraId="23F3E06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16.7</w:t>
            </w:r>
          </w:p>
        </w:tc>
      </w:tr>
      <w:tr w:rsidR="000A2C67" w:rsidRPr="00D05002" w14:paraId="6ECFA308" w14:textId="77777777" w:rsidTr="0048069D">
        <w:tc>
          <w:tcPr>
            <w:tcW w:w="3080" w:type="dxa"/>
            <w:vAlign w:val="center"/>
          </w:tcPr>
          <w:p w14:paraId="6D2D955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08C60BD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30C0C84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2EAE4AF1"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6F7DBBB7" w14:textId="77777777" w:rsidR="000A2C67" w:rsidRPr="00D05002" w:rsidRDefault="000A2C67" w:rsidP="000A2C67">
      <w:pPr>
        <w:spacing w:after="0" w:line="240" w:lineRule="auto"/>
        <w:jc w:val="both"/>
        <w:rPr>
          <w:rFonts w:ascii="Times New Roman" w:eastAsia="Times New Roman" w:hAnsi="Times New Roman" w:cs="Times New Roman"/>
          <w:b/>
          <w:bCs/>
          <w:sz w:val="24"/>
          <w:szCs w:val="24"/>
          <w:lang w:eastAsia="en-IN"/>
        </w:rPr>
      </w:pPr>
    </w:p>
    <w:p w14:paraId="45975637"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5. Information access through QR code–based digital extension</w:t>
      </w:r>
    </w:p>
    <w:tbl>
      <w:tblPr>
        <w:tblStyle w:val="TableGrid"/>
        <w:tblW w:w="5000" w:type="pct"/>
        <w:tblLook w:val="04A0" w:firstRow="1" w:lastRow="0" w:firstColumn="1" w:lastColumn="0" w:noHBand="0" w:noVBand="1"/>
      </w:tblPr>
      <w:tblGrid>
        <w:gridCol w:w="5328"/>
        <w:gridCol w:w="3688"/>
      </w:tblGrid>
      <w:tr w:rsidR="000A2C67" w:rsidRPr="00D05002" w14:paraId="22C9B300" w14:textId="77777777" w:rsidTr="0048069D">
        <w:tc>
          <w:tcPr>
            <w:tcW w:w="2955" w:type="pct"/>
            <w:vAlign w:val="center"/>
          </w:tcPr>
          <w:p w14:paraId="59D343D6"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Parameter</w:t>
            </w:r>
          </w:p>
        </w:tc>
        <w:tc>
          <w:tcPr>
            <w:tcW w:w="2045" w:type="pct"/>
            <w:vAlign w:val="center"/>
          </w:tcPr>
          <w:p w14:paraId="18DE4A0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Mean score (Max. 5)</w:t>
            </w:r>
          </w:p>
        </w:tc>
      </w:tr>
      <w:tr w:rsidR="000A2C67" w:rsidRPr="00D05002" w14:paraId="7FE5E6DF" w14:textId="77777777" w:rsidTr="0048069D">
        <w:tc>
          <w:tcPr>
            <w:tcW w:w="2955" w:type="pct"/>
            <w:vAlign w:val="center"/>
          </w:tcPr>
          <w:p w14:paraId="2EE4C80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Ease of access</w:t>
            </w:r>
          </w:p>
        </w:tc>
        <w:tc>
          <w:tcPr>
            <w:tcW w:w="2045" w:type="pct"/>
            <w:vAlign w:val="center"/>
          </w:tcPr>
          <w:p w14:paraId="19DAF49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4.32</w:t>
            </w:r>
          </w:p>
        </w:tc>
      </w:tr>
      <w:tr w:rsidR="000A2C67" w:rsidRPr="00D05002" w14:paraId="294A5DE3" w14:textId="77777777" w:rsidTr="0048069D">
        <w:tc>
          <w:tcPr>
            <w:tcW w:w="2955" w:type="pct"/>
            <w:vAlign w:val="center"/>
          </w:tcPr>
          <w:p w14:paraId="31D6E4A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Relevance to farming needs</w:t>
            </w:r>
          </w:p>
        </w:tc>
        <w:tc>
          <w:tcPr>
            <w:tcW w:w="2045" w:type="pct"/>
            <w:vAlign w:val="center"/>
          </w:tcPr>
          <w:p w14:paraId="1C0FE82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4.18</w:t>
            </w:r>
          </w:p>
        </w:tc>
      </w:tr>
      <w:tr w:rsidR="000A2C67" w:rsidRPr="00D05002" w14:paraId="43F44BED" w14:textId="77777777" w:rsidTr="0048069D">
        <w:tc>
          <w:tcPr>
            <w:tcW w:w="2955" w:type="pct"/>
            <w:vAlign w:val="center"/>
          </w:tcPr>
          <w:p w14:paraId="2500A40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Timeliness of information</w:t>
            </w:r>
          </w:p>
        </w:tc>
        <w:tc>
          <w:tcPr>
            <w:tcW w:w="2045" w:type="pct"/>
            <w:vAlign w:val="center"/>
          </w:tcPr>
          <w:p w14:paraId="24A0B2B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4.06</w:t>
            </w:r>
          </w:p>
        </w:tc>
      </w:tr>
      <w:tr w:rsidR="000A2C67" w:rsidRPr="00D05002" w14:paraId="2D44A055" w14:textId="77777777" w:rsidTr="0048069D">
        <w:tc>
          <w:tcPr>
            <w:tcW w:w="2955" w:type="pct"/>
            <w:vAlign w:val="center"/>
          </w:tcPr>
          <w:p w14:paraId="0E11A73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Support to decision-making</w:t>
            </w:r>
          </w:p>
        </w:tc>
        <w:tc>
          <w:tcPr>
            <w:tcW w:w="2045" w:type="pct"/>
            <w:vAlign w:val="center"/>
          </w:tcPr>
          <w:p w14:paraId="56484324"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3.98</w:t>
            </w:r>
          </w:p>
        </w:tc>
      </w:tr>
      <w:tr w:rsidR="000A2C67" w:rsidRPr="00D05002" w14:paraId="2CC44D60" w14:textId="77777777" w:rsidTr="0048069D">
        <w:tc>
          <w:tcPr>
            <w:tcW w:w="2955" w:type="pct"/>
            <w:vAlign w:val="center"/>
          </w:tcPr>
          <w:p w14:paraId="3CC7B81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Language simplicity</w:t>
            </w:r>
          </w:p>
        </w:tc>
        <w:tc>
          <w:tcPr>
            <w:tcW w:w="2045" w:type="pct"/>
            <w:vAlign w:val="center"/>
          </w:tcPr>
          <w:p w14:paraId="54ED403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4.41</w:t>
            </w:r>
          </w:p>
        </w:tc>
      </w:tr>
      <w:tr w:rsidR="000A2C67" w:rsidRPr="00D05002" w14:paraId="4CAFF1AB" w14:textId="77777777" w:rsidTr="0048069D">
        <w:tc>
          <w:tcPr>
            <w:tcW w:w="2955" w:type="pct"/>
            <w:vAlign w:val="center"/>
          </w:tcPr>
          <w:p w14:paraId="01D930D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Proper categorization of content</w:t>
            </w:r>
          </w:p>
        </w:tc>
        <w:tc>
          <w:tcPr>
            <w:tcW w:w="2045" w:type="pct"/>
            <w:vAlign w:val="center"/>
          </w:tcPr>
          <w:p w14:paraId="0433A79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4.36</w:t>
            </w:r>
          </w:p>
        </w:tc>
      </w:tr>
      <w:tr w:rsidR="000A2C67" w:rsidRPr="00D05002" w14:paraId="5EF731C0" w14:textId="77777777" w:rsidTr="0048069D">
        <w:tc>
          <w:tcPr>
            <w:tcW w:w="2955" w:type="pct"/>
            <w:vAlign w:val="center"/>
          </w:tcPr>
          <w:p w14:paraId="14D6F9F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Anytime, anywhere accessibility</w:t>
            </w:r>
          </w:p>
        </w:tc>
        <w:tc>
          <w:tcPr>
            <w:tcW w:w="2045" w:type="pct"/>
            <w:vAlign w:val="center"/>
          </w:tcPr>
          <w:p w14:paraId="1641376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4.48</w:t>
            </w:r>
          </w:p>
        </w:tc>
      </w:tr>
      <w:tr w:rsidR="000A2C67" w:rsidRPr="00D05002" w14:paraId="0A19BECF" w14:textId="77777777" w:rsidTr="0048069D">
        <w:tc>
          <w:tcPr>
            <w:tcW w:w="2955" w:type="pct"/>
            <w:vAlign w:val="center"/>
          </w:tcPr>
          <w:p w14:paraId="4C3C699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Reduced need to visit KVK</w:t>
            </w:r>
          </w:p>
        </w:tc>
        <w:tc>
          <w:tcPr>
            <w:tcW w:w="2045" w:type="pct"/>
            <w:vAlign w:val="center"/>
          </w:tcPr>
          <w:p w14:paraId="44ABB3B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3.92</w:t>
            </w:r>
          </w:p>
        </w:tc>
      </w:tr>
      <w:tr w:rsidR="000A2C67" w:rsidRPr="00D05002" w14:paraId="26B2EC8B" w14:textId="77777777" w:rsidTr="0048069D">
        <w:tc>
          <w:tcPr>
            <w:tcW w:w="2955" w:type="pct"/>
            <w:vAlign w:val="center"/>
          </w:tcPr>
          <w:p w14:paraId="18B9CA7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Overall mean score</w:t>
            </w:r>
          </w:p>
        </w:tc>
        <w:tc>
          <w:tcPr>
            <w:tcW w:w="2045" w:type="pct"/>
            <w:vAlign w:val="center"/>
          </w:tcPr>
          <w:p w14:paraId="2A98103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4.21</w:t>
            </w:r>
          </w:p>
        </w:tc>
      </w:tr>
    </w:tbl>
    <w:p w14:paraId="39294CD0"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0074A9DF"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p>
    <w:p w14:paraId="16A58F7B"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687E0F64"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6. Knowledge gain due to QR code–based digital extension</w:t>
      </w:r>
    </w:p>
    <w:tbl>
      <w:tblPr>
        <w:tblStyle w:val="TableGrid"/>
        <w:tblW w:w="9240" w:type="dxa"/>
        <w:tblLook w:val="04A0" w:firstRow="1" w:lastRow="0" w:firstColumn="1" w:lastColumn="0" w:noHBand="0" w:noVBand="1"/>
      </w:tblPr>
      <w:tblGrid>
        <w:gridCol w:w="3080"/>
        <w:gridCol w:w="3080"/>
        <w:gridCol w:w="3080"/>
      </w:tblGrid>
      <w:tr w:rsidR="000A2C67" w:rsidRPr="00D05002" w14:paraId="2E6B98D4" w14:textId="77777777" w:rsidTr="0048069D">
        <w:tc>
          <w:tcPr>
            <w:tcW w:w="3080" w:type="dxa"/>
            <w:vAlign w:val="center"/>
          </w:tcPr>
          <w:p w14:paraId="47214D07"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Stage</w:t>
            </w:r>
          </w:p>
        </w:tc>
        <w:tc>
          <w:tcPr>
            <w:tcW w:w="3080" w:type="dxa"/>
            <w:vAlign w:val="center"/>
          </w:tcPr>
          <w:p w14:paraId="6394D1AB"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Mean score</w:t>
            </w:r>
          </w:p>
        </w:tc>
        <w:tc>
          <w:tcPr>
            <w:tcW w:w="3080" w:type="dxa"/>
            <w:vAlign w:val="center"/>
          </w:tcPr>
          <w:p w14:paraId="5F3C7BF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Standard deviation</w:t>
            </w:r>
          </w:p>
        </w:tc>
      </w:tr>
      <w:tr w:rsidR="000A2C67" w:rsidRPr="00D05002" w14:paraId="04F11C8E" w14:textId="77777777" w:rsidTr="0048069D">
        <w:tc>
          <w:tcPr>
            <w:tcW w:w="3080" w:type="dxa"/>
            <w:vAlign w:val="center"/>
          </w:tcPr>
          <w:p w14:paraId="70D2D36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Pre-exposure</w:t>
            </w:r>
          </w:p>
        </w:tc>
        <w:tc>
          <w:tcPr>
            <w:tcW w:w="3080" w:type="dxa"/>
            <w:vAlign w:val="center"/>
          </w:tcPr>
          <w:p w14:paraId="6305272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9.4</w:t>
            </w:r>
          </w:p>
        </w:tc>
        <w:tc>
          <w:tcPr>
            <w:tcW w:w="3080" w:type="dxa"/>
            <w:vAlign w:val="center"/>
          </w:tcPr>
          <w:p w14:paraId="57BCE6D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2.1</w:t>
            </w:r>
          </w:p>
        </w:tc>
      </w:tr>
      <w:tr w:rsidR="000A2C67" w:rsidRPr="00D05002" w14:paraId="2F384FE9" w14:textId="77777777" w:rsidTr="0048069D">
        <w:tc>
          <w:tcPr>
            <w:tcW w:w="3080" w:type="dxa"/>
            <w:vAlign w:val="center"/>
          </w:tcPr>
          <w:p w14:paraId="30E1218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Post-exposure</w:t>
            </w:r>
          </w:p>
        </w:tc>
        <w:tc>
          <w:tcPr>
            <w:tcW w:w="3080" w:type="dxa"/>
            <w:vAlign w:val="center"/>
          </w:tcPr>
          <w:p w14:paraId="47CFAC0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14.8</w:t>
            </w:r>
          </w:p>
        </w:tc>
        <w:tc>
          <w:tcPr>
            <w:tcW w:w="3080" w:type="dxa"/>
            <w:vAlign w:val="center"/>
          </w:tcPr>
          <w:p w14:paraId="05086C8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2.3</w:t>
            </w:r>
          </w:p>
        </w:tc>
      </w:tr>
    </w:tbl>
    <w:p w14:paraId="1E5E6175"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Paired t-test:</w:t>
      </w:r>
      <w:r w:rsidRPr="00D05002">
        <w:rPr>
          <w:rFonts w:ascii="Times New Roman" w:eastAsia="Times New Roman" w:hAnsi="Times New Roman" w:cs="Times New Roman"/>
          <w:sz w:val="24"/>
          <w:szCs w:val="24"/>
          <w:lang w:eastAsia="en-IN"/>
        </w:rPr>
        <w:br/>
        <w:t>t = 18.62, p &lt; 0.01 (Highly significant)</w:t>
      </w:r>
    </w:p>
    <w:p w14:paraId="25CD87BE" w14:textId="77777777" w:rsidR="000A2C67" w:rsidRPr="00D05002" w:rsidRDefault="00DA5276" w:rsidP="000A2C67">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w14:anchorId="7716AA44">
          <v:rect id="_x0000_i1025" style="width:0;height:1.5pt" o:hralign="center" o:hrstd="t" o:hr="t" fillcolor="#a0a0a0" stroked="f"/>
        </w:pict>
      </w:r>
    </w:p>
    <w:p w14:paraId="58DD4D61"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lastRenderedPageBreak/>
        <w:t>Table 7. Adoption of recommended practices accessed through QR codes</w:t>
      </w:r>
    </w:p>
    <w:tbl>
      <w:tblPr>
        <w:tblStyle w:val="TableGrid"/>
        <w:tblW w:w="9240" w:type="dxa"/>
        <w:tblLook w:val="04A0" w:firstRow="1" w:lastRow="0" w:firstColumn="1" w:lastColumn="0" w:noHBand="0" w:noVBand="1"/>
      </w:tblPr>
      <w:tblGrid>
        <w:gridCol w:w="3080"/>
        <w:gridCol w:w="3080"/>
        <w:gridCol w:w="3080"/>
      </w:tblGrid>
      <w:tr w:rsidR="000A2C67" w:rsidRPr="00D05002" w14:paraId="6DB8C5F1" w14:textId="77777777" w:rsidTr="0048069D">
        <w:tc>
          <w:tcPr>
            <w:tcW w:w="3080" w:type="dxa"/>
            <w:vAlign w:val="center"/>
          </w:tcPr>
          <w:p w14:paraId="3CEE5569"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Adoption level</w:t>
            </w:r>
          </w:p>
        </w:tc>
        <w:tc>
          <w:tcPr>
            <w:tcW w:w="3080" w:type="dxa"/>
            <w:vAlign w:val="center"/>
          </w:tcPr>
          <w:p w14:paraId="1E4F687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3080" w:type="dxa"/>
            <w:vAlign w:val="center"/>
          </w:tcPr>
          <w:p w14:paraId="6766CC4E"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6A019CAB" w14:textId="77777777" w:rsidTr="0048069D">
        <w:tc>
          <w:tcPr>
            <w:tcW w:w="3080" w:type="dxa"/>
            <w:vAlign w:val="center"/>
          </w:tcPr>
          <w:p w14:paraId="648EA72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Fully adopted</w:t>
            </w:r>
          </w:p>
        </w:tc>
        <w:tc>
          <w:tcPr>
            <w:tcW w:w="3080" w:type="dxa"/>
            <w:vAlign w:val="center"/>
          </w:tcPr>
          <w:p w14:paraId="4FB0A0F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34</w:t>
            </w:r>
          </w:p>
        </w:tc>
        <w:tc>
          <w:tcPr>
            <w:tcW w:w="3080" w:type="dxa"/>
            <w:vAlign w:val="center"/>
          </w:tcPr>
          <w:p w14:paraId="461D383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28.3</w:t>
            </w:r>
          </w:p>
        </w:tc>
      </w:tr>
      <w:tr w:rsidR="000A2C67" w:rsidRPr="00D05002" w14:paraId="440C5951" w14:textId="77777777" w:rsidTr="0048069D">
        <w:tc>
          <w:tcPr>
            <w:tcW w:w="3080" w:type="dxa"/>
            <w:vAlign w:val="center"/>
          </w:tcPr>
          <w:p w14:paraId="5AE449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Partially adopted</w:t>
            </w:r>
          </w:p>
        </w:tc>
        <w:tc>
          <w:tcPr>
            <w:tcW w:w="3080" w:type="dxa"/>
            <w:vAlign w:val="center"/>
          </w:tcPr>
          <w:p w14:paraId="02E0C2D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52</w:t>
            </w:r>
          </w:p>
        </w:tc>
        <w:tc>
          <w:tcPr>
            <w:tcW w:w="3080" w:type="dxa"/>
            <w:vAlign w:val="center"/>
          </w:tcPr>
          <w:p w14:paraId="03A09F4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43.3</w:t>
            </w:r>
          </w:p>
        </w:tc>
      </w:tr>
      <w:tr w:rsidR="000A2C67" w:rsidRPr="00D05002" w14:paraId="4214F1BB" w14:textId="77777777" w:rsidTr="0048069D">
        <w:tc>
          <w:tcPr>
            <w:tcW w:w="3080" w:type="dxa"/>
            <w:vAlign w:val="center"/>
          </w:tcPr>
          <w:p w14:paraId="28CB4B1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Tried but discontinued</w:t>
            </w:r>
          </w:p>
        </w:tc>
        <w:tc>
          <w:tcPr>
            <w:tcW w:w="3080" w:type="dxa"/>
            <w:vAlign w:val="center"/>
          </w:tcPr>
          <w:p w14:paraId="1A0B7CC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18</w:t>
            </w:r>
          </w:p>
        </w:tc>
        <w:tc>
          <w:tcPr>
            <w:tcW w:w="3080" w:type="dxa"/>
            <w:vAlign w:val="center"/>
          </w:tcPr>
          <w:p w14:paraId="45BEC19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15.0</w:t>
            </w:r>
          </w:p>
        </w:tc>
      </w:tr>
      <w:tr w:rsidR="000A2C67" w:rsidRPr="00D05002" w14:paraId="699652B1" w14:textId="77777777" w:rsidTr="0048069D">
        <w:tc>
          <w:tcPr>
            <w:tcW w:w="3080" w:type="dxa"/>
            <w:vAlign w:val="center"/>
          </w:tcPr>
          <w:p w14:paraId="388A57C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Not adopted</w:t>
            </w:r>
          </w:p>
        </w:tc>
        <w:tc>
          <w:tcPr>
            <w:tcW w:w="3080" w:type="dxa"/>
            <w:vAlign w:val="center"/>
          </w:tcPr>
          <w:p w14:paraId="2E56DDD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16</w:t>
            </w:r>
          </w:p>
        </w:tc>
        <w:tc>
          <w:tcPr>
            <w:tcW w:w="3080" w:type="dxa"/>
            <w:vAlign w:val="center"/>
          </w:tcPr>
          <w:p w14:paraId="558850F3"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13.4</w:t>
            </w:r>
          </w:p>
        </w:tc>
      </w:tr>
      <w:tr w:rsidR="000A2C67" w:rsidRPr="00D05002" w14:paraId="34B7112E" w14:textId="77777777" w:rsidTr="0048069D">
        <w:tc>
          <w:tcPr>
            <w:tcW w:w="3080" w:type="dxa"/>
            <w:vAlign w:val="center"/>
          </w:tcPr>
          <w:p w14:paraId="46EF370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621EE28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55E45C5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6E1AE58E"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8E55C3E"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8. User satisfaction with QR code–based digital extension</w:t>
      </w:r>
    </w:p>
    <w:tbl>
      <w:tblPr>
        <w:tblStyle w:val="TableGrid"/>
        <w:tblW w:w="9240" w:type="dxa"/>
        <w:tblLook w:val="04A0" w:firstRow="1" w:lastRow="0" w:firstColumn="1" w:lastColumn="0" w:noHBand="0" w:noVBand="1"/>
      </w:tblPr>
      <w:tblGrid>
        <w:gridCol w:w="3080"/>
        <w:gridCol w:w="3080"/>
        <w:gridCol w:w="3080"/>
      </w:tblGrid>
      <w:tr w:rsidR="000A2C67" w:rsidRPr="00D05002" w14:paraId="5EBD4A6E" w14:textId="77777777" w:rsidTr="0048069D">
        <w:tc>
          <w:tcPr>
            <w:tcW w:w="3080" w:type="dxa"/>
            <w:vAlign w:val="center"/>
          </w:tcPr>
          <w:p w14:paraId="3210807B"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Satisfaction level</w:t>
            </w:r>
          </w:p>
        </w:tc>
        <w:tc>
          <w:tcPr>
            <w:tcW w:w="3080" w:type="dxa"/>
            <w:vAlign w:val="center"/>
          </w:tcPr>
          <w:p w14:paraId="3E1DACE0"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Respondents</w:t>
            </w:r>
          </w:p>
        </w:tc>
        <w:tc>
          <w:tcPr>
            <w:tcW w:w="3080" w:type="dxa"/>
            <w:vAlign w:val="center"/>
          </w:tcPr>
          <w:p w14:paraId="137DDE13"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7C5D8455" w14:textId="77777777" w:rsidTr="0048069D">
        <w:tc>
          <w:tcPr>
            <w:tcW w:w="3080" w:type="dxa"/>
            <w:vAlign w:val="center"/>
          </w:tcPr>
          <w:p w14:paraId="1EDD3B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Low</w:t>
            </w:r>
          </w:p>
        </w:tc>
        <w:tc>
          <w:tcPr>
            <w:tcW w:w="3080" w:type="dxa"/>
            <w:vAlign w:val="center"/>
          </w:tcPr>
          <w:p w14:paraId="283C7EF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w:t>
            </w:r>
          </w:p>
        </w:tc>
        <w:tc>
          <w:tcPr>
            <w:tcW w:w="3080" w:type="dxa"/>
            <w:vAlign w:val="center"/>
          </w:tcPr>
          <w:p w14:paraId="33DE909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8.3</w:t>
            </w:r>
          </w:p>
        </w:tc>
      </w:tr>
      <w:tr w:rsidR="000A2C67" w:rsidRPr="00D05002" w14:paraId="6304DA92" w14:textId="77777777" w:rsidTr="0048069D">
        <w:tc>
          <w:tcPr>
            <w:tcW w:w="3080" w:type="dxa"/>
            <w:vAlign w:val="center"/>
          </w:tcPr>
          <w:p w14:paraId="2AAAB9C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3080" w:type="dxa"/>
            <w:vAlign w:val="center"/>
          </w:tcPr>
          <w:p w14:paraId="72A5B55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42</w:t>
            </w:r>
          </w:p>
        </w:tc>
        <w:tc>
          <w:tcPr>
            <w:tcW w:w="3080" w:type="dxa"/>
            <w:vAlign w:val="center"/>
          </w:tcPr>
          <w:p w14:paraId="5A2BF28C"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35.0</w:t>
            </w:r>
          </w:p>
        </w:tc>
      </w:tr>
      <w:tr w:rsidR="000A2C67" w:rsidRPr="00D05002" w14:paraId="7986F919" w14:textId="77777777" w:rsidTr="0048069D">
        <w:tc>
          <w:tcPr>
            <w:tcW w:w="3080" w:type="dxa"/>
            <w:vAlign w:val="center"/>
          </w:tcPr>
          <w:p w14:paraId="4C41FA97"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w:t>
            </w:r>
          </w:p>
        </w:tc>
        <w:tc>
          <w:tcPr>
            <w:tcW w:w="3080" w:type="dxa"/>
            <w:vAlign w:val="center"/>
          </w:tcPr>
          <w:p w14:paraId="1A374DBF"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68</w:t>
            </w:r>
          </w:p>
        </w:tc>
        <w:tc>
          <w:tcPr>
            <w:tcW w:w="3080" w:type="dxa"/>
            <w:vAlign w:val="center"/>
          </w:tcPr>
          <w:p w14:paraId="56AE588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56.7</w:t>
            </w:r>
          </w:p>
        </w:tc>
      </w:tr>
      <w:tr w:rsidR="000A2C67" w:rsidRPr="00D05002" w14:paraId="71B37B92" w14:textId="77777777" w:rsidTr="0048069D">
        <w:tc>
          <w:tcPr>
            <w:tcW w:w="3080" w:type="dxa"/>
            <w:vAlign w:val="center"/>
          </w:tcPr>
          <w:p w14:paraId="4A0F2DE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3080" w:type="dxa"/>
            <w:vAlign w:val="center"/>
          </w:tcPr>
          <w:p w14:paraId="4361515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3080" w:type="dxa"/>
            <w:vAlign w:val="center"/>
          </w:tcPr>
          <w:p w14:paraId="077A163B"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r>
    </w:tbl>
    <w:p w14:paraId="0D987B57"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i/>
          <w:iCs/>
          <w:sz w:val="24"/>
          <w:szCs w:val="24"/>
          <w:lang w:eastAsia="en-IN"/>
        </w:rPr>
        <w:t>Mean satisfaction score: 33.6 ± 4.2 (Max. score = 40)</w:t>
      </w:r>
    </w:p>
    <w:p w14:paraId="2DC07047"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4AA02C0F"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9. Distribution of respondents according to Digital Extension Effectiveness Index DEEI</w:t>
      </w:r>
    </w:p>
    <w:tbl>
      <w:tblPr>
        <w:tblStyle w:val="TableGrid"/>
        <w:tblW w:w="9236" w:type="dxa"/>
        <w:tblLook w:val="04A0" w:firstRow="1" w:lastRow="0" w:firstColumn="1" w:lastColumn="0" w:noHBand="0" w:noVBand="1"/>
      </w:tblPr>
      <w:tblGrid>
        <w:gridCol w:w="2309"/>
        <w:gridCol w:w="2309"/>
        <w:gridCol w:w="2309"/>
        <w:gridCol w:w="2309"/>
      </w:tblGrid>
      <w:tr w:rsidR="000A2C67" w:rsidRPr="00D05002" w14:paraId="4AE1AEF2" w14:textId="77777777" w:rsidTr="0048069D">
        <w:tc>
          <w:tcPr>
            <w:tcW w:w="2309" w:type="dxa"/>
            <w:vAlign w:val="center"/>
          </w:tcPr>
          <w:p w14:paraId="7DC7143C"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DEEI category</w:t>
            </w:r>
          </w:p>
        </w:tc>
        <w:tc>
          <w:tcPr>
            <w:tcW w:w="2309" w:type="dxa"/>
            <w:vAlign w:val="center"/>
          </w:tcPr>
          <w:p w14:paraId="59604B5D"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Score range</w:t>
            </w:r>
          </w:p>
        </w:tc>
        <w:tc>
          <w:tcPr>
            <w:tcW w:w="2309" w:type="dxa"/>
            <w:vAlign w:val="center"/>
          </w:tcPr>
          <w:p w14:paraId="5E381B81"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Frequency</w:t>
            </w:r>
          </w:p>
        </w:tc>
        <w:tc>
          <w:tcPr>
            <w:tcW w:w="2309" w:type="dxa"/>
            <w:vAlign w:val="center"/>
          </w:tcPr>
          <w:p w14:paraId="29841335"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Percentage</w:t>
            </w:r>
          </w:p>
        </w:tc>
      </w:tr>
      <w:tr w:rsidR="000A2C67" w:rsidRPr="00D05002" w14:paraId="32A09228" w14:textId="77777777" w:rsidTr="0048069D">
        <w:tc>
          <w:tcPr>
            <w:tcW w:w="2309" w:type="dxa"/>
            <w:vAlign w:val="center"/>
          </w:tcPr>
          <w:p w14:paraId="4F0159D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Low</w:t>
            </w:r>
          </w:p>
        </w:tc>
        <w:tc>
          <w:tcPr>
            <w:tcW w:w="2309" w:type="dxa"/>
            <w:vAlign w:val="center"/>
          </w:tcPr>
          <w:p w14:paraId="01DFBA50"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 33</w:t>
            </w:r>
          </w:p>
        </w:tc>
        <w:tc>
          <w:tcPr>
            <w:tcW w:w="2309" w:type="dxa"/>
            <w:vAlign w:val="center"/>
          </w:tcPr>
          <w:p w14:paraId="7EFB4D8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12</w:t>
            </w:r>
          </w:p>
        </w:tc>
        <w:tc>
          <w:tcPr>
            <w:tcW w:w="2309" w:type="dxa"/>
            <w:vAlign w:val="center"/>
          </w:tcPr>
          <w:p w14:paraId="09DB06C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10.0</w:t>
            </w:r>
          </w:p>
        </w:tc>
      </w:tr>
      <w:tr w:rsidR="000A2C67" w:rsidRPr="00D05002" w14:paraId="19B7C0B4" w14:textId="77777777" w:rsidTr="0048069D">
        <w:tc>
          <w:tcPr>
            <w:tcW w:w="2309" w:type="dxa"/>
            <w:vAlign w:val="center"/>
          </w:tcPr>
          <w:p w14:paraId="5513DE6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Medium</w:t>
            </w:r>
          </w:p>
        </w:tc>
        <w:tc>
          <w:tcPr>
            <w:tcW w:w="2309" w:type="dxa"/>
            <w:vAlign w:val="center"/>
          </w:tcPr>
          <w:p w14:paraId="7647CF0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34–66</w:t>
            </w:r>
          </w:p>
        </w:tc>
        <w:tc>
          <w:tcPr>
            <w:tcW w:w="2309" w:type="dxa"/>
            <w:vAlign w:val="center"/>
          </w:tcPr>
          <w:p w14:paraId="3BDE804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46</w:t>
            </w:r>
          </w:p>
        </w:tc>
        <w:tc>
          <w:tcPr>
            <w:tcW w:w="2309" w:type="dxa"/>
            <w:vAlign w:val="center"/>
          </w:tcPr>
          <w:p w14:paraId="61EB44B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38.3</w:t>
            </w:r>
          </w:p>
        </w:tc>
      </w:tr>
      <w:tr w:rsidR="000A2C67" w:rsidRPr="00D05002" w14:paraId="4312CFBD" w14:textId="77777777" w:rsidTr="0048069D">
        <w:tc>
          <w:tcPr>
            <w:tcW w:w="2309" w:type="dxa"/>
            <w:vAlign w:val="center"/>
          </w:tcPr>
          <w:p w14:paraId="396870E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High</w:t>
            </w:r>
          </w:p>
        </w:tc>
        <w:tc>
          <w:tcPr>
            <w:tcW w:w="2309" w:type="dxa"/>
            <w:vAlign w:val="center"/>
          </w:tcPr>
          <w:p w14:paraId="76C08B5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&gt; 66</w:t>
            </w:r>
          </w:p>
        </w:tc>
        <w:tc>
          <w:tcPr>
            <w:tcW w:w="2309" w:type="dxa"/>
            <w:vAlign w:val="center"/>
          </w:tcPr>
          <w:p w14:paraId="53AE434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62</w:t>
            </w:r>
          </w:p>
        </w:tc>
        <w:tc>
          <w:tcPr>
            <w:tcW w:w="2309" w:type="dxa"/>
            <w:vAlign w:val="center"/>
          </w:tcPr>
          <w:p w14:paraId="5F57B6F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51.7</w:t>
            </w:r>
          </w:p>
        </w:tc>
      </w:tr>
      <w:tr w:rsidR="000A2C67" w:rsidRPr="00D05002" w14:paraId="043B2EE8" w14:textId="77777777" w:rsidTr="0048069D">
        <w:tc>
          <w:tcPr>
            <w:tcW w:w="2309" w:type="dxa"/>
            <w:vAlign w:val="center"/>
          </w:tcPr>
          <w:p w14:paraId="43B84D5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Total</w:t>
            </w:r>
          </w:p>
        </w:tc>
        <w:tc>
          <w:tcPr>
            <w:tcW w:w="2309" w:type="dxa"/>
            <w:vAlign w:val="center"/>
          </w:tcPr>
          <w:p w14:paraId="107CE27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120</w:t>
            </w:r>
          </w:p>
        </w:tc>
        <w:tc>
          <w:tcPr>
            <w:tcW w:w="2309" w:type="dxa"/>
            <w:vAlign w:val="center"/>
          </w:tcPr>
          <w:p w14:paraId="2208EED6"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100.0</w:t>
            </w:r>
          </w:p>
        </w:tc>
        <w:tc>
          <w:tcPr>
            <w:tcW w:w="2309" w:type="dxa"/>
            <w:vAlign w:val="center"/>
          </w:tcPr>
          <w:p w14:paraId="4BBF4808" w14:textId="77777777" w:rsidR="000A2C67" w:rsidRPr="00D05002" w:rsidRDefault="000A2C67" w:rsidP="0048069D">
            <w:pPr>
              <w:jc w:val="both"/>
              <w:rPr>
                <w:rFonts w:ascii="Times New Roman" w:eastAsia="Times New Roman" w:hAnsi="Times New Roman" w:cs="Times New Roman"/>
                <w:sz w:val="24"/>
                <w:szCs w:val="24"/>
                <w:lang w:eastAsia="en-IN"/>
              </w:rPr>
            </w:pPr>
          </w:p>
        </w:tc>
      </w:tr>
    </w:tbl>
    <w:p w14:paraId="6D831F25"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i/>
          <w:iCs/>
          <w:sz w:val="24"/>
          <w:szCs w:val="24"/>
          <w:lang w:eastAsia="en-IN"/>
        </w:rPr>
        <w:t>Mean DEEI score: 68.4 ± 11.6</w:t>
      </w:r>
    </w:p>
    <w:p w14:paraId="5A4EB65E"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18B70B98" w14:textId="77777777" w:rsidR="000A2C67" w:rsidRPr="00D05002" w:rsidRDefault="000A2C67" w:rsidP="000A2C67">
      <w:pPr>
        <w:spacing w:after="0" w:line="240" w:lineRule="auto"/>
        <w:jc w:val="both"/>
        <w:outlineLvl w:val="1"/>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Table 10. Relationship between selected variables and DEEI</w:t>
      </w:r>
    </w:p>
    <w:tbl>
      <w:tblPr>
        <w:tblStyle w:val="TableGrid"/>
        <w:tblW w:w="6160" w:type="dxa"/>
        <w:tblLook w:val="04A0" w:firstRow="1" w:lastRow="0" w:firstColumn="1" w:lastColumn="0" w:noHBand="0" w:noVBand="1"/>
      </w:tblPr>
      <w:tblGrid>
        <w:gridCol w:w="3080"/>
        <w:gridCol w:w="3080"/>
      </w:tblGrid>
      <w:tr w:rsidR="000A2C67" w:rsidRPr="00D05002" w14:paraId="4EAB230D" w14:textId="77777777" w:rsidTr="0048069D">
        <w:tc>
          <w:tcPr>
            <w:tcW w:w="3080" w:type="dxa"/>
            <w:vAlign w:val="center"/>
          </w:tcPr>
          <w:p w14:paraId="414478B8"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Variable</w:t>
            </w:r>
          </w:p>
        </w:tc>
        <w:tc>
          <w:tcPr>
            <w:tcW w:w="3080" w:type="dxa"/>
            <w:vAlign w:val="center"/>
          </w:tcPr>
          <w:p w14:paraId="7AD81504" w14:textId="77777777" w:rsidR="000A2C67" w:rsidRPr="00D05002" w:rsidRDefault="000A2C67" w:rsidP="0048069D">
            <w:pPr>
              <w:jc w:val="both"/>
              <w:rPr>
                <w:rFonts w:ascii="Times New Roman" w:eastAsia="Times New Roman" w:hAnsi="Times New Roman" w:cs="Times New Roman"/>
                <w:b/>
                <w:bCs/>
                <w:sz w:val="24"/>
                <w:szCs w:val="24"/>
                <w:lang w:eastAsia="en-IN"/>
              </w:rPr>
            </w:pPr>
            <w:r w:rsidRPr="00D05002">
              <w:rPr>
                <w:rFonts w:ascii="Times New Roman" w:eastAsia="Times New Roman" w:hAnsi="Times New Roman" w:cs="Times New Roman"/>
                <w:b/>
                <w:bCs/>
                <w:sz w:val="24"/>
                <w:szCs w:val="24"/>
                <w:lang w:eastAsia="en-IN"/>
              </w:rPr>
              <w:t>Correlation coefficient (r)</w:t>
            </w:r>
          </w:p>
        </w:tc>
      </w:tr>
      <w:tr w:rsidR="000A2C67" w:rsidRPr="00D05002" w14:paraId="4EE9F102" w14:textId="77777777" w:rsidTr="0048069D">
        <w:tc>
          <w:tcPr>
            <w:tcW w:w="3080" w:type="dxa"/>
            <w:vAlign w:val="center"/>
          </w:tcPr>
          <w:p w14:paraId="166C9972"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Education</w:t>
            </w:r>
          </w:p>
        </w:tc>
        <w:tc>
          <w:tcPr>
            <w:tcW w:w="3080" w:type="dxa"/>
            <w:vAlign w:val="center"/>
          </w:tcPr>
          <w:p w14:paraId="5F475738"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0.42**</w:t>
            </w:r>
          </w:p>
        </w:tc>
      </w:tr>
      <w:tr w:rsidR="000A2C67" w:rsidRPr="00D05002" w14:paraId="60F3D212" w14:textId="77777777" w:rsidTr="0048069D">
        <w:tc>
          <w:tcPr>
            <w:tcW w:w="3080" w:type="dxa"/>
            <w:vAlign w:val="center"/>
          </w:tcPr>
          <w:p w14:paraId="7FCFC89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Digital literacy</w:t>
            </w:r>
          </w:p>
        </w:tc>
        <w:tc>
          <w:tcPr>
            <w:tcW w:w="3080" w:type="dxa"/>
            <w:vAlign w:val="center"/>
          </w:tcPr>
          <w:p w14:paraId="61504F01"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0.61**</w:t>
            </w:r>
          </w:p>
        </w:tc>
      </w:tr>
      <w:tr w:rsidR="000A2C67" w:rsidRPr="00D05002" w14:paraId="119D6F29" w14:textId="77777777" w:rsidTr="0048069D">
        <w:tc>
          <w:tcPr>
            <w:tcW w:w="3080" w:type="dxa"/>
            <w:vAlign w:val="center"/>
          </w:tcPr>
          <w:p w14:paraId="04CEEE4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Frequency of QR usage</w:t>
            </w:r>
          </w:p>
        </w:tc>
        <w:tc>
          <w:tcPr>
            <w:tcW w:w="3080" w:type="dxa"/>
            <w:vAlign w:val="center"/>
          </w:tcPr>
          <w:p w14:paraId="11980FA9"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0.58**</w:t>
            </w:r>
          </w:p>
        </w:tc>
      </w:tr>
      <w:tr w:rsidR="000A2C67" w:rsidRPr="00D05002" w14:paraId="44A307F6" w14:textId="77777777" w:rsidTr="0048069D">
        <w:tc>
          <w:tcPr>
            <w:tcW w:w="3080" w:type="dxa"/>
            <w:vAlign w:val="center"/>
          </w:tcPr>
          <w:p w14:paraId="5FBE242D"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Information access</w:t>
            </w:r>
          </w:p>
        </w:tc>
        <w:tc>
          <w:tcPr>
            <w:tcW w:w="3080" w:type="dxa"/>
            <w:vAlign w:val="center"/>
          </w:tcPr>
          <w:p w14:paraId="1C7EB99A"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0.72**</w:t>
            </w:r>
          </w:p>
        </w:tc>
      </w:tr>
      <w:tr w:rsidR="000A2C67" w:rsidRPr="00D05002" w14:paraId="1B7CC8F0" w14:textId="77777777" w:rsidTr="0048069D">
        <w:tc>
          <w:tcPr>
            <w:tcW w:w="3080" w:type="dxa"/>
            <w:vAlign w:val="center"/>
          </w:tcPr>
          <w:p w14:paraId="3D7538FE"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User satisfaction</w:t>
            </w:r>
          </w:p>
        </w:tc>
        <w:tc>
          <w:tcPr>
            <w:tcW w:w="3080" w:type="dxa"/>
            <w:vAlign w:val="center"/>
          </w:tcPr>
          <w:p w14:paraId="55182CD5" w14:textId="77777777" w:rsidR="000A2C67" w:rsidRPr="00D05002" w:rsidRDefault="000A2C67" w:rsidP="0048069D">
            <w:pPr>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sz w:val="24"/>
                <w:szCs w:val="24"/>
                <w:lang w:eastAsia="en-IN"/>
              </w:rPr>
              <w:t>0.69**</w:t>
            </w:r>
          </w:p>
        </w:tc>
      </w:tr>
    </w:tbl>
    <w:p w14:paraId="1D3565B3"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r w:rsidRPr="00D05002">
        <w:rPr>
          <w:rFonts w:ascii="Times New Roman" w:eastAsia="Times New Roman" w:hAnsi="Times New Roman" w:cs="Times New Roman"/>
          <w:b/>
          <w:bCs/>
          <w:sz w:val="24"/>
          <w:szCs w:val="24"/>
          <w:lang w:eastAsia="en-IN"/>
        </w:rPr>
        <w:t>** Significant at 1 per cent level</w:t>
      </w:r>
    </w:p>
    <w:p w14:paraId="248B3495" w14:textId="77777777" w:rsidR="000A2C67" w:rsidRPr="00D05002" w:rsidRDefault="000A2C67" w:rsidP="000A2C67">
      <w:pPr>
        <w:spacing w:after="0" w:line="240" w:lineRule="auto"/>
        <w:jc w:val="both"/>
        <w:rPr>
          <w:rFonts w:ascii="Times New Roman" w:eastAsia="Times New Roman" w:hAnsi="Times New Roman" w:cs="Times New Roman"/>
          <w:sz w:val="24"/>
          <w:szCs w:val="24"/>
          <w:lang w:eastAsia="en-IN"/>
        </w:rPr>
      </w:pPr>
    </w:p>
    <w:p w14:paraId="66055EE7" w14:textId="77777777" w:rsidR="000A2C67" w:rsidRPr="00D53954" w:rsidRDefault="000A2C67" w:rsidP="00D53954">
      <w:pPr>
        <w:jc w:val="both"/>
        <w:rPr>
          <w:rFonts w:ascii="Times New Roman" w:hAnsi="Times New Roman" w:cs="Times New Roman"/>
        </w:rPr>
      </w:pPr>
    </w:p>
    <w:sectPr w:rsidR="000A2C67" w:rsidRPr="00D5395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46DA0" w14:textId="77777777" w:rsidR="00DA5276" w:rsidRDefault="00DA5276" w:rsidP="00CD3F2F">
      <w:pPr>
        <w:spacing w:after="0" w:line="240" w:lineRule="auto"/>
      </w:pPr>
      <w:r>
        <w:separator/>
      </w:r>
    </w:p>
  </w:endnote>
  <w:endnote w:type="continuationSeparator" w:id="0">
    <w:p w14:paraId="2121A288" w14:textId="77777777" w:rsidR="00DA5276" w:rsidRDefault="00DA5276" w:rsidP="00CD3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6662" w14:textId="77777777" w:rsidR="00CD3F2F" w:rsidRDefault="00CD3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DBFB" w14:textId="77777777" w:rsidR="00CD3F2F" w:rsidRDefault="00CD3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9ECD" w14:textId="77777777" w:rsidR="00CD3F2F" w:rsidRDefault="00CD3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89E20" w14:textId="77777777" w:rsidR="00DA5276" w:rsidRDefault="00DA5276" w:rsidP="00CD3F2F">
      <w:pPr>
        <w:spacing w:after="0" w:line="240" w:lineRule="auto"/>
      </w:pPr>
      <w:r>
        <w:separator/>
      </w:r>
    </w:p>
  </w:footnote>
  <w:footnote w:type="continuationSeparator" w:id="0">
    <w:p w14:paraId="73277C84" w14:textId="77777777" w:rsidR="00DA5276" w:rsidRDefault="00DA5276" w:rsidP="00CD3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27C17" w14:textId="624756D8" w:rsidR="00CD3F2F" w:rsidRDefault="00CD3F2F">
    <w:pPr>
      <w:pStyle w:val="Header"/>
    </w:pPr>
    <w:r>
      <w:rPr>
        <w:noProof/>
      </w:rPr>
      <w:pict w14:anchorId="76DEF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85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321B" w14:textId="52E977E4" w:rsidR="00CD3F2F" w:rsidRDefault="00CD3F2F">
    <w:pPr>
      <w:pStyle w:val="Header"/>
    </w:pPr>
    <w:r>
      <w:rPr>
        <w:noProof/>
      </w:rPr>
      <w:pict w14:anchorId="15D97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85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D868" w14:textId="1C5D6D3E" w:rsidR="00CD3F2F" w:rsidRDefault="00CD3F2F">
    <w:pPr>
      <w:pStyle w:val="Header"/>
    </w:pPr>
    <w:r>
      <w:rPr>
        <w:noProof/>
      </w:rPr>
      <w:pict w14:anchorId="2C4CE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6685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B3B4A"/>
    <w:multiLevelType w:val="multilevel"/>
    <w:tmpl w:val="B13E3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6361A7"/>
    <w:multiLevelType w:val="multilevel"/>
    <w:tmpl w:val="43D0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54"/>
    <w:rsid w:val="000A2C67"/>
    <w:rsid w:val="005D42F5"/>
    <w:rsid w:val="006A4608"/>
    <w:rsid w:val="007377FF"/>
    <w:rsid w:val="007F2CED"/>
    <w:rsid w:val="0082341D"/>
    <w:rsid w:val="00924561"/>
    <w:rsid w:val="00B256DB"/>
    <w:rsid w:val="00B4191E"/>
    <w:rsid w:val="00BB7FFD"/>
    <w:rsid w:val="00CA1630"/>
    <w:rsid w:val="00CD3F2F"/>
    <w:rsid w:val="00D40425"/>
    <w:rsid w:val="00D53954"/>
    <w:rsid w:val="00D735E3"/>
    <w:rsid w:val="00DA21A3"/>
    <w:rsid w:val="00DA5276"/>
    <w:rsid w:val="00EF1773"/>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EB4A331"/>
  <w14:defaultImageDpi w14:val="32767"/>
  <w15:chartTrackingRefBased/>
  <w15:docId w15:val="{2939BAC3-27E4-455F-A982-D8CD922E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9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9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39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539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9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9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9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39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539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9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954"/>
    <w:rPr>
      <w:rFonts w:eastAsiaTheme="majorEastAsia" w:cstheme="majorBidi"/>
      <w:color w:val="272727" w:themeColor="text1" w:themeTint="D8"/>
    </w:rPr>
  </w:style>
  <w:style w:type="paragraph" w:styleId="Title">
    <w:name w:val="Title"/>
    <w:basedOn w:val="Normal"/>
    <w:next w:val="Normal"/>
    <w:link w:val="TitleChar"/>
    <w:uiPriority w:val="10"/>
    <w:qFormat/>
    <w:rsid w:val="00D53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954"/>
    <w:pPr>
      <w:spacing w:before="160"/>
      <w:jc w:val="center"/>
    </w:pPr>
    <w:rPr>
      <w:i/>
      <w:iCs/>
      <w:color w:val="404040" w:themeColor="text1" w:themeTint="BF"/>
    </w:rPr>
  </w:style>
  <w:style w:type="character" w:customStyle="1" w:styleId="QuoteChar">
    <w:name w:val="Quote Char"/>
    <w:basedOn w:val="DefaultParagraphFont"/>
    <w:link w:val="Quote"/>
    <w:uiPriority w:val="29"/>
    <w:rsid w:val="00D53954"/>
    <w:rPr>
      <w:i/>
      <w:iCs/>
      <w:color w:val="404040" w:themeColor="text1" w:themeTint="BF"/>
    </w:rPr>
  </w:style>
  <w:style w:type="paragraph" w:styleId="ListParagraph">
    <w:name w:val="List Paragraph"/>
    <w:basedOn w:val="Normal"/>
    <w:uiPriority w:val="34"/>
    <w:qFormat/>
    <w:rsid w:val="00D53954"/>
    <w:pPr>
      <w:ind w:left="720"/>
      <w:contextualSpacing/>
    </w:pPr>
  </w:style>
  <w:style w:type="character" w:styleId="IntenseEmphasis">
    <w:name w:val="Intense Emphasis"/>
    <w:basedOn w:val="DefaultParagraphFont"/>
    <w:uiPriority w:val="21"/>
    <w:qFormat/>
    <w:rsid w:val="00D53954"/>
    <w:rPr>
      <w:i/>
      <w:iCs/>
      <w:color w:val="2F5496" w:themeColor="accent1" w:themeShade="BF"/>
    </w:rPr>
  </w:style>
  <w:style w:type="paragraph" w:styleId="IntenseQuote">
    <w:name w:val="Intense Quote"/>
    <w:basedOn w:val="Normal"/>
    <w:next w:val="Normal"/>
    <w:link w:val="IntenseQuoteChar"/>
    <w:uiPriority w:val="30"/>
    <w:qFormat/>
    <w:rsid w:val="00D539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954"/>
    <w:rPr>
      <w:i/>
      <w:iCs/>
      <w:color w:val="2F5496" w:themeColor="accent1" w:themeShade="BF"/>
    </w:rPr>
  </w:style>
  <w:style w:type="character" w:styleId="IntenseReference">
    <w:name w:val="Intense Reference"/>
    <w:basedOn w:val="DefaultParagraphFont"/>
    <w:uiPriority w:val="32"/>
    <w:qFormat/>
    <w:rsid w:val="00D53954"/>
    <w:rPr>
      <w:b/>
      <w:bCs/>
      <w:smallCaps/>
      <w:color w:val="2F5496" w:themeColor="accent1" w:themeShade="BF"/>
      <w:spacing w:val="5"/>
    </w:rPr>
  </w:style>
  <w:style w:type="paragraph" w:styleId="NormalWeb">
    <w:name w:val="Normal (Web)"/>
    <w:basedOn w:val="Normal"/>
    <w:uiPriority w:val="99"/>
    <w:semiHidden/>
    <w:unhideWhenUsed/>
    <w:rsid w:val="00D53954"/>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customStyle="1" w:styleId="citation-1111">
    <w:name w:val="citation-1111"/>
    <w:basedOn w:val="DefaultParagraphFont"/>
    <w:rsid w:val="00D53954"/>
  </w:style>
  <w:style w:type="character" w:customStyle="1" w:styleId="citation-1110">
    <w:name w:val="citation-1110"/>
    <w:basedOn w:val="DefaultParagraphFont"/>
    <w:rsid w:val="00D53954"/>
  </w:style>
  <w:style w:type="character" w:customStyle="1" w:styleId="citation-1109">
    <w:name w:val="citation-1109"/>
    <w:basedOn w:val="DefaultParagraphFont"/>
    <w:rsid w:val="00D53954"/>
  </w:style>
  <w:style w:type="character" w:customStyle="1" w:styleId="citation-1108">
    <w:name w:val="citation-1108"/>
    <w:basedOn w:val="DefaultParagraphFont"/>
    <w:rsid w:val="00D53954"/>
  </w:style>
  <w:style w:type="character" w:customStyle="1" w:styleId="citation-1107">
    <w:name w:val="citation-1107"/>
    <w:basedOn w:val="DefaultParagraphFont"/>
    <w:rsid w:val="00D53954"/>
  </w:style>
  <w:style w:type="character" w:customStyle="1" w:styleId="citation-1106">
    <w:name w:val="citation-1106"/>
    <w:basedOn w:val="DefaultParagraphFont"/>
    <w:rsid w:val="00D53954"/>
  </w:style>
  <w:style w:type="character" w:customStyle="1" w:styleId="citation-1105">
    <w:name w:val="citation-1105"/>
    <w:basedOn w:val="DefaultParagraphFont"/>
    <w:rsid w:val="00D53954"/>
  </w:style>
  <w:style w:type="character" w:customStyle="1" w:styleId="citation-1104">
    <w:name w:val="citation-1104"/>
    <w:basedOn w:val="DefaultParagraphFont"/>
    <w:rsid w:val="00D53954"/>
  </w:style>
  <w:style w:type="character" w:customStyle="1" w:styleId="citation-1103">
    <w:name w:val="citation-1103"/>
    <w:basedOn w:val="DefaultParagraphFont"/>
    <w:rsid w:val="00D53954"/>
  </w:style>
  <w:style w:type="character" w:customStyle="1" w:styleId="citation-1102">
    <w:name w:val="citation-1102"/>
    <w:basedOn w:val="DefaultParagraphFont"/>
    <w:rsid w:val="00D53954"/>
  </w:style>
  <w:style w:type="character" w:customStyle="1" w:styleId="citation-1101">
    <w:name w:val="citation-1101"/>
    <w:basedOn w:val="DefaultParagraphFont"/>
    <w:rsid w:val="00D53954"/>
  </w:style>
  <w:style w:type="character" w:customStyle="1" w:styleId="citation-1100">
    <w:name w:val="citation-1100"/>
    <w:basedOn w:val="DefaultParagraphFont"/>
    <w:rsid w:val="00D53954"/>
  </w:style>
  <w:style w:type="character" w:customStyle="1" w:styleId="citation-1099">
    <w:name w:val="citation-1099"/>
    <w:basedOn w:val="DefaultParagraphFont"/>
    <w:rsid w:val="00D53954"/>
  </w:style>
  <w:style w:type="character" w:customStyle="1" w:styleId="citation-1098">
    <w:name w:val="citation-1098"/>
    <w:basedOn w:val="DefaultParagraphFont"/>
    <w:rsid w:val="00D53954"/>
  </w:style>
  <w:style w:type="character" w:customStyle="1" w:styleId="citation-1097">
    <w:name w:val="citation-1097"/>
    <w:basedOn w:val="DefaultParagraphFont"/>
    <w:rsid w:val="00D53954"/>
  </w:style>
  <w:style w:type="character" w:customStyle="1" w:styleId="citation-1096">
    <w:name w:val="citation-1096"/>
    <w:basedOn w:val="DefaultParagraphFont"/>
    <w:rsid w:val="00D53954"/>
  </w:style>
  <w:style w:type="character" w:customStyle="1" w:styleId="citation-1095">
    <w:name w:val="citation-1095"/>
    <w:basedOn w:val="DefaultParagraphFont"/>
    <w:rsid w:val="00D53954"/>
  </w:style>
  <w:style w:type="character" w:customStyle="1" w:styleId="citation-1094">
    <w:name w:val="citation-1094"/>
    <w:basedOn w:val="DefaultParagraphFont"/>
    <w:rsid w:val="00D53954"/>
  </w:style>
  <w:style w:type="character" w:customStyle="1" w:styleId="citation-1093">
    <w:name w:val="citation-1093"/>
    <w:basedOn w:val="DefaultParagraphFont"/>
    <w:rsid w:val="00D53954"/>
  </w:style>
  <w:style w:type="character" w:customStyle="1" w:styleId="citation-1092">
    <w:name w:val="citation-1092"/>
    <w:basedOn w:val="DefaultParagraphFont"/>
    <w:rsid w:val="00D53954"/>
  </w:style>
  <w:style w:type="character" w:customStyle="1" w:styleId="citation-1091">
    <w:name w:val="citation-1091"/>
    <w:basedOn w:val="DefaultParagraphFont"/>
    <w:rsid w:val="00D53954"/>
  </w:style>
  <w:style w:type="character" w:customStyle="1" w:styleId="citation-1090">
    <w:name w:val="citation-1090"/>
    <w:basedOn w:val="DefaultParagraphFont"/>
    <w:rsid w:val="00D53954"/>
  </w:style>
  <w:style w:type="character" w:customStyle="1" w:styleId="citation-1089">
    <w:name w:val="citation-1089"/>
    <w:basedOn w:val="DefaultParagraphFont"/>
    <w:rsid w:val="00D53954"/>
  </w:style>
  <w:style w:type="character" w:customStyle="1" w:styleId="citation-1088">
    <w:name w:val="citation-1088"/>
    <w:basedOn w:val="DefaultParagraphFont"/>
    <w:rsid w:val="00D53954"/>
  </w:style>
  <w:style w:type="character" w:customStyle="1" w:styleId="citation-1087">
    <w:name w:val="citation-1087"/>
    <w:basedOn w:val="DefaultParagraphFont"/>
    <w:rsid w:val="00D53954"/>
  </w:style>
  <w:style w:type="character" w:customStyle="1" w:styleId="citation-1086">
    <w:name w:val="citation-1086"/>
    <w:basedOn w:val="DefaultParagraphFont"/>
    <w:rsid w:val="00D53954"/>
  </w:style>
  <w:style w:type="character" w:customStyle="1" w:styleId="citation-1085">
    <w:name w:val="citation-1085"/>
    <w:basedOn w:val="DefaultParagraphFont"/>
    <w:rsid w:val="00D53954"/>
  </w:style>
  <w:style w:type="character" w:customStyle="1" w:styleId="citation-1084">
    <w:name w:val="citation-1084"/>
    <w:basedOn w:val="DefaultParagraphFont"/>
    <w:rsid w:val="00D53954"/>
  </w:style>
  <w:style w:type="character" w:customStyle="1" w:styleId="citation-1083">
    <w:name w:val="citation-1083"/>
    <w:basedOn w:val="DefaultParagraphFont"/>
    <w:rsid w:val="00D53954"/>
  </w:style>
  <w:style w:type="character" w:customStyle="1" w:styleId="citation-1082">
    <w:name w:val="citation-1082"/>
    <w:basedOn w:val="DefaultParagraphFont"/>
    <w:rsid w:val="00D53954"/>
  </w:style>
  <w:style w:type="character" w:customStyle="1" w:styleId="citation-1081">
    <w:name w:val="citation-1081"/>
    <w:basedOn w:val="DefaultParagraphFont"/>
    <w:rsid w:val="00D53954"/>
  </w:style>
  <w:style w:type="character" w:customStyle="1" w:styleId="citation-1080">
    <w:name w:val="citation-1080"/>
    <w:basedOn w:val="DefaultParagraphFont"/>
    <w:rsid w:val="00D53954"/>
  </w:style>
  <w:style w:type="character" w:customStyle="1" w:styleId="citation-1079">
    <w:name w:val="citation-1079"/>
    <w:basedOn w:val="DefaultParagraphFont"/>
    <w:rsid w:val="00D53954"/>
  </w:style>
  <w:style w:type="character" w:customStyle="1" w:styleId="citation-1078">
    <w:name w:val="citation-1078"/>
    <w:basedOn w:val="DefaultParagraphFont"/>
    <w:rsid w:val="00D53954"/>
  </w:style>
  <w:style w:type="character" w:customStyle="1" w:styleId="citation-1077">
    <w:name w:val="citation-1077"/>
    <w:basedOn w:val="DefaultParagraphFont"/>
    <w:rsid w:val="00D53954"/>
  </w:style>
  <w:style w:type="character" w:customStyle="1" w:styleId="citation-1076">
    <w:name w:val="citation-1076"/>
    <w:basedOn w:val="DefaultParagraphFont"/>
    <w:rsid w:val="00D53954"/>
  </w:style>
  <w:style w:type="character" w:customStyle="1" w:styleId="citation-1075">
    <w:name w:val="citation-1075"/>
    <w:basedOn w:val="DefaultParagraphFont"/>
    <w:rsid w:val="00D53954"/>
  </w:style>
  <w:style w:type="character" w:customStyle="1" w:styleId="citation-1074">
    <w:name w:val="citation-1074"/>
    <w:basedOn w:val="DefaultParagraphFont"/>
    <w:rsid w:val="00D53954"/>
  </w:style>
  <w:style w:type="character" w:customStyle="1" w:styleId="citation-1073">
    <w:name w:val="citation-1073"/>
    <w:basedOn w:val="DefaultParagraphFont"/>
    <w:rsid w:val="00D53954"/>
  </w:style>
  <w:style w:type="character" w:customStyle="1" w:styleId="citation-1072">
    <w:name w:val="citation-1072"/>
    <w:basedOn w:val="DefaultParagraphFont"/>
    <w:rsid w:val="00D53954"/>
  </w:style>
  <w:style w:type="character" w:customStyle="1" w:styleId="citation-1071">
    <w:name w:val="citation-1071"/>
    <w:basedOn w:val="DefaultParagraphFont"/>
    <w:rsid w:val="00D53954"/>
  </w:style>
  <w:style w:type="character" w:customStyle="1" w:styleId="citation-1070">
    <w:name w:val="citation-1070"/>
    <w:basedOn w:val="DefaultParagraphFont"/>
    <w:rsid w:val="00D53954"/>
  </w:style>
  <w:style w:type="character" w:customStyle="1" w:styleId="citation-1069">
    <w:name w:val="citation-1069"/>
    <w:basedOn w:val="DefaultParagraphFont"/>
    <w:rsid w:val="00D53954"/>
  </w:style>
  <w:style w:type="character" w:customStyle="1" w:styleId="citation-1068">
    <w:name w:val="citation-1068"/>
    <w:basedOn w:val="DefaultParagraphFont"/>
    <w:rsid w:val="00D53954"/>
  </w:style>
  <w:style w:type="character" w:customStyle="1" w:styleId="citation-1067">
    <w:name w:val="citation-1067"/>
    <w:basedOn w:val="DefaultParagraphFont"/>
    <w:rsid w:val="00D53954"/>
  </w:style>
  <w:style w:type="character" w:customStyle="1" w:styleId="citation-1066">
    <w:name w:val="citation-1066"/>
    <w:basedOn w:val="DefaultParagraphFont"/>
    <w:rsid w:val="00D53954"/>
  </w:style>
  <w:style w:type="character" w:customStyle="1" w:styleId="citation-1065">
    <w:name w:val="citation-1065"/>
    <w:basedOn w:val="DefaultParagraphFont"/>
    <w:rsid w:val="00D53954"/>
  </w:style>
  <w:style w:type="character" w:customStyle="1" w:styleId="citation-1064">
    <w:name w:val="citation-1064"/>
    <w:basedOn w:val="DefaultParagraphFont"/>
    <w:rsid w:val="00D53954"/>
  </w:style>
  <w:style w:type="character" w:customStyle="1" w:styleId="citation-1063">
    <w:name w:val="citation-1063"/>
    <w:basedOn w:val="DefaultParagraphFont"/>
    <w:rsid w:val="00D53954"/>
  </w:style>
  <w:style w:type="character" w:customStyle="1" w:styleId="citation-1062">
    <w:name w:val="citation-1062"/>
    <w:basedOn w:val="DefaultParagraphFont"/>
    <w:rsid w:val="00D53954"/>
  </w:style>
  <w:style w:type="character" w:customStyle="1" w:styleId="citation-1061">
    <w:name w:val="citation-1061"/>
    <w:basedOn w:val="DefaultParagraphFont"/>
    <w:rsid w:val="00D53954"/>
  </w:style>
  <w:style w:type="character" w:customStyle="1" w:styleId="citation-1060">
    <w:name w:val="citation-1060"/>
    <w:basedOn w:val="DefaultParagraphFont"/>
    <w:rsid w:val="00D53954"/>
  </w:style>
  <w:style w:type="character" w:customStyle="1" w:styleId="citation-1059">
    <w:name w:val="citation-1059"/>
    <w:basedOn w:val="DefaultParagraphFont"/>
    <w:rsid w:val="00D53954"/>
  </w:style>
  <w:style w:type="character" w:customStyle="1" w:styleId="citation-1058">
    <w:name w:val="citation-1058"/>
    <w:basedOn w:val="DefaultParagraphFont"/>
    <w:rsid w:val="00D53954"/>
  </w:style>
  <w:style w:type="character" w:customStyle="1" w:styleId="citation-1057">
    <w:name w:val="citation-1057"/>
    <w:basedOn w:val="DefaultParagraphFont"/>
    <w:rsid w:val="00D53954"/>
  </w:style>
  <w:style w:type="character" w:customStyle="1" w:styleId="citation-1056">
    <w:name w:val="citation-1056"/>
    <w:basedOn w:val="DefaultParagraphFont"/>
    <w:rsid w:val="00D53954"/>
  </w:style>
  <w:style w:type="character" w:customStyle="1" w:styleId="citation-1055">
    <w:name w:val="citation-1055"/>
    <w:basedOn w:val="DefaultParagraphFont"/>
    <w:rsid w:val="00D53954"/>
  </w:style>
  <w:style w:type="character" w:customStyle="1" w:styleId="citation-1054">
    <w:name w:val="citation-1054"/>
    <w:basedOn w:val="DefaultParagraphFont"/>
    <w:rsid w:val="00D53954"/>
  </w:style>
  <w:style w:type="character" w:customStyle="1" w:styleId="citation-1053">
    <w:name w:val="citation-1053"/>
    <w:basedOn w:val="DefaultParagraphFont"/>
    <w:rsid w:val="00D53954"/>
  </w:style>
  <w:style w:type="character" w:customStyle="1" w:styleId="citation-1052">
    <w:name w:val="citation-1052"/>
    <w:basedOn w:val="DefaultParagraphFont"/>
    <w:rsid w:val="00D53954"/>
  </w:style>
  <w:style w:type="character" w:customStyle="1" w:styleId="citation-1051">
    <w:name w:val="citation-1051"/>
    <w:basedOn w:val="DefaultParagraphFont"/>
    <w:rsid w:val="00D53954"/>
  </w:style>
  <w:style w:type="character" w:customStyle="1" w:styleId="citation-1050">
    <w:name w:val="citation-1050"/>
    <w:basedOn w:val="DefaultParagraphFont"/>
    <w:rsid w:val="00D53954"/>
  </w:style>
  <w:style w:type="character" w:customStyle="1" w:styleId="citation-1049">
    <w:name w:val="citation-1049"/>
    <w:basedOn w:val="DefaultParagraphFont"/>
    <w:rsid w:val="00D53954"/>
  </w:style>
  <w:style w:type="character" w:customStyle="1" w:styleId="citation-1048">
    <w:name w:val="citation-1048"/>
    <w:basedOn w:val="DefaultParagraphFont"/>
    <w:rsid w:val="00D53954"/>
  </w:style>
  <w:style w:type="character" w:customStyle="1" w:styleId="citation-1047">
    <w:name w:val="citation-1047"/>
    <w:basedOn w:val="DefaultParagraphFont"/>
    <w:rsid w:val="00D53954"/>
  </w:style>
  <w:style w:type="character" w:customStyle="1" w:styleId="citation-1046">
    <w:name w:val="citation-1046"/>
    <w:basedOn w:val="DefaultParagraphFont"/>
    <w:rsid w:val="00D53954"/>
  </w:style>
  <w:style w:type="character" w:customStyle="1" w:styleId="citation-1045">
    <w:name w:val="citation-1045"/>
    <w:basedOn w:val="DefaultParagraphFont"/>
    <w:rsid w:val="00D53954"/>
  </w:style>
  <w:style w:type="character" w:customStyle="1" w:styleId="citation-1044">
    <w:name w:val="citation-1044"/>
    <w:basedOn w:val="DefaultParagraphFont"/>
    <w:rsid w:val="00D53954"/>
  </w:style>
  <w:style w:type="character" w:customStyle="1" w:styleId="citation-1043">
    <w:name w:val="citation-1043"/>
    <w:basedOn w:val="DefaultParagraphFont"/>
    <w:rsid w:val="00D53954"/>
  </w:style>
  <w:style w:type="character" w:customStyle="1" w:styleId="citation-1042">
    <w:name w:val="citation-1042"/>
    <w:basedOn w:val="DefaultParagraphFont"/>
    <w:rsid w:val="00D53954"/>
  </w:style>
  <w:style w:type="character" w:customStyle="1" w:styleId="citation-1041">
    <w:name w:val="citation-1041"/>
    <w:basedOn w:val="DefaultParagraphFont"/>
    <w:rsid w:val="00D53954"/>
  </w:style>
  <w:style w:type="character" w:customStyle="1" w:styleId="citation-1040">
    <w:name w:val="citation-1040"/>
    <w:basedOn w:val="DefaultParagraphFont"/>
    <w:rsid w:val="00D53954"/>
  </w:style>
  <w:style w:type="character" w:customStyle="1" w:styleId="citation-1039">
    <w:name w:val="citation-1039"/>
    <w:basedOn w:val="DefaultParagraphFont"/>
    <w:rsid w:val="00D53954"/>
  </w:style>
  <w:style w:type="character" w:customStyle="1" w:styleId="citation-1038">
    <w:name w:val="citation-1038"/>
    <w:basedOn w:val="DefaultParagraphFont"/>
    <w:rsid w:val="00D53954"/>
  </w:style>
  <w:style w:type="character" w:customStyle="1" w:styleId="citation-1037">
    <w:name w:val="citation-1037"/>
    <w:basedOn w:val="DefaultParagraphFont"/>
    <w:rsid w:val="00D53954"/>
  </w:style>
  <w:style w:type="character" w:customStyle="1" w:styleId="citation-1036">
    <w:name w:val="citation-1036"/>
    <w:basedOn w:val="DefaultParagraphFont"/>
    <w:rsid w:val="00D53954"/>
  </w:style>
  <w:style w:type="character" w:customStyle="1" w:styleId="citation-1035">
    <w:name w:val="citation-1035"/>
    <w:basedOn w:val="DefaultParagraphFont"/>
    <w:rsid w:val="00D53954"/>
  </w:style>
  <w:style w:type="character" w:customStyle="1" w:styleId="citation-1034">
    <w:name w:val="citation-1034"/>
    <w:basedOn w:val="DefaultParagraphFont"/>
    <w:rsid w:val="00D53954"/>
  </w:style>
  <w:style w:type="character" w:customStyle="1" w:styleId="citation-1033">
    <w:name w:val="citation-1033"/>
    <w:basedOn w:val="DefaultParagraphFont"/>
    <w:rsid w:val="00D53954"/>
  </w:style>
  <w:style w:type="character" w:customStyle="1" w:styleId="citation-1032">
    <w:name w:val="citation-1032"/>
    <w:basedOn w:val="DefaultParagraphFont"/>
    <w:rsid w:val="00D53954"/>
  </w:style>
  <w:style w:type="character" w:customStyle="1" w:styleId="citation-1031">
    <w:name w:val="citation-1031"/>
    <w:basedOn w:val="DefaultParagraphFont"/>
    <w:rsid w:val="00D53954"/>
  </w:style>
  <w:style w:type="character" w:customStyle="1" w:styleId="citation-1030">
    <w:name w:val="citation-1030"/>
    <w:basedOn w:val="DefaultParagraphFont"/>
    <w:rsid w:val="00D53954"/>
  </w:style>
  <w:style w:type="character" w:customStyle="1" w:styleId="citation-1029">
    <w:name w:val="citation-1029"/>
    <w:basedOn w:val="DefaultParagraphFont"/>
    <w:rsid w:val="00D53954"/>
  </w:style>
  <w:style w:type="character" w:customStyle="1" w:styleId="citation-1028">
    <w:name w:val="citation-1028"/>
    <w:basedOn w:val="DefaultParagraphFont"/>
    <w:rsid w:val="00D53954"/>
  </w:style>
  <w:style w:type="character" w:customStyle="1" w:styleId="citation-1027">
    <w:name w:val="citation-1027"/>
    <w:basedOn w:val="DefaultParagraphFont"/>
    <w:rsid w:val="00D53954"/>
  </w:style>
  <w:style w:type="character" w:customStyle="1" w:styleId="citation-1026">
    <w:name w:val="citation-1026"/>
    <w:basedOn w:val="DefaultParagraphFont"/>
    <w:rsid w:val="00D53954"/>
  </w:style>
  <w:style w:type="character" w:customStyle="1" w:styleId="citation-1025">
    <w:name w:val="citation-1025"/>
    <w:basedOn w:val="DefaultParagraphFont"/>
    <w:rsid w:val="00D53954"/>
  </w:style>
  <w:style w:type="character" w:customStyle="1" w:styleId="citation-1024">
    <w:name w:val="citation-1024"/>
    <w:basedOn w:val="DefaultParagraphFont"/>
    <w:rsid w:val="00D53954"/>
  </w:style>
  <w:style w:type="character" w:customStyle="1" w:styleId="citation-1023">
    <w:name w:val="citation-1023"/>
    <w:basedOn w:val="DefaultParagraphFont"/>
    <w:rsid w:val="00D53954"/>
  </w:style>
  <w:style w:type="character" w:customStyle="1" w:styleId="citation-1022">
    <w:name w:val="citation-1022"/>
    <w:basedOn w:val="DefaultParagraphFont"/>
    <w:rsid w:val="00D53954"/>
  </w:style>
  <w:style w:type="character" w:customStyle="1" w:styleId="citation-1021">
    <w:name w:val="citation-1021"/>
    <w:basedOn w:val="DefaultParagraphFont"/>
    <w:rsid w:val="00D53954"/>
  </w:style>
  <w:style w:type="character" w:customStyle="1" w:styleId="citation-1020">
    <w:name w:val="citation-1020"/>
    <w:basedOn w:val="DefaultParagraphFont"/>
    <w:rsid w:val="00D53954"/>
  </w:style>
  <w:style w:type="character" w:customStyle="1" w:styleId="citation-1019">
    <w:name w:val="citation-1019"/>
    <w:basedOn w:val="DefaultParagraphFont"/>
    <w:rsid w:val="00D53954"/>
  </w:style>
  <w:style w:type="character" w:customStyle="1" w:styleId="citation-1018">
    <w:name w:val="citation-1018"/>
    <w:basedOn w:val="DefaultParagraphFont"/>
    <w:rsid w:val="00D53954"/>
  </w:style>
  <w:style w:type="character" w:customStyle="1" w:styleId="citation-1017">
    <w:name w:val="citation-1017"/>
    <w:basedOn w:val="DefaultParagraphFont"/>
    <w:rsid w:val="00D53954"/>
  </w:style>
  <w:style w:type="character" w:customStyle="1" w:styleId="citation-1016">
    <w:name w:val="citation-1016"/>
    <w:basedOn w:val="DefaultParagraphFont"/>
    <w:rsid w:val="00D53954"/>
  </w:style>
  <w:style w:type="character" w:customStyle="1" w:styleId="citation-1015">
    <w:name w:val="citation-1015"/>
    <w:basedOn w:val="DefaultParagraphFont"/>
    <w:rsid w:val="00D53954"/>
  </w:style>
  <w:style w:type="table" w:styleId="TableGrid">
    <w:name w:val="Table Grid"/>
    <w:basedOn w:val="TableNormal"/>
    <w:uiPriority w:val="59"/>
    <w:rsid w:val="000A2C67"/>
    <w:pPr>
      <w:spacing w:after="0" w:line="240" w:lineRule="auto"/>
    </w:pPr>
    <w:rPr>
      <w:kern w:val="0"/>
      <w:szCs w:val="20"/>
      <w:lang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21A3"/>
    <w:rPr>
      <w:color w:val="0563C1" w:themeColor="hyperlink"/>
      <w:u w:val="single"/>
    </w:rPr>
  </w:style>
  <w:style w:type="character" w:styleId="UnresolvedMention">
    <w:name w:val="Unresolved Mention"/>
    <w:basedOn w:val="DefaultParagraphFont"/>
    <w:uiPriority w:val="99"/>
    <w:semiHidden/>
    <w:unhideWhenUsed/>
    <w:rsid w:val="00DA21A3"/>
    <w:rPr>
      <w:color w:val="605E5C"/>
      <w:shd w:val="clear" w:color="auto" w:fill="E1DFDD"/>
    </w:rPr>
  </w:style>
  <w:style w:type="paragraph" w:styleId="Header">
    <w:name w:val="header"/>
    <w:basedOn w:val="Normal"/>
    <w:link w:val="HeaderChar"/>
    <w:uiPriority w:val="99"/>
    <w:unhideWhenUsed/>
    <w:rsid w:val="00CD3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F2F"/>
  </w:style>
  <w:style w:type="paragraph" w:styleId="Footer">
    <w:name w:val="footer"/>
    <w:basedOn w:val="Normal"/>
    <w:link w:val="FooterChar"/>
    <w:uiPriority w:val="99"/>
    <w:unhideWhenUsed/>
    <w:rsid w:val="00CD3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rushigmatale@outlook.com</dc:creator>
  <cp:keywords/>
  <dc:description/>
  <cp:lastModifiedBy>SDI 1084</cp:lastModifiedBy>
  <cp:revision>13</cp:revision>
  <dcterms:created xsi:type="dcterms:W3CDTF">2026-04-06T07:22:00Z</dcterms:created>
  <dcterms:modified xsi:type="dcterms:W3CDTF">2026-04-07T12:37:00Z</dcterms:modified>
</cp:coreProperties>
</file>