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9B433" w14:textId="7B946DF1" w:rsidR="0028484D" w:rsidRDefault="0028484D" w:rsidP="00F631EA">
      <w:pPr>
        <w:spacing w:before="120" w:after="120" w:line="247" w:lineRule="auto"/>
        <w:ind w:right="0"/>
        <w:jc w:val="center"/>
        <w:rPr>
          <w:b/>
          <w:bCs/>
        </w:rPr>
      </w:pPr>
      <w:r w:rsidRPr="0028484D">
        <w:rPr>
          <w:b/>
          <w:bCs/>
        </w:rPr>
        <w:t>Biochar as a Nursery Media Amendment: Advancing Quality Seedling Production in Tropical and Temperate Tree Species</w:t>
      </w:r>
    </w:p>
    <w:p w14:paraId="043E46BB" w14:textId="19AC5256" w:rsidR="00493C0E" w:rsidRDefault="00493C0E" w:rsidP="0047049C">
      <w:pPr>
        <w:spacing w:before="120" w:after="120" w:line="247" w:lineRule="auto"/>
        <w:ind w:right="0"/>
        <w:jc w:val="center"/>
        <w:rPr>
          <w:b/>
          <w:bCs/>
        </w:rPr>
      </w:pPr>
      <w:r>
        <w:rPr>
          <w:b/>
          <w:bCs/>
        </w:rPr>
        <w:t xml:space="preserve"> </w:t>
      </w:r>
    </w:p>
    <w:p w14:paraId="34212992" w14:textId="77777777" w:rsidR="0028484D" w:rsidRPr="004A378A" w:rsidRDefault="0028484D" w:rsidP="00F631EA">
      <w:pPr>
        <w:spacing w:before="120" w:after="120" w:line="247" w:lineRule="auto"/>
        <w:ind w:right="0"/>
        <w:jc w:val="center"/>
        <w:rPr>
          <w:b/>
          <w:bCs/>
        </w:rPr>
      </w:pPr>
    </w:p>
    <w:p w14:paraId="4996345B" w14:textId="77777777" w:rsidR="007458FB" w:rsidRPr="007458FB" w:rsidRDefault="007458FB" w:rsidP="007458FB">
      <w:pPr>
        <w:tabs>
          <w:tab w:val="left" w:pos="3828"/>
        </w:tabs>
        <w:spacing w:before="120" w:after="120" w:line="247" w:lineRule="auto"/>
        <w:ind w:left="0" w:right="0" w:firstLine="0"/>
      </w:pPr>
      <w:r w:rsidRPr="007458FB">
        <w:rPr>
          <w:b/>
          <w:bCs/>
        </w:rPr>
        <w:t>Abstract</w:t>
      </w:r>
    </w:p>
    <w:p w14:paraId="5AD0DA7B" w14:textId="694DBE65" w:rsidR="007458FB" w:rsidRPr="007458FB" w:rsidRDefault="00632262" w:rsidP="007458FB">
      <w:pPr>
        <w:tabs>
          <w:tab w:val="left" w:pos="3828"/>
        </w:tabs>
        <w:spacing w:before="120" w:after="120" w:line="247" w:lineRule="auto"/>
        <w:ind w:left="0" w:right="0" w:firstLine="0"/>
      </w:pPr>
      <w:r w:rsidRPr="00632262">
        <w:t xml:space="preserve">Biochar, a carbon-dense material produced through the thermochemical conversion of biomass in low-oxygen environments, is increasingly recognized as a durable component for nursery growing media. Traditional media, including soil, sand, compost, and farmyard manure, frequently demonstrate inadequate structural stability, diminished water retention, nutrient depletion, and reduced microbial activity, resulting in suboptimal seedling performance in forest nurseries. This systematic review consolidates published research assessing the impact of biochar incorporation in nursery growing media on the production of high-quality tree seedlings. Relevant literature from tropical and temperate regions was </w:t>
      </w:r>
      <w:proofErr w:type="spellStart"/>
      <w:r w:rsidRPr="00632262">
        <w:t>analyzed</w:t>
      </w:r>
      <w:proofErr w:type="spellEnd"/>
      <w:r w:rsidRPr="00632262">
        <w:t xml:space="preserve">, emphasizing variations in biochar feedstock, pyrolysis parameters, and application rates in nursery settings. The </w:t>
      </w:r>
      <w:proofErr w:type="spellStart"/>
      <w:r w:rsidRPr="00632262">
        <w:t>analyzed</w:t>
      </w:r>
      <w:proofErr w:type="spellEnd"/>
      <w:r w:rsidRPr="00632262">
        <w:t xml:space="preserve"> growth and quality parameters encompassed seedling height, collar diameter, biomass accumulation, root development, survival percentage, Dickson Quality Index, and Seedling Vigour Index. In various studies, low to moderate biochar a</w:t>
      </w:r>
      <w:bookmarkStart w:id="0" w:name="_GoBack"/>
      <w:bookmarkEnd w:id="0"/>
      <w:r w:rsidRPr="00632262">
        <w:t xml:space="preserve">pplication rates (3–10% v/v) consistently improved seedling growth and quality. Tropical species like </w:t>
      </w:r>
      <w:r w:rsidRPr="00632262">
        <w:rPr>
          <w:i/>
          <w:iCs/>
        </w:rPr>
        <w:t xml:space="preserve">Acacia </w:t>
      </w:r>
      <w:proofErr w:type="spellStart"/>
      <w:r w:rsidRPr="00632262">
        <w:rPr>
          <w:i/>
          <w:iCs/>
        </w:rPr>
        <w:t>mangium</w:t>
      </w:r>
      <w:proofErr w:type="spellEnd"/>
      <w:r w:rsidRPr="00632262">
        <w:rPr>
          <w:i/>
          <w:iCs/>
        </w:rPr>
        <w:t xml:space="preserve">, Eucalyptus </w:t>
      </w:r>
      <w:proofErr w:type="spellStart"/>
      <w:r w:rsidRPr="00632262">
        <w:rPr>
          <w:i/>
          <w:iCs/>
        </w:rPr>
        <w:t>grandis</w:t>
      </w:r>
      <w:proofErr w:type="spellEnd"/>
      <w:r w:rsidRPr="00632262">
        <w:rPr>
          <w:i/>
          <w:iCs/>
        </w:rPr>
        <w:t>, Melia azedarach,</w:t>
      </w:r>
      <w:r w:rsidRPr="00632262">
        <w:t xml:space="preserve"> and </w:t>
      </w:r>
      <w:proofErr w:type="spellStart"/>
      <w:r w:rsidRPr="00632262">
        <w:rPr>
          <w:i/>
          <w:iCs/>
        </w:rPr>
        <w:t>Faidherbia</w:t>
      </w:r>
      <w:proofErr w:type="spellEnd"/>
      <w:r w:rsidRPr="00632262">
        <w:rPr>
          <w:i/>
          <w:iCs/>
        </w:rPr>
        <w:t xml:space="preserve"> </w:t>
      </w:r>
      <w:proofErr w:type="spellStart"/>
      <w:r w:rsidRPr="00632262">
        <w:rPr>
          <w:i/>
          <w:iCs/>
        </w:rPr>
        <w:t>albida</w:t>
      </w:r>
      <w:proofErr w:type="spellEnd"/>
      <w:r w:rsidRPr="00632262">
        <w:t xml:space="preserve"> demonstrated notable advancements in biomass accumulation and root structure, whereas temperate species such as Pinus </w:t>
      </w:r>
      <w:proofErr w:type="spellStart"/>
      <w:r w:rsidRPr="00632262">
        <w:t>sylvestris</w:t>
      </w:r>
      <w:proofErr w:type="spellEnd"/>
      <w:r w:rsidRPr="00632262">
        <w:t xml:space="preserve"> and </w:t>
      </w:r>
      <w:r w:rsidRPr="00632262">
        <w:rPr>
          <w:i/>
          <w:iCs/>
        </w:rPr>
        <w:t xml:space="preserve">Quercus </w:t>
      </w:r>
      <w:proofErr w:type="spellStart"/>
      <w:r w:rsidRPr="00632262">
        <w:rPr>
          <w:i/>
          <w:iCs/>
        </w:rPr>
        <w:t>castaneifolia</w:t>
      </w:r>
      <w:proofErr w:type="spellEnd"/>
      <w:r w:rsidRPr="00632262">
        <w:t xml:space="preserve"> displayed improved growth and drought resilience. The application of biochar also augmented resistance to soil-borne pathogens, including </w:t>
      </w:r>
      <w:r w:rsidRPr="00632262">
        <w:rPr>
          <w:i/>
          <w:iCs/>
        </w:rPr>
        <w:t>Phytophthora</w:t>
      </w:r>
      <w:r w:rsidRPr="00632262">
        <w:t xml:space="preserve"> spp., and improved physiological stability. Synergistic effects were often observed when biochar was integrated with fertilizers, organic amendments, or beneficial microorganisms, leading to enhanced nutrient availability, water retention, and microbial activity. Responses, however, differed based on feedstock type, pyrolysis temperature, and application rate. Biochar-enriched nursery media constitutes a promising approach for producing high-quality, resilient tree seedlings to enhance sustainable forestry and reforestation initiatives.</w:t>
      </w:r>
    </w:p>
    <w:p w14:paraId="5B6A82C8" w14:textId="0BC0C912" w:rsidR="007458FB" w:rsidRDefault="00BE550E" w:rsidP="007458FB">
      <w:pPr>
        <w:spacing w:before="120" w:after="120" w:line="247" w:lineRule="auto"/>
        <w:ind w:right="0"/>
        <w:rPr>
          <w:b/>
          <w:bCs/>
        </w:rPr>
      </w:pPr>
      <w:r w:rsidRPr="00BE550E">
        <w:rPr>
          <w:b/>
          <w:bCs/>
        </w:rPr>
        <w:t xml:space="preserve">Keywords: </w:t>
      </w:r>
      <w:r w:rsidRPr="00BE550E">
        <w:t xml:space="preserve">Biochar, </w:t>
      </w:r>
      <w:r w:rsidR="007458FB" w:rsidRPr="007458FB">
        <w:t>N</w:t>
      </w:r>
      <w:r w:rsidRPr="00BE550E">
        <w:t xml:space="preserve">ursery media, </w:t>
      </w:r>
      <w:r w:rsidR="00FE5012">
        <w:t xml:space="preserve">Pathogenic resistance, </w:t>
      </w:r>
      <w:r w:rsidR="007458FB" w:rsidRPr="007458FB">
        <w:t>S</w:t>
      </w:r>
      <w:r w:rsidRPr="00BE550E">
        <w:t xml:space="preserve">eedling quality, </w:t>
      </w:r>
      <w:r w:rsidR="007458FB" w:rsidRPr="007458FB">
        <w:t>Su</w:t>
      </w:r>
      <w:r w:rsidRPr="00BE550E">
        <w:t xml:space="preserve">stainable </w:t>
      </w:r>
      <w:r w:rsidR="00FE5012">
        <w:tab/>
      </w:r>
      <w:r w:rsidR="00FE5012">
        <w:tab/>
      </w:r>
      <w:r w:rsidRPr="00BE550E">
        <w:t>forestry</w:t>
      </w:r>
      <w:r w:rsidR="00A66064">
        <w:t xml:space="preserve">, Tree species </w:t>
      </w:r>
    </w:p>
    <w:p w14:paraId="3EA68910" w14:textId="37733FFC" w:rsidR="007D21E6" w:rsidRPr="004A378A" w:rsidRDefault="00664F14" w:rsidP="007458FB">
      <w:pPr>
        <w:spacing w:before="120" w:after="120" w:line="247" w:lineRule="auto"/>
        <w:ind w:right="0"/>
        <w:rPr>
          <w:b/>
          <w:bCs/>
        </w:rPr>
      </w:pPr>
      <w:r w:rsidRPr="004A378A">
        <w:rPr>
          <w:b/>
          <w:bCs/>
        </w:rPr>
        <w:t>Introduction</w:t>
      </w:r>
    </w:p>
    <w:p w14:paraId="782C8D65" w14:textId="790EF52F" w:rsidR="0026440B" w:rsidRDefault="00801650" w:rsidP="007458FB">
      <w:pPr>
        <w:spacing w:before="120" w:after="120" w:line="252" w:lineRule="auto"/>
        <w:ind w:left="-5" w:right="30"/>
      </w:pPr>
      <w:r w:rsidRPr="004A378A">
        <w:t xml:space="preserve">       </w:t>
      </w:r>
      <w:r w:rsidR="00963647">
        <w:tab/>
      </w:r>
      <w:r w:rsidR="00963647">
        <w:tab/>
      </w:r>
      <w:r w:rsidR="00963647">
        <w:tab/>
      </w:r>
      <w:r w:rsidR="0014061F" w:rsidRPr="0014061F">
        <w:t>Forest ecosystems encompass 31% of the Earth's terrestrial surface and are crucial for human sustenance, climate regulation, biodiversity preservation, and ecosystem services. Forests are swiftly diminishing due to deforestation, degradation, and climate change, rendering effective reforestation imperative. High seedling mortality presents a significant obstacle in contemporary restoration initiatives, attributable to substandard conventional nursery media, underscoring the necessity for vigorous, high-quality nursery seedling production (</w:t>
      </w:r>
      <w:proofErr w:type="spellStart"/>
      <w:r w:rsidR="0014061F" w:rsidRPr="0098705F">
        <w:rPr>
          <w:color w:val="000000" w:themeColor="text1"/>
        </w:rPr>
        <w:t>Simiele</w:t>
      </w:r>
      <w:proofErr w:type="spellEnd"/>
      <w:r w:rsidR="0014061F" w:rsidRPr="0014061F">
        <w:t xml:space="preserve"> et al., 2022). Traditional nursery growing media, including soil, sand, compost, peat, and </w:t>
      </w:r>
      <w:r w:rsidR="00581A6D" w:rsidRPr="0014061F">
        <w:t>farmyard</w:t>
      </w:r>
      <w:r w:rsidR="0014061F" w:rsidRPr="0014061F">
        <w:t xml:space="preserve"> manure (FYM), frequently exhibit deficiencies such as inadequate structural stability, diminished water retention, accelerated nutrient leaching, and variable microbial activity. These issues may lead to irregular seedling development, nutrient deficiencies, and heightened vulnerability to abiotic and biotic stresses (Landis et al., 1990). Furthermore, the continual utilization of traditional growing media can result in compaction, diminished aeration, and a deterioration in media quality over time, consequently hindering root development and overall seedling efficacy. The term ‘char’ generally refers to the residue resulting from the decomposition of organic and inorganic substances. Biochar is an eco-friendly soil amendment derived from organic matter (Hossain et al., 2020). This carbon-rich </w:t>
      </w:r>
      <w:r w:rsidR="0014061F" w:rsidRPr="0014061F">
        <w:lastRenderedPageBreak/>
        <w:t xml:space="preserve">product is derived from organic biomass such as forestry waste, animal manure, and crop residues under low oxygen conditions through thermochemical processes including pyrolysis, </w:t>
      </w:r>
      <w:proofErr w:type="spellStart"/>
      <w:r w:rsidR="0014061F" w:rsidRPr="0014061F">
        <w:t>torrefaction</w:t>
      </w:r>
      <w:proofErr w:type="spellEnd"/>
      <w:r w:rsidR="0014061F" w:rsidRPr="0014061F">
        <w:t xml:space="preserve">, gasification, and hydrothermal carbonization (Kevin et al., 2025). </w:t>
      </w:r>
      <w:r w:rsidR="0014061F" w:rsidRPr="008C1B1F">
        <w:rPr>
          <w:color w:val="000000" w:themeColor="text1"/>
        </w:rPr>
        <w:t xml:space="preserve">The 2023 global biochar market report indicated that the worldwide production of biochar reached a minimum of 352,304 metric tons in 2023. The global production value indicates rapid growth, exhibiting a compound annual growth rate (CAGR) of 91% relative to 2021 figures. The United Nations Environment Assembly (UNEP) and the International Solid Waste Association (ISWA) indicated in their collaborative report for 2024 that global production of municipal </w:t>
      </w:r>
      <w:r w:rsidR="0014061F" w:rsidRPr="0014061F">
        <w:t xml:space="preserve">solid waste (MSW) exceeds 2 billion tonnes annually. Approximately 44% of this waste is organic, including food and green waste. Approximately 880 million to over 1 billion tons of organic waste are generated each year, with forecasts indicating an increase to 3.4-3.8 billion tons of total waste by 2050. By efficiently harnessing organic waste resources, global biochar demand can be met, facilitating effective waste management. Biomass is a broad term encompassing all organic matter originating from plants, animals, and algae. The diversity of biomass types and the variability of their quality based on composition and origin necessitate a systematic classification for effective utilization as a feedstock in thermochemical processes (Chun et al., 2021). It has been categorized into first to fourth generation based on the feedstock source utilized for production, as summarized in Table 1. Wheat straw, rice straw, husk, and bagasse are prevalent feedstocks utilized extensively due to their abundant availability and enhancement of soil conditions. Furthermore, one rationale for utilizing organic waste (poultry litter, cow dung, and pig manure) in biochar production is its potential to augment the nutrient profile of the biochar. Likewise, forest </w:t>
      </w:r>
      <w:proofErr w:type="spellStart"/>
      <w:r w:rsidR="0014061F" w:rsidRPr="0014061F">
        <w:t>byproducts</w:t>
      </w:r>
      <w:proofErr w:type="spellEnd"/>
      <w:r w:rsidR="0014061F" w:rsidRPr="0014061F">
        <w:t>, such as sawdust and wood waste, serve as feedstock owing to their elevated carbon content and stability, enabling long-term carbon sequestration. This paper examines the role of biochar in forestry, highlighting its impact on the production of quality seedlings for ecologically and economically important tree species.</w:t>
      </w:r>
    </w:p>
    <w:p w14:paraId="2F85CE7D" w14:textId="4510C389" w:rsidR="00072C30" w:rsidRDefault="00072C30" w:rsidP="007458FB">
      <w:pPr>
        <w:spacing w:before="120" w:after="120" w:line="252" w:lineRule="auto"/>
        <w:ind w:left="0" w:right="30" w:firstLine="0"/>
      </w:pPr>
      <w:r w:rsidRPr="004A378A">
        <w:rPr>
          <w:b/>
          <w:bCs/>
        </w:rPr>
        <w:t xml:space="preserve">Table </w:t>
      </w:r>
      <w:r>
        <w:rPr>
          <w:b/>
          <w:bCs/>
        </w:rPr>
        <w:t>1</w:t>
      </w:r>
      <w:r w:rsidRPr="004A378A">
        <w:rPr>
          <w:b/>
          <w:bCs/>
        </w:rPr>
        <w:t>.</w:t>
      </w:r>
      <w:r w:rsidRPr="004A378A">
        <w:t xml:space="preserve"> </w:t>
      </w:r>
      <w:r w:rsidRPr="004A378A">
        <w:rPr>
          <w:b/>
          <w:bCs/>
        </w:rPr>
        <w:t>Classification of Bio</w:t>
      </w:r>
      <w:r w:rsidR="0014061F">
        <w:rPr>
          <w:b/>
          <w:bCs/>
        </w:rPr>
        <w:t>char</w:t>
      </w:r>
      <w:r w:rsidRPr="004A378A">
        <w:rPr>
          <w:b/>
          <w:bCs/>
        </w:rPr>
        <w:t xml:space="preserve"> </w:t>
      </w:r>
      <w:r w:rsidR="0014061F">
        <w:rPr>
          <w:b/>
          <w:bCs/>
        </w:rPr>
        <w:t xml:space="preserve">based on </w:t>
      </w:r>
      <w:r w:rsidRPr="004A378A">
        <w:rPr>
          <w:b/>
          <w:bCs/>
        </w:rPr>
        <w:t xml:space="preserve">Feedstock </w:t>
      </w:r>
      <w:r w:rsidR="0014061F">
        <w:rPr>
          <w:b/>
          <w:bCs/>
        </w:rPr>
        <w:t>Used for</w:t>
      </w:r>
      <w:r w:rsidRPr="004A378A">
        <w:rPr>
          <w:b/>
          <w:bCs/>
        </w:rPr>
        <w:t xml:space="preserve"> Production</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5"/>
        <w:gridCol w:w="1630"/>
        <w:gridCol w:w="2167"/>
        <w:gridCol w:w="1906"/>
        <w:gridCol w:w="1626"/>
      </w:tblGrid>
      <w:tr w:rsidR="00072C30" w:rsidRPr="004A378A" w14:paraId="42629B8B" w14:textId="77777777" w:rsidTr="007458FB">
        <w:trPr>
          <w:trHeight w:val="649"/>
        </w:trPr>
        <w:tc>
          <w:tcPr>
            <w:tcW w:w="1655" w:type="dxa"/>
            <w:tcMar>
              <w:top w:w="15" w:type="dxa"/>
              <w:left w:w="108" w:type="dxa"/>
              <w:bottom w:w="0" w:type="dxa"/>
              <w:right w:w="108" w:type="dxa"/>
            </w:tcMar>
            <w:hideMark/>
          </w:tcPr>
          <w:p w14:paraId="0B57BDC4" w14:textId="77777777" w:rsidR="00072C30" w:rsidRPr="004A378A" w:rsidRDefault="00072C30" w:rsidP="005B237E">
            <w:pPr>
              <w:spacing w:before="120" w:after="120" w:line="276" w:lineRule="auto"/>
              <w:ind w:left="0" w:right="0" w:firstLine="0"/>
              <w:jc w:val="center"/>
              <w:rPr>
                <w:rFonts w:ascii="Arial" w:hAnsi="Arial" w:cs="Arial"/>
                <w:color w:val="auto"/>
                <w:kern w:val="0"/>
                <w14:ligatures w14:val="none"/>
              </w:rPr>
            </w:pPr>
            <w:r w:rsidRPr="004A378A">
              <w:rPr>
                <w:b/>
                <w:bCs/>
                <w:kern w:val="24"/>
                <w:lang w:val="en-US"/>
                <w14:ligatures w14:val="none"/>
              </w:rPr>
              <w:t>Generation</w:t>
            </w:r>
          </w:p>
        </w:tc>
        <w:tc>
          <w:tcPr>
            <w:tcW w:w="1620" w:type="dxa"/>
            <w:tcMar>
              <w:top w:w="15" w:type="dxa"/>
              <w:left w:w="108" w:type="dxa"/>
              <w:bottom w:w="0" w:type="dxa"/>
              <w:right w:w="108" w:type="dxa"/>
            </w:tcMar>
            <w:hideMark/>
          </w:tcPr>
          <w:p w14:paraId="4017D05C" w14:textId="77777777" w:rsidR="00072C30" w:rsidRPr="004A378A" w:rsidRDefault="00072C30" w:rsidP="005B237E">
            <w:pPr>
              <w:spacing w:before="120" w:after="120" w:line="276" w:lineRule="auto"/>
              <w:ind w:left="0" w:right="0" w:firstLine="0"/>
              <w:jc w:val="center"/>
              <w:rPr>
                <w:rFonts w:ascii="Arial" w:hAnsi="Arial" w:cs="Arial"/>
                <w:color w:val="auto"/>
                <w:kern w:val="0"/>
                <w14:ligatures w14:val="none"/>
              </w:rPr>
            </w:pPr>
            <w:r w:rsidRPr="004A378A">
              <w:rPr>
                <w:b/>
                <w:bCs/>
                <w:kern w:val="24"/>
                <w:lang w:val="en-US"/>
                <w14:ligatures w14:val="none"/>
              </w:rPr>
              <w:t>Source</w:t>
            </w:r>
          </w:p>
        </w:tc>
        <w:tc>
          <w:tcPr>
            <w:tcW w:w="0" w:type="auto"/>
            <w:tcMar>
              <w:top w:w="15" w:type="dxa"/>
              <w:left w:w="108" w:type="dxa"/>
              <w:bottom w:w="0" w:type="dxa"/>
              <w:right w:w="108" w:type="dxa"/>
            </w:tcMar>
            <w:hideMark/>
          </w:tcPr>
          <w:p w14:paraId="6CA13030" w14:textId="77777777" w:rsidR="00072C30" w:rsidRPr="004A378A" w:rsidRDefault="00072C30" w:rsidP="005B237E">
            <w:pPr>
              <w:spacing w:before="120" w:after="120" w:line="276" w:lineRule="auto"/>
              <w:ind w:left="0" w:right="0" w:firstLine="0"/>
              <w:jc w:val="center"/>
              <w:rPr>
                <w:rFonts w:ascii="Arial" w:hAnsi="Arial" w:cs="Arial"/>
                <w:color w:val="auto"/>
                <w:kern w:val="0"/>
                <w14:ligatures w14:val="none"/>
              </w:rPr>
            </w:pPr>
            <w:r w:rsidRPr="004A378A">
              <w:rPr>
                <w:b/>
                <w:bCs/>
                <w:kern w:val="24"/>
                <w:lang w:val="en-US"/>
                <w14:ligatures w14:val="none"/>
              </w:rPr>
              <w:t>Example Feedstocks</w:t>
            </w:r>
          </w:p>
        </w:tc>
        <w:tc>
          <w:tcPr>
            <w:tcW w:w="0" w:type="auto"/>
            <w:tcMar>
              <w:top w:w="15" w:type="dxa"/>
              <w:left w:w="108" w:type="dxa"/>
              <w:bottom w:w="0" w:type="dxa"/>
              <w:right w:w="108" w:type="dxa"/>
            </w:tcMar>
            <w:hideMark/>
          </w:tcPr>
          <w:p w14:paraId="7EC2884F" w14:textId="77777777" w:rsidR="00072C30" w:rsidRPr="004A378A" w:rsidRDefault="00072C30" w:rsidP="005B237E">
            <w:pPr>
              <w:spacing w:before="120" w:after="120" w:line="276" w:lineRule="auto"/>
              <w:ind w:left="0" w:right="0" w:firstLine="0"/>
              <w:jc w:val="center"/>
              <w:rPr>
                <w:rFonts w:ascii="Arial" w:hAnsi="Arial" w:cs="Arial"/>
                <w:color w:val="auto"/>
                <w:kern w:val="0"/>
                <w14:ligatures w14:val="none"/>
              </w:rPr>
            </w:pPr>
            <w:r w:rsidRPr="004A378A">
              <w:rPr>
                <w:b/>
                <w:bCs/>
                <w:kern w:val="24"/>
                <w:lang w:val="en-US"/>
                <w14:ligatures w14:val="none"/>
              </w:rPr>
              <w:t>Key Features</w:t>
            </w:r>
          </w:p>
        </w:tc>
        <w:tc>
          <w:tcPr>
            <w:tcW w:w="1626" w:type="dxa"/>
            <w:tcMar>
              <w:top w:w="15" w:type="dxa"/>
              <w:left w:w="108" w:type="dxa"/>
              <w:bottom w:w="0" w:type="dxa"/>
              <w:right w:w="108" w:type="dxa"/>
            </w:tcMar>
            <w:hideMark/>
          </w:tcPr>
          <w:p w14:paraId="07F44E0A" w14:textId="77777777" w:rsidR="00072C30" w:rsidRPr="004A378A" w:rsidRDefault="00072C30" w:rsidP="005B237E">
            <w:pPr>
              <w:spacing w:before="120" w:after="120" w:line="276" w:lineRule="auto"/>
              <w:ind w:left="0" w:right="0" w:firstLine="0"/>
              <w:jc w:val="center"/>
              <w:rPr>
                <w:rFonts w:ascii="Arial" w:hAnsi="Arial" w:cs="Arial"/>
                <w:color w:val="auto"/>
                <w:kern w:val="0"/>
                <w14:ligatures w14:val="none"/>
              </w:rPr>
            </w:pPr>
            <w:r w:rsidRPr="004A378A">
              <w:rPr>
                <w:b/>
                <w:bCs/>
                <w:kern w:val="24"/>
                <w:lang w:val="en-US"/>
                <w14:ligatures w14:val="none"/>
              </w:rPr>
              <w:t>Issues</w:t>
            </w:r>
          </w:p>
        </w:tc>
      </w:tr>
      <w:tr w:rsidR="00072C30" w:rsidRPr="004A378A" w14:paraId="0855D1FB" w14:textId="77777777" w:rsidTr="007458FB">
        <w:trPr>
          <w:trHeight w:val="678"/>
        </w:trPr>
        <w:tc>
          <w:tcPr>
            <w:tcW w:w="1655" w:type="dxa"/>
            <w:tcMar>
              <w:top w:w="15" w:type="dxa"/>
              <w:left w:w="108" w:type="dxa"/>
              <w:bottom w:w="0" w:type="dxa"/>
              <w:right w:w="108" w:type="dxa"/>
            </w:tcMar>
            <w:hideMark/>
          </w:tcPr>
          <w:p w14:paraId="5BF5E907"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1</w:t>
            </w:r>
            <w:r w:rsidRPr="004A378A">
              <w:rPr>
                <w:kern w:val="24"/>
                <w:vertAlign w:val="superscript"/>
                <w:lang w:val="en-US"/>
                <w14:ligatures w14:val="none"/>
              </w:rPr>
              <w:t xml:space="preserve">st </w:t>
            </w:r>
            <w:r w:rsidRPr="004A378A">
              <w:rPr>
                <w:kern w:val="24"/>
                <w:lang w:val="en-US"/>
                <w14:ligatures w14:val="none"/>
              </w:rPr>
              <w:t>Generation</w:t>
            </w:r>
          </w:p>
        </w:tc>
        <w:tc>
          <w:tcPr>
            <w:tcW w:w="1620" w:type="dxa"/>
            <w:tcMar>
              <w:top w:w="15" w:type="dxa"/>
              <w:left w:w="108" w:type="dxa"/>
              <w:bottom w:w="0" w:type="dxa"/>
              <w:right w:w="108" w:type="dxa"/>
            </w:tcMar>
            <w:hideMark/>
          </w:tcPr>
          <w:p w14:paraId="03F9A0F7"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Food crops</w:t>
            </w:r>
          </w:p>
        </w:tc>
        <w:tc>
          <w:tcPr>
            <w:tcW w:w="0" w:type="auto"/>
            <w:tcMar>
              <w:top w:w="15" w:type="dxa"/>
              <w:left w:w="108" w:type="dxa"/>
              <w:bottom w:w="0" w:type="dxa"/>
              <w:right w:w="108" w:type="dxa"/>
            </w:tcMar>
            <w:hideMark/>
          </w:tcPr>
          <w:p w14:paraId="1AA0DB08"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Maize, sugarcane, rice, wheat and corn</w:t>
            </w:r>
          </w:p>
        </w:tc>
        <w:tc>
          <w:tcPr>
            <w:tcW w:w="0" w:type="auto"/>
            <w:tcMar>
              <w:top w:w="15" w:type="dxa"/>
              <w:left w:w="108" w:type="dxa"/>
              <w:bottom w:w="0" w:type="dxa"/>
              <w:right w:w="108" w:type="dxa"/>
            </w:tcMar>
            <w:hideMark/>
          </w:tcPr>
          <w:p w14:paraId="27FF7755"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Easy processing, high carbon yield</w:t>
            </w:r>
          </w:p>
        </w:tc>
        <w:tc>
          <w:tcPr>
            <w:tcW w:w="1626" w:type="dxa"/>
            <w:tcMar>
              <w:top w:w="15" w:type="dxa"/>
              <w:left w:w="108" w:type="dxa"/>
              <w:bottom w:w="0" w:type="dxa"/>
              <w:right w:w="108" w:type="dxa"/>
            </w:tcMar>
            <w:hideMark/>
          </w:tcPr>
          <w:p w14:paraId="0E91BEEA"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Competes with food supply</w:t>
            </w:r>
          </w:p>
        </w:tc>
      </w:tr>
      <w:tr w:rsidR="00072C30" w:rsidRPr="004A378A" w14:paraId="473F9DCD" w14:textId="77777777" w:rsidTr="007458FB">
        <w:trPr>
          <w:trHeight w:val="1034"/>
        </w:trPr>
        <w:tc>
          <w:tcPr>
            <w:tcW w:w="1655" w:type="dxa"/>
            <w:tcMar>
              <w:top w:w="15" w:type="dxa"/>
              <w:left w:w="108" w:type="dxa"/>
              <w:bottom w:w="0" w:type="dxa"/>
              <w:right w:w="108" w:type="dxa"/>
            </w:tcMar>
            <w:hideMark/>
          </w:tcPr>
          <w:p w14:paraId="5F653BC9"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2</w:t>
            </w:r>
            <w:r w:rsidRPr="004A378A">
              <w:rPr>
                <w:kern w:val="24"/>
                <w:vertAlign w:val="superscript"/>
                <w:lang w:val="en-US"/>
                <w14:ligatures w14:val="none"/>
              </w:rPr>
              <w:t xml:space="preserve">nd </w:t>
            </w:r>
            <w:r w:rsidRPr="004A378A">
              <w:rPr>
                <w:kern w:val="24"/>
                <w:lang w:val="en-US"/>
                <w14:ligatures w14:val="none"/>
              </w:rPr>
              <w:t>Generation</w:t>
            </w:r>
          </w:p>
        </w:tc>
        <w:tc>
          <w:tcPr>
            <w:tcW w:w="1620" w:type="dxa"/>
            <w:tcMar>
              <w:top w:w="15" w:type="dxa"/>
              <w:left w:w="108" w:type="dxa"/>
              <w:bottom w:w="0" w:type="dxa"/>
              <w:right w:w="108" w:type="dxa"/>
            </w:tcMar>
            <w:hideMark/>
          </w:tcPr>
          <w:p w14:paraId="49B3714D"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Non-food lignocellulosic biomass</w:t>
            </w:r>
          </w:p>
        </w:tc>
        <w:tc>
          <w:tcPr>
            <w:tcW w:w="0" w:type="auto"/>
            <w:tcMar>
              <w:top w:w="15" w:type="dxa"/>
              <w:left w:w="108" w:type="dxa"/>
              <w:bottom w:w="0" w:type="dxa"/>
              <w:right w:w="108" w:type="dxa"/>
            </w:tcMar>
            <w:hideMark/>
          </w:tcPr>
          <w:p w14:paraId="040E644D"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Crop residues (straw, husk, bagasse), wood waste and bamboo</w:t>
            </w:r>
          </w:p>
        </w:tc>
        <w:tc>
          <w:tcPr>
            <w:tcW w:w="0" w:type="auto"/>
            <w:tcMar>
              <w:top w:w="15" w:type="dxa"/>
              <w:left w:w="108" w:type="dxa"/>
              <w:bottom w:w="0" w:type="dxa"/>
              <w:right w:w="108" w:type="dxa"/>
            </w:tcMar>
            <w:hideMark/>
          </w:tcPr>
          <w:p w14:paraId="372AA2D5" w14:textId="1770AB24"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 xml:space="preserve">Sustainable, abundant and </w:t>
            </w:r>
            <w:proofErr w:type="gramStart"/>
            <w:r w:rsidRPr="004A378A">
              <w:rPr>
                <w:kern w:val="24"/>
                <w:lang w:val="en-US"/>
                <w14:ligatures w14:val="none"/>
              </w:rPr>
              <w:t>long</w:t>
            </w:r>
            <w:r w:rsidR="00F4765B">
              <w:rPr>
                <w:kern w:val="24"/>
                <w:lang w:val="en-US"/>
                <w14:ligatures w14:val="none"/>
              </w:rPr>
              <w:t xml:space="preserve"> </w:t>
            </w:r>
            <w:r w:rsidRPr="004A378A">
              <w:rPr>
                <w:kern w:val="24"/>
                <w:lang w:val="en-US"/>
                <w14:ligatures w14:val="none"/>
              </w:rPr>
              <w:t>term</w:t>
            </w:r>
            <w:proofErr w:type="gramEnd"/>
            <w:r w:rsidRPr="004A378A">
              <w:rPr>
                <w:kern w:val="24"/>
                <w:lang w:val="en-US"/>
                <w14:ligatures w14:val="none"/>
              </w:rPr>
              <w:t xml:space="preserve"> carbon storage</w:t>
            </w:r>
          </w:p>
        </w:tc>
        <w:tc>
          <w:tcPr>
            <w:tcW w:w="1626" w:type="dxa"/>
            <w:tcMar>
              <w:top w:w="15" w:type="dxa"/>
              <w:left w:w="108" w:type="dxa"/>
              <w:bottom w:w="0" w:type="dxa"/>
              <w:right w:w="108" w:type="dxa"/>
            </w:tcMar>
            <w:hideMark/>
          </w:tcPr>
          <w:p w14:paraId="79B59C71"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Requires pretreatment</w:t>
            </w:r>
          </w:p>
        </w:tc>
      </w:tr>
      <w:tr w:rsidR="00072C30" w:rsidRPr="004A378A" w14:paraId="536133A4" w14:textId="77777777" w:rsidTr="007458FB">
        <w:trPr>
          <w:trHeight w:val="943"/>
        </w:trPr>
        <w:tc>
          <w:tcPr>
            <w:tcW w:w="1655" w:type="dxa"/>
            <w:tcMar>
              <w:top w:w="15" w:type="dxa"/>
              <w:left w:w="108" w:type="dxa"/>
              <w:bottom w:w="0" w:type="dxa"/>
              <w:right w:w="108" w:type="dxa"/>
            </w:tcMar>
            <w:hideMark/>
          </w:tcPr>
          <w:p w14:paraId="6E9599F6"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3</w:t>
            </w:r>
            <w:r w:rsidRPr="004A378A">
              <w:rPr>
                <w:kern w:val="24"/>
                <w:vertAlign w:val="superscript"/>
                <w:lang w:val="en-US"/>
                <w14:ligatures w14:val="none"/>
              </w:rPr>
              <w:t xml:space="preserve">rd </w:t>
            </w:r>
            <w:r w:rsidRPr="004A378A">
              <w:rPr>
                <w:kern w:val="24"/>
                <w:lang w:val="en-US"/>
                <w14:ligatures w14:val="none"/>
              </w:rPr>
              <w:t>Generation</w:t>
            </w:r>
          </w:p>
        </w:tc>
        <w:tc>
          <w:tcPr>
            <w:tcW w:w="1620" w:type="dxa"/>
            <w:tcMar>
              <w:top w:w="15" w:type="dxa"/>
              <w:left w:w="108" w:type="dxa"/>
              <w:bottom w:w="0" w:type="dxa"/>
              <w:right w:w="108" w:type="dxa"/>
            </w:tcMar>
            <w:hideMark/>
          </w:tcPr>
          <w:p w14:paraId="7C40600F"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Algal biomass</w:t>
            </w:r>
          </w:p>
        </w:tc>
        <w:tc>
          <w:tcPr>
            <w:tcW w:w="0" w:type="auto"/>
            <w:tcMar>
              <w:top w:w="15" w:type="dxa"/>
              <w:left w:w="108" w:type="dxa"/>
              <w:bottom w:w="0" w:type="dxa"/>
              <w:right w:w="108" w:type="dxa"/>
            </w:tcMar>
            <w:hideMark/>
          </w:tcPr>
          <w:p w14:paraId="4CB21CA7"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Macro and micro algae (Seaweeds)</w:t>
            </w:r>
          </w:p>
        </w:tc>
        <w:tc>
          <w:tcPr>
            <w:tcW w:w="0" w:type="auto"/>
            <w:tcMar>
              <w:top w:w="15" w:type="dxa"/>
              <w:left w:w="108" w:type="dxa"/>
              <w:bottom w:w="0" w:type="dxa"/>
              <w:right w:w="108" w:type="dxa"/>
            </w:tcMar>
            <w:hideMark/>
          </w:tcPr>
          <w:p w14:paraId="68022096"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Fast growth, nutrient-rich biochar, non-arable land use</w:t>
            </w:r>
          </w:p>
        </w:tc>
        <w:tc>
          <w:tcPr>
            <w:tcW w:w="1626" w:type="dxa"/>
            <w:tcMar>
              <w:top w:w="15" w:type="dxa"/>
              <w:left w:w="108" w:type="dxa"/>
              <w:bottom w:w="0" w:type="dxa"/>
              <w:right w:w="108" w:type="dxa"/>
            </w:tcMar>
            <w:hideMark/>
          </w:tcPr>
          <w:p w14:paraId="34A9063D"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High moisture content, costly processing</w:t>
            </w:r>
          </w:p>
        </w:tc>
      </w:tr>
      <w:tr w:rsidR="00072C30" w:rsidRPr="004A378A" w14:paraId="2F4727EA" w14:textId="77777777" w:rsidTr="00F4765B">
        <w:trPr>
          <w:trHeight w:val="1676"/>
        </w:trPr>
        <w:tc>
          <w:tcPr>
            <w:tcW w:w="1655" w:type="dxa"/>
            <w:tcMar>
              <w:top w:w="15" w:type="dxa"/>
              <w:left w:w="108" w:type="dxa"/>
              <w:bottom w:w="0" w:type="dxa"/>
              <w:right w:w="108" w:type="dxa"/>
            </w:tcMar>
            <w:hideMark/>
          </w:tcPr>
          <w:p w14:paraId="4EAA49B9" w14:textId="52E43276" w:rsidR="00072C30" w:rsidRPr="004A378A" w:rsidRDefault="00072C30" w:rsidP="00F4765B">
            <w:pPr>
              <w:spacing w:before="120" w:after="120" w:line="276" w:lineRule="auto"/>
              <w:ind w:left="0" w:right="0" w:firstLine="0"/>
              <w:rPr>
                <w:rFonts w:ascii="Arial" w:hAnsi="Arial" w:cs="Arial"/>
              </w:rPr>
            </w:pPr>
            <w:r w:rsidRPr="004A378A">
              <w:rPr>
                <w:kern w:val="24"/>
                <w:lang w:val="en-US"/>
                <w14:ligatures w14:val="none"/>
              </w:rPr>
              <w:t>4</w:t>
            </w:r>
            <w:r w:rsidRPr="004A378A">
              <w:rPr>
                <w:kern w:val="24"/>
                <w:vertAlign w:val="superscript"/>
                <w:lang w:val="en-US"/>
                <w14:ligatures w14:val="none"/>
              </w:rPr>
              <w:t xml:space="preserve">th </w:t>
            </w:r>
            <w:r w:rsidRPr="004A378A">
              <w:rPr>
                <w:kern w:val="24"/>
                <w:lang w:val="en-US"/>
                <w14:ligatures w14:val="none"/>
              </w:rPr>
              <w:t>Generation</w:t>
            </w:r>
          </w:p>
          <w:p w14:paraId="75DB0C48" w14:textId="77777777" w:rsidR="00072C30" w:rsidRPr="004A378A" w:rsidRDefault="00072C30" w:rsidP="007458FB">
            <w:pPr>
              <w:spacing w:before="120" w:after="120"/>
              <w:rPr>
                <w:rFonts w:ascii="Arial" w:hAnsi="Arial" w:cs="Arial"/>
              </w:rPr>
            </w:pPr>
          </w:p>
          <w:p w14:paraId="6F730A55" w14:textId="77777777" w:rsidR="00072C30" w:rsidRPr="004A378A" w:rsidRDefault="00072C30" w:rsidP="007458FB">
            <w:pPr>
              <w:spacing w:before="120" w:after="120"/>
              <w:rPr>
                <w:rFonts w:ascii="Arial" w:hAnsi="Arial" w:cs="Arial"/>
              </w:rPr>
            </w:pPr>
          </w:p>
          <w:p w14:paraId="2B60598A" w14:textId="77777777" w:rsidR="00072C30" w:rsidRPr="004A378A" w:rsidRDefault="00072C30" w:rsidP="007458FB">
            <w:pPr>
              <w:spacing w:before="120" w:after="120"/>
              <w:ind w:left="0" w:firstLine="0"/>
              <w:rPr>
                <w:kern w:val="24"/>
                <w:lang w:val="en-US"/>
                <w14:ligatures w14:val="none"/>
              </w:rPr>
            </w:pPr>
          </w:p>
          <w:p w14:paraId="2A57C3F3" w14:textId="77777777" w:rsidR="00072C30" w:rsidRPr="004A378A" w:rsidRDefault="00072C30" w:rsidP="007458FB">
            <w:pPr>
              <w:spacing w:before="120" w:after="120"/>
              <w:rPr>
                <w:rFonts w:ascii="Arial" w:hAnsi="Arial" w:cs="Arial"/>
              </w:rPr>
            </w:pPr>
          </w:p>
        </w:tc>
        <w:tc>
          <w:tcPr>
            <w:tcW w:w="1620" w:type="dxa"/>
            <w:tcMar>
              <w:top w:w="15" w:type="dxa"/>
              <w:left w:w="108" w:type="dxa"/>
              <w:bottom w:w="0" w:type="dxa"/>
              <w:right w:w="108" w:type="dxa"/>
            </w:tcMar>
            <w:hideMark/>
          </w:tcPr>
          <w:p w14:paraId="0404F954"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14:ligatures w14:val="none"/>
              </w:rPr>
              <w:t>Organic waste</w:t>
            </w:r>
          </w:p>
        </w:tc>
        <w:tc>
          <w:tcPr>
            <w:tcW w:w="0" w:type="auto"/>
            <w:tcMar>
              <w:top w:w="15" w:type="dxa"/>
              <w:left w:w="108" w:type="dxa"/>
              <w:bottom w:w="0" w:type="dxa"/>
              <w:right w:w="108" w:type="dxa"/>
            </w:tcMar>
            <w:hideMark/>
          </w:tcPr>
          <w:p w14:paraId="4DDDB9E5" w14:textId="77777777"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Food processing residue, paper mill residue, sewage sludge and animal residue</w:t>
            </w:r>
          </w:p>
        </w:tc>
        <w:tc>
          <w:tcPr>
            <w:tcW w:w="0" w:type="auto"/>
            <w:tcMar>
              <w:top w:w="15" w:type="dxa"/>
              <w:left w:w="108" w:type="dxa"/>
              <w:bottom w:w="0" w:type="dxa"/>
              <w:right w:w="108" w:type="dxa"/>
            </w:tcMar>
            <w:hideMark/>
          </w:tcPr>
          <w:p w14:paraId="4E3170BD" w14:textId="6DCF2739" w:rsidR="00072C30" w:rsidRPr="004A378A" w:rsidRDefault="00072C30" w:rsidP="007458FB">
            <w:pPr>
              <w:spacing w:before="120" w:after="120" w:line="276" w:lineRule="auto"/>
              <w:ind w:left="0" w:right="0" w:firstLine="0"/>
              <w:rPr>
                <w:rFonts w:ascii="Arial" w:hAnsi="Arial" w:cs="Arial"/>
                <w:color w:val="auto"/>
                <w:kern w:val="0"/>
                <w14:ligatures w14:val="none"/>
              </w:rPr>
            </w:pPr>
            <w:r w:rsidRPr="004A378A">
              <w:rPr>
                <w:kern w:val="24"/>
                <w:lang w:val="en-US"/>
                <w14:ligatures w14:val="none"/>
              </w:rPr>
              <w:t xml:space="preserve">Doesn’t require cultivation space and </w:t>
            </w:r>
            <w:r w:rsidR="00F4765B">
              <w:rPr>
                <w:kern w:val="24"/>
                <w:lang w:val="en-US"/>
                <w14:ligatures w14:val="none"/>
              </w:rPr>
              <w:t>n</w:t>
            </w:r>
            <w:r w:rsidRPr="004A378A">
              <w:rPr>
                <w:kern w:val="24"/>
                <w:lang w:val="en-US"/>
                <w14:ligatures w14:val="none"/>
              </w:rPr>
              <w:t>utrient rich</w:t>
            </w:r>
          </w:p>
        </w:tc>
        <w:tc>
          <w:tcPr>
            <w:tcW w:w="1626" w:type="dxa"/>
            <w:tcMar>
              <w:top w:w="15" w:type="dxa"/>
              <w:left w:w="108" w:type="dxa"/>
              <w:bottom w:w="0" w:type="dxa"/>
              <w:right w:w="108" w:type="dxa"/>
            </w:tcMar>
            <w:hideMark/>
          </w:tcPr>
          <w:p w14:paraId="67E74B78" w14:textId="62A79AA2" w:rsidR="00072C30" w:rsidRPr="004A378A" w:rsidRDefault="00072C30" w:rsidP="00F4765B">
            <w:pPr>
              <w:spacing w:before="120" w:after="120" w:line="276" w:lineRule="auto"/>
              <w:ind w:left="0" w:right="0" w:firstLine="0"/>
              <w:rPr>
                <w:rFonts w:ascii="Arial" w:hAnsi="Arial" w:cs="Arial"/>
              </w:rPr>
            </w:pPr>
            <w:r w:rsidRPr="004A378A">
              <w:rPr>
                <w:kern w:val="24"/>
                <w:lang w:val="en-US"/>
                <w14:ligatures w14:val="none"/>
              </w:rPr>
              <w:t>Still experimental or under research</w:t>
            </w:r>
          </w:p>
        </w:tc>
      </w:tr>
    </w:tbl>
    <w:p w14:paraId="75C402F9" w14:textId="0040559F" w:rsidR="00072C30" w:rsidRDefault="00072C30" w:rsidP="00F631EA">
      <w:pPr>
        <w:spacing w:before="120" w:after="120" w:line="252" w:lineRule="auto"/>
        <w:ind w:left="0" w:right="30" w:firstLine="0"/>
        <w:jc w:val="left"/>
      </w:pPr>
      <w:r w:rsidRPr="004A378A">
        <w:lastRenderedPageBreak/>
        <w:t xml:space="preserve">Source: Chun </w:t>
      </w:r>
      <w:r w:rsidRPr="0014061F">
        <w:t>et al.</w:t>
      </w:r>
      <w:r w:rsidRPr="004A378A">
        <w:t xml:space="preserve"> (2021)</w:t>
      </w:r>
    </w:p>
    <w:p w14:paraId="43E4DD68" w14:textId="6258C7F7" w:rsidR="005B237E" w:rsidRDefault="005B237E" w:rsidP="00557F0E">
      <w:pPr>
        <w:spacing w:before="120" w:after="120" w:line="252" w:lineRule="auto"/>
        <w:ind w:left="0" w:right="30" w:firstLine="0"/>
        <w:rPr>
          <w:b/>
          <w:bCs/>
        </w:rPr>
      </w:pPr>
      <w:r w:rsidRPr="005B237E">
        <w:rPr>
          <w:b/>
          <w:bCs/>
        </w:rPr>
        <w:t>Biochar as Additive to Nursery Media</w:t>
      </w:r>
      <w:r w:rsidR="0016493F">
        <w:rPr>
          <w:b/>
          <w:bCs/>
        </w:rPr>
        <w:t>: Its Advantages</w:t>
      </w:r>
    </w:p>
    <w:p w14:paraId="29BA94C1" w14:textId="64E70225" w:rsidR="001B0B8A" w:rsidRPr="001B0B8A" w:rsidRDefault="001B0B8A" w:rsidP="00557F0E">
      <w:pPr>
        <w:spacing w:before="120" w:after="120" w:line="252" w:lineRule="auto"/>
        <w:ind w:left="0" w:right="30" w:firstLine="0"/>
      </w:pPr>
      <w:r w:rsidRPr="001B0B8A">
        <w:t>Biochar is garnering significant attention and is strongly endorsed as an effective amendment for nursery growing media, as it not only mitigates climate change by sequestering carbon from the atmosphere into the soil but also enhances water retention, nutrient availability, storage, and microbial activity. Biochar can affect the nutrient composition of soil by altering its physical, chemical, and biological characteristics. Biochar is physically distinguished by its black or dark brown hue, high porosity, extensive surface area, low bulk density, and variable particle size, all of which enhance soil structure, aeration, and water retention capacity. Biochar is characterized by a high carbon content, an array of mineral nutrients, and a variety of surface functional groups, which enhance nutrient retention, adsorption processes, and pH modification in soils. Biochar biologically offers a conducive environment for soil microorganisms, enhances microbial colonization, fosters symbiotic relationships with beneficial microbes, and mitigates environmental stress and predation on soil biota. Biochar enhances soil fertility and increases nutrient availability for plant growth through integrated physical, chemical, and biological mechanisms (Kevin et al., 2025). Thus, it demonstrates a synergistic effect when incorporated into traditional nursery growing media for the production of high-quality seedlings in the nursery. Its stable characteristics, affordability, and capacity to alleviate stress and toxicity contribute to the production of vigour seedlings with enhanced survival and growth post-planting (Tang et al., 2013).</w:t>
      </w:r>
    </w:p>
    <w:p w14:paraId="0CACF810" w14:textId="414B33B3" w:rsidR="0016493F" w:rsidRPr="0016493F" w:rsidRDefault="0016493F" w:rsidP="00557F0E">
      <w:pPr>
        <w:spacing w:before="120" w:after="120" w:line="252" w:lineRule="auto"/>
        <w:ind w:left="0" w:right="30" w:firstLine="0"/>
        <w:rPr>
          <w:b/>
          <w:bCs/>
        </w:rPr>
      </w:pPr>
      <w:r w:rsidRPr="0016493F">
        <w:rPr>
          <w:b/>
          <w:bCs/>
        </w:rPr>
        <w:t xml:space="preserve">SWOT Analysis of Biochar </w:t>
      </w:r>
    </w:p>
    <w:p w14:paraId="03E51C6C" w14:textId="4BA8D72C" w:rsidR="006B6DA5" w:rsidRDefault="00BC580F" w:rsidP="00557F0E">
      <w:pPr>
        <w:spacing w:before="120" w:after="120" w:line="252" w:lineRule="auto"/>
        <w:ind w:left="0" w:right="30" w:firstLine="0"/>
      </w:pPr>
      <w:r w:rsidRPr="004A378A">
        <w:rPr>
          <w:noProof/>
        </w:rPr>
        <w:drawing>
          <wp:anchor distT="0" distB="0" distL="114300" distR="114300" simplePos="0" relativeHeight="251659264" behindDoc="0" locked="0" layoutInCell="1" allowOverlap="1" wp14:anchorId="085F0A86" wp14:editId="000D76DC">
            <wp:simplePos x="0" y="0"/>
            <wp:positionH relativeFrom="margin">
              <wp:posOffset>228600</wp:posOffset>
            </wp:positionH>
            <wp:positionV relativeFrom="margin">
              <wp:posOffset>6241415</wp:posOffset>
            </wp:positionV>
            <wp:extent cx="4815205" cy="3738880"/>
            <wp:effectExtent l="0" t="0" r="0" b="0"/>
            <wp:wrapNone/>
            <wp:docPr id="103265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5205" cy="3738880"/>
                    </a:xfrm>
                    <a:prstGeom prst="rect">
                      <a:avLst/>
                    </a:prstGeom>
                    <a:noFill/>
                  </pic:spPr>
                </pic:pic>
              </a:graphicData>
            </a:graphic>
            <wp14:sizeRelH relativeFrom="margin">
              <wp14:pctWidth>0</wp14:pctWidth>
            </wp14:sizeRelH>
            <wp14:sizeRelV relativeFrom="margin">
              <wp14:pctHeight>0</wp14:pctHeight>
            </wp14:sizeRelV>
          </wp:anchor>
        </w:drawing>
      </w:r>
      <w:r w:rsidR="00B95445" w:rsidRPr="00B95445">
        <w:t>A SWOT analysis of biochar in seedling production delineates its strengths, weaknesses, opportunities, and threats, emphasizing its significance in sustainable forestry practices. Integrating biochar into nursery management can enhance seedling quality, establishment rates, pest and disease resistance, and ecological sustainability in forestry practices (Tang et al., 2013).</w:t>
      </w:r>
    </w:p>
    <w:p w14:paraId="02CD798F" w14:textId="77777777" w:rsidR="00B95445" w:rsidRPr="004A378A" w:rsidRDefault="00B95445" w:rsidP="00557F0E">
      <w:pPr>
        <w:spacing w:before="120" w:after="120" w:line="252" w:lineRule="auto"/>
        <w:ind w:left="0" w:right="30" w:firstLine="0"/>
      </w:pPr>
    </w:p>
    <w:p w14:paraId="3CB50541" w14:textId="30446A25" w:rsidR="006B6DA5" w:rsidRDefault="006B6DA5" w:rsidP="007458FB">
      <w:pPr>
        <w:spacing w:before="120" w:after="120" w:line="252" w:lineRule="auto"/>
        <w:ind w:left="0" w:right="30" w:firstLine="0"/>
        <w:rPr>
          <w:b/>
          <w:bCs/>
        </w:rPr>
      </w:pPr>
    </w:p>
    <w:p w14:paraId="53EB7A34" w14:textId="373B5465" w:rsidR="006B6DA5" w:rsidRDefault="00B95445" w:rsidP="007458FB">
      <w:pPr>
        <w:spacing w:before="120" w:after="120" w:line="252" w:lineRule="auto"/>
        <w:ind w:left="0" w:right="30" w:firstLine="0"/>
        <w:rPr>
          <w:b/>
          <w:bCs/>
        </w:rPr>
      </w:pPr>
      <w:r>
        <w:rPr>
          <w:b/>
          <w:bCs/>
        </w:rPr>
        <w:t xml:space="preserve">             </w:t>
      </w:r>
    </w:p>
    <w:p w14:paraId="464B4637" w14:textId="336CA709" w:rsidR="006B6DA5" w:rsidRDefault="006B6DA5" w:rsidP="007458FB">
      <w:pPr>
        <w:spacing w:before="120" w:after="120" w:line="252" w:lineRule="auto"/>
        <w:ind w:left="0" w:right="30" w:firstLine="0"/>
        <w:rPr>
          <w:b/>
          <w:bCs/>
        </w:rPr>
      </w:pPr>
    </w:p>
    <w:p w14:paraId="12356D63" w14:textId="6E8A3760" w:rsidR="006B6DA5" w:rsidRDefault="006B6DA5" w:rsidP="007458FB">
      <w:pPr>
        <w:spacing w:before="120" w:after="120" w:line="252" w:lineRule="auto"/>
        <w:ind w:left="0" w:right="30" w:firstLine="0"/>
        <w:rPr>
          <w:b/>
          <w:bCs/>
        </w:rPr>
      </w:pPr>
    </w:p>
    <w:p w14:paraId="1933CDFF" w14:textId="4A7BC978" w:rsidR="006B6DA5" w:rsidRDefault="006B6DA5" w:rsidP="007458FB">
      <w:pPr>
        <w:spacing w:before="120" w:after="120" w:line="252" w:lineRule="auto"/>
        <w:ind w:left="0" w:right="30" w:firstLine="0"/>
        <w:rPr>
          <w:b/>
          <w:bCs/>
        </w:rPr>
      </w:pPr>
    </w:p>
    <w:p w14:paraId="06488199" w14:textId="71FAAE61" w:rsidR="006B6DA5" w:rsidRDefault="006B6DA5" w:rsidP="007458FB">
      <w:pPr>
        <w:spacing w:before="120" w:after="120" w:line="252" w:lineRule="auto"/>
        <w:ind w:left="0" w:right="30" w:firstLine="0"/>
        <w:rPr>
          <w:b/>
          <w:bCs/>
        </w:rPr>
      </w:pPr>
    </w:p>
    <w:p w14:paraId="77DCC26D" w14:textId="5E046104" w:rsidR="006B6DA5" w:rsidRDefault="006B6DA5" w:rsidP="007458FB">
      <w:pPr>
        <w:spacing w:before="120" w:after="120" w:line="252" w:lineRule="auto"/>
        <w:ind w:left="0" w:right="30" w:firstLine="0"/>
        <w:rPr>
          <w:b/>
          <w:bCs/>
        </w:rPr>
      </w:pPr>
    </w:p>
    <w:p w14:paraId="23DA8A6A" w14:textId="77777777" w:rsidR="006B6DA5" w:rsidRDefault="006B6DA5" w:rsidP="007458FB">
      <w:pPr>
        <w:spacing w:before="120" w:after="120" w:line="252" w:lineRule="auto"/>
        <w:ind w:left="0" w:right="30" w:firstLine="0"/>
        <w:rPr>
          <w:b/>
          <w:bCs/>
        </w:rPr>
      </w:pPr>
    </w:p>
    <w:p w14:paraId="5474EBB3" w14:textId="77777777" w:rsidR="006B6DA5" w:rsidRDefault="006B6DA5" w:rsidP="007458FB">
      <w:pPr>
        <w:spacing w:before="120" w:after="120" w:line="252" w:lineRule="auto"/>
        <w:ind w:left="0" w:right="30" w:firstLine="0"/>
        <w:rPr>
          <w:b/>
          <w:bCs/>
        </w:rPr>
      </w:pPr>
    </w:p>
    <w:p w14:paraId="367E07EC" w14:textId="77777777" w:rsidR="00B95445" w:rsidRDefault="00B95445" w:rsidP="00E30C6C">
      <w:pPr>
        <w:spacing w:before="120" w:after="120" w:line="247" w:lineRule="auto"/>
        <w:ind w:left="459" w:right="0" w:hanging="459"/>
        <w:rPr>
          <w:b/>
          <w:bCs/>
        </w:rPr>
      </w:pPr>
    </w:p>
    <w:p w14:paraId="2483215F" w14:textId="6E322109" w:rsidR="006B6DA5" w:rsidRDefault="006B6DA5" w:rsidP="00CB4B28">
      <w:pPr>
        <w:spacing w:before="120" w:after="120" w:line="247" w:lineRule="auto"/>
        <w:ind w:left="720" w:right="0" w:hanging="720"/>
        <w:rPr>
          <w:b/>
          <w:bCs/>
        </w:rPr>
      </w:pPr>
      <w:r w:rsidRPr="00E04B9F">
        <w:rPr>
          <w:b/>
          <w:bCs/>
        </w:rPr>
        <w:t xml:space="preserve">Fig. </w:t>
      </w:r>
      <w:r>
        <w:rPr>
          <w:b/>
          <w:bCs/>
        </w:rPr>
        <w:t>1</w:t>
      </w:r>
      <w:r w:rsidR="00B95445">
        <w:rPr>
          <w:b/>
          <w:bCs/>
        </w:rPr>
        <w:t>:</w:t>
      </w:r>
      <w:r w:rsidRPr="00E04B9F">
        <w:rPr>
          <w:b/>
          <w:bCs/>
        </w:rPr>
        <w:t xml:space="preserve"> SWOT </w:t>
      </w:r>
      <w:r w:rsidR="00E30C6C">
        <w:rPr>
          <w:b/>
          <w:bCs/>
        </w:rPr>
        <w:t>A</w:t>
      </w:r>
      <w:r w:rsidR="00E30C6C" w:rsidRPr="00E04B9F">
        <w:rPr>
          <w:b/>
          <w:bCs/>
        </w:rPr>
        <w:t xml:space="preserve">nalysis </w:t>
      </w:r>
      <w:r w:rsidR="00E30C6C">
        <w:rPr>
          <w:b/>
          <w:bCs/>
        </w:rPr>
        <w:t>o</w:t>
      </w:r>
      <w:r w:rsidR="00E30C6C" w:rsidRPr="00E04B9F">
        <w:rPr>
          <w:b/>
          <w:bCs/>
        </w:rPr>
        <w:t xml:space="preserve">f </w:t>
      </w:r>
      <w:r w:rsidR="00E30C6C">
        <w:rPr>
          <w:b/>
          <w:bCs/>
        </w:rPr>
        <w:t>Biochar</w:t>
      </w:r>
      <w:r w:rsidR="00E30C6C" w:rsidRPr="00E04B9F">
        <w:rPr>
          <w:b/>
          <w:bCs/>
        </w:rPr>
        <w:t xml:space="preserve"> </w:t>
      </w:r>
      <w:r w:rsidR="00E30C6C">
        <w:rPr>
          <w:b/>
          <w:bCs/>
        </w:rPr>
        <w:t>f</w:t>
      </w:r>
      <w:r w:rsidR="00E30C6C" w:rsidRPr="00E04B9F">
        <w:rPr>
          <w:b/>
          <w:bCs/>
        </w:rPr>
        <w:t xml:space="preserve">or </w:t>
      </w:r>
      <w:r w:rsidR="00E30C6C">
        <w:rPr>
          <w:b/>
          <w:bCs/>
        </w:rPr>
        <w:t>t</w:t>
      </w:r>
      <w:r w:rsidR="00E30C6C" w:rsidRPr="00E04B9F">
        <w:rPr>
          <w:b/>
          <w:bCs/>
        </w:rPr>
        <w:t xml:space="preserve">he Production </w:t>
      </w:r>
      <w:r w:rsidR="00E30C6C">
        <w:rPr>
          <w:b/>
          <w:bCs/>
        </w:rPr>
        <w:t>o</w:t>
      </w:r>
      <w:r w:rsidR="00E30C6C" w:rsidRPr="00E04B9F">
        <w:rPr>
          <w:b/>
          <w:bCs/>
        </w:rPr>
        <w:t xml:space="preserve">f Quality Seedlings </w:t>
      </w:r>
      <w:r w:rsidR="00E30C6C">
        <w:rPr>
          <w:b/>
          <w:bCs/>
        </w:rPr>
        <w:t>o</w:t>
      </w:r>
      <w:r w:rsidR="00E30C6C" w:rsidRPr="00E04B9F">
        <w:rPr>
          <w:b/>
          <w:bCs/>
        </w:rPr>
        <w:t xml:space="preserve">f Important </w:t>
      </w:r>
      <w:r w:rsidR="00CB4B28">
        <w:rPr>
          <w:b/>
          <w:bCs/>
        </w:rPr>
        <w:t xml:space="preserve">   </w:t>
      </w:r>
      <w:r w:rsidR="00E30C6C" w:rsidRPr="00E04B9F">
        <w:rPr>
          <w:b/>
          <w:bCs/>
        </w:rPr>
        <w:t>Tree Species</w:t>
      </w:r>
    </w:p>
    <w:p w14:paraId="1CFAB561" w14:textId="72B29E6F" w:rsidR="00D5486C" w:rsidRPr="00072C30" w:rsidRDefault="00D5486C" w:rsidP="007458FB">
      <w:pPr>
        <w:spacing w:before="120" w:after="120" w:line="252" w:lineRule="auto"/>
        <w:ind w:left="0" w:right="30" w:firstLine="0"/>
      </w:pPr>
      <w:r w:rsidRPr="004A378A">
        <w:rPr>
          <w:b/>
          <w:bCs/>
        </w:rPr>
        <w:t xml:space="preserve">Role </w:t>
      </w:r>
      <w:r w:rsidR="00D40466">
        <w:rPr>
          <w:b/>
          <w:bCs/>
        </w:rPr>
        <w:t>o</w:t>
      </w:r>
      <w:r w:rsidR="00D40466" w:rsidRPr="004A378A">
        <w:rPr>
          <w:b/>
          <w:bCs/>
        </w:rPr>
        <w:t xml:space="preserve">f Biochar </w:t>
      </w:r>
      <w:r w:rsidR="00D40466">
        <w:rPr>
          <w:b/>
          <w:bCs/>
        </w:rPr>
        <w:t>f</w:t>
      </w:r>
      <w:r w:rsidR="00D40466" w:rsidRPr="004A378A">
        <w:rPr>
          <w:b/>
          <w:bCs/>
        </w:rPr>
        <w:t xml:space="preserve">or Production </w:t>
      </w:r>
      <w:r w:rsidR="00D40466">
        <w:rPr>
          <w:b/>
          <w:bCs/>
        </w:rPr>
        <w:t>o</w:t>
      </w:r>
      <w:r w:rsidR="00D40466" w:rsidRPr="004A378A">
        <w:rPr>
          <w:b/>
          <w:bCs/>
        </w:rPr>
        <w:t xml:space="preserve">f Quality Seedlings </w:t>
      </w:r>
      <w:r w:rsidR="00D40466">
        <w:rPr>
          <w:b/>
          <w:bCs/>
        </w:rPr>
        <w:t>o</w:t>
      </w:r>
      <w:r w:rsidR="00D40466" w:rsidRPr="004A378A">
        <w:rPr>
          <w:b/>
          <w:bCs/>
        </w:rPr>
        <w:t>f Important Tree Species</w:t>
      </w:r>
    </w:p>
    <w:p w14:paraId="7330F568" w14:textId="7E6B6919" w:rsidR="00D5486C" w:rsidRDefault="00EE6299" w:rsidP="007458FB">
      <w:pPr>
        <w:pStyle w:val="ListParagraph"/>
        <w:numPr>
          <w:ilvl w:val="0"/>
          <w:numId w:val="9"/>
        </w:numPr>
        <w:spacing w:before="120" w:after="120" w:line="252" w:lineRule="auto"/>
        <w:ind w:right="30"/>
        <w:rPr>
          <w:b/>
          <w:bCs/>
        </w:rPr>
      </w:pPr>
      <w:r>
        <w:rPr>
          <w:b/>
          <w:bCs/>
        </w:rPr>
        <w:t>Quality Seedling Production of T</w:t>
      </w:r>
      <w:r w:rsidR="00D5486C" w:rsidRPr="004A378A">
        <w:rPr>
          <w:b/>
          <w:bCs/>
        </w:rPr>
        <w:t xml:space="preserve">ropical </w:t>
      </w:r>
      <w:r w:rsidR="00A16279" w:rsidRPr="004A378A">
        <w:rPr>
          <w:b/>
          <w:bCs/>
        </w:rPr>
        <w:t xml:space="preserve">Tree Species </w:t>
      </w:r>
    </w:p>
    <w:p w14:paraId="19399E2F" w14:textId="4FEAC916" w:rsidR="005F2468" w:rsidRPr="005F2468" w:rsidRDefault="005F2468" w:rsidP="005F2468">
      <w:pPr>
        <w:pStyle w:val="ListParagraph"/>
        <w:spacing w:before="120" w:after="120" w:line="252" w:lineRule="auto"/>
        <w:ind w:left="142" w:right="30" w:firstLine="0"/>
      </w:pPr>
      <w:r>
        <w:tab/>
      </w:r>
      <w:r w:rsidRPr="005F2468">
        <w:t xml:space="preserve">Tropical tree species hold significant economic value owing to their diverse contributions to timber, non-timber forest products, and agroforestry industries. Their </w:t>
      </w:r>
      <w:r w:rsidRPr="005F2468">
        <w:lastRenderedPageBreak/>
        <w:t>ecological roles, such as enhancing soil fertility, sequestering carbon, and conserving biodiversity, render them essential elements of sustainable and climate-resilient forestry systems. Table 2 illustrates the impact of biochar on the production of high-quality seedlings of significant tropical tree species.</w:t>
      </w:r>
    </w:p>
    <w:p w14:paraId="527630D6" w14:textId="389017C8" w:rsidR="005F2468" w:rsidRPr="005F2468" w:rsidRDefault="005F2468" w:rsidP="005F2468">
      <w:pPr>
        <w:pStyle w:val="ListParagraph"/>
        <w:spacing w:before="120" w:after="120" w:line="252" w:lineRule="auto"/>
        <w:ind w:left="142" w:right="30" w:firstLine="0"/>
      </w:pPr>
      <w:r>
        <w:tab/>
      </w:r>
      <w:r w:rsidRPr="005F2468">
        <w:t xml:space="preserve">Biochar significantly influenced the production quality seedlings of </w:t>
      </w:r>
      <w:r w:rsidRPr="005F2468">
        <w:rPr>
          <w:i/>
          <w:iCs/>
        </w:rPr>
        <w:t xml:space="preserve">Acacia </w:t>
      </w:r>
      <w:proofErr w:type="spellStart"/>
      <w:r w:rsidRPr="005F2468">
        <w:rPr>
          <w:i/>
          <w:iCs/>
        </w:rPr>
        <w:t>mangium</w:t>
      </w:r>
      <w:proofErr w:type="spellEnd"/>
      <w:r w:rsidRPr="005F2468">
        <w:t xml:space="preserve"> as assessed by Moreno et al. (2021). The growing medium comprising 40 t ha⁻¹ of </w:t>
      </w:r>
      <w:r w:rsidRPr="00A11DA0">
        <w:rPr>
          <w:i/>
          <w:iCs/>
        </w:rPr>
        <w:t xml:space="preserve">A. </w:t>
      </w:r>
      <w:proofErr w:type="spellStart"/>
      <w:r w:rsidRPr="00A11DA0">
        <w:rPr>
          <w:i/>
          <w:iCs/>
        </w:rPr>
        <w:t>mangium</w:t>
      </w:r>
      <w:proofErr w:type="spellEnd"/>
      <w:r w:rsidRPr="005F2468">
        <w:t xml:space="preserve">-derived biochar in conjunction with 50% synthetic fertilizer achieved the highest DQI value (0.756), signifying optimal seedling growth and effective biomass distribution. Interestingly, Silva et al. (2017) examined the impact of sewage sludge biochar (SSB) on the growth and morphological characteristics of </w:t>
      </w:r>
      <w:r w:rsidRPr="005F2468">
        <w:rPr>
          <w:i/>
          <w:iCs/>
        </w:rPr>
        <w:t xml:space="preserve">Eucalyptus </w:t>
      </w:r>
      <w:proofErr w:type="spellStart"/>
      <w:r w:rsidRPr="005F2468">
        <w:rPr>
          <w:i/>
          <w:iCs/>
        </w:rPr>
        <w:t>grandis</w:t>
      </w:r>
      <w:proofErr w:type="spellEnd"/>
      <w:r w:rsidRPr="005F2468">
        <w:t xml:space="preserve"> seedlings, contrasting it with uncharred sewage sludge (SS), both in the presence and absence of NPK fertilizer. Both SSB and SS, with and without NPK fertilizer, significantly enhanced plant height (19% greater than both fertilized and unfertilized controls), stem diameter, and shoot dry mass (58% above fertilized control and 500% above unfertilized control), respectively. No significant differences were observed in DQI between SS and SSB, with and without NPK fertilizer, at 60 days after transplanting (DAT). Significantly, SSB without fertilizer yielded the highest root biomass, exceeding other organic treatments by a factor of 2.3. Biochar doses enhance the growth of seedlings of </w:t>
      </w:r>
      <w:r w:rsidRPr="005F2468">
        <w:rPr>
          <w:i/>
          <w:iCs/>
        </w:rPr>
        <w:t xml:space="preserve">E. </w:t>
      </w:r>
      <w:proofErr w:type="spellStart"/>
      <w:r w:rsidRPr="005F2468">
        <w:rPr>
          <w:i/>
          <w:iCs/>
        </w:rPr>
        <w:t>citriodora</w:t>
      </w:r>
      <w:proofErr w:type="spellEnd"/>
      <w:r w:rsidRPr="005F2468">
        <w:t xml:space="preserve">, in which maximum seedling height (21.71 cm), shoot dry mass (0.14 g), root dry mass (0.14 g), and DQI (0.039) were observed at a biochar concentration of 7.5% in the growing medium. However, </w:t>
      </w:r>
      <w:r w:rsidRPr="005F2468">
        <w:rPr>
          <w:i/>
          <w:iCs/>
        </w:rPr>
        <w:t xml:space="preserve">E. </w:t>
      </w:r>
      <w:proofErr w:type="spellStart"/>
      <w:r w:rsidRPr="005F2468">
        <w:rPr>
          <w:i/>
          <w:iCs/>
        </w:rPr>
        <w:t>urophylla</w:t>
      </w:r>
      <w:proofErr w:type="spellEnd"/>
      <w:r w:rsidRPr="005F2468">
        <w:t xml:space="preserve"> exhibited superior performance in the control condition relative to various concentrations of biochar. Thus, an elevation in biochar concentrations (≥15%) diminished the growth and vigour of seedlings in both eucalyptus species, according to </w:t>
      </w:r>
      <w:proofErr w:type="spellStart"/>
      <w:r w:rsidRPr="005F2468">
        <w:t>Petter</w:t>
      </w:r>
      <w:proofErr w:type="spellEnd"/>
      <w:r w:rsidRPr="005F2468">
        <w:t xml:space="preserve"> et al. (2012). In the case of </w:t>
      </w:r>
      <w:proofErr w:type="spellStart"/>
      <w:r w:rsidRPr="005F2468">
        <w:rPr>
          <w:i/>
          <w:iCs/>
        </w:rPr>
        <w:t>Faidherbia</w:t>
      </w:r>
      <w:proofErr w:type="spellEnd"/>
      <w:r w:rsidRPr="005F2468">
        <w:rPr>
          <w:i/>
          <w:iCs/>
        </w:rPr>
        <w:t xml:space="preserve"> </w:t>
      </w:r>
      <w:proofErr w:type="spellStart"/>
      <w:r w:rsidRPr="005F2468">
        <w:rPr>
          <w:i/>
          <w:iCs/>
        </w:rPr>
        <w:t>albida</w:t>
      </w:r>
      <w:proofErr w:type="spellEnd"/>
      <w:r w:rsidRPr="005F2468">
        <w:t xml:space="preserve">, seedlings at 8 and 20 months demonstrated optimal growth and survival in a soil mixture comprising local soil and biochar derived from sawdust at 300 °C in a 3:1 ratio, followed by a mixture of local soil, compost, and biochar from coffee husk at 350 °C in a 3:1:1 ratio. Furthermore, the lowest growth and survivability performance was observed in local soil, whereas the incorporation of biochar was crucial for the survival of </w:t>
      </w:r>
      <w:r w:rsidRPr="005F2468">
        <w:rPr>
          <w:i/>
          <w:iCs/>
        </w:rPr>
        <w:t xml:space="preserve">F. </w:t>
      </w:r>
      <w:proofErr w:type="spellStart"/>
      <w:r w:rsidRPr="005F2468">
        <w:rPr>
          <w:i/>
          <w:iCs/>
        </w:rPr>
        <w:t>albida</w:t>
      </w:r>
      <w:proofErr w:type="spellEnd"/>
      <w:r w:rsidRPr="005F2468">
        <w:t xml:space="preserve"> seedlings (</w:t>
      </w:r>
      <w:proofErr w:type="spellStart"/>
      <w:r w:rsidRPr="005F2468">
        <w:t>Fekadu</w:t>
      </w:r>
      <w:proofErr w:type="spellEnd"/>
      <w:r w:rsidRPr="005F2468">
        <w:t xml:space="preserve"> et al., 2024). Budi and </w:t>
      </w:r>
      <w:proofErr w:type="spellStart"/>
      <w:r w:rsidRPr="005F2468">
        <w:t>Setyaningsih</w:t>
      </w:r>
      <w:proofErr w:type="spellEnd"/>
      <w:r w:rsidRPr="005F2468">
        <w:t xml:space="preserve"> (2013) examined the influence of arbuscular mycorrhizal fungi and biochar on the growth of </w:t>
      </w:r>
      <w:r w:rsidRPr="005F2468">
        <w:rPr>
          <w:i/>
          <w:iCs/>
        </w:rPr>
        <w:t>Melia azedarach</w:t>
      </w:r>
      <w:r w:rsidRPr="005F2468">
        <w:t xml:space="preserve"> seedlings. Mycorrhizal root colonization increased with biochar to 10%; however, it decreased at 15%. The amalgamation of </w:t>
      </w:r>
      <w:r w:rsidRPr="005F2468">
        <w:rPr>
          <w:i/>
          <w:iCs/>
        </w:rPr>
        <w:t xml:space="preserve">Glomus </w:t>
      </w:r>
      <w:proofErr w:type="spellStart"/>
      <w:r w:rsidRPr="005F2468">
        <w:rPr>
          <w:i/>
          <w:iCs/>
        </w:rPr>
        <w:t>etunicatum</w:t>
      </w:r>
      <w:proofErr w:type="spellEnd"/>
      <w:r w:rsidRPr="005F2468">
        <w:t xml:space="preserve"> and 10% biochar resulted in the greatest height (26.8 cm) and diameter (4.40 mm), whereas </w:t>
      </w:r>
      <w:proofErr w:type="spellStart"/>
      <w:r w:rsidRPr="005F2468">
        <w:rPr>
          <w:i/>
          <w:iCs/>
        </w:rPr>
        <w:t>Gigaspora</w:t>
      </w:r>
      <w:proofErr w:type="spellEnd"/>
      <w:r w:rsidRPr="005F2468">
        <w:rPr>
          <w:i/>
          <w:iCs/>
        </w:rPr>
        <w:t xml:space="preserve"> margarita</w:t>
      </w:r>
      <w:r w:rsidRPr="005F2468">
        <w:t xml:space="preserve"> combined with 10% biochar yielded the highest shoot dry biomass (2.18 g) and root dry biomass (1.98 g), along with an elevated Seedling Quality Index (SQI = 0.62) in comparison to control. The growth performance of </w:t>
      </w:r>
      <w:r w:rsidRPr="005F2468">
        <w:rPr>
          <w:i/>
          <w:iCs/>
        </w:rPr>
        <w:t xml:space="preserve">Terminalia </w:t>
      </w:r>
      <w:proofErr w:type="spellStart"/>
      <w:r w:rsidRPr="005F2468">
        <w:rPr>
          <w:i/>
          <w:iCs/>
        </w:rPr>
        <w:t>bellerica</w:t>
      </w:r>
      <w:proofErr w:type="spellEnd"/>
      <w:r w:rsidRPr="005F2468">
        <w:rPr>
          <w:i/>
          <w:iCs/>
        </w:rPr>
        <w:t xml:space="preserve"> </w:t>
      </w:r>
      <w:r w:rsidRPr="005F2468">
        <w:t xml:space="preserve">seedlings was markedly affected by biochar-amended potting substrates. The treatment comprising soil, biochar, and FYM in a 1:1:1 ratio yielded the highest growth parameters, including collar diameter (3.41 mm), root length (132.5 cm), fresh root weight (1.31 g), dry root weight (0.52 g), dry shoot weight (1.18 g), and Seedling Quality Score (SQS = 45.02), signifying enhanced seedling vigour and quality according to </w:t>
      </w:r>
      <w:proofErr w:type="spellStart"/>
      <w:r w:rsidRPr="005F2468">
        <w:t>Sherke</w:t>
      </w:r>
      <w:proofErr w:type="spellEnd"/>
      <w:r w:rsidRPr="005F2468">
        <w:t xml:space="preserve"> et al. (2025). </w:t>
      </w:r>
      <w:proofErr w:type="spellStart"/>
      <w:r w:rsidRPr="005F2468">
        <w:t>Jasmitha</w:t>
      </w:r>
      <w:proofErr w:type="spellEnd"/>
      <w:r w:rsidRPr="005F2468">
        <w:t xml:space="preserve"> et al. (2018) examined the impact of organic and inorganic enriched biochar on the growth of </w:t>
      </w:r>
      <w:proofErr w:type="spellStart"/>
      <w:r w:rsidRPr="005F2468">
        <w:rPr>
          <w:i/>
          <w:iCs/>
        </w:rPr>
        <w:t>Mangifera</w:t>
      </w:r>
      <w:proofErr w:type="spellEnd"/>
      <w:r w:rsidRPr="005F2468">
        <w:rPr>
          <w:i/>
          <w:iCs/>
        </w:rPr>
        <w:t xml:space="preserve"> </w:t>
      </w:r>
      <w:proofErr w:type="spellStart"/>
      <w:r w:rsidRPr="005F2468">
        <w:rPr>
          <w:i/>
          <w:iCs/>
        </w:rPr>
        <w:t>indica</w:t>
      </w:r>
      <w:proofErr w:type="spellEnd"/>
      <w:r w:rsidRPr="005F2468">
        <w:t xml:space="preserve"> seedlings. The application of </w:t>
      </w:r>
      <w:proofErr w:type="spellStart"/>
      <w:proofErr w:type="gramStart"/>
      <w:r w:rsidRPr="005F2468">
        <w:t>soil:sand</w:t>
      </w:r>
      <w:proofErr w:type="gramEnd"/>
      <w:r w:rsidRPr="005F2468">
        <w:t>:organic</w:t>
      </w:r>
      <w:proofErr w:type="spellEnd"/>
      <w:r w:rsidRPr="005F2468">
        <w:t xml:space="preserve"> biochar in a 2:1:1 ratio yielded the highest seedling height (45.63 cm), stem girth (7.95 mm), leaf count (24.00), leaf area (159.51 cm²), and Seedling Vigour Index (SVI=3100) at 150 Days After Germination (DAG). Comparable outcomes were observed in </w:t>
      </w:r>
      <w:proofErr w:type="spellStart"/>
      <w:r w:rsidRPr="005F2468">
        <w:rPr>
          <w:i/>
          <w:iCs/>
        </w:rPr>
        <w:t>Artocarpus</w:t>
      </w:r>
      <w:proofErr w:type="spellEnd"/>
      <w:r w:rsidRPr="005F2468">
        <w:rPr>
          <w:i/>
          <w:iCs/>
        </w:rPr>
        <w:t xml:space="preserve"> </w:t>
      </w:r>
      <w:proofErr w:type="spellStart"/>
      <w:r w:rsidRPr="005F2468">
        <w:rPr>
          <w:i/>
          <w:iCs/>
        </w:rPr>
        <w:t>heterophyllus</w:t>
      </w:r>
      <w:proofErr w:type="spellEnd"/>
      <w:r w:rsidRPr="005F2468">
        <w:t xml:space="preserve"> and </w:t>
      </w:r>
      <w:proofErr w:type="spellStart"/>
      <w:r w:rsidRPr="005F2468">
        <w:rPr>
          <w:i/>
          <w:iCs/>
        </w:rPr>
        <w:t>Syzygium</w:t>
      </w:r>
      <w:proofErr w:type="spellEnd"/>
      <w:r w:rsidRPr="005F2468">
        <w:rPr>
          <w:i/>
          <w:iCs/>
        </w:rPr>
        <w:t xml:space="preserve"> </w:t>
      </w:r>
      <w:proofErr w:type="spellStart"/>
      <w:r w:rsidRPr="005F2468">
        <w:rPr>
          <w:i/>
          <w:iCs/>
        </w:rPr>
        <w:t>cumini</w:t>
      </w:r>
      <w:proofErr w:type="spellEnd"/>
      <w:r w:rsidRPr="005F2468">
        <w:t xml:space="preserve"> seedlings raised in same </w:t>
      </w:r>
      <w:proofErr w:type="spellStart"/>
      <w:proofErr w:type="gramStart"/>
      <w:r w:rsidRPr="005F2468">
        <w:t>soil:sand</w:t>
      </w:r>
      <w:proofErr w:type="gramEnd"/>
      <w:r w:rsidRPr="005F2468">
        <w:t>:organic</w:t>
      </w:r>
      <w:proofErr w:type="spellEnd"/>
      <w:r w:rsidRPr="005F2468">
        <w:t xml:space="preserve"> biochar medium (2:1:1). In </w:t>
      </w:r>
      <w:r w:rsidRPr="005F2468">
        <w:rPr>
          <w:i/>
          <w:iCs/>
        </w:rPr>
        <w:t xml:space="preserve">A. </w:t>
      </w:r>
      <w:proofErr w:type="spellStart"/>
      <w:r w:rsidRPr="005F2468">
        <w:rPr>
          <w:i/>
          <w:iCs/>
        </w:rPr>
        <w:t>heterophyllus</w:t>
      </w:r>
      <w:proofErr w:type="spellEnd"/>
      <w:r w:rsidRPr="005F2468">
        <w:t xml:space="preserve">, the maximum seedling height (64.67 cm), girth (8.07 mm), number of leaves (7.13), leaf area (123.44 cm²), root length (31.67 cm), root volume (18.30 ml), root biomass (18 g), total biomass (46.33 g), and SVI (3667) were observed in the </w:t>
      </w:r>
      <w:proofErr w:type="spellStart"/>
      <w:proofErr w:type="gramStart"/>
      <w:r w:rsidRPr="005F2468">
        <w:t>soil:sand</w:t>
      </w:r>
      <w:proofErr w:type="gramEnd"/>
      <w:r w:rsidRPr="005F2468">
        <w:t>:organic</w:t>
      </w:r>
      <w:proofErr w:type="spellEnd"/>
      <w:r w:rsidRPr="005F2468">
        <w:t xml:space="preserve"> biochar medium (2:1:1) treatment after 120 days after germination (DAG). Similarly, maximum seedling height (54.83 cm), girth (6.33 mm), number of leaves (35.89), leaf area (83.40 cm²), </w:t>
      </w:r>
      <w:r w:rsidRPr="005F2468">
        <w:lastRenderedPageBreak/>
        <w:t xml:space="preserve">root length (38.67 cm), root volume (24.22 ml), root biomass (26 g), total biomass (67.67 g), and SVI (3100) were documented in </w:t>
      </w:r>
      <w:r>
        <w:t>s</w:t>
      </w:r>
      <w:r w:rsidRPr="005F2468">
        <w:t xml:space="preserve">oil: </w:t>
      </w:r>
      <w:r>
        <w:t>s</w:t>
      </w:r>
      <w:r w:rsidRPr="005F2468">
        <w:t xml:space="preserve">and: </w:t>
      </w:r>
      <w:r>
        <w:t>o</w:t>
      </w:r>
      <w:r w:rsidRPr="005F2468">
        <w:t xml:space="preserve">rganic biochar in a 2:1:1 ratio after 210 days after germination in </w:t>
      </w:r>
      <w:r w:rsidRPr="005F2468">
        <w:rPr>
          <w:i/>
          <w:iCs/>
        </w:rPr>
        <w:t xml:space="preserve">S. </w:t>
      </w:r>
      <w:proofErr w:type="spellStart"/>
      <w:r w:rsidRPr="005F2468">
        <w:rPr>
          <w:i/>
          <w:iCs/>
        </w:rPr>
        <w:t>cumini</w:t>
      </w:r>
      <w:proofErr w:type="spellEnd"/>
      <w:r w:rsidRPr="005F2468">
        <w:t xml:space="preserve"> according to </w:t>
      </w:r>
      <w:proofErr w:type="spellStart"/>
      <w:r w:rsidRPr="005F2468">
        <w:t>Jasmitha</w:t>
      </w:r>
      <w:proofErr w:type="spellEnd"/>
      <w:r w:rsidRPr="005F2468">
        <w:t xml:space="preserve"> (2018). </w:t>
      </w:r>
      <w:proofErr w:type="spellStart"/>
      <w:r w:rsidRPr="005F2468">
        <w:t>Dharmakeerthi</w:t>
      </w:r>
      <w:proofErr w:type="spellEnd"/>
      <w:r w:rsidRPr="005F2468">
        <w:t xml:space="preserve"> et al. (2012) investigated the impact of rubber wood biochar (0-2% w/w), both with and without liquid fertilizers (LF: N-P-K-Mg or N-Mg), on </w:t>
      </w:r>
      <w:proofErr w:type="spellStart"/>
      <w:r w:rsidRPr="005F2468">
        <w:rPr>
          <w:i/>
          <w:iCs/>
        </w:rPr>
        <w:t>Hevea</w:t>
      </w:r>
      <w:proofErr w:type="spellEnd"/>
      <w:r w:rsidRPr="005F2468">
        <w:rPr>
          <w:i/>
          <w:iCs/>
        </w:rPr>
        <w:t xml:space="preserve"> </w:t>
      </w:r>
      <w:proofErr w:type="spellStart"/>
      <w:r w:rsidRPr="005F2468">
        <w:rPr>
          <w:i/>
          <w:iCs/>
        </w:rPr>
        <w:t>brasiliensis</w:t>
      </w:r>
      <w:proofErr w:type="spellEnd"/>
      <w:r w:rsidRPr="005F2468">
        <w:t xml:space="preserve"> seedlings. The optimal outcomes were observed in the 2% biochar combined with N-Mg treatment, yielding a maximum total shoot dry biomass of 25.8 g in rootstock seedlings, alongside total shoot dry biomass of 12.7 g and total root dry biomass of 14.2 g in scion seedlings. Furthermore, root biomass significantly increased with the application of liquid fertilizers. The root to shoot ratio was found to be highest in the 0% biochar and no LF treatment. </w:t>
      </w:r>
      <w:proofErr w:type="spellStart"/>
      <w:r w:rsidRPr="005F2468">
        <w:t>Humnessa</w:t>
      </w:r>
      <w:proofErr w:type="spellEnd"/>
      <w:r w:rsidRPr="005F2468">
        <w:t xml:space="preserve"> et al. (2023) investigated the impact of poultry manure and its biochar on the growth performance of seedlings of </w:t>
      </w:r>
      <w:proofErr w:type="spellStart"/>
      <w:r w:rsidRPr="005F2468">
        <w:rPr>
          <w:i/>
          <w:iCs/>
        </w:rPr>
        <w:t>Albizia</w:t>
      </w:r>
      <w:proofErr w:type="spellEnd"/>
      <w:r w:rsidRPr="005F2468">
        <w:rPr>
          <w:i/>
          <w:iCs/>
        </w:rPr>
        <w:t xml:space="preserve"> </w:t>
      </w:r>
      <w:proofErr w:type="spellStart"/>
      <w:r w:rsidRPr="005F2468">
        <w:rPr>
          <w:i/>
          <w:iCs/>
        </w:rPr>
        <w:t>gummifera</w:t>
      </w:r>
      <w:proofErr w:type="spellEnd"/>
      <w:r w:rsidRPr="005F2468">
        <w:t xml:space="preserve">, </w:t>
      </w:r>
      <w:r w:rsidRPr="005F2468">
        <w:rPr>
          <w:i/>
          <w:iCs/>
        </w:rPr>
        <w:t xml:space="preserve">Cordia </w:t>
      </w:r>
      <w:proofErr w:type="spellStart"/>
      <w:r w:rsidRPr="005F2468">
        <w:rPr>
          <w:i/>
          <w:iCs/>
        </w:rPr>
        <w:t>africana</w:t>
      </w:r>
      <w:proofErr w:type="spellEnd"/>
      <w:r w:rsidRPr="005F2468">
        <w:t xml:space="preserve"> and </w:t>
      </w:r>
      <w:proofErr w:type="spellStart"/>
      <w:r w:rsidRPr="005F2468">
        <w:rPr>
          <w:i/>
          <w:iCs/>
        </w:rPr>
        <w:t>Milletia</w:t>
      </w:r>
      <w:proofErr w:type="spellEnd"/>
      <w:r w:rsidRPr="005F2468">
        <w:rPr>
          <w:i/>
          <w:iCs/>
        </w:rPr>
        <w:t xml:space="preserve"> </w:t>
      </w:r>
      <w:proofErr w:type="spellStart"/>
      <w:r w:rsidRPr="005F2468">
        <w:rPr>
          <w:i/>
          <w:iCs/>
        </w:rPr>
        <w:t>ferruginea</w:t>
      </w:r>
      <w:proofErr w:type="spellEnd"/>
      <w:r w:rsidRPr="005F2468">
        <w:t xml:space="preserve">. The results indicated that growing media comprising local soil combined with poultry manure, local soil with poultry manure biochar, and local soil mixed equally with poultry manure and biochar exhibited superior performance in producing quality seedlings </w:t>
      </w:r>
      <w:r w:rsidRPr="005F2468">
        <w:rPr>
          <w:i/>
          <w:iCs/>
        </w:rPr>
        <w:t xml:space="preserve">of A. </w:t>
      </w:r>
      <w:proofErr w:type="spellStart"/>
      <w:r w:rsidRPr="005F2468">
        <w:rPr>
          <w:i/>
          <w:iCs/>
        </w:rPr>
        <w:t>gummifera</w:t>
      </w:r>
      <w:proofErr w:type="spellEnd"/>
      <w:r w:rsidRPr="005F2468">
        <w:rPr>
          <w:i/>
          <w:iCs/>
        </w:rPr>
        <w:t xml:space="preserve">, C. </w:t>
      </w:r>
      <w:proofErr w:type="spellStart"/>
      <w:r w:rsidRPr="005F2468">
        <w:rPr>
          <w:i/>
          <w:iCs/>
        </w:rPr>
        <w:t>africana</w:t>
      </w:r>
      <w:proofErr w:type="spellEnd"/>
      <w:r w:rsidRPr="005F2468">
        <w:rPr>
          <w:i/>
          <w:iCs/>
        </w:rPr>
        <w:t xml:space="preserve">, </w:t>
      </w:r>
      <w:r w:rsidRPr="005F2468">
        <w:t>and</w:t>
      </w:r>
      <w:r w:rsidRPr="005F2468">
        <w:rPr>
          <w:i/>
          <w:iCs/>
        </w:rPr>
        <w:t xml:space="preserve"> M. </w:t>
      </w:r>
      <w:proofErr w:type="spellStart"/>
      <w:r w:rsidRPr="005F2468">
        <w:rPr>
          <w:i/>
          <w:iCs/>
        </w:rPr>
        <w:t>ferruginea</w:t>
      </w:r>
      <w:proofErr w:type="spellEnd"/>
      <w:r w:rsidRPr="005F2468">
        <w:t xml:space="preserve"> in nurseries. Rice husk biochar (RHBC) applied at 10,000 kg ha⁻¹ and at 100% field capacity yielded optimal growth performance in all key metrics, including maximum collar diameter (3.98 mm), leaf count (16.20), leaf area (21.38 cm²), and total dry biomass (64.93 g) of </w:t>
      </w:r>
      <w:proofErr w:type="spellStart"/>
      <w:r w:rsidRPr="005F2468">
        <w:rPr>
          <w:i/>
          <w:iCs/>
        </w:rPr>
        <w:t>Calophyllum</w:t>
      </w:r>
      <w:proofErr w:type="spellEnd"/>
      <w:r w:rsidRPr="005F2468">
        <w:rPr>
          <w:i/>
          <w:iCs/>
        </w:rPr>
        <w:t xml:space="preserve"> </w:t>
      </w:r>
      <w:proofErr w:type="spellStart"/>
      <w:r w:rsidRPr="005F2468">
        <w:rPr>
          <w:i/>
          <w:iCs/>
        </w:rPr>
        <w:t>inophyllum</w:t>
      </w:r>
      <w:proofErr w:type="spellEnd"/>
      <w:r w:rsidRPr="005F2468">
        <w:t xml:space="preserve"> seedlings, according to Jayalakshmi (2018). Chen et al. (2021) found 3% straw biochar treatment resulted in the highest seedling height (101.07 cm), collar diameter (10.12 mm), above-ground biomass (16.50 g), and underground biomass (11.07 g) of </w:t>
      </w:r>
      <w:proofErr w:type="spellStart"/>
      <w:r w:rsidRPr="005F2468">
        <w:rPr>
          <w:i/>
          <w:iCs/>
        </w:rPr>
        <w:t>Sapium</w:t>
      </w:r>
      <w:proofErr w:type="spellEnd"/>
      <w:r w:rsidRPr="005F2468">
        <w:rPr>
          <w:i/>
          <w:iCs/>
        </w:rPr>
        <w:t xml:space="preserve"> </w:t>
      </w:r>
      <w:proofErr w:type="spellStart"/>
      <w:r w:rsidRPr="005F2468">
        <w:rPr>
          <w:i/>
          <w:iCs/>
        </w:rPr>
        <w:t>sebiferum</w:t>
      </w:r>
      <w:proofErr w:type="spellEnd"/>
      <w:r w:rsidRPr="005F2468">
        <w:t xml:space="preserve">. Furthermore, root characteristics were enhanced under the same treatment, exhibiting total root length (463.6 cm), root surface area (227.8 cm²), and primary lateral roots (5.56). Afolabi et al. (2021) determined that seedlings of </w:t>
      </w:r>
      <w:proofErr w:type="spellStart"/>
      <w:r w:rsidRPr="005F2468">
        <w:rPr>
          <w:i/>
          <w:iCs/>
        </w:rPr>
        <w:t>Neolamarckia</w:t>
      </w:r>
      <w:proofErr w:type="spellEnd"/>
      <w:r w:rsidRPr="005F2468">
        <w:rPr>
          <w:i/>
          <w:iCs/>
        </w:rPr>
        <w:t xml:space="preserve"> </w:t>
      </w:r>
      <w:proofErr w:type="spellStart"/>
      <w:r w:rsidRPr="005F2468">
        <w:rPr>
          <w:i/>
          <w:iCs/>
        </w:rPr>
        <w:t>cadamba</w:t>
      </w:r>
      <w:proofErr w:type="spellEnd"/>
      <w:r w:rsidRPr="005F2468">
        <w:t xml:space="preserve">, irrigated thrice weekly with biochar, exhibited superior growth characteristics at 22 Weeks After Transplanting (WAT) compared to the other two watering frequencies. Seedlings irrigated three times weekly with 1 and 4 tons/ha of biochar exhibited optimal growth in </w:t>
      </w:r>
      <w:r w:rsidRPr="005F2468">
        <w:rPr>
          <w:i/>
          <w:iCs/>
        </w:rPr>
        <w:t xml:space="preserve">N. </w:t>
      </w:r>
      <w:proofErr w:type="spellStart"/>
      <w:r w:rsidRPr="005F2468">
        <w:rPr>
          <w:i/>
          <w:iCs/>
        </w:rPr>
        <w:t>cadamba</w:t>
      </w:r>
      <w:proofErr w:type="spellEnd"/>
      <w:r w:rsidRPr="005F2468">
        <w:t xml:space="preserve"> seedlings.</w:t>
      </w:r>
    </w:p>
    <w:p w14:paraId="28A2765D" w14:textId="6CE2D644" w:rsidR="005F2468" w:rsidRPr="005F2468" w:rsidRDefault="005F2468" w:rsidP="005F2468">
      <w:pPr>
        <w:pStyle w:val="ListParagraph"/>
        <w:spacing w:before="120" w:after="120" w:line="252" w:lineRule="auto"/>
        <w:ind w:left="142" w:right="30" w:firstLine="0"/>
      </w:pPr>
      <w:r>
        <w:tab/>
      </w:r>
      <w:r w:rsidRPr="005F2468">
        <w:t>Overall, the reviewed literature indicates that biochar serves as a critical amendment in improving the quality of seedling growth across various tropical tree species. However, the optimal concentrations and combinations of biochar with other amendments are species-specific, underscoring the importance of tailoring application strategies to the requirements of individual plant species for maximum efficacy.</w:t>
      </w:r>
    </w:p>
    <w:p w14:paraId="318F9916" w14:textId="1D2CE4AC" w:rsidR="00CC465D" w:rsidRPr="004A378A" w:rsidRDefault="00C43245" w:rsidP="00940BC3">
      <w:pPr>
        <w:spacing w:before="120" w:after="120" w:line="259" w:lineRule="auto"/>
        <w:ind w:left="720" w:right="0" w:hanging="720"/>
        <w:rPr>
          <w:b/>
          <w:bCs/>
          <w:i/>
          <w:iCs/>
        </w:rPr>
      </w:pPr>
      <w:r w:rsidRPr="004A378A">
        <w:rPr>
          <w:b/>
          <w:bCs/>
        </w:rPr>
        <w:t xml:space="preserve">Table </w:t>
      </w:r>
      <w:r w:rsidR="001130AC">
        <w:rPr>
          <w:b/>
          <w:bCs/>
        </w:rPr>
        <w:t>2</w:t>
      </w:r>
      <w:r w:rsidRPr="004A378A">
        <w:rPr>
          <w:b/>
          <w:bCs/>
        </w:rPr>
        <w:t xml:space="preserve">. Influence </w:t>
      </w:r>
      <w:r w:rsidR="00A16279">
        <w:rPr>
          <w:b/>
          <w:bCs/>
        </w:rPr>
        <w:t>o</w:t>
      </w:r>
      <w:r w:rsidR="00A16279" w:rsidRPr="004A378A">
        <w:rPr>
          <w:b/>
          <w:bCs/>
        </w:rPr>
        <w:t xml:space="preserve">f Biochar </w:t>
      </w:r>
      <w:r w:rsidR="00A16279">
        <w:rPr>
          <w:b/>
          <w:bCs/>
        </w:rPr>
        <w:t>i</w:t>
      </w:r>
      <w:r w:rsidR="00A16279" w:rsidRPr="004A378A">
        <w:rPr>
          <w:b/>
          <w:bCs/>
        </w:rPr>
        <w:t xml:space="preserve">n </w:t>
      </w:r>
      <w:r w:rsidR="00A16279">
        <w:rPr>
          <w:b/>
          <w:bCs/>
        </w:rPr>
        <w:t>t</w:t>
      </w:r>
      <w:r w:rsidR="00A16279" w:rsidRPr="004A378A">
        <w:rPr>
          <w:b/>
          <w:bCs/>
        </w:rPr>
        <w:t xml:space="preserve">he Production </w:t>
      </w:r>
      <w:r w:rsidR="00A16279">
        <w:rPr>
          <w:b/>
          <w:bCs/>
        </w:rPr>
        <w:t>o</w:t>
      </w:r>
      <w:r w:rsidR="00A16279" w:rsidRPr="004A378A">
        <w:rPr>
          <w:b/>
          <w:bCs/>
        </w:rPr>
        <w:t xml:space="preserve">f Quality Seedling </w:t>
      </w:r>
      <w:r w:rsidR="00A16279">
        <w:rPr>
          <w:b/>
          <w:bCs/>
        </w:rPr>
        <w:t>o</w:t>
      </w:r>
      <w:r w:rsidR="00A16279" w:rsidRPr="004A378A">
        <w:rPr>
          <w:b/>
          <w:bCs/>
        </w:rPr>
        <w:t xml:space="preserve">f Important </w:t>
      </w:r>
      <w:r w:rsidR="00A16279">
        <w:rPr>
          <w:b/>
          <w:bCs/>
        </w:rPr>
        <w:t xml:space="preserve">  Tropical</w:t>
      </w:r>
      <w:r w:rsidR="00A16279" w:rsidRPr="004A378A">
        <w:rPr>
          <w:b/>
          <w:bCs/>
        </w:rPr>
        <w:t xml:space="preserve"> </w:t>
      </w:r>
      <w:r w:rsidR="00A16279">
        <w:rPr>
          <w:b/>
          <w:bCs/>
        </w:rPr>
        <w:t>Tree</w:t>
      </w:r>
      <w:r w:rsidR="00A16279" w:rsidRPr="004A378A">
        <w:rPr>
          <w:b/>
          <w:bCs/>
        </w:rPr>
        <w:t xml:space="preserve"> Species</w:t>
      </w:r>
    </w:p>
    <w:tbl>
      <w:tblPr>
        <w:tblStyle w:val="TableGrid0"/>
        <w:tblW w:w="0" w:type="auto"/>
        <w:tblLayout w:type="fixed"/>
        <w:tblLook w:val="04A0" w:firstRow="1" w:lastRow="0" w:firstColumn="1" w:lastColumn="0" w:noHBand="0" w:noVBand="1"/>
      </w:tblPr>
      <w:tblGrid>
        <w:gridCol w:w="571"/>
        <w:gridCol w:w="1522"/>
        <w:gridCol w:w="1701"/>
        <w:gridCol w:w="3402"/>
        <w:gridCol w:w="1843"/>
      </w:tblGrid>
      <w:tr w:rsidR="00060F52" w:rsidRPr="004A378A" w14:paraId="78A43035" w14:textId="77777777" w:rsidTr="00CA04CD">
        <w:tc>
          <w:tcPr>
            <w:tcW w:w="571" w:type="dxa"/>
          </w:tcPr>
          <w:p w14:paraId="535B3F4F" w14:textId="2F5D903C" w:rsidR="00473919" w:rsidRPr="004A378A" w:rsidRDefault="00473919" w:rsidP="00940BC3">
            <w:pPr>
              <w:spacing w:before="120" w:after="120" w:line="259" w:lineRule="auto"/>
              <w:ind w:left="0" w:right="0" w:firstLine="0"/>
              <w:jc w:val="center"/>
              <w:rPr>
                <w:b/>
                <w:bCs/>
              </w:rPr>
            </w:pPr>
            <w:r w:rsidRPr="004A378A">
              <w:rPr>
                <w:b/>
                <w:bCs/>
              </w:rPr>
              <w:t>Sr. no</w:t>
            </w:r>
          </w:p>
        </w:tc>
        <w:tc>
          <w:tcPr>
            <w:tcW w:w="1522" w:type="dxa"/>
          </w:tcPr>
          <w:p w14:paraId="6E9890B0" w14:textId="0AFE4614" w:rsidR="00473919" w:rsidRPr="004A378A" w:rsidRDefault="00473919" w:rsidP="00940BC3">
            <w:pPr>
              <w:spacing w:before="120" w:after="120" w:line="259" w:lineRule="auto"/>
              <w:ind w:left="0" w:right="0" w:firstLine="0"/>
              <w:jc w:val="center"/>
              <w:rPr>
                <w:b/>
                <w:bCs/>
                <w:i/>
                <w:iCs/>
              </w:rPr>
            </w:pPr>
            <w:r w:rsidRPr="004A378A">
              <w:rPr>
                <w:rFonts w:eastAsia="Arial"/>
                <w:b/>
                <w:bCs/>
              </w:rPr>
              <w:t xml:space="preserve">Name of </w:t>
            </w:r>
            <w:r w:rsidR="00F30ECF">
              <w:rPr>
                <w:rFonts w:eastAsia="Arial"/>
                <w:b/>
                <w:bCs/>
              </w:rPr>
              <w:t xml:space="preserve">tree </w:t>
            </w:r>
            <w:r w:rsidRPr="004A378A">
              <w:rPr>
                <w:rFonts w:eastAsia="Arial"/>
                <w:b/>
                <w:bCs/>
              </w:rPr>
              <w:t>species</w:t>
            </w:r>
          </w:p>
        </w:tc>
        <w:tc>
          <w:tcPr>
            <w:tcW w:w="1701" w:type="dxa"/>
          </w:tcPr>
          <w:p w14:paraId="6DF3ABB7" w14:textId="6B7BE3F8" w:rsidR="00473919" w:rsidRPr="004A378A" w:rsidRDefault="00F30ECF" w:rsidP="00940BC3">
            <w:pPr>
              <w:spacing w:before="120" w:after="120" w:line="259" w:lineRule="auto"/>
              <w:ind w:left="0" w:right="0" w:firstLine="0"/>
              <w:jc w:val="center"/>
              <w:rPr>
                <w:b/>
                <w:bCs/>
              </w:rPr>
            </w:pPr>
            <w:r>
              <w:rPr>
                <w:b/>
                <w:bCs/>
              </w:rPr>
              <w:t xml:space="preserve">Best treatment of </w:t>
            </w:r>
            <w:r w:rsidR="00473919" w:rsidRPr="004A378A">
              <w:rPr>
                <w:b/>
                <w:bCs/>
              </w:rPr>
              <w:t>Biochar</w:t>
            </w:r>
          </w:p>
        </w:tc>
        <w:tc>
          <w:tcPr>
            <w:tcW w:w="3402" w:type="dxa"/>
          </w:tcPr>
          <w:p w14:paraId="380F8E62" w14:textId="342C77C3" w:rsidR="00473919" w:rsidRPr="004A378A" w:rsidRDefault="00473919" w:rsidP="00940BC3">
            <w:pPr>
              <w:spacing w:before="120" w:after="120" w:line="259" w:lineRule="auto"/>
              <w:ind w:left="0" w:right="0" w:firstLine="0"/>
              <w:jc w:val="center"/>
              <w:rPr>
                <w:b/>
                <w:bCs/>
                <w:i/>
                <w:iCs/>
              </w:rPr>
            </w:pPr>
            <w:r w:rsidRPr="004A378A">
              <w:rPr>
                <w:rFonts w:eastAsia="Arial"/>
                <w:b/>
                <w:bCs/>
              </w:rPr>
              <w:t>Characters of quality seedling production</w:t>
            </w:r>
          </w:p>
        </w:tc>
        <w:tc>
          <w:tcPr>
            <w:tcW w:w="1843" w:type="dxa"/>
          </w:tcPr>
          <w:p w14:paraId="47D605AA" w14:textId="2CDF70A3" w:rsidR="00473919" w:rsidRPr="004A378A" w:rsidRDefault="00473919" w:rsidP="00940BC3">
            <w:pPr>
              <w:spacing w:before="120" w:after="120" w:line="259" w:lineRule="auto"/>
              <w:ind w:left="0" w:right="0" w:firstLine="0"/>
              <w:jc w:val="center"/>
              <w:rPr>
                <w:b/>
                <w:bCs/>
              </w:rPr>
            </w:pPr>
            <w:r w:rsidRPr="004A378A">
              <w:rPr>
                <w:b/>
                <w:bCs/>
              </w:rPr>
              <w:t>Source</w:t>
            </w:r>
          </w:p>
        </w:tc>
      </w:tr>
      <w:tr w:rsidR="00060F52" w:rsidRPr="004A378A" w14:paraId="4D451A7F" w14:textId="77777777" w:rsidTr="00CA04CD">
        <w:tc>
          <w:tcPr>
            <w:tcW w:w="571" w:type="dxa"/>
          </w:tcPr>
          <w:p w14:paraId="4DDA5F35" w14:textId="761A9EE4" w:rsidR="00473919" w:rsidRPr="004A378A" w:rsidRDefault="007D0D8D" w:rsidP="007458FB">
            <w:pPr>
              <w:spacing w:before="120" w:after="120" w:line="259" w:lineRule="auto"/>
              <w:ind w:left="0" w:right="0" w:firstLine="0"/>
            </w:pPr>
            <w:r w:rsidRPr="004A378A">
              <w:t>1</w:t>
            </w:r>
          </w:p>
        </w:tc>
        <w:tc>
          <w:tcPr>
            <w:tcW w:w="1522" w:type="dxa"/>
          </w:tcPr>
          <w:p w14:paraId="4D835B21" w14:textId="186A7EF5" w:rsidR="00473919" w:rsidRPr="004A378A" w:rsidRDefault="00DA7AB7" w:rsidP="007458FB">
            <w:pPr>
              <w:spacing w:before="120" w:after="120" w:line="259" w:lineRule="auto"/>
              <w:ind w:left="0" w:right="0" w:firstLine="0"/>
              <w:rPr>
                <w:i/>
                <w:iCs/>
              </w:rPr>
            </w:pPr>
            <w:r w:rsidRPr="004A378A">
              <w:rPr>
                <w:i/>
                <w:iCs/>
              </w:rPr>
              <w:t xml:space="preserve">Acacia </w:t>
            </w:r>
            <w:proofErr w:type="spellStart"/>
            <w:r w:rsidRPr="004A378A">
              <w:rPr>
                <w:i/>
                <w:iCs/>
              </w:rPr>
              <w:t>mangium</w:t>
            </w:r>
            <w:proofErr w:type="spellEnd"/>
          </w:p>
        </w:tc>
        <w:tc>
          <w:tcPr>
            <w:tcW w:w="1701" w:type="dxa"/>
          </w:tcPr>
          <w:p w14:paraId="434BE9E3" w14:textId="0E881D5B" w:rsidR="00473919" w:rsidRPr="004A378A" w:rsidRDefault="00DA7AB7" w:rsidP="007458FB">
            <w:pPr>
              <w:spacing w:before="120" w:after="120" w:line="259" w:lineRule="auto"/>
              <w:ind w:left="0" w:right="0" w:firstLine="0"/>
              <w:rPr>
                <w:i/>
                <w:iCs/>
              </w:rPr>
            </w:pPr>
            <w:r w:rsidRPr="004A378A">
              <w:rPr>
                <w:i/>
                <w:iCs/>
              </w:rPr>
              <w:t xml:space="preserve">A. </w:t>
            </w:r>
            <w:proofErr w:type="spellStart"/>
            <w:r w:rsidRPr="004A378A">
              <w:rPr>
                <w:i/>
                <w:iCs/>
              </w:rPr>
              <w:t>mangium</w:t>
            </w:r>
            <w:proofErr w:type="spellEnd"/>
            <w:r w:rsidRPr="004A378A">
              <w:rPr>
                <w:i/>
                <w:iCs/>
              </w:rPr>
              <w:t xml:space="preserve"> </w:t>
            </w:r>
            <w:r w:rsidR="00887A6B" w:rsidRPr="00887A6B">
              <w:t>wood</w:t>
            </w:r>
            <w:r w:rsidR="00887A6B">
              <w:rPr>
                <w:i/>
                <w:iCs/>
              </w:rPr>
              <w:t xml:space="preserve"> </w:t>
            </w:r>
            <w:r w:rsidRPr="004A378A">
              <w:t>biochar</w:t>
            </w:r>
            <w:r w:rsidR="009C6B0D">
              <w:t xml:space="preserve"> (40 t ha</w:t>
            </w:r>
            <w:r w:rsidR="009C6B0D" w:rsidRPr="009C6B0D">
              <w:rPr>
                <w:vertAlign w:val="superscript"/>
              </w:rPr>
              <w:t>-1</w:t>
            </w:r>
            <w:r w:rsidR="009C6B0D">
              <w:t>)</w:t>
            </w:r>
            <w:r w:rsidR="00FB15A3">
              <w:t xml:space="preserve"> </w:t>
            </w:r>
            <w:r w:rsidRPr="004A378A">
              <w:t>with synthetic fertilizer</w:t>
            </w:r>
            <w:r w:rsidR="009C6B0D">
              <w:t xml:space="preserve"> (50 %) dose</w:t>
            </w:r>
          </w:p>
        </w:tc>
        <w:tc>
          <w:tcPr>
            <w:tcW w:w="3402" w:type="dxa"/>
          </w:tcPr>
          <w:p w14:paraId="52588EB1" w14:textId="5CB826DF" w:rsidR="00473919" w:rsidRPr="004A378A" w:rsidRDefault="00887A6B" w:rsidP="007458FB">
            <w:pPr>
              <w:spacing w:before="120" w:after="120" w:line="259" w:lineRule="auto"/>
              <w:ind w:left="0" w:right="0" w:firstLine="0"/>
              <w:rPr>
                <w:i/>
                <w:iCs/>
              </w:rPr>
            </w:pPr>
            <w:r>
              <w:t>Exhibited m</w:t>
            </w:r>
            <w:r w:rsidR="00DA7AB7" w:rsidRPr="004A378A">
              <w:t xml:space="preserve">aximum </w:t>
            </w:r>
            <w:r w:rsidR="00F30ECF">
              <w:t>s</w:t>
            </w:r>
            <w:r w:rsidR="00DA7AB7" w:rsidRPr="004A378A">
              <w:t>eedling growth, biomass allocation and D</w:t>
            </w:r>
            <w:r w:rsidR="002C31C7" w:rsidRPr="004A378A">
              <w:t>QI</w:t>
            </w:r>
          </w:p>
        </w:tc>
        <w:tc>
          <w:tcPr>
            <w:tcW w:w="1843" w:type="dxa"/>
          </w:tcPr>
          <w:p w14:paraId="2A67055A" w14:textId="614A315D" w:rsidR="00473919" w:rsidRPr="004A378A" w:rsidRDefault="00DA7AB7" w:rsidP="007458FB">
            <w:pPr>
              <w:spacing w:before="120" w:after="120" w:line="259" w:lineRule="auto"/>
              <w:ind w:left="0" w:right="0" w:firstLine="0"/>
              <w:rPr>
                <w:i/>
                <w:iCs/>
              </w:rPr>
            </w:pPr>
            <w:r w:rsidRPr="004A378A">
              <w:t xml:space="preserve">Moreno </w:t>
            </w:r>
            <w:r w:rsidRPr="00344CD7">
              <w:t>et al</w:t>
            </w:r>
            <w:r w:rsidRPr="004A378A">
              <w:rPr>
                <w:i/>
                <w:iCs/>
              </w:rPr>
              <w:t>.</w:t>
            </w:r>
            <w:r w:rsidRPr="004A378A">
              <w:t xml:space="preserve"> (2021)</w:t>
            </w:r>
          </w:p>
        </w:tc>
      </w:tr>
      <w:tr w:rsidR="00060F52" w:rsidRPr="004A378A" w14:paraId="7911E9F3" w14:textId="77777777" w:rsidTr="00CA04CD">
        <w:tc>
          <w:tcPr>
            <w:tcW w:w="571" w:type="dxa"/>
          </w:tcPr>
          <w:p w14:paraId="6F165AF1" w14:textId="4F337A13" w:rsidR="007D0D8D" w:rsidRPr="004A378A" w:rsidRDefault="007D0D8D" w:rsidP="007458FB">
            <w:pPr>
              <w:spacing w:before="120" w:after="120" w:line="259" w:lineRule="auto"/>
              <w:ind w:left="0" w:right="0" w:firstLine="0"/>
            </w:pPr>
            <w:r w:rsidRPr="004A378A">
              <w:t>2</w:t>
            </w:r>
          </w:p>
        </w:tc>
        <w:tc>
          <w:tcPr>
            <w:tcW w:w="1522" w:type="dxa"/>
          </w:tcPr>
          <w:p w14:paraId="47ABC377" w14:textId="12D21761" w:rsidR="00473919" w:rsidRPr="004A378A" w:rsidRDefault="00DA7AB7" w:rsidP="007458FB">
            <w:pPr>
              <w:spacing w:before="120" w:after="120" w:line="259" w:lineRule="auto"/>
              <w:ind w:left="0" w:right="0" w:firstLine="0"/>
              <w:rPr>
                <w:i/>
                <w:iCs/>
              </w:rPr>
            </w:pPr>
            <w:r w:rsidRPr="004A378A">
              <w:rPr>
                <w:i/>
                <w:iCs/>
              </w:rPr>
              <w:t xml:space="preserve">Eucalyptus </w:t>
            </w:r>
            <w:proofErr w:type="spellStart"/>
            <w:r w:rsidRPr="004A378A">
              <w:rPr>
                <w:i/>
                <w:iCs/>
              </w:rPr>
              <w:t>grandis</w:t>
            </w:r>
            <w:proofErr w:type="spellEnd"/>
          </w:p>
        </w:tc>
        <w:tc>
          <w:tcPr>
            <w:tcW w:w="1701" w:type="dxa"/>
          </w:tcPr>
          <w:p w14:paraId="23768612" w14:textId="1374AB78" w:rsidR="00473919" w:rsidRPr="004A378A" w:rsidRDefault="00DA7AB7" w:rsidP="007458FB">
            <w:pPr>
              <w:spacing w:before="120" w:after="120" w:line="259" w:lineRule="auto"/>
              <w:ind w:left="0" w:right="0" w:firstLine="0"/>
              <w:rPr>
                <w:i/>
                <w:iCs/>
              </w:rPr>
            </w:pPr>
            <w:r w:rsidRPr="004A378A">
              <w:t>Sewage sludge biochar</w:t>
            </w:r>
          </w:p>
        </w:tc>
        <w:tc>
          <w:tcPr>
            <w:tcW w:w="3402" w:type="dxa"/>
          </w:tcPr>
          <w:p w14:paraId="00E98844" w14:textId="7B811295" w:rsidR="00DA7AB7" w:rsidRPr="004A378A" w:rsidRDefault="00887A6B" w:rsidP="007458FB">
            <w:pPr>
              <w:spacing w:before="120" w:after="120" w:line="259" w:lineRule="auto"/>
              <w:ind w:left="0" w:right="0" w:firstLine="0"/>
            </w:pPr>
            <w:r>
              <w:t>Recorded higher</w:t>
            </w:r>
            <w:r w:rsidR="00DA7AB7" w:rsidRPr="004A378A">
              <w:t xml:space="preserve"> plant height, stem diameter, shoot dry mass and root biomass</w:t>
            </w:r>
          </w:p>
          <w:p w14:paraId="15023237" w14:textId="77777777" w:rsidR="00473919" w:rsidRPr="004A378A" w:rsidRDefault="00473919" w:rsidP="007458FB">
            <w:pPr>
              <w:spacing w:before="120" w:after="120" w:line="259" w:lineRule="auto"/>
              <w:ind w:left="0" w:right="0" w:firstLine="0"/>
              <w:rPr>
                <w:i/>
                <w:iCs/>
              </w:rPr>
            </w:pPr>
          </w:p>
        </w:tc>
        <w:tc>
          <w:tcPr>
            <w:tcW w:w="1843" w:type="dxa"/>
          </w:tcPr>
          <w:p w14:paraId="104D1B03" w14:textId="36900ED9" w:rsidR="00473919" w:rsidRPr="004A378A" w:rsidRDefault="00DA7AB7" w:rsidP="007458FB">
            <w:pPr>
              <w:spacing w:before="120" w:after="120" w:line="259" w:lineRule="auto"/>
              <w:ind w:left="0" w:right="0" w:firstLine="0"/>
              <w:rPr>
                <w:i/>
                <w:iCs/>
              </w:rPr>
            </w:pPr>
            <w:r w:rsidRPr="004A378A">
              <w:lastRenderedPageBreak/>
              <w:t xml:space="preserve">Silva </w:t>
            </w:r>
            <w:r w:rsidRPr="00344CD7">
              <w:t>et al</w:t>
            </w:r>
            <w:r w:rsidRPr="004A378A">
              <w:rPr>
                <w:i/>
                <w:iCs/>
              </w:rPr>
              <w:t>.</w:t>
            </w:r>
            <w:r w:rsidRPr="004A378A">
              <w:t xml:space="preserve"> (2017)</w:t>
            </w:r>
          </w:p>
        </w:tc>
      </w:tr>
      <w:tr w:rsidR="00060F52" w:rsidRPr="004A378A" w14:paraId="140F067D" w14:textId="77777777" w:rsidTr="00CA04CD">
        <w:tc>
          <w:tcPr>
            <w:tcW w:w="571" w:type="dxa"/>
          </w:tcPr>
          <w:p w14:paraId="3F490165" w14:textId="4ACD6AD3" w:rsidR="00473919" w:rsidRPr="004A378A" w:rsidRDefault="007D0D8D" w:rsidP="007458FB">
            <w:pPr>
              <w:spacing w:before="120" w:after="120" w:line="259" w:lineRule="auto"/>
              <w:ind w:left="0" w:right="0" w:firstLine="0"/>
              <w:rPr>
                <w:i/>
                <w:iCs/>
              </w:rPr>
            </w:pPr>
            <w:r w:rsidRPr="004A378A">
              <w:rPr>
                <w:i/>
                <w:iCs/>
              </w:rPr>
              <w:t xml:space="preserve"> </w:t>
            </w:r>
            <w:r w:rsidR="002C31C7" w:rsidRPr="004A378A">
              <w:rPr>
                <w:i/>
                <w:iCs/>
              </w:rPr>
              <w:t>3</w:t>
            </w:r>
          </w:p>
        </w:tc>
        <w:tc>
          <w:tcPr>
            <w:tcW w:w="1522" w:type="dxa"/>
          </w:tcPr>
          <w:p w14:paraId="6EC74BBE" w14:textId="40BA12A0" w:rsidR="00473919" w:rsidRPr="004A378A" w:rsidRDefault="002C31C7" w:rsidP="007458FB">
            <w:pPr>
              <w:spacing w:before="120" w:after="120" w:line="259" w:lineRule="auto"/>
              <w:ind w:left="0" w:right="0" w:firstLine="0"/>
              <w:rPr>
                <w:i/>
                <w:iCs/>
              </w:rPr>
            </w:pPr>
            <w:r w:rsidRPr="004A378A">
              <w:rPr>
                <w:i/>
                <w:iCs/>
              </w:rPr>
              <w:t xml:space="preserve">Eucalyptus </w:t>
            </w:r>
            <w:proofErr w:type="spellStart"/>
            <w:r w:rsidRPr="004A378A">
              <w:rPr>
                <w:i/>
                <w:iCs/>
              </w:rPr>
              <w:t>citriodora</w:t>
            </w:r>
            <w:proofErr w:type="spellEnd"/>
          </w:p>
        </w:tc>
        <w:tc>
          <w:tcPr>
            <w:tcW w:w="1701" w:type="dxa"/>
          </w:tcPr>
          <w:p w14:paraId="6EB19FDF" w14:textId="0B025BC9" w:rsidR="00473919" w:rsidRPr="00887A6B" w:rsidRDefault="002C31C7" w:rsidP="007458FB">
            <w:pPr>
              <w:spacing w:before="120" w:after="120" w:line="259" w:lineRule="auto"/>
              <w:ind w:left="0" w:right="0" w:firstLine="0"/>
            </w:pPr>
            <w:r w:rsidRPr="00887A6B">
              <w:t>Biochar</w:t>
            </w:r>
            <w:r w:rsidR="00092F90">
              <w:t xml:space="preserve"> (7.5 % dose)</w:t>
            </w:r>
          </w:p>
        </w:tc>
        <w:tc>
          <w:tcPr>
            <w:tcW w:w="3402" w:type="dxa"/>
          </w:tcPr>
          <w:p w14:paraId="2F4F24ED" w14:textId="6406903A" w:rsidR="00473919" w:rsidRPr="004A378A" w:rsidRDefault="002C31C7" w:rsidP="007458FB">
            <w:pPr>
              <w:spacing w:before="120" w:after="120" w:line="259" w:lineRule="auto"/>
              <w:ind w:left="0" w:right="0" w:firstLine="0"/>
              <w:rPr>
                <w:i/>
                <w:iCs/>
              </w:rPr>
            </w:pPr>
            <w:r w:rsidRPr="004A378A">
              <w:t xml:space="preserve">Enhance growth parameters </w:t>
            </w:r>
            <w:r w:rsidR="00FB15A3" w:rsidRPr="004A378A">
              <w:t>and shoot</w:t>
            </w:r>
            <w:r w:rsidRPr="004A378A">
              <w:t xml:space="preserve"> dry mass, root dry mass and DQI</w:t>
            </w:r>
          </w:p>
        </w:tc>
        <w:tc>
          <w:tcPr>
            <w:tcW w:w="1843" w:type="dxa"/>
          </w:tcPr>
          <w:p w14:paraId="0A4855C4" w14:textId="1857A5BC" w:rsidR="00473919" w:rsidRPr="004A378A" w:rsidRDefault="00DA7AB7" w:rsidP="007458FB">
            <w:pPr>
              <w:spacing w:before="120" w:after="120" w:line="259" w:lineRule="auto"/>
              <w:ind w:left="0" w:right="0" w:firstLine="0"/>
              <w:rPr>
                <w:i/>
                <w:iCs/>
              </w:rPr>
            </w:pPr>
            <w:proofErr w:type="spellStart"/>
            <w:r w:rsidRPr="004A378A">
              <w:t>Petter</w:t>
            </w:r>
            <w:proofErr w:type="spellEnd"/>
            <w:r w:rsidRPr="004A378A">
              <w:t xml:space="preserve"> </w:t>
            </w:r>
            <w:r w:rsidRPr="00344CD7">
              <w:t>et al</w:t>
            </w:r>
            <w:r w:rsidRPr="004A378A">
              <w:rPr>
                <w:i/>
                <w:iCs/>
              </w:rPr>
              <w:t>.</w:t>
            </w:r>
            <w:r w:rsidRPr="004A378A">
              <w:t xml:space="preserve"> (2012)</w:t>
            </w:r>
          </w:p>
        </w:tc>
      </w:tr>
      <w:tr w:rsidR="00060F52" w:rsidRPr="004A378A" w14:paraId="244B04E6" w14:textId="77777777" w:rsidTr="00CA04CD">
        <w:tc>
          <w:tcPr>
            <w:tcW w:w="571" w:type="dxa"/>
          </w:tcPr>
          <w:p w14:paraId="1F78AB6D" w14:textId="4587F386" w:rsidR="00473919" w:rsidRPr="004A378A" w:rsidRDefault="002C31C7" w:rsidP="007458FB">
            <w:pPr>
              <w:spacing w:before="120" w:after="120" w:line="259" w:lineRule="auto"/>
              <w:ind w:left="0" w:right="0" w:firstLine="0"/>
              <w:rPr>
                <w:i/>
                <w:iCs/>
              </w:rPr>
            </w:pPr>
            <w:r w:rsidRPr="004A378A">
              <w:rPr>
                <w:i/>
                <w:iCs/>
              </w:rPr>
              <w:t>4</w:t>
            </w:r>
          </w:p>
        </w:tc>
        <w:tc>
          <w:tcPr>
            <w:tcW w:w="1522" w:type="dxa"/>
          </w:tcPr>
          <w:p w14:paraId="7355290B" w14:textId="72DA7C6B" w:rsidR="00473919" w:rsidRPr="004A378A" w:rsidRDefault="002C31C7" w:rsidP="007458FB">
            <w:pPr>
              <w:spacing w:before="120" w:after="120" w:line="259" w:lineRule="auto"/>
              <w:ind w:left="0" w:right="0" w:firstLine="0"/>
              <w:rPr>
                <w:i/>
                <w:iCs/>
              </w:rPr>
            </w:pPr>
            <w:proofErr w:type="spellStart"/>
            <w:r w:rsidRPr="004A378A">
              <w:rPr>
                <w:i/>
                <w:iCs/>
              </w:rPr>
              <w:t>Faidherbia</w:t>
            </w:r>
            <w:proofErr w:type="spellEnd"/>
            <w:r w:rsidRPr="004A378A">
              <w:rPr>
                <w:i/>
                <w:iCs/>
              </w:rPr>
              <w:t xml:space="preserve"> </w:t>
            </w:r>
            <w:proofErr w:type="spellStart"/>
            <w:r w:rsidRPr="004A378A">
              <w:rPr>
                <w:i/>
                <w:iCs/>
              </w:rPr>
              <w:t>albida</w:t>
            </w:r>
            <w:proofErr w:type="spellEnd"/>
          </w:p>
        </w:tc>
        <w:tc>
          <w:tcPr>
            <w:tcW w:w="1701" w:type="dxa"/>
          </w:tcPr>
          <w:p w14:paraId="251490E5" w14:textId="5D3F4A97" w:rsidR="00473919" w:rsidRPr="004A378A" w:rsidRDefault="002C31C7" w:rsidP="007458FB">
            <w:pPr>
              <w:spacing w:before="120" w:after="120" w:line="259" w:lineRule="auto"/>
              <w:ind w:left="0" w:right="0" w:firstLine="0"/>
              <w:rPr>
                <w:i/>
                <w:iCs/>
              </w:rPr>
            </w:pPr>
            <w:r w:rsidRPr="004A378A">
              <w:t>Local soil with Biochar of sawdust 300 °C in ratio</w:t>
            </w:r>
            <w:r w:rsidR="008E1177">
              <w:t>s</w:t>
            </w:r>
            <w:r w:rsidRPr="004A378A">
              <w:t xml:space="preserve"> of </w:t>
            </w:r>
            <w:r w:rsidR="009C6B0D">
              <w:t>(</w:t>
            </w:r>
            <w:r w:rsidRPr="004A378A">
              <w:t>3:1</w:t>
            </w:r>
            <w:r w:rsidR="009C6B0D">
              <w:t>)</w:t>
            </w:r>
          </w:p>
        </w:tc>
        <w:tc>
          <w:tcPr>
            <w:tcW w:w="3402" w:type="dxa"/>
          </w:tcPr>
          <w:p w14:paraId="21076B73" w14:textId="1A308A57" w:rsidR="00473919" w:rsidRPr="004A378A" w:rsidRDefault="00092F90" w:rsidP="007458FB">
            <w:pPr>
              <w:spacing w:before="120" w:after="120" w:line="259" w:lineRule="auto"/>
              <w:ind w:left="0" w:right="0" w:firstLine="0"/>
              <w:rPr>
                <w:i/>
                <w:iCs/>
              </w:rPr>
            </w:pPr>
            <w:r>
              <w:t>M</w:t>
            </w:r>
            <w:r w:rsidR="002C31C7" w:rsidRPr="004A378A">
              <w:t>aximum growth and survivability</w:t>
            </w:r>
          </w:p>
        </w:tc>
        <w:tc>
          <w:tcPr>
            <w:tcW w:w="1843" w:type="dxa"/>
          </w:tcPr>
          <w:p w14:paraId="34B1CE7B" w14:textId="18A86D35" w:rsidR="00473919" w:rsidRPr="004A378A" w:rsidRDefault="002C31C7" w:rsidP="007458FB">
            <w:pPr>
              <w:spacing w:before="120" w:after="120" w:line="259" w:lineRule="auto"/>
              <w:ind w:left="0" w:right="0" w:firstLine="0"/>
              <w:rPr>
                <w:i/>
                <w:iCs/>
              </w:rPr>
            </w:pPr>
            <w:proofErr w:type="spellStart"/>
            <w:r w:rsidRPr="004A378A">
              <w:t>Fekadu</w:t>
            </w:r>
            <w:proofErr w:type="spellEnd"/>
            <w:r w:rsidRPr="004A378A">
              <w:t xml:space="preserve"> </w:t>
            </w:r>
            <w:r w:rsidRPr="00344CD7">
              <w:t>et al</w:t>
            </w:r>
            <w:r w:rsidRPr="004A378A">
              <w:t>. (2024)</w:t>
            </w:r>
          </w:p>
        </w:tc>
      </w:tr>
      <w:tr w:rsidR="00060F52" w:rsidRPr="004A378A" w14:paraId="79277EB5" w14:textId="77777777" w:rsidTr="00CA04CD">
        <w:tc>
          <w:tcPr>
            <w:tcW w:w="571" w:type="dxa"/>
          </w:tcPr>
          <w:p w14:paraId="6D07B894" w14:textId="49FEE731" w:rsidR="00473919" w:rsidRPr="004A378A" w:rsidRDefault="002C31C7" w:rsidP="007458FB">
            <w:pPr>
              <w:spacing w:before="120" w:after="120" w:line="259" w:lineRule="auto"/>
              <w:ind w:left="0" w:right="0" w:firstLine="0"/>
              <w:rPr>
                <w:i/>
                <w:iCs/>
              </w:rPr>
            </w:pPr>
            <w:r w:rsidRPr="004A378A">
              <w:rPr>
                <w:i/>
                <w:iCs/>
              </w:rPr>
              <w:t>5</w:t>
            </w:r>
          </w:p>
        </w:tc>
        <w:tc>
          <w:tcPr>
            <w:tcW w:w="1522" w:type="dxa"/>
          </w:tcPr>
          <w:p w14:paraId="5C40FB7A" w14:textId="3D50683B" w:rsidR="00473919" w:rsidRPr="004A378A" w:rsidRDefault="002C31C7" w:rsidP="007458FB">
            <w:pPr>
              <w:spacing w:before="120" w:after="120" w:line="259" w:lineRule="auto"/>
              <w:ind w:left="0" w:right="0" w:firstLine="0"/>
              <w:rPr>
                <w:i/>
                <w:iCs/>
              </w:rPr>
            </w:pPr>
            <w:r w:rsidRPr="004A378A">
              <w:rPr>
                <w:i/>
                <w:iCs/>
              </w:rPr>
              <w:t>Melia azedarach</w:t>
            </w:r>
          </w:p>
        </w:tc>
        <w:tc>
          <w:tcPr>
            <w:tcW w:w="1701" w:type="dxa"/>
          </w:tcPr>
          <w:p w14:paraId="43FC5EF2" w14:textId="2337A574" w:rsidR="00473919" w:rsidRPr="004A378A" w:rsidRDefault="002C31C7" w:rsidP="007458FB">
            <w:pPr>
              <w:spacing w:before="120" w:after="120" w:line="259" w:lineRule="auto"/>
              <w:ind w:left="0" w:right="0" w:firstLine="0"/>
              <w:rPr>
                <w:i/>
                <w:iCs/>
              </w:rPr>
            </w:pPr>
            <w:r w:rsidRPr="004A378A">
              <w:t>Biochar</w:t>
            </w:r>
            <w:r w:rsidR="00092F90">
              <w:t xml:space="preserve"> (10 % dose)</w:t>
            </w:r>
            <w:r w:rsidRPr="004A378A">
              <w:t xml:space="preserve"> with </w:t>
            </w:r>
            <w:proofErr w:type="spellStart"/>
            <w:r w:rsidRPr="004A378A">
              <w:rPr>
                <w:i/>
                <w:iCs/>
              </w:rPr>
              <w:t>Gigaspora</w:t>
            </w:r>
            <w:proofErr w:type="spellEnd"/>
            <w:r w:rsidRPr="004A378A">
              <w:rPr>
                <w:i/>
                <w:iCs/>
              </w:rPr>
              <w:t xml:space="preserve"> margarita</w:t>
            </w:r>
            <w:r w:rsidR="00092F90">
              <w:rPr>
                <w:i/>
                <w:iCs/>
              </w:rPr>
              <w:t xml:space="preserve"> and </w:t>
            </w:r>
            <w:proofErr w:type="spellStart"/>
            <w:r w:rsidR="00092F90" w:rsidRPr="004A378A">
              <w:rPr>
                <w:i/>
                <w:iCs/>
              </w:rPr>
              <w:t>Gigaspora</w:t>
            </w:r>
            <w:proofErr w:type="spellEnd"/>
            <w:r w:rsidR="00092F90">
              <w:rPr>
                <w:i/>
                <w:iCs/>
              </w:rPr>
              <w:t xml:space="preserve"> </w:t>
            </w:r>
            <w:proofErr w:type="spellStart"/>
            <w:proofErr w:type="gramStart"/>
            <w:r w:rsidR="00092F90">
              <w:rPr>
                <w:i/>
                <w:iCs/>
              </w:rPr>
              <w:t>etunicatum</w:t>
            </w:r>
            <w:proofErr w:type="spellEnd"/>
            <w:r w:rsidR="00092F90">
              <w:rPr>
                <w:i/>
                <w:iCs/>
              </w:rPr>
              <w:t xml:space="preserve"> </w:t>
            </w:r>
            <w:r w:rsidRPr="004A378A">
              <w:rPr>
                <w:i/>
                <w:iCs/>
              </w:rPr>
              <w:t xml:space="preserve"> </w:t>
            </w:r>
            <w:r w:rsidRPr="004A378A">
              <w:t>arbuscular</w:t>
            </w:r>
            <w:proofErr w:type="gramEnd"/>
            <w:r w:rsidRPr="004A378A">
              <w:t xml:space="preserve"> mycorrhizal fungi</w:t>
            </w:r>
          </w:p>
        </w:tc>
        <w:tc>
          <w:tcPr>
            <w:tcW w:w="3402" w:type="dxa"/>
          </w:tcPr>
          <w:p w14:paraId="43D34BC5" w14:textId="1C73F541" w:rsidR="00473919" w:rsidRPr="004A378A" w:rsidRDefault="00F44EA4" w:rsidP="007458FB">
            <w:pPr>
              <w:spacing w:before="120" w:after="120" w:line="259" w:lineRule="auto"/>
              <w:ind w:left="0" w:right="0" w:firstLine="0"/>
              <w:rPr>
                <w:i/>
                <w:iCs/>
              </w:rPr>
            </w:pPr>
            <w:r w:rsidRPr="004A378A">
              <w:t xml:space="preserve">Exhibited </w:t>
            </w:r>
            <w:r w:rsidR="002C31C7" w:rsidRPr="004A378A">
              <w:t>maximum shoot dry biomass</w:t>
            </w:r>
            <w:r w:rsidRPr="004A378A">
              <w:t>,</w:t>
            </w:r>
            <w:r w:rsidR="002C31C7" w:rsidRPr="004A378A">
              <w:t xml:space="preserve"> root dry biomass and higher</w:t>
            </w:r>
            <w:r w:rsidRPr="004A378A">
              <w:t xml:space="preserve"> </w:t>
            </w:r>
            <w:r w:rsidR="002C31C7" w:rsidRPr="004A378A">
              <w:t>SQI</w:t>
            </w:r>
          </w:p>
        </w:tc>
        <w:tc>
          <w:tcPr>
            <w:tcW w:w="1843" w:type="dxa"/>
          </w:tcPr>
          <w:p w14:paraId="1C0EA6F3" w14:textId="1ABF4EC9" w:rsidR="00473919" w:rsidRPr="004A378A" w:rsidRDefault="002C31C7" w:rsidP="007458FB">
            <w:pPr>
              <w:spacing w:before="120" w:after="120" w:line="259" w:lineRule="auto"/>
              <w:ind w:left="0" w:right="0" w:firstLine="0"/>
              <w:rPr>
                <w:i/>
                <w:iCs/>
              </w:rPr>
            </w:pPr>
            <w:r w:rsidRPr="004A378A">
              <w:t xml:space="preserve">Budi and </w:t>
            </w:r>
            <w:proofErr w:type="spellStart"/>
            <w:r w:rsidRPr="004A378A">
              <w:t>Setyaningsih</w:t>
            </w:r>
            <w:proofErr w:type="spellEnd"/>
            <w:r w:rsidRPr="004A378A">
              <w:t xml:space="preserve"> (2013)</w:t>
            </w:r>
          </w:p>
        </w:tc>
      </w:tr>
      <w:tr w:rsidR="00F44EA4" w:rsidRPr="004A378A" w14:paraId="7EFC40CB" w14:textId="77777777" w:rsidTr="00CA04CD">
        <w:tc>
          <w:tcPr>
            <w:tcW w:w="571" w:type="dxa"/>
          </w:tcPr>
          <w:p w14:paraId="5D2471A6" w14:textId="467612D5" w:rsidR="00F44EA4" w:rsidRPr="004A378A" w:rsidRDefault="00F44EA4" w:rsidP="007458FB">
            <w:pPr>
              <w:spacing w:before="120" w:after="120" w:line="259" w:lineRule="auto"/>
              <w:ind w:left="0" w:right="0" w:firstLine="0"/>
              <w:rPr>
                <w:i/>
                <w:iCs/>
              </w:rPr>
            </w:pPr>
            <w:r w:rsidRPr="004A378A">
              <w:rPr>
                <w:i/>
                <w:iCs/>
              </w:rPr>
              <w:t>6</w:t>
            </w:r>
          </w:p>
        </w:tc>
        <w:tc>
          <w:tcPr>
            <w:tcW w:w="1522" w:type="dxa"/>
          </w:tcPr>
          <w:p w14:paraId="5A28C6EB" w14:textId="3B4C2231" w:rsidR="00F44EA4" w:rsidRPr="004A378A" w:rsidRDefault="00F44EA4" w:rsidP="007458FB">
            <w:pPr>
              <w:spacing w:before="120" w:after="120" w:line="259" w:lineRule="auto"/>
              <w:ind w:left="0" w:right="0" w:firstLine="0"/>
              <w:rPr>
                <w:i/>
                <w:iCs/>
              </w:rPr>
            </w:pPr>
            <w:r w:rsidRPr="004A378A">
              <w:rPr>
                <w:i/>
                <w:iCs/>
              </w:rPr>
              <w:t xml:space="preserve">Terminalia </w:t>
            </w:r>
            <w:proofErr w:type="spellStart"/>
            <w:r w:rsidRPr="004A378A">
              <w:rPr>
                <w:i/>
                <w:iCs/>
              </w:rPr>
              <w:t>bellerica</w:t>
            </w:r>
            <w:proofErr w:type="spellEnd"/>
          </w:p>
        </w:tc>
        <w:tc>
          <w:tcPr>
            <w:tcW w:w="1701" w:type="dxa"/>
          </w:tcPr>
          <w:p w14:paraId="69640880" w14:textId="62B1E231" w:rsidR="00F44EA4" w:rsidRPr="004A378A" w:rsidRDefault="00F44EA4" w:rsidP="007458FB">
            <w:pPr>
              <w:spacing w:before="120" w:after="120" w:line="259" w:lineRule="auto"/>
              <w:ind w:left="0" w:right="0" w:firstLine="0"/>
            </w:pPr>
            <w:r w:rsidRPr="004A378A">
              <w:t>Biochar</w:t>
            </w:r>
            <w:r w:rsidR="00092F90">
              <w:t xml:space="preserve"> </w:t>
            </w:r>
            <w:r w:rsidRPr="004A378A">
              <w:t>with soil and FYM</w:t>
            </w:r>
            <w:r w:rsidR="008E1177">
              <w:t xml:space="preserve"> in ratios of (1:1:1)</w:t>
            </w:r>
          </w:p>
        </w:tc>
        <w:tc>
          <w:tcPr>
            <w:tcW w:w="3402" w:type="dxa"/>
          </w:tcPr>
          <w:p w14:paraId="3DA6FC41" w14:textId="7AAC3207" w:rsidR="00F44EA4" w:rsidRPr="004A378A" w:rsidRDefault="00ED7D68" w:rsidP="007458FB">
            <w:pPr>
              <w:spacing w:before="120" w:after="120" w:line="247" w:lineRule="auto"/>
              <w:ind w:left="0" w:right="0" w:firstLine="0"/>
            </w:pPr>
            <w:r w:rsidRPr="004A378A">
              <w:t>Recorded maximum growth parameters such as collar diameter, root length, fresh root weight, dry root weight, dry shoot weight and SQS</w:t>
            </w:r>
          </w:p>
        </w:tc>
        <w:tc>
          <w:tcPr>
            <w:tcW w:w="1843" w:type="dxa"/>
          </w:tcPr>
          <w:p w14:paraId="4A2816B7" w14:textId="298A6B99" w:rsidR="00F44EA4" w:rsidRPr="004A378A" w:rsidRDefault="00F44EA4" w:rsidP="007458FB">
            <w:pPr>
              <w:spacing w:before="120" w:after="120" w:line="259" w:lineRule="auto"/>
              <w:ind w:left="0" w:right="0" w:firstLine="0"/>
            </w:pPr>
            <w:proofErr w:type="spellStart"/>
            <w:r w:rsidRPr="004A378A">
              <w:t>Sherke</w:t>
            </w:r>
            <w:proofErr w:type="spellEnd"/>
            <w:r w:rsidRPr="004A378A">
              <w:t xml:space="preserve"> </w:t>
            </w:r>
            <w:r w:rsidRPr="00344CD7">
              <w:t>et al</w:t>
            </w:r>
            <w:r w:rsidRPr="004A378A">
              <w:t>. (2025)</w:t>
            </w:r>
          </w:p>
        </w:tc>
      </w:tr>
      <w:tr w:rsidR="00F44EA4" w:rsidRPr="004A378A" w14:paraId="0E0487ED" w14:textId="77777777" w:rsidTr="00CA04CD">
        <w:tc>
          <w:tcPr>
            <w:tcW w:w="571" w:type="dxa"/>
          </w:tcPr>
          <w:p w14:paraId="4E66C43C" w14:textId="1216C640" w:rsidR="00F44EA4" w:rsidRPr="004A378A" w:rsidRDefault="00F44EA4" w:rsidP="007458FB">
            <w:pPr>
              <w:spacing w:before="120" w:after="120" w:line="259" w:lineRule="auto"/>
              <w:ind w:left="0" w:right="0" w:firstLine="0"/>
              <w:rPr>
                <w:i/>
                <w:iCs/>
              </w:rPr>
            </w:pPr>
            <w:r w:rsidRPr="004A378A">
              <w:rPr>
                <w:i/>
                <w:iCs/>
              </w:rPr>
              <w:t>7</w:t>
            </w:r>
          </w:p>
        </w:tc>
        <w:tc>
          <w:tcPr>
            <w:tcW w:w="1522" w:type="dxa"/>
          </w:tcPr>
          <w:p w14:paraId="5783038B" w14:textId="3B9E8C61" w:rsidR="00F44EA4" w:rsidRPr="004A378A" w:rsidRDefault="00F44EA4" w:rsidP="007458FB">
            <w:pPr>
              <w:spacing w:before="120" w:after="120" w:line="259" w:lineRule="auto"/>
              <w:ind w:left="0" w:right="0" w:firstLine="0"/>
              <w:rPr>
                <w:i/>
                <w:iCs/>
              </w:rPr>
            </w:pPr>
            <w:proofErr w:type="spellStart"/>
            <w:r w:rsidRPr="004A378A">
              <w:rPr>
                <w:i/>
                <w:iCs/>
              </w:rPr>
              <w:t>Mangifera</w:t>
            </w:r>
            <w:proofErr w:type="spellEnd"/>
            <w:r w:rsidRPr="004A378A">
              <w:rPr>
                <w:i/>
                <w:iCs/>
              </w:rPr>
              <w:t xml:space="preserve"> </w:t>
            </w:r>
            <w:proofErr w:type="spellStart"/>
            <w:r w:rsidRPr="004A378A">
              <w:rPr>
                <w:i/>
                <w:iCs/>
              </w:rPr>
              <w:t>indica</w:t>
            </w:r>
            <w:proofErr w:type="spellEnd"/>
          </w:p>
        </w:tc>
        <w:tc>
          <w:tcPr>
            <w:tcW w:w="1701" w:type="dxa"/>
          </w:tcPr>
          <w:p w14:paraId="582BCBDA" w14:textId="3771856D" w:rsidR="00F44EA4" w:rsidRPr="004A378A" w:rsidRDefault="00F44EA4" w:rsidP="007458FB">
            <w:pPr>
              <w:spacing w:before="120" w:after="120" w:line="259" w:lineRule="auto"/>
              <w:ind w:left="0" w:right="0" w:firstLine="0"/>
            </w:pPr>
            <w:r w:rsidRPr="004A378A">
              <w:t>Soil, Sand and Organic biochar</w:t>
            </w:r>
            <w:r w:rsidR="008E1177">
              <w:t xml:space="preserve"> in ratios of (2:1:1)</w:t>
            </w:r>
          </w:p>
        </w:tc>
        <w:tc>
          <w:tcPr>
            <w:tcW w:w="3402" w:type="dxa"/>
          </w:tcPr>
          <w:p w14:paraId="23385AAA" w14:textId="7611001C" w:rsidR="00F44EA4" w:rsidRPr="004A378A" w:rsidRDefault="00CC03FA" w:rsidP="007458FB">
            <w:pPr>
              <w:spacing w:before="120" w:after="120" w:line="259" w:lineRule="auto"/>
              <w:ind w:left="0" w:right="0" w:firstLine="0"/>
            </w:pPr>
            <w:r w:rsidRPr="004A378A">
              <w:t>M</w:t>
            </w:r>
            <w:r w:rsidR="00F44EA4" w:rsidRPr="004A378A">
              <w:t>aximum seedling height, stem girth, number of leaves, leaf area and SVI</w:t>
            </w:r>
          </w:p>
        </w:tc>
        <w:tc>
          <w:tcPr>
            <w:tcW w:w="1843" w:type="dxa"/>
          </w:tcPr>
          <w:p w14:paraId="43FAF7E3" w14:textId="26CAF6A9" w:rsidR="00F44EA4" w:rsidRPr="004A378A" w:rsidRDefault="00F44EA4" w:rsidP="007458FB">
            <w:pPr>
              <w:spacing w:before="120" w:after="120" w:line="259" w:lineRule="auto"/>
              <w:ind w:left="0" w:right="0" w:firstLine="0"/>
            </w:pPr>
            <w:proofErr w:type="spellStart"/>
            <w:r w:rsidRPr="004A378A">
              <w:t>Jasmitha</w:t>
            </w:r>
            <w:proofErr w:type="spellEnd"/>
            <w:r w:rsidRPr="004A378A">
              <w:t xml:space="preserve"> </w:t>
            </w:r>
            <w:r w:rsidRPr="00344CD7">
              <w:t>et al</w:t>
            </w:r>
            <w:r w:rsidRPr="004A378A">
              <w:rPr>
                <w:i/>
                <w:iCs/>
              </w:rPr>
              <w:t>.</w:t>
            </w:r>
            <w:r w:rsidRPr="004A378A">
              <w:t xml:space="preserve"> (2018)</w:t>
            </w:r>
          </w:p>
        </w:tc>
      </w:tr>
      <w:tr w:rsidR="00F44EA4" w:rsidRPr="004A378A" w14:paraId="17613405" w14:textId="77777777" w:rsidTr="00CA04CD">
        <w:tc>
          <w:tcPr>
            <w:tcW w:w="571" w:type="dxa"/>
          </w:tcPr>
          <w:p w14:paraId="098D3D08" w14:textId="0EC0416C" w:rsidR="00F44EA4" w:rsidRPr="004A378A" w:rsidRDefault="00F44EA4" w:rsidP="007458FB">
            <w:pPr>
              <w:spacing w:before="120" w:after="120" w:line="259" w:lineRule="auto"/>
              <w:ind w:left="0" w:right="0" w:firstLine="0"/>
              <w:rPr>
                <w:i/>
                <w:iCs/>
              </w:rPr>
            </w:pPr>
            <w:r w:rsidRPr="004A378A">
              <w:rPr>
                <w:i/>
                <w:iCs/>
              </w:rPr>
              <w:t>8</w:t>
            </w:r>
          </w:p>
        </w:tc>
        <w:tc>
          <w:tcPr>
            <w:tcW w:w="1522" w:type="dxa"/>
          </w:tcPr>
          <w:p w14:paraId="0A6B1CA6" w14:textId="089A1024" w:rsidR="00F44EA4" w:rsidRPr="004A378A" w:rsidRDefault="00F44EA4" w:rsidP="007458FB">
            <w:pPr>
              <w:spacing w:before="120" w:after="120" w:line="259" w:lineRule="auto"/>
              <w:ind w:left="0" w:right="0" w:firstLine="0"/>
              <w:rPr>
                <w:i/>
                <w:iCs/>
              </w:rPr>
            </w:pPr>
            <w:proofErr w:type="spellStart"/>
            <w:r w:rsidRPr="004A378A">
              <w:rPr>
                <w:i/>
                <w:iCs/>
              </w:rPr>
              <w:t>Artocarpus</w:t>
            </w:r>
            <w:proofErr w:type="spellEnd"/>
            <w:r w:rsidRPr="004A378A">
              <w:rPr>
                <w:i/>
                <w:iCs/>
              </w:rPr>
              <w:t xml:space="preserve"> </w:t>
            </w:r>
            <w:proofErr w:type="spellStart"/>
            <w:r w:rsidRPr="004A378A">
              <w:rPr>
                <w:i/>
                <w:iCs/>
              </w:rPr>
              <w:t>heterophyllus</w:t>
            </w:r>
            <w:proofErr w:type="spellEnd"/>
            <w:r w:rsidRPr="004A378A">
              <w:t xml:space="preserve"> and </w:t>
            </w:r>
            <w:proofErr w:type="spellStart"/>
            <w:r w:rsidRPr="004A378A">
              <w:rPr>
                <w:i/>
                <w:iCs/>
              </w:rPr>
              <w:t>Syzygium</w:t>
            </w:r>
            <w:proofErr w:type="spellEnd"/>
            <w:r w:rsidRPr="004A378A">
              <w:rPr>
                <w:i/>
                <w:iCs/>
              </w:rPr>
              <w:t xml:space="preserve"> </w:t>
            </w:r>
            <w:proofErr w:type="spellStart"/>
            <w:r w:rsidRPr="004A378A">
              <w:rPr>
                <w:i/>
                <w:iCs/>
              </w:rPr>
              <w:t>cumini</w:t>
            </w:r>
            <w:proofErr w:type="spellEnd"/>
          </w:p>
        </w:tc>
        <w:tc>
          <w:tcPr>
            <w:tcW w:w="1701" w:type="dxa"/>
          </w:tcPr>
          <w:p w14:paraId="4A36BD62" w14:textId="6405ED0E" w:rsidR="00F44EA4" w:rsidRPr="004A378A" w:rsidRDefault="00CC03FA" w:rsidP="007458FB">
            <w:pPr>
              <w:spacing w:before="120" w:after="120" w:line="259" w:lineRule="auto"/>
              <w:ind w:left="0" w:right="0" w:firstLine="0"/>
            </w:pPr>
            <w:r w:rsidRPr="004A378A">
              <w:t>Soil, Sand and Organic biochar</w:t>
            </w:r>
            <w:r w:rsidR="008E1177">
              <w:t xml:space="preserve"> in ratios of (2:1:1)</w:t>
            </w:r>
          </w:p>
        </w:tc>
        <w:tc>
          <w:tcPr>
            <w:tcW w:w="3402" w:type="dxa"/>
          </w:tcPr>
          <w:p w14:paraId="310C3178" w14:textId="33BB83DC" w:rsidR="00F44EA4" w:rsidRPr="004A378A" w:rsidRDefault="00F44EA4" w:rsidP="007458FB">
            <w:pPr>
              <w:spacing w:before="120" w:after="120" w:line="259" w:lineRule="auto"/>
              <w:ind w:left="0" w:right="0" w:firstLine="0"/>
            </w:pPr>
            <w:r w:rsidRPr="004A378A">
              <w:t>Exhibited maximum seedling height, girth, number of leaves, leaf area, root length</w:t>
            </w:r>
            <w:r w:rsidR="00CC03FA" w:rsidRPr="004A378A">
              <w:t xml:space="preserve">, </w:t>
            </w:r>
            <w:r w:rsidRPr="004A378A">
              <w:t>root volume, root biomass, total biomass and SVI</w:t>
            </w:r>
          </w:p>
        </w:tc>
        <w:tc>
          <w:tcPr>
            <w:tcW w:w="1843" w:type="dxa"/>
          </w:tcPr>
          <w:p w14:paraId="3BD28C68" w14:textId="4421FEC1" w:rsidR="00F44EA4" w:rsidRPr="004A378A" w:rsidRDefault="00F44EA4" w:rsidP="007458FB">
            <w:pPr>
              <w:spacing w:before="120" w:after="120" w:line="259" w:lineRule="auto"/>
              <w:ind w:left="0" w:right="0" w:firstLine="0"/>
            </w:pPr>
            <w:proofErr w:type="spellStart"/>
            <w:r w:rsidRPr="004A378A">
              <w:t>Jasmitha</w:t>
            </w:r>
            <w:proofErr w:type="spellEnd"/>
            <w:r w:rsidRPr="004A378A">
              <w:t xml:space="preserve"> (2018)</w:t>
            </w:r>
          </w:p>
        </w:tc>
      </w:tr>
      <w:tr w:rsidR="00F44EA4" w:rsidRPr="004A378A" w14:paraId="2E59CF65" w14:textId="77777777" w:rsidTr="00CA04CD">
        <w:tc>
          <w:tcPr>
            <w:tcW w:w="571" w:type="dxa"/>
          </w:tcPr>
          <w:p w14:paraId="0CD72A1F" w14:textId="185B093B" w:rsidR="00F44EA4" w:rsidRPr="004A378A" w:rsidRDefault="00CC03FA" w:rsidP="007458FB">
            <w:pPr>
              <w:spacing w:before="120" w:after="120" w:line="259" w:lineRule="auto"/>
              <w:ind w:left="0" w:right="0" w:firstLine="0"/>
              <w:rPr>
                <w:i/>
                <w:iCs/>
              </w:rPr>
            </w:pPr>
            <w:r w:rsidRPr="004A378A">
              <w:rPr>
                <w:i/>
                <w:iCs/>
              </w:rPr>
              <w:t>9</w:t>
            </w:r>
          </w:p>
        </w:tc>
        <w:tc>
          <w:tcPr>
            <w:tcW w:w="1522" w:type="dxa"/>
          </w:tcPr>
          <w:p w14:paraId="3577ABAC" w14:textId="3D198DBE" w:rsidR="00F44EA4" w:rsidRPr="004A378A" w:rsidRDefault="00CC03FA" w:rsidP="007458FB">
            <w:pPr>
              <w:spacing w:before="120" w:after="120" w:line="259" w:lineRule="auto"/>
              <w:ind w:left="0" w:right="0" w:firstLine="0"/>
              <w:rPr>
                <w:i/>
                <w:iCs/>
              </w:rPr>
            </w:pPr>
            <w:proofErr w:type="spellStart"/>
            <w:r w:rsidRPr="004A378A">
              <w:rPr>
                <w:i/>
                <w:iCs/>
              </w:rPr>
              <w:t>Hevea</w:t>
            </w:r>
            <w:proofErr w:type="spellEnd"/>
            <w:r w:rsidRPr="004A378A">
              <w:rPr>
                <w:i/>
                <w:iCs/>
              </w:rPr>
              <w:t xml:space="preserve"> </w:t>
            </w:r>
            <w:proofErr w:type="spellStart"/>
            <w:r w:rsidRPr="004A378A">
              <w:rPr>
                <w:i/>
                <w:iCs/>
              </w:rPr>
              <w:t>brasiliensis</w:t>
            </w:r>
            <w:proofErr w:type="spellEnd"/>
          </w:p>
        </w:tc>
        <w:tc>
          <w:tcPr>
            <w:tcW w:w="1701" w:type="dxa"/>
          </w:tcPr>
          <w:p w14:paraId="4B01B91B" w14:textId="63B7FBE4" w:rsidR="00F44EA4" w:rsidRPr="004A378A" w:rsidRDefault="00CC03FA" w:rsidP="007458FB">
            <w:pPr>
              <w:spacing w:before="120" w:after="120" w:line="259" w:lineRule="auto"/>
              <w:ind w:left="0" w:right="0" w:firstLine="0"/>
            </w:pPr>
            <w:r w:rsidRPr="004A378A">
              <w:rPr>
                <w:i/>
                <w:iCs/>
              </w:rPr>
              <w:t xml:space="preserve">H. </w:t>
            </w:r>
            <w:proofErr w:type="spellStart"/>
            <w:r w:rsidRPr="004A378A">
              <w:rPr>
                <w:i/>
                <w:iCs/>
              </w:rPr>
              <w:t>brasiliensis</w:t>
            </w:r>
            <w:proofErr w:type="spellEnd"/>
            <w:r w:rsidRPr="004A378A">
              <w:rPr>
                <w:i/>
                <w:iCs/>
              </w:rPr>
              <w:t xml:space="preserve"> </w:t>
            </w:r>
            <w:r w:rsidRPr="004A378A">
              <w:t>wood biochar</w:t>
            </w:r>
            <w:r w:rsidR="00092F90">
              <w:t xml:space="preserve"> (2 % dose) </w:t>
            </w:r>
            <w:r w:rsidRPr="004A378A">
              <w:t>with N-Mg fertilizer</w:t>
            </w:r>
          </w:p>
        </w:tc>
        <w:tc>
          <w:tcPr>
            <w:tcW w:w="3402" w:type="dxa"/>
          </w:tcPr>
          <w:p w14:paraId="1C270F90" w14:textId="644279F0" w:rsidR="00F44EA4" w:rsidRPr="004A378A" w:rsidRDefault="00CC03FA" w:rsidP="007458FB">
            <w:pPr>
              <w:spacing w:before="120" w:after="120" w:line="259" w:lineRule="auto"/>
              <w:ind w:left="0" w:right="0" w:firstLine="0"/>
            </w:pPr>
            <w:r w:rsidRPr="004A378A">
              <w:t>Enhance total shoot and root dry biomass</w:t>
            </w:r>
          </w:p>
        </w:tc>
        <w:tc>
          <w:tcPr>
            <w:tcW w:w="1843" w:type="dxa"/>
          </w:tcPr>
          <w:p w14:paraId="218CB71E" w14:textId="49D18447" w:rsidR="00F44EA4" w:rsidRPr="004A378A" w:rsidRDefault="00CC03FA" w:rsidP="007458FB">
            <w:pPr>
              <w:spacing w:before="120" w:after="120" w:line="259" w:lineRule="auto"/>
              <w:ind w:left="0" w:right="0" w:firstLine="0"/>
            </w:pPr>
            <w:proofErr w:type="spellStart"/>
            <w:r w:rsidRPr="004A378A">
              <w:t>Dharmakeerthi</w:t>
            </w:r>
            <w:proofErr w:type="spellEnd"/>
            <w:r w:rsidRPr="004A378A">
              <w:t xml:space="preserve"> </w:t>
            </w:r>
            <w:r w:rsidRPr="00344CD7">
              <w:t>et al</w:t>
            </w:r>
            <w:r w:rsidRPr="004A378A">
              <w:rPr>
                <w:i/>
                <w:iCs/>
              </w:rPr>
              <w:t>.</w:t>
            </w:r>
            <w:r w:rsidRPr="004A378A">
              <w:t xml:space="preserve"> (2012)</w:t>
            </w:r>
          </w:p>
        </w:tc>
      </w:tr>
      <w:tr w:rsidR="00CC03FA" w:rsidRPr="004A378A" w14:paraId="36E58ED9" w14:textId="77777777" w:rsidTr="00CA04CD">
        <w:tc>
          <w:tcPr>
            <w:tcW w:w="571" w:type="dxa"/>
          </w:tcPr>
          <w:p w14:paraId="5C0014E9" w14:textId="4C174023" w:rsidR="00CC03FA" w:rsidRPr="004A378A" w:rsidRDefault="00CC03FA" w:rsidP="007458FB">
            <w:pPr>
              <w:spacing w:before="120" w:after="120" w:line="259" w:lineRule="auto"/>
              <w:ind w:left="0" w:right="0" w:firstLine="0"/>
              <w:rPr>
                <w:i/>
                <w:iCs/>
              </w:rPr>
            </w:pPr>
            <w:r w:rsidRPr="004A378A">
              <w:rPr>
                <w:i/>
                <w:iCs/>
              </w:rPr>
              <w:t>10</w:t>
            </w:r>
          </w:p>
        </w:tc>
        <w:tc>
          <w:tcPr>
            <w:tcW w:w="1522" w:type="dxa"/>
          </w:tcPr>
          <w:p w14:paraId="0A2F1F6A" w14:textId="7CA8F302" w:rsidR="00CC03FA" w:rsidRPr="004A378A" w:rsidRDefault="00CC03FA" w:rsidP="007458FB">
            <w:pPr>
              <w:spacing w:before="120" w:after="120" w:line="259" w:lineRule="auto"/>
              <w:ind w:left="0" w:right="0" w:firstLine="0"/>
              <w:rPr>
                <w:i/>
                <w:iCs/>
              </w:rPr>
            </w:pPr>
            <w:proofErr w:type="spellStart"/>
            <w:r w:rsidRPr="004A378A">
              <w:rPr>
                <w:i/>
                <w:iCs/>
              </w:rPr>
              <w:t>Albizia</w:t>
            </w:r>
            <w:proofErr w:type="spellEnd"/>
            <w:r w:rsidRPr="004A378A">
              <w:rPr>
                <w:i/>
                <w:iCs/>
              </w:rPr>
              <w:t xml:space="preserve"> </w:t>
            </w:r>
            <w:proofErr w:type="spellStart"/>
            <w:r w:rsidRPr="004A378A">
              <w:rPr>
                <w:i/>
                <w:iCs/>
              </w:rPr>
              <w:t>gummifera</w:t>
            </w:r>
            <w:proofErr w:type="spellEnd"/>
            <w:r w:rsidRPr="004A378A">
              <w:t xml:space="preserve">, </w:t>
            </w:r>
            <w:r w:rsidRPr="004A378A">
              <w:rPr>
                <w:i/>
                <w:iCs/>
              </w:rPr>
              <w:t xml:space="preserve">Cordia </w:t>
            </w:r>
            <w:proofErr w:type="spellStart"/>
            <w:r w:rsidRPr="004A378A">
              <w:rPr>
                <w:i/>
                <w:iCs/>
              </w:rPr>
              <w:t>africana</w:t>
            </w:r>
            <w:proofErr w:type="spellEnd"/>
            <w:r w:rsidRPr="004A378A">
              <w:t xml:space="preserve"> and </w:t>
            </w:r>
            <w:proofErr w:type="spellStart"/>
            <w:r w:rsidRPr="004A378A">
              <w:rPr>
                <w:i/>
                <w:iCs/>
              </w:rPr>
              <w:t>Milletia</w:t>
            </w:r>
            <w:proofErr w:type="spellEnd"/>
            <w:r w:rsidRPr="004A378A">
              <w:rPr>
                <w:i/>
                <w:iCs/>
              </w:rPr>
              <w:t xml:space="preserve"> </w:t>
            </w:r>
            <w:proofErr w:type="spellStart"/>
            <w:r w:rsidRPr="004A378A">
              <w:rPr>
                <w:i/>
                <w:iCs/>
              </w:rPr>
              <w:t>ferruginea</w:t>
            </w:r>
            <w:proofErr w:type="spellEnd"/>
          </w:p>
        </w:tc>
        <w:tc>
          <w:tcPr>
            <w:tcW w:w="1701" w:type="dxa"/>
          </w:tcPr>
          <w:p w14:paraId="4CD4E725" w14:textId="04875A91" w:rsidR="00CC03FA" w:rsidRPr="004A378A" w:rsidRDefault="00370E3C" w:rsidP="007458FB">
            <w:pPr>
              <w:spacing w:before="120" w:after="120" w:line="259" w:lineRule="auto"/>
              <w:ind w:left="0" w:right="0" w:firstLine="0"/>
              <w:rPr>
                <w:i/>
                <w:iCs/>
              </w:rPr>
            </w:pPr>
            <w:r w:rsidRPr="004A378A">
              <w:t xml:space="preserve">local soil + poultry manure), (local soil + poultry-manure biochar) and (local soil + </w:t>
            </w:r>
            <w:r w:rsidRPr="004A378A">
              <w:lastRenderedPageBreak/>
              <w:t>equal mix of poultry manure + biochar)</w:t>
            </w:r>
          </w:p>
        </w:tc>
        <w:tc>
          <w:tcPr>
            <w:tcW w:w="3402" w:type="dxa"/>
          </w:tcPr>
          <w:p w14:paraId="3ED2FC6F" w14:textId="211CADC1" w:rsidR="00370E3C" w:rsidRPr="004A378A" w:rsidRDefault="00CF76C0" w:rsidP="007458FB">
            <w:pPr>
              <w:pStyle w:val="Default"/>
              <w:spacing w:before="120" w:after="120"/>
              <w:jc w:val="both"/>
              <w:rPr>
                <w:rFonts w:ascii="Times New Roman" w:hAnsi="Times New Roman" w:cs="Times New Roman"/>
              </w:rPr>
            </w:pPr>
            <w:r>
              <w:rPr>
                <w:rFonts w:ascii="Times New Roman" w:hAnsi="Times New Roman" w:cs="Times New Roman"/>
              </w:rPr>
              <w:lastRenderedPageBreak/>
              <w:t>E</w:t>
            </w:r>
            <w:r w:rsidR="00370E3C" w:rsidRPr="004A378A">
              <w:rPr>
                <w:rFonts w:ascii="Times New Roman" w:hAnsi="Times New Roman" w:cs="Times New Roman"/>
              </w:rPr>
              <w:t>xhibited maximum growth</w:t>
            </w:r>
          </w:p>
          <w:p w14:paraId="1EB454C7" w14:textId="77777777" w:rsidR="00CC03FA" w:rsidRPr="004A378A" w:rsidRDefault="00CC03FA" w:rsidP="007458FB">
            <w:pPr>
              <w:spacing w:before="120" w:after="120" w:line="259" w:lineRule="auto"/>
              <w:ind w:left="0" w:right="0" w:firstLine="0"/>
            </w:pPr>
          </w:p>
        </w:tc>
        <w:tc>
          <w:tcPr>
            <w:tcW w:w="1843" w:type="dxa"/>
          </w:tcPr>
          <w:p w14:paraId="07252413" w14:textId="37229C25" w:rsidR="00CC03FA" w:rsidRPr="004A378A" w:rsidRDefault="00CC03FA" w:rsidP="007458FB">
            <w:pPr>
              <w:spacing w:before="120" w:after="120" w:line="259" w:lineRule="auto"/>
              <w:ind w:left="0" w:right="0" w:firstLine="0"/>
            </w:pPr>
            <w:proofErr w:type="spellStart"/>
            <w:r w:rsidRPr="004A378A">
              <w:t>Humnessa</w:t>
            </w:r>
            <w:proofErr w:type="spellEnd"/>
            <w:r w:rsidRPr="004A378A">
              <w:rPr>
                <w:i/>
                <w:iCs/>
              </w:rPr>
              <w:t xml:space="preserve"> </w:t>
            </w:r>
            <w:r w:rsidRPr="00344CD7">
              <w:t>et al</w:t>
            </w:r>
            <w:r w:rsidRPr="004A378A">
              <w:rPr>
                <w:i/>
                <w:iCs/>
              </w:rPr>
              <w:t xml:space="preserve">. </w:t>
            </w:r>
            <w:r w:rsidRPr="004A378A">
              <w:t>(2023)</w:t>
            </w:r>
          </w:p>
        </w:tc>
      </w:tr>
      <w:tr w:rsidR="00CC03FA" w:rsidRPr="004A378A" w14:paraId="66775021" w14:textId="77777777" w:rsidTr="00CA04CD">
        <w:tc>
          <w:tcPr>
            <w:tcW w:w="571" w:type="dxa"/>
          </w:tcPr>
          <w:p w14:paraId="37FBDD93" w14:textId="5C1436A7" w:rsidR="00CC03FA" w:rsidRPr="004A378A" w:rsidRDefault="00370E3C" w:rsidP="007458FB">
            <w:pPr>
              <w:spacing w:before="120" w:after="120" w:line="259" w:lineRule="auto"/>
              <w:ind w:left="0" w:right="0" w:firstLine="0"/>
              <w:rPr>
                <w:i/>
                <w:iCs/>
              </w:rPr>
            </w:pPr>
            <w:r w:rsidRPr="004A378A">
              <w:rPr>
                <w:i/>
                <w:iCs/>
              </w:rPr>
              <w:t>11</w:t>
            </w:r>
          </w:p>
        </w:tc>
        <w:tc>
          <w:tcPr>
            <w:tcW w:w="1522" w:type="dxa"/>
          </w:tcPr>
          <w:p w14:paraId="5470345B" w14:textId="113BE56E" w:rsidR="00CC03FA" w:rsidRPr="004A378A" w:rsidRDefault="00370E3C" w:rsidP="007458FB">
            <w:pPr>
              <w:spacing w:before="120" w:after="120" w:line="259" w:lineRule="auto"/>
              <w:ind w:left="0" w:right="0" w:firstLine="0"/>
              <w:rPr>
                <w:i/>
                <w:iCs/>
              </w:rPr>
            </w:pPr>
            <w:proofErr w:type="spellStart"/>
            <w:r w:rsidRPr="004A378A">
              <w:rPr>
                <w:i/>
                <w:iCs/>
              </w:rPr>
              <w:t>Calophyllum</w:t>
            </w:r>
            <w:proofErr w:type="spellEnd"/>
            <w:r w:rsidRPr="004A378A">
              <w:rPr>
                <w:i/>
                <w:iCs/>
              </w:rPr>
              <w:t xml:space="preserve"> </w:t>
            </w:r>
            <w:proofErr w:type="spellStart"/>
            <w:r w:rsidRPr="004A378A">
              <w:rPr>
                <w:i/>
                <w:iCs/>
              </w:rPr>
              <w:t>inophyllum</w:t>
            </w:r>
            <w:proofErr w:type="spellEnd"/>
          </w:p>
        </w:tc>
        <w:tc>
          <w:tcPr>
            <w:tcW w:w="1701" w:type="dxa"/>
          </w:tcPr>
          <w:p w14:paraId="6F956CBC" w14:textId="049273A3" w:rsidR="00CC03FA" w:rsidRPr="004A378A" w:rsidRDefault="00370E3C" w:rsidP="007458FB">
            <w:pPr>
              <w:spacing w:before="120" w:after="120" w:line="259" w:lineRule="auto"/>
              <w:ind w:left="0" w:right="0" w:firstLine="0"/>
              <w:rPr>
                <w:i/>
                <w:iCs/>
              </w:rPr>
            </w:pPr>
            <w:r w:rsidRPr="004A378A">
              <w:t>Rice husk biochar</w:t>
            </w:r>
          </w:p>
        </w:tc>
        <w:tc>
          <w:tcPr>
            <w:tcW w:w="3402" w:type="dxa"/>
          </w:tcPr>
          <w:p w14:paraId="527954CB" w14:textId="48BF5558" w:rsidR="00CC03FA" w:rsidRPr="004A378A" w:rsidRDefault="00370E3C" w:rsidP="007458FB">
            <w:pPr>
              <w:spacing w:before="120" w:after="120" w:line="259" w:lineRule="auto"/>
              <w:ind w:left="0" w:right="0" w:firstLine="0"/>
            </w:pPr>
            <w:r w:rsidRPr="004A378A">
              <w:t>Maximum growth performance across all major parameters with maximum collar diameter, number of leaves, leaf area and total dry biomass</w:t>
            </w:r>
          </w:p>
        </w:tc>
        <w:tc>
          <w:tcPr>
            <w:tcW w:w="1843" w:type="dxa"/>
          </w:tcPr>
          <w:p w14:paraId="13B6CA30" w14:textId="1C432BD8" w:rsidR="00CC03FA" w:rsidRPr="004A378A" w:rsidRDefault="00370E3C" w:rsidP="007458FB">
            <w:pPr>
              <w:spacing w:before="120" w:after="120" w:line="259" w:lineRule="auto"/>
              <w:ind w:left="0" w:right="0" w:firstLine="0"/>
            </w:pPr>
            <w:r w:rsidRPr="004A378A">
              <w:t>Jayalakshmi (2018)</w:t>
            </w:r>
          </w:p>
        </w:tc>
      </w:tr>
      <w:tr w:rsidR="00CC03FA" w:rsidRPr="004A378A" w14:paraId="5DB5A332" w14:textId="77777777" w:rsidTr="00CA04CD">
        <w:tc>
          <w:tcPr>
            <w:tcW w:w="571" w:type="dxa"/>
          </w:tcPr>
          <w:p w14:paraId="09A16819" w14:textId="47D07C1A" w:rsidR="00CC03FA" w:rsidRPr="004A378A" w:rsidRDefault="00370E3C" w:rsidP="007458FB">
            <w:pPr>
              <w:spacing w:before="120" w:after="120" w:line="259" w:lineRule="auto"/>
              <w:ind w:left="0" w:right="0" w:firstLine="0"/>
              <w:rPr>
                <w:i/>
                <w:iCs/>
              </w:rPr>
            </w:pPr>
            <w:r w:rsidRPr="004A378A">
              <w:rPr>
                <w:i/>
                <w:iCs/>
              </w:rPr>
              <w:t>12</w:t>
            </w:r>
          </w:p>
        </w:tc>
        <w:tc>
          <w:tcPr>
            <w:tcW w:w="1522" w:type="dxa"/>
          </w:tcPr>
          <w:p w14:paraId="10234A25" w14:textId="6D4DF453" w:rsidR="00CC03FA" w:rsidRPr="004A378A" w:rsidRDefault="00370E3C" w:rsidP="007458FB">
            <w:pPr>
              <w:spacing w:before="120" w:after="120" w:line="259" w:lineRule="auto"/>
              <w:ind w:left="0" w:right="0" w:firstLine="0"/>
              <w:rPr>
                <w:i/>
                <w:iCs/>
              </w:rPr>
            </w:pPr>
            <w:proofErr w:type="spellStart"/>
            <w:r w:rsidRPr="004A378A">
              <w:rPr>
                <w:i/>
                <w:iCs/>
              </w:rPr>
              <w:t>Sapium</w:t>
            </w:r>
            <w:proofErr w:type="spellEnd"/>
            <w:r w:rsidRPr="004A378A">
              <w:rPr>
                <w:i/>
                <w:iCs/>
              </w:rPr>
              <w:t xml:space="preserve"> </w:t>
            </w:r>
            <w:proofErr w:type="spellStart"/>
            <w:r w:rsidRPr="004A378A">
              <w:rPr>
                <w:i/>
                <w:iCs/>
              </w:rPr>
              <w:t>sebiferum</w:t>
            </w:r>
            <w:proofErr w:type="spellEnd"/>
          </w:p>
        </w:tc>
        <w:tc>
          <w:tcPr>
            <w:tcW w:w="1701" w:type="dxa"/>
          </w:tcPr>
          <w:p w14:paraId="34E036B9" w14:textId="346A87FD" w:rsidR="00CC03FA" w:rsidRPr="004A378A" w:rsidRDefault="00370E3C" w:rsidP="007458FB">
            <w:pPr>
              <w:spacing w:before="120" w:after="120" w:line="259" w:lineRule="auto"/>
              <w:ind w:left="0" w:right="0" w:firstLine="0"/>
              <w:rPr>
                <w:i/>
                <w:iCs/>
              </w:rPr>
            </w:pPr>
            <w:r w:rsidRPr="004A378A">
              <w:t>Straw biochar</w:t>
            </w:r>
            <w:r w:rsidR="00092F90">
              <w:t xml:space="preserve"> (3 % dose) </w:t>
            </w:r>
          </w:p>
        </w:tc>
        <w:tc>
          <w:tcPr>
            <w:tcW w:w="3402" w:type="dxa"/>
          </w:tcPr>
          <w:p w14:paraId="18A02369" w14:textId="6F39E363" w:rsidR="00CC03FA" w:rsidRPr="004A378A" w:rsidRDefault="00370E3C" w:rsidP="007458FB">
            <w:pPr>
              <w:spacing w:before="120" w:after="120" w:line="259" w:lineRule="auto"/>
              <w:ind w:left="0" w:right="0" w:firstLine="0"/>
            </w:pPr>
            <w:r w:rsidRPr="004A378A">
              <w:t>Enhance seedling height, collar diameter, above ground biomass, underground biomass, total root length, root surface area and primary lateral roots</w:t>
            </w:r>
          </w:p>
        </w:tc>
        <w:tc>
          <w:tcPr>
            <w:tcW w:w="1843" w:type="dxa"/>
          </w:tcPr>
          <w:p w14:paraId="527B4291" w14:textId="05B14036" w:rsidR="00CC03FA" w:rsidRPr="004A378A" w:rsidRDefault="00370E3C" w:rsidP="007458FB">
            <w:pPr>
              <w:spacing w:before="120" w:after="120" w:line="259" w:lineRule="auto"/>
              <w:ind w:left="0" w:right="0" w:firstLine="0"/>
            </w:pPr>
            <w:r w:rsidRPr="004A378A">
              <w:t xml:space="preserve">Chen </w:t>
            </w:r>
            <w:r w:rsidRPr="00344CD7">
              <w:t>et al</w:t>
            </w:r>
            <w:r w:rsidRPr="004A378A">
              <w:rPr>
                <w:i/>
                <w:iCs/>
              </w:rPr>
              <w:t>.</w:t>
            </w:r>
            <w:r w:rsidRPr="004A378A">
              <w:t xml:space="preserve"> (2021)</w:t>
            </w:r>
          </w:p>
        </w:tc>
      </w:tr>
      <w:tr w:rsidR="00370E3C" w:rsidRPr="004A378A" w14:paraId="54B29ECE" w14:textId="77777777" w:rsidTr="00CA04CD">
        <w:tc>
          <w:tcPr>
            <w:tcW w:w="571" w:type="dxa"/>
          </w:tcPr>
          <w:p w14:paraId="30073086" w14:textId="5275BFD1" w:rsidR="00370E3C" w:rsidRPr="004A378A" w:rsidRDefault="00370E3C" w:rsidP="007458FB">
            <w:pPr>
              <w:spacing w:before="120" w:after="120" w:line="259" w:lineRule="auto"/>
              <w:ind w:left="0" w:right="0" w:firstLine="0"/>
              <w:rPr>
                <w:i/>
                <w:iCs/>
              </w:rPr>
            </w:pPr>
            <w:r w:rsidRPr="004A378A">
              <w:rPr>
                <w:i/>
                <w:iCs/>
              </w:rPr>
              <w:t>13</w:t>
            </w:r>
          </w:p>
        </w:tc>
        <w:tc>
          <w:tcPr>
            <w:tcW w:w="1522" w:type="dxa"/>
          </w:tcPr>
          <w:p w14:paraId="1EDD5E39" w14:textId="6A64F247" w:rsidR="00370E3C" w:rsidRPr="004A378A" w:rsidRDefault="00370E3C" w:rsidP="007458FB">
            <w:pPr>
              <w:spacing w:before="120" w:after="120" w:line="259" w:lineRule="auto"/>
              <w:ind w:left="0" w:right="0" w:firstLine="0"/>
              <w:rPr>
                <w:i/>
                <w:iCs/>
              </w:rPr>
            </w:pPr>
            <w:proofErr w:type="spellStart"/>
            <w:r w:rsidRPr="004A378A">
              <w:rPr>
                <w:i/>
                <w:iCs/>
              </w:rPr>
              <w:t>Neolamarckia</w:t>
            </w:r>
            <w:proofErr w:type="spellEnd"/>
            <w:r w:rsidRPr="004A378A">
              <w:rPr>
                <w:i/>
                <w:iCs/>
              </w:rPr>
              <w:t xml:space="preserve"> </w:t>
            </w:r>
            <w:proofErr w:type="spellStart"/>
            <w:r w:rsidRPr="004A378A">
              <w:rPr>
                <w:i/>
                <w:iCs/>
              </w:rPr>
              <w:t>cadamba</w:t>
            </w:r>
            <w:proofErr w:type="spellEnd"/>
          </w:p>
        </w:tc>
        <w:tc>
          <w:tcPr>
            <w:tcW w:w="1701" w:type="dxa"/>
          </w:tcPr>
          <w:p w14:paraId="2D746682" w14:textId="196A29A7" w:rsidR="00370E3C" w:rsidRPr="004A378A" w:rsidRDefault="00370E3C" w:rsidP="007458FB">
            <w:pPr>
              <w:spacing w:before="120" w:after="120" w:line="259" w:lineRule="auto"/>
              <w:ind w:left="0" w:right="0" w:firstLine="0"/>
            </w:pPr>
            <w:r w:rsidRPr="004A378A">
              <w:t>Watered thrice a week with bamboo biochar</w:t>
            </w:r>
          </w:p>
        </w:tc>
        <w:tc>
          <w:tcPr>
            <w:tcW w:w="3402" w:type="dxa"/>
          </w:tcPr>
          <w:p w14:paraId="658D4CBC" w14:textId="4A58666F" w:rsidR="00370E3C" w:rsidRPr="004A378A" w:rsidRDefault="00370E3C" w:rsidP="007458FB">
            <w:pPr>
              <w:spacing w:before="120" w:after="120" w:line="259" w:lineRule="auto"/>
              <w:ind w:left="0" w:right="0" w:firstLine="0"/>
            </w:pPr>
            <w:r w:rsidRPr="004A378A">
              <w:t>Enhance growth attributes</w:t>
            </w:r>
          </w:p>
        </w:tc>
        <w:tc>
          <w:tcPr>
            <w:tcW w:w="1843" w:type="dxa"/>
          </w:tcPr>
          <w:p w14:paraId="78C5BB62" w14:textId="7FA0BAD4" w:rsidR="00370E3C" w:rsidRPr="004A378A" w:rsidRDefault="00370E3C" w:rsidP="007458FB">
            <w:pPr>
              <w:spacing w:before="120" w:after="120" w:line="259" w:lineRule="auto"/>
              <w:ind w:left="0" w:right="0" w:firstLine="0"/>
            </w:pPr>
            <w:r w:rsidRPr="004A378A">
              <w:rPr>
                <w:color w:val="000000" w:themeColor="text1"/>
              </w:rPr>
              <w:t>Afolabi</w:t>
            </w:r>
            <w:r w:rsidRPr="004A378A">
              <w:rPr>
                <w:color w:val="EE0000"/>
              </w:rPr>
              <w:t xml:space="preserve"> </w:t>
            </w:r>
            <w:r w:rsidRPr="00344CD7">
              <w:t>et al</w:t>
            </w:r>
            <w:r w:rsidRPr="004A378A">
              <w:rPr>
                <w:i/>
                <w:iCs/>
              </w:rPr>
              <w:t xml:space="preserve">. </w:t>
            </w:r>
            <w:r w:rsidRPr="004A378A">
              <w:t>(2021)</w:t>
            </w:r>
          </w:p>
        </w:tc>
      </w:tr>
    </w:tbl>
    <w:p w14:paraId="6D42BA43" w14:textId="77777777" w:rsidR="00EE6F20" w:rsidRPr="004A378A" w:rsidRDefault="00EE6F20" w:rsidP="007458FB">
      <w:pPr>
        <w:spacing w:before="120" w:after="120" w:line="259" w:lineRule="auto"/>
        <w:ind w:left="0" w:right="0" w:firstLine="0"/>
      </w:pPr>
    </w:p>
    <w:p w14:paraId="3D0BB2B8" w14:textId="08EB9AF7" w:rsidR="003D3A1B" w:rsidRPr="004A378A" w:rsidRDefault="00325027" w:rsidP="00A16279">
      <w:pPr>
        <w:pStyle w:val="ListParagraph"/>
        <w:numPr>
          <w:ilvl w:val="0"/>
          <w:numId w:val="9"/>
        </w:numPr>
        <w:spacing w:before="120" w:after="120" w:line="247" w:lineRule="auto"/>
        <w:ind w:left="357" w:right="0" w:hanging="357"/>
        <w:rPr>
          <w:b/>
          <w:bCs/>
        </w:rPr>
      </w:pPr>
      <w:r>
        <w:rPr>
          <w:b/>
          <w:bCs/>
        </w:rPr>
        <w:t xml:space="preserve">Quality Seedling Production of </w:t>
      </w:r>
      <w:r w:rsidR="003D3A1B" w:rsidRPr="004A378A">
        <w:rPr>
          <w:b/>
          <w:bCs/>
        </w:rPr>
        <w:t xml:space="preserve">Temperate </w:t>
      </w:r>
      <w:r w:rsidR="00A16279" w:rsidRPr="004A378A">
        <w:rPr>
          <w:b/>
          <w:bCs/>
        </w:rPr>
        <w:t>Tree Species</w:t>
      </w:r>
    </w:p>
    <w:p w14:paraId="4B77D4EA" w14:textId="3ECC3322" w:rsidR="004C4087" w:rsidRDefault="004C4087" w:rsidP="004C4087">
      <w:pPr>
        <w:spacing w:before="120" w:after="120" w:line="247" w:lineRule="auto"/>
        <w:ind w:left="0" w:right="0" w:firstLine="0"/>
      </w:pPr>
      <w:r>
        <w:tab/>
        <w:t>Temperate tree species form the structural and functional backbone of boreal and temperate forest ecosystems and are widely used in afforestation, reforestation and climate-mitigation programs. The influence of biochar in the production of quality seedling of important temperate tree species is depicted in Table 3.</w:t>
      </w:r>
    </w:p>
    <w:p w14:paraId="33F3DA6E" w14:textId="77777777" w:rsidR="004C4087" w:rsidRDefault="004C4087" w:rsidP="004C4087">
      <w:pPr>
        <w:spacing w:before="120" w:after="120" w:line="247" w:lineRule="auto"/>
        <w:ind w:left="0" w:right="0" w:firstLine="0"/>
      </w:pPr>
      <w:r>
        <w:tab/>
      </w:r>
      <w:proofErr w:type="spellStart"/>
      <w:r>
        <w:t>Zoghi</w:t>
      </w:r>
      <w:proofErr w:type="spellEnd"/>
      <w:r>
        <w:t xml:space="preserve"> et al. (2019) studied the effect of hornbeam wood biochar on Quercus </w:t>
      </w:r>
      <w:proofErr w:type="spellStart"/>
      <w:r>
        <w:t>castaneifolia</w:t>
      </w:r>
      <w:proofErr w:type="spellEnd"/>
      <w:r>
        <w:t xml:space="preserve"> seedlings under three water regimes (100 %, 70 %, 40 % field capacity) and with different biochar doses. They found with increasing biochar dose, seedlings under water deficit stress generally showed better growth compared to stressed plants without biochar. The highest biochar rate 30 g kg-1 in soil produced better seedlings growth under drought stress (at 70 % and 40 % field capacity), resulting in the maximum seedling height, diameter, leaf area and biomass among stressed treatments. Similarly, the interaction effect of biochar (0-20 %) and fertilizer levels (0 %, 50 %, 100 %) on seedlings growth of Scots pine (Pinus </w:t>
      </w:r>
      <w:proofErr w:type="spellStart"/>
      <w:r>
        <w:t>sylvestris</w:t>
      </w:r>
      <w:proofErr w:type="spellEnd"/>
      <w:r>
        <w:t xml:space="preserve">) and silver birch (Betula pendula) seedlings over 6 months were examined by </w:t>
      </w:r>
      <w:proofErr w:type="spellStart"/>
      <w:r>
        <w:t>Koster</w:t>
      </w:r>
      <w:proofErr w:type="spellEnd"/>
      <w:r>
        <w:t xml:space="preserve"> et al. (2021). For Scots pine, the best growth occurred in treatment Biochar (10 % dose) with synthetic fertilizer (100 % dose) (F100%B10 %), with maximum shoot dry weight (0.43 g), root dry weight (0.20 g), root length (25.35 cm), bud number (6.83) and maximum DQI. </w:t>
      </w:r>
      <w:proofErr w:type="gramStart"/>
      <w:r>
        <w:t>Similarly</w:t>
      </w:r>
      <w:proofErr w:type="gramEnd"/>
      <w:r>
        <w:t xml:space="preserve"> for silver birch, treatment F100%B10 % again performed best, giving the maximum collar diameter (5.57 mm), shoot dry weight (1.86 g), root dry weight (0.70 g), bud number (19.33) with the maximum DQI. </w:t>
      </w:r>
    </w:p>
    <w:p w14:paraId="486C2E8C" w14:textId="77777777" w:rsidR="004C4087" w:rsidRDefault="004C4087" w:rsidP="004C4087">
      <w:pPr>
        <w:spacing w:before="120" w:after="120" w:line="247" w:lineRule="auto"/>
        <w:ind w:left="0" w:right="0" w:firstLine="0"/>
      </w:pPr>
    </w:p>
    <w:p w14:paraId="0BBE04F3" w14:textId="77777777" w:rsidR="004C4087" w:rsidRDefault="004C4087" w:rsidP="004C4087">
      <w:pPr>
        <w:spacing w:before="120" w:after="120" w:line="247" w:lineRule="auto"/>
        <w:ind w:left="0" w:right="0" w:firstLine="0"/>
      </w:pPr>
    </w:p>
    <w:p w14:paraId="432F6DE4" w14:textId="77777777" w:rsidR="004C4087" w:rsidRDefault="004C4087" w:rsidP="004C4087">
      <w:pPr>
        <w:spacing w:before="120" w:after="120" w:line="247" w:lineRule="auto"/>
        <w:ind w:left="0" w:right="0" w:firstLine="0"/>
      </w:pPr>
    </w:p>
    <w:p w14:paraId="1B207644" w14:textId="0D978D09" w:rsidR="00060F52" w:rsidRPr="004A378A" w:rsidRDefault="00C43245" w:rsidP="004C4087">
      <w:pPr>
        <w:spacing w:before="120" w:after="120" w:line="247" w:lineRule="auto"/>
        <w:ind w:left="0" w:right="0" w:firstLine="0"/>
        <w:rPr>
          <w:b/>
          <w:bCs/>
        </w:rPr>
      </w:pPr>
      <w:r w:rsidRPr="004A378A">
        <w:rPr>
          <w:b/>
          <w:bCs/>
        </w:rPr>
        <w:t xml:space="preserve">Table </w:t>
      </w:r>
      <w:r w:rsidR="001130AC">
        <w:rPr>
          <w:b/>
          <w:bCs/>
        </w:rPr>
        <w:t>3</w:t>
      </w:r>
      <w:r w:rsidRPr="004A378A">
        <w:rPr>
          <w:b/>
          <w:bCs/>
        </w:rPr>
        <w:t xml:space="preserve">. </w:t>
      </w:r>
      <w:r w:rsidR="00A16279" w:rsidRPr="004A378A">
        <w:rPr>
          <w:b/>
          <w:bCs/>
        </w:rPr>
        <w:t xml:space="preserve">Influence </w:t>
      </w:r>
      <w:r w:rsidR="00D079E7">
        <w:rPr>
          <w:b/>
          <w:bCs/>
        </w:rPr>
        <w:t>o</w:t>
      </w:r>
      <w:r w:rsidR="00A16279" w:rsidRPr="004A378A">
        <w:rPr>
          <w:b/>
          <w:bCs/>
        </w:rPr>
        <w:t xml:space="preserve">f Biochar </w:t>
      </w:r>
      <w:r w:rsidR="00D079E7">
        <w:rPr>
          <w:b/>
          <w:bCs/>
        </w:rPr>
        <w:t>i</w:t>
      </w:r>
      <w:r w:rsidR="00A16279" w:rsidRPr="004A378A">
        <w:rPr>
          <w:b/>
          <w:bCs/>
        </w:rPr>
        <w:t xml:space="preserve">n </w:t>
      </w:r>
      <w:r w:rsidR="00D079E7">
        <w:rPr>
          <w:b/>
          <w:bCs/>
        </w:rPr>
        <w:t>t</w:t>
      </w:r>
      <w:r w:rsidR="00A16279" w:rsidRPr="004A378A">
        <w:rPr>
          <w:b/>
          <w:bCs/>
        </w:rPr>
        <w:t xml:space="preserve">he Production </w:t>
      </w:r>
      <w:r w:rsidR="00D079E7">
        <w:rPr>
          <w:b/>
          <w:bCs/>
        </w:rPr>
        <w:t>o</w:t>
      </w:r>
      <w:r w:rsidR="00A16279" w:rsidRPr="004A378A">
        <w:rPr>
          <w:b/>
          <w:bCs/>
        </w:rPr>
        <w:t xml:space="preserve">f Quality Seedling </w:t>
      </w:r>
      <w:r w:rsidR="00D079E7">
        <w:rPr>
          <w:b/>
          <w:bCs/>
        </w:rPr>
        <w:t>o</w:t>
      </w:r>
      <w:r w:rsidR="00A16279" w:rsidRPr="004A378A">
        <w:rPr>
          <w:b/>
          <w:bCs/>
        </w:rPr>
        <w:t xml:space="preserve">f Important </w:t>
      </w:r>
      <w:r w:rsidR="004C4087">
        <w:rPr>
          <w:b/>
          <w:bCs/>
        </w:rPr>
        <w:tab/>
      </w:r>
      <w:r w:rsidR="00A16279" w:rsidRPr="004A378A">
        <w:rPr>
          <w:b/>
          <w:bCs/>
        </w:rPr>
        <w:t>Temperate Tree Species</w:t>
      </w:r>
    </w:p>
    <w:tbl>
      <w:tblPr>
        <w:tblStyle w:val="TableGrid0"/>
        <w:tblW w:w="0" w:type="auto"/>
        <w:tblLayout w:type="fixed"/>
        <w:tblLook w:val="04A0" w:firstRow="1" w:lastRow="0" w:firstColumn="1" w:lastColumn="0" w:noHBand="0" w:noVBand="1"/>
      </w:tblPr>
      <w:tblGrid>
        <w:gridCol w:w="817"/>
        <w:gridCol w:w="1985"/>
        <w:gridCol w:w="2126"/>
        <w:gridCol w:w="2466"/>
        <w:gridCol w:w="1645"/>
      </w:tblGrid>
      <w:tr w:rsidR="00060F52" w:rsidRPr="004A378A" w14:paraId="2554CDF6" w14:textId="77777777" w:rsidTr="00092F90">
        <w:tc>
          <w:tcPr>
            <w:tcW w:w="817" w:type="dxa"/>
          </w:tcPr>
          <w:p w14:paraId="3BC3F494" w14:textId="42862B8A" w:rsidR="00060F52" w:rsidRPr="004A378A" w:rsidRDefault="00060F52" w:rsidP="007458FB">
            <w:pPr>
              <w:spacing w:before="120" w:after="120"/>
              <w:ind w:left="0" w:firstLine="0"/>
            </w:pPr>
            <w:r w:rsidRPr="004A378A">
              <w:rPr>
                <w:b/>
                <w:bCs/>
              </w:rPr>
              <w:lastRenderedPageBreak/>
              <w:t>Sr. no</w:t>
            </w:r>
          </w:p>
        </w:tc>
        <w:tc>
          <w:tcPr>
            <w:tcW w:w="1985" w:type="dxa"/>
          </w:tcPr>
          <w:p w14:paraId="678AB6EB" w14:textId="06EC9BBD" w:rsidR="00060F52" w:rsidRPr="004A378A" w:rsidRDefault="00060F52" w:rsidP="007458FB">
            <w:pPr>
              <w:spacing w:before="120" w:after="120"/>
              <w:ind w:left="0" w:firstLine="0"/>
            </w:pPr>
            <w:r w:rsidRPr="004A378A">
              <w:rPr>
                <w:rFonts w:eastAsia="Arial"/>
                <w:b/>
                <w:bCs/>
              </w:rPr>
              <w:t xml:space="preserve">Name of </w:t>
            </w:r>
            <w:r w:rsidR="00BC793A">
              <w:rPr>
                <w:rFonts w:eastAsia="Arial"/>
                <w:b/>
                <w:bCs/>
              </w:rPr>
              <w:t xml:space="preserve">tree </w:t>
            </w:r>
            <w:r w:rsidRPr="004A378A">
              <w:rPr>
                <w:rFonts w:eastAsia="Arial"/>
                <w:b/>
                <w:bCs/>
              </w:rPr>
              <w:t xml:space="preserve">species  </w:t>
            </w:r>
          </w:p>
        </w:tc>
        <w:tc>
          <w:tcPr>
            <w:tcW w:w="2126" w:type="dxa"/>
          </w:tcPr>
          <w:p w14:paraId="4F983774" w14:textId="2D930E66" w:rsidR="00060F52" w:rsidRPr="004A378A" w:rsidRDefault="00BC793A" w:rsidP="007458FB">
            <w:pPr>
              <w:spacing w:before="120" w:after="120"/>
              <w:ind w:left="0" w:firstLine="0"/>
            </w:pPr>
            <w:r>
              <w:rPr>
                <w:b/>
                <w:bCs/>
              </w:rPr>
              <w:t xml:space="preserve">Best </w:t>
            </w:r>
            <w:r w:rsidR="00060F52" w:rsidRPr="004A378A">
              <w:rPr>
                <w:b/>
                <w:bCs/>
              </w:rPr>
              <w:t>Biochar treatment</w:t>
            </w:r>
          </w:p>
        </w:tc>
        <w:tc>
          <w:tcPr>
            <w:tcW w:w="2466" w:type="dxa"/>
          </w:tcPr>
          <w:p w14:paraId="1D942E11" w14:textId="6C91B6AE" w:rsidR="00060F52" w:rsidRPr="004A378A" w:rsidRDefault="00060F52" w:rsidP="007458FB">
            <w:pPr>
              <w:spacing w:before="120" w:after="120"/>
              <w:ind w:left="0" w:firstLine="0"/>
            </w:pPr>
            <w:r w:rsidRPr="004A378A">
              <w:rPr>
                <w:rFonts w:eastAsia="Arial"/>
                <w:b/>
                <w:bCs/>
              </w:rPr>
              <w:t>Characters of quality seedling production</w:t>
            </w:r>
          </w:p>
        </w:tc>
        <w:tc>
          <w:tcPr>
            <w:tcW w:w="1645" w:type="dxa"/>
          </w:tcPr>
          <w:p w14:paraId="58B7FC3E" w14:textId="2D1A1923" w:rsidR="00060F52" w:rsidRPr="004A378A" w:rsidRDefault="00060F52" w:rsidP="007458FB">
            <w:pPr>
              <w:spacing w:before="120" w:after="120"/>
              <w:ind w:left="0" w:firstLine="0"/>
            </w:pPr>
            <w:r w:rsidRPr="004A378A">
              <w:rPr>
                <w:b/>
                <w:bCs/>
              </w:rPr>
              <w:t>Source</w:t>
            </w:r>
          </w:p>
        </w:tc>
      </w:tr>
      <w:tr w:rsidR="00060F52" w:rsidRPr="004A378A" w14:paraId="45B94E57" w14:textId="77777777" w:rsidTr="00092F90">
        <w:tc>
          <w:tcPr>
            <w:tcW w:w="817" w:type="dxa"/>
          </w:tcPr>
          <w:p w14:paraId="416E1E60" w14:textId="5D432B28" w:rsidR="00060F52" w:rsidRPr="004A378A" w:rsidRDefault="00060F52" w:rsidP="007458FB">
            <w:pPr>
              <w:spacing w:before="120" w:after="120"/>
              <w:ind w:left="0" w:firstLine="0"/>
            </w:pPr>
            <w:r w:rsidRPr="004A378A">
              <w:t>1</w:t>
            </w:r>
          </w:p>
        </w:tc>
        <w:tc>
          <w:tcPr>
            <w:tcW w:w="1985" w:type="dxa"/>
          </w:tcPr>
          <w:p w14:paraId="389011B5" w14:textId="2BDDE48F" w:rsidR="00060F52" w:rsidRPr="004A378A" w:rsidRDefault="00060F52" w:rsidP="007458FB">
            <w:pPr>
              <w:spacing w:before="120" w:after="120"/>
              <w:ind w:left="0" w:firstLine="0"/>
            </w:pPr>
            <w:r w:rsidRPr="004A378A">
              <w:rPr>
                <w:i/>
                <w:iCs/>
              </w:rPr>
              <w:t xml:space="preserve">Quercus </w:t>
            </w:r>
            <w:proofErr w:type="spellStart"/>
            <w:r w:rsidRPr="004A378A">
              <w:rPr>
                <w:i/>
                <w:iCs/>
              </w:rPr>
              <w:t>castaneifolia</w:t>
            </w:r>
            <w:proofErr w:type="spellEnd"/>
          </w:p>
        </w:tc>
        <w:tc>
          <w:tcPr>
            <w:tcW w:w="2126" w:type="dxa"/>
          </w:tcPr>
          <w:p w14:paraId="0A041583" w14:textId="42184026" w:rsidR="00060F52" w:rsidRPr="004A378A" w:rsidRDefault="00060F52" w:rsidP="007458FB">
            <w:pPr>
              <w:spacing w:before="120" w:after="120"/>
              <w:ind w:left="0" w:firstLine="0"/>
            </w:pPr>
            <w:r w:rsidRPr="004A378A">
              <w:t>Hornbeam wood biochar</w:t>
            </w:r>
          </w:p>
        </w:tc>
        <w:tc>
          <w:tcPr>
            <w:tcW w:w="2466" w:type="dxa"/>
          </w:tcPr>
          <w:p w14:paraId="59BA0460" w14:textId="77E78CE4" w:rsidR="00060F52" w:rsidRPr="004A378A" w:rsidRDefault="00060F52" w:rsidP="007458FB">
            <w:pPr>
              <w:spacing w:before="120" w:after="120"/>
              <w:ind w:left="0" w:firstLine="0"/>
            </w:pPr>
            <w:r w:rsidRPr="004A378A">
              <w:t>Enhance growth under drought stress</w:t>
            </w:r>
          </w:p>
        </w:tc>
        <w:tc>
          <w:tcPr>
            <w:tcW w:w="1645" w:type="dxa"/>
          </w:tcPr>
          <w:p w14:paraId="5046C325" w14:textId="70037659" w:rsidR="00060F52" w:rsidRPr="004A378A" w:rsidRDefault="00060F52" w:rsidP="007458FB">
            <w:pPr>
              <w:spacing w:before="120" w:after="120"/>
              <w:ind w:left="0" w:firstLine="0"/>
            </w:pPr>
            <w:proofErr w:type="spellStart"/>
            <w:r w:rsidRPr="004A378A">
              <w:t>Zoghi</w:t>
            </w:r>
            <w:proofErr w:type="spellEnd"/>
            <w:r w:rsidRPr="004A378A">
              <w:t xml:space="preserve"> </w:t>
            </w:r>
            <w:r w:rsidRPr="00344CD7">
              <w:t>et al</w:t>
            </w:r>
            <w:r w:rsidRPr="004A378A">
              <w:rPr>
                <w:i/>
                <w:iCs/>
              </w:rPr>
              <w:t>.</w:t>
            </w:r>
            <w:r w:rsidRPr="004A378A">
              <w:t xml:space="preserve"> (2019)</w:t>
            </w:r>
          </w:p>
        </w:tc>
      </w:tr>
      <w:tr w:rsidR="00060F52" w:rsidRPr="004A378A" w14:paraId="126DF0E9" w14:textId="77777777" w:rsidTr="00092F90">
        <w:tc>
          <w:tcPr>
            <w:tcW w:w="817" w:type="dxa"/>
          </w:tcPr>
          <w:p w14:paraId="70FF28A8" w14:textId="74DB7665" w:rsidR="00060F52" w:rsidRPr="004A378A" w:rsidRDefault="00060F52" w:rsidP="007458FB">
            <w:pPr>
              <w:spacing w:before="120" w:after="120"/>
              <w:ind w:left="0" w:firstLine="0"/>
            </w:pPr>
            <w:r w:rsidRPr="004A378A">
              <w:t>2</w:t>
            </w:r>
          </w:p>
        </w:tc>
        <w:tc>
          <w:tcPr>
            <w:tcW w:w="1985" w:type="dxa"/>
          </w:tcPr>
          <w:p w14:paraId="07C7B90F" w14:textId="29E44FC5" w:rsidR="00060F52" w:rsidRPr="004A378A" w:rsidRDefault="00060F52" w:rsidP="007458FB">
            <w:pPr>
              <w:spacing w:before="120" w:after="120"/>
              <w:ind w:left="0" w:firstLine="0"/>
            </w:pPr>
            <w:r w:rsidRPr="004A378A">
              <w:rPr>
                <w:i/>
                <w:iCs/>
              </w:rPr>
              <w:t xml:space="preserve">Pinus </w:t>
            </w:r>
            <w:proofErr w:type="spellStart"/>
            <w:r w:rsidRPr="004A378A">
              <w:rPr>
                <w:i/>
                <w:iCs/>
              </w:rPr>
              <w:t>sylvestris</w:t>
            </w:r>
            <w:proofErr w:type="spellEnd"/>
            <w:r w:rsidRPr="004A378A">
              <w:rPr>
                <w:i/>
                <w:iCs/>
              </w:rPr>
              <w:t xml:space="preserve"> </w:t>
            </w:r>
          </w:p>
        </w:tc>
        <w:tc>
          <w:tcPr>
            <w:tcW w:w="2126" w:type="dxa"/>
          </w:tcPr>
          <w:p w14:paraId="14132A07" w14:textId="33A0B002" w:rsidR="00060F52" w:rsidRPr="004A378A" w:rsidRDefault="00060F52" w:rsidP="007458FB">
            <w:pPr>
              <w:spacing w:before="120" w:after="120"/>
              <w:ind w:left="0" w:firstLine="0"/>
            </w:pPr>
            <w:r w:rsidRPr="004A378A">
              <w:t>Biochar</w:t>
            </w:r>
            <w:r w:rsidR="008E1177">
              <w:t xml:space="preserve"> (10 %</w:t>
            </w:r>
            <w:r w:rsidR="00BC075F">
              <w:t xml:space="preserve"> dose</w:t>
            </w:r>
            <w:r w:rsidR="008E1177">
              <w:t>)</w:t>
            </w:r>
            <w:r w:rsidRPr="004A378A">
              <w:t xml:space="preserve"> with synthetic fertilizer</w:t>
            </w:r>
            <w:r w:rsidR="008E1177">
              <w:t xml:space="preserve"> (100 %</w:t>
            </w:r>
            <w:r w:rsidR="00BC075F">
              <w:t xml:space="preserve"> dose</w:t>
            </w:r>
            <w:r w:rsidR="008E1177">
              <w:t>)</w:t>
            </w:r>
          </w:p>
        </w:tc>
        <w:tc>
          <w:tcPr>
            <w:tcW w:w="2466" w:type="dxa"/>
          </w:tcPr>
          <w:p w14:paraId="3E3FFD26" w14:textId="297F296A" w:rsidR="00060F52" w:rsidRPr="004A378A" w:rsidRDefault="00060F52" w:rsidP="007458FB">
            <w:pPr>
              <w:spacing w:before="120" w:after="120"/>
              <w:ind w:left="0" w:firstLine="0"/>
            </w:pPr>
            <w:r w:rsidRPr="004A378A">
              <w:t>Exhibited maximum shoot dry weight, root dry weight, root length, bud number</w:t>
            </w:r>
            <w:r w:rsidR="00C43245" w:rsidRPr="004A378A">
              <w:t xml:space="preserve"> </w:t>
            </w:r>
            <w:r w:rsidRPr="004A378A">
              <w:t>and DQI</w:t>
            </w:r>
          </w:p>
        </w:tc>
        <w:tc>
          <w:tcPr>
            <w:tcW w:w="1645" w:type="dxa"/>
          </w:tcPr>
          <w:p w14:paraId="37DF73E5" w14:textId="02031FD8" w:rsidR="00060F52" w:rsidRPr="004A378A" w:rsidRDefault="00060F52" w:rsidP="007458FB">
            <w:pPr>
              <w:spacing w:before="120" w:after="120"/>
              <w:ind w:left="0" w:firstLine="0"/>
            </w:pPr>
            <w:proofErr w:type="spellStart"/>
            <w:r w:rsidRPr="004A378A">
              <w:t>Koster</w:t>
            </w:r>
            <w:proofErr w:type="spellEnd"/>
            <w:r w:rsidRPr="004A378A">
              <w:t xml:space="preserve"> </w:t>
            </w:r>
            <w:r w:rsidRPr="00344CD7">
              <w:t>et al</w:t>
            </w:r>
            <w:r w:rsidRPr="004A378A">
              <w:rPr>
                <w:i/>
                <w:iCs/>
              </w:rPr>
              <w:t xml:space="preserve">. </w:t>
            </w:r>
            <w:r w:rsidRPr="004A378A">
              <w:t>(2021)</w:t>
            </w:r>
          </w:p>
        </w:tc>
      </w:tr>
      <w:tr w:rsidR="00077B54" w:rsidRPr="004A378A" w14:paraId="19E4C401" w14:textId="77777777" w:rsidTr="00092F90">
        <w:tc>
          <w:tcPr>
            <w:tcW w:w="817" w:type="dxa"/>
          </w:tcPr>
          <w:p w14:paraId="25345E81" w14:textId="78401075" w:rsidR="00077B54" w:rsidRPr="004A378A" w:rsidRDefault="00077B54" w:rsidP="007458FB">
            <w:pPr>
              <w:spacing w:before="120" w:after="120"/>
              <w:ind w:left="0" w:firstLine="0"/>
            </w:pPr>
            <w:r>
              <w:t>3</w:t>
            </w:r>
          </w:p>
        </w:tc>
        <w:tc>
          <w:tcPr>
            <w:tcW w:w="1985" w:type="dxa"/>
          </w:tcPr>
          <w:p w14:paraId="651A3D9F" w14:textId="24609FEF" w:rsidR="00077B54" w:rsidRPr="004A378A" w:rsidRDefault="00077B54" w:rsidP="007458FB">
            <w:pPr>
              <w:spacing w:before="120" w:after="120"/>
              <w:ind w:left="0" w:firstLine="0"/>
              <w:rPr>
                <w:i/>
                <w:iCs/>
              </w:rPr>
            </w:pPr>
            <w:r w:rsidRPr="004A378A">
              <w:rPr>
                <w:i/>
                <w:iCs/>
              </w:rPr>
              <w:t>Betula pendula</w:t>
            </w:r>
          </w:p>
        </w:tc>
        <w:tc>
          <w:tcPr>
            <w:tcW w:w="2126" w:type="dxa"/>
          </w:tcPr>
          <w:p w14:paraId="3ABAF6E5" w14:textId="0B2D1AA9" w:rsidR="00077B54" w:rsidRPr="004A378A" w:rsidRDefault="008E1177" w:rsidP="007458FB">
            <w:pPr>
              <w:spacing w:before="120" w:after="120"/>
              <w:ind w:left="0" w:firstLine="0"/>
            </w:pPr>
            <w:r w:rsidRPr="004A378A">
              <w:t>Biochar</w:t>
            </w:r>
            <w:r>
              <w:t xml:space="preserve"> (10 %</w:t>
            </w:r>
            <w:r w:rsidR="00BC075F">
              <w:t xml:space="preserve"> dose</w:t>
            </w:r>
            <w:r>
              <w:t>)</w:t>
            </w:r>
            <w:r w:rsidRPr="004A378A">
              <w:t xml:space="preserve"> with synthetic fertilizer</w:t>
            </w:r>
            <w:r>
              <w:t xml:space="preserve"> (100 %</w:t>
            </w:r>
            <w:r w:rsidR="00BC075F">
              <w:t xml:space="preserve"> dose</w:t>
            </w:r>
            <w:r>
              <w:t>)</w:t>
            </w:r>
          </w:p>
        </w:tc>
        <w:tc>
          <w:tcPr>
            <w:tcW w:w="2466" w:type="dxa"/>
          </w:tcPr>
          <w:p w14:paraId="319E8BE1" w14:textId="277597C5" w:rsidR="00077B54" w:rsidRPr="004A378A" w:rsidRDefault="00181017" w:rsidP="00181017">
            <w:pPr>
              <w:spacing w:before="120" w:after="120"/>
              <w:ind w:left="0" w:firstLine="0"/>
            </w:pPr>
            <w:r>
              <w:t xml:space="preserve">Enhance growth </w:t>
            </w:r>
            <w:r w:rsidR="00C17869">
              <w:t>of collar</w:t>
            </w:r>
            <w:r w:rsidR="00077B54" w:rsidRPr="00745824">
              <w:t xml:space="preserve"> diameter</w:t>
            </w:r>
            <w:r w:rsidR="00077B54">
              <w:t xml:space="preserve">, </w:t>
            </w:r>
            <w:r w:rsidR="00077B54" w:rsidRPr="00745824">
              <w:t>shoot</w:t>
            </w:r>
            <w:r w:rsidR="00077B54">
              <w:t xml:space="preserve"> dry weight</w:t>
            </w:r>
            <w:r w:rsidR="00077B54" w:rsidRPr="00745824">
              <w:t>, root</w:t>
            </w:r>
            <w:r w:rsidR="00077B54">
              <w:t xml:space="preserve"> dry weight, </w:t>
            </w:r>
            <w:r w:rsidR="00077B54" w:rsidRPr="00745824">
              <w:t>bud number</w:t>
            </w:r>
            <w:r>
              <w:t xml:space="preserve"> and</w:t>
            </w:r>
            <w:r w:rsidR="00077B54" w:rsidRPr="00745824">
              <w:t xml:space="preserve"> DQI</w:t>
            </w:r>
          </w:p>
        </w:tc>
        <w:tc>
          <w:tcPr>
            <w:tcW w:w="1645" w:type="dxa"/>
          </w:tcPr>
          <w:p w14:paraId="2A6904AA" w14:textId="78366037" w:rsidR="00077B54" w:rsidRPr="004A378A" w:rsidRDefault="00077B54" w:rsidP="007458FB">
            <w:pPr>
              <w:spacing w:before="120" w:after="120"/>
              <w:ind w:left="0" w:firstLine="0"/>
            </w:pPr>
            <w:proofErr w:type="spellStart"/>
            <w:r w:rsidRPr="004A378A">
              <w:t>Koster</w:t>
            </w:r>
            <w:proofErr w:type="spellEnd"/>
            <w:r w:rsidRPr="004A378A">
              <w:t xml:space="preserve"> </w:t>
            </w:r>
            <w:r w:rsidRPr="00344CD7">
              <w:t>et al</w:t>
            </w:r>
            <w:r w:rsidRPr="004A378A">
              <w:rPr>
                <w:i/>
                <w:iCs/>
              </w:rPr>
              <w:t xml:space="preserve">. </w:t>
            </w:r>
            <w:r w:rsidRPr="004A378A">
              <w:t>(2021)</w:t>
            </w:r>
          </w:p>
        </w:tc>
      </w:tr>
    </w:tbl>
    <w:p w14:paraId="03FD7B5B" w14:textId="77777777" w:rsidR="007506D2" w:rsidRDefault="007506D2" w:rsidP="007458FB">
      <w:pPr>
        <w:spacing w:before="120" w:after="120"/>
        <w:ind w:left="0" w:firstLine="0"/>
        <w:rPr>
          <w:b/>
          <w:bCs/>
        </w:rPr>
      </w:pPr>
    </w:p>
    <w:p w14:paraId="642F1A07" w14:textId="43F4FEC6" w:rsidR="0060234E" w:rsidRPr="007506D2" w:rsidRDefault="0060234E" w:rsidP="007458FB">
      <w:pPr>
        <w:pStyle w:val="ListParagraph"/>
        <w:numPr>
          <w:ilvl w:val="0"/>
          <w:numId w:val="9"/>
        </w:numPr>
        <w:spacing w:before="120" w:after="120"/>
        <w:rPr>
          <w:b/>
          <w:bCs/>
        </w:rPr>
      </w:pPr>
      <w:r w:rsidRPr="007506D2">
        <w:rPr>
          <w:b/>
          <w:bCs/>
        </w:rPr>
        <w:t xml:space="preserve">Induction </w:t>
      </w:r>
      <w:r w:rsidR="00D079E7">
        <w:rPr>
          <w:b/>
          <w:bCs/>
        </w:rPr>
        <w:t>o</w:t>
      </w:r>
      <w:r w:rsidR="00D079E7" w:rsidRPr="007506D2">
        <w:rPr>
          <w:b/>
          <w:bCs/>
        </w:rPr>
        <w:t xml:space="preserve">f Resistance Against Pest </w:t>
      </w:r>
    </w:p>
    <w:p w14:paraId="0CF11064" w14:textId="77777777" w:rsidR="004C4087" w:rsidRDefault="0060234E" w:rsidP="004C4087">
      <w:pPr>
        <w:spacing w:before="120" w:after="120"/>
        <w:ind w:left="0"/>
      </w:pPr>
      <w:r w:rsidRPr="004A378A">
        <w:t xml:space="preserve">      </w:t>
      </w:r>
      <w:r w:rsidR="009541FE" w:rsidRPr="004A378A">
        <w:t xml:space="preserve"> </w:t>
      </w:r>
      <w:r w:rsidR="009541FE" w:rsidRPr="004A378A">
        <w:tab/>
      </w:r>
      <w:r w:rsidR="00B37954">
        <w:tab/>
      </w:r>
      <w:r w:rsidR="004C4087" w:rsidRPr="004A378A">
        <w:t xml:space="preserve">Nursery-raised tree seedlings are highly vulnerable to insect pests, which can affect growth, reduce seedling quality and increase mortality. The influence of biochar in the induction of resistance and quality seedling production of important tree species is depicted in Table </w:t>
      </w:r>
      <w:r w:rsidR="004C4087">
        <w:t>4</w:t>
      </w:r>
      <w:r w:rsidR="004C4087" w:rsidRPr="004A378A">
        <w:t>.</w:t>
      </w:r>
      <w:r w:rsidR="004C4087">
        <w:t xml:space="preserve"> </w:t>
      </w:r>
    </w:p>
    <w:p w14:paraId="170E7B16" w14:textId="77777777" w:rsidR="004C4087" w:rsidRPr="004A378A" w:rsidRDefault="004C4087" w:rsidP="004C4087">
      <w:pPr>
        <w:spacing w:before="120" w:after="120"/>
        <w:ind w:left="0" w:firstLine="720"/>
      </w:pPr>
      <w:r w:rsidRPr="004A378A">
        <w:t xml:space="preserve">Zwart and Kim (2012) evaluated the biochar amendment on induce pest resistance against </w:t>
      </w:r>
      <w:r w:rsidRPr="004A378A">
        <w:rPr>
          <w:i/>
          <w:iCs/>
        </w:rPr>
        <w:t>Phytophthora</w:t>
      </w:r>
      <w:r w:rsidRPr="004A378A">
        <w:t xml:space="preserve"> stem canker in tree seedlings of red maple (</w:t>
      </w:r>
      <w:r w:rsidRPr="004A378A">
        <w:rPr>
          <w:i/>
          <w:iCs/>
        </w:rPr>
        <w:t>Acer rubrum</w:t>
      </w:r>
      <w:r w:rsidRPr="004A378A">
        <w:t>) and red oak (</w:t>
      </w:r>
      <w:r w:rsidRPr="004A378A">
        <w:rPr>
          <w:i/>
          <w:iCs/>
        </w:rPr>
        <w:t>Quercus rubra</w:t>
      </w:r>
      <w:r w:rsidRPr="004A378A">
        <w:t xml:space="preserve">). Seedlings were grown in peat based potting media amended with different dose biochar (v/v) and artificially inoculated with </w:t>
      </w:r>
      <w:r w:rsidRPr="004A378A">
        <w:rPr>
          <w:i/>
          <w:iCs/>
        </w:rPr>
        <w:t xml:space="preserve">Phytophthora </w:t>
      </w:r>
      <w:proofErr w:type="spellStart"/>
      <w:r w:rsidRPr="004A378A">
        <w:rPr>
          <w:i/>
          <w:iCs/>
        </w:rPr>
        <w:t>cactorum</w:t>
      </w:r>
      <w:proofErr w:type="spellEnd"/>
      <w:r w:rsidRPr="004A378A">
        <w:t xml:space="preserve"> (in red maple) and </w:t>
      </w:r>
      <w:r w:rsidRPr="004A378A">
        <w:rPr>
          <w:i/>
          <w:iCs/>
        </w:rPr>
        <w:t xml:space="preserve">P. </w:t>
      </w:r>
      <w:proofErr w:type="spellStart"/>
      <w:r w:rsidRPr="004A378A">
        <w:rPr>
          <w:i/>
          <w:iCs/>
        </w:rPr>
        <w:t>cinnamomi</w:t>
      </w:r>
      <w:proofErr w:type="spellEnd"/>
      <w:r w:rsidRPr="004A378A">
        <w:t xml:space="preserve"> (in red oak). Results </w:t>
      </w:r>
      <w:r>
        <w:t>confirmed,</w:t>
      </w:r>
      <w:r w:rsidRPr="004A378A">
        <w:t xml:space="preserve"> 5 % biochar was the most effective rate, which significantly reducing horizontal as well as vertical lesion expansion in both the tree species. Moreover, in maple, 5 % biochar treatment, increased the stem biomass, whereas higher rates (10-20 %) of biochar w</w:t>
      </w:r>
      <w:r>
        <w:t>as</w:t>
      </w:r>
      <w:r w:rsidRPr="004A378A">
        <w:t xml:space="preserve"> less effective. Simultaneously in red oak, 5 % biochar treatment resulted in the maximum (least negative) stem water potential, indicating reduced physiological stress. Overall, the study </w:t>
      </w:r>
      <w:r>
        <w:t>recommends,</w:t>
      </w:r>
      <w:r w:rsidRPr="004A378A">
        <w:t xml:space="preserve"> low dose biochar (5 %) can induce systemic resistance and alleviate disease progression of seedlings of red maple and red oak. </w:t>
      </w:r>
    </w:p>
    <w:p w14:paraId="3B86ED40" w14:textId="4F237343" w:rsidR="00C9449F" w:rsidRDefault="00C9449F" w:rsidP="007458FB">
      <w:pPr>
        <w:spacing w:before="120" w:after="120"/>
        <w:ind w:left="0"/>
        <w:rPr>
          <w:b/>
          <w:bCs/>
        </w:rPr>
      </w:pPr>
    </w:p>
    <w:p w14:paraId="36259F18" w14:textId="44D85E91" w:rsidR="009A5ADF" w:rsidRPr="004A378A" w:rsidRDefault="00C9449F" w:rsidP="00DD76F3">
      <w:pPr>
        <w:spacing w:before="120" w:after="120"/>
        <w:ind w:left="0"/>
        <w:rPr>
          <w:b/>
          <w:bCs/>
        </w:rPr>
      </w:pPr>
      <w:r>
        <w:rPr>
          <w:b/>
          <w:bCs/>
        </w:rPr>
        <w:t xml:space="preserve">     </w:t>
      </w:r>
      <w:r w:rsidR="00C43245" w:rsidRPr="004A378A">
        <w:rPr>
          <w:b/>
          <w:bCs/>
        </w:rPr>
        <w:t xml:space="preserve">Table </w:t>
      </w:r>
      <w:r w:rsidR="001130AC">
        <w:rPr>
          <w:b/>
          <w:bCs/>
        </w:rPr>
        <w:t>4</w:t>
      </w:r>
      <w:r w:rsidR="00C43245" w:rsidRPr="004A378A">
        <w:rPr>
          <w:b/>
          <w:bCs/>
        </w:rPr>
        <w:t xml:space="preserve">. </w:t>
      </w:r>
      <w:r w:rsidR="00D079E7" w:rsidRPr="004A378A">
        <w:rPr>
          <w:b/>
          <w:bCs/>
        </w:rPr>
        <w:t xml:space="preserve">Influence </w:t>
      </w:r>
      <w:r w:rsidR="00D079E7">
        <w:rPr>
          <w:b/>
          <w:bCs/>
        </w:rPr>
        <w:t>o</w:t>
      </w:r>
      <w:r w:rsidR="00D079E7" w:rsidRPr="004A378A">
        <w:rPr>
          <w:b/>
          <w:bCs/>
        </w:rPr>
        <w:t xml:space="preserve">f Biochar </w:t>
      </w:r>
      <w:r w:rsidR="00D079E7">
        <w:rPr>
          <w:b/>
          <w:bCs/>
        </w:rPr>
        <w:t>i</w:t>
      </w:r>
      <w:r w:rsidR="00D079E7" w:rsidRPr="004A378A">
        <w:rPr>
          <w:b/>
          <w:bCs/>
        </w:rPr>
        <w:t xml:space="preserve">n </w:t>
      </w:r>
      <w:r w:rsidR="00D079E7">
        <w:rPr>
          <w:b/>
          <w:bCs/>
        </w:rPr>
        <w:t>t</w:t>
      </w:r>
      <w:r w:rsidR="00D079E7" w:rsidRPr="004A378A">
        <w:rPr>
          <w:b/>
          <w:bCs/>
        </w:rPr>
        <w:t xml:space="preserve">he Induction </w:t>
      </w:r>
      <w:r w:rsidR="00D079E7">
        <w:rPr>
          <w:b/>
          <w:bCs/>
        </w:rPr>
        <w:t>o</w:t>
      </w:r>
      <w:r w:rsidR="00D079E7" w:rsidRPr="004A378A">
        <w:rPr>
          <w:b/>
          <w:bCs/>
        </w:rPr>
        <w:t xml:space="preserve">f Resistance </w:t>
      </w:r>
      <w:r w:rsidR="00D079E7">
        <w:rPr>
          <w:b/>
          <w:bCs/>
        </w:rPr>
        <w:t>a</w:t>
      </w:r>
      <w:r w:rsidR="00D079E7" w:rsidRPr="004A378A">
        <w:rPr>
          <w:b/>
          <w:bCs/>
        </w:rPr>
        <w:t xml:space="preserve">nd Quality Seedling </w:t>
      </w:r>
      <w:r w:rsidR="00D079E7">
        <w:rPr>
          <w:b/>
          <w:bCs/>
        </w:rPr>
        <w:tab/>
      </w:r>
      <w:r w:rsidR="00D079E7" w:rsidRPr="004A378A">
        <w:rPr>
          <w:b/>
          <w:bCs/>
        </w:rPr>
        <w:t xml:space="preserve">Production </w:t>
      </w:r>
      <w:r w:rsidR="00D079E7">
        <w:rPr>
          <w:b/>
          <w:bCs/>
        </w:rPr>
        <w:t>o</w:t>
      </w:r>
      <w:r w:rsidR="00D079E7" w:rsidRPr="004A378A">
        <w:rPr>
          <w:b/>
          <w:bCs/>
        </w:rPr>
        <w:t>f Important Tree Species</w:t>
      </w:r>
    </w:p>
    <w:tbl>
      <w:tblPr>
        <w:tblStyle w:val="TableGrid0"/>
        <w:tblW w:w="0" w:type="auto"/>
        <w:tblLook w:val="04A0" w:firstRow="1" w:lastRow="0" w:firstColumn="1" w:lastColumn="0" w:noHBand="0" w:noVBand="1"/>
      </w:tblPr>
      <w:tblGrid>
        <w:gridCol w:w="1265"/>
        <w:gridCol w:w="1111"/>
        <w:gridCol w:w="1560"/>
        <w:gridCol w:w="1337"/>
        <w:gridCol w:w="2243"/>
        <w:gridCol w:w="1394"/>
      </w:tblGrid>
      <w:tr w:rsidR="009A5ADF" w:rsidRPr="004A378A" w14:paraId="692DFEBD" w14:textId="77777777" w:rsidTr="007506D2">
        <w:trPr>
          <w:trHeight w:val="542"/>
        </w:trPr>
        <w:tc>
          <w:tcPr>
            <w:tcW w:w="1265" w:type="dxa"/>
          </w:tcPr>
          <w:p w14:paraId="3145D66B" w14:textId="15FE9ADB" w:rsidR="009A5ADF" w:rsidRPr="004A378A" w:rsidRDefault="009A5ADF" w:rsidP="007458FB">
            <w:pPr>
              <w:spacing w:before="120" w:after="120"/>
              <w:ind w:left="0" w:firstLine="0"/>
            </w:pPr>
            <w:r w:rsidRPr="004A378A">
              <w:rPr>
                <w:b/>
                <w:bCs/>
              </w:rPr>
              <w:t>Sr. no</w:t>
            </w:r>
          </w:p>
        </w:tc>
        <w:tc>
          <w:tcPr>
            <w:tcW w:w="1111" w:type="dxa"/>
          </w:tcPr>
          <w:p w14:paraId="5F3FA641" w14:textId="638772E9" w:rsidR="009A5ADF" w:rsidRPr="004A378A" w:rsidRDefault="009A5ADF" w:rsidP="007458FB">
            <w:pPr>
              <w:spacing w:before="120" w:after="120"/>
              <w:ind w:left="0" w:firstLine="0"/>
            </w:pPr>
            <w:r w:rsidRPr="004A378A">
              <w:rPr>
                <w:rFonts w:eastAsia="Arial"/>
                <w:b/>
                <w:bCs/>
              </w:rPr>
              <w:t xml:space="preserve">Name of species  </w:t>
            </w:r>
          </w:p>
        </w:tc>
        <w:tc>
          <w:tcPr>
            <w:tcW w:w="1560" w:type="dxa"/>
          </w:tcPr>
          <w:p w14:paraId="08008737" w14:textId="4C05DBD6" w:rsidR="009A5ADF" w:rsidRPr="004A378A" w:rsidRDefault="009A5ADF" w:rsidP="007458FB">
            <w:pPr>
              <w:spacing w:before="120" w:after="120"/>
              <w:ind w:left="0" w:firstLine="0"/>
              <w:rPr>
                <w:b/>
                <w:bCs/>
              </w:rPr>
            </w:pPr>
            <w:r w:rsidRPr="004A378A">
              <w:rPr>
                <w:b/>
                <w:bCs/>
              </w:rPr>
              <w:t>Inoculation</w:t>
            </w:r>
          </w:p>
        </w:tc>
        <w:tc>
          <w:tcPr>
            <w:tcW w:w="1336" w:type="dxa"/>
          </w:tcPr>
          <w:p w14:paraId="27D9EE39" w14:textId="032A475E" w:rsidR="009A5ADF" w:rsidRPr="004A378A" w:rsidRDefault="009A5ADF" w:rsidP="007458FB">
            <w:pPr>
              <w:spacing w:before="120" w:after="120"/>
              <w:ind w:left="0" w:firstLine="0"/>
            </w:pPr>
            <w:r w:rsidRPr="004A378A">
              <w:rPr>
                <w:b/>
                <w:bCs/>
              </w:rPr>
              <w:t>Biochar treatment</w:t>
            </w:r>
          </w:p>
        </w:tc>
        <w:tc>
          <w:tcPr>
            <w:tcW w:w="2243" w:type="dxa"/>
          </w:tcPr>
          <w:p w14:paraId="6E94B5AE" w14:textId="49A8E7F4" w:rsidR="009A5ADF" w:rsidRPr="004A378A" w:rsidRDefault="009A5ADF" w:rsidP="007458FB">
            <w:pPr>
              <w:spacing w:before="120" w:after="120"/>
              <w:ind w:left="0" w:firstLine="0"/>
            </w:pPr>
            <w:r w:rsidRPr="004A378A">
              <w:rPr>
                <w:rFonts w:eastAsia="Arial"/>
                <w:b/>
                <w:bCs/>
              </w:rPr>
              <w:t>Characters of quality seedling production</w:t>
            </w:r>
          </w:p>
        </w:tc>
        <w:tc>
          <w:tcPr>
            <w:tcW w:w="1394" w:type="dxa"/>
          </w:tcPr>
          <w:p w14:paraId="5A0ABE29" w14:textId="6FD75B9F" w:rsidR="009A5ADF" w:rsidRPr="004A378A" w:rsidRDefault="009A5ADF" w:rsidP="007458FB">
            <w:pPr>
              <w:spacing w:before="120" w:after="120"/>
              <w:ind w:left="0" w:firstLine="0"/>
            </w:pPr>
            <w:r w:rsidRPr="004A378A">
              <w:rPr>
                <w:b/>
                <w:bCs/>
              </w:rPr>
              <w:t>Source</w:t>
            </w:r>
          </w:p>
        </w:tc>
      </w:tr>
      <w:tr w:rsidR="009A5ADF" w:rsidRPr="004A378A" w14:paraId="245A3240" w14:textId="77777777" w:rsidTr="007506D2">
        <w:trPr>
          <w:trHeight w:val="945"/>
        </w:trPr>
        <w:tc>
          <w:tcPr>
            <w:tcW w:w="1265" w:type="dxa"/>
          </w:tcPr>
          <w:p w14:paraId="24927C51" w14:textId="5355DC60" w:rsidR="009A5ADF" w:rsidRPr="004A378A" w:rsidRDefault="009A5ADF" w:rsidP="007458FB">
            <w:pPr>
              <w:spacing w:before="120" w:after="120"/>
              <w:ind w:left="0" w:firstLine="0"/>
            </w:pPr>
            <w:r w:rsidRPr="004A378A">
              <w:t>1</w:t>
            </w:r>
          </w:p>
        </w:tc>
        <w:tc>
          <w:tcPr>
            <w:tcW w:w="1111" w:type="dxa"/>
          </w:tcPr>
          <w:p w14:paraId="22B7F93B" w14:textId="2D7450C4" w:rsidR="009A5ADF" w:rsidRPr="004A378A" w:rsidRDefault="009A5ADF" w:rsidP="007458FB">
            <w:pPr>
              <w:spacing w:before="120" w:after="120"/>
              <w:ind w:left="0" w:firstLine="0"/>
            </w:pPr>
            <w:r w:rsidRPr="004A378A">
              <w:rPr>
                <w:i/>
                <w:iCs/>
              </w:rPr>
              <w:t>Acer rubrum</w:t>
            </w:r>
            <w:r w:rsidRPr="004A378A">
              <w:t xml:space="preserve">  </w:t>
            </w:r>
          </w:p>
        </w:tc>
        <w:tc>
          <w:tcPr>
            <w:tcW w:w="1560" w:type="dxa"/>
          </w:tcPr>
          <w:p w14:paraId="74276B10" w14:textId="0D54C95A" w:rsidR="009A5ADF" w:rsidRPr="004A378A" w:rsidRDefault="009A5ADF" w:rsidP="007458FB">
            <w:pPr>
              <w:spacing w:before="120" w:after="120"/>
              <w:ind w:left="0" w:firstLine="0"/>
            </w:pPr>
            <w:r w:rsidRPr="004A378A">
              <w:rPr>
                <w:i/>
                <w:iCs/>
              </w:rPr>
              <w:t xml:space="preserve">Phytophthora </w:t>
            </w:r>
            <w:proofErr w:type="spellStart"/>
            <w:r w:rsidRPr="004A378A">
              <w:rPr>
                <w:i/>
                <w:iCs/>
              </w:rPr>
              <w:t>cactorum</w:t>
            </w:r>
            <w:proofErr w:type="spellEnd"/>
          </w:p>
        </w:tc>
        <w:tc>
          <w:tcPr>
            <w:tcW w:w="1336" w:type="dxa"/>
          </w:tcPr>
          <w:p w14:paraId="06E1230E" w14:textId="39292BF7" w:rsidR="009A5ADF" w:rsidRPr="004A378A" w:rsidRDefault="009A5ADF" w:rsidP="007458FB">
            <w:pPr>
              <w:spacing w:before="120" w:after="120"/>
              <w:ind w:left="0" w:firstLine="0"/>
            </w:pPr>
            <w:r w:rsidRPr="004A378A">
              <w:t>Biochar amendment</w:t>
            </w:r>
            <w:r w:rsidR="008E1177">
              <w:t xml:space="preserve"> (5 % dose)</w:t>
            </w:r>
          </w:p>
        </w:tc>
        <w:tc>
          <w:tcPr>
            <w:tcW w:w="2243" w:type="dxa"/>
          </w:tcPr>
          <w:p w14:paraId="060A82AB" w14:textId="3FEEB9AD" w:rsidR="009A5ADF" w:rsidRPr="004A378A" w:rsidRDefault="009A5ADF" w:rsidP="007458FB">
            <w:pPr>
              <w:spacing w:before="120" w:after="120"/>
              <w:ind w:left="0" w:firstLine="0"/>
            </w:pPr>
            <w:r w:rsidRPr="004A378A">
              <w:t>Reducing horizontal as well as vertical lesion expansion increase stem biomass</w:t>
            </w:r>
          </w:p>
        </w:tc>
        <w:tc>
          <w:tcPr>
            <w:tcW w:w="1394" w:type="dxa"/>
          </w:tcPr>
          <w:p w14:paraId="5C437E89" w14:textId="2055647C" w:rsidR="009A5ADF" w:rsidRPr="004A378A" w:rsidRDefault="009A5ADF" w:rsidP="007458FB">
            <w:pPr>
              <w:spacing w:before="120" w:after="120"/>
              <w:ind w:left="0" w:firstLine="0"/>
            </w:pPr>
            <w:r w:rsidRPr="004A378A">
              <w:t>Zwart and Kim (2012)</w:t>
            </w:r>
          </w:p>
        </w:tc>
      </w:tr>
      <w:tr w:rsidR="009A5ADF" w:rsidRPr="004A378A" w14:paraId="4811C735" w14:textId="77777777" w:rsidTr="007506D2">
        <w:trPr>
          <w:trHeight w:val="1215"/>
        </w:trPr>
        <w:tc>
          <w:tcPr>
            <w:tcW w:w="1265" w:type="dxa"/>
          </w:tcPr>
          <w:p w14:paraId="5770624A" w14:textId="6D141A5D" w:rsidR="009A5ADF" w:rsidRPr="004A378A" w:rsidRDefault="009A5ADF" w:rsidP="007458FB">
            <w:pPr>
              <w:spacing w:before="120" w:after="120"/>
              <w:ind w:left="0" w:firstLine="0"/>
            </w:pPr>
            <w:r w:rsidRPr="004A378A">
              <w:lastRenderedPageBreak/>
              <w:t>2</w:t>
            </w:r>
          </w:p>
        </w:tc>
        <w:tc>
          <w:tcPr>
            <w:tcW w:w="1111" w:type="dxa"/>
          </w:tcPr>
          <w:p w14:paraId="0D77A360" w14:textId="624B28E5" w:rsidR="009A5ADF" w:rsidRPr="004A378A" w:rsidRDefault="009A5ADF" w:rsidP="007458FB">
            <w:pPr>
              <w:spacing w:before="120" w:after="120"/>
              <w:ind w:left="0" w:firstLine="0"/>
              <w:rPr>
                <w:i/>
                <w:iCs/>
              </w:rPr>
            </w:pPr>
            <w:r w:rsidRPr="004A378A">
              <w:rPr>
                <w:i/>
                <w:iCs/>
              </w:rPr>
              <w:t>Quercus rubra</w:t>
            </w:r>
          </w:p>
        </w:tc>
        <w:tc>
          <w:tcPr>
            <w:tcW w:w="1560" w:type="dxa"/>
          </w:tcPr>
          <w:p w14:paraId="56CBF991" w14:textId="4C4F968B" w:rsidR="009A5ADF" w:rsidRPr="004A378A" w:rsidRDefault="009A5ADF" w:rsidP="007458FB">
            <w:pPr>
              <w:spacing w:before="120" w:after="120"/>
              <w:ind w:left="0" w:firstLine="0"/>
            </w:pPr>
            <w:r w:rsidRPr="004A378A">
              <w:rPr>
                <w:i/>
                <w:iCs/>
              </w:rPr>
              <w:t xml:space="preserve"> Phytophthora </w:t>
            </w:r>
            <w:proofErr w:type="spellStart"/>
            <w:r w:rsidRPr="004A378A">
              <w:rPr>
                <w:i/>
                <w:iCs/>
              </w:rPr>
              <w:t>cinnamomi</w:t>
            </w:r>
            <w:proofErr w:type="spellEnd"/>
          </w:p>
        </w:tc>
        <w:tc>
          <w:tcPr>
            <w:tcW w:w="1336" w:type="dxa"/>
          </w:tcPr>
          <w:p w14:paraId="41C36255" w14:textId="659BAB95" w:rsidR="009A5ADF" w:rsidRPr="004A378A" w:rsidRDefault="009A5ADF" w:rsidP="007458FB">
            <w:pPr>
              <w:spacing w:before="120" w:after="120"/>
              <w:ind w:left="0" w:firstLine="0"/>
            </w:pPr>
            <w:r w:rsidRPr="004A378A">
              <w:t>Biochar amendment</w:t>
            </w:r>
            <w:r w:rsidR="008E1177">
              <w:t xml:space="preserve"> (5 % dose)</w:t>
            </w:r>
          </w:p>
        </w:tc>
        <w:tc>
          <w:tcPr>
            <w:tcW w:w="2243" w:type="dxa"/>
          </w:tcPr>
          <w:p w14:paraId="7FA02327" w14:textId="6F10008D" w:rsidR="009A5ADF" w:rsidRPr="004A378A" w:rsidRDefault="009A5ADF" w:rsidP="007458FB">
            <w:pPr>
              <w:spacing w:before="120" w:after="120"/>
              <w:ind w:left="0" w:firstLine="0"/>
            </w:pPr>
            <w:r w:rsidRPr="004A378A">
              <w:t>Reducing horizontal as well as vertical lesion expansion and maximum (least negative) stem water potential</w:t>
            </w:r>
          </w:p>
        </w:tc>
        <w:tc>
          <w:tcPr>
            <w:tcW w:w="1394" w:type="dxa"/>
          </w:tcPr>
          <w:p w14:paraId="3D718BED" w14:textId="231FE3FA" w:rsidR="009A5ADF" w:rsidRPr="004A378A" w:rsidRDefault="009A5ADF" w:rsidP="007458FB">
            <w:pPr>
              <w:spacing w:before="120" w:after="120"/>
              <w:ind w:left="0" w:firstLine="0"/>
            </w:pPr>
            <w:r w:rsidRPr="004A378A">
              <w:t>Zwart and Kim (2012)</w:t>
            </w:r>
          </w:p>
        </w:tc>
      </w:tr>
    </w:tbl>
    <w:p w14:paraId="62D6B643" w14:textId="1A816EB4" w:rsidR="00052D38" w:rsidRPr="00B42A41" w:rsidRDefault="00052D38" w:rsidP="00B42A41">
      <w:pPr>
        <w:spacing w:before="120" w:after="120"/>
        <w:ind w:left="0" w:firstLine="0"/>
      </w:pPr>
      <w:r>
        <w:rPr>
          <w:b/>
          <w:bCs/>
        </w:rPr>
        <w:t>Conclusion</w:t>
      </w:r>
    </w:p>
    <w:p w14:paraId="5CEB44C1" w14:textId="02E30881" w:rsidR="00052D38" w:rsidRPr="00124778" w:rsidRDefault="004C4087" w:rsidP="007458FB">
      <w:pPr>
        <w:spacing w:before="120" w:after="120"/>
        <w:ind w:left="0" w:firstLine="0"/>
        <w:rPr>
          <w:color w:val="000000" w:themeColor="text1"/>
        </w:rPr>
      </w:pPr>
      <w:r>
        <w:rPr>
          <w:color w:val="000000" w:themeColor="text1"/>
        </w:rPr>
        <w:tab/>
      </w:r>
      <w:r w:rsidR="0028484D" w:rsidRPr="0028484D">
        <w:rPr>
          <w:color w:val="000000" w:themeColor="text1"/>
        </w:rPr>
        <w:t xml:space="preserve">Biochar is an efficient and sustainable additive for nursery growing media in forestry. Biochar consistently enhanced seedling growth, biomass distribution, root development, and quality metrics across various tropical and temperate species, including </w:t>
      </w:r>
      <w:r w:rsidR="0028484D" w:rsidRPr="0028484D">
        <w:rPr>
          <w:i/>
          <w:iCs/>
          <w:color w:val="000000" w:themeColor="text1"/>
        </w:rPr>
        <w:t xml:space="preserve">Acacia </w:t>
      </w:r>
      <w:proofErr w:type="spellStart"/>
      <w:r w:rsidR="0028484D" w:rsidRPr="0028484D">
        <w:rPr>
          <w:i/>
          <w:iCs/>
          <w:color w:val="000000" w:themeColor="text1"/>
        </w:rPr>
        <w:t>mangium</w:t>
      </w:r>
      <w:proofErr w:type="spellEnd"/>
      <w:r w:rsidR="0028484D" w:rsidRPr="0028484D">
        <w:rPr>
          <w:i/>
          <w:iCs/>
          <w:color w:val="000000" w:themeColor="text1"/>
        </w:rPr>
        <w:t xml:space="preserve">, Eucalyptus </w:t>
      </w:r>
      <w:proofErr w:type="spellStart"/>
      <w:r w:rsidR="0028484D" w:rsidRPr="0028484D">
        <w:rPr>
          <w:i/>
          <w:iCs/>
          <w:color w:val="000000" w:themeColor="text1"/>
        </w:rPr>
        <w:t>grandis</w:t>
      </w:r>
      <w:proofErr w:type="spellEnd"/>
      <w:r w:rsidR="0028484D" w:rsidRPr="0028484D">
        <w:rPr>
          <w:i/>
          <w:iCs/>
          <w:color w:val="000000" w:themeColor="text1"/>
        </w:rPr>
        <w:t xml:space="preserve">, Pinus </w:t>
      </w:r>
      <w:proofErr w:type="spellStart"/>
      <w:r w:rsidR="0028484D" w:rsidRPr="0028484D">
        <w:rPr>
          <w:i/>
          <w:iCs/>
          <w:color w:val="000000" w:themeColor="text1"/>
        </w:rPr>
        <w:t>sylvestris</w:t>
      </w:r>
      <w:proofErr w:type="spellEnd"/>
      <w:r w:rsidR="0028484D" w:rsidRPr="0028484D">
        <w:rPr>
          <w:i/>
          <w:iCs/>
          <w:color w:val="000000" w:themeColor="text1"/>
        </w:rPr>
        <w:t xml:space="preserve">, </w:t>
      </w:r>
      <w:r w:rsidR="0028484D" w:rsidRPr="0028484D">
        <w:rPr>
          <w:color w:val="000000" w:themeColor="text1"/>
        </w:rPr>
        <w:t>and</w:t>
      </w:r>
      <w:r w:rsidR="0028484D" w:rsidRPr="0028484D">
        <w:rPr>
          <w:i/>
          <w:iCs/>
          <w:color w:val="000000" w:themeColor="text1"/>
        </w:rPr>
        <w:t xml:space="preserve"> Quercus </w:t>
      </w:r>
      <w:proofErr w:type="spellStart"/>
      <w:r w:rsidR="0028484D" w:rsidRPr="0028484D">
        <w:rPr>
          <w:i/>
          <w:iCs/>
          <w:color w:val="000000" w:themeColor="text1"/>
        </w:rPr>
        <w:t>castaneifolia</w:t>
      </w:r>
      <w:proofErr w:type="spellEnd"/>
      <w:r w:rsidR="0028484D" w:rsidRPr="0028484D">
        <w:rPr>
          <w:i/>
          <w:iCs/>
          <w:color w:val="000000" w:themeColor="text1"/>
        </w:rPr>
        <w:t>.</w:t>
      </w:r>
      <w:r w:rsidR="0028484D" w:rsidRPr="0028484D">
        <w:rPr>
          <w:color w:val="000000" w:themeColor="text1"/>
        </w:rPr>
        <w:t xml:space="preserve"> Additionally, biochar promotes resilience against drought and diminishes Phytophthora infection. The advantages are primarily ascribed to improve water retention, nutrient accessibility, microbial activity and stress resilience. Nonetheless, the application of low to moderate biochar rates (3-10</w:t>
      </w:r>
      <w:r w:rsidR="00CB4B28">
        <w:rPr>
          <w:color w:val="000000" w:themeColor="text1"/>
        </w:rPr>
        <w:t xml:space="preserve"> </w:t>
      </w:r>
      <w:r w:rsidR="0028484D" w:rsidRPr="0028484D">
        <w:rPr>
          <w:color w:val="000000" w:themeColor="text1"/>
        </w:rPr>
        <w:t>%) and the selection of appropriate feedstock are essential for optimizing performance. Furthermore, biochar exhibits enhanced efficacy when utilized alongside chemical fertilizers, organic manures (such as poultry manure, farmyard manure, cow dung slurry and cow urine) and beneficial microorganisms (including arbuscular mycorrhizal fungi). Incorporating biochar into nursery practices presents a pragmatic, climate-resilient approach for cultivating superior seedlings, enhancing post-planting survival and promoting sustainable forestry methods.</w:t>
      </w:r>
    </w:p>
    <w:p w14:paraId="5EFA2806" w14:textId="77777777" w:rsidR="00145D52" w:rsidRDefault="00145D52" w:rsidP="00D82C89">
      <w:pPr>
        <w:spacing w:before="120" w:after="120"/>
        <w:rPr>
          <w:b/>
          <w:bCs/>
        </w:rPr>
      </w:pPr>
    </w:p>
    <w:p w14:paraId="511A6A3F" w14:textId="67E1DD78" w:rsidR="00943AA5" w:rsidRPr="00D82C89" w:rsidRDefault="00124778" w:rsidP="00D82C89">
      <w:pPr>
        <w:spacing w:before="120" w:after="120"/>
        <w:rPr>
          <w:b/>
          <w:bCs/>
        </w:rPr>
      </w:pPr>
      <w:r w:rsidRPr="00124778">
        <w:rPr>
          <w:b/>
          <w:bCs/>
        </w:rPr>
        <w:t>Reference</w:t>
      </w:r>
    </w:p>
    <w:p w14:paraId="264CA476"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rPr>
        <w:t xml:space="preserve">Afolabi, J. O., Abiodun, F. O., </w:t>
      </w:r>
      <w:proofErr w:type="spellStart"/>
      <w:r w:rsidRPr="00325027">
        <w:rPr>
          <w:color w:val="auto"/>
          <w:shd w:val="clear" w:color="auto" w:fill="FFFFFF"/>
        </w:rPr>
        <w:t>Ojo</w:t>
      </w:r>
      <w:proofErr w:type="spellEnd"/>
      <w:r w:rsidRPr="00325027">
        <w:rPr>
          <w:color w:val="auto"/>
          <w:shd w:val="clear" w:color="auto" w:fill="FFFFFF"/>
        </w:rPr>
        <w:t xml:space="preserve">, P. A., &amp; </w:t>
      </w:r>
      <w:proofErr w:type="spellStart"/>
      <w:r w:rsidRPr="00325027">
        <w:rPr>
          <w:color w:val="auto"/>
          <w:shd w:val="clear" w:color="auto" w:fill="FFFFFF"/>
        </w:rPr>
        <w:t>Ogunwande</w:t>
      </w:r>
      <w:proofErr w:type="spellEnd"/>
      <w:r w:rsidRPr="00325027">
        <w:rPr>
          <w:color w:val="auto"/>
          <w:shd w:val="clear" w:color="auto" w:fill="FFFFFF"/>
        </w:rPr>
        <w:t xml:space="preserve">, O. A. (2021). Influence of watering regimes and bamboo biochar on the growth and biomass partitioning of </w:t>
      </w:r>
      <w:proofErr w:type="spellStart"/>
      <w:r w:rsidRPr="00325027">
        <w:rPr>
          <w:i/>
          <w:color w:val="auto"/>
          <w:shd w:val="clear" w:color="auto" w:fill="FFFFFF"/>
        </w:rPr>
        <w:t>Neolamarckia</w:t>
      </w:r>
      <w:proofErr w:type="spellEnd"/>
      <w:r w:rsidRPr="00325027">
        <w:rPr>
          <w:color w:val="auto"/>
          <w:shd w:val="clear" w:color="auto" w:fill="FFFFFF"/>
        </w:rPr>
        <w:t xml:space="preserve"> </w:t>
      </w:r>
      <w:proofErr w:type="spellStart"/>
      <w:r w:rsidRPr="00325027">
        <w:rPr>
          <w:i/>
          <w:color w:val="auto"/>
          <w:shd w:val="clear" w:color="auto" w:fill="FFFFFF"/>
        </w:rPr>
        <w:t>cadamba</w:t>
      </w:r>
      <w:proofErr w:type="spellEnd"/>
      <w:r w:rsidRPr="00325027">
        <w:rPr>
          <w:color w:val="auto"/>
          <w:shd w:val="clear" w:color="auto" w:fill="FFFFFF"/>
        </w:rPr>
        <w:t xml:space="preserve"> (</w:t>
      </w:r>
      <w:proofErr w:type="spellStart"/>
      <w:r w:rsidRPr="00325027">
        <w:rPr>
          <w:color w:val="auto"/>
          <w:shd w:val="clear" w:color="auto" w:fill="FFFFFF"/>
        </w:rPr>
        <w:t>Roxb</w:t>
      </w:r>
      <w:proofErr w:type="spellEnd"/>
      <w:r w:rsidRPr="00325027">
        <w:rPr>
          <w:color w:val="auto"/>
          <w:shd w:val="clear" w:color="auto" w:fill="FFFFFF"/>
        </w:rPr>
        <w:t xml:space="preserve">.) </w:t>
      </w:r>
      <w:proofErr w:type="spellStart"/>
      <w:r w:rsidRPr="00325027">
        <w:rPr>
          <w:color w:val="auto"/>
          <w:shd w:val="clear" w:color="auto" w:fill="FFFFFF"/>
        </w:rPr>
        <w:t>Miq</w:t>
      </w:r>
      <w:proofErr w:type="spellEnd"/>
      <w:r w:rsidRPr="00325027">
        <w:rPr>
          <w:color w:val="auto"/>
          <w:shd w:val="clear" w:color="auto" w:fill="FFFFFF"/>
        </w:rPr>
        <w:t xml:space="preserve">. seedlings on an </w:t>
      </w:r>
      <w:proofErr w:type="spellStart"/>
      <w:r w:rsidRPr="00325027">
        <w:rPr>
          <w:color w:val="auto"/>
          <w:shd w:val="clear" w:color="auto" w:fill="FFFFFF"/>
        </w:rPr>
        <w:t>alfisol</w:t>
      </w:r>
      <w:proofErr w:type="spellEnd"/>
      <w:r w:rsidRPr="00325027">
        <w:rPr>
          <w:color w:val="auto"/>
          <w:shd w:val="clear" w:color="auto" w:fill="FFFFFF"/>
        </w:rPr>
        <w:t>. </w:t>
      </w:r>
      <w:r w:rsidRPr="00325027">
        <w:rPr>
          <w:i/>
          <w:iCs/>
          <w:color w:val="auto"/>
          <w:shd w:val="clear" w:color="auto" w:fill="FFFFFF"/>
        </w:rPr>
        <w:t>Ethiopian Journal of Environmental Studies and Management</w:t>
      </w:r>
      <w:r w:rsidRPr="00325027">
        <w:rPr>
          <w:color w:val="auto"/>
          <w:shd w:val="clear" w:color="auto" w:fill="FFFFFF"/>
        </w:rPr>
        <w:t>, </w:t>
      </w:r>
      <w:r w:rsidRPr="00325027">
        <w:rPr>
          <w:iCs/>
          <w:color w:val="auto"/>
          <w:shd w:val="clear" w:color="auto" w:fill="FFFFFF"/>
        </w:rPr>
        <w:t>14</w:t>
      </w:r>
      <w:r w:rsidRPr="00325027">
        <w:rPr>
          <w:color w:val="auto"/>
          <w:shd w:val="clear" w:color="auto" w:fill="FFFFFF"/>
        </w:rPr>
        <w:t>(4), 515-529.</w:t>
      </w:r>
    </w:p>
    <w:p w14:paraId="654E04CD"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rPr>
        <w:t xml:space="preserve">Budi, S. W., &amp; </w:t>
      </w:r>
      <w:proofErr w:type="spellStart"/>
      <w:r w:rsidRPr="00325027">
        <w:rPr>
          <w:color w:val="auto"/>
          <w:shd w:val="clear" w:color="auto" w:fill="FFFFFF"/>
        </w:rPr>
        <w:t>Setyaningsih</w:t>
      </w:r>
      <w:proofErr w:type="spellEnd"/>
      <w:r w:rsidRPr="00325027">
        <w:rPr>
          <w:color w:val="auto"/>
          <w:shd w:val="clear" w:color="auto" w:fill="FFFFFF"/>
        </w:rPr>
        <w:t>, L. (2013). Arbuscular mycorrhizal fungi and biochar improved early growth of neem (</w:t>
      </w:r>
      <w:r w:rsidRPr="00325027">
        <w:rPr>
          <w:i/>
          <w:color w:val="auto"/>
          <w:shd w:val="clear" w:color="auto" w:fill="FFFFFF"/>
        </w:rPr>
        <w:t>Melia</w:t>
      </w:r>
      <w:r w:rsidRPr="00325027">
        <w:rPr>
          <w:color w:val="auto"/>
          <w:shd w:val="clear" w:color="auto" w:fill="FFFFFF"/>
        </w:rPr>
        <w:t xml:space="preserve"> </w:t>
      </w:r>
      <w:r w:rsidRPr="00325027">
        <w:rPr>
          <w:i/>
          <w:color w:val="auto"/>
          <w:shd w:val="clear" w:color="auto" w:fill="FFFFFF"/>
        </w:rPr>
        <w:t>azedarach</w:t>
      </w:r>
      <w:r w:rsidRPr="00325027">
        <w:rPr>
          <w:color w:val="auto"/>
          <w:shd w:val="clear" w:color="auto" w:fill="FFFFFF"/>
        </w:rPr>
        <w:t xml:space="preserve"> Linn.) seedling under greenhouse conditions. </w:t>
      </w:r>
      <w:proofErr w:type="spellStart"/>
      <w:r w:rsidRPr="00325027">
        <w:rPr>
          <w:i/>
          <w:iCs/>
          <w:color w:val="auto"/>
          <w:shd w:val="clear" w:color="auto" w:fill="FFFFFF"/>
        </w:rPr>
        <w:t>Jurnal</w:t>
      </w:r>
      <w:proofErr w:type="spellEnd"/>
      <w:r w:rsidRPr="00325027">
        <w:rPr>
          <w:i/>
          <w:iCs/>
          <w:color w:val="auto"/>
          <w:shd w:val="clear" w:color="auto" w:fill="FFFFFF"/>
        </w:rPr>
        <w:t xml:space="preserve"> </w:t>
      </w:r>
      <w:proofErr w:type="spellStart"/>
      <w:r w:rsidRPr="00325027">
        <w:rPr>
          <w:i/>
          <w:iCs/>
          <w:color w:val="auto"/>
          <w:shd w:val="clear" w:color="auto" w:fill="FFFFFF"/>
        </w:rPr>
        <w:t>Manajemen</w:t>
      </w:r>
      <w:proofErr w:type="spellEnd"/>
      <w:r w:rsidRPr="00325027">
        <w:rPr>
          <w:i/>
          <w:iCs/>
          <w:color w:val="auto"/>
          <w:shd w:val="clear" w:color="auto" w:fill="FFFFFF"/>
        </w:rPr>
        <w:t xml:space="preserve"> </w:t>
      </w:r>
      <w:proofErr w:type="spellStart"/>
      <w:r w:rsidRPr="00325027">
        <w:rPr>
          <w:i/>
          <w:iCs/>
          <w:color w:val="auto"/>
          <w:shd w:val="clear" w:color="auto" w:fill="FFFFFF"/>
        </w:rPr>
        <w:t>Hutan</w:t>
      </w:r>
      <w:proofErr w:type="spellEnd"/>
      <w:r w:rsidRPr="00325027">
        <w:rPr>
          <w:i/>
          <w:iCs/>
          <w:color w:val="auto"/>
          <w:shd w:val="clear" w:color="auto" w:fill="FFFFFF"/>
        </w:rPr>
        <w:t xml:space="preserve"> </w:t>
      </w:r>
      <w:proofErr w:type="spellStart"/>
      <w:r w:rsidRPr="00325027">
        <w:rPr>
          <w:i/>
          <w:iCs/>
          <w:color w:val="auto"/>
          <w:shd w:val="clear" w:color="auto" w:fill="FFFFFF"/>
        </w:rPr>
        <w:t>Tropika</w:t>
      </w:r>
      <w:proofErr w:type="spellEnd"/>
      <w:r w:rsidRPr="00325027">
        <w:rPr>
          <w:color w:val="auto"/>
          <w:shd w:val="clear" w:color="auto" w:fill="FFFFFF"/>
        </w:rPr>
        <w:t>, </w:t>
      </w:r>
      <w:r w:rsidRPr="00325027">
        <w:rPr>
          <w:iCs/>
          <w:color w:val="auto"/>
          <w:shd w:val="clear" w:color="auto" w:fill="FFFFFF"/>
        </w:rPr>
        <w:t>19</w:t>
      </w:r>
      <w:r w:rsidRPr="00325027">
        <w:rPr>
          <w:color w:val="auto"/>
          <w:shd w:val="clear" w:color="auto" w:fill="FFFFFF"/>
        </w:rPr>
        <w:t>(2), 103-110. https://doi.org/10.7226/jtfm.19.2.103</w:t>
      </w:r>
    </w:p>
    <w:p w14:paraId="7D1B26AD"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rPr>
        <w:t xml:space="preserve">Chen, H., Chen, C., &amp; Yu, F. (2021). Biochar improves root growth of </w:t>
      </w:r>
      <w:proofErr w:type="spellStart"/>
      <w:r w:rsidRPr="00325027">
        <w:rPr>
          <w:i/>
          <w:color w:val="auto"/>
          <w:shd w:val="clear" w:color="auto" w:fill="FFFFFF"/>
        </w:rPr>
        <w:t>Sapium</w:t>
      </w:r>
      <w:proofErr w:type="spellEnd"/>
      <w:r w:rsidRPr="00325027">
        <w:rPr>
          <w:color w:val="auto"/>
          <w:shd w:val="clear" w:color="auto" w:fill="FFFFFF"/>
        </w:rPr>
        <w:t xml:space="preserve"> </w:t>
      </w:r>
      <w:proofErr w:type="spellStart"/>
      <w:r w:rsidRPr="00325027">
        <w:rPr>
          <w:i/>
          <w:color w:val="auto"/>
          <w:shd w:val="clear" w:color="auto" w:fill="FFFFFF"/>
        </w:rPr>
        <w:t>sebiferum</w:t>
      </w:r>
      <w:proofErr w:type="spellEnd"/>
      <w:r w:rsidRPr="00325027">
        <w:rPr>
          <w:color w:val="auto"/>
          <w:shd w:val="clear" w:color="auto" w:fill="FFFFFF"/>
        </w:rPr>
        <w:t xml:space="preserve"> (L.) </w:t>
      </w:r>
      <w:proofErr w:type="spellStart"/>
      <w:r w:rsidRPr="00325027">
        <w:rPr>
          <w:color w:val="auto"/>
          <w:shd w:val="clear" w:color="auto" w:fill="FFFFFF"/>
        </w:rPr>
        <w:t>Roxb</w:t>
      </w:r>
      <w:proofErr w:type="spellEnd"/>
      <w:r w:rsidRPr="00325027">
        <w:rPr>
          <w:color w:val="auto"/>
          <w:shd w:val="clear" w:color="auto" w:fill="FFFFFF"/>
        </w:rPr>
        <w:t>. container seedlings. </w:t>
      </w:r>
      <w:r w:rsidRPr="00325027">
        <w:rPr>
          <w:i/>
          <w:iCs/>
          <w:color w:val="auto"/>
          <w:shd w:val="clear" w:color="auto" w:fill="FFFFFF"/>
        </w:rPr>
        <w:t>Agronomy</w:t>
      </w:r>
      <w:r w:rsidRPr="00325027">
        <w:rPr>
          <w:color w:val="auto"/>
          <w:shd w:val="clear" w:color="auto" w:fill="FFFFFF"/>
        </w:rPr>
        <w:t>, </w:t>
      </w:r>
      <w:r w:rsidRPr="00325027">
        <w:rPr>
          <w:iCs/>
          <w:color w:val="auto"/>
          <w:shd w:val="clear" w:color="auto" w:fill="FFFFFF"/>
        </w:rPr>
        <w:t>11</w:t>
      </w:r>
      <w:r w:rsidRPr="00325027">
        <w:rPr>
          <w:color w:val="auto"/>
          <w:shd w:val="clear" w:color="auto" w:fill="FFFFFF"/>
        </w:rPr>
        <w:t>(6), 1242. https://doi.org/10.3390/agronomy11061242</w:t>
      </w:r>
    </w:p>
    <w:p w14:paraId="15A7C4DE"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rPr>
        <w:t xml:space="preserve">Chun, Y., Lee, S. K., </w:t>
      </w:r>
      <w:proofErr w:type="spellStart"/>
      <w:r w:rsidRPr="00325027">
        <w:rPr>
          <w:color w:val="auto"/>
          <w:shd w:val="clear" w:color="auto" w:fill="FFFFFF"/>
        </w:rPr>
        <w:t>Yoo</w:t>
      </w:r>
      <w:proofErr w:type="spellEnd"/>
      <w:r w:rsidRPr="00325027">
        <w:rPr>
          <w:color w:val="auto"/>
          <w:shd w:val="clear" w:color="auto" w:fill="FFFFFF"/>
        </w:rPr>
        <w:t>, H. Y., &amp; Kim, S. W. (2021). Recent advancements in biochar production according to feedstock classification, pyrolysis conditions, and applications: A 6547review. </w:t>
      </w:r>
      <w:proofErr w:type="spellStart"/>
      <w:r w:rsidRPr="00325027">
        <w:rPr>
          <w:i/>
          <w:iCs/>
          <w:color w:val="auto"/>
          <w:shd w:val="clear" w:color="auto" w:fill="FFFFFF"/>
        </w:rPr>
        <w:t>BioResources</w:t>
      </w:r>
      <w:proofErr w:type="spellEnd"/>
      <w:r w:rsidRPr="00325027">
        <w:rPr>
          <w:color w:val="auto"/>
          <w:shd w:val="clear" w:color="auto" w:fill="FFFFFF"/>
        </w:rPr>
        <w:t>, 16(3), 6512-6547</w:t>
      </w:r>
    </w:p>
    <w:p w14:paraId="6038429A" w14:textId="77777777" w:rsidR="008007E3" w:rsidRPr="00325027" w:rsidRDefault="008007E3" w:rsidP="007458FB">
      <w:pPr>
        <w:spacing w:before="120" w:after="120"/>
        <w:ind w:left="720" w:hanging="720"/>
        <w:rPr>
          <w:color w:val="auto"/>
          <w:shd w:val="clear" w:color="auto" w:fill="FFFFFF"/>
        </w:rPr>
      </w:pPr>
      <w:proofErr w:type="spellStart"/>
      <w:r w:rsidRPr="00325027">
        <w:rPr>
          <w:color w:val="auto"/>
          <w:shd w:val="clear" w:color="auto" w:fill="FFFFFF"/>
        </w:rPr>
        <w:t>Dharmakeerthi</w:t>
      </w:r>
      <w:proofErr w:type="spellEnd"/>
      <w:r w:rsidRPr="00325027">
        <w:rPr>
          <w:color w:val="auto"/>
          <w:shd w:val="clear" w:color="auto" w:fill="FFFFFF"/>
        </w:rPr>
        <w:t xml:space="preserve">, R. S., </w:t>
      </w:r>
      <w:proofErr w:type="spellStart"/>
      <w:r w:rsidRPr="00325027">
        <w:rPr>
          <w:color w:val="auto"/>
          <w:shd w:val="clear" w:color="auto" w:fill="FFFFFF"/>
        </w:rPr>
        <w:t>Chandrasiri</w:t>
      </w:r>
      <w:proofErr w:type="spellEnd"/>
      <w:r w:rsidRPr="00325027">
        <w:rPr>
          <w:color w:val="auto"/>
          <w:shd w:val="clear" w:color="auto" w:fill="FFFFFF"/>
        </w:rPr>
        <w:t xml:space="preserve">, J. A. S., &amp; </w:t>
      </w:r>
      <w:proofErr w:type="spellStart"/>
      <w:r w:rsidRPr="00325027">
        <w:rPr>
          <w:color w:val="auto"/>
          <w:shd w:val="clear" w:color="auto" w:fill="FFFFFF"/>
        </w:rPr>
        <w:t>Edirimanne</w:t>
      </w:r>
      <w:proofErr w:type="spellEnd"/>
      <w:r w:rsidRPr="00325027">
        <w:rPr>
          <w:color w:val="auto"/>
          <w:shd w:val="clear" w:color="auto" w:fill="FFFFFF"/>
        </w:rPr>
        <w:t xml:space="preserve">, V. U. (2012). Effect of rubber wood biochar on nutrition and growth of nursery plants of </w:t>
      </w:r>
      <w:proofErr w:type="spellStart"/>
      <w:r w:rsidRPr="00325027">
        <w:rPr>
          <w:i/>
          <w:color w:val="auto"/>
          <w:shd w:val="clear" w:color="auto" w:fill="FFFFFF"/>
        </w:rPr>
        <w:t>Hevea</w:t>
      </w:r>
      <w:proofErr w:type="spellEnd"/>
      <w:r w:rsidRPr="00325027">
        <w:rPr>
          <w:color w:val="auto"/>
          <w:shd w:val="clear" w:color="auto" w:fill="FFFFFF"/>
        </w:rPr>
        <w:t xml:space="preserve"> </w:t>
      </w:r>
      <w:proofErr w:type="spellStart"/>
      <w:r w:rsidRPr="00325027">
        <w:rPr>
          <w:i/>
          <w:color w:val="auto"/>
          <w:shd w:val="clear" w:color="auto" w:fill="FFFFFF"/>
        </w:rPr>
        <w:t>brasiliensis</w:t>
      </w:r>
      <w:proofErr w:type="spellEnd"/>
      <w:r w:rsidRPr="00325027">
        <w:rPr>
          <w:color w:val="auto"/>
          <w:shd w:val="clear" w:color="auto" w:fill="FFFFFF"/>
        </w:rPr>
        <w:t xml:space="preserve"> established in an </w:t>
      </w:r>
      <w:proofErr w:type="spellStart"/>
      <w:r w:rsidRPr="00325027">
        <w:rPr>
          <w:color w:val="auto"/>
          <w:shd w:val="clear" w:color="auto" w:fill="FFFFFF"/>
        </w:rPr>
        <w:t>ultisol</w:t>
      </w:r>
      <w:proofErr w:type="spellEnd"/>
      <w:r w:rsidRPr="00325027">
        <w:rPr>
          <w:color w:val="auto"/>
          <w:shd w:val="clear" w:color="auto" w:fill="FFFFFF"/>
        </w:rPr>
        <w:t>. </w:t>
      </w:r>
      <w:proofErr w:type="spellStart"/>
      <w:r w:rsidRPr="00325027">
        <w:rPr>
          <w:i/>
          <w:iCs/>
          <w:color w:val="auto"/>
          <w:shd w:val="clear" w:color="auto" w:fill="FFFFFF"/>
        </w:rPr>
        <w:t>SpringerPlus</w:t>
      </w:r>
      <w:proofErr w:type="spellEnd"/>
      <w:r w:rsidRPr="00325027">
        <w:rPr>
          <w:color w:val="auto"/>
          <w:shd w:val="clear" w:color="auto" w:fill="FFFFFF"/>
        </w:rPr>
        <w:t>, </w:t>
      </w:r>
      <w:r w:rsidRPr="00325027">
        <w:rPr>
          <w:iCs/>
          <w:color w:val="auto"/>
          <w:shd w:val="clear" w:color="auto" w:fill="FFFFFF"/>
        </w:rPr>
        <w:t>1</w:t>
      </w:r>
      <w:r w:rsidRPr="00325027">
        <w:rPr>
          <w:color w:val="auto"/>
          <w:shd w:val="clear" w:color="auto" w:fill="FFFFFF"/>
        </w:rPr>
        <w:t>(1), 84. https://doi.org/10.1186/2193-1801-1-84</w:t>
      </w:r>
    </w:p>
    <w:p w14:paraId="695FF27F" w14:textId="77777777" w:rsidR="008007E3" w:rsidRPr="00325027" w:rsidRDefault="008007E3" w:rsidP="007458FB">
      <w:pPr>
        <w:spacing w:before="120" w:after="120"/>
        <w:ind w:left="720" w:hanging="720"/>
        <w:rPr>
          <w:color w:val="auto"/>
          <w:shd w:val="clear" w:color="auto" w:fill="FFFFFF"/>
        </w:rPr>
      </w:pPr>
      <w:proofErr w:type="spellStart"/>
      <w:r w:rsidRPr="00325027">
        <w:rPr>
          <w:color w:val="auto"/>
          <w:shd w:val="clear" w:color="auto" w:fill="FFFFFF"/>
        </w:rPr>
        <w:t>Fekadu</w:t>
      </w:r>
      <w:proofErr w:type="spellEnd"/>
      <w:r w:rsidRPr="00325027">
        <w:rPr>
          <w:color w:val="auto"/>
          <w:shd w:val="clear" w:color="auto" w:fill="FFFFFF"/>
        </w:rPr>
        <w:t xml:space="preserve">, M., </w:t>
      </w:r>
      <w:proofErr w:type="spellStart"/>
      <w:r w:rsidRPr="00325027">
        <w:rPr>
          <w:color w:val="auto"/>
          <w:shd w:val="clear" w:color="auto" w:fill="FFFFFF"/>
        </w:rPr>
        <w:t>Weldeyohannes</w:t>
      </w:r>
      <w:proofErr w:type="spellEnd"/>
      <w:r w:rsidRPr="00325027">
        <w:rPr>
          <w:color w:val="auto"/>
          <w:shd w:val="clear" w:color="auto" w:fill="FFFFFF"/>
        </w:rPr>
        <w:t xml:space="preserve">, A., </w:t>
      </w:r>
      <w:proofErr w:type="spellStart"/>
      <w:r w:rsidRPr="00325027">
        <w:rPr>
          <w:color w:val="auto"/>
          <w:shd w:val="clear" w:color="auto" w:fill="FFFFFF"/>
        </w:rPr>
        <w:t>Cherinet</w:t>
      </w:r>
      <w:proofErr w:type="spellEnd"/>
      <w:r w:rsidRPr="00325027">
        <w:rPr>
          <w:color w:val="auto"/>
          <w:shd w:val="clear" w:color="auto" w:fill="FFFFFF"/>
        </w:rPr>
        <w:t xml:space="preserve">, A., &amp; Tadesse, C. (2024). The effects of seed </w:t>
      </w:r>
      <w:proofErr w:type="spellStart"/>
      <w:r w:rsidRPr="00325027">
        <w:rPr>
          <w:color w:val="auto"/>
          <w:shd w:val="clear" w:color="auto" w:fill="FFFFFF"/>
        </w:rPr>
        <w:t>pretreatment</w:t>
      </w:r>
      <w:proofErr w:type="spellEnd"/>
      <w:r w:rsidRPr="00325027">
        <w:rPr>
          <w:color w:val="auto"/>
          <w:shd w:val="clear" w:color="auto" w:fill="FFFFFF"/>
        </w:rPr>
        <w:t xml:space="preserve"> on seed germination and biochar soil mixture on early survival of seedlings of </w:t>
      </w:r>
      <w:proofErr w:type="spellStart"/>
      <w:r w:rsidRPr="00325027">
        <w:rPr>
          <w:i/>
          <w:iCs/>
          <w:color w:val="auto"/>
          <w:shd w:val="clear" w:color="auto" w:fill="FFFFFF"/>
        </w:rPr>
        <w:t>Faidherbia</w:t>
      </w:r>
      <w:proofErr w:type="spellEnd"/>
      <w:r w:rsidRPr="00325027">
        <w:rPr>
          <w:i/>
          <w:iCs/>
          <w:color w:val="auto"/>
          <w:shd w:val="clear" w:color="auto" w:fill="FFFFFF"/>
        </w:rPr>
        <w:t xml:space="preserve"> </w:t>
      </w:r>
      <w:proofErr w:type="spellStart"/>
      <w:r w:rsidRPr="00325027">
        <w:rPr>
          <w:i/>
          <w:iCs/>
          <w:color w:val="auto"/>
          <w:shd w:val="clear" w:color="auto" w:fill="FFFFFF"/>
        </w:rPr>
        <w:t>albida</w:t>
      </w:r>
      <w:proofErr w:type="spellEnd"/>
      <w:r w:rsidRPr="00325027">
        <w:rPr>
          <w:color w:val="auto"/>
          <w:shd w:val="clear" w:color="auto" w:fill="FFFFFF"/>
        </w:rPr>
        <w:t xml:space="preserve"> (Del.) Chev. in nursery. </w:t>
      </w:r>
      <w:r w:rsidRPr="00325027">
        <w:rPr>
          <w:i/>
          <w:iCs/>
          <w:color w:val="auto"/>
          <w:shd w:val="clear" w:color="auto" w:fill="FFFFFF"/>
        </w:rPr>
        <w:t>Journal of Agriculture and Environment for International Development, </w:t>
      </w:r>
      <w:r w:rsidRPr="00325027">
        <w:rPr>
          <w:color w:val="auto"/>
          <w:shd w:val="clear" w:color="auto" w:fill="FFFFFF"/>
        </w:rPr>
        <w:t>119(1), 487-504. https://doi.org/10.36253/jaeid-12330</w:t>
      </w:r>
    </w:p>
    <w:p w14:paraId="20E6E933"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rPr>
        <w:t xml:space="preserve">Hossain, M. Z., </w:t>
      </w:r>
      <w:proofErr w:type="spellStart"/>
      <w:r w:rsidRPr="00325027">
        <w:rPr>
          <w:color w:val="auto"/>
          <w:shd w:val="clear" w:color="auto" w:fill="FFFFFF"/>
        </w:rPr>
        <w:t>Bahar</w:t>
      </w:r>
      <w:proofErr w:type="spellEnd"/>
      <w:r w:rsidRPr="00325027">
        <w:rPr>
          <w:color w:val="auto"/>
          <w:shd w:val="clear" w:color="auto" w:fill="FFFFFF"/>
        </w:rPr>
        <w:t xml:space="preserve">, M. M., Sarkar, B., Donne, S. W., Ok, Y. S., </w:t>
      </w:r>
      <w:proofErr w:type="spellStart"/>
      <w:r w:rsidRPr="00325027">
        <w:rPr>
          <w:color w:val="auto"/>
          <w:shd w:val="clear" w:color="auto" w:fill="FFFFFF"/>
        </w:rPr>
        <w:t>Palansooriya</w:t>
      </w:r>
      <w:proofErr w:type="spellEnd"/>
      <w:r w:rsidRPr="00325027">
        <w:rPr>
          <w:color w:val="auto"/>
          <w:shd w:val="clear" w:color="auto" w:fill="FFFFFF"/>
        </w:rPr>
        <w:t xml:space="preserve">, K. N., Kirkham, M. B., Chowdhury, S., &amp; Bolan, N. (2020). Biochar and its importance on </w:t>
      </w:r>
      <w:r w:rsidRPr="00325027">
        <w:rPr>
          <w:color w:val="auto"/>
          <w:shd w:val="clear" w:color="auto" w:fill="FFFFFF"/>
        </w:rPr>
        <w:lastRenderedPageBreak/>
        <w:t>nutrient dynamics in soil and plant. </w:t>
      </w:r>
      <w:r w:rsidRPr="00325027">
        <w:rPr>
          <w:i/>
          <w:iCs/>
          <w:color w:val="auto"/>
          <w:shd w:val="clear" w:color="auto" w:fill="FFFFFF"/>
        </w:rPr>
        <w:t>Biochar</w:t>
      </w:r>
      <w:r w:rsidRPr="00325027">
        <w:rPr>
          <w:color w:val="auto"/>
          <w:shd w:val="clear" w:color="auto" w:fill="FFFFFF"/>
        </w:rPr>
        <w:t>, 2(4), 379-420. https://doi.org/10.1007/s42773-020-00065-z</w:t>
      </w:r>
    </w:p>
    <w:p w14:paraId="558D150E" w14:textId="77777777" w:rsidR="008007E3" w:rsidRPr="00325027" w:rsidRDefault="008007E3" w:rsidP="007458FB">
      <w:pPr>
        <w:spacing w:before="120" w:after="120"/>
        <w:ind w:left="720" w:hanging="720"/>
        <w:rPr>
          <w:color w:val="auto"/>
          <w:shd w:val="clear" w:color="auto" w:fill="FFFFFF"/>
        </w:rPr>
      </w:pPr>
      <w:proofErr w:type="spellStart"/>
      <w:r w:rsidRPr="00325027">
        <w:rPr>
          <w:color w:val="auto"/>
          <w:shd w:val="clear" w:color="auto" w:fill="FFFFFF"/>
        </w:rPr>
        <w:t>Humnessa</w:t>
      </w:r>
      <w:proofErr w:type="spellEnd"/>
      <w:r w:rsidRPr="00325027">
        <w:rPr>
          <w:color w:val="auto"/>
          <w:shd w:val="clear" w:color="auto" w:fill="FFFFFF"/>
        </w:rPr>
        <w:t xml:space="preserve">, T., Asfaw, Z., &amp; </w:t>
      </w:r>
      <w:proofErr w:type="spellStart"/>
      <w:r w:rsidRPr="00325027">
        <w:rPr>
          <w:color w:val="auto"/>
          <w:shd w:val="clear" w:color="auto" w:fill="FFFFFF"/>
        </w:rPr>
        <w:t>Derero</w:t>
      </w:r>
      <w:proofErr w:type="spellEnd"/>
      <w:r w:rsidRPr="00325027">
        <w:rPr>
          <w:color w:val="auto"/>
          <w:shd w:val="clear" w:color="auto" w:fill="FFFFFF"/>
        </w:rPr>
        <w:t xml:space="preserve">, A. (2023). Effect of poultry manure and its biochar on seedling </w:t>
      </w:r>
      <w:proofErr w:type="spellStart"/>
      <w:r w:rsidRPr="00325027">
        <w:rPr>
          <w:color w:val="auto"/>
          <w:shd w:val="clear" w:color="auto" w:fill="FFFFFF"/>
        </w:rPr>
        <w:t>vigor</w:t>
      </w:r>
      <w:proofErr w:type="spellEnd"/>
      <w:r w:rsidRPr="00325027">
        <w:rPr>
          <w:color w:val="auto"/>
          <w:shd w:val="clear" w:color="auto" w:fill="FFFFFF"/>
        </w:rPr>
        <w:t xml:space="preserve"> of selected multipurpose tree species. </w:t>
      </w:r>
      <w:r w:rsidRPr="00325027">
        <w:rPr>
          <w:i/>
          <w:iCs/>
          <w:color w:val="auto"/>
          <w:shd w:val="clear" w:color="auto" w:fill="FFFFFF"/>
        </w:rPr>
        <w:t>Journal of Forest Research</w:t>
      </w:r>
      <w:r w:rsidRPr="00325027">
        <w:rPr>
          <w:color w:val="auto"/>
          <w:shd w:val="clear" w:color="auto" w:fill="FFFFFF"/>
        </w:rPr>
        <w:t>, </w:t>
      </w:r>
      <w:r w:rsidRPr="00325027">
        <w:rPr>
          <w:iCs/>
          <w:color w:val="auto"/>
          <w:shd w:val="clear" w:color="auto" w:fill="FFFFFF"/>
        </w:rPr>
        <w:t>12(1)</w:t>
      </w:r>
      <w:r w:rsidRPr="00325027">
        <w:rPr>
          <w:color w:val="auto"/>
          <w:shd w:val="clear" w:color="auto" w:fill="FFFFFF"/>
        </w:rPr>
        <w:t>, 335. https://doi.org/10.35248/2168-9776.23.12.335</w:t>
      </w:r>
    </w:p>
    <w:p w14:paraId="206D9786" w14:textId="77777777" w:rsidR="008007E3" w:rsidRPr="00325027" w:rsidRDefault="008007E3" w:rsidP="007458FB">
      <w:pPr>
        <w:spacing w:before="120" w:after="120"/>
        <w:ind w:left="720" w:hanging="720"/>
        <w:rPr>
          <w:color w:val="auto"/>
          <w:shd w:val="clear" w:color="auto" w:fill="FFFFFF"/>
        </w:rPr>
      </w:pPr>
      <w:proofErr w:type="spellStart"/>
      <w:r w:rsidRPr="00325027">
        <w:rPr>
          <w:color w:val="auto"/>
          <w:shd w:val="clear" w:color="auto" w:fill="FFFFFF"/>
        </w:rPr>
        <w:t>Jasmitha</w:t>
      </w:r>
      <w:proofErr w:type="spellEnd"/>
      <w:r w:rsidRPr="00325027">
        <w:rPr>
          <w:color w:val="auto"/>
          <w:shd w:val="clear" w:color="auto" w:fill="FFFFFF"/>
        </w:rPr>
        <w:t xml:space="preserve">, B. G. (2018). Effect of enriched biochar on seedlings growth of mango, jack and jamun. </w:t>
      </w:r>
      <w:r w:rsidRPr="00325027">
        <w:rPr>
          <w:i/>
          <w:iCs/>
          <w:color w:val="auto"/>
          <w:shd w:val="clear" w:color="auto" w:fill="FFFFFF"/>
        </w:rPr>
        <w:t>Thesis M. Sc. (</w:t>
      </w:r>
      <w:proofErr w:type="spellStart"/>
      <w:r w:rsidRPr="00325027">
        <w:rPr>
          <w:i/>
          <w:iCs/>
          <w:color w:val="auto"/>
          <w:shd w:val="clear" w:color="auto" w:fill="FFFFFF"/>
        </w:rPr>
        <w:t>Horti</w:t>
      </w:r>
      <w:proofErr w:type="spellEnd"/>
      <w:r w:rsidRPr="00325027">
        <w:rPr>
          <w:i/>
          <w:iCs/>
          <w:color w:val="auto"/>
          <w:shd w:val="clear" w:color="auto" w:fill="FFFFFF"/>
        </w:rPr>
        <w:t>.)</w:t>
      </w:r>
      <w:r w:rsidRPr="00325027">
        <w:rPr>
          <w:color w:val="auto"/>
          <w:shd w:val="clear" w:color="auto" w:fill="FFFFFF"/>
        </w:rPr>
        <w:t>, University of Horticultural Sciences, Bagalkot, Karnataka, India. 79 p.</w:t>
      </w:r>
    </w:p>
    <w:p w14:paraId="275AB690" w14:textId="77777777" w:rsidR="008007E3" w:rsidRPr="00325027" w:rsidRDefault="008007E3" w:rsidP="007458FB">
      <w:pPr>
        <w:spacing w:before="120" w:after="120"/>
        <w:ind w:left="720" w:hanging="720"/>
        <w:rPr>
          <w:color w:val="auto"/>
          <w:shd w:val="clear" w:color="auto" w:fill="FFFFFF"/>
        </w:rPr>
      </w:pPr>
      <w:proofErr w:type="spellStart"/>
      <w:r w:rsidRPr="00325027">
        <w:rPr>
          <w:color w:val="auto"/>
          <w:shd w:val="clear" w:color="auto" w:fill="FFFFFF"/>
        </w:rPr>
        <w:t>Jasmitha</w:t>
      </w:r>
      <w:proofErr w:type="spellEnd"/>
      <w:r w:rsidRPr="00325027">
        <w:rPr>
          <w:color w:val="auto"/>
          <w:shd w:val="clear" w:color="auto" w:fill="FFFFFF"/>
        </w:rPr>
        <w:t xml:space="preserve">, B. G., </w:t>
      </w:r>
      <w:proofErr w:type="spellStart"/>
      <w:r w:rsidRPr="00325027">
        <w:rPr>
          <w:color w:val="auto"/>
          <w:shd w:val="clear" w:color="auto" w:fill="FFFFFF"/>
        </w:rPr>
        <w:t>Honnabyraiah</w:t>
      </w:r>
      <w:proofErr w:type="spellEnd"/>
      <w:r w:rsidRPr="00325027">
        <w:rPr>
          <w:color w:val="auto"/>
          <w:shd w:val="clear" w:color="auto" w:fill="FFFFFF"/>
        </w:rPr>
        <w:t xml:space="preserve">, M. K., Anil Kumar, S., Swamy, G. S. K., Patil, S. V., &amp; </w:t>
      </w:r>
      <w:proofErr w:type="spellStart"/>
      <w:r w:rsidRPr="00325027">
        <w:rPr>
          <w:color w:val="auto"/>
          <w:shd w:val="clear" w:color="auto" w:fill="FFFFFF"/>
        </w:rPr>
        <w:t>Jayappa</w:t>
      </w:r>
      <w:proofErr w:type="spellEnd"/>
      <w:r w:rsidRPr="00325027">
        <w:rPr>
          <w:color w:val="auto"/>
          <w:shd w:val="clear" w:color="auto" w:fill="FFFFFF"/>
        </w:rPr>
        <w:t>, J. (2018). Effect of enriched biochar on growth of mango seedlings in nursery. </w:t>
      </w:r>
      <w:r w:rsidRPr="00325027">
        <w:rPr>
          <w:i/>
          <w:iCs/>
          <w:color w:val="auto"/>
          <w:shd w:val="clear" w:color="auto" w:fill="FFFFFF"/>
        </w:rPr>
        <w:t>Internal Journal of Chemical Studies</w:t>
      </w:r>
      <w:r w:rsidRPr="00325027">
        <w:rPr>
          <w:color w:val="auto"/>
          <w:shd w:val="clear" w:color="auto" w:fill="FFFFFF"/>
        </w:rPr>
        <w:t>, </w:t>
      </w:r>
      <w:r w:rsidRPr="00325027">
        <w:rPr>
          <w:iCs/>
          <w:color w:val="auto"/>
          <w:shd w:val="clear" w:color="auto" w:fill="FFFFFF"/>
        </w:rPr>
        <w:t>6(6),</w:t>
      </w:r>
      <w:r w:rsidRPr="00325027">
        <w:rPr>
          <w:color w:val="auto"/>
          <w:shd w:val="clear" w:color="auto" w:fill="FFFFFF"/>
        </w:rPr>
        <w:t xml:space="preserve"> 415-417.</w:t>
      </w:r>
    </w:p>
    <w:p w14:paraId="5E1A85B5" w14:textId="77777777" w:rsidR="008007E3" w:rsidRPr="00325027" w:rsidRDefault="008007E3" w:rsidP="007458FB">
      <w:pPr>
        <w:spacing w:before="120" w:after="120"/>
        <w:ind w:left="720" w:hanging="720"/>
        <w:rPr>
          <w:color w:val="auto"/>
          <w:shd w:val="clear" w:color="auto" w:fill="FFFFFF"/>
          <w:lang w:val="sv-SE"/>
        </w:rPr>
      </w:pPr>
      <w:r w:rsidRPr="00325027">
        <w:rPr>
          <w:color w:val="auto"/>
          <w:shd w:val="clear" w:color="auto" w:fill="FFFFFF"/>
        </w:rPr>
        <w:t xml:space="preserve">Jayalakshmi, H. G. (2018). Effect of rice husk biochar on growth of </w:t>
      </w:r>
      <w:proofErr w:type="spellStart"/>
      <w:r w:rsidRPr="00325027">
        <w:rPr>
          <w:i/>
          <w:iCs/>
          <w:color w:val="auto"/>
          <w:shd w:val="clear" w:color="auto" w:fill="FFFFFF"/>
        </w:rPr>
        <w:t>calophyllum</w:t>
      </w:r>
      <w:proofErr w:type="spellEnd"/>
      <w:r w:rsidRPr="00325027">
        <w:rPr>
          <w:i/>
          <w:iCs/>
          <w:color w:val="auto"/>
          <w:shd w:val="clear" w:color="auto" w:fill="FFFFFF"/>
        </w:rPr>
        <w:t xml:space="preserve"> </w:t>
      </w:r>
      <w:proofErr w:type="spellStart"/>
      <w:r w:rsidRPr="00325027">
        <w:rPr>
          <w:i/>
          <w:iCs/>
          <w:color w:val="auto"/>
          <w:shd w:val="clear" w:color="auto" w:fill="FFFFFF"/>
        </w:rPr>
        <w:t>inophyllum</w:t>
      </w:r>
      <w:proofErr w:type="spellEnd"/>
      <w:r w:rsidRPr="00325027">
        <w:rPr>
          <w:color w:val="auto"/>
          <w:shd w:val="clear" w:color="auto" w:fill="FFFFFF"/>
        </w:rPr>
        <w:t xml:space="preserve"> seedlings. </w:t>
      </w:r>
      <w:r w:rsidRPr="00325027">
        <w:rPr>
          <w:i/>
          <w:iCs/>
          <w:color w:val="auto"/>
          <w:shd w:val="clear" w:color="auto" w:fill="FFFFFF"/>
        </w:rPr>
        <w:t>Thesis M.Sc. (Agri.)</w:t>
      </w:r>
      <w:r w:rsidRPr="00325027">
        <w:rPr>
          <w:color w:val="auto"/>
          <w:shd w:val="clear" w:color="auto" w:fill="FFFFFF"/>
        </w:rPr>
        <w:t xml:space="preserve">, University of Agricultural Sciences, Bengaluru, Karnataka, India. </w:t>
      </w:r>
      <w:r w:rsidRPr="00325027">
        <w:rPr>
          <w:color w:val="auto"/>
          <w:shd w:val="clear" w:color="auto" w:fill="FFFFFF"/>
          <w:lang w:val="sv-SE"/>
        </w:rPr>
        <w:t>55 p.</w:t>
      </w:r>
    </w:p>
    <w:p w14:paraId="3A8850F6" w14:textId="77777777" w:rsidR="008007E3" w:rsidRPr="00325027" w:rsidRDefault="008007E3" w:rsidP="007458FB">
      <w:pPr>
        <w:spacing w:before="120" w:after="120"/>
        <w:ind w:left="720" w:hanging="720"/>
        <w:rPr>
          <w:color w:val="auto"/>
        </w:rPr>
      </w:pPr>
      <w:r w:rsidRPr="00325027">
        <w:rPr>
          <w:color w:val="auto"/>
        </w:rPr>
        <w:t xml:space="preserve">Kevin </w:t>
      </w:r>
      <w:proofErr w:type="spellStart"/>
      <w:r w:rsidRPr="00325027">
        <w:rPr>
          <w:color w:val="auto"/>
        </w:rPr>
        <w:t>Johnal</w:t>
      </w:r>
      <w:proofErr w:type="spellEnd"/>
      <w:r w:rsidRPr="00325027">
        <w:rPr>
          <w:color w:val="auto"/>
        </w:rPr>
        <w:t xml:space="preserve">, J., Rajendran, P., Kumar, P., Parthiban, K. T., </w:t>
      </w:r>
      <w:proofErr w:type="spellStart"/>
      <w:r w:rsidRPr="00325027">
        <w:rPr>
          <w:color w:val="auto"/>
        </w:rPr>
        <w:t>Sekar</w:t>
      </w:r>
      <w:proofErr w:type="spellEnd"/>
      <w:r w:rsidRPr="00325027">
        <w:rPr>
          <w:color w:val="auto"/>
        </w:rPr>
        <w:t xml:space="preserve">, I., </w:t>
      </w:r>
      <w:proofErr w:type="spellStart"/>
      <w:r w:rsidRPr="00325027">
        <w:rPr>
          <w:color w:val="auto"/>
        </w:rPr>
        <w:t>Baranidharan</w:t>
      </w:r>
      <w:proofErr w:type="spellEnd"/>
      <w:r w:rsidRPr="00325027">
        <w:rPr>
          <w:color w:val="auto"/>
        </w:rPr>
        <w:t xml:space="preserve">, K., Ravi R., </w:t>
      </w:r>
      <w:proofErr w:type="spellStart"/>
      <w:r w:rsidRPr="00325027">
        <w:rPr>
          <w:color w:val="auto"/>
        </w:rPr>
        <w:t>Hemalatha</w:t>
      </w:r>
      <w:proofErr w:type="spellEnd"/>
      <w:r w:rsidRPr="00325027">
        <w:rPr>
          <w:color w:val="auto"/>
        </w:rPr>
        <w:t xml:space="preserve">, P., &amp; </w:t>
      </w:r>
      <w:proofErr w:type="spellStart"/>
      <w:r w:rsidRPr="00325027">
        <w:rPr>
          <w:color w:val="auto"/>
        </w:rPr>
        <w:t>Kabinesh</w:t>
      </w:r>
      <w:proofErr w:type="spellEnd"/>
      <w:r w:rsidRPr="00325027">
        <w:rPr>
          <w:color w:val="auto"/>
        </w:rPr>
        <w:t xml:space="preserve">, V. (2025). Biochar and forests: a green solution to sustainability. </w:t>
      </w:r>
      <w:r w:rsidRPr="00325027">
        <w:rPr>
          <w:i/>
          <w:iCs/>
          <w:color w:val="auto"/>
        </w:rPr>
        <w:t>Plant Science Today</w:t>
      </w:r>
      <w:r w:rsidRPr="00325027">
        <w:rPr>
          <w:color w:val="auto"/>
        </w:rPr>
        <w:t>. https:/doi.org/10.14719/pst.8552</w:t>
      </w:r>
    </w:p>
    <w:p w14:paraId="1A96CFE7"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lang w:val="sv-SE"/>
        </w:rPr>
        <w:t xml:space="preserve">Koster, E., Pumpanen, J., Palviainen, M., Zhou, X., &amp; Koster, K. (2021). </w:t>
      </w:r>
      <w:r w:rsidRPr="00325027">
        <w:rPr>
          <w:color w:val="auto"/>
          <w:shd w:val="clear" w:color="auto" w:fill="FFFFFF"/>
        </w:rPr>
        <w:t>Effect of biochar amendment on the properties of growing media and growth of containerized Norway spruce, scots pine and silver birch seedlings. </w:t>
      </w:r>
      <w:r w:rsidRPr="00325027">
        <w:rPr>
          <w:i/>
          <w:iCs/>
          <w:color w:val="auto"/>
          <w:shd w:val="clear" w:color="auto" w:fill="FFFFFF"/>
        </w:rPr>
        <w:t>Canadian Journal of Forest Research</w:t>
      </w:r>
      <w:r w:rsidRPr="00325027">
        <w:rPr>
          <w:color w:val="auto"/>
          <w:shd w:val="clear" w:color="auto" w:fill="FFFFFF"/>
        </w:rPr>
        <w:t>, 51(1), 31-40.</w:t>
      </w:r>
    </w:p>
    <w:p w14:paraId="26B27EED"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rPr>
        <w:t xml:space="preserve">Landis, T. D., Tinus, R. W., McDonald, S. E., Barnett, J. P., </w:t>
      </w:r>
      <w:proofErr w:type="spellStart"/>
      <w:r w:rsidRPr="00325027">
        <w:rPr>
          <w:color w:val="auto"/>
          <w:shd w:val="clear" w:color="auto" w:fill="FFFFFF"/>
        </w:rPr>
        <w:t>Dumroese</w:t>
      </w:r>
      <w:proofErr w:type="spellEnd"/>
      <w:r w:rsidRPr="00325027">
        <w:rPr>
          <w:color w:val="auto"/>
          <w:shd w:val="clear" w:color="auto" w:fill="FFFFFF"/>
        </w:rPr>
        <w:t xml:space="preserve">, R. K., </w:t>
      </w:r>
      <w:proofErr w:type="spellStart"/>
      <w:r w:rsidRPr="00325027">
        <w:rPr>
          <w:color w:val="auto"/>
          <w:shd w:val="clear" w:color="auto" w:fill="FFFFFF"/>
        </w:rPr>
        <w:t>Haase</w:t>
      </w:r>
      <w:proofErr w:type="spellEnd"/>
      <w:r w:rsidRPr="00325027">
        <w:rPr>
          <w:color w:val="auto"/>
          <w:shd w:val="clear" w:color="auto" w:fill="FFFFFF"/>
        </w:rPr>
        <w:t xml:space="preserve">, D. L., &amp; </w:t>
      </w:r>
      <w:proofErr w:type="spellStart"/>
      <w:r w:rsidRPr="00325027">
        <w:rPr>
          <w:color w:val="auto"/>
          <w:shd w:val="clear" w:color="auto" w:fill="FFFFFF"/>
        </w:rPr>
        <w:t>Nisley</w:t>
      </w:r>
      <w:proofErr w:type="spellEnd"/>
      <w:r w:rsidRPr="00325027">
        <w:rPr>
          <w:color w:val="auto"/>
          <w:shd w:val="clear" w:color="auto" w:fill="FFFFFF"/>
        </w:rPr>
        <w:t xml:space="preserve">, R. G. (1990). Containers and growing media. In: The container tree nursery manual, (First, Eds.), Volume II (pp.1-39). </w:t>
      </w:r>
      <w:r w:rsidRPr="00325027">
        <w:rPr>
          <w:i/>
          <w:iCs/>
          <w:color w:val="auto"/>
          <w:shd w:val="clear" w:color="auto" w:fill="FFFFFF"/>
        </w:rPr>
        <w:t>US Department of Agriculture, Forest Service</w:t>
      </w:r>
      <w:r w:rsidRPr="00325027">
        <w:rPr>
          <w:color w:val="auto"/>
          <w:shd w:val="clear" w:color="auto" w:fill="FFFFFF"/>
        </w:rPr>
        <w:t>.</w:t>
      </w:r>
    </w:p>
    <w:p w14:paraId="28BC11CE" w14:textId="77777777" w:rsidR="008007E3" w:rsidRPr="00325027" w:rsidRDefault="008007E3" w:rsidP="007458FB">
      <w:pPr>
        <w:spacing w:before="120" w:after="120" w:line="247" w:lineRule="auto"/>
        <w:ind w:left="720" w:right="0" w:hanging="720"/>
        <w:rPr>
          <w:color w:val="auto"/>
          <w:shd w:val="clear" w:color="auto" w:fill="FFFFFF"/>
        </w:rPr>
      </w:pPr>
      <w:r w:rsidRPr="00325027">
        <w:rPr>
          <w:color w:val="auto"/>
          <w:shd w:val="clear" w:color="auto" w:fill="FFFFFF"/>
        </w:rPr>
        <w:t xml:space="preserve">Moreno, G. R., Fernández, M. E., &amp; Contreras, E. D. (2021). Balanced mixture of biochar and synthetic fertilizer increases seedling quality of </w:t>
      </w:r>
      <w:r w:rsidRPr="00325027">
        <w:rPr>
          <w:i/>
          <w:color w:val="auto"/>
          <w:shd w:val="clear" w:color="auto" w:fill="FFFFFF"/>
        </w:rPr>
        <w:t>Acacia</w:t>
      </w:r>
      <w:r w:rsidRPr="00325027">
        <w:rPr>
          <w:color w:val="auto"/>
          <w:shd w:val="clear" w:color="auto" w:fill="FFFFFF"/>
        </w:rPr>
        <w:t xml:space="preserve"> </w:t>
      </w:r>
      <w:proofErr w:type="spellStart"/>
      <w:r w:rsidRPr="00325027">
        <w:rPr>
          <w:i/>
          <w:color w:val="auto"/>
          <w:shd w:val="clear" w:color="auto" w:fill="FFFFFF"/>
        </w:rPr>
        <w:t>mangium</w:t>
      </w:r>
      <w:proofErr w:type="spellEnd"/>
      <w:r w:rsidRPr="00325027">
        <w:rPr>
          <w:color w:val="auto"/>
          <w:shd w:val="clear" w:color="auto" w:fill="FFFFFF"/>
        </w:rPr>
        <w:t>. </w:t>
      </w:r>
      <w:r w:rsidRPr="00325027">
        <w:rPr>
          <w:i/>
          <w:iCs/>
          <w:color w:val="auto"/>
          <w:shd w:val="clear" w:color="auto" w:fill="FFFFFF"/>
        </w:rPr>
        <w:t>Journal of the Saudi Society of Agricultural Sciences</w:t>
      </w:r>
      <w:r w:rsidRPr="00325027">
        <w:rPr>
          <w:color w:val="auto"/>
          <w:shd w:val="clear" w:color="auto" w:fill="FFFFFF"/>
        </w:rPr>
        <w:t>, </w:t>
      </w:r>
      <w:r w:rsidRPr="00325027">
        <w:rPr>
          <w:iCs/>
          <w:color w:val="auto"/>
          <w:shd w:val="clear" w:color="auto" w:fill="FFFFFF"/>
        </w:rPr>
        <w:t>20</w:t>
      </w:r>
      <w:r w:rsidRPr="00325027">
        <w:rPr>
          <w:color w:val="auto"/>
          <w:shd w:val="clear" w:color="auto" w:fill="FFFFFF"/>
        </w:rPr>
        <w:t xml:space="preserve">(6), 371-378. </w:t>
      </w:r>
      <w:r w:rsidRPr="00325027">
        <w:rPr>
          <w:color w:val="auto"/>
        </w:rPr>
        <w:t>https:/doi.org/</w:t>
      </w:r>
      <w:r w:rsidRPr="00325027">
        <w:rPr>
          <w:color w:val="auto"/>
          <w:shd w:val="clear" w:color="auto" w:fill="FFFFFF"/>
        </w:rPr>
        <w:t>10.1016/j.jssas.2021.04.004</w:t>
      </w:r>
    </w:p>
    <w:p w14:paraId="5203DF28" w14:textId="77777777" w:rsidR="008007E3" w:rsidRPr="00325027" w:rsidRDefault="008007E3" w:rsidP="007458FB">
      <w:pPr>
        <w:spacing w:before="120" w:after="120"/>
        <w:ind w:left="720" w:hanging="720"/>
        <w:rPr>
          <w:color w:val="auto"/>
          <w:shd w:val="clear" w:color="auto" w:fill="FFFFFF"/>
        </w:rPr>
      </w:pPr>
      <w:proofErr w:type="spellStart"/>
      <w:r w:rsidRPr="00325027">
        <w:rPr>
          <w:color w:val="auto"/>
          <w:shd w:val="clear" w:color="auto" w:fill="FFFFFF"/>
        </w:rPr>
        <w:t>Petter</w:t>
      </w:r>
      <w:proofErr w:type="spellEnd"/>
      <w:r w:rsidRPr="00325027">
        <w:rPr>
          <w:color w:val="auto"/>
          <w:shd w:val="clear" w:color="auto" w:fill="FFFFFF"/>
        </w:rPr>
        <w:t xml:space="preserve">, F. A., Andrade, F. R., Junior, B. H. M., Goncalves, L. G., &amp; </w:t>
      </w:r>
      <w:proofErr w:type="spellStart"/>
      <w:r w:rsidRPr="00325027">
        <w:rPr>
          <w:color w:val="auto"/>
          <w:shd w:val="clear" w:color="auto" w:fill="FFFFFF"/>
        </w:rPr>
        <w:t>Schossler</w:t>
      </w:r>
      <w:proofErr w:type="spellEnd"/>
      <w:r w:rsidRPr="00325027">
        <w:rPr>
          <w:color w:val="auto"/>
          <w:shd w:val="clear" w:color="auto" w:fill="FFFFFF"/>
        </w:rPr>
        <w:t>, T. R. (2012).</w:t>
      </w:r>
      <w:r w:rsidRPr="00325027">
        <w:rPr>
          <w:color w:val="auto"/>
        </w:rPr>
        <w:t xml:space="preserve"> </w:t>
      </w:r>
      <w:r w:rsidRPr="00325027">
        <w:rPr>
          <w:color w:val="auto"/>
          <w:shd w:val="clear" w:color="auto" w:fill="FFFFFF"/>
        </w:rPr>
        <w:t>Biochar as a substrate conditioner for the production of eucalyptus seedlings. </w:t>
      </w:r>
      <w:proofErr w:type="spellStart"/>
      <w:r w:rsidRPr="00325027">
        <w:rPr>
          <w:i/>
          <w:iCs/>
          <w:color w:val="auto"/>
          <w:shd w:val="clear" w:color="auto" w:fill="FFFFFF"/>
        </w:rPr>
        <w:t>Revista</w:t>
      </w:r>
      <w:proofErr w:type="spellEnd"/>
      <w:r w:rsidRPr="00325027">
        <w:rPr>
          <w:i/>
          <w:iCs/>
          <w:color w:val="auto"/>
          <w:shd w:val="clear" w:color="auto" w:fill="FFFFFF"/>
        </w:rPr>
        <w:t xml:space="preserve"> Caatinga</w:t>
      </w:r>
      <w:r w:rsidRPr="00325027">
        <w:rPr>
          <w:color w:val="auto"/>
          <w:shd w:val="clear" w:color="auto" w:fill="FFFFFF"/>
        </w:rPr>
        <w:t>, 25(4), 44-51.</w:t>
      </w:r>
    </w:p>
    <w:p w14:paraId="7994DAC5" w14:textId="77777777" w:rsidR="008007E3" w:rsidRDefault="008007E3" w:rsidP="007458FB">
      <w:pPr>
        <w:spacing w:before="120" w:after="120"/>
        <w:ind w:left="720" w:hanging="720"/>
        <w:rPr>
          <w:color w:val="auto"/>
          <w:shd w:val="clear" w:color="auto" w:fill="FFFFFF"/>
        </w:rPr>
      </w:pPr>
      <w:proofErr w:type="spellStart"/>
      <w:r w:rsidRPr="00325027">
        <w:rPr>
          <w:color w:val="auto"/>
          <w:shd w:val="clear" w:color="auto" w:fill="FFFFFF"/>
        </w:rPr>
        <w:t>Sherke</w:t>
      </w:r>
      <w:proofErr w:type="spellEnd"/>
      <w:r w:rsidRPr="00325027">
        <w:rPr>
          <w:color w:val="auto"/>
          <w:shd w:val="clear" w:color="auto" w:fill="FFFFFF"/>
        </w:rPr>
        <w:t xml:space="preserve">, P., Kumar, N., Gupta, A., Arunachalam, A., &amp; Ramanan, S. S. (2025). Economic implications and quality assessment of biochar enriched potting media: a case study on </w:t>
      </w:r>
      <w:r w:rsidRPr="00325027">
        <w:rPr>
          <w:i/>
          <w:color w:val="auto"/>
          <w:shd w:val="clear" w:color="auto" w:fill="FFFFFF"/>
        </w:rPr>
        <w:t>Terminalia</w:t>
      </w:r>
      <w:r w:rsidRPr="00325027">
        <w:rPr>
          <w:color w:val="auto"/>
          <w:shd w:val="clear" w:color="auto" w:fill="FFFFFF"/>
        </w:rPr>
        <w:t xml:space="preserve"> </w:t>
      </w:r>
      <w:proofErr w:type="spellStart"/>
      <w:r w:rsidRPr="00325027">
        <w:rPr>
          <w:i/>
          <w:color w:val="auto"/>
          <w:shd w:val="clear" w:color="auto" w:fill="FFFFFF"/>
        </w:rPr>
        <w:t>bellerica</w:t>
      </w:r>
      <w:proofErr w:type="spellEnd"/>
      <w:r w:rsidRPr="00325027">
        <w:rPr>
          <w:color w:val="auto"/>
          <w:shd w:val="clear" w:color="auto" w:fill="FFFFFF"/>
        </w:rPr>
        <w:t xml:space="preserve"> seedlings. </w:t>
      </w:r>
      <w:r w:rsidRPr="00325027">
        <w:rPr>
          <w:i/>
          <w:iCs/>
          <w:color w:val="auto"/>
          <w:shd w:val="clear" w:color="auto" w:fill="FFFFFF"/>
        </w:rPr>
        <w:t>Indian Journal of Agroforestry</w:t>
      </w:r>
      <w:r w:rsidRPr="00325027">
        <w:rPr>
          <w:color w:val="auto"/>
          <w:shd w:val="clear" w:color="auto" w:fill="FFFFFF"/>
        </w:rPr>
        <w:t>, </w:t>
      </w:r>
      <w:r w:rsidRPr="00325027">
        <w:rPr>
          <w:iCs/>
          <w:color w:val="auto"/>
          <w:shd w:val="clear" w:color="auto" w:fill="FFFFFF"/>
        </w:rPr>
        <w:t>27</w:t>
      </w:r>
      <w:r w:rsidRPr="00325027">
        <w:rPr>
          <w:color w:val="auto"/>
          <w:shd w:val="clear" w:color="auto" w:fill="FFFFFF"/>
        </w:rPr>
        <w:t>(2), 140-143.</w:t>
      </w:r>
    </w:p>
    <w:p w14:paraId="5E999E37"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lang w:val="pt-BR"/>
        </w:rPr>
        <w:t xml:space="preserve">Silva, M. I., Mackowiak, C., Minogue, P., Reis, A. F., &amp; Moline, E. F. D. V. (2017). </w:t>
      </w:r>
      <w:r w:rsidRPr="00325027">
        <w:rPr>
          <w:color w:val="auto"/>
          <w:shd w:val="clear" w:color="auto" w:fill="FFFFFF"/>
        </w:rPr>
        <w:t>Potential impacts of using sewage sludge biochar on the growth of plant forest seedlings. </w:t>
      </w:r>
      <w:proofErr w:type="spellStart"/>
      <w:r w:rsidRPr="00325027">
        <w:rPr>
          <w:i/>
          <w:iCs/>
          <w:color w:val="auto"/>
          <w:shd w:val="clear" w:color="auto" w:fill="FFFFFF"/>
        </w:rPr>
        <w:t>Ciencia</w:t>
      </w:r>
      <w:proofErr w:type="spellEnd"/>
      <w:r w:rsidRPr="00325027">
        <w:rPr>
          <w:i/>
          <w:iCs/>
          <w:color w:val="auto"/>
          <w:shd w:val="clear" w:color="auto" w:fill="FFFFFF"/>
        </w:rPr>
        <w:t xml:space="preserve"> Rural</w:t>
      </w:r>
      <w:r w:rsidRPr="00325027">
        <w:rPr>
          <w:color w:val="auto"/>
          <w:shd w:val="clear" w:color="auto" w:fill="FFFFFF"/>
        </w:rPr>
        <w:t>, </w:t>
      </w:r>
      <w:r w:rsidRPr="00325027">
        <w:rPr>
          <w:iCs/>
          <w:color w:val="auto"/>
          <w:shd w:val="clear" w:color="auto" w:fill="FFFFFF"/>
        </w:rPr>
        <w:t>47</w:t>
      </w:r>
      <w:r w:rsidRPr="00325027">
        <w:rPr>
          <w:color w:val="auto"/>
          <w:shd w:val="clear" w:color="auto" w:fill="FFFFFF"/>
        </w:rPr>
        <w:t>(01), 1-5. http://dx.doi.org/10.1590/0103-8478cr20160064</w:t>
      </w:r>
    </w:p>
    <w:p w14:paraId="46579E7D" w14:textId="77777777" w:rsidR="008007E3" w:rsidRPr="00325027" w:rsidRDefault="008007E3" w:rsidP="007458FB">
      <w:pPr>
        <w:spacing w:before="120" w:after="120"/>
        <w:ind w:left="720" w:hanging="720"/>
        <w:rPr>
          <w:color w:val="auto"/>
          <w:shd w:val="clear" w:color="auto" w:fill="FFFFFF"/>
        </w:rPr>
      </w:pPr>
      <w:proofErr w:type="spellStart"/>
      <w:r w:rsidRPr="00325027">
        <w:rPr>
          <w:color w:val="auto"/>
          <w:shd w:val="clear" w:color="auto" w:fill="FFFFFF"/>
        </w:rPr>
        <w:t>Simiele</w:t>
      </w:r>
      <w:proofErr w:type="spellEnd"/>
      <w:r w:rsidRPr="00325027">
        <w:rPr>
          <w:color w:val="auto"/>
          <w:shd w:val="clear" w:color="auto" w:fill="FFFFFF"/>
        </w:rPr>
        <w:t xml:space="preserve">, M., De Zio, E., </w:t>
      </w:r>
      <w:proofErr w:type="spellStart"/>
      <w:r w:rsidRPr="00325027">
        <w:rPr>
          <w:color w:val="auto"/>
          <w:shd w:val="clear" w:color="auto" w:fill="FFFFFF"/>
        </w:rPr>
        <w:t>Montagnoli</w:t>
      </w:r>
      <w:proofErr w:type="spellEnd"/>
      <w:r w:rsidRPr="00325027">
        <w:rPr>
          <w:color w:val="auto"/>
          <w:shd w:val="clear" w:color="auto" w:fill="FFFFFF"/>
        </w:rPr>
        <w:t xml:space="preserve">, A., </w:t>
      </w:r>
      <w:proofErr w:type="spellStart"/>
      <w:r w:rsidRPr="00325027">
        <w:rPr>
          <w:color w:val="auto"/>
          <w:shd w:val="clear" w:color="auto" w:fill="FFFFFF"/>
        </w:rPr>
        <w:t>Terzaghi</w:t>
      </w:r>
      <w:proofErr w:type="spellEnd"/>
      <w:r w:rsidRPr="00325027">
        <w:rPr>
          <w:color w:val="auto"/>
          <w:shd w:val="clear" w:color="auto" w:fill="FFFFFF"/>
        </w:rPr>
        <w:t xml:space="preserve">, M., </w:t>
      </w:r>
      <w:proofErr w:type="spellStart"/>
      <w:r w:rsidRPr="00325027">
        <w:rPr>
          <w:color w:val="auto"/>
          <w:shd w:val="clear" w:color="auto" w:fill="FFFFFF"/>
        </w:rPr>
        <w:t>Chiatante</w:t>
      </w:r>
      <w:proofErr w:type="spellEnd"/>
      <w:r w:rsidRPr="00325027">
        <w:rPr>
          <w:color w:val="auto"/>
          <w:shd w:val="clear" w:color="auto" w:fill="FFFFFF"/>
        </w:rPr>
        <w:t xml:space="preserve">, D., </w:t>
      </w:r>
      <w:proofErr w:type="spellStart"/>
      <w:r w:rsidRPr="00325027">
        <w:rPr>
          <w:color w:val="auto"/>
          <w:shd w:val="clear" w:color="auto" w:fill="FFFFFF"/>
        </w:rPr>
        <w:t>Scippa</w:t>
      </w:r>
      <w:proofErr w:type="spellEnd"/>
      <w:r w:rsidRPr="00325027">
        <w:rPr>
          <w:color w:val="auto"/>
          <w:shd w:val="clear" w:color="auto" w:fill="FFFFFF"/>
        </w:rPr>
        <w:t xml:space="preserve">, G. S., &amp; </w:t>
      </w:r>
      <w:proofErr w:type="spellStart"/>
      <w:r w:rsidRPr="00325027">
        <w:rPr>
          <w:color w:val="auto"/>
          <w:shd w:val="clear" w:color="auto" w:fill="FFFFFF"/>
        </w:rPr>
        <w:t>Trupiano</w:t>
      </w:r>
      <w:proofErr w:type="spellEnd"/>
      <w:r w:rsidRPr="00325027">
        <w:rPr>
          <w:color w:val="auto"/>
          <w:shd w:val="clear" w:color="auto" w:fill="FFFFFF"/>
        </w:rPr>
        <w:t>, D. (2022). Biochar and/or compost to enhance nursery-produced seedling performance: A potential tool for forest restoration programs. </w:t>
      </w:r>
      <w:r w:rsidRPr="00325027">
        <w:rPr>
          <w:i/>
          <w:iCs/>
          <w:color w:val="auto"/>
          <w:shd w:val="clear" w:color="auto" w:fill="FFFFFF"/>
        </w:rPr>
        <w:t>Forests</w:t>
      </w:r>
      <w:r w:rsidRPr="00325027">
        <w:rPr>
          <w:color w:val="auto"/>
          <w:shd w:val="clear" w:color="auto" w:fill="FFFFFF"/>
        </w:rPr>
        <w:t xml:space="preserve">, 13(4), 550. </w:t>
      </w:r>
      <w:hyperlink r:id="rId9" w:history="1">
        <w:r w:rsidRPr="00325027">
          <w:rPr>
            <w:rStyle w:val="Hyperlink"/>
            <w:color w:val="auto"/>
            <w:shd w:val="clear" w:color="auto" w:fill="FFFFFF"/>
          </w:rPr>
          <w:t>https://doi.org/10.3390/f13040550</w:t>
        </w:r>
      </w:hyperlink>
    </w:p>
    <w:p w14:paraId="2A67FA94"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rPr>
        <w:t xml:space="preserve">Tang, J., Zhu, W., </w:t>
      </w:r>
      <w:proofErr w:type="spellStart"/>
      <w:r w:rsidRPr="00325027">
        <w:rPr>
          <w:color w:val="auto"/>
          <w:shd w:val="clear" w:color="auto" w:fill="FFFFFF"/>
        </w:rPr>
        <w:t>Kookana</w:t>
      </w:r>
      <w:proofErr w:type="spellEnd"/>
      <w:r w:rsidRPr="00325027">
        <w:rPr>
          <w:color w:val="auto"/>
          <w:shd w:val="clear" w:color="auto" w:fill="FFFFFF"/>
        </w:rPr>
        <w:t>, R., &amp; Katayama, A. (2013). Characteristics of biochar and its application in remediation of contaminated soil. </w:t>
      </w:r>
      <w:r w:rsidRPr="00325027">
        <w:rPr>
          <w:i/>
          <w:iCs/>
          <w:color w:val="auto"/>
          <w:shd w:val="clear" w:color="auto" w:fill="FFFFFF"/>
        </w:rPr>
        <w:t>Journal of bioscience and bioengineering</w:t>
      </w:r>
      <w:r w:rsidRPr="00325027">
        <w:rPr>
          <w:color w:val="auto"/>
          <w:shd w:val="clear" w:color="auto" w:fill="FFFFFF"/>
        </w:rPr>
        <w:t xml:space="preserve">, 116(6), 653-659. </w:t>
      </w:r>
      <w:hyperlink r:id="rId10" w:history="1">
        <w:r w:rsidRPr="00325027">
          <w:rPr>
            <w:rStyle w:val="Hyperlink"/>
            <w:color w:val="auto"/>
            <w:shd w:val="clear" w:color="auto" w:fill="FFFFFF"/>
          </w:rPr>
          <w:t>http://dx.doi.org/10.1016/j.jbiosc.2013.05.035</w:t>
        </w:r>
      </w:hyperlink>
    </w:p>
    <w:p w14:paraId="7204B915" w14:textId="77777777" w:rsidR="008007E3" w:rsidRPr="00325027" w:rsidRDefault="008007E3" w:rsidP="007458FB">
      <w:pPr>
        <w:spacing w:before="120" w:after="120"/>
        <w:ind w:left="720" w:hanging="720"/>
        <w:rPr>
          <w:color w:val="auto"/>
          <w:shd w:val="clear" w:color="auto" w:fill="FFFFFF"/>
        </w:rPr>
      </w:pPr>
      <w:proofErr w:type="spellStart"/>
      <w:r w:rsidRPr="00325027">
        <w:rPr>
          <w:color w:val="auto"/>
          <w:shd w:val="clear" w:color="auto" w:fill="FFFFFF"/>
        </w:rPr>
        <w:lastRenderedPageBreak/>
        <w:t>Zoghi</w:t>
      </w:r>
      <w:proofErr w:type="spellEnd"/>
      <w:r w:rsidRPr="00325027">
        <w:rPr>
          <w:color w:val="auto"/>
          <w:shd w:val="clear" w:color="auto" w:fill="FFFFFF"/>
        </w:rPr>
        <w:t xml:space="preserve">, Z., Hosseini, S. M., </w:t>
      </w:r>
      <w:proofErr w:type="spellStart"/>
      <w:r w:rsidRPr="00325027">
        <w:rPr>
          <w:color w:val="auto"/>
          <w:shd w:val="clear" w:color="auto" w:fill="FFFFFF"/>
        </w:rPr>
        <w:t>Kouchaksaraei</w:t>
      </w:r>
      <w:proofErr w:type="spellEnd"/>
      <w:r w:rsidRPr="00325027">
        <w:rPr>
          <w:color w:val="auto"/>
          <w:shd w:val="clear" w:color="auto" w:fill="FFFFFF"/>
        </w:rPr>
        <w:t xml:space="preserve">, M. T., </w:t>
      </w:r>
      <w:proofErr w:type="spellStart"/>
      <w:r w:rsidRPr="00325027">
        <w:rPr>
          <w:color w:val="auto"/>
          <w:shd w:val="clear" w:color="auto" w:fill="FFFFFF"/>
        </w:rPr>
        <w:t>Kooch</w:t>
      </w:r>
      <w:proofErr w:type="spellEnd"/>
      <w:r w:rsidRPr="00325027">
        <w:rPr>
          <w:color w:val="auto"/>
          <w:shd w:val="clear" w:color="auto" w:fill="FFFFFF"/>
        </w:rPr>
        <w:t xml:space="preserve">, Y., &amp; </w:t>
      </w:r>
      <w:proofErr w:type="spellStart"/>
      <w:r w:rsidRPr="00325027">
        <w:rPr>
          <w:color w:val="auto"/>
          <w:shd w:val="clear" w:color="auto" w:fill="FFFFFF"/>
        </w:rPr>
        <w:t>Guidi</w:t>
      </w:r>
      <w:proofErr w:type="spellEnd"/>
      <w:r w:rsidRPr="00325027">
        <w:rPr>
          <w:color w:val="auto"/>
          <w:shd w:val="clear" w:color="auto" w:fill="FFFFFF"/>
        </w:rPr>
        <w:t xml:space="preserve">, L. (2019). The effect of biochar amendment on the growth, morphology and physiology of </w:t>
      </w:r>
      <w:r w:rsidRPr="00325027">
        <w:rPr>
          <w:i/>
          <w:color w:val="auto"/>
          <w:shd w:val="clear" w:color="auto" w:fill="FFFFFF"/>
        </w:rPr>
        <w:t>Quercus</w:t>
      </w:r>
      <w:r w:rsidRPr="00325027">
        <w:rPr>
          <w:color w:val="auto"/>
          <w:shd w:val="clear" w:color="auto" w:fill="FFFFFF"/>
        </w:rPr>
        <w:t xml:space="preserve"> </w:t>
      </w:r>
      <w:proofErr w:type="spellStart"/>
      <w:r w:rsidRPr="00325027">
        <w:rPr>
          <w:i/>
          <w:color w:val="auto"/>
          <w:shd w:val="clear" w:color="auto" w:fill="FFFFFF"/>
        </w:rPr>
        <w:t>castaneifolia</w:t>
      </w:r>
      <w:proofErr w:type="spellEnd"/>
      <w:r w:rsidRPr="00325027">
        <w:rPr>
          <w:color w:val="auto"/>
          <w:shd w:val="clear" w:color="auto" w:fill="FFFFFF"/>
        </w:rPr>
        <w:t xml:space="preserve"> seedlings under water-deficit stress. </w:t>
      </w:r>
      <w:r w:rsidRPr="00325027">
        <w:rPr>
          <w:i/>
          <w:iCs/>
          <w:color w:val="auto"/>
          <w:shd w:val="clear" w:color="auto" w:fill="FFFFFF"/>
        </w:rPr>
        <w:t>European Journal of Forest Research</w:t>
      </w:r>
      <w:r w:rsidRPr="00325027">
        <w:rPr>
          <w:color w:val="auto"/>
          <w:shd w:val="clear" w:color="auto" w:fill="FFFFFF"/>
        </w:rPr>
        <w:t>, </w:t>
      </w:r>
      <w:r w:rsidRPr="00325027">
        <w:rPr>
          <w:iCs/>
          <w:color w:val="auto"/>
          <w:shd w:val="clear" w:color="auto" w:fill="FFFFFF"/>
        </w:rPr>
        <w:t>138</w:t>
      </w:r>
      <w:r w:rsidRPr="00325027">
        <w:rPr>
          <w:color w:val="auto"/>
          <w:shd w:val="clear" w:color="auto" w:fill="FFFFFF"/>
        </w:rPr>
        <w:t>(6), 967-979.</w:t>
      </w:r>
    </w:p>
    <w:p w14:paraId="3A3D591C" w14:textId="77777777" w:rsidR="008007E3" w:rsidRPr="00325027" w:rsidRDefault="008007E3" w:rsidP="007458FB">
      <w:pPr>
        <w:spacing w:before="120" w:after="120"/>
        <w:ind w:left="720" w:hanging="720"/>
        <w:rPr>
          <w:color w:val="auto"/>
          <w:shd w:val="clear" w:color="auto" w:fill="FFFFFF"/>
        </w:rPr>
      </w:pPr>
      <w:r w:rsidRPr="00325027">
        <w:rPr>
          <w:color w:val="auto"/>
          <w:shd w:val="clear" w:color="auto" w:fill="FFFFFF"/>
        </w:rPr>
        <w:t>Zwart, D. C., &amp; Kim, S. H. (2012). Biochar amendment increases resistance to stem lesions caused by Phytophthora spp. in tree seedlings. </w:t>
      </w:r>
      <w:proofErr w:type="spellStart"/>
      <w:r w:rsidRPr="00325027">
        <w:rPr>
          <w:i/>
          <w:iCs/>
          <w:color w:val="auto"/>
          <w:shd w:val="clear" w:color="auto" w:fill="FFFFFF"/>
        </w:rPr>
        <w:t>HortScience</w:t>
      </w:r>
      <w:proofErr w:type="spellEnd"/>
      <w:r w:rsidRPr="00325027">
        <w:rPr>
          <w:i/>
          <w:iCs/>
          <w:color w:val="auto"/>
          <w:shd w:val="clear" w:color="auto" w:fill="FFFFFF"/>
        </w:rPr>
        <w:t>,</w:t>
      </w:r>
      <w:r w:rsidRPr="00325027">
        <w:rPr>
          <w:color w:val="auto"/>
          <w:shd w:val="clear" w:color="auto" w:fill="FFFFFF"/>
        </w:rPr>
        <w:t> 47(12), 1736-1740.</w:t>
      </w:r>
    </w:p>
    <w:p w14:paraId="46E936CE" w14:textId="77777777" w:rsidR="00124778" w:rsidRPr="009A4C36" w:rsidRDefault="00124778" w:rsidP="007458FB">
      <w:pPr>
        <w:spacing w:before="120" w:after="120" w:line="259" w:lineRule="auto"/>
        <w:ind w:left="0" w:right="0" w:firstLine="720"/>
      </w:pPr>
    </w:p>
    <w:p w14:paraId="35F4E208" w14:textId="19B7C942" w:rsidR="00124778" w:rsidRDefault="00124778" w:rsidP="007458FB">
      <w:pPr>
        <w:spacing w:before="120" w:after="120"/>
        <w:ind w:left="1181"/>
        <w:rPr>
          <w:b/>
          <w:bCs/>
        </w:rPr>
      </w:pPr>
    </w:p>
    <w:p w14:paraId="6EB781E5" w14:textId="77777777" w:rsidR="00124778" w:rsidRPr="00124778" w:rsidRDefault="00124778" w:rsidP="007458FB">
      <w:pPr>
        <w:spacing w:before="120" w:after="120"/>
        <w:rPr>
          <w:b/>
          <w:bCs/>
        </w:rPr>
      </w:pPr>
    </w:p>
    <w:sectPr w:rsidR="00124778" w:rsidRPr="00124778" w:rsidSect="00B95445">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52E1C" w14:textId="77777777" w:rsidR="00282A3E" w:rsidRDefault="00282A3E" w:rsidP="00473919">
      <w:pPr>
        <w:spacing w:line="240" w:lineRule="auto"/>
      </w:pPr>
      <w:r>
        <w:separator/>
      </w:r>
    </w:p>
  </w:endnote>
  <w:endnote w:type="continuationSeparator" w:id="0">
    <w:p w14:paraId="432E66A7" w14:textId="77777777" w:rsidR="00282A3E" w:rsidRDefault="00282A3E" w:rsidP="00473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545C" w14:textId="77777777" w:rsidR="00D57FDF" w:rsidRDefault="00D57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3CED" w14:textId="77777777" w:rsidR="00D57FDF" w:rsidRDefault="00D57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E4BD" w14:textId="77777777" w:rsidR="00D57FDF" w:rsidRDefault="00D57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887FE" w14:textId="77777777" w:rsidR="00282A3E" w:rsidRDefault="00282A3E" w:rsidP="00473919">
      <w:pPr>
        <w:spacing w:line="240" w:lineRule="auto"/>
      </w:pPr>
      <w:r>
        <w:separator/>
      </w:r>
    </w:p>
  </w:footnote>
  <w:footnote w:type="continuationSeparator" w:id="0">
    <w:p w14:paraId="71C194E7" w14:textId="77777777" w:rsidR="00282A3E" w:rsidRDefault="00282A3E" w:rsidP="004739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3518" w14:textId="22AD90C4" w:rsidR="00D57FDF" w:rsidRDefault="00D57FDF">
    <w:pPr>
      <w:pStyle w:val="Header"/>
    </w:pPr>
    <w:r>
      <w:rPr>
        <w:noProof/>
      </w:rPr>
      <w:pict w14:anchorId="32272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5188"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5A39" w14:textId="07124DB0" w:rsidR="00D57FDF" w:rsidRDefault="00D57FDF">
    <w:pPr>
      <w:pStyle w:val="Header"/>
    </w:pPr>
    <w:r>
      <w:rPr>
        <w:noProof/>
      </w:rPr>
      <w:pict w14:anchorId="71814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5189"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C7B9" w14:textId="68EC7558" w:rsidR="00D57FDF" w:rsidRDefault="00D57FDF">
    <w:pPr>
      <w:pStyle w:val="Header"/>
    </w:pPr>
    <w:r>
      <w:rPr>
        <w:noProof/>
      </w:rPr>
      <w:pict w14:anchorId="2B5EA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5187"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CBD"/>
    <w:multiLevelType w:val="hybridMultilevel"/>
    <w:tmpl w:val="0D3CF5D4"/>
    <w:lvl w:ilvl="0" w:tplc="5FEC416A">
      <w:start w:val="1"/>
      <w:numFmt w:val="bullet"/>
      <w:lvlText w:val="•"/>
      <w:lvlJc w:val="left"/>
      <w:pPr>
        <w:tabs>
          <w:tab w:val="num" w:pos="720"/>
        </w:tabs>
        <w:ind w:left="720" w:hanging="360"/>
      </w:pPr>
      <w:rPr>
        <w:rFonts w:ascii="Times New Roman" w:hAnsi="Times New Roman" w:hint="default"/>
      </w:rPr>
    </w:lvl>
    <w:lvl w:ilvl="1" w:tplc="EA9278CC" w:tentative="1">
      <w:start w:val="1"/>
      <w:numFmt w:val="bullet"/>
      <w:lvlText w:val="•"/>
      <w:lvlJc w:val="left"/>
      <w:pPr>
        <w:tabs>
          <w:tab w:val="num" w:pos="1440"/>
        </w:tabs>
        <w:ind w:left="1440" w:hanging="360"/>
      </w:pPr>
      <w:rPr>
        <w:rFonts w:ascii="Times New Roman" w:hAnsi="Times New Roman" w:hint="default"/>
      </w:rPr>
    </w:lvl>
    <w:lvl w:ilvl="2" w:tplc="B1D0F6D4" w:tentative="1">
      <w:start w:val="1"/>
      <w:numFmt w:val="bullet"/>
      <w:lvlText w:val="•"/>
      <w:lvlJc w:val="left"/>
      <w:pPr>
        <w:tabs>
          <w:tab w:val="num" w:pos="2160"/>
        </w:tabs>
        <w:ind w:left="2160" w:hanging="360"/>
      </w:pPr>
      <w:rPr>
        <w:rFonts w:ascii="Times New Roman" w:hAnsi="Times New Roman" w:hint="default"/>
      </w:rPr>
    </w:lvl>
    <w:lvl w:ilvl="3" w:tplc="DCF0664A" w:tentative="1">
      <w:start w:val="1"/>
      <w:numFmt w:val="bullet"/>
      <w:lvlText w:val="•"/>
      <w:lvlJc w:val="left"/>
      <w:pPr>
        <w:tabs>
          <w:tab w:val="num" w:pos="2880"/>
        </w:tabs>
        <w:ind w:left="2880" w:hanging="360"/>
      </w:pPr>
      <w:rPr>
        <w:rFonts w:ascii="Times New Roman" w:hAnsi="Times New Roman" w:hint="default"/>
      </w:rPr>
    </w:lvl>
    <w:lvl w:ilvl="4" w:tplc="8DC41FB2" w:tentative="1">
      <w:start w:val="1"/>
      <w:numFmt w:val="bullet"/>
      <w:lvlText w:val="•"/>
      <w:lvlJc w:val="left"/>
      <w:pPr>
        <w:tabs>
          <w:tab w:val="num" w:pos="3600"/>
        </w:tabs>
        <w:ind w:left="3600" w:hanging="360"/>
      </w:pPr>
      <w:rPr>
        <w:rFonts w:ascii="Times New Roman" w:hAnsi="Times New Roman" w:hint="default"/>
      </w:rPr>
    </w:lvl>
    <w:lvl w:ilvl="5" w:tplc="3DBA7A7A" w:tentative="1">
      <w:start w:val="1"/>
      <w:numFmt w:val="bullet"/>
      <w:lvlText w:val="•"/>
      <w:lvlJc w:val="left"/>
      <w:pPr>
        <w:tabs>
          <w:tab w:val="num" w:pos="4320"/>
        </w:tabs>
        <w:ind w:left="4320" w:hanging="360"/>
      </w:pPr>
      <w:rPr>
        <w:rFonts w:ascii="Times New Roman" w:hAnsi="Times New Roman" w:hint="default"/>
      </w:rPr>
    </w:lvl>
    <w:lvl w:ilvl="6" w:tplc="14B0FD2C" w:tentative="1">
      <w:start w:val="1"/>
      <w:numFmt w:val="bullet"/>
      <w:lvlText w:val="•"/>
      <w:lvlJc w:val="left"/>
      <w:pPr>
        <w:tabs>
          <w:tab w:val="num" w:pos="5040"/>
        </w:tabs>
        <w:ind w:left="5040" w:hanging="360"/>
      </w:pPr>
      <w:rPr>
        <w:rFonts w:ascii="Times New Roman" w:hAnsi="Times New Roman" w:hint="default"/>
      </w:rPr>
    </w:lvl>
    <w:lvl w:ilvl="7" w:tplc="0996222A" w:tentative="1">
      <w:start w:val="1"/>
      <w:numFmt w:val="bullet"/>
      <w:lvlText w:val="•"/>
      <w:lvlJc w:val="left"/>
      <w:pPr>
        <w:tabs>
          <w:tab w:val="num" w:pos="5760"/>
        </w:tabs>
        <w:ind w:left="5760" w:hanging="360"/>
      </w:pPr>
      <w:rPr>
        <w:rFonts w:ascii="Times New Roman" w:hAnsi="Times New Roman" w:hint="default"/>
      </w:rPr>
    </w:lvl>
    <w:lvl w:ilvl="8" w:tplc="1C9023E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1C58C3"/>
    <w:multiLevelType w:val="hybridMultilevel"/>
    <w:tmpl w:val="023E7D60"/>
    <w:lvl w:ilvl="0" w:tplc="5636DD56">
      <w:start w:val="1"/>
      <w:numFmt w:val="bullet"/>
      <w:lvlText w:val=""/>
      <w:lvlJc w:val="left"/>
      <w:pPr>
        <w:tabs>
          <w:tab w:val="num" w:pos="720"/>
        </w:tabs>
        <w:ind w:left="720" w:hanging="360"/>
      </w:pPr>
      <w:rPr>
        <w:rFonts w:ascii="Wingdings" w:hAnsi="Wingdings" w:hint="default"/>
      </w:rPr>
    </w:lvl>
    <w:lvl w:ilvl="1" w:tplc="B0369E9C" w:tentative="1">
      <w:start w:val="1"/>
      <w:numFmt w:val="bullet"/>
      <w:lvlText w:val=""/>
      <w:lvlJc w:val="left"/>
      <w:pPr>
        <w:tabs>
          <w:tab w:val="num" w:pos="1440"/>
        </w:tabs>
        <w:ind w:left="1440" w:hanging="360"/>
      </w:pPr>
      <w:rPr>
        <w:rFonts w:ascii="Wingdings" w:hAnsi="Wingdings" w:hint="default"/>
      </w:rPr>
    </w:lvl>
    <w:lvl w:ilvl="2" w:tplc="6B1A3AC2" w:tentative="1">
      <w:start w:val="1"/>
      <w:numFmt w:val="bullet"/>
      <w:lvlText w:val=""/>
      <w:lvlJc w:val="left"/>
      <w:pPr>
        <w:tabs>
          <w:tab w:val="num" w:pos="2160"/>
        </w:tabs>
        <w:ind w:left="2160" w:hanging="360"/>
      </w:pPr>
      <w:rPr>
        <w:rFonts w:ascii="Wingdings" w:hAnsi="Wingdings" w:hint="default"/>
      </w:rPr>
    </w:lvl>
    <w:lvl w:ilvl="3" w:tplc="96FCEE6E" w:tentative="1">
      <w:start w:val="1"/>
      <w:numFmt w:val="bullet"/>
      <w:lvlText w:val=""/>
      <w:lvlJc w:val="left"/>
      <w:pPr>
        <w:tabs>
          <w:tab w:val="num" w:pos="2880"/>
        </w:tabs>
        <w:ind w:left="2880" w:hanging="360"/>
      </w:pPr>
      <w:rPr>
        <w:rFonts w:ascii="Wingdings" w:hAnsi="Wingdings" w:hint="default"/>
      </w:rPr>
    </w:lvl>
    <w:lvl w:ilvl="4" w:tplc="94FE6108" w:tentative="1">
      <w:start w:val="1"/>
      <w:numFmt w:val="bullet"/>
      <w:lvlText w:val=""/>
      <w:lvlJc w:val="left"/>
      <w:pPr>
        <w:tabs>
          <w:tab w:val="num" w:pos="3600"/>
        </w:tabs>
        <w:ind w:left="3600" w:hanging="360"/>
      </w:pPr>
      <w:rPr>
        <w:rFonts w:ascii="Wingdings" w:hAnsi="Wingdings" w:hint="default"/>
      </w:rPr>
    </w:lvl>
    <w:lvl w:ilvl="5" w:tplc="DE7E126C" w:tentative="1">
      <w:start w:val="1"/>
      <w:numFmt w:val="bullet"/>
      <w:lvlText w:val=""/>
      <w:lvlJc w:val="left"/>
      <w:pPr>
        <w:tabs>
          <w:tab w:val="num" w:pos="4320"/>
        </w:tabs>
        <w:ind w:left="4320" w:hanging="360"/>
      </w:pPr>
      <w:rPr>
        <w:rFonts w:ascii="Wingdings" w:hAnsi="Wingdings" w:hint="default"/>
      </w:rPr>
    </w:lvl>
    <w:lvl w:ilvl="6" w:tplc="3398B2D4" w:tentative="1">
      <w:start w:val="1"/>
      <w:numFmt w:val="bullet"/>
      <w:lvlText w:val=""/>
      <w:lvlJc w:val="left"/>
      <w:pPr>
        <w:tabs>
          <w:tab w:val="num" w:pos="5040"/>
        </w:tabs>
        <w:ind w:left="5040" w:hanging="360"/>
      </w:pPr>
      <w:rPr>
        <w:rFonts w:ascii="Wingdings" w:hAnsi="Wingdings" w:hint="default"/>
      </w:rPr>
    </w:lvl>
    <w:lvl w:ilvl="7" w:tplc="088091CC" w:tentative="1">
      <w:start w:val="1"/>
      <w:numFmt w:val="bullet"/>
      <w:lvlText w:val=""/>
      <w:lvlJc w:val="left"/>
      <w:pPr>
        <w:tabs>
          <w:tab w:val="num" w:pos="5760"/>
        </w:tabs>
        <w:ind w:left="5760" w:hanging="360"/>
      </w:pPr>
      <w:rPr>
        <w:rFonts w:ascii="Wingdings" w:hAnsi="Wingdings" w:hint="default"/>
      </w:rPr>
    </w:lvl>
    <w:lvl w:ilvl="8" w:tplc="CEF2C9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B4C86"/>
    <w:multiLevelType w:val="hybridMultilevel"/>
    <w:tmpl w:val="3A3A2AE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EA23760"/>
    <w:multiLevelType w:val="hybridMultilevel"/>
    <w:tmpl w:val="4E767D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E16F54"/>
    <w:multiLevelType w:val="hybridMultilevel"/>
    <w:tmpl w:val="9282F2DC"/>
    <w:lvl w:ilvl="0" w:tplc="6B74B950">
      <w:start w:val="1"/>
      <w:numFmt w:val="bullet"/>
      <w:lvlText w:val="•"/>
      <w:lvlJc w:val="left"/>
      <w:pPr>
        <w:tabs>
          <w:tab w:val="num" w:pos="720"/>
        </w:tabs>
        <w:ind w:left="720" w:hanging="360"/>
      </w:pPr>
      <w:rPr>
        <w:rFonts w:ascii="Times New Roman" w:hAnsi="Times New Roman" w:hint="default"/>
      </w:rPr>
    </w:lvl>
    <w:lvl w:ilvl="1" w:tplc="CF940D52" w:tentative="1">
      <w:start w:val="1"/>
      <w:numFmt w:val="bullet"/>
      <w:lvlText w:val="•"/>
      <w:lvlJc w:val="left"/>
      <w:pPr>
        <w:tabs>
          <w:tab w:val="num" w:pos="1440"/>
        </w:tabs>
        <w:ind w:left="1440" w:hanging="360"/>
      </w:pPr>
      <w:rPr>
        <w:rFonts w:ascii="Times New Roman" w:hAnsi="Times New Roman" w:hint="default"/>
      </w:rPr>
    </w:lvl>
    <w:lvl w:ilvl="2" w:tplc="64DCC1E6" w:tentative="1">
      <w:start w:val="1"/>
      <w:numFmt w:val="bullet"/>
      <w:lvlText w:val="•"/>
      <w:lvlJc w:val="left"/>
      <w:pPr>
        <w:tabs>
          <w:tab w:val="num" w:pos="2160"/>
        </w:tabs>
        <w:ind w:left="2160" w:hanging="360"/>
      </w:pPr>
      <w:rPr>
        <w:rFonts w:ascii="Times New Roman" w:hAnsi="Times New Roman" w:hint="default"/>
      </w:rPr>
    </w:lvl>
    <w:lvl w:ilvl="3" w:tplc="492EC862" w:tentative="1">
      <w:start w:val="1"/>
      <w:numFmt w:val="bullet"/>
      <w:lvlText w:val="•"/>
      <w:lvlJc w:val="left"/>
      <w:pPr>
        <w:tabs>
          <w:tab w:val="num" w:pos="2880"/>
        </w:tabs>
        <w:ind w:left="2880" w:hanging="360"/>
      </w:pPr>
      <w:rPr>
        <w:rFonts w:ascii="Times New Roman" w:hAnsi="Times New Roman" w:hint="default"/>
      </w:rPr>
    </w:lvl>
    <w:lvl w:ilvl="4" w:tplc="F3CECCE2" w:tentative="1">
      <w:start w:val="1"/>
      <w:numFmt w:val="bullet"/>
      <w:lvlText w:val="•"/>
      <w:lvlJc w:val="left"/>
      <w:pPr>
        <w:tabs>
          <w:tab w:val="num" w:pos="3600"/>
        </w:tabs>
        <w:ind w:left="3600" w:hanging="360"/>
      </w:pPr>
      <w:rPr>
        <w:rFonts w:ascii="Times New Roman" w:hAnsi="Times New Roman" w:hint="default"/>
      </w:rPr>
    </w:lvl>
    <w:lvl w:ilvl="5" w:tplc="76565CB2" w:tentative="1">
      <w:start w:val="1"/>
      <w:numFmt w:val="bullet"/>
      <w:lvlText w:val="•"/>
      <w:lvlJc w:val="left"/>
      <w:pPr>
        <w:tabs>
          <w:tab w:val="num" w:pos="4320"/>
        </w:tabs>
        <w:ind w:left="4320" w:hanging="360"/>
      </w:pPr>
      <w:rPr>
        <w:rFonts w:ascii="Times New Roman" w:hAnsi="Times New Roman" w:hint="default"/>
      </w:rPr>
    </w:lvl>
    <w:lvl w:ilvl="6" w:tplc="7AB63A8A" w:tentative="1">
      <w:start w:val="1"/>
      <w:numFmt w:val="bullet"/>
      <w:lvlText w:val="•"/>
      <w:lvlJc w:val="left"/>
      <w:pPr>
        <w:tabs>
          <w:tab w:val="num" w:pos="5040"/>
        </w:tabs>
        <w:ind w:left="5040" w:hanging="360"/>
      </w:pPr>
      <w:rPr>
        <w:rFonts w:ascii="Times New Roman" w:hAnsi="Times New Roman" w:hint="default"/>
      </w:rPr>
    </w:lvl>
    <w:lvl w:ilvl="7" w:tplc="2C20189C" w:tentative="1">
      <w:start w:val="1"/>
      <w:numFmt w:val="bullet"/>
      <w:lvlText w:val="•"/>
      <w:lvlJc w:val="left"/>
      <w:pPr>
        <w:tabs>
          <w:tab w:val="num" w:pos="5760"/>
        </w:tabs>
        <w:ind w:left="5760" w:hanging="360"/>
      </w:pPr>
      <w:rPr>
        <w:rFonts w:ascii="Times New Roman" w:hAnsi="Times New Roman" w:hint="default"/>
      </w:rPr>
    </w:lvl>
    <w:lvl w:ilvl="8" w:tplc="A2924D6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53E12EB"/>
    <w:multiLevelType w:val="hybridMultilevel"/>
    <w:tmpl w:val="0D56F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4FD297B"/>
    <w:multiLevelType w:val="hybridMultilevel"/>
    <w:tmpl w:val="090C5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AD3C63"/>
    <w:multiLevelType w:val="hybridMultilevel"/>
    <w:tmpl w:val="9E467A32"/>
    <w:lvl w:ilvl="0" w:tplc="39BEAE22">
      <w:start w:val="1"/>
      <w:numFmt w:val="bullet"/>
      <w:lvlText w:val=""/>
      <w:lvlJc w:val="left"/>
      <w:pPr>
        <w:tabs>
          <w:tab w:val="num" w:pos="720"/>
        </w:tabs>
        <w:ind w:left="720" w:hanging="360"/>
      </w:pPr>
      <w:rPr>
        <w:rFonts w:ascii="Wingdings" w:hAnsi="Wingdings" w:hint="default"/>
      </w:rPr>
    </w:lvl>
    <w:lvl w:ilvl="1" w:tplc="E390974E" w:tentative="1">
      <w:start w:val="1"/>
      <w:numFmt w:val="bullet"/>
      <w:lvlText w:val=""/>
      <w:lvlJc w:val="left"/>
      <w:pPr>
        <w:tabs>
          <w:tab w:val="num" w:pos="1440"/>
        </w:tabs>
        <w:ind w:left="1440" w:hanging="360"/>
      </w:pPr>
      <w:rPr>
        <w:rFonts w:ascii="Wingdings" w:hAnsi="Wingdings" w:hint="default"/>
      </w:rPr>
    </w:lvl>
    <w:lvl w:ilvl="2" w:tplc="111E2D0A" w:tentative="1">
      <w:start w:val="1"/>
      <w:numFmt w:val="bullet"/>
      <w:lvlText w:val=""/>
      <w:lvlJc w:val="left"/>
      <w:pPr>
        <w:tabs>
          <w:tab w:val="num" w:pos="2160"/>
        </w:tabs>
        <w:ind w:left="2160" w:hanging="360"/>
      </w:pPr>
      <w:rPr>
        <w:rFonts w:ascii="Wingdings" w:hAnsi="Wingdings" w:hint="default"/>
      </w:rPr>
    </w:lvl>
    <w:lvl w:ilvl="3" w:tplc="4828AA32" w:tentative="1">
      <w:start w:val="1"/>
      <w:numFmt w:val="bullet"/>
      <w:lvlText w:val=""/>
      <w:lvlJc w:val="left"/>
      <w:pPr>
        <w:tabs>
          <w:tab w:val="num" w:pos="2880"/>
        </w:tabs>
        <w:ind w:left="2880" w:hanging="360"/>
      </w:pPr>
      <w:rPr>
        <w:rFonts w:ascii="Wingdings" w:hAnsi="Wingdings" w:hint="default"/>
      </w:rPr>
    </w:lvl>
    <w:lvl w:ilvl="4" w:tplc="B3D20F46" w:tentative="1">
      <w:start w:val="1"/>
      <w:numFmt w:val="bullet"/>
      <w:lvlText w:val=""/>
      <w:lvlJc w:val="left"/>
      <w:pPr>
        <w:tabs>
          <w:tab w:val="num" w:pos="3600"/>
        </w:tabs>
        <w:ind w:left="3600" w:hanging="360"/>
      </w:pPr>
      <w:rPr>
        <w:rFonts w:ascii="Wingdings" w:hAnsi="Wingdings" w:hint="default"/>
      </w:rPr>
    </w:lvl>
    <w:lvl w:ilvl="5" w:tplc="37B22C72" w:tentative="1">
      <w:start w:val="1"/>
      <w:numFmt w:val="bullet"/>
      <w:lvlText w:val=""/>
      <w:lvlJc w:val="left"/>
      <w:pPr>
        <w:tabs>
          <w:tab w:val="num" w:pos="4320"/>
        </w:tabs>
        <w:ind w:left="4320" w:hanging="360"/>
      </w:pPr>
      <w:rPr>
        <w:rFonts w:ascii="Wingdings" w:hAnsi="Wingdings" w:hint="default"/>
      </w:rPr>
    </w:lvl>
    <w:lvl w:ilvl="6" w:tplc="60ECA70A" w:tentative="1">
      <w:start w:val="1"/>
      <w:numFmt w:val="bullet"/>
      <w:lvlText w:val=""/>
      <w:lvlJc w:val="left"/>
      <w:pPr>
        <w:tabs>
          <w:tab w:val="num" w:pos="5040"/>
        </w:tabs>
        <w:ind w:left="5040" w:hanging="360"/>
      </w:pPr>
      <w:rPr>
        <w:rFonts w:ascii="Wingdings" w:hAnsi="Wingdings" w:hint="default"/>
      </w:rPr>
    </w:lvl>
    <w:lvl w:ilvl="7" w:tplc="9C20F8C8" w:tentative="1">
      <w:start w:val="1"/>
      <w:numFmt w:val="bullet"/>
      <w:lvlText w:val=""/>
      <w:lvlJc w:val="left"/>
      <w:pPr>
        <w:tabs>
          <w:tab w:val="num" w:pos="5760"/>
        </w:tabs>
        <w:ind w:left="5760" w:hanging="360"/>
      </w:pPr>
      <w:rPr>
        <w:rFonts w:ascii="Wingdings" w:hAnsi="Wingdings" w:hint="default"/>
      </w:rPr>
    </w:lvl>
    <w:lvl w:ilvl="8" w:tplc="D9203B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2C28D7"/>
    <w:multiLevelType w:val="hybridMultilevel"/>
    <w:tmpl w:val="90582A7C"/>
    <w:lvl w:ilvl="0" w:tplc="40090001">
      <w:start w:val="1"/>
      <w:numFmt w:val="bullet"/>
      <w:lvlText w:val=""/>
      <w:lvlJc w:val="left"/>
      <w:pPr>
        <w:ind w:left="737" w:hanging="360"/>
      </w:pPr>
      <w:rPr>
        <w:rFonts w:ascii="Symbol" w:hAnsi="Symbol" w:hint="default"/>
      </w:rPr>
    </w:lvl>
    <w:lvl w:ilvl="1" w:tplc="40090003" w:tentative="1">
      <w:start w:val="1"/>
      <w:numFmt w:val="bullet"/>
      <w:lvlText w:val="o"/>
      <w:lvlJc w:val="left"/>
      <w:pPr>
        <w:ind w:left="1457" w:hanging="360"/>
      </w:pPr>
      <w:rPr>
        <w:rFonts w:ascii="Courier New" w:hAnsi="Courier New" w:cs="Courier New" w:hint="default"/>
      </w:rPr>
    </w:lvl>
    <w:lvl w:ilvl="2" w:tplc="40090005" w:tentative="1">
      <w:start w:val="1"/>
      <w:numFmt w:val="bullet"/>
      <w:lvlText w:val=""/>
      <w:lvlJc w:val="left"/>
      <w:pPr>
        <w:ind w:left="2177" w:hanging="360"/>
      </w:pPr>
      <w:rPr>
        <w:rFonts w:ascii="Wingdings" w:hAnsi="Wingdings" w:hint="default"/>
      </w:rPr>
    </w:lvl>
    <w:lvl w:ilvl="3" w:tplc="40090001" w:tentative="1">
      <w:start w:val="1"/>
      <w:numFmt w:val="bullet"/>
      <w:lvlText w:val=""/>
      <w:lvlJc w:val="left"/>
      <w:pPr>
        <w:ind w:left="2897" w:hanging="360"/>
      </w:pPr>
      <w:rPr>
        <w:rFonts w:ascii="Symbol" w:hAnsi="Symbol" w:hint="default"/>
      </w:rPr>
    </w:lvl>
    <w:lvl w:ilvl="4" w:tplc="40090003" w:tentative="1">
      <w:start w:val="1"/>
      <w:numFmt w:val="bullet"/>
      <w:lvlText w:val="o"/>
      <w:lvlJc w:val="left"/>
      <w:pPr>
        <w:ind w:left="3617" w:hanging="360"/>
      </w:pPr>
      <w:rPr>
        <w:rFonts w:ascii="Courier New" w:hAnsi="Courier New" w:cs="Courier New" w:hint="default"/>
      </w:rPr>
    </w:lvl>
    <w:lvl w:ilvl="5" w:tplc="40090005" w:tentative="1">
      <w:start w:val="1"/>
      <w:numFmt w:val="bullet"/>
      <w:lvlText w:val=""/>
      <w:lvlJc w:val="left"/>
      <w:pPr>
        <w:ind w:left="4337" w:hanging="360"/>
      </w:pPr>
      <w:rPr>
        <w:rFonts w:ascii="Wingdings" w:hAnsi="Wingdings" w:hint="default"/>
      </w:rPr>
    </w:lvl>
    <w:lvl w:ilvl="6" w:tplc="40090001" w:tentative="1">
      <w:start w:val="1"/>
      <w:numFmt w:val="bullet"/>
      <w:lvlText w:val=""/>
      <w:lvlJc w:val="left"/>
      <w:pPr>
        <w:ind w:left="5057" w:hanging="360"/>
      </w:pPr>
      <w:rPr>
        <w:rFonts w:ascii="Symbol" w:hAnsi="Symbol" w:hint="default"/>
      </w:rPr>
    </w:lvl>
    <w:lvl w:ilvl="7" w:tplc="40090003" w:tentative="1">
      <w:start w:val="1"/>
      <w:numFmt w:val="bullet"/>
      <w:lvlText w:val="o"/>
      <w:lvlJc w:val="left"/>
      <w:pPr>
        <w:ind w:left="5777" w:hanging="360"/>
      </w:pPr>
      <w:rPr>
        <w:rFonts w:ascii="Courier New" w:hAnsi="Courier New" w:cs="Courier New" w:hint="default"/>
      </w:rPr>
    </w:lvl>
    <w:lvl w:ilvl="8" w:tplc="40090005" w:tentative="1">
      <w:start w:val="1"/>
      <w:numFmt w:val="bullet"/>
      <w:lvlText w:val=""/>
      <w:lvlJc w:val="left"/>
      <w:pPr>
        <w:ind w:left="6497" w:hanging="360"/>
      </w:pPr>
      <w:rPr>
        <w:rFonts w:ascii="Wingdings" w:hAnsi="Wingdings" w:hint="default"/>
      </w:rPr>
    </w:lvl>
  </w:abstractNum>
  <w:abstractNum w:abstractNumId="9" w15:restartNumberingAfterBreak="0">
    <w:nsid w:val="59D16165"/>
    <w:multiLevelType w:val="multilevel"/>
    <w:tmpl w:val="426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650F2"/>
    <w:multiLevelType w:val="hybridMultilevel"/>
    <w:tmpl w:val="42BA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0B17D82"/>
    <w:multiLevelType w:val="hybridMultilevel"/>
    <w:tmpl w:val="8438D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8"/>
  </w:num>
  <w:num w:numId="7">
    <w:abstractNumId w:val="11"/>
  </w:num>
  <w:num w:numId="8">
    <w:abstractNumId w:val="6"/>
  </w:num>
  <w:num w:numId="9">
    <w:abstractNumId w:val="2"/>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E0"/>
    <w:rsid w:val="00007A6A"/>
    <w:rsid w:val="000244A4"/>
    <w:rsid w:val="00035B07"/>
    <w:rsid w:val="000440ED"/>
    <w:rsid w:val="00052D38"/>
    <w:rsid w:val="00060F52"/>
    <w:rsid w:val="00062AC7"/>
    <w:rsid w:val="000648D4"/>
    <w:rsid w:val="00072C30"/>
    <w:rsid w:val="00077B54"/>
    <w:rsid w:val="00092F90"/>
    <w:rsid w:val="00095CF5"/>
    <w:rsid w:val="00095DAD"/>
    <w:rsid w:val="000C3AAB"/>
    <w:rsid w:val="000D7BEC"/>
    <w:rsid w:val="000E00CB"/>
    <w:rsid w:val="000F7589"/>
    <w:rsid w:val="001130AC"/>
    <w:rsid w:val="001151DB"/>
    <w:rsid w:val="00117C71"/>
    <w:rsid w:val="00117CA6"/>
    <w:rsid w:val="001232D5"/>
    <w:rsid w:val="00124778"/>
    <w:rsid w:val="001259B3"/>
    <w:rsid w:val="00130CF4"/>
    <w:rsid w:val="0014061F"/>
    <w:rsid w:val="00145D52"/>
    <w:rsid w:val="0016493F"/>
    <w:rsid w:val="001738AC"/>
    <w:rsid w:val="001769E0"/>
    <w:rsid w:val="00181017"/>
    <w:rsid w:val="00186515"/>
    <w:rsid w:val="001A4926"/>
    <w:rsid w:val="001A6FEC"/>
    <w:rsid w:val="001B0B8A"/>
    <w:rsid w:val="001B3855"/>
    <w:rsid w:val="001C2FC9"/>
    <w:rsid w:val="001C7639"/>
    <w:rsid w:val="001D0EFE"/>
    <w:rsid w:val="001D68E3"/>
    <w:rsid w:val="001F1870"/>
    <w:rsid w:val="002016E8"/>
    <w:rsid w:val="002022CA"/>
    <w:rsid w:val="002222B8"/>
    <w:rsid w:val="00223DF3"/>
    <w:rsid w:val="002243AD"/>
    <w:rsid w:val="00224D12"/>
    <w:rsid w:val="0022679E"/>
    <w:rsid w:val="00234F09"/>
    <w:rsid w:val="00254903"/>
    <w:rsid w:val="0026440B"/>
    <w:rsid w:val="00281831"/>
    <w:rsid w:val="00282A3E"/>
    <w:rsid w:val="0028484D"/>
    <w:rsid w:val="002A0869"/>
    <w:rsid w:val="002C31C7"/>
    <w:rsid w:val="002C73A0"/>
    <w:rsid w:val="002D4A49"/>
    <w:rsid w:val="002D4C09"/>
    <w:rsid w:val="002E5D6D"/>
    <w:rsid w:val="002E669F"/>
    <w:rsid w:val="002F2E9D"/>
    <w:rsid w:val="002F59CB"/>
    <w:rsid w:val="003241E2"/>
    <w:rsid w:val="00325027"/>
    <w:rsid w:val="003309D4"/>
    <w:rsid w:val="00340C35"/>
    <w:rsid w:val="00344CD7"/>
    <w:rsid w:val="0035597A"/>
    <w:rsid w:val="0035710B"/>
    <w:rsid w:val="003611E0"/>
    <w:rsid w:val="00362F9F"/>
    <w:rsid w:val="00363D98"/>
    <w:rsid w:val="00370B2C"/>
    <w:rsid w:val="00370E3C"/>
    <w:rsid w:val="00371E1D"/>
    <w:rsid w:val="00372B11"/>
    <w:rsid w:val="00382905"/>
    <w:rsid w:val="00387A2C"/>
    <w:rsid w:val="003A1D56"/>
    <w:rsid w:val="003A6BA6"/>
    <w:rsid w:val="003C21B9"/>
    <w:rsid w:val="003D3A1B"/>
    <w:rsid w:val="003F23A4"/>
    <w:rsid w:val="00402763"/>
    <w:rsid w:val="00410C51"/>
    <w:rsid w:val="00412E0C"/>
    <w:rsid w:val="00422B1C"/>
    <w:rsid w:val="004508A1"/>
    <w:rsid w:val="00450990"/>
    <w:rsid w:val="00462EE4"/>
    <w:rsid w:val="0046567B"/>
    <w:rsid w:val="0047049C"/>
    <w:rsid w:val="00473919"/>
    <w:rsid w:val="004876C4"/>
    <w:rsid w:val="00493C0E"/>
    <w:rsid w:val="00497BBB"/>
    <w:rsid w:val="00497EB8"/>
    <w:rsid w:val="004A1072"/>
    <w:rsid w:val="004A378A"/>
    <w:rsid w:val="004A6B02"/>
    <w:rsid w:val="004C2676"/>
    <w:rsid w:val="004C4087"/>
    <w:rsid w:val="004E09FC"/>
    <w:rsid w:val="004F3D4A"/>
    <w:rsid w:val="00552979"/>
    <w:rsid w:val="00557F0E"/>
    <w:rsid w:val="00571679"/>
    <w:rsid w:val="00572864"/>
    <w:rsid w:val="00581A6D"/>
    <w:rsid w:val="00582E94"/>
    <w:rsid w:val="005B237E"/>
    <w:rsid w:val="005C470A"/>
    <w:rsid w:val="005F2468"/>
    <w:rsid w:val="005F32EE"/>
    <w:rsid w:val="005F49FC"/>
    <w:rsid w:val="00601DBC"/>
    <w:rsid w:val="0060234E"/>
    <w:rsid w:val="00605492"/>
    <w:rsid w:val="00632262"/>
    <w:rsid w:val="00632776"/>
    <w:rsid w:val="0063748F"/>
    <w:rsid w:val="00642F2E"/>
    <w:rsid w:val="00661729"/>
    <w:rsid w:val="00664F14"/>
    <w:rsid w:val="0066515E"/>
    <w:rsid w:val="00666779"/>
    <w:rsid w:val="00673ABB"/>
    <w:rsid w:val="00684766"/>
    <w:rsid w:val="006A7A8B"/>
    <w:rsid w:val="006B6DA5"/>
    <w:rsid w:val="006F3108"/>
    <w:rsid w:val="006F4F59"/>
    <w:rsid w:val="00737F8C"/>
    <w:rsid w:val="007458FB"/>
    <w:rsid w:val="007506D2"/>
    <w:rsid w:val="00764F55"/>
    <w:rsid w:val="00775483"/>
    <w:rsid w:val="0078377F"/>
    <w:rsid w:val="007A00EB"/>
    <w:rsid w:val="007A176F"/>
    <w:rsid w:val="007B3290"/>
    <w:rsid w:val="007C3F8D"/>
    <w:rsid w:val="007D0C97"/>
    <w:rsid w:val="007D0D8D"/>
    <w:rsid w:val="007D21E6"/>
    <w:rsid w:val="007E19BA"/>
    <w:rsid w:val="007F292D"/>
    <w:rsid w:val="007F3516"/>
    <w:rsid w:val="008007E3"/>
    <w:rsid w:val="00801650"/>
    <w:rsid w:val="00802655"/>
    <w:rsid w:val="00804528"/>
    <w:rsid w:val="00817ED2"/>
    <w:rsid w:val="0083321F"/>
    <w:rsid w:val="00837808"/>
    <w:rsid w:val="00842D5D"/>
    <w:rsid w:val="00843570"/>
    <w:rsid w:val="00850355"/>
    <w:rsid w:val="00852CD4"/>
    <w:rsid w:val="00865267"/>
    <w:rsid w:val="00874576"/>
    <w:rsid w:val="00885309"/>
    <w:rsid w:val="008870AB"/>
    <w:rsid w:val="00887A6B"/>
    <w:rsid w:val="00893AED"/>
    <w:rsid w:val="008A3212"/>
    <w:rsid w:val="008A4EC6"/>
    <w:rsid w:val="008B5C16"/>
    <w:rsid w:val="008C1B1F"/>
    <w:rsid w:val="008C7E59"/>
    <w:rsid w:val="008D3A53"/>
    <w:rsid w:val="008E1177"/>
    <w:rsid w:val="008F2ED2"/>
    <w:rsid w:val="008F401B"/>
    <w:rsid w:val="00900928"/>
    <w:rsid w:val="009032FF"/>
    <w:rsid w:val="00914F77"/>
    <w:rsid w:val="009273A9"/>
    <w:rsid w:val="00940BC3"/>
    <w:rsid w:val="00941CDF"/>
    <w:rsid w:val="00943AA5"/>
    <w:rsid w:val="009541FE"/>
    <w:rsid w:val="00962CD5"/>
    <w:rsid w:val="00963647"/>
    <w:rsid w:val="0098705F"/>
    <w:rsid w:val="009A4C36"/>
    <w:rsid w:val="009A4D8E"/>
    <w:rsid w:val="009A5739"/>
    <w:rsid w:val="009A5ADF"/>
    <w:rsid w:val="009B69EB"/>
    <w:rsid w:val="009C5262"/>
    <w:rsid w:val="009C6B0D"/>
    <w:rsid w:val="009C76C6"/>
    <w:rsid w:val="009D07C0"/>
    <w:rsid w:val="009D3866"/>
    <w:rsid w:val="009E6D79"/>
    <w:rsid w:val="009F0017"/>
    <w:rsid w:val="00A11DA0"/>
    <w:rsid w:val="00A16279"/>
    <w:rsid w:val="00A33DE1"/>
    <w:rsid w:val="00A66064"/>
    <w:rsid w:val="00A6783D"/>
    <w:rsid w:val="00A71AF7"/>
    <w:rsid w:val="00A77D56"/>
    <w:rsid w:val="00A80C64"/>
    <w:rsid w:val="00A816A0"/>
    <w:rsid w:val="00A858E6"/>
    <w:rsid w:val="00A86EBC"/>
    <w:rsid w:val="00A91F5E"/>
    <w:rsid w:val="00AB29BA"/>
    <w:rsid w:val="00AE357B"/>
    <w:rsid w:val="00B06DE6"/>
    <w:rsid w:val="00B33202"/>
    <w:rsid w:val="00B37954"/>
    <w:rsid w:val="00B42A41"/>
    <w:rsid w:val="00B51332"/>
    <w:rsid w:val="00B63BB3"/>
    <w:rsid w:val="00B66425"/>
    <w:rsid w:val="00B7527D"/>
    <w:rsid w:val="00B93A5C"/>
    <w:rsid w:val="00B95445"/>
    <w:rsid w:val="00BC075F"/>
    <w:rsid w:val="00BC580F"/>
    <w:rsid w:val="00BC793A"/>
    <w:rsid w:val="00BC79FE"/>
    <w:rsid w:val="00BE3568"/>
    <w:rsid w:val="00BE550E"/>
    <w:rsid w:val="00BE6D8F"/>
    <w:rsid w:val="00BF28D2"/>
    <w:rsid w:val="00C01D55"/>
    <w:rsid w:val="00C0542C"/>
    <w:rsid w:val="00C0696B"/>
    <w:rsid w:val="00C14B18"/>
    <w:rsid w:val="00C17869"/>
    <w:rsid w:val="00C247D4"/>
    <w:rsid w:val="00C26DA7"/>
    <w:rsid w:val="00C27C95"/>
    <w:rsid w:val="00C43245"/>
    <w:rsid w:val="00C5267F"/>
    <w:rsid w:val="00C578A2"/>
    <w:rsid w:val="00C60D3A"/>
    <w:rsid w:val="00C764B8"/>
    <w:rsid w:val="00C9449F"/>
    <w:rsid w:val="00C96637"/>
    <w:rsid w:val="00CA04CD"/>
    <w:rsid w:val="00CA7A5B"/>
    <w:rsid w:val="00CB25ED"/>
    <w:rsid w:val="00CB4B28"/>
    <w:rsid w:val="00CC03FA"/>
    <w:rsid w:val="00CC21DA"/>
    <w:rsid w:val="00CC465D"/>
    <w:rsid w:val="00CD606C"/>
    <w:rsid w:val="00CF76C0"/>
    <w:rsid w:val="00D036D1"/>
    <w:rsid w:val="00D0460E"/>
    <w:rsid w:val="00D079E7"/>
    <w:rsid w:val="00D07BEC"/>
    <w:rsid w:val="00D319E9"/>
    <w:rsid w:val="00D40466"/>
    <w:rsid w:val="00D413FC"/>
    <w:rsid w:val="00D5486C"/>
    <w:rsid w:val="00D57718"/>
    <w:rsid w:val="00D57FDF"/>
    <w:rsid w:val="00D7444E"/>
    <w:rsid w:val="00D7663D"/>
    <w:rsid w:val="00D82C89"/>
    <w:rsid w:val="00D8340F"/>
    <w:rsid w:val="00D92328"/>
    <w:rsid w:val="00DA7AB7"/>
    <w:rsid w:val="00DC3D8C"/>
    <w:rsid w:val="00DD76F3"/>
    <w:rsid w:val="00E030D6"/>
    <w:rsid w:val="00E04B9F"/>
    <w:rsid w:val="00E170D2"/>
    <w:rsid w:val="00E30C6C"/>
    <w:rsid w:val="00E4079C"/>
    <w:rsid w:val="00E51BD0"/>
    <w:rsid w:val="00E73FAF"/>
    <w:rsid w:val="00E82642"/>
    <w:rsid w:val="00E84318"/>
    <w:rsid w:val="00E873CD"/>
    <w:rsid w:val="00E87D5C"/>
    <w:rsid w:val="00ED406D"/>
    <w:rsid w:val="00ED7D68"/>
    <w:rsid w:val="00EE6299"/>
    <w:rsid w:val="00EE6F20"/>
    <w:rsid w:val="00F03C91"/>
    <w:rsid w:val="00F3051B"/>
    <w:rsid w:val="00F30ECF"/>
    <w:rsid w:val="00F3481E"/>
    <w:rsid w:val="00F44EA4"/>
    <w:rsid w:val="00F4765B"/>
    <w:rsid w:val="00F5660C"/>
    <w:rsid w:val="00F57137"/>
    <w:rsid w:val="00F57798"/>
    <w:rsid w:val="00F579E3"/>
    <w:rsid w:val="00F631EA"/>
    <w:rsid w:val="00F82CE5"/>
    <w:rsid w:val="00F96307"/>
    <w:rsid w:val="00FB15A3"/>
    <w:rsid w:val="00FB5718"/>
    <w:rsid w:val="00FC4421"/>
    <w:rsid w:val="00FC669D"/>
    <w:rsid w:val="00FE5012"/>
    <w:rsid w:val="00FF2D58"/>
    <w:rsid w:val="00FF5E6A"/>
    <w:rsid w:val="00FF652F"/>
    <w:rsid w:val="00FF6C0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096F3"/>
  <w15:chartTrackingRefBased/>
  <w15:docId w15:val="{A2E4CD2B-F434-48D4-AD39-A85EDCFF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650"/>
    <w:pPr>
      <w:spacing w:after="0" w:line="248" w:lineRule="auto"/>
      <w:ind w:left="461" w:right="1" w:hanging="461"/>
      <w:jc w:val="both"/>
    </w:pPr>
    <w:rPr>
      <w:rFonts w:ascii="Times New Roman" w:eastAsia="Times New Roman" w:hAnsi="Times New Roman" w:cs="Times New Roman"/>
      <w:color w:val="000000"/>
      <w:sz w:val="24"/>
      <w:szCs w:val="24"/>
      <w:lang w:eastAsia="en-IN"/>
    </w:rPr>
  </w:style>
  <w:style w:type="paragraph" w:styleId="Heading1">
    <w:name w:val="heading 1"/>
    <w:basedOn w:val="Normal"/>
    <w:next w:val="Normal"/>
    <w:link w:val="Heading1Char"/>
    <w:uiPriority w:val="9"/>
    <w:qFormat/>
    <w:rsid w:val="003611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11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11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11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11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11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1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11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11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11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11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1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E0"/>
    <w:rPr>
      <w:rFonts w:eastAsiaTheme="majorEastAsia" w:cstheme="majorBidi"/>
      <w:color w:val="272727" w:themeColor="text1" w:themeTint="D8"/>
    </w:rPr>
  </w:style>
  <w:style w:type="paragraph" w:styleId="Title">
    <w:name w:val="Title"/>
    <w:basedOn w:val="Normal"/>
    <w:next w:val="Normal"/>
    <w:link w:val="TitleChar"/>
    <w:uiPriority w:val="10"/>
    <w:qFormat/>
    <w:rsid w:val="00361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1E0"/>
    <w:pPr>
      <w:numPr>
        <w:ilvl w:val="1"/>
      </w:numPr>
      <w:ind w:left="461" w:hanging="46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E0"/>
    <w:pPr>
      <w:spacing w:before="160"/>
      <w:jc w:val="center"/>
    </w:pPr>
    <w:rPr>
      <w:i/>
      <w:iCs/>
      <w:color w:val="404040" w:themeColor="text1" w:themeTint="BF"/>
    </w:rPr>
  </w:style>
  <w:style w:type="character" w:customStyle="1" w:styleId="QuoteChar">
    <w:name w:val="Quote Char"/>
    <w:basedOn w:val="DefaultParagraphFont"/>
    <w:link w:val="Quote"/>
    <w:uiPriority w:val="29"/>
    <w:rsid w:val="003611E0"/>
    <w:rPr>
      <w:i/>
      <w:iCs/>
      <w:color w:val="404040" w:themeColor="text1" w:themeTint="BF"/>
    </w:rPr>
  </w:style>
  <w:style w:type="paragraph" w:styleId="ListParagraph">
    <w:name w:val="List Paragraph"/>
    <w:basedOn w:val="Normal"/>
    <w:uiPriority w:val="34"/>
    <w:qFormat/>
    <w:rsid w:val="003611E0"/>
    <w:pPr>
      <w:ind w:left="720"/>
      <w:contextualSpacing/>
    </w:pPr>
  </w:style>
  <w:style w:type="character" w:styleId="IntenseEmphasis">
    <w:name w:val="Intense Emphasis"/>
    <w:basedOn w:val="DefaultParagraphFont"/>
    <w:uiPriority w:val="21"/>
    <w:qFormat/>
    <w:rsid w:val="003611E0"/>
    <w:rPr>
      <w:i/>
      <w:iCs/>
      <w:color w:val="2F5496" w:themeColor="accent1" w:themeShade="BF"/>
    </w:rPr>
  </w:style>
  <w:style w:type="paragraph" w:styleId="IntenseQuote">
    <w:name w:val="Intense Quote"/>
    <w:basedOn w:val="Normal"/>
    <w:next w:val="Normal"/>
    <w:link w:val="IntenseQuoteChar"/>
    <w:uiPriority w:val="30"/>
    <w:qFormat/>
    <w:rsid w:val="00361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11E0"/>
    <w:rPr>
      <w:i/>
      <w:iCs/>
      <w:color w:val="2F5496" w:themeColor="accent1" w:themeShade="BF"/>
    </w:rPr>
  </w:style>
  <w:style w:type="character" w:styleId="IntenseReference">
    <w:name w:val="Intense Reference"/>
    <w:basedOn w:val="DefaultParagraphFont"/>
    <w:uiPriority w:val="32"/>
    <w:qFormat/>
    <w:rsid w:val="003611E0"/>
    <w:rPr>
      <w:b/>
      <w:bCs/>
      <w:smallCaps/>
      <w:color w:val="2F5496" w:themeColor="accent1" w:themeShade="BF"/>
      <w:spacing w:val="5"/>
    </w:rPr>
  </w:style>
  <w:style w:type="table" w:customStyle="1" w:styleId="TableGrid">
    <w:name w:val="TableGrid"/>
    <w:rsid w:val="005F32EE"/>
    <w:pPr>
      <w:spacing w:after="0" w:line="240" w:lineRule="auto"/>
    </w:pPr>
    <w:rPr>
      <w:rFonts w:eastAsiaTheme="minorEastAsia"/>
      <w:sz w:val="24"/>
      <w:szCs w:val="24"/>
      <w:lang w:eastAsia="en-IN"/>
    </w:rPr>
    <w:tblPr>
      <w:tblCellMar>
        <w:top w:w="0" w:type="dxa"/>
        <w:left w:w="0" w:type="dxa"/>
        <w:bottom w:w="0" w:type="dxa"/>
        <w:right w:w="0" w:type="dxa"/>
      </w:tblCellMar>
    </w:tblPr>
  </w:style>
  <w:style w:type="paragraph" w:styleId="NormalWeb">
    <w:name w:val="Normal (Web)"/>
    <w:basedOn w:val="Normal"/>
    <w:uiPriority w:val="99"/>
    <w:semiHidden/>
    <w:unhideWhenUsed/>
    <w:rsid w:val="0060234E"/>
  </w:style>
  <w:style w:type="table" w:styleId="TableGrid0">
    <w:name w:val="Table Grid"/>
    <w:basedOn w:val="TableNormal"/>
    <w:uiPriority w:val="39"/>
    <w:rsid w:val="0047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3919"/>
    <w:pPr>
      <w:tabs>
        <w:tab w:val="center" w:pos="4513"/>
        <w:tab w:val="right" w:pos="9026"/>
      </w:tabs>
      <w:spacing w:line="240" w:lineRule="auto"/>
    </w:pPr>
  </w:style>
  <w:style w:type="character" w:customStyle="1" w:styleId="HeaderChar">
    <w:name w:val="Header Char"/>
    <w:basedOn w:val="DefaultParagraphFont"/>
    <w:link w:val="Header"/>
    <w:uiPriority w:val="99"/>
    <w:rsid w:val="00473919"/>
    <w:rPr>
      <w:rFonts w:ascii="Times New Roman" w:eastAsia="Times New Roman" w:hAnsi="Times New Roman" w:cs="Times New Roman"/>
      <w:color w:val="000000"/>
      <w:sz w:val="24"/>
      <w:szCs w:val="24"/>
      <w:lang w:eastAsia="en-IN"/>
    </w:rPr>
  </w:style>
  <w:style w:type="paragraph" w:styleId="Footer">
    <w:name w:val="footer"/>
    <w:basedOn w:val="Normal"/>
    <w:link w:val="FooterChar"/>
    <w:uiPriority w:val="99"/>
    <w:unhideWhenUsed/>
    <w:rsid w:val="00473919"/>
    <w:pPr>
      <w:tabs>
        <w:tab w:val="center" w:pos="4513"/>
        <w:tab w:val="right" w:pos="9026"/>
      </w:tabs>
      <w:spacing w:line="240" w:lineRule="auto"/>
    </w:pPr>
  </w:style>
  <w:style w:type="character" w:customStyle="1" w:styleId="FooterChar">
    <w:name w:val="Footer Char"/>
    <w:basedOn w:val="DefaultParagraphFont"/>
    <w:link w:val="Footer"/>
    <w:uiPriority w:val="99"/>
    <w:rsid w:val="00473919"/>
    <w:rPr>
      <w:rFonts w:ascii="Times New Roman" w:eastAsia="Times New Roman" w:hAnsi="Times New Roman" w:cs="Times New Roman"/>
      <w:color w:val="000000"/>
      <w:sz w:val="24"/>
      <w:szCs w:val="24"/>
      <w:lang w:eastAsia="en-IN"/>
    </w:rPr>
  </w:style>
  <w:style w:type="paragraph" w:customStyle="1" w:styleId="Default">
    <w:name w:val="Default"/>
    <w:rsid w:val="00370E3C"/>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ED7D68"/>
    <w:pPr>
      <w:spacing w:after="0" w:line="240" w:lineRule="auto"/>
      <w:ind w:left="461" w:right="1" w:hanging="461"/>
      <w:jc w:val="both"/>
    </w:pPr>
    <w:rPr>
      <w:rFonts w:ascii="Times New Roman" w:eastAsia="Times New Roman" w:hAnsi="Times New Roman" w:cs="Times New Roman"/>
      <w:color w:val="000000"/>
      <w:sz w:val="24"/>
      <w:szCs w:val="24"/>
      <w:lang w:eastAsia="en-IN"/>
    </w:rPr>
  </w:style>
  <w:style w:type="character" w:styleId="Hyperlink">
    <w:name w:val="Hyperlink"/>
    <w:basedOn w:val="DefaultParagraphFont"/>
    <w:uiPriority w:val="99"/>
    <w:unhideWhenUsed/>
    <w:rsid w:val="00900928"/>
    <w:rPr>
      <w:color w:val="0563C1" w:themeColor="hyperlink"/>
      <w:u w:val="single"/>
    </w:rPr>
  </w:style>
  <w:style w:type="character" w:styleId="UnresolvedMention">
    <w:name w:val="Unresolved Mention"/>
    <w:basedOn w:val="DefaultParagraphFont"/>
    <w:uiPriority w:val="99"/>
    <w:semiHidden/>
    <w:unhideWhenUsed/>
    <w:rsid w:val="0090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x.doi.org/10.1016/j.jbiosc.2013.05.035" TargetMode="External"/><Relationship Id="rId4" Type="http://schemas.openxmlformats.org/officeDocument/2006/relationships/settings" Target="settings.xml"/><Relationship Id="rId9" Type="http://schemas.openxmlformats.org/officeDocument/2006/relationships/hyperlink" Target="https://doi.org/10.3390/f1304055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CD78-E861-486D-BFBB-AB0B6BDC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4547</Words>
  <Characters>25924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Bisoyi</dc:creator>
  <cp:keywords/>
  <dc:description/>
  <cp:lastModifiedBy>SDI 1166</cp:lastModifiedBy>
  <cp:revision>36</cp:revision>
  <dcterms:created xsi:type="dcterms:W3CDTF">2026-04-03T06:29:00Z</dcterms:created>
  <dcterms:modified xsi:type="dcterms:W3CDTF">2026-04-04T11:00:00Z</dcterms:modified>
</cp:coreProperties>
</file>