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309E6" w14:textId="77777777" w:rsidR="008C7764" w:rsidRDefault="008C7764" w:rsidP="001C17BD">
      <w:pPr>
        <w:spacing w:before="240" w:line="480" w:lineRule="auto"/>
        <w:jc w:val="both"/>
        <w:rPr>
          <w:rFonts w:ascii="Arial" w:hAnsi="Arial" w:cs="Arial"/>
          <w:b/>
          <w:bCs/>
          <w:sz w:val="28"/>
          <w:szCs w:val="28"/>
          <w:lang w:val="en-US"/>
        </w:rPr>
      </w:pPr>
      <w:bookmarkStart w:id="0" w:name="_Hlk225871242"/>
      <w:bookmarkStart w:id="1" w:name="_Hlk225871412"/>
      <w:r w:rsidRPr="008C7764">
        <w:rPr>
          <w:rFonts w:ascii="Arial" w:hAnsi="Arial" w:cs="Arial"/>
          <w:b/>
          <w:bCs/>
          <w:sz w:val="28"/>
          <w:szCs w:val="28"/>
          <w:lang w:val="en-US"/>
        </w:rPr>
        <w:t xml:space="preserve">Original Research Article </w:t>
      </w:r>
    </w:p>
    <w:p w14:paraId="6E05B5FE" w14:textId="4FF13820" w:rsidR="00D23347" w:rsidRPr="008A1C81" w:rsidRDefault="00421387" w:rsidP="001C17BD">
      <w:pPr>
        <w:spacing w:before="240" w:line="480" w:lineRule="auto"/>
        <w:jc w:val="both"/>
        <w:rPr>
          <w:rFonts w:ascii="Arial" w:hAnsi="Arial" w:cs="Arial"/>
          <w:b/>
          <w:bCs/>
          <w:sz w:val="28"/>
          <w:szCs w:val="28"/>
          <w:lang w:val="en-US"/>
        </w:rPr>
      </w:pPr>
      <w:r w:rsidRPr="008A1C81">
        <w:rPr>
          <w:rFonts w:ascii="Arial" w:hAnsi="Arial" w:cs="Arial"/>
          <w:b/>
          <w:bCs/>
          <w:sz w:val="28"/>
          <w:szCs w:val="28"/>
          <w:lang w:val="en-US"/>
        </w:rPr>
        <w:t>Effect</w:t>
      </w:r>
      <w:r w:rsidR="00D23347" w:rsidRPr="008A1C81">
        <w:rPr>
          <w:rFonts w:ascii="Arial" w:hAnsi="Arial" w:cs="Arial"/>
          <w:b/>
          <w:bCs/>
          <w:sz w:val="28"/>
          <w:szCs w:val="28"/>
          <w:lang w:val="en-US"/>
        </w:rPr>
        <w:t xml:space="preserve"> of Seedling Conservation Methods on Physiological Recovery and Tuber Yield in Five Genotypes of </w:t>
      </w:r>
      <w:proofErr w:type="spellStart"/>
      <w:r w:rsidR="00D23347" w:rsidRPr="008A1C81">
        <w:rPr>
          <w:rFonts w:ascii="Arial" w:hAnsi="Arial" w:cs="Arial"/>
          <w:b/>
          <w:bCs/>
          <w:i/>
          <w:iCs/>
          <w:sz w:val="28"/>
          <w:szCs w:val="28"/>
          <w:lang w:val="en-US"/>
        </w:rPr>
        <w:t>Solenostemon</w:t>
      </w:r>
      <w:proofErr w:type="spellEnd"/>
      <w:r w:rsidR="00D23347" w:rsidRPr="008A1C81">
        <w:rPr>
          <w:rFonts w:ascii="Arial" w:hAnsi="Arial" w:cs="Arial"/>
          <w:b/>
          <w:bCs/>
          <w:i/>
          <w:iCs/>
          <w:sz w:val="28"/>
          <w:szCs w:val="28"/>
          <w:lang w:val="en-US"/>
        </w:rPr>
        <w:t xml:space="preserve"> </w:t>
      </w:r>
      <w:proofErr w:type="spellStart"/>
      <w:r w:rsidR="00D23347" w:rsidRPr="008A1C81">
        <w:rPr>
          <w:rFonts w:ascii="Arial" w:hAnsi="Arial" w:cs="Arial"/>
          <w:b/>
          <w:bCs/>
          <w:i/>
          <w:iCs/>
          <w:sz w:val="28"/>
          <w:szCs w:val="28"/>
          <w:lang w:val="en-US"/>
        </w:rPr>
        <w:t>rotundifolius</w:t>
      </w:r>
      <w:proofErr w:type="spellEnd"/>
      <w:r w:rsidR="00D23347" w:rsidRPr="008A1C81">
        <w:rPr>
          <w:rFonts w:ascii="Arial" w:hAnsi="Arial" w:cs="Arial"/>
          <w:b/>
          <w:bCs/>
          <w:sz w:val="28"/>
          <w:szCs w:val="28"/>
          <w:lang w:val="en-US"/>
        </w:rPr>
        <w:t xml:space="preserve"> [(</w:t>
      </w:r>
      <w:proofErr w:type="spellStart"/>
      <w:r w:rsidR="00D23347" w:rsidRPr="008A1C81">
        <w:rPr>
          <w:rFonts w:ascii="Arial" w:hAnsi="Arial" w:cs="Arial"/>
          <w:b/>
          <w:bCs/>
          <w:sz w:val="28"/>
          <w:szCs w:val="28"/>
          <w:lang w:val="en-US"/>
        </w:rPr>
        <w:t>Poir</w:t>
      </w:r>
      <w:proofErr w:type="spellEnd"/>
      <w:r w:rsidR="00D23347" w:rsidRPr="008A1C81">
        <w:rPr>
          <w:rFonts w:ascii="Arial" w:hAnsi="Arial" w:cs="Arial"/>
          <w:b/>
          <w:bCs/>
          <w:sz w:val="28"/>
          <w:szCs w:val="28"/>
          <w:lang w:val="en-US"/>
        </w:rPr>
        <w:t xml:space="preserve">.) J.K. Morton] </w:t>
      </w:r>
    </w:p>
    <w:bookmarkEnd w:id="0"/>
    <w:p w14:paraId="69FAF880" w14:textId="77777777" w:rsidR="006B6DB5" w:rsidRPr="00105A40" w:rsidRDefault="006B6DB5" w:rsidP="00105A40">
      <w:pPr>
        <w:pStyle w:val="Heading1"/>
        <w:spacing w:after="0" w:line="480" w:lineRule="auto"/>
        <w:jc w:val="both"/>
        <w:rPr>
          <w:rFonts w:ascii="Times New Roman" w:hAnsi="Times New Roman" w:cs="Times New Roman"/>
          <w:b/>
          <w:bCs/>
          <w:color w:val="auto"/>
          <w:sz w:val="24"/>
          <w:szCs w:val="24"/>
          <w:lang w:val="en-US"/>
        </w:rPr>
      </w:pPr>
      <w:r w:rsidRPr="00105A40">
        <w:rPr>
          <w:rFonts w:ascii="Times New Roman" w:hAnsi="Times New Roman" w:cs="Times New Roman"/>
          <w:b/>
          <w:bCs/>
          <w:color w:val="auto"/>
          <w:sz w:val="24"/>
          <w:szCs w:val="24"/>
          <w:lang w:val="en-US"/>
        </w:rPr>
        <w:t>Abstract</w:t>
      </w:r>
    </w:p>
    <w:p w14:paraId="089E6A57" w14:textId="77777777" w:rsidR="001C17BD" w:rsidRDefault="001C17BD" w:rsidP="001C17BD">
      <w:pPr>
        <w:spacing w:line="480" w:lineRule="auto"/>
        <w:jc w:val="both"/>
        <w:rPr>
          <w:rFonts w:ascii="Times New Roman" w:eastAsia="Times New Roman" w:hAnsi="Times New Roman"/>
          <w:color w:val="000000"/>
          <w:sz w:val="24"/>
          <w:szCs w:val="24"/>
          <w:lang w:eastAsia="fr-FR"/>
        </w:rPr>
      </w:pPr>
      <w:proofErr w:type="spellStart"/>
      <w:r w:rsidRPr="001C17BD">
        <w:rPr>
          <w:rFonts w:ascii="Times New Roman" w:eastAsia="Times New Roman" w:hAnsi="Times New Roman"/>
          <w:color w:val="000000"/>
          <w:sz w:val="24"/>
          <w:szCs w:val="24"/>
          <w:lang w:eastAsia="fr-FR"/>
        </w:rPr>
        <w:t>Despite</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its</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many</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advantages</w:t>
      </w:r>
      <w:proofErr w:type="spellEnd"/>
      <w:r w:rsidRPr="001C17BD">
        <w:rPr>
          <w:rFonts w:ascii="Times New Roman" w:eastAsia="Times New Roman" w:hAnsi="Times New Roman"/>
          <w:color w:val="000000"/>
          <w:sz w:val="24"/>
          <w:szCs w:val="24"/>
          <w:lang w:eastAsia="fr-FR"/>
        </w:rPr>
        <w:t xml:space="preserve">, </w:t>
      </w:r>
      <w:proofErr w:type="spellStart"/>
      <w:r w:rsidRPr="00105A40">
        <w:rPr>
          <w:rFonts w:ascii="Times New Roman" w:eastAsia="Times New Roman" w:hAnsi="Times New Roman"/>
          <w:i/>
          <w:iCs/>
          <w:color w:val="000000"/>
          <w:sz w:val="24"/>
          <w:szCs w:val="24"/>
          <w:lang w:eastAsia="fr-FR"/>
        </w:rPr>
        <w:t>Solenostemon</w:t>
      </w:r>
      <w:proofErr w:type="spellEnd"/>
      <w:r w:rsidRPr="00105A40">
        <w:rPr>
          <w:rFonts w:ascii="Times New Roman" w:eastAsia="Times New Roman" w:hAnsi="Times New Roman"/>
          <w:i/>
          <w:iCs/>
          <w:color w:val="000000"/>
          <w:sz w:val="24"/>
          <w:szCs w:val="24"/>
          <w:lang w:eastAsia="fr-FR"/>
        </w:rPr>
        <w:t xml:space="preserve"> </w:t>
      </w:r>
      <w:proofErr w:type="spellStart"/>
      <w:r w:rsidRPr="00105A40">
        <w:rPr>
          <w:rFonts w:ascii="Times New Roman" w:eastAsia="Times New Roman" w:hAnsi="Times New Roman"/>
          <w:i/>
          <w:iCs/>
          <w:color w:val="000000"/>
          <w:sz w:val="24"/>
          <w:szCs w:val="24"/>
          <w:lang w:eastAsia="fr-FR"/>
        </w:rPr>
        <w:t>rotundifolius</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remains</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underutilized</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Inadequate</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seedling</w:t>
      </w:r>
      <w:proofErr w:type="spellEnd"/>
      <w:r w:rsidRPr="001C17BD">
        <w:rPr>
          <w:rFonts w:ascii="Times New Roman" w:eastAsia="Times New Roman" w:hAnsi="Times New Roman"/>
          <w:color w:val="000000"/>
          <w:sz w:val="24"/>
          <w:szCs w:val="24"/>
          <w:lang w:eastAsia="fr-FR"/>
        </w:rPr>
        <w:t xml:space="preserve"> conservation impairs </w:t>
      </w:r>
      <w:proofErr w:type="spellStart"/>
      <w:r w:rsidRPr="001C17BD">
        <w:rPr>
          <w:rFonts w:ascii="Times New Roman" w:eastAsia="Times New Roman" w:hAnsi="Times New Roman"/>
          <w:color w:val="000000"/>
          <w:sz w:val="24"/>
          <w:szCs w:val="24"/>
          <w:lang w:eastAsia="fr-FR"/>
        </w:rPr>
        <w:t>their</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quality</w:t>
      </w:r>
      <w:proofErr w:type="spellEnd"/>
      <w:r w:rsidRPr="001C17BD">
        <w:rPr>
          <w:rFonts w:ascii="Times New Roman" w:eastAsia="Times New Roman" w:hAnsi="Times New Roman"/>
          <w:color w:val="000000"/>
          <w:sz w:val="24"/>
          <w:szCs w:val="24"/>
          <w:lang w:eastAsia="fr-FR"/>
        </w:rPr>
        <w:t xml:space="preserve"> and </w:t>
      </w:r>
      <w:proofErr w:type="spellStart"/>
      <w:r w:rsidRPr="001C17BD">
        <w:rPr>
          <w:rFonts w:ascii="Times New Roman" w:eastAsia="Times New Roman" w:hAnsi="Times New Roman"/>
          <w:color w:val="000000"/>
          <w:sz w:val="24"/>
          <w:szCs w:val="24"/>
          <w:lang w:eastAsia="fr-FR"/>
        </w:rPr>
        <w:t>reduces</w:t>
      </w:r>
      <w:proofErr w:type="spellEnd"/>
      <w:r w:rsidRPr="001C17BD">
        <w:rPr>
          <w:rFonts w:ascii="Times New Roman" w:eastAsia="Times New Roman" w:hAnsi="Times New Roman"/>
          <w:color w:val="000000"/>
          <w:sz w:val="24"/>
          <w:szCs w:val="24"/>
          <w:lang w:eastAsia="fr-FR"/>
        </w:rPr>
        <w:t xml:space="preserve"> germination and </w:t>
      </w:r>
      <w:proofErr w:type="spellStart"/>
      <w:r w:rsidRPr="001C17BD">
        <w:rPr>
          <w:rFonts w:ascii="Times New Roman" w:eastAsia="Times New Roman" w:hAnsi="Times New Roman"/>
          <w:color w:val="000000"/>
          <w:sz w:val="24"/>
          <w:szCs w:val="24"/>
          <w:lang w:eastAsia="fr-FR"/>
        </w:rPr>
        <w:t>yield</w:t>
      </w:r>
      <w:proofErr w:type="spellEnd"/>
      <w:r w:rsidRPr="001C17BD">
        <w:rPr>
          <w:rFonts w:ascii="Times New Roman" w:eastAsia="Times New Roman" w:hAnsi="Times New Roman"/>
          <w:color w:val="000000"/>
          <w:sz w:val="24"/>
          <w:szCs w:val="24"/>
          <w:lang w:eastAsia="fr-FR"/>
        </w:rPr>
        <w:t xml:space="preserve">. This </w:t>
      </w:r>
      <w:proofErr w:type="spellStart"/>
      <w:r w:rsidRPr="001C17BD">
        <w:rPr>
          <w:rFonts w:ascii="Times New Roman" w:eastAsia="Times New Roman" w:hAnsi="Times New Roman"/>
          <w:color w:val="000000"/>
          <w:sz w:val="24"/>
          <w:szCs w:val="24"/>
          <w:lang w:eastAsia="fr-FR"/>
        </w:rPr>
        <w:t>study</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evaluates</w:t>
      </w:r>
      <w:proofErr w:type="spellEnd"/>
      <w:r w:rsidRPr="001C17BD">
        <w:rPr>
          <w:rFonts w:ascii="Times New Roman" w:eastAsia="Times New Roman" w:hAnsi="Times New Roman"/>
          <w:color w:val="000000"/>
          <w:sz w:val="24"/>
          <w:szCs w:val="24"/>
          <w:lang w:eastAsia="fr-FR"/>
        </w:rPr>
        <w:t xml:space="preserve"> the </w:t>
      </w:r>
      <w:proofErr w:type="spellStart"/>
      <w:r w:rsidRPr="001C17BD">
        <w:rPr>
          <w:rFonts w:ascii="Times New Roman" w:eastAsia="Times New Roman" w:hAnsi="Times New Roman"/>
          <w:color w:val="000000"/>
          <w:sz w:val="24"/>
          <w:szCs w:val="24"/>
          <w:lang w:eastAsia="fr-FR"/>
        </w:rPr>
        <w:t>effect</w:t>
      </w:r>
      <w:proofErr w:type="spellEnd"/>
      <w:r w:rsidRPr="001C17BD">
        <w:rPr>
          <w:rFonts w:ascii="Times New Roman" w:eastAsia="Times New Roman" w:hAnsi="Times New Roman"/>
          <w:color w:val="000000"/>
          <w:sz w:val="24"/>
          <w:szCs w:val="24"/>
          <w:lang w:eastAsia="fr-FR"/>
        </w:rPr>
        <w:t xml:space="preserve"> of conservation </w:t>
      </w:r>
      <w:proofErr w:type="spellStart"/>
      <w:r w:rsidRPr="001C17BD">
        <w:rPr>
          <w:rFonts w:ascii="Times New Roman" w:eastAsia="Times New Roman" w:hAnsi="Times New Roman"/>
          <w:color w:val="000000"/>
          <w:sz w:val="24"/>
          <w:szCs w:val="24"/>
          <w:lang w:eastAsia="fr-FR"/>
        </w:rPr>
        <w:t>methods</w:t>
      </w:r>
      <w:proofErr w:type="spellEnd"/>
      <w:r w:rsidRPr="001C17BD">
        <w:rPr>
          <w:rFonts w:ascii="Times New Roman" w:eastAsia="Times New Roman" w:hAnsi="Times New Roman"/>
          <w:color w:val="000000"/>
          <w:sz w:val="24"/>
          <w:szCs w:val="24"/>
          <w:lang w:eastAsia="fr-FR"/>
        </w:rPr>
        <w:t xml:space="preserve"> on </w:t>
      </w:r>
      <w:proofErr w:type="spellStart"/>
      <w:r w:rsidRPr="001C17BD">
        <w:rPr>
          <w:rFonts w:ascii="Times New Roman" w:eastAsia="Times New Roman" w:hAnsi="Times New Roman"/>
          <w:color w:val="000000"/>
          <w:sz w:val="24"/>
          <w:szCs w:val="24"/>
          <w:lang w:eastAsia="fr-FR"/>
        </w:rPr>
        <w:t>physiological</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recovery</w:t>
      </w:r>
      <w:proofErr w:type="spellEnd"/>
      <w:r w:rsidRPr="001C17BD">
        <w:rPr>
          <w:rFonts w:ascii="Times New Roman" w:eastAsia="Times New Roman" w:hAnsi="Times New Roman"/>
          <w:color w:val="000000"/>
          <w:sz w:val="24"/>
          <w:szCs w:val="24"/>
          <w:lang w:eastAsia="fr-FR"/>
        </w:rPr>
        <w:t xml:space="preserve"> and tuber </w:t>
      </w:r>
      <w:proofErr w:type="spellStart"/>
      <w:r w:rsidRPr="001C17BD">
        <w:rPr>
          <w:rFonts w:ascii="Times New Roman" w:eastAsia="Times New Roman" w:hAnsi="Times New Roman"/>
          <w:color w:val="000000"/>
          <w:sz w:val="24"/>
          <w:szCs w:val="24"/>
          <w:lang w:eastAsia="fr-FR"/>
        </w:rPr>
        <w:t>yield</w:t>
      </w:r>
      <w:proofErr w:type="spellEnd"/>
      <w:r w:rsidRPr="001C17BD">
        <w:rPr>
          <w:rFonts w:ascii="Times New Roman" w:eastAsia="Times New Roman" w:hAnsi="Times New Roman"/>
          <w:color w:val="000000"/>
          <w:sz w:val="24"/>
          <w:szCs w:val="24"/>
          <w:lang w:eastAsia="fr-FR"/>
        </w:rPr>
        <w:t xml:space="preserve">. A trial </w:t>
      </w:r>
      <w:proofErr w:type="spellStart"/>
      <w:r w:rsidRPr="001C17BD">
        <w:rPr>
          <w:rFonts w:ascii="Times New Roman" w:eastAsia="Times New Roman" w:hAnsi="Times New Roman"/>
          <w:color w:val="000000"/>
          <w:sz w:val="24"/>
          <w:szCs w:val="24"/>
          <w:lang w:eastAsia="fr-FR"/>
        </w:rPr>
        <w:t>was</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conducted</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during</w:t>
      </w:r>
      <w:proofErr w:type="spellEnd"/>
      <w:r w:rsidRPr="001C17BD">
        <w:rPr>
          <w:rFonts w:ascii="Times New Roman" w:eastAsia="Times New Roman" w:hAnsi="Times New Roman"/>
          <w:color w:val="000000"/>
          <w:sz w:val="24"/>
          <w:szCs w:val="24"/>
          <w:lang w:eastAsia="fr-FR"/>
        </w:rPr>
        <w:t xml:space="preserve"> the 2023/2024 </w:t>
      </w:r>
      <w:proofErr w:type="spellStart"/>
      <w:r w:rsidRPr="001C17BD">
        <w:rPr>
          <w:rFonts w:ascii="Times New Roman" w:eastAsia="Times New Roman" w:hAnsi="Times New Roman"/>
          <w:color w:val="000000"/>
          <w:sz w:val="24"/>
          <w:szCs w:val="24"/>
          <w:lang w:eastAsia="fr-FR"/>
        </w:rPr>
        <w:t>rainy</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season</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using</w:t>
      </w:r>
      <w:proofErr w:type="spellEnd"/>
      <w:r w:rsidRPr="001C17BD">
        <w:rPr>
          <w:rFonts w:ascii="Times New Roman" w:eastAsia="Times New Roman" w:hAnsi="Times New Roman"/>
          <w:color w:val="000000"/>
          <w:sz w:val="24"/>
          <w:szCs w:val="24"/>
          <w:lang w:eastAsia="fr-FR"/>
        </w:rPr>
        <w:t xml:space="preserve"> a split-plot design </w:t>
      </w:r>
      <w:proofErr w:type="spellStart"/>
      <w:r w:rsidRPr="001C17BD">
        <w:rPr>
          <w:rFonts w:ascii="Times New Roman" w:eastAsia="Times New Roman" w:hAnsi="Times New Roman"/>
          <w:color w:val="000000"/>
          <w:sz w:val="24"/>
          <w:szCs w:val="24"/>
          <w:lang w:eastAsia="fr-FR"/>
        </w:rPr>
        <w:t>with</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three</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replicates</w:t>
      </w:r>
      <w:proofErr w:type="spellEnd"/>
      <w:r w:rsidRPr="001C17BD">
        <w:rPr>
          <w:rFonts w:ascii="Times New Roman" w:eastAsia="Times New Roman" w:hAnsi="Times New Roman"/>
          <w:color w:val="000000"/>
          <w:sz w:val="24"/>
          <w:szCs w:val="24"/>
          <w:lang w:eastAsia="fr-FR"/>
        </w:rPr>
        <w:t xml:space="preserve">. The main factor </w:t>
      </w:r>
      <w:proofErr w:type="spellStart"/>
      <w:r w:rsidRPr="001C17BD">
        <w:rPr>
          <w:rFonts w:ascii="Times New Roman" w:eastAsia="Times New Roman" w:hAnsi="Times New Roman"/>
          <w:color w:val="000000"/>
          <w:sz w:val="24"/>
          <w:szCs w:val="24"/>
          <w:lang w:eastAsia="fr-FR"/>
        </w:rPr>
        <w:t>was</w:t>
      </w:r>
      <w:proofErr w:type="spellEnd"/>
      <w:r w:rsidRPr="001C17BD">
        <w:rPr>
          <w:rFonts w:ascii="Times New Roman" w:eastAsia="Times New Roman" w:hAnsi="Times New Roman"/>
          <w:color w:val="000000"/>
          <w:sz w:val="24"/>
          <w:szCs w:val="24"/>
          <w:lang w:eastAsia="fr-FR"/>
        </w:rPr>
        <w:t xml:space="preserve"> the </w:t>
      </w:r>
      <w:proofErr w:type="spellStart"/>
      <w:r w:rsidRPr="001C17BD">
        <w:rPr>
          <w:rFonts w:ascii="Times New Roman" w:eastAsia="Times New Roman" w:hAnsi="Times New Roman"/>
          <w:color w:val="000000"/>
          <w:sz w:val="24"/>
          <w:szCs w:val="24"/>
          <w:lang w:eastAsia="fr-FR"/>
        </w:rPr>
        <w:t>seedling</w:t>
      </w:r>
      <w:proofErr w:type="spellEnd"/>
      <w:r w:rsidRPr="001C17BD">
        <w:rPr>
          <w:rFonts w:ascii="Times New Roman" w:eastAsia="Times New Roman" w:hAnsi="Times New Roman"/>
          <w:color w:val="000000"/>
          <w:sz w:val="24"/>
          <w:szCs w:val="24"/>
          <w:lang w:eastAsia="fr-FR"/>
        </w:rPr>
        <w:t xml:space="preserve"> conservation </w:t>
      </w:r>
      <w:proofErr w:type="spellStart"/>
      <w:r w:rsidRPr="001C17BD">
        <w:rPr>
          <w:rFonts w:ascii="Times New Roman" w:eastAsia="Times New Roman" w:hAnsi="Times New Roman"/>
          <w:color w:val="000000"/>
          <w:sz w:val="24"/>
          <w:szCs w:val="24"/>
          <w:lang w:eastAsia="fr-FR"/>
        </w:rPr>
        <w:t>method</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with</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nine</w:t>
      </w:r>
      <w:proofErr w:type="spellEnd"/>
      <w:r w:rsidRPr="001C17BD">
        <w:rPr>
          <w:rFonts w:ascii="Times New Roman" w:eastAsia="Times New Roman" w:hAnsi="Times New Roman"/>
          <w:color w:val="000000"/>
          <w:sz w:val="24"/>
          <w:szCs w:val="24"/>
          <w:lang w:eastAsia="fr-FR"/>
        </w:rPr>
        <w:t xml:space="preserve"> </w:t>
      </w:r>
      <w:proofErr w:type="spellStart"/>
      <w:proofErr w:type="gramStart"/>
      <w:r w:rsidRPr="001C17BD">
        <w:rPr>
          <w:rFonts w:ascii="Times New Roman" w:eastAsia="Times New Roman" w:hAnsi="Times New Roman"/>
          <w:color w:val="000000"/>
          <w:sz w:val="24"/>
          <w:szCs w:val="24"/>
          <w:lang w:eastAsia="fr-FR"/>
        </w:rPr>
        <w:t>treatments</w:t>
      </w:r>
      <w:proofErr w:type="spellEnd"/>
      <w:r w:rsidRPr="001C17BD">
        <w:rPr>
          <w:rFonts w:ascii="Times New Roman" w:eastAsia="Times New Roman" w:hAnsi="Times New Roman"/>
          <w:color w:val="000000"/>
          <w:sz w:val="24"/>
          <w:szCs w:val="24"/>
          <w:lang w:eastAsia="fr-FR"/>
        </w:rPr>
        <w:t>:</w:t>
      </w:r>
      <w:proofErr w:type="gramEnd"/>
      <w:r w:rsidRPr="001C17BD">
        <w:rPr>
          <w:rFonts w:ascii="Times New Roman" w:eastAsia="Times New Roman" w:hAnsi="Times New Roman"/>
          <w:color w:val="000000"/>
          <w:sz w:val="24"/>
          <w:szCs w:val="24"/>
          <w:lang w:eastAsia="fr-FR"/>
        </w:rPr>
        <w:t xml:space="preserve"> in canaries, “</w:t>
      </w:r>
      <w:proofErr w:type="spellStart"/>
      <w:r w:rsidRPr="001C17BD">
        <w:rPr>
          <w:rFonts w:ascii="Times New Roman" w:eastAsia="Times New Roman" w:hAnsi="Times New Roman"/>
          <w:color w:val="000000"/>
          <w:sz w:val="24"/>
          <w:szCs w:val="24"/>
          <w:lang w:eastAsia="fr-FR"/>
        </w:rPr>
        <w:t>bitatoré</w:t>
      </w:r>
      <w:proofErr w:type="spellEnd"/>
      <w:r w:rsidRPr="001C17BD">
        <w:rPr>
          <w:rFonts w:ascii="Times New Roman" w:eastAsia="Times New Roman" w:hAnsi="Times New Roman"/>
          <w:color w:val="000000"/>
          <w:sz w:val="24"/>
          <w:szCs w:val="24"/>
          <w:lang w:eastAsia="fr-FR"/>
        </w:rPr>
        <w:t>” (</w:t>
      </w:r>
      <w:proofErr w:type="spellStart"/>
      <w:r w:rsidRPr="001C17BD">
        <w:rPr>
          <w:rFonts w:ascii="Times New Roman" w:eastAsia="Times New Roman" w:hAnsi="Times New Roman"/>
          <w:color w:val="000000"/>
          <w:sz w:val="24"/>
          <w:szCs w:val="24"/>
          <w:lang w:eastAsia="fr-FR"/>
        </w:rPr>
        <w:t>without</w:t>
      </w:r>
      <w:proofErr w:type="spellEnd"/>
      <w:r w:rsidRPr="001C17BD">
        <w:rPr>
          <w:rFonts w:ascii="Times New Roman" w:eastAsia="Times New Roman" w:hAnsi="Times New Roman"/>
          <w:color w:val="000000"/>
          <w:sz w:val="24"/>
          <w:szCs w:val="24"/>
          <w:lang w:eastAsia="fr-FR"/>
        </w:rPr>
        <w:t xml:space="preserve"> additives or </w:t>
      </w:r>
      <w:proofErr w:type="spellStart"/>
      <w:r w:rsidRPr="001C17BD">
        <w:rPr>
          <w:rFonts w:ascii="Times New Roman" w:eastAsia="Times New Roman" w:hAnsi="Times New Roman"/>
          <w:color w:val="000000"/>
          <w:sz w:val="24"/>
          <w:szCs w:val="24"/>
          <w:lang w:eastAsia="fr-FR"/>
        </w:rPr>
        <w:t>combined</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with</w:t>
      </w:r>
      <w:proofErr w:type="spellEnd"/>
      <w:r w:rsidRPr="001C17BD">
        <w:rPr>
          <w:rFonts w:ascii="Times New Roman" w:eastAsia="Times New Roman" w:hAnsi="Times New Roman"/>
          <w:color w:val="000000"/>
          <w:sz w:val="24"/>
          <w:szCs w:val="24"/>
          <w:lang w:eastAsia="fr-FR"/>
        </w:rPr>
        <w:t xml:space="preserve"> millet </w:t>
      </w:r>
      <w:proofErr w:type="spellStart"/>
      <w:r w:rsidRPr="001C17BD">
        <w:rPr>
          <w:rFonts w:ascii="Times New Roman" w:eastAsia="Times New Roman" w:hAnsi="Times New Roman"/>
          <w:color w:val="000000"/>
          <w:sz w:val="24"/>
          <w:szCs w:val="24"/>
          <w:lang w:eastAsia="fr-FR"/>
        </w:rPr>
        <w:t>husks</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sand</w:t>
      </w:r>
      <w:proofErr w:type="spellEnd"/>
      <w:r w:rsidRPr="001C17BD">
        <w:rPr>
          <w:rFonts w:ascii="Times New Roman" w:eastAsia="Times New Roman" w:hAnsi="Times New Roman"/>
          <w:color w:val="000000"/>
          <w:sz w:val="24"/>
          <w:szCs w:val="24"/>
          <w:lang w:eastAsia="fr-FR"/>
        </w:rPr>
        <w:t xml:space="preserve">, or </w:t>
      </w:r>
      <w:proofErr w:type="spellStart"/>
      <w:r w:rsidRPr="001C17BD">
        <w:rPr>
          <w:rFonts w:ascii="Times New Roman" w:eastAsia="Times New Roman" w:hAnsi="Times New Roman"/>
          <w:color w:val="000000"/>
          <w:sz w:val="24"/>
          <w:szCs w:val="24"/>
          <w:lang w:eastAsia="fr-FR"/>
        </w:rPr>
        <w:t>wood</w:t>
      </w:r>
      <w:proofErr w:type="spellEnd"/>
      <w:r w:rsidRPr="001C17BD">
        <w:rPr>
          <w:rFonts w:ascii="Times New Roman" w:eastAsia="Times New Roman" w:hAnsi="Times New Roman"/>
          <w:color w:val="000000"/>
          <w:sz w:val="24"/>
          <w:szCs w:val="24"/>
          <w:lang w:eastAsia="fr-FR"/>
        </w:rPr>
        <w:t xml:space="preserve"> chips as additives), and the Triple S system.  The </w:t>
      </w:r>
      <w:proofErr w:type="spellStart"/>
      <w:r w:rsidRPr="001C17BD">
        <w:rPr>
          <w:rFonts w:ascii="Times New Roman" w:eastAsia="Times New Roman" w:hAnsi="Times New Roman"/>
          <w:color w:val="000000"/>
          <w:sz w:val="24"/>
          <w:szCs w:val="24"/>
          <w:lang w:eastAsia="fr-FR"/>
        </w:rPr>
        <w:t>secondary</w:t>
      </w:r>
      <w:proofErr w:type="spellEnd"/>
      <w:r w:rsidRPr="001C17BD">
        <w:rPr>
          <w:rFonts w:ascii="Times New Roman" w:eastAsia="Times New Roman" w:hAnsi="Times New Roman"/>
          <w:color w:val="000000"/>
          <w:sz w:val="24"/>
          <w:szCs w:val="24"/>
          <w:lang w:eastAsia="fr-FR"/>
        </w:rPr>
        <w:t xml:space="preserve"> factor </w:t>
      </w:r>
      <w:proofErr w:type="spellStart"/>
      <w:r w:rsidRPr="001C17BD">
        <w:rPr>
          <w:rFonts w:ascii="Times New Roman" w:eastAsia="Times New Roman" w:hAnsi="Times New Roman"/>
          <w:color w:val="000000"/>
          <w:sz w:val="24"/>
          <w:szCs w:val="24"/>
          <w:lang w:eastAsia="fr-FR"/>
        </w:rPr>
        <w:t>was</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genotype</w:t>
      </w:r>
      <w:proofErr w:type="spellEnd"/>
      <w:r w:rsidRPr="001C17BD">
        <w:rPr>
          <w:rFonts w:ascii="Times New Roman" w:eastAsia="Times New Roman" w:hAnsi="Times New Roman"/>
          <w:color w:val="000000"/>
          <w:sz w:val="24"/>
          <w:szCs w:val="24"/>
          <w:lang w:eastAsia="fr-FR"/>
        </w:rPr>
        <w:t xml:space="preserve"> (E120, E165, E186, ‘white’, and UW086 M</w:t>
      </w:r>
      <w:proofErr w:type="gramStart"/>
      <w:r w:rsidRPr="001C17BD">
        <w:rPr>
          <w:rFonts w:ascii="Times New Roman" w:eastAsia="Times New Roman" w:hAnsi="Times New Roman"/>
          <w:color w:val="000000"/>
          <w:sz w:val="24"/>
          <w:szCs w:val="24"/>
          <w:lang w:eastAsia="fr-FR"/>
        </w:rPr>
        <w:t>) .</w:t>
      </w:r>
      <w:proofErr w:type="gramEnd"/>
      <w:r w:rsidRPr="001C17BD">
        <w:rPr>
          <w:rFonts w:ascii="Times New Roman" w:eastAsia="Times New Roman" w:hAnsi="Times New Roman"/>
          <w:color w:val="000000"/>
          <w:sz w:val="24"/>
          <w:szCs w:val="24"/>
          <w:lang w:eastAsia="fr-FR"/>
        </w:rPr>
        <w:t xml:space="preserve"> The </w:t>
      </w:r>
      <w:proofErr w:type="spellStart"/>
      <w:r w:rsidRPr="001C17BD">
        <w:rPr>
          <w:rFonts w:ascii="Times New Roman" w:eastAsia="Times New Roman" w:hAnsi="Times New Roman"/>
          <w:color w:val="000000"/>
          <w:sz w:val="24"/>
          <w:szCs w:val="24"/>
          <w:lang w:eastAsia="fr-FR"/>
        </w:rPr>
        <w:t>parameters</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studied</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included</w:t>
      </w:r>
      <w:proofErr w:type="spellEnd"/>
      <w:r w:rsidRPr="001C17BD">
        <w:rPr>
          <w:rFonts w:ascii="Times New Roman" w:eastAsia="Times New Roman" w:hAnsi="Times New Roman"/>
          <w:color w:val="000000"/>
          <w:sz w:val="24"/>
          <w:szCs w:val="24"/>
          <w:lang w:eastAsia="fr-FR"/>
        </w:rPr>
        <w:t xml:space="preserve"> the germination rate, </w:t>
      </w:r>
      <w:proofErr w:type="spellStart"/>
      <w:r w:rsidRPr="001C17BD">
        <w:rPr>
          <w:rFonts w:ascii="Times New Roman" w:eastAsia="Times New Roman" w:hAnsi="Times New Roman"/>
          <w:color w:val="000000"/>
          <w:sz w:val="24"/>
          <w:szCs w:val="24"/>
          <w:lang w:eastAsia="fr-FR"/>
        </w:rPr>
        <w:t>growth</w:t>
      </w:r>
      <w:proofErr w:type="spellEnd"/>
      <w:r w:rsidRPr="001C17BD">
        <w:rPr>
          <w:rFonts w:ascii="Times New Roman" w:eastAsia="Times New Roman" w:hAnsi="Times New Roman"/>
          <w:color w:val="000000"/>
          <w:sz w:val="24"/>
          <w:szCs w:val="24"/>
          <w:lang w:eastAsia="fr-FR"/>
        </w:rPr>
        <w:t xml:space="preserve"> rate, </w:t>
      </w:r>
      <w:proofErr w:type="spellStart"/>
      <w:r w:rsidRPr="001C17BD">
        <w:rPr>
          <w:rFonts w:ascii="Times New Roman" w:eastAsia="Times New Roman" w:hAnsi="Times New Roman"/>
          <w:color w:val="000000"/>
          <w:sz w:val="24"/>
          <w:szCs w:val="24"/>
          <w:lang w:eastAsia="fr-FR"/>
        </w:rPr>
        <w:t>number</w:t>
      </w:r>
      <w:proofErr w:type="spellEnd"/>
      <w:r w:rsidRPr="001C17BD">
        <w:rPr>
          <w:rFonts w:ascii="Times New Roman" w:eastAsia="Times New Roman" w:hAnsi="Times New Roman"/>
          <w:color w:val="000000"/>
          <w:sz w:val="24"/>
          <w:szCs w:val="24"/>
          <w:lang w:eastAsia="fr-FR"/>
        </w:rPr>
        <w:t xml:space="preserve"> of </w:t>
      </w:r>
      <w:proofErr w:type="spellStart"/>
      <w:r w:rsidRPr="001C17BD">
        <w:rPr>
          <w:rFonts w:ascii="Times New Roman" w:eastAsia="Times New Roman" w:hAnsi="Times New Roman"/>
          <w:color w:val="000000"/>
          <w:sz w:val="24"/>
          <w:szCs w:val="24"/>
          <w:lang w:eastAsia="fr-FR"/>
        </w:rPr>
        <w:t>tillers</w:t>
      </w:r>
      <w:proofErr w:type="spellEnd"/>
      <w:r w:rsidRPr="001C17BD">
        <w:rPr>
          <w:rFonts w:ascii="Times New Roman" w:eastAsia="Times New Roman" w:hAnsi="Times New Roman"/>
          <w:color w:val="000000"/>
          <w:sz w:val="24"/>
          <w:szCs w:val="24"/>
          <w:lang w:eastAsia="fr-FR"/>
        </w:rPr>
        <w:t xml:space="preserve">, and tuber </w:t>
      </w:r>
      <w:proofErr w:type="spellStart"/>
      <w:r w:rsidRPr="001C17BD">
        <w:rPr>
          <w:rFonts w:ascii="Times New Roman" w:eastAsia="Times New Roman" w:hAnsi="Times New Roman"/>
          <w:color w:val="000000"/>
          <w:sz w:val="24"/>
          <w:szCs w:val="24"/>
          <w:lang w:eastAsia="fr-FR"/>
        </w:rPr>
        <w:t>yield</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parameters</w:t>
      </w:r>
      <w:proofErr w:type="spellEnd"/>
      <w:r w:rsidRPr="001C17BD">
        <w:rPr>
          <w:rFonts w:ascii="Times New Roman" w:eastAsia="Times New Roman" w:hAnsi="Times New Roman"/>
          <w:color w:val="000000"/>
          <w:sz w:val="24"/>
          <w:szCs w:val="24"/>
          <w:lang w:eastAsia="fr-FR"/>
        </w:rPr>
        <w:t xml:space="preserve">. The </w:t>
      </w:r>
      <w:proofErr w:type="spellStart"/>
      <w:r w:rsidRPr="001C17BD">
        <w:rPr>
          <w:rFonts w:ascii="Times New Roman" w:eastAsia="Times New Roman" w:hAnsi="Times New Roman"/>
          <w:color w:val="000000"/>
          <w:sz w:val="24"/>
          <w:szCs w:val="24"/>
          <w:lang w:eastAsia="fr-FR"/>
        </w:rPr>
        <w:t>results</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showed</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that</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storage</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methods</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significantly</w:t>
      </w:r>
      <w:proofErr w:type="spellEnd"/>
      <w:r w:rsidRPr="001C17BD">
        <w:rPr>
          <w:rFonts w:ascii="Times New Roman" w:eastAsia="Times New Roman" w:hAnsi="Times New Roman"/>
          <w:color w:val="000000"/>
          <w:sz w:val="24"/>
          <w:szCs w:val="24"/>
          <w:lang w:eastAsia="fr-FR"/>
        </w:rPr>
        <w:t xml:space="preserve"> influence the </w:t>
      </w:r>
      <w:proofErr w:type="spellStart"/>
      <w:r w:rsidRPr="001C17BD">
        <w:rPr>
          <w:rFonts w:ascii="Times New Roman" w:eastAsia="Times New Roman" w:hAnsi="Times New Roman"/>
          <w:color w:val="000000"/>
          <w:sz w:val="24"/>
          <w:szCs w:val="24"/>
          <w:lang w:eastAsia="fr-FR"/>
        </w:rPr>
        <w:t>number</w:t>
      </w:r>
      <w:proofErr w:type="spellEnd"/>
      <w:r w:rsidRPr="001C17BD">
        <w:rPr>
          <w:rFonts w:ascii="Times New Roman" w:eastAsia="Times New Roman" w:hAnsi="Times New Roman"/>
          <w:color w:val="000000"/>
          <w:sz w:val="24"/>
          <w:szCs w:val="24"/>
          <w:lang w:eastAsia="fr-FR"/>
        </w:rPr>
        <w:t xml:space="preserve"> of </w:t>
      </w:r>
      <w:proofErr w:type="spellStart"/>
      <w:r w:rsidRPr="001C17BD">
        <w:rPr>
          <w:rFonts w:ascii="Times New Roman" w:eastAsia="Times New Roman" w:hAnsi="Times New Roman"/>
          <w:color w:val="000000"/>
          <w:sz w:val="24"/>
          <w:szCs w:val="24"/>
          <w:lang w:eastAsia="fr-FR"/>
        </w:rPr>
        <w:t>tubers</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their</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diameter</w:t>
      </w:r>
      <w:proofErr w:type="spellEnd"/>
      <w:r w:rsidRPr="001C17BD">
        <w:rPr>
          <w:rFonts w:ascii="Times New Roman" w:eastAsia="Times New Roman" w:hAnsi="Times New Roman"/>
          <w:color w:val="000000"/>
          <w:sz w:val="24"/>
          <w:szCs w:val="24"/>
          <w:lang w:eastAsia="fr-FR"/>
        </w:rPr>
        <w:t xml:space="preserve"> (P &lt; 0.0001), and </w:t>
      </w:r>
      <w:proofErr w:type="spellStart"/>
      <w:r w:rsidRPr="001C17BD">
        <w:rPr>
          <w:rFonts w:ascii="Times New Roman" w:eastAsia="Times New Roman" w:hAnsi="Times New Roman"/>
          <w:color w:val="000000"/>
          <w:sz w:val="24"/>
          <w:szCs w:val="24"/>
          <w:lang w:eastAsia="fr-FR"/>
        </w:rPr>
        <w:t>their</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weight</w:t>
      </w:r>
      <w:proofErr w:type="spellEnd"/>
      <w:r w:rsidRPr="001C17BD">
        <w:rPr>
          <w:rFonts w:ascii="Times New Roman" w:eastAsia="Times New Roman" w:hAnsi="Times New Roman"/>
          <w:color w:val="000000"/>
          <w:sz w:val="24"/>
          <w:szCs w:val="24"/>
          <w:lang w:eastAsia="fr-FR"/>
        </w:rPr>
        <w:t xml:space="preserve"> (P = 0.001). In </w:t>
      </w:r>
      <w:proofErr w:type="spellStart"/>
      <w:r w:rsidRPr="001C17BD">
        <w:rPr>
          <w:rFonts w:ascii="Times New Roman" w:eastAsia="Times New Roman" w:hAnsi="Times New Roman"/>
          <w:color w:val="000000"/>
          <w:sz w:val="24"/>
          <w:szCs w:val="24"/>
          <w:lang w:eastAsia="fr-FR"/>
        </w:rPr>
        <w:t>contrast</w:t>
      </w:r>
      <w:proofErr w:type="spellEnd"/>
      <w:r w:rsidRPr="001C17BD">
        <w:rPr>
          <w:rFonts w:ascii="Times New Roman" w:eastAsia="Times New Roman" w:hAnsi="Times New Roman"/>
          <w:color w:val="000000"/>
          <w:sz w:val="24"/>
          <w:szCs w:val="24"/>
          <w:lang w:eastAsia="fr-FR"/>
        </w:rPr>
        <w:t xml:space="preserve">, germination and </w:t>
      </w:r>
      <w:proofErr w:type="spellStart"/>
      <w:r w:rsidRPr="001C17BD">
        <w:rPr>
          <w:rFonts w:ascii="Times New Roman" w:eastAsia="Times New Roman" w:hAnsi="Times New Roman"/>
          <w:color w:val="000000"/>
          <w:sz w:val="24"/>
          <w:szCs w:val="24"/>
          <w:lang w:eastAsia="fr-FR"/>
        </w:rPr>
        <w:t>growth</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remain</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similar</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Seedling</w:t>
      </w:r>
      <w:proofErr w:type="spellEnd"/>
      <w:r w:rsidRPr="001C17BD">
        <w:rPr>
          <w:rFonts w:ascii="Times New Roman" w:eastAsia="Times New Roman" w:hAnsi="Times New Roman"/>
          <w:color w:val="000000"/>
          <w:sz w:val="24"/>
          <w:szCs w:val="24"/>
          <w:lang w:eastAsia="fr-FR"/>
        </w:rPr>
        <w:t xml:space="preserve"> conservation </w:t>
      </w:r>
      <w:proofErr w:type="spellStart"/>
      <w:r w:rsidRPr="001C17BD">
        <w:rPr>
          <w:rFonts w:ascii="Times New Roman" w:eastAsia="Times New Roman" w:hAnsi="Times New Roman"/>
          <w:color w:val="000000"/>
          <w:sz w:val="24"/>
          <w:szCs w:val="24"/>
          <w:lang w:eastAsia="fr-FR"/>
        </w:rPr>
        <w:t>methods</w:t>
      </w:r>
      <w:proofErr w:type="spellEnd"/>
      <w:r w:rsidRPr="001C17BD">
        <w:rPr>
          <w:rFonts w:ascii="Times New Roman" w:eastAsia="Times New Roman" w:hAnsi="Times New Roman"/>
          <w:color w:val="000000"/>
          <w:sz w:val="24"/>
          <w:szCs w:val="24"/>
          <w:lang w:eastAsia="fr-FR"/>
        </w:rPr>
        <w:t xml:space="preserve"> in the “</w:t>
      </w:r>
      <w:proofErr w:type="spellStart"/>
      <w:r w:rsidRPr="001C17BD">
        <w:rPr>
          <w:rFonts w:ascii="Times New Roman" w:eastAsia="Times New Roman" w:hAnsi="Times New Roman"/>
          <w:color w:val="000000"/>
          <w:sz w:val="24"/>
          <w:szCs w:val="24"/>
          <w:lang w:eastAsia="fr-FR"/>
        </w:rPr>
        <w:t>bitatoré</w:t>
      </w:r>
      <w:proofErr w:type="spellEnd"/>
      <w:r w:rsidRPr="001C17BD">
        <w:rPr>
          <w:rFonts w:ascii="Times New Roman" w:eastAsia="Times New Roman" w:hAnsi="Times New Roman"/>
          <w:color w:val="000000"/>
          <w:sz w:val="24"/>
          <w:szCs w:val="24"/>
          <w:lang w:eastAsia="fr-FR"/>
        </w:rPr>
        <w:t xml:space="preserve">” </w:t>
      </w:r>
      <w:proofErr w:type="spellStart"/>
      <w:r w:rsidRPr="001C17BD">
        <w:rPr>
          <w:rFonts w:ascii="Times New Roman" w:eastAsia="Times New Roman" w:hAnsi="Times New Roman"/>
          <w:color w:val="000000"/>
          <w:sz w:val="24"/>
          <w:szCs w:val="24"/>
          <w:lang w:eastAsia="fr-FR"/>
        </w:rPr>
        <w:t>with</w:t>
      </w:r>
      <w:proofErr w:type="spellEnd"/>
      <w:r w:rsidRPr="001C17BD">
        <w:rPr>
          <w:rFonts w:ascii="Times New Roman" w:eastAsia="Times New Roman" w:hAnsi="Times New Roman"/>
          <w:color w:val="000000"/>
          <w:sz w:val="24"/>
          <w:szCs w:val="24"/>
          <w:lang w:eastAsia="fr-FR"/>
        </w:rPr>
        <w:t xml:space="preserve"> or </w:t>
      </w:r>
      <w:proofErr w:type="spellStart"/>
      <w:r w:rsidRPr="001C17BD">
        <w:rPr>
          <w:rFonts w:ascii="Times New Roman" w:eastAsia="Times New Roman" w:hAnsi="Times New Roman"/>
          <w:color w:val="000000"/>
          <w:sz w:val="24"/>
          <w:szCs w:val="24"/>
          <w:lang w:eastAsia="fr-FR"/>
        </w:rPr>
        <w:t>without</w:t>
      </w:r>
      <w:proofErr w:type="spellEnd"/>
      <w:r w:rsidRPr="001C17BD">
        <w:rPr>
          <w:rFonts w:ascii="Times New Roman" w:eastAsia="Times New Roman" w:hAnsi="Times New Roman"/>
          <w:color w:val="000000"/>
          <w:sz w:val="24"/>
          <w:szCs w:val="24"/>
          <w:lang w:eastAsia="fr-FR"/>
        </w:rPr>
        <w:t xml:space="preserve"> an additive </w:t>
      </w:r>
      <w:proofErr w:type="spellStart"/>
      <w:r w:rsidRPr="001C17BD">
        <w:rPr>
          <w:rFonts w:ascii="Times New Roman" w:eastAsia="Times New Roman" w:hAnsi="Times New Roman"/>
          <w:color w:val="000000"/>
          <w:sz w:val="24"/>
          <w:szCs w:val="24"/>
          <w:lang w:eastAsia="fr-FR"/>
        </w:rPr>
        <w:t>promote</w:t>
      </w:r>
      <w:proofErr w:type="spellEnd"/>
      <w:r w:rsidRPr="001C17BD">
        <w:rPr>
          <w:rFonts w:ascii="Times New Roman" w:eastAsia="Times New Roman" w:hAnsi="Times New Roman"/>
          <w:color w:val="000000"/>
          <w:sz w:val="24"/>
          <w:szCs w:val="24"/>
          <w:lang w:eastAsia="fr-FR"/>
        </w:rPr>
        <w:t xml:space="preserve"> an </w:t>
      </w:r>
      <w:proofErr w:type="spellStart"/>
      <w:r w:rsidRPr="001C17BD">
        <w:rPr>
          <w:rFonts w:ascii="Times New Roman" w:eastAsia="Times New Roman" w:hAnsi="Times New Roman"/>
          <w:color w:val="000000"/>
          <w:sz w:val="24"/>
          <w:szCs w:val="24"/>
          <w:lang w:eastAsia="fr-FR"/>
        </w:rPr>
        <w:t>increase</w:t>
      </w:r>
      <w:proofErr w:type="spellEnd"/>
      <w:r w:rsidRPr="001C17BD">
        <w:rPr>
          <w:rFonts w:ascii="Times New Roman" w:eastAsia="Times New Roman" w:hAnsi="Times New Roman"/>
          <w:color w:val="000000"/>
          <w:sz w:val="24"/>
          <w:szCs w:val="24"/>
          <w:lang w:eastAsia="fr-FR"/>
        </w:rPr>
        <w:t xml:space="preserve"> in the </w:t>
      </w:r>
      <w:proofErr w:type="spellStart"/>
      <w:r w:rsidRPr="001C17BD">
        <w:rPr>
          <w:rFonts w:ascii="Times New Roman" w:eastAsia="Times New Roman" w:hAnsi="Times New Roman"/>
          <w:color w:val="000000"/>
          <w:sz w:val="24"/>
          <w:szCs w:val="24"/>
          <w:lang w:eastAsia="fr-FR"/>
        </w:rPr>
        <w:t>number</w:t>
      </w:r>
      <w:proofErr w:type="spellEnd"/>
      <w:r w:rsidRPr="001C17BD">
        <w:rPr>
          <w:rFonts w:ascii="Times New Roman" w:eastAsia="Times New Roman" w:hAnsi="Times New Roman"/>
          <w:color w:val="000000"/>
          <w:sz w:val="24"/>
          <w:szCs w:val="24"/>
          <w:lang w:eastAsia="fr-FR"/>
        </w:rPr>
        <w:t xml:space="preserve"> of shoots (</w:t>
      </w:r>
      <w:proofErr w:type="spellStart"/>
      <w:r w:rsidRPr="001C17BD">
        <w:rPr>
          <w:rFonts w:ascii="Times New Roman" w:eastAsia="Times New Roman" w:hAnsi="Times New Roman"/>
          <w:color w:val="000000"/>
          <w:sz w:val="24"/>
          <w:szCs w:val="24"/>
          <w:lang w:eastAsia="fr-FR"/>
        </w:rPr>
        <w:t>from</w:t>
      </w:r>
      <w:proofErr w:type="spellEnd"/>
      <w:r w:rsidRPr="001C17BD">
        <w:rPr>
          <w:rFonts w:ascii="Times New Roman" w:eastAsia="Times New Roman" w:hAnsi="Times New Roman"/>
          <w:color w:val="000000"/>
          <w:sz w:val="24"/>
          <w:szCs w:val="24"/>
          <w:lang w:eastAsia="fr-FR"/>
        </w:rPr>
        <w:t xml:space="preserve"> 8.00 ± 0.83 to 8.18 ± 0.83 shoots) and tuber </w:t>
      </w:r>
      <w:proofErr w:type="spellStart"/>
      <w:r w:rsidRPr="001C17BD">
        <w:rPr>
          <w:rFonts w:ascii="Times New Roman" w:eastAsia="Times New Roman" w:hAnsi="Times New Roman"/>
          <w:color w:val="000000"/>
          <w:sz w:val="24"/>
          <w:szCs w:val="24"/>
          <w:lang w:eastAsia="fr-FR"/>
        </w:rPr>
        <w:t>weight</w:t>
      </w:r>
      <w:proofErr w:type="spellEnd"/>
      <w:r w:rsidRPr="001C17BD">
        <w:rPr>
          <w:rFonts w:ascii="Times New Roman" w:eastAsia="Times New Roman" w:hAnsi="Times New Roman"/>
          <w:color w:val="000000"/>
          <w:sz w:val="24"/>
          <w:szCs w:val="24"/>
          <w:lang w:eastAsia="fr-FR"/>
        </w:rPr>
        <w:t xml:space="preserve"> (153.86 ± 23.95 to 186.72 ± 28.78 g).</w:t>
      </w:r>
    </w:p>
    <w:p w14:paraId="530FA71A" w14:textId="77777777" w:rsidR="001C17BD" w:rsidRDefault="000A7E1A" w:rsidP="001C17BD">
      <w:pPr>
        <w:spacing w:line="480" w:lineRule="auto"/>
        <w:jc w:val="both"/>
        <w:rPr>
          <w:rFonts w:ascii="Times New Roman" w:eastAsia="Times New Roman" w:hAnsi="Times New Roman" w:cs="Times New Roman"/>
          <w:color w:val="000000"/>
          <w:sz w:val="24"/>
          <w:szCs w:val="24"/>
          <w:lang w:eastAsia="fr-FR"/>
        </w:rPr>
      </w:pPr>
      <w:proofErr w:type="gramStart"/>
      <w:r w:rsidRPr="000A7E1A">
        <w:rPr>
          <w:rFonts w:ascii="Times New Roman" w:eastAsia="Times New Roman" w:hAnsi="Times New Roman" w:cs="Times New Roman"/>
          <w:b/>
          <w:bCs/>
          <w:color w:val="000000"/>
          <w:sz w:val="24"/>
          <w:szCs w:val="24"/>
          <w:lang w:eastAsia="fr-FR"/>
        </w:rPr>
        <w:t>Keywords:</w:t>
      </w:r>
      <w:proofErr w:type="gramEnd"/>
      <w:r w:rsidRPr="000A7E1A">
        <w:rPr>
          <w:rFonts w:ascii="Times New Roman" w:eastAsia="Times New Roman" w:hAnsi="Times New Roman" w:cs="Times New Roman"/>
          <w:color w:val="000000"/>
          <w:sz w:val="24"/>
          <w:szCs w:val="24"/>
          <w:lang w:eastAsia="fr-FR"/>
        </w:rPr>
        <w:t xml:space="preserve"> </w:t>
      </w:r>
      <w:proofErr w:type="spellStart"/>
      <w:r w:rsidRPr="000A7E1A">
        <w:rPr>
          <w:rFonts w:ascii="Times New Roman" w:eastAsia="Times New Roman" w:hAnsi="Times New Roman" w:cs="Times New Roman"/>
          <w:i/>
          <w:iCs/>
          <w:color w:val="000000"/>
          <w:sz w:val="24"/>
          <w:szCs w:val="24"/>
          <w:lang w:eastAsia="fr-FR"/>
        </w:rPr>
        <w:t>Solenostemon</w:t>
      </w:r>
      <w:proofErr w:type="spellEnd"/>
      <w:r w:rsidRPr="000A7E1A">
        <w:rPr>
          <w:rFonts w:ascii="Times New Roman" w:eastAsia="Times New Roman" w:hAnsi="Times New Roman" w:cs="Times New Roman"/>
          <w:i/>
          <w:iCs/>
          <w:color w:val="000000"/>
          <w:sz w:val="24"/>
          <w:szCs w:val="24"/>
          <w:lang w:eastAsia="fr-FR"/>
        </w:rPr>
        <w:t xml:space="preserve"> </w:t>
      </w:r>
      <w:proofErr w:type="spellStart"/>
      <w:r w:rsidRPr="000A7E1A">
        <w:rPr>
          <w:rFonts w:ascii="Times New Roman" w:eastAsia="Times New Roman" w:hAnsi="Times New Roman" w:cs="Times New Roman"/>
          <w:i/>
          <w:iCs/>
          <w:color w:val="000000"/>
          <w:sz w:val="24"/>
          <w:szCs w:val="24"/>
          <w:lang w:eastAsia="fr-FR"/>
        </w:rPr>
        <w:t>rotundifolius</w:t>
      </w:r>
      <w:proofErr w:type="spellEnd"/>
      <w:r w:rsidRPr="000A7E1A">
        <w:rPr>
          <w:rFonts w:ascii="Times New Roman" w:eastAsia="Times New Roman" w:hAnsi="Times New Roman" w:cs="Times New Roman"/>
          <w:color w:val="000000"/>
          <w:sz w:val="24"/>
          <w:szCs w:val="24"/>
          <w:lang w:eastAsia="fr-FR"/>
        </w:rPr>
        <w:t xml:space="preserve">, Conservation </w:t>
      </w:r>
      <w:proofErr w:type="spellStart"/>
      <w:r w:rsidRPr="000A7E1A">
        <w:rPr>
          <w:rFonts w:ascii="Times New Roman" w:eastAsia="Times New Roman" w:hAnsi="Times New Roman" w:cs="Times New Roman"/>
          <w:color w:val="000000"/>
          <w:sz w:val="24"/>
          <w:szCs w:val="24"/>
          <w:lang w:eastAsia="fr-FR"/>
        </w:rPr>
        <w:t>methods</w:t>
      </w:r>
      <w:proofErr w:type="spellEnd"/>
      <w:r w:rsidRPr="000A7E1A">
        <w:rPr>
          <w:rFonts w:ascii="Times New Roman" w:eastAsia="Times New Roman" w:hAnsi="Times New Roman" w:cs="Times New Roman"/>
          <w:color w:val="000000"/>
          <w:sz w:val="24"/>
          <w:szCs w:val="24"/>
          <w:lang w:eastAsia="fr-FR"/>
        </w:rPr>
        <w:t xml:space="preserve">, </w:t>
      </w:r>
      <w:proofErr w:type="spellStart"/>
      <w:r w:rsidRPr="000A7E1A">
        <w:rPr>
          <w:rFonts w:ascii="Times New Roman" w:eastAsia="Times New Roman" w:hAnsi="Times New Roman" w:cs="Times New Roman"/>
          <w:color w:val="000000"/>
          <w:sz w:val="24"/>
          <w:szCs w:val="24"/>
          <w:lang w:eastAsia="fr-FR"/>
        </w:rPr>
        <w:t>Physiological</w:t>
      </w:r>
      <w:proofErr w:type="spellEnd"/>
      <w:r w:rsidRPr="000A7E1A">
        <w:rPr>
          <w:rFonts w:ascii="Times New Roman" w:eastAsia="Times New Roman" w:hAnsi="Times New Roman" w:cs="Times New Roman"/>
          <w:color w:val="000000"/>
          <w:sz w:val="24"/>
          <w:szCs w:val="24"/>
          <w:lang w:eastAsia="fr-FR"/>
        </w:rPr>
        <w:t xml:space="preserve"> </w:t>
      </w:r>
      <w:proofErr w:type="spellStart"/>
      <w:r w:rsidRPr="000A7E1A">
        <w:rPr>
          <w:rFonts w:ascii="Times New Roman" w:eastAsia="Times New Roman" w:hAnsi="Times New Roman" w:cs="Times New Roman"/>
          <w:color w:val="000000"/>
          <w:sz w:val="24"/>
          <w:szCs w:val="24"/>
          <w:lang w:eastAsia="fr-FR"/>
        </w:rPr>
        <w:t>recovery</w:t>
      </w:r>
      <w:proofErr w:type="spellEnd"/>
      <w:r w:rsidRPr="000A7E1A">
        <w:rPr>
          <w:rFonts w:ascii="Times New Roman" w:eastAsia="Times New Roman" w:hAnsi="Times New Roman" w:cs="Times New Roman"/>
          <w:color w:val="000000"/>
          <w:sz w:val="24"/>
          <w:szCs w:val="24"/>
          <w:lang w:eastAsia="fr-FR"/>
        </w:rPr>
        <w:t xml:space="preserve">, Tuber </w:t>
      </w:r>
      <w:proofErr w:type="spellStart"/>
      <w:r w:rsidRPr="000A7E1A">
        <w:rPr>
          <w:rFonts w:ascii="Times New Roman" w:eastAsia="Times New Roman" w:hAnsi="Times New Roman" w:cs="Times New Roman"/>
          <w:color w:val="000000"/>
          <w:sz w:val="24"/>
          <w:szCs w:val="24"/>
          <w:lang w:eastAsia="fr-FR"/>
        </w:rPr>
        <w:t>yield</w:t>
      </w:r>
      <w:bookmarkStart w:id="2" w:name="_Hlk225871368"/>
      <w:proofErr w:type="spellEnd"/>
    </w:p>
    <w:p w14:paraId="74726C63" w14:textId="187B73A1" w:rsidR="002643AF" w:rsidRPr="00105A40" w:rsidRDefault="008D5701" w:rsidP="00105A40">
      <w:pPr>
        <w:pStyle w:val="Heading1"/>
        <w:spacing w:before="0" w:after="0" w:line="480" w:lineRule="auto"/>
        <w:jc w:val="both"/>
        <w:rPr>
          <w:rFonts w:ascii="Times New Roman" w:hAnsi="Times New Roman" w:cs="Times New Roman"/>
          <w:b/>
          <w:bCs/>
          <w:color w:val="auto"/>
          <w:sz w:val="24"/>
          <w:szCs w:val="24"/>
          <w:lang w:val="en-US"/>
        </w:rPr>
      </w:pPr>
      <w:r w:rsidRPr="00105A40">
        <w:rPr>
          <w:rFonts w:ascii="Times New Roman" w:hAnsi="Times New Roman" w:cs="Times New Roman"/>
          <w:b/>
          <w:bCs/>
          <w:color w:val="auto"/>
          <w:sz w:val="24"/>
          <w:szCs w:val="24"/>
          <w:lang w:val="en-US"/>
        </w:rPr>
        <w:t>Introduction</w:t>
      </w:r>
    </w:p>
    <w:p w14:paraId="76CD426B" w14:textId="34ACA1D7" w:rsidR="008F7B6D" w:rsidRPr="00195F83" w:rsidRDefault="00913D79" w:rsidP="001C17BD">
      <w:pPr>
        <w:spacing w:line="480" w:lineRule="auto"/>
        <w:jc w:val="both"/>
        <w:rPr>
          <w:rFonts w:ascii="Times New Roman" w:eastAsia="Times New Roman" w:hAnsi="Times New Roman" w:cs="Times New Roman"/>
          <w:color w:val="000000"/>
          <w:sz w:val="24"/>
          <w:szCs w:val="24"/>
          <w:lang w:eastAsia="fr-FR"/>
        </w:rPr>
      </w:pPr>
      <w:r w:rsidRPr="00195F83">
        <w:rPr>
          <w:rFonts w:ascii="Times New Roman" w:eastAsia="Times New Roman" w:hAnsi="Times New Roman" w:cs="Times New Roman"/>
          <w:color w:val="000000"/>
          <w:sz w:val="24"/>
          <w:szCs w:val="24"/>
          <w:lang w:eastAsia="fr-FR"/>
        </w:rPr>
        <w:t xml:space="preserve">In Burkina Faso, the agricultural </w:t>
      </w:r>
      <w:proofErr w:type="spellStart"/>
      <w:r w:rsidRPr="00195F83">
        <w:rPr>
          <w:rFonts w:ascii="Times New Roman" w:eastAsia="Times New Roman" w:hAnsi="Times New Roman" w:cs="Times New Roman"/>
          <w:color w:val="000000"/>
          <w:sz w:val="24"/>
          <w:szCs w:val="24"/>
          <w:lang w:eastAsia="fr-FR"/>
        </w:rPr>
        <w:t>sector</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is</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largely</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dominated</w:t>
      </w:r>
      <w:proofErr w:type="spellEnd"/>
      <w:r w:rsidRPr="00195F83">
        <w:rPr>
          <w:rFonts w:ascii="Times New Roman" w:eastAsia="Times New Roman" w:hAnsi="Times New Roman" w:cs="Times New Roman"/>
          <w:color w:val="000000"/>
          <w:sz w:val="24"/>
          <w:szCs w:val="24"/>
          <w:lang w:eastAsia="fr-FR"/>
        </w:rPr>
        <w:t xml:space="preserve"> by </w:t>
      </w:r>
      <w:proofErr w:type="spellStart"/>
      <w:r w:rsidRPr="00195F83">
        <w:rPr>
          <w:rFonts w:ascii="Times New Roman" w:eastAsia="Times New Roman" w:hAnsi="Times New Roman" w:cs="Times New Roman"/>
          <w:color w:val="000000"/>
          <w:sz w:val="24"/>
          <w:szCs w:val="24"/>
          <w:lang w:eastAsia="fr-FR"/>
        </w:rPr>
        <w:t>cereal</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crops</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maize</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rice</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sorghum</w:t>
      </w:r>
      <w:proofErr w:type="spellEnd"/>
      <w:r w:rsidRPr="00195F83">
        <w:rPr>
          <w:rFonts w:ascii="Times New Roman" w:eastAsia="Times New Roman" w:hAnsi="Times New Roman" w:cs="Times New Roman"/>
          <w:color w:val="000000"/>
          <w:sz w:val="24"/>
          <w:szCs w:val="24"/>
          <w:lang w:eastAsia="fr-FR"/>
        </w:rPr>
        <w:t xml:space="preserve">, and millet) </w:t>
      </w:r>
      <w:r w:rsidR="005233A4" w:rsidRPr="00195F83">
        <w:rPr>
          <w:rFonts w:ascii="Times New Roman" w:eastAsia="Times New Roman" w:hAnsi="Times New Roman" w:cs="Times New Roman"/>
          <w:color w:val="000000"/>
          <w:sz w:val="24"/>
          <w:szCs w:val="24"/>
          <w:lang w:eastAsia="fr-FR"/>
        </w:rPr>
        <w:fldChar w:fldCharType="begin"/>
      </w:r>
      <w:r w:rsidR="005233A4" w:rsidRPr="00195F83">
        <w:rPr>
          <w:rFonts w:ascii="Times New Roman" w:eastAsia="Times New Roman" w:hAnsi="Times New Roman" w:cs="Times New Roman"/>
          <w:color w:val="000000"/>
          <w:sz w:val="24"/>
          <w:szCs w:val="24"/>
          <w:lang w:eastAsia="fr-FR"/>
        </w:rPr>
        <w:instrText xml:space="preserve"> ADDIN ZOTERO_ITEM CSL_CITATION {"citationID":"WASoufUR","properties":{"unsorted":false,"formattedCitation":"(INSD, 2023)","plainCitation":"(INSD, 2023)","noteIndex":0},"citationItems":[{"id":144,"uris":["http://zotero.org/users/14754811/items/HBZVQZLY"],"itemData":{"id":144,"type":"document","abstract":"Le Burkina Faso a un climat de type soudano-sahélien qui rythme la vie économique de sa population en majorité rurale. Le secteur primaire qui se compose de l’élevage, de la sylviculture, de la chasse, de la pêche et de l’agriculture occupe une place importante dans l’économie nationale. Depuis 2015, le Burkina Faso est durement touché par la montée du terrorisme, entrainant des déplacements internes de sa population. Cette situation constitue une entrave sérieuse pour l’économie du pays de façon générale et particulièrement pour la production agricole. En 2019, le Burkina Faso a réalisé son cinquième Recensement Général de la Population et de l’Habitation. Le 5e RGPH a recueilli des informations de base sur les exploitations agricoles de type ménage. En exploitant ces informations, cette étude vise à décrire et analyser les caractéristiques des ménages agricoles dont la connaissance est importante pour l’élaboration de la politique agricole du pays. Pour atteindre ces objectifs, l’étude utilise une analyse descriptive des pratiques agricoles des ménages au regard de leurs caractéristiques sociodémographiques et appréhende les utilisations qui sont faites des différentes productions. Il ressort de l’étude qu’au Burkina Faso, les ménages qui ont déclaré pratiquer au moins une activité agricole (y compris pastorale) constituent 73,9% de l’ensemble des ménages du pays. Ces ménages agricoles abritent 81% de la population du Burkina Faso. Les cultures pluviales restent prédominantes dans les activités agricoles 91,7% des ménages du pays avec 96% en milieu rural. Les productions céréalières sont essentiellement destinées à la consommation des ménages. La production du maïs est la plus fréquente avec 42,4% des ménages agricoles qui s’y intéressent. La production des tubercules et racines en saison pluvieuse est faiblement pratiquée par les ménages agricoles : 2,4% pour la patate douce, 1,0% pour l’igname et 0,6% pour le manioc. L’arachide, le sésame et le soja sont les principales productions oléagineuses pratiquées en saison pluvieuse. Le coton est cultivé par 7,3% des ménages agricoles est principalement destiné à la vente. L’élevage occupe également la majeure partie des ménages agricoles (72,2%). Celui de petits ruminants est un peu plus répandu que celui des bovins : l’élevage des ovins et celui des caprins concernent respectivement 22,0% et 25,6% des ménages agricoles contre 20,1% pour l’élevage des bovins. L’élevage de volaille concerne la moitié des ménages agricoles avec une prédominance de l’élevage des poules (35,6% des ménages agricoles). Une amélioration de l’offre en matière de production maraîchère et irriguée pourrait contribuer à l’atteinte de l’autosuffisance alimentaire et à la réduction du chômage et du sous-emploi saisonnier.","title":"CARACTERISTIQUES DES MENAGES AGRICOLES DU BURKINA FASO","author":[{"family":"INSD","given":""}],"issued":{"date-parts":[["2023"]]}}}],"schema":"https://github.com/citation-style-language/schema/raw/master/csl-citation.json"} </w:instrText>
      </w:r>
      <w:r w:rsidR="005233A4" w:rsidRPr="00195F83">
        <w:rPr>
          <w:rFonts w:ascii="Times New Roman" w:eastAsia="Times New Roman" w:hAnsi="Times New Roman" w:cs="Times New Roman"/>
          <w:color w:val="000000"/>
          <w:sz w:val="24"/>
          <w:szCs w:val="24"/>
          <w:lang w:eastAsia="fr-FR"/>
        </w:rPr>
        <w:fldChar w:fldCharType="separate"/>
      </w:r>
      <w:r w:rsidR="005233A4" w:rsidRPr="00195F83">
        <w:rPr>
          <w:rFonts w:ascii="Times New Roman" w:hAnsi="Times New Roman" w:cs="Times New Roman"/>
          <w:sz w:val="24"/>
        </w:rPr>
        <w:t>(INSD, 2023)</w:t>
      </w:r>
      <w:r w:rsidR="005233A4" w:rsidRPr="00195F83">
        <w:rPr>
          <w:rFonts w:ascii="Times New Roman" w:eastAsia="Times New Roman" w:hAnsi="Times New Roman" w:cs="Times New Roman"/>
          <w:color w:val="000000"/>
          <w:sz w:val="24"/>
          <w:szCs w:val="24"/>
          <w:lang w:eastAsia="fr-FR"/>
        </w:rPr>
        <w:fldChar w:fldCharType="end"/>
      </w:r>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However</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other</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crops</w:t>
      </w:r>
      <w:proofErr w:type="spellEnd"/>
      <w:r w:rsidRPr="00195F83">
        <w:rPr>
          <w:rFonts w:ascii="Times New Roman" w:eastAsia="Times New Roman" w:hAnsi="Times New Roman" w:cs="Times New Roman"/>
          <w:color w:val="000000"/>
          <w:sz w:val="24"/>
          <w:szCs w:val="24"/>
          <w:lang w:eastAsia="fr-FR"/>
        </w:rPr>
        <w:t xml:space="preserve"> are </w:t>
      </w:r>
      <w:proofErr w:type="spellStart"/>
      <w:r w:rsidRPr="00195F83">
        <w:rPr>
          <w:rFonts w:ascii="Times New Roman" w:eastAsia="Times New Roman" w:hAnsi="Times New Roman" w:cs="Times New Roman"/>
          <w:color w:val="000000"/>
          <w:sz w:val="24"/>
          <w:szCs w:val="24"/>
          <w:lang w:eastAsia="fr-FR"/>
        </w:rPr>
        <w:t>also</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economically</w:t>
      </w:r>
      <w:proofErr w:type="spellEnd"/>
      <w:r w:rsidRPr="00195F83">
        <w:rPr>
          <w:rFonts w:ascii="Times New Roman" w:eastAsia="Times New Roman" w:hAnsi="Times New Roman" w:cs="Times New Roman"/>
          <w:color w:val="000000"/>
          <w:sz w:val="24"/>
          <w:szCs w:val="24"/>
          <w:lang w:eastAsia="fr-FR"/>
        </w:rPr>
        <w:t xml:space="preserve"> and </w:t>
      </w:r>
      <w:proofErr w:type="spellStart"/>
      <w:r w:rsidRPr="00195F83">
        <w:rPr>
          <w:rFonts w:ascii="Times New Roman" w:eastAsia="Times New Roman" w:hAnsi="Times New Roman" w:cs="Times New Roman"/>
          <w:color w:val="000000"/>
          <w:sz w:val="24"/>
          <w:szCs w:val="24"/>
          <w:lang w:eastAsia="fr-FR"/>
        </w:rPr>
        <w:lastRenderedPageBreak/>
        <w:t>nutritionally</w:t>
      </w:r>
      <w:proofErr w:type="spellEnd"/>
      <w:r w:rsidRPr="00195F83">
        <w:rPr>
          <w:rFonts w:ascii="Times New Roman" w:eastAsia="Times New Roman" w:hAnsi="Times New Roman" w:cs="Times New Roman"/>
          <w:color w:val="000000"/>
          <w:sz w:val="24"/>
          <w:szCs w:val="24"/>
          <w:lang w:eastAsia="fr-FR"/>
        </w:rPr>
        <w:t xml:space="preserve"> important to </w:t>
      </w:r>
      <w:proofErr w:type="spellStart"/>
      <w:r w:rsidRPr="00195F83">
        <w:rPr>
          <w:rFonts w:ascii="Times New Roman" w:eastAsia="Times New Roman" w:hAnsi="Times New Roman" w:cs="Times New Roman"/>
          <w:color w:val="000000"/>
          <w:sz w:val="24"/>
          <w:szCs w:val="24"/>
          <w:lang w:eastAsia="fr-FR"/>
        </w:rPr>
        <w:t>farmers</w:t>
      </w:r>
      <w:proofErr w:type="spellEnd"/>
      <w:r w:rsidR="005233A4" w:rsidRPr="00195F83">
        <w:rPr>
          <w:rFonts w:ascii="Times New Roman" w:eastAsia="Times New Roman" w:hAnsi="Times New Roman" w:cs="Times New Roman"/>
          <w:color w:val="000000"/>
          <w:sz w:val="24"/>
          <w:szCs w:val="24"/>
          <w:lang w:eastAsia="fr-FR"/>
        </w:rPr>
        <w:t xml:space="preserve"> </w:t>
      </w:r>
      <w:r w:rsidR="005233A4" w:rsidRPr="00195F83">
        <w:rPr>
          <w:rFonts w:ascii="Times New Roman" w:eastAsia="Times New Roman" w:hAnsi="Times New Roman" w:cs="Times New Roman"/>
          <w:color w:val="000000"/>
          <w:sz w:val="24"/>
          <w:szCs w:val="24"/>
          <w:lang w:eastAsia="fr-FR"/>
        </w:rPr>
        <w:fldChar w:fldCharType="begin"/>
      </w:r>
      <w:r w:rsidR="005233A4" w:rsidRPr="00195F83">
        <w:rPr>
          <w:rFonts w:ascii="Times New Roman" w:eastAsia="Times New Roman" w:hAnsi="Times New Roman" w:cs="Times New Roman"/>
          <w:color w:val="000000"/>
          <w:sz w:val="24"/>
          <w:szCs w:val="24"/>
          <w:lang w:eastAsia="fr-FR"/>
        </w:rPr>
        <w:instrText xml:space="preserve"> ADDIN ZOTERO_ITEM CSL_CITATION {"citationID":"brOFgjfd","properties":{"unsorted":false,"formattedCitation":"(Tietiambou {\\i{}et al.}, 2023)","plainCitation":"(Tietiambou et al., 2023)","noteIndex":0},"citationItems":[{"id":660,"uris":["http://zotero.org/users/14754811/items/YEK73UH3"],"itemData":{"id":660,"type":"article-journal","language":"fr","source":"cgspace.cgiar.org","title":"Rapport sur les résultats de l’évaluation rapide du marché (ERM) des cultures cibles au Burkina Faso","URL":"https://hdl.handle.net/10568/135975","author":[{"family":"Tietiambou","given":"Fanta Reine"},{"family":"Falcis","given":"Eleonora","dropping-particle":"de"},{"family":"Diawara","given":"Ali Badara"},{"family":"Nanema","given":"Jacques"},{"family":"Dambo","given":"Lawali"},{"family":"Dan Guimbo","given":"Iro"},{"family":"Pignone","given":"Domenico"},{"family":"Calabrese","given":"Nicola"},{"family":"Moretti","given":"Antonio"},{"family":"Gonnella","given":"Maria"},{"family":"El Bilali","given":"Hamid"},{"family":"Cardone","given":"Gianluigi"},{"family":"Calleris","given":"Roberta"},{"family":"Bteich","given":"Marie-Reine"},{"family":"Pugliese","given":"Patrizia"},{"family":"Dianin","given":"Carlo"},{"family":"Ghione","given":"Andrea"},{"family":"Naino Jika","given":"Abdel Kader"},{"family":"Borelli","given":"Teresa"},{"family":"Grazioli","given":"Francesca"},{"family":"Nouhou","given":"Bassirou"}],"accessed":{"date-parts":[["2024",9,5]]},"issued":{"date-parts":[["2023"]]}}}],"schema":"https://github.com/citation-style-language/schema/raw/master/csl-citation.json"} </w:instrText>
      </w:r>
      <w:r w:rsidR="005233A4" w:rsidRPr="00195F83">
        <w:rPr>
          <w:rFonts w:ascii="Times New Roman" w:eastAsia="Times New Roman" w:hAnsi="Times New Roman" w:cs="Times New Roman"/>
          <w:color w:val="000000"/>
          <w:sz w:val="24"/>
          <w:szCs w:val="24"/>
          <w:lang w:eastAsia="fr-FR"/>
        </w:rPr>
        <w:fldChar w:fldCharType="separate"/>
      </w:r>
      <w:r w:rsidR="005233A4" w:rsidRPr="00195F83">
        <w:rPr>
          <w:rFonts w:ascii="Times New Roman" w:hAnsi="Times New Roman" w:cs="Times New Roman"/>
          <w:kern w:val="0"/>
          <w:sz w:val="24"/>
        </w:rPr>
        <w:t xml:space="preserve">(Tietiambou </w:t>
      </w:r>
      <w:r w:rsidR="005233A4" w:rsidRPr="00195F83">
        <w:rPr>
          <w:rFonts w:ascii="Times New Roman" w:hAnsi="Times New Roman" w:cs="Times New Roman"/>
          <w:i/>
          <w:iCs/>
          <w:kern w:val="0"/>
          <w:sz w:val="24"/>
        </w:rPr>
        <w:t>et al.</w:t>
      </w:r>
      <w:r w:rsidR="005233A4" w:rsidRPr="00195F83">
        <w:rPr>
          <w:rFonts w:ascii="Times New Roman" w:hAnsi="Times New Roman" w:cs="Times New Roman"/>
          <w:kern w:val="0"/>
          <w:sz w:val="24"/>
        </w:rPr>
        <w:t>, 2023)</w:t>
      </w:r>
      <w:r w:rsidR="005233A4" w:rsidRPr="00195F83">
        <w:rPr>
          <w:rFonts w:ascii="Times New Roman" w:eastAsia="Times New Roman" w:hAnsi="Times New Roman" w:cs="Times New Roman"/>
          <w:color w:val="000000"/>
          <w:sz w:val="24"/>
          <w:szCs w:val="24"/>
          <w:lang w:eastAsia="fr-FR"/>
        </w:rPr>
        <w:fldChar w:fldCharType="end"/>
      </w:r>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These</w:t>
      </w:r>
      <w:proofErr w:type="spellEnd"/>
      <w:r w:rsidRPr="00195F83">
        <w:rPr>
          <w:rFonts w:ascii="Times New Roman" w:eastAsia="Times New Roman" w:hAnsi="Times New Roman" w:cs="Times New Roman"/>
          <w:color w:val="000000"/>
          <w:sz w:val="24"/>
          <w:szCs w:val="24"/>
          <w:lang w:eastAsia="fr-FR"/>
        </w:rPr>
        <w:t xml:space="preserve"> plants are </w:t>
      </w:r>
      <w:proofErr w:type="spellStart"/>
      <w:r w:rsidRPr="00195F83">
        <w:rPr>
          <w:rFonts w:ascii="Times New Roman" w:eastAsia="Times New Roman" w:hAnsi="Times New Roman" w:cs="Times New Roman"/>
          <w:color w:val="000000"/>
          <w:sz w:val="24"/>
          <w:szCs w:val="24"/>
          <w:lang w:eastAsia="fr-FR"/>
        </w:rPr>
        <w:t>often</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considered</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neglected</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species</w:t>
      </w:r>
      <w:proofErr w:type="spellEnd"/>
      <w:r w:rsidRPr="00195F83">
        <w:rPr>
          <w:rFonts w:ascii="Times New Roman" w:eastAsia="Times New Roman" w:hAnsi="Times New Roman" w:cs="Times New Roman"/>
          <w:color w:val="000000"/>
          <w:sz w:val="24"/>
          <w:szCs w:val="24"/>
          <w:lang w:eastAsia="fr-FR"/>
        </w:rPr>
        <w:t xml:space="preserve"> </w:t>
      </w:r>
      <w:r w:rsidR="005233A4" w:rsidRPr="00195F83">
        <w:rPr>
          <w:rFonts w:ascii="Times New Roman" w:eastAsia="Times New Roman" w:hAnsi="Times New Roman" w:cs="Times New Roman"/>
          <w:color w:val="000000"/>
          <w:sz w:val="24"/>
          <w:szCs w:val="24"/>
          <w:lang w:eastAsia="fr-FR"/>
        </w:rPr>
        <w:fldChar w:fldCharType="begin"/>
      </w:r>
      <w:r w:rsidR="005233A4" w:rsidRPr="00195F83">
        <w:rPr>
          <w:rFonts w:ascii="Times New Roman" w:eastAsia="Times New Roman" w:hAnsi="Times New Roman" w:cs="Times New Roman"/>
          <w:color w:val="000000"/>
          <w:sz w:val="24"/>
          <w:szCs w:val="24"/>
          <w:lang w:eastAsia="fr-FR"/>
        </w:rPr>
        <w:instrText xml:space="preserve"> ADDIN ZOTERO_ITEM CSL_CITATION {"citationID":"FXaz83Tr","properties":{"unsorted":false,"formattedCitation":"(El Bilali {\\i{}et al.}, 2024)","plainCitation":"(El Bilali et al., 2024)","noteIndex":0},"citationItems":[{"id":86,"uris":["http://zotero.org/users/14754811/items/K3JMXXW3"],"itemData":{"id":86,"type":"article-journal","abstract":"Neglected and underutilized crop species (NUCS/NUS) are claimed to contribute to sustainable development. However, many scholars argue that enabling policies and appropriate governance are needed to operationalize such a potential contribution. Therefore, this systematic review analyzes the literature dealing with the relationships between policy and governance aspects and the promotion of NUS in West Africa. It draws upon 45 eligible articles identified through a search conducted on the Web of Science in December 2023. The existing literature focuses on Nigeria and a few NUS, especially cassava. The addressed policy domains include biodiversity conservation; subsidies; seed systems; food security, self-sufficiency and sovereignty; trade and import substitution; food safety and health; climate change and energy; land use; research, innovation and development; and support and assistance systems. Meanwhile, the main governance domains are (1) inclusiveness and participation and (2) institutional capacity. The analysis suggests that NUS development is also affected by sectoral policy coherence and consistency as well as the policy–governance interplay. Future studies should widen the scope in terms of geographical coverage in West Africa and NUS addressed to allow for more comparisons. Furthermore, there is a need for further research to understand the synergies and trade-offs between sectoral policies affecting NUS promotion and development.","container-title":"Sustainability","DOI":"10.3390/su16146194","ISSN":"2071-1050","issue":"14","language":"en","license":"http://creativecommons.org/licenses/by/3.0/","note":"number: 14","page":"6194","publisher":"Multidisciplinary Digital Publishing Institute","source":"www.mdpi.com","title":"Conservation and Promotion of Neglected and Underutilized Crop Species in West Africa: Policy and Governance","title-short":"Conservation and Promotion of Neglected and Underutilized Crop Species in West Africa","volume":"16","author":[{"family":"El Bilali","given":"Hamid"},{"family":"Rokka","given":"Susanna"},{"family":"Calabrese","given":"Generosa"},{"family":"Borelli","given":"Teresa"},{"family":"Grazioli","given":"Francesca"},{"family":"Tietiambou","given":"Sheirita Reine Fanta"},{"family":"Nanema","given":"Jacques"},{"family":"Dan Guimbo","given":"Iro"},{"family":"Dambo","given":"Lawali"},{"family":"Nouhou","given":"Bassirou"},{"family":"Gonnella","given":"Maria"},{"family":"Acasto","given":"Filippo"}],"issued":{"date-parts":[["2024",1]]}}}],"schema":"https://github.com/citation-style-language/schema/raw/master/csl-citation.json"} </w:instrText>
      </w:r>
      <w:r w:rsidR="005233A4" w:rsidRPr="00195F83">
        <w:rPr>
          <w:rFonts w:ascii="Times New Roman" w:eastAsia="Times New Roman" w:hAnsi="Times New Roman" w:cs="Times New Roman"/>
          <w:color w:val="000000"/>
          <w:sz w:val="24"/>
          <w:szCs w:val="24"/>
          <w:lang w:eastAsia="fr-FR"/>
        </w:rPr>
        <w:fldChar w:fldCharType="separate"/>
      </w:r>
      <w:r w:rsidR="005233A4" w:rsidRPr="00195F83">
        <w:rPr>
          <w:rFonts w:ascii="Times New Roman" w:hAnsi="Times New Roman" w:cs="Times New Roman"/>
          <w:kern w:val="0"/>
          <w:sz w:val="24"/>
        </w:rPr>
        <w:t xml:space="preserve">(El Bilali </w:t>
      </w:r>
      <w:r w:rsidR="005233A4" w:rsidRPr="00195F83">
        <w:rPr>
          <w:rFonts w:ascii="Times New Roman" w:hAnsi="Times New Roman" w:cs="Times New Roman"/>
          <w:i/>
          <w:iCs/>
          <w:kern w:val="0"/>
          <w:sz w:val="24"/>
        </w:rPr>
        <w:t>et al.</w:t>
      </w:r>
      <w:r w:rsidR="005233A4" w:rsidRPr="00195F83">
        <w:rPr>
          <w:rFonts w:ascii="Times New Roman" w:hAnsi="Times New Roman" w:cs="Times New Roman"/>
          <w:kern w:val="0"/>
          <w:sz w:val="24"/>
        </w:rPr>
        <w:t>, 2024)</w:t>
      </w:r>
      <w:r w:rsidR="005233A4" w:rsidRPr="00195F83">
        <w:rPr>
          <w:rFonts w:ascii="Times New Roman" w:eastAsia="Times New Roman" w:hAnsi="Times New Roman" w:cs="Times New Roman"/>
          <w:color w:val="000000"/>
          <w:sz w:val="24"/>
          <w:szCs w:val="24"/>
          <w:lang w:eastAsia="fr-FR"/>
        </w:rPr>
        <w:fldChar w:fldCharType="end"/>
      </w:r>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Among</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them</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i/>
          <w:iCs/>
          <w:color w:val="000000"/>
          <w:sz w:val="24"/>
          <w:szCs w:val="24"/>
          <w:lang w:eastAsia="fr-FR"/>
        </w:rPr>
        <w:t>Solenostemon</w:t>
      </w:r>
      <w:proofErr w:type="spellEnd"/>
      <w:r w:rsidRPr="00195F83">
        <w:rPr>
          <w:rFonts w:ascii="Times New Roman" w:eastAsia="Times New Roman" w:hAnsi="Times New Roman" w:cs="Times New Roman"/>
          <w:i/>
          <w:iCs/>
          <w:color w:val="000000"/>
          <w:sz w:val="24"/>
          <w:szCs w:val="24"/>
          <w:lang w:eastAsia="fr-FR"/>
        </w:rPr>
        <w:t xml:space="preserve"> </w:t>
      </w:r>
      <w:proofErr w:type="spellStart"/>
      <w:r w:rsidRPr="00195F83">
        <w:rPr>
          <w:rFonts w:ascii="Times New Roman" w:eastAsia="Times New Roman" w:hAnsi="Times New Roman" w:cs="Times New Roman"/>
          <w:i/>
          <w:iCs/>
          <w:color w:val="000000"/>
          <w:sz w:val="24"/>
          <w:szCs w:val="24"/>
          <w:lang w:eastAsia="fr-FR"/>
        </w:rPr>
        <w:t>rotundifolius</w:t>
      </w:r>
      <w:proofErr w:type="spellEnd"/>
      <w:r w:rsidRPr="00195F83">
        <w:rPr>
          <w:rFonts w:ascii="Times New Roman" w:eastAsia="Times New Roman" w:hAnsi="Times New Roman" w:cs="Times New Roman"/>
          <w:i/>
          <w:iCs/>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is</w:t>
      </w:r>
      <w:proofErr w:type="spellEnd"/>
      <w:r w:rsidRPr="00195F83">
        <w:rPr>
          <w:rFonts w:ascii="Times New Roman" w:eastAsia="Times New Roman" w:hAnsi="Times New Roman" w:cs="Times New Roman"/>
          <w:color w:val="000000"/>
          <w:sz w:val="24"/>
          <w:szCs w:val="24"/>
          <w:lang w:eastAsia="fr-FR"/>
        </w:rPr>
        <w:t xml:space="preserve"> an </w:t>
      </w:r>
      <w:proofErr w:type="spellStart"/>
      <w:r w:rsidRPr="000F4348">
        <w:rPr>
          <w:rFonts w:ascii="Times New Roman" w:eastAsia="Times New Roman" w:hAnsi="Times New Roman" w:cs="Times New Roman"/>
          <w:color w:val="000000"/>
          <w:sz w:val="24"/>
          <w:szCs w:val="24"/>
          <w:lang w:eastAsia="fr-FR"/>
        </w:rPr>
        <w:t>underutilized</w:t>
      </w:r>
      <w:proofErr w:type="spellEnd"/>
      <w:r w:rsidRPr="000F4348">
        <w:rPr>
          <w:rFonts w:ascii="Times New Roman" w:eastAsia="Times New Roman" w:hAnsi="Times New Roman" w:cs="Times New Roman"/>
          <w:color w:val="000000"/>
          <w:sz w:val="24"/>
          <w:szCs w:val="24"/>
          <w:lang w:eastAsia="fr-FR"/>
        </w:rPr>
        <w:t xml:space="preserve"> and </w:t>
      </w:r>
      <w:proofErr w:type="spellStart"/>
      <w:r w:rsidR="00B57399" w:rsidRPr="00B57399">
        <w:rPr>
          <w:rFonts w:ascii="Times New Roman" w:eastAsia="Times New Roman" w:hAnsi="Times New Roman" w:cs="Times New Roman"/>
          <w:color w:val="000000"/>
          <w:sz w:val="24"/>
          <w:szCs w:val="24"/>
          <w:lang w:eastAsia="fr-FR"/>
        </w:rPr>
        <w:t>underutilized</w:t>
      </w:r>
      <w:proofErr w:type="spellEnd"/>
      <w:r w:rsidRPr="000F4348">
        <w:rPr>
          <w:rFonts w:ascii="Times New Roman" w:eastAsia="Times New Roman" w:hAnsi="Times New Roman" w:cs="Times New Roman"/>
          <w:color w:val="000000"/>
          <w:sz w:val="24"/>
          <w:szCs w:val="24"/>
          <w:lang w:eastAsia="fr-FR"/>
        </w:rPr>
        <w:t xml:space="preserve"> </w:t>
      </w:r>
      <w:proofErr w:type="spellStart"/>
      <w:r w:rsidRPr="000F4348">
        <w:rPr>
          <w:rFonts w:ascii="Times New Roman" w:eastAsia="Times New Roman" w:hAnsi="Times New Roman" w:cs="Times New Roman"/>
          <w:color w:val="000000"/>
          <w:sz w:val="24"/>
          <w:szCs w:val="24"/>
          <w:lang w:eastAsia="fr-FR"/>
        </w:rPr>
        <w:t>species</w:t>
      </w:r>
      <w:proofErr w:type="spellEnd"/>
      <w:r w:rsidRPr="000F4348">
        <w:rPr>
          <w:rFonts w:ascii="Times New Roman" w:eastAsia="Times New Roman" w:hAnsi="Times New Roman" w:cs="Times New Roman"/>
          <w:color w:val="000000"/>
          <w:sz w:val="24"/>
          <w:szCs w:val="24"/>
          <w:lang w:eastAsia="fr-FR"/>
        </w:rPr>
        <w:t xml:space="preserve"> </w:t>
      </w:r>
      <w:proofErr w:type="spellStart"/>
      <w:r w:rsidRPr="000F4348">
        <w:rPr>
          <w:rFonts w:ascii="Times New Roman" w:eastAsia="Times New Roman" w:hAnsi="Times New Roman" w:cs="Times New Roman"/>
          <w:color w:val="000000"/>
          <w:sz w:val="24"/>
          <w:szCs w:val="24"/>
          <w:lang w:eastAsia="fr-FR"/>
        </w:rPr>
        <w:t>that</w:t>
      </w:r>
      <w:proofErr w:type="spellEnd"/>
      <w:r w:rsidRPr="000F4348">
        <w:rPr>
          <w:rFonts w:ascii="Times New Roman" w:eastAsia="Times New Roman" w:hAnsi="Times New Roman" w:cs="Times New Roman"/>
          <w:color w:val="000000"/>
          <w:sz w:val="24"/>
          <w:szCs w:val="24"/>
          <w:lang w:eastAsia="fr-FR"/>
        </w:rPr>
        <w:t xml:space="preserve"> </w:t>
      </w:r>
      <w:proofErr w:type="spellStart"/>
      <w:r w:rsidRPr="000F4348">
        <w:rPr>
          <w:rFonts w:ascii="Times New Roman" w:eastAsia="Times New Roman" w:hAnsi="Times New Roman" w:cs="Times New Roman"/>
          <w:color w:val="000000"/>
          <w:sz w:val="24"/>
          <w:szCs w:val="24"/>
          <w:lang w:eastAsia="fr-FR"/>
        </w:rPr>
        <w:t>is</w:t>
      </w:r>
      <w:proofErr w:type="spellEnd"/>
      <w:r w:rsidRPr="000F4348">
        <w:rPr>
          <w:rFonts w:ascii="Times New Roman" w:eastAsia="Times New Roman" w:hAnsi="Times New Roman" w:cs="Times New Roman"/>
          <w:color w:val="000000"/>
          <w:sz w:val="24"/>
          <w:szCs w:val="24"/>
          <w:lang w:eastAsia="fr-FR"/>
        </w:rPr>
        <w:t xml:space="preserve"> </w:t>
      </w:r>
      <w:proofErr w:type="spellStart"/>
      <w:r w:rsidRPr="000F4348">
        <w:rPr>
          <w:rFonts w:ascii="Times New Roman" w:eastAsia="Times New Roman" w:hAnsi="Times New Roman" w:cs="Times New Roman"/>
          <w:color w:val="000000"/>
          <w:sz w:val="24"/>
          <w:szCs w:val="24"/>
          <w:lang w:eastAsia="fr-FR"/>
        </w:rPr>
        <w:t>now</w:t>
      </w:r>
      <w:proofErr w:type="spellEnd"/>
      <w:r w:rsidRPr="000F4348">
        <w:rPr>
          <w:rFonts w:ascii="Times New Roman" w:eastAsia="Times New Roman" w:hAnsi="Times New Roman" w:cs="Times New Roman"/>
          <w:color w:val="000000"/>
          <w:sz w:val="24"/>
          <w:szCs w:val="24"/>
          <w:lang w:eastAsia="fr-FR"/>
        </w:rPr>
        <w:t xml:space="preserve"> </w:t>
      </w:r>
      <w:proofErr w:type="spellStart"/>
      <w:r w:rsidRPr="000F4348">
        <w:rPr>
          <w:rFonts w:ascii="Times New Roman" w:eastAsia="Times New Roman" w:hAnsi="Times New Roman" w:cs="Times New Roman"/>
          <w:color w:val="000000"/>
          <w:sz w:val="24"/>
          <w:szCs w:val="24"/>
          <w:lang w:eastAsia="fr-FR"/>
        </w:rPr>
        <w:t>threatened</w:t>
      </w:r>
      <w:proofErr w:type="spellEnd"/>
      <w:r w:rsidRPr="000F4348">
        <w:rPr>
          <w:rFonts w:ascii="Times New Roman" w:eastAsia="Times New Roman" w:hAnsi="Times New Roman" w:cs="Times New Roman"/>
          <w:color w:val="000000"/>
          <w:sz w:val="24"/>
          <w:szCs w:val="24"/>
          <w:lang w:eastAsia="fr-FR"/>
        </w:rPr>
        <w:t xml:space="preserve"> </w:t>
      </w:r>
      <w:proofErr w:type="spellStart"/>
      <w:r w:rsidRPr="000F4348">
        <w:rPr>
          <w:rFonts w:ascii="Times New Roman" w:eastAsia="Times New Roman" w:hAnsi="Times New Roman" w:cs="Times New Roman"/>
          <w:color w:val="000000"/>
          <w:sz w:val="24"/>
          <w:szCs w:val="24"/>
          <w:lang w:eastAsia="fr-FR"/>
        </w:rPr>
        <w:t>with</w:t>
      </w:r>
      <w:proofErr w:type="spellEnd"/>
      <w:r w:rsidRPr="000F4348">
        <w:rPr>
          <w:rFonts w:ascii="Times New Roman" w:eastAsia="Times New Roman" w:hAnsi="Times New Roman" w:cs="Times New Roman"/>
          <w:color w:val="000000"/>
          <w:sz w:val="24"/>
          <w:szCs w:val="24"/>
          <w:lang w:eastAsia="fr-FR"/>
        </w:rPr>
        <w:t xml:space="preserve"> extinction in tropical</w:t>
      </w:r>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regions</w:t>
      </w:r>
      <w:proofErr w:type="spellEnd"/>
      <w:r w:rsidRPr="00195F83">
        <w:rPr>
          <w:rFonts w:ascii="Times New Roman" w:eastAsia="Times New Roman" w:hAnsi="Times New Roman" w:cs="Times New Roman"/>
          <w:color w:val="000000"/>
          <w:sz w:val="24"/>
          <w:szCs w:val="24"/>
          <w:lang w:eastAsia="fr-FR"/>
        </w:rPr>
        <w:t xml:space="preserve"> </w:t>
      </w:r>
      <w:r w:rsidR="005233A4" w:rsidRPr="00195F83">
        <w:rPr>
          <w:rFonts w:ascii="Times New Roman" w:eastAsia="Times New Roman" w:hAnsi="Times New Roman" w:cs="Times New Roman"/>
          <w:color w:val="000000"/>
          <w:sz w:val="24"/>
          <w:szCs w:val="24"/>
          <w:lang w:eastAsia="fr-FR"/>
        </w:rPr>
        <w:fldChar w:fldCharType="begin"/>
      </w:r>
      <w:r w:rsidR="005233A4" w:rsidRPr="00195F83">
        <w:rPr>
          <w:rFonts w:ascii="Times New Roman" w:eastAsia="Times New Roman" w:hAnsi="Times New Roman" w:cs="Times New Roman"/>
          <w:color w:val="000000"/>
          <w:sz w:val="24"/>
          <w:szCs w:val="24"/>
          <w:lang w:eastAsia="fr-FR"/>
        </w:rPr>
        <w:instrText xml:space="preserve"> ADDIN ZOTERO_ITEM CSL_CITATION {"citationID":"pTizF2p1","properties":{"unsorted":false,"formattedCitation":"(Osei Tutu {\\i{}et al.}, 2024)","plainCitation":"(Osei Tutu et al., 2024)","noteIndex":0},"citationItems":[{"id":45,"uris":["http://zotero.org/users/14754811/items/49P5PGD8"],"itemData":{"id":45,"type":"article-journal","abstract":"Frafra Potato (FP) is a climate-smart crop facing extinction in the tropical regions of Africa due to inadequate information about its properties. This study determined the physicochemical, functional, and rheological characteristics of flours from ten FP accessions to gauge their suitability for culinary purposes. The flour yield from FP tubers ranged from 59.3 % (E134) to 69.3 % (E111). While FP flours (FPF) exhibited consistent colour across accessions, variations in paste clarity were noted, ranging from 5.2 % (E145 and Maa-Lana) to 8.6 % (WAAPP). The least gelation concentration varied from 8 % (WAAPP) to 12 % (E 82, 111, 132, 134, 145). Released accessions showed higher protein and ash content than unreleased ones. Mineral composition differed significantly among accessions, including iron, calcium, zinc, and phosphorus, each with varying bioavailability percentages. Vitamin A content also varied across accessions. Proteins common in tuber crops, such as lipoxygenase, patatin, sporamin, tarin, and protease inhibitors (Bowman-Birk PIs), were identified in FPF. Amino acid analysis revealed nineteen amino acids, including seven essentials. FPF characteristics included a bulk density of 0.9 g/ml, oil and water binding capacities of 3 g/g and 1.3 g/g respectively, a pH of 6.4, and titratable acidity of 0.5. All FP flours displayed standard non-Newtonian behaviour, exhibiting pseudoplastic properties. They also showed a type II sigmoidal sorption curve, indicating increased equilibrium moisture content with higher water activity. Moisture sorption studies predicted a safe storage maximum allowable moisture content. These findings have practical implications for flour packaging and storage. The study underscores the culinary potential of Frafra potato and its role in addressing food and nutrition security in Ghana and Sub-Saharan Africa.","container-title":"Journal of Agriculture and Food Research","DOI":"10.1016/j.jafr.2024.100974","ISSN":"2666-1543","journalAbbreviation":"Journal of Agriculture and Food Research","page":"100974","source":"ScienceDirect","title":"Propriétés physiques, chimiques et rhéologiques de la farine issue d'accessions de pomme de terre Frafra ( &lt;i&gt;Solenostemon rotundifolius&lt;/i&gt; )","volume":"15","author":[{"family":"Osei Tutu","given":"Crossby"},{"family":"Amissah","given":"Joris Gerald Niilante"},{"family":"Amissah","given":"Jacqueline Naalamle"},{"family":"Akonor","given":"Paa Toah"},{"family":"Budu","given":"Agnes Simpson"},{"family":"Saalia","given":"Firibu Kwesi"}],"issued":{"date-parts":[["2024",3,1]]}}}],"schema":"https://github.com/citation-style-language/schema/raw/master/csl-citation.json"} </w:instrText>
      </w:r>
      <w:r w:rsidR="005233A4" w:rsidRPr="00195F83">
        <w:rPr>
          <w:rFonts w:ascii="Times New Roman" w:eastAsia="Times New Roman" w:hAnsi="Times New Roman" w:cs="Times New Roman"/>
          <w:color w:val="000000"/>
          <w:sz w:val="24"/>
          <w:szCs w:val="24"/>
          <w:lang w:eastAsia="fr-FR"/>
        </w:rPr>
        <w:fldChar w:fldCharType="separate"/>
      </w:r>
      <w:r w:rsidR="005233A4" w:rsidRPr="00195F83">
        <w:rPr>
          <w:rFonts w:ascii="Times New Roman" w:hAnsi="Times New Roman" w:cs="Times New Roman"/>
          <w:kern w:val="0"/>
          <w:sz w:val="24"/>
        </w:rPr>
        <w:t xml:space="preserve">(Osei Tutu </w:t>
      </w:r>
      <w:r w:rsidR="005233A4" w:rsidRPr="00195F83">
        <w:rPr>
          <w:rFonts w:ascii="Times New Roman" w:hAnsi="Times New Roman" w:cs="Times New Roman"/>
          <w:i/>
          <w:iCs/>
          <w:kern w:val="0"/>
          <w:sz w:val="24"/>
        </w:rPr>
        <w:t>et al.</w:t>
      </w:r>
      <w:r w:rsidR="005233A4" w:rsidRPr="00195F83">
        <w:rPr>
          <w:rFonts w:ascii="Times New Roman" w:hAnsi="Times New Roman" w:cs="Times New Roman"/>
          <w:kern w:val="0"/>
          <w:sz w:val="24"/>
        </w:rPr>
        <w:t>, 2024)</w:t>
      </w:r>
      <w:r w:rsidR="005233A4" w:rsidRPr="00195F83">
        <w:rPr>
          <w:rFonts w:ascii="Times New Roman" w:eastAsia="Times New Roman" w:hAnsi="Times New Roman" w:cs="Times New Roman"/>
          <w:color w:val="000000"/>
          <w:sz w:val="24"/>
          <w:szCs w:val="24"/>
          <w:lang w:eastAsia="fr-FR"/>
        </w:rPr>
        <w:fldChar w:fldCharType="end"/>
      </w:r>
      <w:r w:rsidRPr="00195F83">
        <w:rPr>
          <w:rFonts w:ascii="Times New Roman" w:eastAsia="Times New Roman" w:hAnsi="Times New Roman" w:cs="Times New Roman"/>
          <w:color w:val="000000"/>
          <w:sz w:val="24"/>
          <w:szCs w:val="24"/>
          <w:lang w:eastAsia="fr-FR"/>
        </w:rPr>
        <w:t xml:space="preserve">. In Burkina Faso, </w:t>
      </w:r>
      <w:r w:rsidRPr="00195F83">
        <w:rPr>
          <w:rFonts w:ascii="Times New Roman" w:eastAsia="Times New Roman" w:hAnsi="Times New Roman" w:cs="Times New Roman"/>
          <w:i/>
          <w:iCs/>
          <w:color w:val="000000"/>
          <w:sz w:val="24"/>
          <w:szCs w:val="24"/>
          <w:lang w:eastAsia="fr-FR"/>
        </w:rPr>
        <w:t xml:space="preserve">S. </w:t>
      </w:r>
      <w:proofErr w:type="spellStart"/>
      <w:r w:rsidRPr="00195F83">
        <w:rPr>
          <w:rFonts w:ascii="Times New Roman" w:eastAsia="Times New Roman" w:hAnsi="Times New Roman" w:cs="Times New Roman"/>
          <w:i/>
          <w:iCs/>
          <w:color w:val="000000"/>
          <w:sz w:val="24"/>
          <w:szCs w:val="24"/>
          <w:lang w:eastAsia="fr-FR"/>
        </w:rPr>
        <w:t>rotundifolius</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is</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rarely</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cultivated</w:t>
      </w:r>
      <w:proofErr w:type="spellEnd"/>
      <w:r w:rsidRPr="00195F83">
        <w:rPr>
          <w:rFonts w:ascii="Times New Roman" w:eastAsia="Times New Roman" w:hAnsi="Times New Roman" w:cs="Times New Roman"/>
          <w:color w:val="000000"/>
          <w:sz w:val="24"/>
          <w:szCs w:val="24"/>
          <w:lang w:eastAsia="fr-FR"/>
        </w:rPr>
        <w:t xml:space="preserve"> </w:t>
      </w:r>
      <w:r w:rsidR="005233A4" w:rsidRPr="00195F83">
        <w:rPr>
          <w:rFonts w:ascii="Times New Roman" w:eastAsia="Times New Roman" w:hAnsi="Times New Roman" w:cs="Times New Roman"/>
          <w:color w:val="000000"/>
          <w:sz w:val="24"/>
          <w:szCs w:val="24"/>
          <w:lang w:eastAsia="fr-FR"/>
        </w:rPr>
        <w:fldChar w:fldCharType="begin"/>
      </w:r>
      <w:r w:rsidR="00195F83" w:rsidRPr="00195F83">
        <w:rPr>
          <w:rFonts w:ascii="Times New Roman" w:eastAsia="Times New Roman" w:hAnsi="Times New Roman" w:cs="Times New Roman"/>
          <w:color w:val="000000"/>
          <w:sz w:val="24"/>
          <w:szCs w:val="24"/>
          <w:lang w:eastAsia="fr-FR"/>
        </w:rPr>
        <w:instrText xml:space="preserve"> ADDIN ZOTERO_ITEM CSL_CITATION {"citationID":"bCO9UiTU","properties":{"unsorted":false,"formattedCitation":"(Ou\\uc0\\u233{}draogo, Zongo et Sedogo, 2007)","plainCitation":"(Ouédraogo, Zongo et Sedogo, 2007)","noteIndex":0},"citationItems":[{"id":607,"uris":["http://zotero.org/users/14754811/items/7A52QQC6"],"itemData":{"id":607,"type":"article-journal","container-title":"Annales de Botanique de l’Afrique de l’Ouest","journalAbbreviation":"Annales de Botanique de l’Afrique de l’Ouest","page":"13-21","source":"ResearchGate","title":"Perceptions paysannes de la culture et des utilisations du « Fabirama » (Solenostemon rotundifolius (Poir.) J.K. Morton) dans le Plateau Central du Burkina Faso","author":[{"family":"Ouédraogo","given":"Amadé"},{"family":"Zongo","given":"Jean-Didier"},{"family":"Sedogo","given":"Alphonse"}],"issued":{"date-parts":[["2007",1,1]]}}}],"schema":"https://github.com/citation-style-language/schema/raw/master/csl-citation.json"} </w:instrText>
      </w:r>
      <w:r w:rsidR="005233A4" w:rsidRPr="00195F83">
        <w:rPr>
          <w:rFonts w:ascii="Times New Roman" w:eastAsia="Times New Roman" w:hAnsi="Times New Roman" w:cs="Times New Roman"/>
          <w:color w:val="000000"/>
          <w:sz w:val="24"/>
          <w:szCs w:val="24"/>
          <w:lang w:eastAsia="fr-FR"/>
        </w:rPr>
        <w:fldChar w:fldCharType="separate"/>
      </w:r>
      <w:r w:rsidR="00195F83" w:rsidRPr="00195F83">
        <w:rPr>
          <w:rFonts w:ascii="Times New Roman" w:hAnsi="Times New Roman" w:cs="Times New Roman"/>
          <w:kern w:val="0"/>
          <w:sz w:val="24"/>
        </w:rPr>
        <w:t xml:space="preserve">(Ouédraogo et </w:t>
      </w:r>
      <w:r w:rsidR="00195F83" w:rsidRPr="00195F83">
        <w:rPr>
          <w:rFonts w:ascii="Times New Roman" w:hAnsi="Times New Roman" w:cs="Times New Roman"/>
          <w:i/>
          <w:iCs/>
          <w:kern w:val="0"/>
          <w:sz w:val="24"/>
        </w:rPr>
        <w:t>al.,</w:t>
      </w:r>
      <w:r w:rsidR="00195F83" w:rsidRPr="00195F83">
        <w:rPr>
          <w:rFonts w:ascii="Times New Roman" w:hAnsi="Times New Roman" w:cs="Times New Roman"/>
          <w:kern w:val="0"/>
          <w:sz w:val="24"/>
        </w:rPr>
        <w:t xml:space="preserve"> 2007)</w:t>
      </w:r>
      <w:r w:rsidR="005233A4" w:rsidRPr="00195F83">
        <w:rPr>
          <w:rFonts w:ascii="Times New Roman" w:eastAsia="Times New Roman" w:hAnsi="Times New Roman" w:cs="Times New Roman"/>
          <w:color w:val="000000"/>
          <w:sz w:val="24"/>
          <w:szCs w:val="24"/>
          <w:lang w:eastAsia="fr-FR"/>
        </w:rPr>
        <w:fldChar w:fldCharType="end"/>
      </w:r>
      <w:r w:rsidR="00195F83" w:rsidRPr="00195F83">
        <w:rPr>
          <w:rFonts w:ascii="Times New Roman" w:eastAsia="Times New Roman" w:hAnsi="Times New Roman" w:cs="Times New Roman"/>
          <w:color w:val="000000"/>
          <w:sz w:val="24"/>
          <w:szCs w:val="24"/>
          <w:lang w:eastAsia="fr-FR"/>
        </w:rPr>
        <w:t xml:space="preserve">, </w:t>
      </w:r>
      <w:r w:rsidRPr="00195F83">
        <w:rPr>
          <w:rFonts w:ascii="Times New Roman" w:eastAsia="Times New Roman" w:hAnsi="Times New Roman" w:cs="Times New Roman"/>
          <w:color w:val="000000"/>
          <w:sz w:val="24"/>
          <w:szCs w:val="24"/>
          <w:lang w:eastAsia="fr-FR"/>
        </w:rPr>
        <w:t xml:space="preserve">but </w:t>
      </w:r>
      <w:proofErr w:type="spellStart"/>
      <w:r w:rsidRPr="00195F83">
        <w:rPr>
          <w:rFonts w:ascii="Times New Roman" w:eastAsia="Times New Roman" w:hAnsi="Times New Roman" w:cs="Times New Roman"/>
          <w:color w:val="000000"/>
          <w:sz w:val="24"/>
          <w:szCs w:val="24"/>
          <w:lang w:eastAsia="fr-FR"/>
        </w:rPr>
        <w:t>remains</w:t>
      </w:r>
      <w:proofErr w:type="spellEnd"/>
      <w:r w:rsidRPr="00195F83">
        <w:rPr>
          <w:rFonts w:ascii="Times New Roman" w:eastAsia="Times New Roman" w:hAnsi="Times New Roman" w:cs="Times New Roman"/>
          <w:color w:val="000000"/>
          <w:sz w:val="24"/>
          <w:szCs w:val="24"/>
          <w:lang w:eastAsia="fr-FR"/>
        </w:rPr>
        <w:t xml:space="preserve"> important to </w:t>
      </w:r>
      <w:proofErr w:type="spellStart"/>
      <w:r w:rsidRPr="00195F83">
        <w:rPr>
          <w:rFonts w:ascii="Times New Roman" w:eastAsia="Times New Roman" w:hAnsi="Times New Roman" w:cs="Times New Roman"/>
          <w:color w:val="000000"/>
          <w:sz w:val="24"/>
          <w:szCs w:val="24"/>
          <w:lang w:eastAsia="fr-FR"/>
        </w:rPr>
        <w:t>households</w:t>
      </w:r>
      <w:proofErr w:type="spellEnd"/>
      <w:r w:rsidRPr="00195F83">
        <w:rPr>
          <w:rFonts w:ascii="Times New Roman" w:eastAsia="Times New Roman" w:hAnsi="Times New Roman" w:cs="Times New Roman"/>
          <w:color w:val="000000"/>
          <w:sz w:val="24"/>
          <w:szCs w:val="24"/>
          <w:lang w:eastAsia="fr-FR"/>
        </w:rPr>
        <w:t xml:space="preserve"> due to </w:t>
      </w:r>
      <w:proofErr w:type="spellStart"/>
      <w:r w:rsidRPr="00195F83">
        <w:rPr>
          <w:rFonts w:ascii="Times New Roman" w:eastAsia="Times New Roman" w:hAnsi="Times New Roman" w:cs="Times New Roman"/>
          <w:color w:val="000000"/>
          <w:sz w:val="24"/>
          <w:szCs w:val="24"/>
          <w:lang w:eastAsia="fr-FR"/>
        </w:rPr>
        <w:t>its</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food</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economic</w:t>
      </w:r>
      <w:proofErr w:type="spellEnd"/>
      <w:r w:rsidRPr="00195F83">
        <w:rPr>
          <w:rFonts w:ascii="Times New Roman" w:eastAsia="Times New Roman" w:hAnsi="Times New Roman" w:cs="Times New Roman"/>
          <w:color w:val="000000"/>
          <w:sz w:val="24"/>
          <w:szCs w:val="24"/>
          <w:lang w:eastAsia="fr-FR"/>
        </w:rPr>
        <w:t xml:space="preserve">, and </w:t>
      </w:r>
      <w:proofErr w:type="spellStart"/>
      <w:r w:rsidRPr="00195F83">
        <w:rPr>
          <w:rFonts w:ascii="Times New Roman" w:eastAsia="Times New Roman" w:hAnsi="Times New Roman" w:cs="Times New Roman"/>
          <w:color w:val="000000"/>
          <w:sz w:val="24"/>
          <w:szCs w:val="24"/>
          <w:lang w:eastAsia="fr-FR"/>
        </w:rPr>
        <w:t>medicinal</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benefits</w:t>
      </w:r>
      <w:proofErr w:type="spellEnd"/>
      <w:r w:rsidRPr="00195F83">
        <w:rPr>
          <w:rFonts w:ascii="Times New Roman" w:eastAsia="Times New Roman" w:hAnsi="Times New Roman" w:cs="Times New Roman"/>
          <w:color w:val="000000"/>
          <w:sz w:val="24"/>
          <w:szCs w:val="24"/>
          <w:lang w:eastAsia="fr-FR"/>
        </w:rPr>
        <w:t xml:space="preserve"> </w:t>
      </w:r>
      <w:r w:rsidR="00195F83" w:rsidRPr="00195F83">
        <w:rPr>
          <w:rFonts w:ascii="Times New Roman" w:eastAsia="Times New Roman" w:hAnsi="Times New Roman" w:cs="Times New Roman"/>
          <w:color w:val="000000"/>
          <w:sz w:val="24"/>
          <w:szCs w:val="24"/>
          <w:lang w:eastAsia="fr-FR"/>
        </w:rPr>
        <w:fldChar w:fldCharType="begin"/>
      </w:r>
      <w:r w:rsidR="00195F83" w:rsidRPr="00195F83">
        <w:rPr>
          <w:rFonts w:ascii="Times New Roman" w:eastAsia="Times New Roman" w:hAnsi="Times New Roman" w:cs="Times New Roman"/>
          <w:color w:val="000000"/>
          <w:sz w:val="24"/>
          <w:szCs w:val="24"/>
          <w:lang w:eastAsia="fr-FR"/>
        </w:rPr>
        <w:instrText xml:space="preserve"> ADDIN ZOTERO_ITEM CSL_CITATION {"citationID":"2KfVXxFq","properties":{"unsorted":false,"formattedCitation":"(DeSIRA, 2022)","plainCitation":"(DeSIRA, 2022)","noteIndex":0},"citationItems":[{"id":40,"uris":["http://zotero.org/users/14754811/items/S6LZVQUC"],"itemData":{"id":40,"type":"document","title":"Activité A1.1 Identification des zones cibles et des NUS tolérantes au stress Fiche sur la Fabirama","URL":"https://www.sustlives.eu/wp-content/uploads/2022/05/Fabirama.pdf","author":[{"family":"DeSIRA","given":"- Development Smart Innovation through Research in Agriculture"}],"issued":{"date-parts":[["2022"]]}}}],"schema":"https://github.com/citation-style-language/schema/raw/master/csl-citation.json"} </w:instrText>
      </w:r>
      <w:r w:rsidR="00195F83" w:rsidRPr="00195F83">
        <w:rPr>
          <w:rFonts w:ascii="Times New Roman" w:eastAsia="Times New Roman" w:hAnsi="Times New Roman" w:cs="Times New Roman"/>
          <w:color w:val="000000"/>
          <w:sz w:val="24"/>
          <w:szCs w:val="24"/>
          <w:lang w:eastAsia="fr-FR"/>
        </w:rPr>
        <w:fldChar w:fldCharType="separate"/>
      </w:r>
      <w:r w:rsidR="00195F83" w:rsidRPr="00195F83">
        <w:rPr>
          <w:rFonts w:ascii="Times New Roman" w:hAnsi="Times New Roman" w:cs="Times New Roman"/>
          <w:sz w:val="24"/>
        </w:rPr>
        <w:t>(DeSIRA, 2022)</w:t>
      </w:r>
      <w:r w:rsidR="00195F83" w:rsidRPr="00195F83">
        <w:rPr>
          <w:rFonts w:ascii="Times New Roman" w:eastAsia="Times New Roman" w:hAnsi="Times New Roman" w:cs="Times New Roman"/>
          <w:color w:val="000000"/>
          <w:sz w:val="24"/>
          <w:szCs w:val="24"/>
          <w:lang w:eastAsia="fr-FR"/>
        </w:rPr>
        <w:fldChar w:fldCharType="end"/>
      </w:r>
      <w:r w:rsidR="00195F83" w:rsidRPr="00195F83">
        <w:rPr>
          <w:rFonts w:ascii="Times New Roman" w:eastAsia="Times New Roman" w:hAnsi="Times New Roman" w:cs="Times New Roman"/>
          <w:color w:val="000000"/>
          <w:sz w:val="24"/>
          <w:szCs w:val="24"/>
          <w:lang w:eastAsia="fr-FR"/>
        </w:rPr>
        <w:t xml:space="preserve">. </w:t>
      </w:r>
      <w:r w:rsidRPr="00195F83">
        <w:rPr>
          <w:rFonts w:ascii="Times New Roman" w:eastAsia="Times New Roman" w:hAnsi="Times New Roman" w:cs="Times New Roman"/>
          <w:color w:val="000000"/>
          <w:sz w:val="24"/>
          <w:szCs w:val="24"/>
          <w:lang w:eastAsia="fr-FR"/>
        </w:rPr>
        <w:t xml:space="preserve">In </w:t>
      </w:r>
      <w:proofErr w:type="spellStart"/>
      <w:r w:rsidRPr="00195F83">
        <w:rPr>
          <w:rFonts w:ascii="Times New Roman" w:eastAsia="Times New Roman" w:hAnsi="Times New Roman" w:cs="Times New Roman"/>
          <w:color w:val="000000"/>
          <w:sz w:val="24"/>
          <w:szCs w:val="24"/>
          <w:lang w:eastAsia="fr-FR"/>
        </w:rPr>
        <w:t>fact</w:t>
      </w:r>
      <w:proofErr w:type="spellEnd"/>
      <w:r w:rsidRPr="00195F83">
        <w:rPr>
          <w:rFonts w:ascii="Times New Roman" w:eastAsia="Times New Roman" w:hAnsi="Times New Roman" w:cs="Times New Roman"/>
          <w:color w:val="000000"/>
          <w:sz w:val="24"/>
          <w:szCs w:val="24"/>
          <w:lang w:eastAsia="fr-FR"/>
        </w:rPr>
        <w:t xml:space="preserve">, the </w:t>
      </w:r>
      <w:proofErr w:type="spellStart"/>
      <w:r w:rsidRPr="00195F83">
        <w:rPr>
          <w:rFonts w:ascii="Times New Roman" w:eastAsia="Times New Roman" w:hAnsi="Times New Roman" w:cs="Times New Roman"/>
          <w:color w:val="000000"/>
          <w:sz w:val="24"/>
          <w:szCs w:val="24"/>
          <w:lang w:eastAsia="fr-FR"/>
        </w:rPr>
        <w:t>tubers</w:t>
      </w:r>
      <w:proofErr w:type="spellEnd"/>
      <w:r w:rsidRPr="00195F83">
        <w:rPr>
          <w:rFonts w:ascii="Times New Roman" w:eastAsia="Times New Roman" w:hAnsi="Times New Roman" w:cs="Times New Roman"/>
          <w:color w:val="000000"/>
          <w:sz w:val="24"/>
          <w:szCs w:val="24"/>
          <w:lang w:eastAsia="fr-FR"/>
        </w:rPr>
        <w:t xml:space="preserve"> are </w:t>
      </w:r>
      <w:proofErr w:type="spellStart"/>
      <w:r w:rsidRPr="00195F83">
        <w:rPr>
          <w:rFonts w:ascii="Times New Roman" w:eastAsia="Times New Roman" w:hAnsi="Times New Roman" w:cs="Times New Roman"/>
          <w:color w:val="000000"/>
          <w:sz w:val="24"/>
          <w:szCs w:val="24"/>
          <w:lang w:eastAsia="fr-FR"/>
        </w:rPr>
        <w:t>eaten</w:t>
      </w:r>
      <w:proofErr w:type="spellEnd"/>
      <w:r w:rsidRPr="00195F83">
        <w:rPr>
          <w:rFonts w:ascii="Times New Roman" w:eastAsia="Times New Roman" w:hAnsi="Times New Roman" w:cs="Times New Roman"/>
          <w:color w:val="000000"/>
          <w:sz w:val="24"/>
          <w:szCs w:val="24"/>
          <w:lang w:eastAsia="fr-FR"/>
        </w:rPr>
        <w:t xml:space="preserve"> as porridge, </w:t>
      </w:r>
      <w:proofErr w:type="spellStart"/>
      <w:r w:rsidRPr="00195F83">
        <w:rPr>
          <w:rFonts w:ascii="Times New Roman" w:eastAsia="Times New Roman" w:hAnsi="Times New Roman" w:cs="Times New Roman"/>
          <w:color w:val="000000"/>
          <w:sz w:val="24"/>
          <w:szCs w:val="24"/>
          <w:lang w:eastAsia="fr-FR"/>
        </w:rPr>
        <w:t>stir-fried</w:t>
      </w:r>
      <w:proofErr w:type="spellEnd"/>
      <w:r w:rsidRPr="00195F83">
        <w:rPr>
          <w:rFonts w:ascii="Times New Roman" w:eastAsia="Times New Roman" w:hAnsi="Times New Roman" w:cs="Times New Roman"/>
          <w:color w:val="000000"/>
          <w:sz w:val="24"/>
          <w:szCs w:val="24"/>
          <w:lang w:eastAsia="fr-FR"/>
        </w:rPr>
        <w:t xml:space="preserve">, and </w:t>
      </w:r>
      <w:proofErr w:type="spellStart"/>
      <w:r w:rsidRPr="00195F83">
        <w:rPr>
          <w:rFonts w:ascii="Times New Roman" w:eastAsia="Times New Roman" w:hAnsi="Times New Roman" w:cs="Times New Roman"/>
          <w:color w:val="000000"/>
          <w:sz w:val="24"/>
          <w:szCs w:val="24"/>
          <w:lang w:eastAsia="fr-FR"/>
        </w:rPr>
        <w:t>deep-fried</w:t>
      </w:r>
      <w:proofErr w:type="spellEnd"/>
      <w:r w:rsidRPr="00195F83">
        <w:rPr>
          <w:rFonts w:ascii="Times New Roman" w:eastAsia="Times New Roman" w:hAnsi="Times New Roman" w:cs="Times New Roman"/>
          <w:color w:val="000000"/>
          <w:sz w:val="24"/>
          <w:szCs w:val="24"/>
          <w:lang w:eastAsia="fr-FR"/>
        </w:rPr>
        <w:t xml:space="preserve"> </w:t>
      </w:r>
      <w:r w:rsidR="00195F83" w:rsidRPr="00195F83">
        <w:rPr>
          <w:rFonts w:ascii="Times New Roman" w:eastAsia="Times New Roman" w:hAnsi="Times New Roman" w:cs="Times New Roman"/>
          <w:color w:val="000000"/>
          <w:sz w:val="24"/>
          <w:szCs w:val="24"/>
          <w:lang w:eastAsia="fr-FR"/>
        </w:rPr>
        <w:fldChar w:fldCharType="begin"/>
      </w:r>
      <w:r w:rsidR="00195F83" w:rsidRPr="00195F83">
        <w:rPr>
          <w:rFonts w:ascii="Times New Roman" w:eastAsia="Times New Roman" w:hAnsi="Times New Roman" w:cs="Times New Roman"/>
          <w:color w:val="000000"/>
          <w:sz w:val="24"/>
          <w:szCs w:val="24"/>
          <w:lang w:eastAsia="fr-FR"/>
        </w:rPr>
        <w:instrText xml:space="preserve"> ADDIN ZOTERO_ITEM CSL_CITATION {"citationID":"M5R5eLK2","properties":{"unsorted":false,"formattedCitation":"(Kwarteng {\\i{}et al.}, 2018)","plainCitation":"(Kwarteng et al., 2018)","noteIndex":0},"citationItems":[{"id":18,"uris":["http://zotero.org/users/14754811/items/2ZSE7QDV"],"itemData":{"id":18,"type":"article-journal","abstract":"Solenostemon rotundifolius is a very important tuber staple for both rural and urban communities in West Africa. The crop is rich in nutrients as compared with other root and tuber crops and is germane to ensuring food and nutritional security. It is also of great medicinal importance and is known to lower blood cholesterol levels as well as fend off fungal and viral infections in humans. However, very little is known about the breeding avenues necessary to improve upon the crop. Also, not much interest has been generated with regards to production of the crop owing to its low yield and small tuber size. This review elucidates the current knowledge and breeding avenues for increasing the genetic base as well as improving upon the existing cultivars of the crop. Breeding objectives may be geared towards the development of high yielding cultivars with bigger tuber sizes in order to increase the marketable value of the crop. Tissue culture avenues should be exploited to induce somaclonal variants, so as to increase the genetic diversity necessary for the improvement of the crop. Chemical mutagens could be employed to alter the size and number of tubers that the crop produces. Present ex situ and in situ conservation strategies need to be reinforced. Further studies should be carried out into the cryopreservation of Frafra potato genetic resources.","container-title":"Genetic Resources and Crop Evolution","DOI":"10.1007/s10722-017-0581-6","ISSN":"1573-5109","issue":"2","journalAbbreviation":"Genet Resour Crop Evol","language":"en","page":"659-669","source":"Springer Link","title":"Current knowledge and breeding avenues to improve upon Frafra potato (Solenostemon rotundifolius (Poir.) J. K. Morton)","volume":"65","author":[{"family":"Kwarteng","given":"A. O."},{"family":"Ghunney","given":"T."},{"family":"Adu Amoah","given":"R."},{"family":"Nyadanu","given":"D."},{"family":"Abogoom","given":"J."},{"family":"Nyam","given":"K. C."},{"family":"Ziyaaba","given":"J. Z."},{"family":"Danso","given":"E. O."},{"family":"Whyte","given":"T."},{"family":"Asiedu","given":"D. D."}],"issued":{"date-parts":[["2018",2,1]]}}}],"schema":"https://github.com/citation-style-language/schema/raw/master/csl-citation.json"} </w:instrText>
      </w:r>
      <w:r w:rsidR="00195F83" w:rsidRPr="00195F83">
        <w:rPr>
          <w:rFonts w:ascii="Times New Roman" w:eastAsia="Times New Roman" w:hAnsi="Times New Roman" w:cs="Times New Roman"/>
          <w:color w:val="000000"/>
          <w:sz w:val="24"/>
          <w:szCs w:val="24"/>
          <w:lang w:eastAsia="fr-FR"/>
        </w:rPr>
        <w:fldChar w:fldCharType="separate"/>
      </w:r>
      <w:r w:rsidR="00195F83" w:rsidRPr="00195F83">
        <w:rPr>
          <w:rFonts w:ascii="Times New Roman" w:hAnsi="Times New Roman" w:cs="Times New Roman"/>
          <w:kern w:val="0"/>
          <w:sz w:val="24"/>
        </w:rPr>
        <w:t xml:space="preserve">(Kwarteng </w:t>
      </w:r>
      <w:r w:rsidR="00195F83" w:rsidRPr="00195F83">
        <w:rPr>
          <w:rFonts w:ascii="Times New Roman" w:hAnsi="Times New Roman" w:cs="Times New Roman"/>
          <w:i/>
          <w:iCs/>
          <w:kern w:val="0"/>
          <w:sz w:val="24"/>
        </w:rPr>
        <w:t>et al.</w:t>
      </w:r>
      <w:r w:rsidR="00195F83" w:rsidRPr="00195F83">
        <w:rPr>
          <w:rFonts w:ascii="Times New Roman" w:hAnsi="Times New Roman" w:cs="Times New Roman"/>
          <w:kern w:val="0"/>
          <w:sz w:val="24"/>
        </w:rPr>
        <w:t>, 2018)</w:t>
      </w:r>
      <w:r w:rsidR="00195F83" w:rsidRPr="00195F83">
        <w:rPr>
          <w:rFonts w:ascii="Times New Roman" w:eastAsia="Times New Roman" w:hAnsi="Times New Roman" w:cs="Times New Roman"/>
          <w:color w:val="000000"/>
          <w:sz w:val="24"/>
          <w:szCs w:val="24"/>
          <w:lang w:eastAsia="fr-FR"/>
        </w:rPr>
        <w:fldChar w:fldCharType="end"/>
      </w:r>
      <w:r w:rsidRPr="00195F83">
        <w:rPr>
          <w:rFonts w:ascii="Times New Roman" w:eastAsia="Times New Roman" w:hAnsi="Times New Roman" w:cs="Times New Roman"/>
          <w:color w:val="000000"/>
          <w:sz w:val="24"/>
          <w:szCs w:val="24"/>
          <w:lang w:eastAsia="fr-FR"/>
        </w:rPr>
        <w:t xml:space="preserve">, and </w:t>
      </w:r>
      <w:proofErr w:type="spellStart"/>
      <w:r w:rsidRPr="00195F83">
        <w:rPr>
          <w:rFonts w:ascii="Times New Roman" w:eastAsia="Times New Roman" w:hAnsi="Times New Roman" w:cs="Times New Roman"/>
          <w:color w:val="000000"/>
          <w:sz w:val="24"/>
          <w:szCs w:val="24"/>
          <w:lang w:eastAsia="fr-FR"/>
        </w:rPr>
        <w:t>their</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flour</w:t>
      </w:r>
      <w:proofErr w:type="spellEnd"/>
      <w:r w:rsidRPr="00195F83">
        <w:rPr>
          <w:rFonts w:ascii="Times New Roman" w:eastAsia="Times New Roman" w:hAnsi="Times New Roman" w:cs="Times New Roman"/>
          <w:color w:val="000000"/>
          <w:sz w:val="24"/>
          <w:szCs w:val="24"/>
          <w:lang w:eastAsia="fr-FR"/>
        </w:rPr>
        <w:t xml:space="preserve"> can </w:t>
      </w:r>
      <w:proofErr w:type="spellStart"/>
      <w:r w:rsidRPr="00195F83">
        <w:rPr>
          <w:rFonts w:ascii="Times New Roman" w:eastAsia="Times New Roman" w:hAnsi="Times New Roman" w:cs="Times New Roman"/>
          <w:color w:val="000000"/>
          <w:sz w:val="24"/>
          <w:szCs w:val="24"/>
          <w:lang w:eastAsia="fr-FR"/>
        </w:rPr>
        <w:t>be</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used</w:t>
      </w:r>
      <w:proofErr w:type="spellEnd"/>
      <w:r w:rsidRPr="00195F83">
        <w:rPr>
          <w:rFonts w:ascii="Times New Roman" w:eastAsia="Times New Roman" w:hAnsi="Times New Roman" w:cs="Times New Roman"/>
          <w:color w:val="000000"/>
          <w:sz w:val="24"/>
          <w:szCs w:val="24"/>
          <w:lang w:eastAsia="fr-FR"/>
        </w:rPr>
        <w:t xml:space="preserve"> to </w:t>
      </w:r>
      <w:proofErr w:type="spellStart"/>
      <w:r w:rsidRPr="00195F83">
        <w:rPr>
          <w:rFonts w:ascii="Times New Roman" w:eastAsia="Times New Roman" w:hAnsi="Times New Roman" w:cs="Times New Roman"/>
          <w:color w:val="000000"/>
          <w:sz w:val="24"/>
          <w:szCs w:val="24"/>
          <w:lang w:eastAsia="fr-FR"/>
        </w:rPr>
        <w:t>make</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bread</w:t>
      </w:r>
      <w:proofErr w:type="spellEnd"/>
      <w:r w:rsidRPr="00195F83">
        <w:rPr>
          <w:rFonts w:ascii="Times New Roman" w:eastAsia="Times New Roman" w:hAnsi="Times New Roman" w:cs="Times New Roman"/>
          <w:color w:val="000000"/>
          <w:sz w:val="24"/>
          <w:szCs w:val="24"/>
          <w:lang w:eastAsia="fr-FR"/>
        </w:rPr>
        <w:t xml:space="preserve"> </w:t>
      </w:r>
      <w:r w:rsidR="00195F83" w:rsidRPr="00195F83">
        <w:rPr>
          <w:rFonts w:ascii="Times New Roman" w:eastAsia="Times New Roman" w:hAnsi="Times New Roman" w:cs="Times New Roman"/>
          <w:color w:val="000000"/>
          <w:sz w:val="24"/>
          <w:szCs w:val="24"/>
          <w:lang w:eastAsia="fr-FR"/>
        </w:rPr>
        <w:fldChar w:fldCharType="begin"/>
      </w:r>
      <w:r w:rsidR="00195F83" w:rsidRPr="00195F83">
        <w:rPr>
          <w:rFonts w:ascii="Times New Roman" w:eastAsia="Times New Roman" w:hAnsi="Times New Roman" w:cs="Times New Roman"/>
          <w:color w:val="000000"/>
          <w:sz w:val="24"/>
          <w:szCs w:val="24"/>
          <w:lang w:eastAsia="fr-FR"/>
        </w:rPr>
        <w:instrText xml:space="preserve"> ADDIN ZOTERO_ITEM CSL_CITATION {"citationID":"dhNx70F8","properties":{"unsorted":false,"formattedCitation":"(Osei Tutu {\\i{}et al.}, 2024)","plainCitation":"(Osei Tutu et al., 2024)","noteIndex":0},"citationItems":[{"id":45,"uris":["http://zotero.org/users/14754811/items/49P5PGD8"],"itemData":{"id":45,"type":"article-journal","abstract":"Frafra Potato (FP) is a climate-smart crop facing extinction in the tropical regions of Africa due to inadequate information about its properties. This study determined the physicochemical, functional, and rheological characteristics of flours from ten FP accessions to gauge their suitability for culinary purposes. The flour yield from FP tubers ranged from 59.3 % (E134) to 69.3 % (E111). While FP flours (FPF) exhibited consistent colour across accessions, variations in paste clarity were noted, ranging from 5.2 % (E145 and Maa-Lana) to 8.6 % (WAAPP). The least gelation concentration varied from 8 % (WAAPP) to 12 % (E 82, 111, 132, 134, 145). Released accessions showed higher protein and ash content than unreleased ones. Mineral composition differed significantly among accessions, including iron, calcium, zinc, and phosphorus, each with varying bioavailability percentages. Vitamin A content also varied across accessions. Proteins common in tuber crops, such as lipoxygenase, patatin, sporamin, tarin, and protease inhibitors (Bowman-Birk PIs), were identified in FPF. Amino acid analysis revealed nineteen amino acids, including seven essentials. FPF characteristics included a bulk density of 0.9 g/ml, oil and water binding capacities of 3 g/g and 1.3 g/g respectively, a pH of 6.4, and titratable acidity of 0.5. All FP flours displayed standard non-Newtonian behaviour, exhibiting pseudoplastic properties. They also showed a type II sigmoidal sorption curve, indicating increased equilibrium moisture content with higher water activity. Moisture sorption studies predicted a safe storage maximum allowable moisture content. These findings have practical implications for flour packaging and storage. The study underscores the culinary potential of Frafra potato and its role in addressing food and nutrition security in Ghana and Sub-Saharan Africa.","container-title":"Journal of Agriculture and Food Research","DOI":"10.1016/j.jafr.2024.100974","ISSN":"2666-1543","journalAbbreviation":"Journal of Agriculture and Food Research","page":"100974","source":"ScienceDirect","title":"Propriétés physiques, chimiques et rhéologiques de la farine issue d'accessions de pomme de terre Frafra ( &lt;i&gt;Solenostemon rotundifolius&lt;/i&gt; )","volume":"15","author":[{"family":"Osei Tutu","given":"Crossby"},{"family":"Amissah","given":"Joris Gerald Niilante"},{"family":"Amissah","given":"Jacqueline Naalamle"},{"family":"Akonor","given":"Paa Toah"},{"family":"Budu","given":"Agnes Simpson"},{"family":"Saalia","given":"Firibu Kwesi"}],"issued":{"date-parts":[["2024",3,1]]}}}],"schema":"https://github.com/citation-style-language/schema/raw/master/csl-citation.json"} </w:instrText>
      </w:r>
      <w:r w:rsidR="00195F83" w:rsidRPr="00195F83">
        <w:rPr>
          <w:rFonts w:ascii="Times New Roman" w:eastAsia="Times New Roman" w:hAnsi="Times New Roman" w:cs="Times New Roman"/>
          <w:color w:val="000000"/>
          <w:sz w:val="24"/>
          <w:szCs w:val="24"/>
          <w:lang w:eastAsia="fr-FR"/>
        </w:rPr>
        <w:fldChar w:fldCharType="separate"/>
      </w:r>
      <w:r w:rsidR="00195F83" w:rsidRPr="00195F83">
        <w:rPr>
          <w:rFonts w:ascii="Times New Roman" w:hAnsi="Times New Roman" w:cs="Times New Roman"/>
          <w:kern w:val="0"/>
          <w:sz w:val="24"/>
        </w:rPr>
        <w:t xml:space="preserve">(Osei Tutu </w:t>
      </w:r>
      <w:r w:rsidR="00195F83" w:rsidRPr="00195F83">
        <w:rPr>
          <w:rFonts w:ascii="Times New Roman" w:hAnsi="Times New Roman" w:cs="Times New Roman"/>
          <w:i/>
          <w:iCs/>
          <w:kern w:val="0"/>
          <w:sz w:val="24"/>
        </w:rPr>
        <w:t>et al.</w:t>
      </w:r>
      <w:r w:rsidR="00195F83" w:rsidRPr="00195F83">
        <w:rPr>
          <w:rFonts w:ascii="Times New Roman" w:hAnsi="Times New Roman" w:cs="Times New Roman"/>
          <w:kern w:val="0"/>
          <w:sz w:val="24"/>
        </w:rPr>
        <w:t>, 2024)</w:t>
      </w:r>
      <w:r w:rsidR="00195F83" w:rsidRPr="00195F83">
        <w:rPr>
          <w:rFonts w:ascii="Times New Roman" w:eastAsia="Times New Roman" w:hAnsi="Times New Roman" w:cs="Times New Roman"/>
          <w:color w:val="000000"/>
          <w:sz w:val="24"/>
          <w:szCs w:val="24"/>
          <w:lang w:eastAsia="fr-FR"/>
        </w:rPr>
        <w:fldChar w:fldCharType="end"/>
      </w:r>
      <w:r w:rsidR="00195F83" w:rsidRPr="00195F83">
        <w:rPr>
          <w:rFonts w:ascii="Times New Roman" w:eastAsia="Times New Roman" w:hAnsi="Times New Roman" w:cs="Times New Roman"/>
          <w:color w:val="000000"/>
          <w:sz w:val="24"/>
          <w:szCs w:val="24"/>
          <w:lang w:eastAsia="fr-FR"/>
        </w:rPr>
        <w:t xml:space="preserve">. </w:t>
      </w:r>
      <w:r w:rsidRPr="00195F83">
        <w:rPr>
          <w:rFonts w:ascii="Times New Roman" w:eastAsia="Times New Roman" w:hAnsi="Times New Roman" w:cs="Times New Roman"/>
          <w:color w:val="000000"/>
          <w:sz w:val="24"/>
          <w:szCs w:val="24"/>
          <w:lang w:eastAsia="fr-FR"/>
        </w:rPr>
        <w:t xml:space="preserve">The </w:t>
      </w:r>
      <w:proofErr w:type="spellStart"/>
      <w:r w:rsidRPr="00195F83">
        <w:rPr>
          <w:rFonts w:ascii="Times New Roman" w:eastAsia="Times New Roman" w:hAnsi="Times New Roman" w:cs="Times New Roman"/>
          <w:color w:val="000000"/>
          <w:sz w:val="24"/>
          <w:szCs w:val="24"/>
          <w:lang w:eastAsia="fr-FR"/>
        </w:rPr>
        <w:t>tubers</w:t>
      </w:r>
      <w:proofErr w:type="spellEnd"/>
      <w:r w:rsidRPr="00195F83">
        <w:rPr>
          <w:rFonts w:ascii="Times New Roman" w:eastAsia="Times New Roman" w:hAnsi="Times New Roman" w:cs="Times New Roman"/>
          <w:color w:val="000000"/>
          <w:sz w:val="24"/>
          <w:szCs w:val="24"/>
          <w:lang w:eastAsia="fr-FR"/>
        </w:rPr>
        <w:t xml:space="preserve"> are </w:t>
      </w:r>
      <w:proofErr w:type="spellStart"/>
      <w:r w:rsidRPr="00195F83">
        <w:rPr>
          <w:rFonts w:ascii="Times New Roman" w:eastAsia="Times New Roman" w:hAnsi="Times New Roman" w:cs="Times New Roman"/>
          <w:color w:val="000000"/>
          <w:sz w:val="24"/>
          <w:szCs w:val="24"/>
          <w:lang w:eastAsia="fr-FR"/>
        </w:rPr>
        <w:t>rich</w:t>
      </w:r>
      <w:proofErr w:type="spellEnd"/>
      <w:r w:rsidRPr="00195F83">
        <w:rPr>
          <w:rFonts w:ascii="Times New Roman" w:eastAsia="Times New Roman" w:hAnsi="Times New Roman" w:cs="Times New Roman"/>
          <w:color w:val="000000"/>
          <w:sz w:val="24"/>
          <w:szCs w:val="24"/>
          <w:lang w:eastAsia="fr-FR"/>
        </w:rPr>
        <w:t xml:space="preserve"> in carbohydrates (95.45 ± 0.33%) and </w:t>
      </w:r>
      <w:proofErr w:type="spellStart"/>
      <w:r w:rsidRPr="00195F83">
        <w:rPr>
          <w:rFonts w:ascii="Times New Roman" w:eastAsia="Times New Roman" w:hAnsi="Times New Roman" w:cs="Times New Roman"/>
          <w:color w:val="000000"/>
          <w:sz w:val="24"/>
          <w:szCs w:val="24"/>
          <w:lang w:eastAsia="fr-FR"/>
        </w:rPr>
        <w:t>also</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contain</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protein</w:t>
      </w:r>
      <w:proofErr w:type="spellEnd"/>
      <w:r w:rsidRPr="00195F83">
        <w:rPr>
          <w:rFonts w:ascii="Times New Roman" w:eastAsia="Times New Roman" w:hAnsi="Times New Roman" w:cs="Times New Roman"/>
          <w:color w:val="000000"/>
          <w:sz w:val="24"/>
          <w:szCs w:val="24"/>
          <w:lang w:eastAsia="fr-FR"/>
        </w:rPr>
        <w:t xml:space="preserve"> (2.22 ± 0.12%), </w:t>
      </w:r>
      <w:proofErr w:type="spellStart"/>
      <w:r w:rsidRPr="00195F83">
        <w:rPr>
          <w:rFonts w:ascii="Times New Roman" w:eastAsia="Times New Roman" w:hAnsi="Times New Roman" w:cs="Times New Roman"/>
          <w:color w:val="000000"/>
          <w:sz w:val="24"/>
          <w:szCs w:val="24"/>
          <w:lang w:eastAsia="fr-FR"/>
        </w:rPr>
        <w:t>fiber</w:t>
      </w:r>
      <w:proofErr w:type="spellEnd"/>
      <w:r w:rsidRPr="00195F83">
        <w:rPr>
          <w:rFonts w:ascii="Times New Roman" w:eastAsia="Times New Roman" w:hAnsi="Times New Roman" w:cs="Times New Roman"/>
          <w:color w:val="000000"/>
          <w:sz w:val="24"/>
          <w:szCs w:val="24"/>
          <w:lang w:eastAsia="fr-FR"/>
        </w:rPr>
        <w:t xml:space="preserve"> (0.50%), and fat (0.50%) </w:t>
      </w:r>
      <w:r w:rsidR="00195F83" w:rsidRPr="00195F83">
        <w:rPr>
          <w:rFonts w:ascii="Times New Roman" w:hAnsi="Times New Roman" w:cs="Times New Roman"/>
          <w:kern w:val="0"/>
          <w:sz w:val="24"/>
        </w:rPr>
        <w:t>(</w:t>
      </w:r>
      <w:proofErr w:type="spellStart"/>
      <w:r w:rsidR="00195F83" w:rsidRPr="00195F83">
        <w:rPr>
          <w:rFonts w:ascii="Times New Roman" w:hAnsi="Times New Roman" w:cs="Times New Roman"/>
          <w:kern w:val="0"/>
          <w:sz w:val="24"/>
        </w:rPr>
        <w:t>Kwazo</w:t>
      </w:r>
      <w:proofErr w:type="spellEnd"/>
      <w:r w:rsidR="00195F83" w:rsidRPr="00195F83">
        <w:rPr>
          <w:rFonts w:ascii="Times New Roman" w:hAnsi="Times New Roman" w:cs="Times New Roman"/>
          <w:kern w:val="0"/>
          <w:sz w:val="24"/>
        </w:rPr>
        <w:t xml:space="preserve">, 2021; Hasna </w:t>
      </w:r>
      <w:r w:rsidR="00195F83" w:rsidRPr="00195F83">
        <w:rPr>
          <w:rFonts w:ascii="Times New Roman" w:hAnsi="Times New Roman" w:cs="Times New Roman"/>
          <w:i/>
          <w:iCs/>
          <w:kern w:val="0"/>
          <w:sz w:val="24"/>
        </w:rPr>
        <w:t>et al.</w:t>
      </w:r>
      <w:r w:rsidR="00195F83" w:rsidRPr="00195F83">
        <w:rPr>
          <w:rFonts w:ascii="Times New Roman" w:hAnsi="Times New Roman" w:cs="Times New Roman"/>
          <w:kern w:val="0"/>
          <w:sz w:val="24"/>
        </w:rPr>
        <w:t>, 2020)</w:t>
      </w:r>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furthermore</w:t>
      </w:r>
      <w:proofErr w:type="spellEnd"/>
      <w:r w:rsidRPr="00195F83">
        <w:rPr>
          <w:rFonts w:ascii="Times New Roman" w:eastAsia="Times New Roman" w:hAnsi="Times New Roman" w:cs="Times New Roman"/>
          <w:color w:val="000000"/>
          <w:sz w:val="24"/>
          <w:szCs w:val="24"/>
          <w:lang w:eastAsia="fr-FR"/>
        </w:rPr>
        <w:t xml:space="preserve">, </w:t>
      </w:r>
      <w:r w:rsidRPr="00105A40">
        <w:rPr>
          <w:rFonts w:ascii="Times New Roman" w:eastAsia="Times New Roman" w:hAnsi="Times New Roman" w:cs="Times New Roman"/>
          <w:i/>
          <w:iCs/>
          <w:color w:val="000000"/>
          <w:sz w:val="24"/>
          <w:szCs w:val="24"/>
          <w:lang w:eastAsia="fr-FR"/>
        </w:rPr>
        <w:t xml:space="preserve">S. </w:t>
      </w:r>
      <w:proofErr w:type="spellStart"/>
      <w:r w:rsidRPr="00105A40">
        <w:rPr>
          <w:rFonts w:ascii="Times New Roman" w:eastAsia="Times New Roman" w:hAnsi="Times New Roman" w:cs="Times New Roman"/>
          <w:i/>
          <w:iCs/>
          <w:color w:val="000000"/>
          <w:sz w:val="24"/>
          <w:szCs w:val="24"/>
          <w:lang w:eastAsia="fr-FR"/>
        </w:rPr>
        <w:t>rotundifolius</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possesses</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antioxidant</w:t>
      </w:r>
      <w:proofErr w:type="spellEnd"/>
      <w:r w:rsidRPr="00195F83">
        <w:rPr>
          <w:rFonts w:ascii="Times New Roman" w:eastAsia="Times New Roman" w:hAnsi="Times New Roman" w:cs="Times New Roman"/>
          <w:color w:val="000000"/>
          <w:sz w:val="24"/>
          <w:szCs w:val="24"/>
          <w:lang w:eastAsia="fr-FR"/>
        </w:rPr>
        <w:t xml:space="preserve"> and </w:t>
      </w:r>
      <w:proofErr w:type="spellStart"/>
      <w:r w:rsidRPr="00195F83">
        <w:rPr>
          <w:rFonts w:ascii="Times New Roman" w:eastAsia="Times New Roman" w:hAnsi="Times New Roman" w:cs="Times New Roman"/>
          <w:color w:val="000000"/>
          <w:sz w:val="24"/>
          <w:szCs w:val="24"/>
          <w:lang w:eastAsia="fr-FR"/>
        </w:rPr>
        <w:t>therapeutic</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properties</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with</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its</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leaves</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being</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used</w:t>
      </w:r>
      <w:proofErr w:type="spellEnd"/>
      <w:r w:rsidRPr="00195F83">
        <w:rPr>
          <w:rFonts w:ascii="Times New Roman" w:eastAsia="Times New Roman" w:hAnsi="Times New Roman" w:cs="Times New Roman"/>
          <w:color w:val="000000"/>
          <w:sz w:val="24"/>
          <w:szCs w:val="24"/>
          <w:lang w:eastAsia="fr-FR"/>
        </w:rPr>
        <w:t xml:space="preserve"> as </w:t>
      </w:r>
      <w:proofErr w:type="spellStart"/>
      <w:r w:rsidRPr="00195F83">
        <w:rPr>
          <w:rFonts w:ascii="Times New Roman" w:eastAsia="Times New Roman" w:hAnsi="Times New Roman" w:cs="Times New Roman"/>
          <w:color w:val="000000"/>
          <w:sz w:val="24"/>
          <w:szCs w:val="24"/>
          <w:lang w:eastAsia="fr-FR"/>
        </w:rPr>
        <w:t>wound-healing</w:t>
      </w:r>
      <w:proofErr w:type="spellEnd"/>
      <w:r w:rsidRPr="00195F83">
        <w:rPr>
          <w:rFonts w:ascii="Times New Roman" w:eastAsia="Times New Roman" w:hAnsi="Times New Roman" w:cs="Times New Roman"/>
          <w:color w:val="000000"/>
          <w:sz w:val="24"/>
          <w:szCs w:val="24"/>
          <w:lang w:eastAsia="fr-FR"/>
        </w:rPr>
        <w:t xml:space="preserve"> agents and </w:t>
      </w:r>
      <w:proofErr w:type="spellStart"/>
      <w:r w:rsidRPr="00195F83">
        <w:rPr>
          <w:rFonts w:ascii="Times New Roman" w:eastAsia="Times New Roman" w:hAnsi="Times New Roman" w:cs="Times New Roman"/>
          <w:color w:val="000000"/>
          <w:sz w:val="24"/>
          <w:szCs w:val="24"/>
          <w:lang w:eastAsia="fr-FR"/>
        </w:rPr>
        <w:t>antiseptics</w:t>
      </w:r>
      <w:proofErr w:type="spellEnd"/>
      <w:r w:rsidRPr="00195F83">
        <w:rPr>
          <w:rFonts w:ascii="Times New Roman" w:eastAsia="Times New Roman" w:hAnsi="Times New Roman" w:cs="Times New Roman"/>
          <w:color w:val="000000"/>
          <w:sz w:val="24"/>
          <w:szCs w:val="24"/>
          <w:lang w:eastAsia="fr-FR"/>
        </w:rPr>
        <w:t xml:space="preserve"> </w:t>
      </w:r>
      <w:r w:rsidR="00195F83" w:rsidRPr="00195F83">
        <w:rPr>
          <w:rFonts w:ascii="Times New Roman" w:eastAsia="Times New Roman" w:hAnsi="Times New Roman" w:cs="Times New Roman"/>
          <w:color w:val="000000"/>
          <w:sz w:val="24"/>
          <w:szCs w:val="24"/>
          <w:lang w:eastAsia="fr-FR"/>
        </w:rPr>
        <w:fldChar w:fldCharType="begin"/>
      </w:r>
      <w:r w:rsidR="00195F83" w:rsidRPr="00195F83">
        <w:rPr>
          <w:rFonts w:ascii="Times New Roman" w:eastAsia="Times New Roman" w:hAnsi="Times New Roman" w:cs="Times New Roman"/>
          <w:color w:val="000000"/>
          <w:sz w:val="24"/>
          <w:szCs w:val="24"/>
          <w:lang w:eastAsia="fr-FR"/>
        </w:rPr>
        <w:instrText xml:space="preserve"> ADDIN ZOTERO_ITEM CSL_CITATION {"citationID":"loKS9ChP","properties":{"unsorted":false,"formattedCitation":"(Murthy {\\i{}et al.}, 2018)","plainCitation":"(Murthy et al., 2018)","noteIndex":0},"citationItems":[{"id":119,"uris":["http://zotero.org/users/14754811/items/KFYW3C4X"],"itemData":{"id":119,"type":"article-journal","abstract":"The phenolic and flavonoid concentration and antioxidant and antibacterial activities of Plectranthus rotundifolius tuber extracts in petroleum ether, chloroform, and methanol were determined. The ...","archive_location":"world","container-title":"Journal of Herbs, Spices &amp; Medicinal Plants","ISSN":"1049-6475","language":"EN","license":"© 2018 Taylor &amp; Francis Group, LLC","publisher":"Taylor &amp; Francis","source":"www.tandfonline.com","title":"Phenolic content, antioxidant and antibacterial activities of Plectranthus rotundifolius tuber extracts","URL":"https://www.tandfonline.com/doi/abs/10.1080/10496475.2018.1443188","author":[{"family":"Murthy","given":"H. N."},{"family":"Herlekar","given":"V. V."},{"family":"Joseph","given":"K. S."},{"family":"Payamalle","given":"S."},{"family":"Shinde","given":"S."}],"accessed":{"date-parts":[["2025",6,30]]},"issued":{"date-parts":[["2018",4,3]]}}}],"schema":"https://github.com/citation-style-language/schema/raw/master/csl-citation.json"} </w:instrText>
      </w:r>
      <w:r w:rsidR="00195F83" w:rsidRPr="00195F83">
        <w:rPr>
          <w:rFonts w:ascii="Times New Roman" w:eastAsia="Times New Roman" w:hAnsi="Times New Roman" w:cs="Times New Roman"/>
          <w:color w:val="000000"/>
          <w:sz w:val="24"/>
          <w:szCs w:val="24"/>
          <w:lang w:eastAsia="fr-FR"/>
        </w:rPr>
        <w:fldChar w:fldCharType="separate"/>
      </w:r>
      <w:r w:rsidR="00195F83" w:rsidRPr="00195F83">
        <w:rPr>
          <w:rFonts w:ascii="Times New Roman" w:hAnsi="Times New Roman" w:cs="Times New Roman"/>
          <w:kern w:val="0"/>
          <w:sz w:val="24"/>
        </w:rPr>
        <w:t xml:space="preserve">(Murthy </w:t>
      </w:r>
      <w:r w:rsidR="00195F83" w:rsidRPr="00195F83">
        <w:rPr>
          <w:rFonts w:ascii="Times New Roman" w:hAnsi="Times New Roman" w:cs="Times New Roman"/>
          <w:i/>
          <w:iCs/>
          <w:kern w:val="0"/>
          <w:sz w:val="24"/>
        </w:rPr>
        <w:t>et al.</w:t>
      </w:r>
      <w:r w:rsidR="00195F83" w:rsidRPr="00195F83">
        <w:rPr>
          <w:rFonts w:ascii="Times New Roman" w:hAnsi="Times New Roman" w:cs="Times New Roman"/>
          <w:kern w:val="0"/>
          <w:sz w:val="24"/>
        </w:rPr>
        <w:t>, 2018)</w:t>
      </w:r>
      <w:r w:rsidR="00195F83" w:rsidRPr="00195F83">
        <w:rPr>
          <w:rFonts w:ascii="Times New Roman" w:eastAsia="Times New Roman" w:hAnsi="Times New Roman" w:cs="Times New Roman"/>
          <w:color w:val="000000"/>
          <w:sz w:val="24"/>
          <w:szCs w:val="24"/>
          <w:lang w:eastAsia="fr-FR"/>
        </w:rPr>
        <w:fldChar w:fldCharType="end"/>
      </w:r>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Despite</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its</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significant</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food</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economic</w:t>
      </w:r>
      <w:proofErr w:type="spellEnd"/>
      <w:r w:rsidRPr="00195F83">
        <w:rPr>
          <w:rFonts w:ascii="Times New Roman" w:eastAsia="Times New Roman" w:hAnsi="Times New Roman" w:cs="Times New Roman"/>
          <w:color w:val="000000"/>
          <w:sz w:val="24"/>
          <w:szCs w:val="24"/>
          <w:lang w:eastAsia="fr-FR"/>
        </w:rPr>
        <w:t xml:space="preserve">, and </w:t>
      </w:r>
      <w:proofErr w:type="spellStart"/>
      <w:r w:rsidRPr="00195F83">
        <w:rPr>
          <w:rFonts w:ascii="Times New Roman" w:eastAsia="Times New Roman" w:hAnsi="Times New Roman" w:cs="Times New Roman"/>
          <w:color w:val="000000"/>
          <w:sz w:val="24"/>
          <w:szCs w:val="24"/>
          <w:lang w:eastAsia="fr-FR"/>
        </w:rPr>
        <w:t>medicinal</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potential</w:t>
      </w:r>
      <w:proofErr w:type="spellEnd"/>
      <w:r w:rsidRPr="00195F83">
        <w:rPr>
          <w:rFonts w:ascii="Times New Roman" w:eastAsia="Times New Roman" w:hAnsi="Times New Roman" w:cs="Times New Roman"/>
          <w:color w:val="000000"/>
          <w:sz w:val="24"/>
          <w:szCs w:val="24"/>
          <w:lang w:eastAsia="fr-FR"/>
        </w:rPr>
        <w:t xml:space="preserve">, </w:t>
      </w:r>
      <w:r w:rsidRPr="00105A40">
        <w:rPr>
          <w:rFonts w:ascii="Times New Roman" w:eastAsia="Times New Roman" w:hAnsi="Times New Roman" w:cs="Times New Roman"/>
          <w:i/>
          <w:iCs/>
          <w:color w:val="000000"/>
          <w:sz w:val="24"/>
          <w:szCs w:val="24"/>
          <w:lang w:eastAsia="fr-FR"/>
        </w:rPr>
        <w:t xml:space="preserve">S. </w:t>
      </w:r>
      <w:proofErr w:type="spellStart"/>
      <w:r w:rsidRPr="00105A40">
        <w:rPr>
          <w:rFonts w:ascii="Times New Roman" w:eastAsia="Times New Roman" w:hAnsi="Times New Roman" w:cs="Times New Roman"/>
          <w:i/>
          <w:iCs/>
          <w:color w:val="000000"/>
          <w:sz w:val="24"/>
          <w:szCs w:val="24"/>
          <w:lang w:eastAsia="fr-FR"/>
        </w:rPr>
        <w:t>rotundifolius</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remains</w:t>
      </w:r>
      <w:proofErr w:type="spellEnd"/>
      <w:r w:rsidRPr="00195F83">
        <w:rPr>
          <w:rFonts w:ascii="Times New Roman" w:eastAsia="Times New Roman" w:hAnsi="Times New Roman" w:cs="Times New Roman"/>
          <w:color w:val="000000"/>
          <w:sz w:val="24"/>
          <w:szCs w:val="24"/>
          <w:lang w:eastAsia="fr-FR"/>
        </w:rPr>
        <w:t xml:space="preserve"> a </w:t>
      </w:r>
      <w:proofErr w:type="spellStart"/>
      <w:r w:rsidRPr="00195F83">
        <w:rPr>
          <w:rFonts w:ascii="Times New Roman" w:eastAsia="Times New Roman" w:hAnsi="Times New Roman" w:cs="Times New Roman"/>
          <w:color w:val="000000"/>
          <w:sz w:val="24"/>
          <w:szCs w:val="24"/>
          <w:lang w:eastAsia="fr-FR"/>
        </w:rPr>
        <w:t>neglected</w:t>
      </w:r>
      <w:proofErr w:type="spellEnd"/>
      <w:r w:rsidRPr="00195F83">
        <w:rPr>
          <w:rFonts w:ascii="Times New Roman" w:eastAsia="Times New Roman" w:hAnsi="Times New Roman" w:cs="Times New Roman"/>
          <w:color w:val="000000"/>
          <w:sz w:val="24"/>
          <w:szCs w:val="24"/>
          <w:lang w:eastAsia="fr-FR"/>
        </w:rPr>
        <w:t xml:space="preserve"> and </w:t>
      </w:r>
      <w:proofErr w:type="spellStart"/>
      <w:r w:rsidRPr="00195F83">
        <w:rPr>
          <w:rFonts w:ascii="Times New Roman" w:eastAsia="Times New Roman" w:hAnsi="Times New Roman" w:cs="Times New Roman"/>
          <w:color w:val="000000"/>
          <w:sz w:val="24"/>
          <w:szCs w:val="24"/>
          <w:lang w:eastAsia="fr-FR"/>
        </w:rPr>
        <w:t>underutilized</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species</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particularly</w:t>
      </w:r>
      <w:proofErr w:type="spellEnd"/>
      <w:r w:rsidRPr="00195F83">
        <w:rPr>
          <w:rFonts w:ascii="Times New Roman" w:eastAsia="Times New Roman" w:hAnsi="Times New Roman" w:cs="Times New Roman"/>
          <w:color w:val="000000"/>
          <w:sz w:val="24"/>
          <w:szCs w:val="24"/>
          <w:lang w:eastAsia="fr-FR"/>
        </w:rPr>
        <w:t xml:space="preserve"> due to the challenges of </w:t>
      </w:r>
      <w:proofErr w:type="spellStart"/>
      <w:r w:rsidRPr="00195F83">
        <w:rPr>
          <w:rFonts w:ascii="Times New Roman" w:eastAsia="Times New Roman" w:hAnsi="Times New Roman" w:cs="Times New Roman"/>
          <w:color w:val="000000"/>
          <w:sz w:val="24"/>
          <w:szCs w:val="24"/>
          <w:lang w:eastAsia="fr-FR"/>
        </w:rPr>
        <w:t>preserving</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seedlings</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which</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deteriorate</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during</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storage</w:t>
      </w:r>
      <w:proofErr w:type="spellEnd"/>
      <w:r w:rsidRPr="00195F83">
        <w:rPr>
          <w:rFonts w:ascii="Times New Roman" w:eastAsia="Times New Roman" w:hAnsi="Times New Roman" w:cs="Times New Roman"/>
          <w:color w:val="000000"/>
          <w:sz w:val="24"/>
          <w:szCs w:val="24"/>
          <w:lang w:eastAsia="fr-FR"/>
        </w:rPr>
        <w:t xml:space="preserve"> </w:t>
      </w:r>
      <w:r w:rsidR="00195F83" w:rsidRPr="00195F83">
        <w:rPr>
          <w:rFonts w:ascii="Times New Roman" w:eastAsia="Times New Roman" w:hAnsi="Times New Roman" w:cs="Times New Roman"/>
          <w:color w:val="000000"/>
          <w:sz w:val="24"/>
          <w:szCs w:val="24"/>
          <w:lang w:eastAsia="fr-FR"/>
        </w:rPr>
        <w:fldChar w:fldCharType="begin"/>
      </w:r>
      <w:r w:rsidR="00195F83" w:rsidRPr="00195F83">
        <w:rPr>
          <w:rFonts w:ascii="Times New Roman" w:eastAsia="Times New Roman" w:hAnsi="Times New Roman" w:cs="Times New Roman"/>
          <w:color w:val="000000"/>
          <w:sz w:val="24"/>
          <w:szCs w:val="24"/>
          <w:lang w:eastAsia="fr-FR"/>
        </w:rPr>
        <w:instrText xml:space="preserve"> ADDIN ZOTERO_ITEM CSL_CITATION {"citationID":"PQTMt4zj","properties":{"unsorted":true,"formattedCitation":"(Zongo {\\i{}et al.}, 2024; Sugri {\\i{}et al.}, 2021)","plainCitation":"(Zongo et al., 2024; Sugri et al., 2021)","noteIndex":0},"citationItems":[{"id":160,"uris":["http://zotero.org/users/14754811/items/EGULEHQF"],"itemData":{"id":160,"type":"article-journal","abstract":"Solenostemon rotundifolius is a tuberous plant with great food and economic potential in Burkina Faso. One of the major problems in its production is the loss of seedlings during storage, resulting in a shortage of raw materials at planting time. The aim of this study was to assess the effectiveness of methods for preserving S. rotundifolius seedlings. A randomized block design with three (03) replicates was used. Twelve (12) preservation methods were tested. Measurements were made on the rate of budded seedlings, budding time, bud length and seedling loss rate. The results showed that six (6) conservation methods produced seedlings with a budding rate of over 80% and low seedling loss rates, ranging from 2.38% to 6.19%. These are: conservation in \"Bitatoré\" with millet husks as additive (BITA+G) with a seedling budding rate of 89.05 ± 2.27%, canaries with sand as additive (CAN+S) with a budding rate of 87.62 ± 2.17%, \"Bitatoré\" without additive (BITA) with a budding rate of 86,19 ± 2.33%, Storage in Sand and Sprouting (Tri S) with a budding rate of 85.71 ± 2.72%, canaries with wood shavings as additive (CAN+CB) with a budding rate of 85.24 ± 2.35% and canaries without additive (CAN) with a budding rate of 85.24 ± 2.54%. In addition, the seedlings produced by these methods had respective seed loss rates of 2.86%, 2.86%, 6.19%, 2.38%, 3.81% and 5.71%. The results also showed that seedling budding time varied from 51 ± 4 to 70 ± 3 days, depending on the storage method.","DOI":"http://dx.doi.org/10.12692/ijb/24.5.80-95","language":"en","source":"Zotero","title":"Evaluation of the effectiveness of post-harvest conservation methods for seedlings of Solenostemon rotundifolius (Poir. J. K. Morton)","author":[{"family":"Zongo","given":"Arnaud Rodrigue"},{"family":"Nana","given":"Rasmata"},{"family":"Berthé","given":"Ousseni"},{"family":"Sory","given":"Aboubacar"},{"family":"Banhoro","given":"Aboulazize"},{"family":"Kassamba","given":"Diaby Hadi Abdoul"}],"issued":{"date-parts":[["2024"]]}}},{"id":628,"uris":["http://zotero.org/users/14754811/items/Y7Y63DGQ"],"itemData":{"id":628,"type":"chapter","DOI":"10.9734/bpi/ctas/v5/2208C","ISBN":"978-93-5547-300-4","page":"79-101","source":"ResearchGate","title":"Assessment of Postharvest Management of Frafra Potato (Solenostemon rotundifolius (Poir.) J. K. Morton)","author":[{"family":"Sugri","given":"Issah"},{"family":"Kusi","given":"Francis"},{"family":"Yirzagla","given":"Julius"},{"family":"Abubakari","given":"Mutari"},{"family":"Lamini","given":"Salim"},{"family":"Asungre","given":"Peter"},{"family":"Zakaria","given":"Mukhtaru"},{"family":"Attamah","given":"Patrick"},{"family":"Azasiba","given":"John"},{"family":"Aziiba","given":"Emmanuel"},{"family":"Kanton","given":"Roger"},{"family":"Nutsugah","given":"Stephen"},{"family":"Buah","given":"Saaka"}],"issued":{"date-parts":[["2021",12,28]]}}}],"schema":"https://github.com/citation-style-language/schema/raw/master/csl-citation.json"} </w:instrText>
      </w:r>
      <w:r w:rsidR="00195F83" w:rsidRPr="00195F83">
        <w:rPr>
          <w:rFonts w:ascii="Times New Roman" w:eastAsia="Times New Roman" w:hAnsi="Times New Roman" w:cs="Times New Roman"/>
          <w:color w:val="000000"/>
          <w:sz w:val="24"/>
          <w:szCs w:val="24"/>
          <w:lang w:eastAsia="fr-FR"/>
        </w:rPr>
        <w:fldChar w:fldCharType="separate"/>
      </w:r>
      <w:r w:rsidR="00195F83" w:rsidRPr="00195F83">
        <w:rPr>
          <w:rFonts w:ascii="Times New Roman" w:hAnsi="Times New Roman" w:cs="Times New Roman"/>
          <w:kern w:val="0"/>
          <w:sz w:val="24"/>
        </w:rPr>
        <w:t xml:space="preserve">(Zongo </w:t>
      </w:r>
      <w:r w:rsidR="00195F83" w:rsidRPr="00195F83">
        <w:rPr>
          <w:rFonts w:ascii="Times New Roman" w:hAnsi="Times New Roman" w:cs="Times New Roman"/>
          <w:i/>
          <w:iCs/>
          <w:kern w:val="0"/>
          <w:sz w:val="24"/>
        </w:rPr>
        <w:t>et al.</w:t>
      </w:r>
      <w:r w:rsidR="00195F83" w:rsidRPr="00195F83">
        <w:rPr>
          <w:rFonts w:ascii="Times New Roman" w:hAnsi="Times New Roman" w:cs="Times New Roman"/>
          <w:kern w:val="0"/>
          <w:sz w:val="24"/>
        </w:rPr>
        <w:t xml:space="preserve">, 2024; Sugri </w:t>
      </w:r>
      <w:r w:rsidR="00195F83" w:rsidRPr="00195F83">
        <w:rPr>
          <w:rFonts w:ascii="Times New Roman" w:hAnsi="Times New Roman" w:cs="Times New Roman"/>
          <w:i/>
          <w:iCs/>
          <w:kern w:val="0"/>
          <w:sz w:val="24"/>
        </w:rPr>
        <w:t>et al.</w:t>
      </w:r>
      <w:r w:rsidR="00195F83" w:rsidRPr="00195F83">
        <w:rPr>
          <w:rFonts w:ascii="Times New Roman" w:hAnsi="Times New Roman" w:cs="Times New Roman"/>
          <w:kern w:val="0"/>
          <w:sz w:val="24"/>
        </w:rPr>
        <w:t>, 2021)</w:t>
      </w:r>
      <w:r w:rsidR="00195F83" w:rsidRPr="00195F83">
        <w:rPr>
          <w:rFonts w:ascii="Times New Roman" w:eastAsia="Times New Roman" w:hAnsi="Times New Roman" w:cs="Times New Roman"/>
          <w:color w:val="000000"/>
          <w:sz w:val="24"/>
          <w:szCs w:val="24"/>
          <w:lang w:eastAsia="fr-FR"/>
        </w:rPr>
        <w:fldChar w:fldCharType="end"/>
      </w:r>
      <w:r w:rsidRPr="00195F83">
        <w:rPr>
          <w:rFonts w:ascii="Times New Roman" w:eastAsia="Times New Roman" w:hAnsi="Times New Roman" w:cs="Times New Roman"/>
          <w:color w:val="000000"/>
          <w:sz w:val="24"/>
          <w:szCs w:val="24"/>
          <w:lang w:eastAsia="fr-FR"/>
        </w:rPr>
        <w:t xml:space="preserve">. Tuber </w:t>
      </w:r>
      <w:proofErr w:type="spellStart"/>
      <w:r w:rsidRPr="00195F83">
        <w:rPr>
          <w:rFonts w:ascii="Times New Roman" w:eastAsia="Times New Roman" w:hAnsi="Times New Roman" w:cs="Times New Roman"/>
          <w:color w:val="000000"/>
          <w:sz w:val="24"/>
          <w:szCs w:val="24"/>
          <w:lang w:eastAsia="fr-FR"/>
        </w:rPr>
        <w:t>losses</w:t>
      </w:r>
      <w:proofErr w:type="spellEnd"/>
      <w:r w:rsidRPr="00195F83">
        <w:rPr>
          <w:rFonts w:ascii="Times New Roman" w:eastAsia="Times New Roman" w:hAnsi="Times New Roman" w:cs="Times New Roman"/>
          <w:color w:val="000000"/>
          <w:sz w:val="24"/>
          <w:szCs w:val="24"/>
          <w:lang w:eastAsia="fr-FR"/>
        </w:rPr>
        <w:t xml:space="preserve"> can </w:t>
      </w:r>
      <w:proofErr w:type="spellStart"/>
      <w:r w:rsidRPr="00195F83">
        <w:rPr>
          <w:rFonts w:ascii="Times New Roman" w:eastAsia="Times New Roman" w:hAnsi="Times New Roman" w:cs="Times New Roman"/>
          <w:color w:val="000000"/>
          <w:sz w:val="24"/>
          <w:szCs w:val="24"/>
          <w:lang w:eastAsia="fr-FR"/>
        </w:rPr>
        <w:t>reach</w:t>
      </w:r>
      <w:proofErr w:type="spellEnd"/>
      <w:r w:rsidRPr="00195F83">
        <w:rPr>
          <w:rFonts w:ascii="Times New Roman" w:eastAsia="Times New Roman" w:hAnsi="Times New Roman" w:cs="Times New Roman"/>
          <w:color w:val="000000"/>
          <w:sz w:val="24"/>
          <w:szCs w:val="24"/>
          <w:lang w:eastAsia="fr-FR"/>
        </w:rPr>
        <w:t xml:space="preserve"> 20 to 40% in cases of </w:t>
      </w:r>
      <w:proofErr w:type="spellStart"/>
      <w:r w:rsidRPr="00195F83">
        <w:rPr>
          <w:rFonts w:ascii="Times New Roman" w:eastAsia="Times New Roman" w:hAnsi="Times New Roman" w:cs="Times New Roman"/>
          <w:color w:val="000000"/>
          <w:sz w:val="24"/>
          <w:szCs w:val="24"/>
          <w:lang w:eastAsia="fr-FR"/>
        </w:rPr>
        <w:t>poor</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storage</w:t>
      </w:r>
      <w:proofErr w:type="spellEnd"/>
      <w:r w:rsidRPr="00195F83">
        <w:rPr>
          <w:rFonts w:ascii="Times New Roman" w:eastAsia="Times New Roman" w:hAnsi="Times New Roman" w:cs="Times New Roman"/>
          <w:color w:val="000000"/>
          <w:sz w:val="24"/>
          <w:szCs w:val="24"/>
          <w:lang w:eastAsia="fr-FR"/>
        </w:rPr>
        <w:t xml:space="preserve">, due to damage to the skin </w:t>
      </w:r>
      <w:proofErr w:type="spellStart"/>
      <w:r w:rsidRPr="00195F83">
        <w:rPr>
          <w:rFonts w:ascii="Times New Roman" w:eastAsia="Times New Roman" w:hAnsi="Times New Roman" w:cs="Times New Roman"/>
          <w:color w:val="000000"/>
          <w:sz w:val="24"/>
          <w:szCs w:val="24"/>
          <w:lang w:eastAsia="fr-FR"/>
        </w:rPr>
        <w:t>during</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pre</w:t>
      </w:r>
      <w:proofErr w:type="spellEnd"/>
      <w:r w:rsidRPr="00195F83">
        <w:rPr>
          <w:rFonts w:ascii="Times New Roman" w:eastAsia="Times New Roman" w:hAnsi="Times New Roman" w:cs="Times New Roman"/>
          <w:color w:val="000000"/>
          <w:sz w:val="24"/>
          <w:szCs w:val="24"/>
          <w:lang w:eastAsia="fr-FR"/>
        </w:rPr>
        <w:t>- and post-</w:t>
      </w:r>
      <w:proofErr w:type="spellStart"/>
      <w:r w:rsidRPr="00195F83">
        <w:rPr>
          <w:rFonts w:ascii="Times New Roman" w:eastAsia="Times New Roman" w:hAnsi="Times New Roman" w:cs="Times New Roman"/>
          <w:color w:val="000000"/>
          <w:sz w:val="24"/>
          <w:szCs w:val="24"/>
          <w:lang w:eastAsia="fr-FR"/>
        </w:rPr>
        <w:t>harvest</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operations</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thereby</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facilitating</w:t>
      </w:r>
      <w:proofErr w:type="spellEnd"/>
      <w:r w:rsidRPr="00195F83">
        <w:rPr>
          <w:rFonts w:ascii="Times New Roman" w:eastAsia="Times New Roman" w:hAnsi="Times New Roman" w:cs="Times New Roman"/>
          <w:color w:val="000000"/>
          <w:sz w:val="24"/>
          <w:szCs w:val="24"/>
          <w:lang w:eastAsia="fr-FR"/>
        </w:rPr>
        <w:t xml:space="preserve"> </w:t>
      </w:r>
      <w:proofErr w:type="spellStart"/>
      <w:r w:rsidRPr="00195F83">
        <w:rPr>
          <w:rFonts w:ascii="Times New Roman" w:eastAsia="Times New Roman" w:hAnsi="Times New Roman" w:cs="Times New Roman"/>
          <w:color w:val="000000"/>
          <w:sz w:val="24"/>
          <w:szCs w:val="24"/>
          <w:lang w:eastAsia="fr-FR"/>
        </w:rPr>
        <w:t>attacks</w:t>
      </w:r>
      <w:proofErr w:type="spellEnd"/>
      <w:r w:rsidRPr="00195F83">
        <w:rPr>
          <w:rFonts w:ascii="Times New Roman" w:eastAsia="Times New Roman" w:hAnsi="Times New Roman" w:cs="Times New Roman"/>
          <w:color w:val="000000"/>
          <w:sz w:val="24"/>
          <w:szCs w:val="24"/>
          <w:lang w:eastAsia="fr-FR"/>
        </w:rPr>
        <w:t xml:space="preserve"> by </w:t>
      </w:r>
      <w:proofErr w:type="spellStart"/>
      <w:r w:rsidRPr="00195F83">
        <w:rPr>
          <w:rFonts w:ascii="Times New Roman" w:eastAsia="Times New Roman" w:hAnsi="Times New Roman" w:cs="Times New Roman"/>
          <w:color w:val="000000"/>
          <w:sz w:val="24"/>
          <w:szCs w:val="24"/>
          <w:lang w:eastAsia="fr-FR"/>
        </w:rPr>
        <w:t>microorganisms</w:t>
      </w:r>
      <w:proofErr w:type="spellEnd"/>
      <w:r w:rsidRPr="00195F83">
        <w:rPr>
          <w:rFonts w:ascii="Times New Roman" w:eastAsia="Times New Roman" w:hAnsi="Times New Roman" w:cs="Times New Roman"/>
          <w:color w:val="000000"/>
          <w:sz w:val="24"/>
          <w:szCs w:val="24"/>
          <w:lang w:eastAsia="fr-FR"/>
        </w:rPr>
        <w:t xml:space="preserve"> </w:t>
      </w:r>
      <w:r w:rsidR="00195F83" w:rsidRPr="00195F83">
        <w:rPr>
          <w:rFonts w:ascii="Times New Roman" w:eastAsia="Times New Roman" w:hAnsi="Times New Roman" w:cs="Times New Roman"/>
          <w:color w:val="000000"/>
          <w:sz w:val="24"/>
          <w:szCs w:val="24"/>
          <w:lang w:eastAsia="fr-FR"/>
        </w:rPr>
        <w:fldChar w:fldCharType="begin"/>
      </w:r>
      <w:r w:rsidR="00195F83" w:rsidRPr="00195F83">
        <w:rPr>
          <w:rFonts w:ascii="Times New Roman" w:eastAsia="Times New Roman" w:hAnsi="Times New Roman" w:cs="Times New Roman"/>
          <w:color w:val="000000"/>
          <w:sz w:val="24"/>
          <w:szCs w:val="24"/>
          <w:lang w:eastAsia="fr-FR"/>
        </w:rPr>
        <w:instrText xml:space="preserve"> ADDIN ZOTERO_ITEM CSL_CITATION {"citationID":"8SMyMZAM","properties":{"unsorted":false,"formattedCitation":"(Mohammed, Chimbekujwo et Bristone, 2013)","plainCitation":"(Mohammed, Chimbekujwo et Bristone, 2013)","noteIndex":0},"citationItems":[{"id":48,"uris":["http://zotero.org/users/14754811/items/DR7WSAXV"],"itemData":{"id":48,"type":"article-journal","abstract":"Identification and control of Fungi associated with the post-harvest rot of Solenostemon rotundifolius (Poir)J.K. Morton in Adamawa State of Nigeria.","container-title":"Journal of Biology, Agriculture and Healthcare","ISSN":"2225-093X","issue":"5","language":"en","page":"136","source":"www.iiste.org","title":"Identification and control of Fungi associated with the post-harvest rot of Solenostemon rotundifolius (Poir)J.K. Morton in Adamawa State of Nigeria.","volume":"3","author":[{"family":"Mohammed","given":"Aisha"},{"family":"Chimbekujwo","given":"Ishaku Bajon"},{"family":"Bristone","given":"Basiri"}],"issued":{"date-parts":[["2013"]]}}}],"schema":"https://github.com/citation-style-language/schema/raw/master/csl-citation.json"} </w:instrText>
      </w:r>
      <w:r w:rsidR="00195F83" w:rsidRPr="00195F83">
        <w:rPr>
          <w:rFonts w:ascii="Times New Roman" w:eastAsia="Times New Roman" w:hAnsi="Times New Roman" w:cs="Times New Roman"/>
          <w:color w:val="000000"/>
          <w:sz w:val="24"/>
          <w:szCs w:val="24"/>
          <w:lang w:eastAsia="fr-FR"/>
        </w:rPr>
        <w:fldChar w:fldCharType="separate"/>
      </w:r>
      <w:r w:rsidR="00195F83" w:rsidRPr="00195F83">
        <w:rPr>
          <w:rFonts w:ascii="Times New Roman" w:hAnsi="Times New Roman" w:cs="Times New Roman"/>
          <w:sz w:val="24"/>
        </w:rPr>
        <w:t xml:space="preserve">(Mohammed et </w:t>
      </w:r>
      <w:r w:rsidR="00195F83" w:rsidRPr="00195F83">
        <w:rPr>
          <w:rFonts w:ascii="Times New Roman" w:hAnsi="Times New Roman" w:cs="Times New Roman"/>
          <w:i/>
          <w:iCs/>
          <w:sz w:val="24"/>
        </w:rPr>
        <w:t>al.,</w:t>
      </w:r>
      <w:r w:rsidR="00195F83" w:rsidRPr="00195F83">
        <w:rPr>
          <w:rFonts w:ascii="Times New Roman" w:hAnsi="Times New Roman" w:cs="Times New Roman"/>
          <w:sz w:val="24"/>
        </w:rPr>
        <w:t xml:space="preserve"> 2013)</w:t>
      </w:r>
      <w:r w:rsidR="00195F83" w:rsidRPr="00195F83">
        <w:rPr>
          <w:rFonts w:ascii="Times New Roman" w:eastAsia="Times New Roman" w:hAnsi="Times New Roman" w:cs="Times New Roman"/>
          <w:color w:val="000000"/>
          <w:sz w:val="24"/>
          <w:szCs w:val="24"/>
          <w:lang w:eastAsia="fr-FR"/>
        </w:rPr>
        <w:fldChar w:fldCharType="end"/>
      </w:r>
      <w:r w:rsidRPr="00195F83">
        <w:rPr>
          <w:rFonts w:ascii="Times New Roman" w:eastAsia="Times New Roman" w:hAnsi="Times New Roman" w:cs="Times New Roman"/>
          <w:color w:val="000000"/>
          <w:sz w:val="24"/>
          <w:szCs w:val="24"/>
          <w:lang w:eastAsia="fr-FR"/>
        </w:rPr>
        <w:t>.</w:t>
      </w:r>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Thus</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improperly</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stored</w:t>
      </w:r>
      <w:proofErr w:type="spellEnd"/>
      <w:r w:rsidR="008F7B6D" w:rsidRPr="00195F83">
        <w:rPr>
          <w:rFonts w:ascii="Times New Roman" w:eastAsia="Times New Roman" w:hAnsi="Times New Roman" w:cs="Times New Roman"/>
          <w:color w:val="000000"/>
          <w:sz w:val="24"/>
          <w:szCs w:val="24"/>
          <w:lang w:eastAsia="fr-FR"/>
        </w:rPr>
        <w:t xml:space="preserve"> and </w:t>
      </w:r>
      <w:proofErr w:type="spellStart"/>
      <w:r w:rsidR="008F7B6D" w:rsidRPr="00195F83">
        <w:rPr>
          <w:rFonts w:ascii="Times New Roman" w:eastAsia="Times New Roman" w:hAnsi="Times New Roman" w:cs="Times New Roman"/>
          <w:color w:val="000000"/>
          <w:sz w:val="24"/>
          <w:szCs w:val="24"/>
          <w:lang w:eastAsia="fr-FR"/>
        </w:rPr>
        <w:t>infected</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seedlings</w:t>
      </w:r>
      <w:proofErr w:type="spellEnd"/>
      <w:r w:rsidR="008F7B6D" w:rsidRPr="00195F83">
        <w:rPr>
          <w:rFonts w:ascii="Times New Roman" w:eastAsia="Times New Roman" w:hAnsi="Times New Roman" w:cs="Times New Roman"/>
          <w:color w:val="000000"/>
          <w:sz w:val="24"/>
          <w:szCs w:val="24"/>
          <w:lang w:eastAsia="fr-FR"/>
        </w:rPr>
        <w:t xml:space="preserve"> can impair </w:t>
      </w:r>
      <w:proofErr w:type="spellStart"/>
      <w:r w:rsidR="008F7B6D" w:rsidRPr="00195F83">
        <w:rPr>
          <w:rFonts w:ascii="Times New Roman" w:eastAsia="Times New Roman" w:hAnsi="Times New Roman" w:cs="Times New Roman"/>
          <w:color w:val="000000"/>
          <w:sz w:val="24"/>
          <w:szCs w:val="24"/>
          <w:lang w:eastAsia="fr-FR"/>
        </w:rPr>
        <w:t>their</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physiological</w:t>
      </w:r>
      <w:proofErr w:type="spellEnd"/>
      <w:r w:rsidR="008F7B6D" w:rsidRPr="00195F83">
        <w:rPr>
          <w:rFonts w:ascii="Times New Roman" w:eastAsia="Times New Roman" w:hAnsi="Times New Roman" w:cs="Times New Roman"/>
          <w:color w:val="000000"/>
          <w:sz w:val="24"/>
          <w:szCs w:val="24"/>
          <w:lang w:eastAsia="fr-FR"/>
        </w:rPr>
        <w:t xml:space="preserve"> and </w:t>
      </w:r>
      <w:proofErr w:type="spellStart"/>
      <w:r w:rsidR="008F7B6D" w:rsidRPr="00195F83">
        <w:rPr>
          <w:rFonts w:ascii="Times New Roman" w:eastAsia="Times New Roman" w:hAnsi="Times New Roman" w:cs="Times New Roman"/>
          <w:color w:val="000000"/>
          <w:sz w:val="24"/>
          <w:szCs w:val="24"/>
          <w:lang w:eastAsia="fr-FR"/>
        </w:rPr>
        <w:t>health</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quality</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thereby</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compromising</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their</w:t>
      </w:r>
      <w:proofErr w:type="spellEnd"/>
      <w:r w:rsidR="008F7B6D" w:rsidRPr="00195F83">
        <w:rPr>
          <w:rFonts w:ascii="Times New Roman" w:eastAsia="Times New Roman" w:hAnsi="Times New Roman" w:cs="Times New Roman"/>
          <w:color w:val="000000"/>
          <w:sz w:val="24"/>
          <w:szCs w:val="24"/>
          <w:lang w:eastAsia="fr-FR"/>
        </w:rPr>
        <w:t xml:space="preserve"> establishment in the </w:t>
      </w:r>
      <w:proofErr w:type="spellStart"/>
      <w:r w:rsidR="008F7B6D" w:rsidRPr="00195F83">
        <w:rPr>
          <w:rFonts w:ascii="Times New Roman" w:eastAsia="Times New Roman" w:hAnsi="Times New Roman" w:cs="Times New Roman"/>
          <w:color w:val="000000"/>
          <w:sz w:val="24"/>
          <w:szCs w:val="24"/>
          <w:lang w:eastAsia="fr-FR"/>
        </w:rPr>
        <w:t>field</w:t>
      </w:r>
      <w:proofErr w:type="spellEnd"/>
      <w:r w:rsidR="008F7B6D" w:rsidRPr="00195F83">
        <w:rPr>
          <w:rFonts w:ascii="Times New Roman" w:eastAsia="Times New Roman" w:hAnsi="Times New Roman" w:cs="Times New Roman"/>
          <w:color w:val="000000"/>
          <w:sz w:val="24"/>
          <w:szCs w:val="24"/>
          <w:lang w:eastAsia="fr-FR"/>
        </w:rPr>
        <w:t xml:space="preserve"> and </w:t>
      </w:r>
      <w:proofErr w:type="spellStart"/>
      <w:r w:rsidR="008F7B6D" w:rsidRPr="00195F83">
        <w:rPr>
          <w:rFonts w:ascii="Times New Roman" w:eastAsia="Times New Roman" w:hAnsi="Times New Roman" w:cs="Times New Roman"/>
          <w:color w:val="000000"/>
          <w:sz w:val="24"/>
          <w:szCs w:val="24"/>
          <w:lang w:eastAsia="fr-FR"/>
        </w:rPr>
        <w:t>reducing</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productivity</w:t>
      </w:r>
      <w:proofErr w:type="spellEnd"/>
      <w:r w:rsidR="00195F83" w:rsidRPr="00195F83">
        <w:rPr>
          <w:rFonts w:ascii="Times New Roman" w:eastAsia="Times New Roman" w:hAnsi="Times New Roman" w:cs="Times New Roman"/>
          <w:color w:val="000000"/>
          <w:sz w:val="24"/>
          <w:szCs w:val="24"/>
          <w:lang w:eastAsia="fr-FR"/>
        </w:rPr>
        <w:fldChar w:fldCharType="begin"/>
      </w:r>
      <w:r w:rsidR="00195F83" w:rsidRPr="00195F83">
        <w:rPr>
          <w:rFonts w:ascii="Times New Roman" w:eastAsia="Times New Roman" w:hAnsi="Times New Roman" w:cs="Times New Roman"/>
          <w:color w:val="000000"/>
          <w:sz w:val="24"/>
          <w:szCs w:val="24"/>
          <w:lang w:eastAsia="fr-FR"/>
        </w:rPr>
        <w:instrText xml:space="preserve"> ADDIN ZOTERO_ITEM CSL_CITATION {"citationID":"hixcBWUG","properties":{"unsorted":false,"formattedCitation":"(Meyer {\\i{}et al.}, 2008)","plainCitation":"(Meyer et al., 2008)","noteIndex":0},"citationItems":[{"id":39,"uris":["http://zotero.org/users/14754811/items/9WLDF4UN"],"itemData":{"id":39,"type":"article-journal","abstract":"The generalist pathogen Pyrenophora semeniperda is abundant in seed banks of the exotic winter annual grass Bromus tectorum in semiarid western North America and is also found in the seed banks of co-occurring native grasses. In this study, we examined natural incidence of disease caused by this pathogen on undispersed host seeds, that is, seeds that were never directly exposed to inoculum in the seed bank. We determined experimentally that at least 90% of undispersed B. tectorum seeds exhibiting the disease were likely infected after maturity by conidia borne superficially on the seed-covering structures. The fraction of undispersed seeds exhibiting disease under optimum conditions for infection in the laboratory varied from 0% to 22% for three grass species. Relatively high disease incidence on undispersed seeds for this dry-sporulating fungus was significantly correlated with low mean annual rainfall, dry conditions during the conidial dispersal period in early summer, and high concentrations of soilborne inoculum as evidenced by the presence of high densities of killed seeds bearing fungal stromata in the seed bank. These three variables explained 66% of the variation in seedborne disease incidence for B. tectorum seed collections made in 2005. By dispersing conidia onto host seeds while seeds are still on the plant, this pathogen achieves the potential for targeted dispersal along with seeds of its host. This may be particularly advantageous for P. semeniperda, which has large conidia (phragmospores) that may not be efficiently dispersed beyond the grass canopy boundary layer. Key words: conidia, Bromus tectorum, Drechslera campanulata, Elymus elymoides, Leymus cinereus, Pyrenophora semeniperda, spore dispersal. L'agent pathogène opportuniste Pyrenophora semeniperda abonde dans les banques de semences de variétés exotiques de brome non alternatif Bromus tectorum des régions semi-arides de l'ouest de l'Amérique du Nord ainsi que dans les banques de semences de graminées indigènes environnantes. Au cours de cette étude, nous avons examiné l'incidence naturelle de la maladie causée par cet agent pathogène chez des semences hôtes non dispersées, c'est-à-dire chez des semences qui n'avaient jamais été directement exposées à l'inoculum dans une banque de semences. Nous avons déterminé expérimentalement qu'au moins 90 % des semences non disséminées de B. tectorum qui affichaient des signes de la maladie avaient de toute évidence été infectées, après leur murissement, par des conidies qu'elles portaient à la surface des structures qui les recouvrent. La fraction des semences non disséminées qui affichait des signes de maladie à la suite d'exposition dans des conditions contrôlées optimales variait de 0 % à 22 %, et ce, pour trois espèces de graminées. Une incidence relativement élevé de la maladie chez les semences non disséminées, causée par ce champignon sporulé à sec, a été significativement corrélée avec la faible précipitation moyenne annuelle, les conditions sèches durant la période de dispersion des conidies en début d'été et les fortes concentrations d'inoculum terricole, comme le prouvent les forts taux de semences mortes de la banque, semences portant des stromates fongiques. Ces trois variables expliquaient 66 % de la variation de l'incidence de la maladie transmise par les semences de B. tectorum ramassées en 2005. En disséminant des conidies sur les graines hôtes pendant que celles-ci sont encore attachées au plant mère, l'agent pathogène atteint son potentiel de dispersion le plus élevé lorsque les graines sont elles-mêmes dispersées. Ceci peut être particulièrement avantageux pour P. semeniperda qui possède de larges conidies (phragmospores) qui autrement risqueraient de ne jamais franchir la couche limite formée par la couverture herbeuse. Mots-clés : conidies, Bromus tectorum, Drechslera campanulata, Elymus elymoides, Leymus cinereus, Pyrenophora semeniperda, dispersion des spores.","container-title":"Canadian Journal of Plant Pathology","DOI":"10.1080/07060660809507552","ISSN":"0706-0661","issue":"4","note":"_eprint: https://doi.org/10.1080/07060660809507552","page":"525-533","publisher":"Taylor &amp; Francis","source":"Taylor and Francis+NEJM","title":"A seed bank pathogen causes seedborne disease: Pyrenophora semeniperda on undispersed grass seeds in western North America","title-short":"A seed bank pathogen causes seedborne disease","volume":"30","author":[{"family":"Meyer","given":"Susan E."},{"family":"Beckstead","given":"Julie"},{"family":"Allen","given":"Phil S."},{"family":"Smith","given":"Duane C."}],"issued":{"date-parts":[["2008",12,1]]}}}],"schema":"https://github.com/citation-style-language/schema/raw/master/csl-citation.json"} </w:instrText>
      </w:r>
      <w:r w:rsidR="00195F83" w:rsidRPr="00195F83">
        <w:rPr>
          <w:rFonts w:ascii="Times New Roman" w:eastAsia="Times New Roman" w:hAnsi="Times New Roman" w:cs="Times New Roman"/>
          <w:color w:val="000000"/>
          <w:sz w:val="24"/>
          <w:szCs w:val="24"/>
          <w:lang w:eastAsia="fr-FR"/>
        </w:rPr>
        <w:fldChar w:fldCharType="separate"/>
      </w:r>
      <w:r w:rsidR="00195F83" w:rsidRPr="00195F83">
        <w:rPr>
          <w:rFonts w:ascii="Times New Roman" w:hAnsi="Times New Roman" w:cs="Times New Roman"/>
          <w:kern w:val="0"/>
          <w:sz w:val="24"/>
        </w:rPr>
        <w:t xml:space="preserve">(Meyer </w:t>
      </w:r>
      <w:r w:rsidR="00195F83" w:rsidRPr="00195F83">
        <w:rPr>
          <w:rFonts w:ascii="Times New Roman" w:hAnsi="Times New Roman" w:cs="Times New Roman"/>
          <w:i/>
          <w:iCs/>
          <w:kern w:val="0"/>
          <w:sz w:val="24"/>
        </w:rPr>
        <w:t>et al.</w:t>
      </w:r>
      <w:r w:rsidR="00195F83" w:rsidRPr="00195F83">
        <w:rPr>
          <w:rFonts w:ascii="Times New Roman" w:hAnsi="Times New Roman" w:cs="Times New Roman"/>
          <w:kern w:val="0"/>
          <w:sz w:val="24"/>
        </w:rPr>
        <w:t>, 2008)</w:t>
      </w:r>
      <w:r w:rsidR="00195F83" w:rsidRPr="00195F83">
        <w:rPr>
          <w:rFonts w:ascii="Times New Roman" w:eastAsia="Times New Roman" w:hAnsi="Times New Roman" w:cs="Times New Roman"/>
          <w:color w:val="000000"/>
          <w:sz w:val="24"/>
          <w:szCs w:val="24"/>
          <w:lang w:eastAsia="fr-FR"/>
        </w:rPr>
        <w:fldChar w:fldCharType="end"/>
      </w:r>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Proper</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seedling</w:t>
      </w:r>
      <w:proofErr w:type="spellEnd"/>
      <w:r w:rsidR="008F7B6D" w:rsidRPr="00195F83">
        <w:rPr>
          <w:rFonts w:ascii="Times New Roman" w:eastAsia="Times New Roman" w:hAnsi="Times New Roman" w:cs="Times New Roman"/>
          <w:color w:val="000000"/>
          <w:sz w:val="24"/>
          <w:szCs w:val="24"/>
          <w:lang w:eastAsia="fr-FR"/>
        </w:rPr>
        <w:t xml:space="preserve"> conservation </w:t>
      </w:r>
      <w:proofErr w:type="spellStart"/>
      <w:r w:rsidR="008F7B6D" w:rsidRPr="00195F83">
        <w:rPr>
          <w:rFonts w:ascii="Times New Roman" w:eastAsia="Times New Roman" w:hAnsi="Times New Roman" w:cs="Times New Roman"/>
          <w:color w:val="000000"/>
          <w:sz w:val="24"/>
          <w:szCs w:val="24"/>
          <w:lang w:eastAsia="fr-FR"/>
        </w:rPr>
        <w:t>is</w:t>
      </w:r>
      <w:proofErr w:type="spellEnd"/>
      <w:r w:rsidR="008F7B6D" w:rsidRPr="00195F83">
        <w:rPr>
          <w:rFonts w:ascii="Times New Roman" w:eastAsia="Times New Roman" w:hAnsi="Times New Roman" w:cs="Times New Roman"/>
          <w:color w:val="000000"/>
          <w:sz w:val="24"/>
          <w:szCs w:val="24"/>
          <w:lang w:eastAsia="fr-FR"/>
        </w:rPr>
        <w:t xml:space="preserve"> essential for </w:t>
      </w:r>
      <w:proofErr w:type="spellStart"/>
      <w:r w:rsidR="008F7B6D" w:rsidRPr="00195F83">
        <w:rPr>
          <w:rFonts w:ascii="Times New Roman" w:eastAsia="Times New Roman" w:hAnsi="Times New Roman" w:cs="Times New Roman"/>
          <w:color w:val="000000"/>
          <w:sz w:val="24"/>
          <w:szCs w:val="24"/>
          <w:lang w:eastAsia="fr-FR"/>
        </w:rPr>
        <w:t>preserving</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their</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physiological</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quality</w:t>
      </w:r>
      <w:proofErr w:type="spellEnd"/>
      <w:r w:rsidR="008F7B6D" w:rsidRPr="00195F83">
        <w:rPr>
          <w:rFonts w:ascii="Times New Roman" w:eastAsia="Times New Roman" w:hAnsi="Times New Roman" w:cs="Times New Roman"/>
          <w:color w:val="000000"/>
          <w:sz w:val="24"/>
          <w:szCs w:val="24"/>
          <w:lang w:eastAsia="fr-FR"/>
        </w:rPr>
        <w:t xml:space="preserve"> and </w:t>
      </w:r>
      <w:proofErr w:type="spellStart"/>
      <w:r w:rsidR="008F7B6D" w:rsidRPr="00195F83">
        <w:rPr>
          <w:rFonts w:ascii="Times New Roman" w:eastAsia="Times New Roman" w:hAnsi="Times New Roman" w:cs="Times New Roman"/>
          <w:color w:val="000000"/>
          <w:sz w:val="24"/>
          <w:szCs w:val="24"/>
          <w:lang w:eastAsia="fr-FR"/>
        </w:rPr>
        <w:t>ensuring</w:t>
      </w:r>
      <w:proofErr w:type="spellEnd"/>
      <w:r w:rsidR="008F7B6D" w:rsidRPr="00195F83">
        <w:rPr>
          <w:rFonts w:ascii="Times New Roman" w:eastAsia="Times New Roman" w:hAnsi="Times New Roman" w:cs="Times New Roman"/>
          <w:color w:val="000000"/>
          <w:sz w:val="24"/>
          <w:szCs w:val="24"/>
          <w:lang w:eastAsia="fr-FR"/>
        </w:rPr>
        <w:t xml:space="preserve"> optimal production </w:t>
      </w:r>
      <w:r w:rsidR="00195F83" w:rsidRPr="00195F83">
        <w:rPr>
          <w:rFonts w:ascii="Times New Roman" w:eastAsia="Times New Roman" w:hAnsi="Times New Roman" w:cs="Times New Roman"/>
          <w:color w:val="000000"/>
          <w:sz w:val="24"/>
          <w:szCs w:val="24"/>
          <w:lang w:eastAsia="fr-FR"/>
        </w:rPr>
        <w:fldChar w:fldCharType="begin"/>
      </w:r>
      <w:r w:rsidR="00195F83" w:rsidRPr="00195F83">
        <w:rPr>
          <w:rFonts w:ascii="Times New Roman" w:eastAsia="Times New Roman" w:hAnsi="Times New Roman" w:cs="Times New Roman"/>
          <w:color w:val="000000"/>
          <w:sz w:val="24"/>
          <w:szCs w:val="24"/>
          <w:lang w:eastAsia="fr-FR"/>
        </w:rPr>
        <w:instrText xml:space="preserve"> ADDIN ZOTERO_ITEM CSL_CITATION {"citationID":"236qVtOx","properties":{"unsorted":false,"formattedCitation":"(Di {\\i{}et al.}, 2024a)","plainCitation":"(Di et al., 2024a)","noteIndex":0},"citationItems":[{"id":37,"uris":["http://zotero.org/users/14754811/items/V329RUGC"],"itemData":{"id":37,"type":"article-journal","abstract":"The post-harvest phase of potato tuber dormancy and sprouting are essential in determining the economic value. The intricate transition from dormancy ...","container-title":"International Journal of Molecular Sciences","DOI":"10.3390/ijms25105078","ISSN":"1422-0067","issue":"10","language":"en","license":"http://creativecommons.org/licenses/by/3.0/","publisher":"Multidisciplinary Digital Publishing Institute","source":"www.mdpi.com","title":"Advances in the Modulation of Potato Tuber Dormancy and Sprouting","URL":"https://www.mdpi.com/1422-0067/25/10/5078","volume":"25","author":[{"family":"Di","given":"Xueni"},{"family":"Wang","given":"Qiang"},{"family":"Zhang","given":"Feng"},{"family":"Feng","given":"Haojie"},{"family":"Wang","given":"Xiyao"},{"family":"Cai","given":"Chengcheng"}],"accessed":{"date-parts":[["2026",3,12]]},"issued":{"date-parts":[["2024",5,7]]}}}],"schema":"https://github.com/citation-style-language/schema/raw/master/csl-citation.json"} </w:instrText>
      </w:r>
      <w:r w:rsidR="00195F83" w:rsidRPr="00195F83">
        <w:rPr>
          <w:rFonts w:ascii="Times New Roman" w:eastAsia="Times New Roman" w:hAnsi="Times New Roman" w:cs="Times New Roman"/>
          <w:color w:val="000000"/>
          <w:sz w:val="24"/>
          <w:szCs w:val="24"/>
          <w:lang w:eastAsia="fr-FR"/>
        </w:rPr>
        <w:fldChar w:fldCharType="separate"/>
      </w:r>
      <w:r w:rsidR="00195F83" w:rsidRPr="00195F83">
        <w:rPr>
          <w:rFonts w:ascii="Times New Roman" w:hAnsi="Times New Roman" w:cs="Times New Roman"/>
          <w:kern w:val="0"/>
          <w:sz w:val="24"/>
        </w:rPr>
        <w:t xml:space="preserve">(Di </w:t>
      </w:r>
      <w:r w:rsidR="00195F83" w:rsidRPr="00195F83">
        <w:rPr>
          <w:rFonts w:ascii="Times New Roman" w:hAnsi="Times New Roman" w:cs="Times New Roman"/>
          <w:i/>
          <w:iCs/>
          <w:kern w:val="0"/>
          <w:sz w:val="24"/>
        </w:rPr>
        <w:t>et al.</w:t>
      </w:r>
      <w:r w:rsidR="00195F83" w:rsidRPr="00195F83">
        <w:rPr>
          <w:rFonts w:ascii="Times New Roman" w:hAnsi="Times New Roman" w:cs="Times New Roman"/>
          <w:kern w:val="0"/>
          <w:sz w:val="24"/>
        </w:rPr>
        <w:t>, 2024)</w:t>
      </w:r>
      <w:r w:rsidR="00195F83" w:rsidRPr="00195F83">
        <w:rPr>
          <w:rFonts w:ascii="Times New Roman" w:eastAsia="Times New Roman" w:hAnsi="Times New Roman" w:cs="Times New Roman"/>
          <w:color w:val="000000"/>
          <w:sz w:val="24"/>
          <w:szCs w:val="24"/>
          <w:lang w:eastAsia="fr-FR"/>
        </w:rPr>
        <w:fldChar w:fldCharType="end"/>
      </w:r>
      <w:r w:rsidR="008F7B6D" w:rsidRPr="00195F83">
        <w:rPr>
          <w:rFonts w:ascii="Times New Roman" w:eastAsia="Times New Roman" w:hAnsi="Times New Roman" w:cs="Times New Roman"/>
          <w:color w:val="000000"/>
          <w:sz w:val="24"/>
          <w:szCs w:val="24"/>
          <w:lang w:eastAsia="fr-FR"/>
        </w:rPr>
        <w:t xml:space="preserve">. In rural areas, </w:t>
      </w:r>
      <w:proofErr w:type="spellStart"/>
      <w:r w:rsidR="008F7B6D" w:rsidRPr="00195F83">
        <w:rPr>
          <w:rFonts w:ascii="Times New Roman" w:eastAsia="Times New Roman" w:hAnsi="Times New Roman" w:cs="Times New Roman"/>
          <w:color w:val="000000"/>
          <w:sz w:val="24"/>
          <w:szCs w:val="24"/>
          <w:lang w:eastAsia="fr-FR"/>
        </w:rPr>
        <w:t>farmers</w:t>
      </w:r>
      <w:proofErr w:type="spellEnd"/>
      <w:r w:rsidR="008F7B6D" w:rsidRPr="00195F83">
        <w:rPr>
          <w:rFonts w:ascii="Times New Roman" w:eastAsia="Times New Roman" w:hAnsi="Times New Roman" w:cs="Times New Roman"/>
          <w:color w:val="000000"/>
          <w:sz w:val="24"/>
          <w:szCs w:val="24"/>
          <w:lang w:eastAsia="fr-FR"/>
        </w:rPr>
        <w:t xml:space="preserve"> use </w:t>
      </w:r>
      <w:proofErr w:type="spellStart"/>
      <w:r w:rsidR="008F7B6D" w:rsidRPr="00195F83">
        <w:rPr>
          <w:rFonts w:ascii="Times New Roman" w:eastAsia="Times New Roman" w:hAnsi="Times New Roman" w:cs="Times New Roman"/>
          <w:color w:val="000000"/>
          <w:sz w:val="24"/>
          <w:szCs w:val="24"/>
          <w:lang w:eastAsia="fr-FR"/>
        </w:rPr>
        <w:t>traditional</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methods</w:t>
      </w:r>
      <w:proofErr w:type="spellEnd"/>
      <w:r w:rsidR="008F7B6D" w:rsidRPr="00195F83">
        <w:rPr>
          <w:rFonts w:ascii="Times New Roman" w:eastAsia="Times New Roman" w:hAnsi="Times New Roman" w:cs="Times New Roman"/>
          <w:color w:val="000000"/>
          <w:sz w:val="24"/>
          <w:szCs w:val="24"/>
          <w:lang w:eastAsia="fr-FR"/>
        </w:rPr>
        <w:t xml:space="preserve"> to store </w:t>
      </w:r>
      <w:r w:rsidR="008F7B6D" w:rsidRPr="00105A40">
        <w:rPr>
          <w:rFonts w:ascii="Times New Roman" w:eastAsia="Times New Roman" w:hAnsi="Times New Roman" w:cs="Times New Roman"/>
          <w:i/>
          <w:iCs/>
          <w:color w:val="000000"/>
          <w:sz w:val="24"/>
          <w:szCs w:val="24"/>
          <w:lang w:eastAsia="fr-FR"/>
        </w:rPr>
        <w:t xml:space="preserve">S. </w:t>
      </w:r>
      <w:proofErr w:type="spellStart"/>
      <w:r w:rsidR="008F7B6D" w:rsidRPr="00105A40">
        <w:rPr>
          <w:rFonts w:ascii="Times New Roman" w:eastAsia="Times New Roman" w:hAnsi="Times New Roman" w:cs="Times New Roman"/>
          <w:i/>
          <w:iCs/>
          <w:color w:val="000000"/>
          <w:sz w:val="24"/>
          <w:szCs w:val="24"/>
          <w:lang w:eastAsia="fr-FR"/>
        </w:rPr>
        <w:t>rotundifolius</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105A40">
        <w:rPr>
          <w:rFonts w:ascii="Times New Roman" w:eastAsia="Times New Roman" w:hAnsi="Times New Roman" w:cs="Times New Roman"/>
          <w:color w:val="000000"/>
          <w:sz w:val="24"/>
          <w:szCs w:val="24"/>
          <w:lang w:eastAsia="fr-FR"/>
        </w:rPr>
        <w:t>seedlings</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keeping</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them</w:t>
      </w:r>
      <w:proofErr w:type="spellEnd"/>
      <w:r w:rsidR="008F7B6D" w:rsidRPr="00195F83">
        <w:rPr>
          <w:rFonts w:ascii="Times New Roman" w:eastAsia="Times New Roman" w:hAnsi="Times New Roman" w:cs="Times New Roman"/>
          <w:color w:val="000000"/>
          <w:sz w:val="24"/>
          <w:szCs w:val="24"/>
          <w:lang w:eastAsia="fr-FR"/>
        </w:rPr>
        <w:t xml:space="preserve"> in dry, cool places </w:t>
      </w:r>
      <w:proofErr w:type="spellStart"/>
      <w:r w:rsidR="008F7B6D" w:rsidRPr="00195F83">
        <w:rPr>
          <w:rFonts w:ascii="Times New Roman" w:eastAsia="Times New Roman" w:hAnsi="Times New Roman" w:cs="Times New Roman"/>
          <w:color w:val="000000"/>
          <w:sz w:val="24"/>
          <w:szCs w:val="24"/>
          <w:lang w:eastAsia="fr-FR"/>
        </w:rPr>
        <w:t>away</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from</w:t>
      </w:r>
      <w:proofErr w:type="spellEnd"/>
      <w:r w:rsidR="008F7B6D" w:rsidRPr="00195F83">
        <w:rPr>
          <w:rFonts w:ascii="Times New Roman" w:eastAsia="Times New Roman" w:hAnsi="Times New Roman" w:cs="Times New Roman"/>
          <w:color w:val="000000"/>
          <w:sz w:val="24"/>
          <w:szCs w:val="24"/>
          <w:lang w:eastAsia="fr-FR"/>
        </w:rPr>
        <w:t xml:space="preserve"> light, table </w:t>
      </w:r>
      <w:proofErr w:type="spellStart"/>
      <w:r w:rsidR="008F7B6D" w:rsidRPr="00195F83">
        <w:rPr>
          <w:rFonts w:ascii="Times New Roman" w:eastAsia="Times New Roman" w:hAnsi="Times New Roman" w:cs="Times New Roman"/>
          <w:color w:val="000000"/>
          <w:sz w:val="24"/>
          <w:szCs w:val="24"/>
          <w:lang w:eastAsia="fr-FR"/>
        </w:rPr>
        <w:t>salt</w:t>
      </w:r>
      <w:proofErr w:type="spellEnd"/>
      <w:r w:rsidR="008F7B6D" w:rsidRPr="00195F83">
        <w:rPr>
          <w:rFonts w:ascii="Times New Roman" w:eastAsia="Times New Roman" w:hAnsi="Times New Roman" w:cs="Times New Roman"/>
          <w:color w:val="000000"/>
          <w:sz w:val="24"/>
          <w:szCs w:val="24"/>
          <w:lang w:eastAsia="fr-FR"/>
        </w:rPr>
        <w:t xml:space="preserve">, and fats </w:t>
      </w:r>
      <w:r w:rsidR="00195F83" w:rsidRPr="00195F83">
        <w:rPr>
          <w:rFonts w:ascii="Times New Roman" w:eastAsia="Times New Roman" w:hAnsi="Times New Roman" w:cs="Times New Roman"/>
          <w:color w:val="000000"/>
          <w:sz w:val="24"/>
          <w:szCs w:val="24"/>
          <w:lang w:eastAsia="fr-FR"/>
        </w:rPr>
        <w:fldChar w:fldCharType="begin"/>
      </w:r>
      <w:r w:rsidR="00195F83" w:rsidRPr="00195F83">
        <w:rPr>
          <w:rFonts w:ascii="Times New Roman" w:eastAsia="Times New Roman" w:hAnsi="Times New Roman" w:cs="Times New Roman"/>
          <w:color w:val="000000"/>
          <w:sz w:val="24"/>
          <w:szCs w:val="24"/>
          <w:lang w:eastAsia="fr-FR"/>
        </w:rPr>
        <w:instrText xml:space="preserve"> ADDIN ZOTERO_ITEM CSL_CITATION {"citationID":"bCO9UiTU","properties":{"unsorted":false,"formattedCitation":"(Ou\\uc0\\u233{}draogo, Zongo et Sedogo, 2007)","plainCitation":"(Ouédraogo, Zongo et Sedogo, 2007)","noteIndex":0},"citationItems":[{"id":607,"uris":["http://zotero.org/users/14754811/items/7A52QQC6"],"itemData":{"id":607,"type":"article-journal","container-title":"Annales de Botanique de l’Afrique de l’Ouest","journalAbbreviation":"Annales de Botanique de l’Afrique de l’Ouest","page":"13-21","source":"ResearchGate","title":"Perceptions paysannes de la culture et des utilisations du « Fabirama » (Solenostemon rotundifolius (Poir.) J.K. Morton) dans le Plateau Central du Burkina Faso","author":[{"family":"Ouédraogo","given":"Amadé"},{"family":"Zongo","given":"Jean-Didier"},{"family":"Sedogo","given":"Alphonse"}],"issued":{"date-parts":[["2007",1,1]]}}}],"schema":"https://github.com/citation-style-language/schema/raw/master/csl-citation.json"} </w:instrText>
      </w:r>
      <w:r w:rsidR="00195F83" w:rsidRPr="00195F83">
        <w:rPr>
          <w:rFonts w:ascii="Times New Roman" w:eastAsia="Times New Roman" w:hAnsi="Times New Roman" w:cs="Times New Roman"/>
          <w:color w:val="000000"/>
          <w:sz w:val="24"/>
          <w:szCs w:val="24"/>
          <w:lang w:eastAsia="fr-FR"/>
        </w:rPr>
        <w:fldChar w:fldCharType="separate"/>
      </w:r>
      <w:r w:rsidR="00195F83" w:rsidRPr="00195F83">
        <w:rPr>
          <w:rFonts w:ascii="Times New Roman" w:hAnsi="Times New Roman" w:cs="Times New Roman"/>
          <w:kern w:val="0"/>
          <w:sz w:val="24"/>
        </w:rPr>
        <w:t xml:space="preserve">(Ouédraogo et </w:t>
      </w:r>
      <w:r w:rsidR="00195F83" w:rsidRPr="00195F83">
        <w:rPr>
          <w:rFonts w:ascii="Times New Roman" w:hAnsi="Times New Roman" w:cs="Times New Roman"/>
          <w:i/>
          <w:iCs/>
          <w:kern w:val="0"/>
          <w:sz w:val="24"/>
        </w:rPr>
        <w:t>al.,</w:t>
      </w:r>
      <w:r w:rsidR="00195F83" w:rsidRPr="00195F83">
        <w:rPr>
          <w:rFonts w:ascii="Times New Roman" w:hAnsi="Times New Roman" w:cs="Times New Roman"/>
          <w:kern w:val="0"/>
          <w:sz w:val="24"/>
        </w:rPr>
        <w:t xml:space="preserve"> 2007)</w:t>
      </w:r>
      <w:r w:rsidR="00195F83" w:rsidRPr="00195F83">
        <w:rPr>
          <w:rFonts w:ascii="Times New Roman" w:eastAsia="Times New Roman" w:hAnsi="Times New Roman" w:cs="Times New Roman"/>
          <w:color w:val="000000"/>
          <w:sz w:val="24"/>
          <w:szCs w:val="24"/>
          <w:lang w:eastAsia="fr-FR"/>
        </w:rPr>
        <w:fldChar w:fldCharType="end"/>
      </w:r>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Despite</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this</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storage</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remains</w:t>
      </w:r>
      <w:proofErr w:type="spellEnd"/>
      <w:r w:rsidR="008F7B6D" w:rsidRPr="00195F83">
        <w:rPr>
          <w:rFonts w:ascii="Times New Roman" w:eastAsia="Times New Roman" w:hAnsi="Times New Roman" w:cs="Times New Roman"/>
          <w:color w:val="000000"/>
          <w:sz w:val="24"/>
          <w:szCs w:val="24"/>
          <w:lang w:eastAsia="fr-FR"/>
        </w:rPr>
        <w:t xml:space="preserve"> a major </w:t>
      </w:r>
      <w:proofErr w:type="spellStart"/>
      <w:r w:rsidR="008F7B6D" w:rsidRPr="00195F83">
        <w:rPr>
          <w:rFonts w:ascii="Times New Roman" w:eastAsia="Times New Roman" w:hAnsi="Times New Roman" w:cs="Times New Roman"/>
          <w:color w:val="000000"/>
          <w:sz w:val="24"/>
          <w:szCs w:val="24"/>
          <w:lang w:eastAsia="fr-FR"/>
        </w:rPr>
        <w:t>constraint</w:t>
      </w:r>
      <w:proofErr w:type="spellEnd"/>
      <w:r w:rsidR="008F7B6D" w:rsidRPr="00195F83">
        <w:rPr>
          <w:rFonts w:ascii="Times New Roman" w:eastAsia="Times New Roman" w:hAnsi="Times New Roman" w:cs="Times New Roman"/>
          <w:color w:val="000000"/>
          <w:sz w:val="24"/>
          <w:szCs w:val="24"/>
          <w:lang w:eastAsia="fr-FR"/>
        </w:rPr>
        <w:t xml:space="preserve"> on production. </w:t>
      </w:r>
      <w:proofErr w:type="spellStart"/>
      <w:r w:rsidR="008F7B6D" w:rsidRPr="00195F83">
        <w:rPr>
          <w:rFonts w:ascii="Times New Roman" w:eastAsia="Times New Roman" w:hAnsi="Times New Roman" w:cs="Times New Roman"/>
          <w:color w:val="000000"/>
          <w:sz w:val="24"/>
          <w:szCs w:val="24"/>
          <w:lang w:eastAsia="fr-FR"/>
        </w:rPr>
        <w:t>Studies</w:t>
      </w:r>
      <w:proofErr w:type="spellEnd"/>
      <w:r w:rsidR="008F7B6D" w:rsidRPr="00195F83">
        <w:rPr>
          <w:rFonts w:ascii="Times New Roman" w:eastAsia="Times New Roman" w:hAnsi="Times New Roman" w:cs="Times New Roman"/>
          <w:color w:val="000000"/>
          <w:sz w:val="24"/>
          <w:szCs w:val="24"/>
          <w:lang w:eastAsia="fr-FR"/>
        </w:rPr>
        <w:t xml:space="preserve"> on </w:t>
      </w:r>
      <w:proofErr w:type="spellStart"/>
      <w:r w:rsidR="008F7B6D" w:rsidRPr="00195F83">
        <w:rPr>
          <w:rFonts w:ascii="Times New Roman" w:eastAsia="Times New Roman" w:hAnsi="Times New Roman" w:cs="Times New Roman"/>
          <w:color w:val="000000"/>
          <w:sz w:val="24"/>
          <w:szCs w:val="24"/>
          <w:lang w:eastAsia="fr-FR"/>
        </w:rPr>
        <w:t>storage</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methods</w:t>
      </w:r>
      <w:proofErr w:type="spellEnd"/>
      <w:r w:rsidR="008F7B6D" w:rsidRPr="00195F83">
        <w:rPr>
          <w:rFonts w:ascii="Times New Roman" w:eastAsia="Times New Roman" w:hAnsi="Times New Roman" w:cs="Times New Roman"/>
          <w:color w:val="000000"/>
          <w:sz w:val="24"/>
          <w:szCs w:val="24"/>
          <w:lang w:eastAsia="fr-FR"/>
        </w:rPr>
        <w:t xml:space="preserve"> have </w:t>
      </w:r>
      <w:proofErr w:type="spellStart"/>
      <w:r w:rsidR="008F7B6D" w:rsidRPr="00195F83">
        <w:rPr>
          <w:rFonts w:ascii="Times New Roman" w:eastAsia="Times New Roman" w:hAnsi="Times New Roman" w:cs="Times New Roman"/>
          <w:color w:val="000000"/>
          <w:sz w:val="24"/>
          <w:szCs w:val="24"/>
          <w:lang w:eastAsia="fr-FR"/>
        </w:rPr>
        <w:t>achieved</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approximately</w:t>
      </w:r>
      <w:proofErr w:type="spellEnd"/>
      <w:r w:rsidR="008F7B6D" w:rsidRPr="00195F83">
        <w:rPr>
          <w:rFonts w:ascii="Times New Roman" w:eastAsia="Times New Roman" w:hAnsi="Times New Roman" w:cs="Times New Roman"/>
          <w:color w:val="000000"/>
          <w:sz w:val="24"/>
          <w:szCs w:val="24"/>
          <w:lang w:eastAsia="fr-FR"/>
        </w:rPr>
        <w:t xml:space="preserve"> 80% </w:t>
      </w:r>
      <w:proofErr w:type="spellStart"/>
      <w:r w:rsidR="008F7B6D" w:rsidRPr="00195F83">
        <w:rPr>
          <w:rFonts w:ascii="Times New Roman" w:eastAsia="Times New Roman" w:hAnsi="Times New Roman" w:cs="Times New Roman"/>
          <w:color w:val="000000"/>
          <w:sz w:val="24"/>
          <w:szCs w:val="24"/>
          <w:lang w:eastAsia="fr-FR"/>
        </w:rPr>
        <w:t>sprouting</w:t>
      </w:r>
      <w:proofErr w:type="spellEnd"/>
      <w:r w:rsidR="008F7B6D" w:rsidRPr="00195F83">
        <w:rPr>
          <w:rFonts w:ascii="Times New Roman" w:eastAsia="Times New Roman" w:hAnsi="Times New Roman" w:cs="Times New Roman"/>
          <w:color w:val="000000"/>
          <w:sz w:val="24"/>
          <w:szCs w:val="24"/>
          <w:lang w:eastAsia="fr-FR"/>
        </w:rPr>
        <w:t xml:space="preserve"> rates and </w:t>
      </w:r>
      <w:proofErr w:type="spellStart"/>
      <w:r w:rsidR="008F7B6D" w:rsidRPr="00195F83">
        <w:rPr>
          <w:rFonts w:ascii="Times New Roman" w:eastAsia="Times New Roman" w:hAnsi="Times New Roman" w:cs="Times New Roman"/>
          <w:color w:val="000000"/>
          <w:sz w:val="24"/>
          <w:szCs w:val="24"/>
          <w:lang w:eastAsia="fr-FR"/>
        </w:rPr>
        <w:t>improved</w:t>
      </w:r>
      <w:proofErr w:type="spellEnd"/>
      <w:r w:rsidR="008F7B6D" w:rsidRPr="00195F83">
        <w:rPr>
          <w:rFonts w:ascii="Times New Roman" w:eastAsia="Times New Roman" w:hAnsi="Times New Roman" w:cs="Times New Roman"/>
          <w:color w:val="000000"/>
          <w:sz w:val="24"/>
          <w:szCs w:val="24"/>
          <w:lang w:eastAsia="fr-FR"/>
        </w:rPr>
        <w:t xml:space="preserve"> post-</w:t>
      </w:r>
      <w:proofErr w:type="spellStart"/>
      <w:r w:rsidR="008F7B6D" w:rsidRPr="00195F83">
        <w:rPr>
          <w:rFonts w:ascii="Times New Roman" w:eastAsia="Times New Roman" w:hAnsi="Times New Roman" w:cs="Times New Roman"/>
          <w:color w:val="000000"/>
          <w:sz w:val="24"/>
          <w:szCs w:val="24"/>
          <w:lang w:eastAsia="fr-FR"/>
        </w:rPr>
        <w:t>harvest</w:t>
      </w:r>
      <w:proofErr w:type="spellEnd"/>
      <w:r w:rsidR="008F7B6D" w:rsidRPr="00195F83">
        <w:rPr>
          <w:rFonts w:ascii="Times New Roman" w:eastAsia="Times New Roman" w:hAnsi="Times New Roman" w:cs="Times New Roman"/>
          <w:color w:val="000000"/>
          <w:sz w:val="24"/>
          <w:szCs w:val="24"/>
          <w:lang w:eastAsia="fr-FR"/>
        </w:rPr>
        <w:t xml:space="preserve"> management </w:t>
      </w:r>
      <w:r w:rsidR="00195F83" w:rsidRPr="00195F83">
        <w:rPr>
          <w:rFonts w:ascii="Times New Roman" w:hAnsi="Times New Roman" w:cs="Times New Roman"/>
          <w:kern w:val="0"/>
          <w:sz w:val="24"/>
        </w:rPr>
        <w:t xml:space="preserve">(Zongo </w:t>
      </w:r>
      <w:r w:rsidR="00195F83" w:rsidRPr="00195F83">
        <w:rPr>
          <w:rFonts w:ascii="Times New Roman" w:hAnsi="Times New Roman" w:cs="Times New Roman"/>
          <w:i/>
          <w:iCs/>
          <w:kern w:val="0"/>
          <w:sz w:val="24"/>
        </w:rPr>
        <w:t>et al.</w:t>
      </w:r>
      <w:r w:rsidR="00195F83" w:rsidRPr="00195F83">
        <w:rPr>
          <w:rFonts w:ascii="Times New Roman" w:hAnsi="Times New Roman" w:cs="Times New Roman"/>
          <w:kern w:val="0"/>
          <w:sz w:val="24"/>
        </w:rPr>
        <w:t>, 2024;)</w:t>
      </w:r>
      <w:r w:rsidR="00195F83" w:rsidRPr="00195F83">
        <w:rPr>
          <w:rFonts w:ascii="Times New Roman" w:eastAsia="Times New Roman" w:hAnsi="Times New Roman" w:cs="Times New Roman"/>
          <w:color w:val="000000"/>
          <w:sz w:val="24"/>
          <w:szCs w:val="24"/>
          <w:lang w:eastAsia="fr-FR"/>
        </w:rPr>
        <w:t>,</w:t>
      </w:r>
      <w:r w:rsidR="008F7B6D" w:rsidRPr="00195F83">
        <w:rPr>
          <w:rFonts w:ascii="Times New Roman" w:eastAsia="Times New Roman" w:hAnsi="Times New Roman" w:cs="Times New Roman"/>
          <w:color w:val="000000"/>
          <w:sz w:val="24"/>
          <w:szCs w:val="24"/>
          <w:lang w:eastAsia="fr-FR"/>
        </w:rPr>
        <w:t xml:space="preserve"> but the </w:t>
      </w:r>
      <w:proofErr w:type="spellStart"/>
      <w:r w:rsidR="008F7B6D" w:rsidRPr="00195F83">
        <w:rPr>
          <w:rFonts w:ascii="Times New Roman" w:eastAsia="Times New Roman" w:hAnsi="Times New Roman" w:cs="Times New Roman"/>
          <w:color w:val="000000"/>
          <w:sz w:val="24"/>
          <w:szCs w:val="24"/>
          <w:lang w:eastAsia="fr-FR"/>
        </w:rPr>
        <w:t>effect</w:t>
      </w:r>
      <w:proofErr w:type="spellEnd"/>
      <w:r w:rsidR="008F7B6D" w:rsidRPr="00195F83">
        <w:rPr>
          <w:rFonts w:ascii="Times New Roman" w:eastAsia="Times New Roman" w:hAnsi="Times New Roman" w:cs="Times New Roman"/>
          <w:color w:val="000000"/>
          <w:sz w:val="24"/>
          <w:szCs w:val="24"/>
          <w:lang w:eastAsia="fr-FR"/>
        </w:rPr>
        <w:t xml:space="preserve"> of </w:t>
      </w:r>
      <w:proofErr w:type="spellStart"/>
      <w:r w:rsidR="008F7B6D" w:rsidRPr="00195F83">
        <w:rPr>
          <w:rFonts w:ascii="Times New Roman" w:eastAsia="Times New Roman" w:hAnsi="Times New Roman" w:cs="Times New Roman"/>
          <w:color w:val="000000"/>
          <w:sz w:val="24"/>
          <w:szCs w:val="24"/>
          <w:lang w:eastAsia="fr-FR"/>
        </w:rPr>
        <w:t>these</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methods</w:t>
      </w:r>
      <w:proofErr w:type="spellEnd"/>
      <w:r w:rsidR="008F7B6D" w:rsidRPr="00195F83">
        <w:rPr>
          <w:rFonts w:ascii="Times New Roman" w:eastAsia="Times New Roman" w:hAnsi="Times New Roman" w:cs="Times New Roman"/>
          <w:color w:val="000000"/>
          <w:sz w:val="24"/>
          <w:szCs w:val="24"/>
          <w:lang w:eastAsia="fr-FR"/>
        </w:rPr>
        <w:t xml:space="preserve"> on the propagation phase has </w:t>
      </w:r>
      <w:proofErr w:type="spellStart"/>
      <w:r w:rsidR="008F7B6D" w:rsidRPr="00195F83">
        <w:rPr>
          <w:rFonts w:ascii="Times New Roman" w:eastAsia="Times New Roman" w:hAnsi="Times New Roman" w:cs="Times New Roman"/>
          <w:color w:val="000000"/>
          <w:sz w:val="24"/>
          <w:szCs w:val="24"/>
          <w:lang w:eastAsia="fr-FR"/>
        </w:rPr>
        <w:t>yet</w:t>
      </w:r>
      <w:proofErr w:type="spellEnd"/>
      <w:r w:rsidR="008F7B6D" w:rsidRPr="00195F83">
        <w:rPr>
          <w:rFonts w:ascii="Times New Roman" w:eastAsia="Times New Roman" w:hAnsi="Times New Roman" w:cs="Times New Roman"/>
          <w:color w:val="000000"/>
          <w:sz w:val="24"/>
          <w:szCs w:val="24"/>
          <w:lang w:eastAsia="fr-FR"/>
        </w:rPr>
        <w:t xml:space="preserve"> to </w:t>
      </w:r>
      <w:proofErr w:type="spellStart"/>
      <w:r w:rsidR="008F7B6D" w:rsidRPr="00195F83">
        <w:rPr>
          <w:rFonts w:ascii="Times New Roman" w:eastAsia="Times New Roman" w:hAnsi="Times New Roman" w:cs="Times New Roman"/>
          <w:color w:val="000000"/>
          <w:sz w:val="24"/>
          <w:szCs w:val="24"/>
          <w:lang w:eastAsia="fr-FR"/>
        </w:rPr>
        <w:t>be</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thoroughly</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studied</w:t>
      </w:r>
      <w:proofErr w:type="spellEnd"/>
      <w:r w:rsidR="008F7B6D" w:rsidRPr="00195F83">
        <w:rPr>
          <w:rFonts w:ascii="Times New Roman" w:eastAsia="Times New Roman" w:hAnsi="Times New Roman" w:cs="Times New Roman"/>
          <w:color w:val="000000"/>
          <w:sz w:val="24"/>
          <w:szCs w:val="24"/>
          <w:lang w:eastAsia="fr-FR"/>
        </w:rPr>
        <w:t xml:space="preserve">. This </w:t>
      </w:r>
      <w:proofErr w:type="spellStart"/>
      <w:r w:rsidR="008F7B6D" w:rsidRPr="00195F83">
        <w:rPr>
          <w:rFonts w:ascii="Times New Roman" w:eastAsia="Times New Roman" w:hAnsi="Times New Roman" w:cs="Times New Roman"/>
          <w:color w:val="000000"/>
          <w:sz w:val="24"/>
          <w:szCs w:val="24"/>
          <w:lang w:eastAsia="fr-FR"/>
        </w:rPr>
        <w:t>study</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aims</w:t>
      </w:r>
      <w:proofErr w:type="spellEnd"/>
      <w:r w:rsidR="008F7B6D" w:rsidRPr="00195F83">
        <w:rPr>
          <w:rFonts w:ascii="Times New Roman" w:eastAsia="Times New Roman" w:hAnsi="Times New Roman" w:cs="Times New Roman"/>
          <w:color w:val="000000"/>
          <w:sz w:val="24"/>
          <w:szCs w:val="24"/>
          <w:lang w:eastAsia="fr-FR"/>
        </w:rPr>
        <w:t xml:space="preserve"> to </w:t>
      </w:r>
      <w:proofErr w:type="spellStart"/>
      <w:r w:rsidR="008F7B6D" w:rsidRPr="00195F83">
        <w:rPr>
          <w:rFonts w:ascii="Times New Roman" w:eastAsia="Times New Roman" w:hAnsi="Times New Roman" w:cs="Times New Roman"/>
          <w:color w:val="000000"/>
          <w:sz w:val="24"/>
          <w:szCs w:val="24"/>
          <w:lang w:eastAsia="fr-FR"/>
        </w:rPr>
        <w:t>evaluate</w:t>
      </w:r>
      <w:proofErr w:type="spellEnd"/>
      <w:r w:rsidR="008F7B6D" w:rsidRPr="00195F83">
        <w:rPr>
          <w:rFonts w:ascii="Times New Roman" w:eastAsia="Times New Roman" w:hAnsi="Times New Roman" w:cs="Times New Roman"/>
          <w:color w:val="000000"/>
          <w:sz w:val="24"/>
          <w:szCs w:val="24"/>
          <w:lang w:eastAsia="fr-FR"/>
        </w:rPr>
        <w:t xml:space="preserve"> the </w:t>
      </w:r>
      <w:proofErr w:type="spellStart"/>
      <w:r w:rsidR="008F7B6D" w:rsidRPr="00195F83">
        <w:rPr>
          <w:rFonts w:ascii="Times New Roman" w:eastAsia="Times New Roman" w:hAnsi="Times New Roman" w:cs="Times New Roman"/>
          <w:color w:val="000000"/>
          <w:sz w:val="24"/>
          <w:szCs w:val="24"/>
          <w:lang w:eastAsia="fr-FR"/>
        </w:rPr>
        <w:t>physiological</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recovery</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capacity</w:t>
      </w:r>
      <w:proofErr w:type="spellEnd"/>
      <w:r w:rsidR="008F7B6D" w:rsidRPr="00195F83">
        <w:rPr>
          <w:rFonts w:ascii="Times New Roman" w:eastAsia="Times New Roman" w:hAnsi="Times New Roman" w:cs="Times New Roman"/>
          <w:color w:val="000000"/>
          <w:sz w:val="24"/>
          <w:szCs w:val="24"/>
          <w:lang w:eastAsia="fr-FR"/>
        </w:rPr>
        <w:t xml:space="preserve"> of S. </w:t>
      </w:r>
      <w:proofErr w:type="spellStart"/>
      <w:r w:rsidR="008F7B6D" w:rsidRPr="00195F83">
        <w:rPr>
          <w:rFonts w:ascii="Times New Roman" w:eastAsia="Times New Roman" w:hAnsi="Times New Roman" w:cs="Times New Roman"/>
          <w:color w:val="000000"/>
          <w:sz w:val="24"/>
          <w:szCs w:val="24"/>
          <w:lang w:eastAsia="fr-FR"/>
        </w:rPr>
        <w:t>rotundifolius</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lastRenderedPageBreak/>
        <w:t>seedlings</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under</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different</w:t>
      </w:r>
      <w:proofErr w:type="spellEnd"/>
      <w:r w:rsidR="008F7B6D" w:rsidRPr="00195F83">
        <w:rPr>
          <w:rFonts w:ascii="Times New Roman" w:eastAsia="Times New Roman" w:hAnsi="Times New Roman" w:cs="Times New Roman"/>
          <w:color w:val="000000"/>
          <w:sz w:val="24"/>
          <w:szCs w:val="24"/>
          <w:lang w:eastAsia="fr-FR"/>
        </w:rPr>
        <w:t xml:space="preserve"> conservation </w:t>
      </w:r>
      <w:proofErr w:type="spellStart"/>
      <w:r w:rsidR="008F7B6D" w:rsidRPr="00195F83">
        <w:rPr>
          <w:rFonts w:ascii="Times New Roman" w:eastAsia="Times New Roman" w:hAnsi="Times New Roman" w:cs="Times New Roman"/>
          <w:color w:val="000000"/>
          <w:sz w:val="24"/>
          <w:szCs w:val="24"/>
          <w:lang w:eastAsia="fr-FR"/>
        </w:rPr>
        <w:t>methods</w:t>
      </w:r>
      <w:proofErr w:type="spellEnd"/>
      <w:r w:rsidR="008F7B6D" w:rsidRPr="00195F83">
        <w:rPr>
          <w:rFonts w:ascii="Times New Roman" w:eastAsia="Times New Roman" w:hAnsi="Times New Roman" w:cs="Times New Roman"/>
          <w:color w:val="000000"/>
          <w:sz w:val="24"/>
          <w:szCs w:val="24"/>
          <w:lang w:eastAsia="fr-FR"/>
        </w:rPr>
        <w:t xml:space="preserve">, as </w:t>
      </w:r>
      <w:proofErr w:type="spellStart"/>
      <w:r w:rsidR="008F7B6D" w:rsidRPr="00195F83">
        <w:rPr>
          <w:rFonts w:ascii="Times New Roman" w:eastAsia="Times New Roman" w:hAnsi="Times New Roman" w:cs="Times New Roman"/>
          <w:color w:val="000000"/>
          <w:sz w:val="24"/>
          <w:szCs w:val="24"/>
          <w:lang w:eastAsia="fr-FR"/>
        </w:rPr>
        <w:t>well</w:t>
      </w:r>
      <w:proofErr w:type="spellEnd"/>
      <w:r w:rsidR="008F7B6D" w:rsidRPr="00195F83">
        <w:rPr>
          <w:rFonts w:ascii="Times New Roman" w:eastAsia="Times New Roman" w:hAnsi="Times New Roman" w:cs="Times New Roman"/>
          <w:color w:val="000000"/>
          <w:sz w:val="24"/>
          <w:szCs w:val="24"/>
          <w:lang w:eastAsia="fr-FR"/>
        </w:rPr>
        <w:t xml:space="preserve"> as </w:t>
      </w:r>
      <w:proofErr w:type="spellStart"/>
      <w:r w:rsidR="008F7B6D" w:rsidRPr="00195F83">
        <w:rPr>
          <w:rFonts w:ascii="Times New Roman" w:eastAsia="Times New Roman" w:hAnsi="Times New Roman" w:cs="Times New Roman"/>
          <w:color w:val="000000"/>
          <w:sz w:val="24"/>
          <w:szCs w:val="24"/>
          <w:lang w:eastAsia="fr-FR"/>
        </w:rPr>
        <w:t>their</w:t>
      </w:r>
      <w:proofErr w:type="spellEnd"/>
      <w:r w:rsidR="008F7B6D" w:rsidRPr="00195F83">
        <w:rPr>
          <w:rFonts w:ascii="Times New Roman" w:eastAsia="Times New Roman" w:hAnsi="Times New Roman" w:cs="Times New Roman"/>
          <w:color w:val="000000"/>
          <w:sz w:val="24"/>
          <w:szCs w:val="24"/>
          <w:lang w:eastAsia="fr-FR"/>
        </w:rPr>
        <w:t xml:space="preserve"> tuber </w:t>
      </w:r>
      <w:proofErr w:type="spellStart"/>
      <w:r w:rsidR="008F7B6D" w:rsidRPr="00195F83">
        <w:rPr>
          <w:rFonts w:ascii="Times New Roman" w:eastAsia="Times New Roman" w:hAnsi="Times New Roman" w:cs="Times New Roman"/>
          <w:color w:val="000000"/>
          <w:sz w:val="24"/>
          <w:szCs w:val="24"/>
          <w:lang w:eastAsia="fr-FR"/>
        </w:rPr>
        <w:t>yield</w:t>
      </w:r>
      <w:proofErr w:type="spellEnd"/>
      <w:r w:rsidR="008F7B6D" w:rsidRPr="00195F83">
        <w:rPr>
          <w:rFonts w:ascii="Times New Roman" w:eastAsia="Times New Roman" w:hAnsi="Times New Roman" w:cs="Times New Roman"/>
          <w:color w:val="000000"/>
          <w:sz w:val="24"/>
          <w:szCs w:val="24"/>
          <w:lang w:eastAsia="fr-FR"/>
        </w:rPr>
        <w:t xml:space="preserve"> </w:t>
      </w:r>
      <w:proofErr w:type="spellStart"/>
      <w:r w:rsidR="008F7B6D" w:rsidRPr="00195F83">
        <w:rPr>
          <w:rFonts w:ascii="Times New Roman" w:eastAsia="Times New Roman" w:hAnsi="Times New Roman" w:cs="Times New Roman"/>
          <w:color w:val="000000"/>
          <w:sz w:val="24"/>
          <w:szCs w:val="24"/>
          <w:lang w:eastAsia="fr-FR"/>
        </w:rPr>
        <w:t>during</w:t>
      </w:r>
      <w:proofErr w:type="spellEnd"/>
      <w:r w:rsidR="008F7B6D" w:rsidRPr="00195F83">
        <w:rPr>
          <w:rFonts w:ascii="Times New Roman" w:eastAsia="Times New Roman" w:hAnsi="Times New Roman" w:cs="Times New Roman"/>
          <w:color w:val="000000"/>
          <w:sz w:val="24"/>
          <w:szCs w:val="24"/>
          <w:lang w:eastAsia="fr-FR"/>
        </w:rPr>
        <w:t xml:space="preserve"> the propagation phase.</w:t>
      </w:r>
    </w:p>
    <w:p w14:paraId="25BB0A9A" w14:textId="77777777" w:rsidR="008D5701" w:rsidRPr="008D5701" w:rsidRDefault="008D5701" w:rsidP="001C17BD">
      <w:pPr>
        <w:pStyle w:val="Heading1"/>
        <w:spacing w:after="0" w:line="480" w:lineRule="auto"/>
        <w:jc w:val="both"/>
        <w:rPr>
          <w:rFonts w:ascii="Times New Roman" w:hAnsi="Times New Roman" w:cs="Times New Roman"/>
          <w:b/>
          <w:bCs/>
          <w:color w:val="auto"/>
          <w:sz w:val="24"/>
          <w:szCs w:val="24"/>
          <w:lang w:val="en-US"/>
        </w:rPr>
      </w:pPr>
      <w:r w:rsidRPr="008D5701">
        <w:rPr>
          <w:rFonts w:ascii="Times New Roman" w:hAnsi="Times New Roman" w:cs="Times New Roman"/>
          <w:b/>
          <w:bCs/>
          <w:color w:val="auto"/>
          <w:sz w:val="24"/>
          <w:szCs w:val="24"/>
          <w:lang w:val="en-US"/>
        </w:rPr>
        <w:t xml:space="preserve">Materials and Methods </w:t>
      </w:r>
    </w:p>
    <w:p w14:paraId="373419BE" w14:textId="77777777" w:rsidR="00A540A3" w:rsidRDefault="008D5701" w:rsidP="00A540A3">
      <w:pPr>
        <w:pStyle w:val="Heading2"/>
        <w:spacing w:before="0" w:line="480" w:lineRule="auto"/>
        <w:ind w:left="708"/>
        <w:jc w:val="both"/>
        <w:rPr>
          <w:rFonts w:ascii="Times New Roman" w:hAnsi="Times New Roman" w:cs="Times New Roman"/>
          <w:b/>
          <w:color w:val="auto"/>
          <w:sz w:val="24"/>
          <w:szCs w:val="24"/>
          <w:lang w:val="en-US"/>
        </w:rPr>
      </w:pPr>
      <w:r w:rsidRPr="008D5701">
        <w:rPr>
          <w:rFonts w:ascii="Times New Roman" w:hAnsi="Times New Roman" w:cs="Times New Roman"/>
          <w:b/>
          <w:color w:val="auto"/>
          <w:sz w:val="24"/>
          <w:szCs w:val="24"/>
          <w:lang w:val="en-US"/>
        </w:rPr>
        <w:t>Experimental Site</w:t>
      </w:r>
    </w:p>
    <w:p w14:paraId="410A0E15" w14:textId="3CCA47DF" w:rsidR="00A540A3" w:rsidRPr="00A540A3" w:rsidRDefault="00A540A3" w:rsidP="00A540A3">
      <w:pPr>
        <w:spacing w:line="480" w:lineRule="auto"/>
        <w:jc w:val="both"/>
        <w:rPr>
          <w:rFonts w:ascii="Times New Roman" w:eastAsiaTheme="majorEastAsia" w:hAnsi="Times New Roman" w:cs="Times New Roman"/>
          <w:b/>
          <w:sz w:val="24"/>
          <w:szCs w:val="24"/>
          <w:lang w:val="en-US"/>
        </w:rPr>
      </w:pPr>
      <w:r w:rsidRPr="00A540A3">
        <w:rPr>
          <w:rFonts w:ascii="Times New Roman" w:hAnsi="Times New Roman" w:cs="Times New Roman"/>
          <w:bCs/>
          <w:sz w:val="24"/>
          <w:szCs w:val="24"/>
          <w:lang w:val="en-US"/>
        </w:rPr>
        <w:t>The experiment was conducted at the experimental garden of Joseph KI-ZERBO University in Ouagadougou (12°21’56’’ N; 1°32’01’’ W) during the 2023/2024 rainy season, which saw 816.5 mm of rainfall over 68 days.</w:t>
      </w:r>
    </w:p>
    <w:p w14:paraId="65CBFC0B" w14:textId="3C55C241" w:rsidR="008D5701" w:rsidRPr="008D5701" w:rsidRDefault="008D5701" w:rsidP="001C17BD">
      <w:pPr>
        <w:pStyle w:val="Heading2"/>
        <w:spacing w:before="0" w:line="480" w:lineRule="auto"/>
        <w:ind w:left="708"/>
        <w:jc w:val="both"/>
        <w:rPr>
          <w:rFonts w:ascii="Times New Roman" w:hAnsi="Times New Roman" w:cs="Times New Roman"/>
          <w:b/>
          <w:color w:val="auto"/>
          <w:sz w:val="24"/>
          <w:szCs w:val="24"/>
          <w:lang w:val="en-US"/>
        </w:rPr>
      </w:pPr>
      <w:r w:rsidRPr="008D5701">
        <w:rPr>
          <w:rFonts w:ascii="Times New Roman" w:hAnsi="Times New Roman" w:cs="Times New Roman"/>
          <w:b/>
          <w:color w:val="auto"/>
          <w:sz w:val="24"/>
          <w:szCs w:val="24"/>
          <w:lang w:val="en-US"/>
        </w:rPr>
        <w:t>Plant material</w:t>
      </w:r>
    </w:p>
    <w:p w14:paraId="586B5034" w14:textId="7F79C684" w:rsidR="002258F0" w:rsidRDefault="008D5701" w:rsidP="001C17BD">
      <w:pPr>
        <w:spacing w:line="480" w:lineRule="auto"/>
        <w:jc w:val="both"/>
        <w:rPr>
          <w:rFonts w:ascii="Times New Roman" w:hAnsi="Times New Roman" w:cs="Times New Roman"/>
          <w:bCs/>
          <w:sz w:val="24"/>
          <w:szCs w:val="24"/>
          <w:lang w:val="en-US"/>
        </w:rPr>
      </w:pPr>
      <w:r w:rsidRPr="008D5701">
        <w:rPr>
          <w:rFonts w:ascii="Times New Roman" w:hAnsi="Times New Roman" w:cs="Times New Roman"/>
          <w:bCs/>
          <w:sz w:val="24"/>
          <w:szCs w:val="24"/>
          <w:lang w:val="en-US"/>
        </w:rPr>
        <w:t xml:space="preserve">The plant material consisted of seedlings from five (05) genotypes (E120, E165, E186, White, UW086M) of </w:t>
      </w:r>
      <w:r w:rsidRPr="008D5701">
        <w:rPr>
          <w:rFonts w:ascii="Times New Roman" w:hAnsi="Times New Roman" w:cs="Times New Roman"/>
          <w:bCs/>
          <w:i/>
          <w:iCs/>
          <w:sz w:val="24"/>
          <w:szCs w:val="24"/>
          <w:lang w:val="en-US"/>
        </w:rPr>
        <w:t xml:space="preserve">S. </w:t>
      </w:r>
      <w:proofErr w:type="spellStart"/>
      <w:r w:rsidRPr="008D5701">
        <w:rPr>
          <w:rFonts w:ascii="Times New Roman" w:hAnsi="Times New Roman" w:cs="Times New Roman"/>
          <w:bCs/>
          <w:i/>
          <w:iCs/>
          <w:sz w:val="24"/>
          <w:szCs w:val="24"/>
          <w:lang w:val="en-US"/>
        </w:rPr>
        <w:t>rotundifolius</w:t>
      </w:r>
      <w:proofErr w:type="spellEnd"/>
      <w:r w:rsidRPr="008D5701">
        <w:rPr>
          <w:rFonts w:ascii="Times New Roman" w:hAnsi="Times New Roman" w:cs="Times New Roman"/>
          <w:bCs/>
          <w:sz w:val="24"/>
          <w:szCs w:val="24"/>
          <w:lang w:val="en-US"/>
        </w:rPr>
        <w:t xml:space="preserve"> </w:t>
      </w:r>
      <w:r w:rsidR="00FE55A1">
        <w:rPr>
          <w:rFonts w:ascii="Times New Roman" w:hAnsi="Times New Roman" w:cs="Times New Roman"/>
          <w:bCs/>
          <w:sz w:val="24"/>
          <w:szCs w:val="24"/>
          <w:lang w:val="en-US"/>
        </w:rPr>
        <w:t xml:space="preserve">(Figure 1) </w:t>
      </w:r>
      <w:r w:rsidRPr="008D5701">
        <w:rPr>
          <w:rFonts w:ascii="Times New Roman" w:hAnsi="Times New Roman" w:cs="Times New Roman"/>
          <w:bCs/>
          <w:sz w:val="24"/>
          <w:szCs w:val="24"/>
          <w:lang w:val="en-US"/>
        </w:rPr>
        <w:t>derived from nine (9) conservation methods, namely: storage in “</w:t>
      </w:r>
      <w:proofErr w:type="spellStart"/>
      <w:r w:rsidRPr="008D5701">
        <w:rPr>
          <w:rFonts w:ascii="Times New Roman" w:hAnsi="Times New Roman" w:cs="Times New Roman"/>
          <w:bCs/>
          <w:sz w:val="24"/>
          <w:szCs w:val="24"/>
          <w:lang w:val="en-US"/>
        </w:rPr>
        <w:t>bitatoré</w:t>
      </w:r>
      <w:proofErr w:type="spellEnd"/>
      <w:r w:rsidRPr="008D5701">
        <w:rPr>
          <w:rFonts w:ascii="Times New Roman" w:hAnsi="Times New Roman" w:cs="Times New Roman"/>
          <w:bCs/>
          <w:sz w:val="24"/>
          <w:szCs w:val="24"/>
          <w:lang w:val="en-US"/>
        </w:rPr>
        <w:t>” without additives (BITA), “</w:t>
      </w:r>
      <w:proofErr w:type="spellStart"/>
      <w:r w:rsidRPr="008D5701">
        <w:rPr>
          <w:rFonts w:ascii="Times New Roman" w:hAnsi="Times New Roman" w:cs="Times New Roman"/>
          <w:bCs/>
          <w:sz w:val="24"/>
          <w:szCs w:val="24"/>
          <w:lang w:val="en-US"/>
        </w:rPr>
        <w:t>bitatoré</w:t>
      </w:r>
      <w:proofErr w:type="spellEnd"/>
      <w:r w:rsidRPr="008D5701">
        <w:rPr>
          <w:rFonts w:ascii="Times New Roman" w:hAnsi="Times New Roman" w:cs="Times New Roman"/>
          <w:bCs/>
          <w:sz w:val="24"/>
          <w:szCs w:val="24"/>
          <w:lang w:val="en-US"/>
        </w:rPr>
        <w:t>” with wood chips as additive (BITA+CB), “</w:t>
      </w:r>
      <w:proofErr w:type="spellStart"/>
      <w:r w:rsidRPr="008D5701">
        <w:rPr>
          <w:rFonts w:ascii="Times New Roman" w:hAnsi="Times New Roman" w:cs="Times New Roman"/>
          <w:bCs/>
          <w:sz w:val="24"/>
          <w:szCs w:val="24"/>
          <w:lang w:val="en-US"/>
        </w:rPr>
        <w:t>bitatoré</w:t>
      </w:r>
      <w:proofErr w:type="spellEnd"/>
      <w:r w:rsidRPr="008D5701">
        <w:rPr>
          <w:rFonts w:ascii="Times New Roman" w:hAnsi="Times New Roman" w:cs="Times New Roman"/>
          <w:bCs/>
          <w:sz w:val="24"/>
          <w:szCs w:val="24"/>
          <w:lang w:val="en-US"/>
        </w:rPr>
        <w:t>” with millet husks as additive (BITA+G), “</w:t>
      </w:r>
      <w:proofErr w:type="spellStart"/>
      <w:r w:rsidRPr="008D5701">
        <w:rPr>
          <w:rFonts w:ascii="Times New Roman" w:hAnsi="Times New Roman" w:cs="Times New Roman"/>
          <w:bCs/>
          <w:sz w:val="24"/>
          <w:szCs w:val="24"/>
          <w:lang w:val="en-US"/>
        </w:rPr>
        <w:t>bitatoré</w:t>
      </w:r>
      <w:proofErr w:type="spellEnd"/>
      <w:r w:rsidRPr="008D5701">
        <w:rPr>
          <w:rFonts w:ascii="Times New Roman" w:hAnsi="Times New Roman" w:cs="Times New Roman"/>
          <w:bCs/>
          <w:sz w:val="24"/>
          <w:szCs w:val="24"/>
          <w:lang w:val="en-US"/>
        </w:rPr>
        <w:t>” with sand as an additive (BITA+S), canaries without additives (CAN), canaries with millet husks as additive (CAN+G), canaries with wood chips as additive (CAN+CB), canaries with sand as additives (CAN+S), and according to the Storage in Sand and Sprouting or Triple S (</w:t>
      </w:r>
      <w:proofErr w:type="spellStart"/>
      <w:r w:rsidRPr="008D5701">
        <w:rPr>
          <w:rFonts w:ascii="Times New Roman" w:hAnsi="Times New Roman" w:cs="Times New Roman"/>
          <w:bCs/>
          <w:sz w:val="24"/>
          <w:szCs w:val="24"/>
          <w:lang w:val="en-US"/>
        </w:rPr>
        <w:t>TriS</w:t>
      </w:r>
      <w:proofErr w:type="spellEnd"/>
      <w:r w:rsidRPr="008D5701">
        <w:rPr>
          <w:rFonts w:ascii="Times New Roman" w:hAnsi="Times New Roman" w:cs="Times New Roman"/>
          <w:bCs/>
          <w:sz w:val="24"/>
          <w:szCs w:val="24"/>
          <w:lang w:val="en-US"/>
        </w:rPr>
        <w:t>) system. The seedlings were stored using these methods for 6 months.</w:t>
      </w:r>
    </w:p>
    <w:p w14:paraId="3FEF45DB" w14:textId="77777777" w:rsidR="00FE55A1" w:rsidRDefault="00FE55A1" w:rsidP="001C17BD">
      <w:pPr>
        <w:keepNext/>
        <w:spacing w:line="480" w:lineRule="auto"/>
        <w:ind w:left="1416"/>
        <w:jc w:val="both"/>
      </w:pPr>
      <w:r>
        <w:rPr>
          <w:rFonts w:ascii="Times New Roman" w:hAnsi="Times New Roman" w:cs="Times New Roman"/>
          <w:bCs/>
          <w:noProof/>
          <w:sz w:val="24"/>
          <w:szCs w:val="24"/>
          <w:lang w:val="en-US"/>
        </w:rPr>
        <w:drawing>
          <wp:inline distT="0" distB="0" distL="0" distR="0" wp14:anchorId="7BCE5DCC" wp14:editId="7FC9A40A">
            <wp:extent cx="3861669" cy="2199640"/>
            <wp:effectExtent l="0" t="0" r="5715" b="0"/>
            <wp:docPr id="3353353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335333" name="Image 335335333"/>
                    <pic:cNvPicPr/>
                  </pic:nvPicPr>
                  <pic:blipFill rotWithShape="1">
                    <a:blip r:embed="rId8" cstate="print">
                      <a:extLst>
                        <a:ext uri="{28A0092B-C50C-407E-A947-70E740481C1C}">
                          <a14:useLocalDpi xmlns:a14="http://schemas.microsoft.com/office/drawing/2010/main" val="0"/>
                        </a:ext>
                      </a:extLst>
                    </a:blip>
                    <a:srcRect l="3086" b="1861"/>
                    <a:stretch>
                      <a:fillRect/>
                    </a:stretch>
                  </pic:blipFill>
                  <pic:spPr bwMode="auto">
                    <a:xfrm>
                      <a:off x="0" y="0"/>
                      <a:ext cx="3870973" cy="2204939"/>
                    </a:xfrm>
                    <a:prstGeom prst="rect">
                      <a:avLst/>
                    </a:prstGeom>
                    <a:ln>
                      <a:noFill/>
                    </a:ln>
                    <a:extLst>
                      <a:ext uri="{53640926-AAD7-44D8-BBD7-CCE9431645EC}">
                        <a14:shadowObscured xmlns:a14="http://schemas.microsoft.com/office/drawing/2010/main"/>
                      </a:ext>
                    </a:extLst>
                  </pic:spPr>
                </pic:pic>
              </a:graphicData>
            </a:graphic>
          </wp:inline>
        </w:drawing>
      </w:r>
    </w:p>
    <w:p w14:paraId="0C33A5BF" w14:textId="4F267A0F" w:rsidR="00FE55A1" w:rsidRPr="00FE55A1" w:rsidRDefault="00FE55A1" w:rsidP="001C17BD">
      <w:pPr>
        <w:pStyle w:val="Caption"/>
        <w:spacing w:line="480" w:lineRule="auto"/>
        <w:ind w:left="708"/>
        <w:jc w:val="both"/>
        <w:rPr>
          <w:rFonts w:ascii="Times New Roman" w:hAnsi="Times New Roman"/>
          <w:i w:val="0"/>
          <w:iCs w:val="0"/>
          <w:color w:val="auto"/>
          <w:sz w:val="24"/>
          <w:szCs w:val="24"/>
        </w:rPr>
      </w:pPr>
      <w:r w:rsidRPr="00FE55A1">
        <w:rPr>
          <w:rFonts w:ascii="Times New Roman" w:hAnsi="Times New Roman"/>
          <w:b/>
          <w:bCs/>
          <w:i w:val="0"/>
          <w:iCs w:val="0"/>
          <w:color w:val="auto"/>
          <w:sz w:val="24"/>
          <w:szCs w:val="24"/>
        </w:rPr>
        <w:t xml:space="preserve">Figure </w:t>
      </w:r>
      <w:r w:rsidRPr="00FE55A1">
        <w:rPr>
          <w:rFonts w:ascii="Times New Roman" w:hAnsi="Times New Roman"/>
          <w:b/>
          <w:bCs/>
          <w:i w:val="0"/>
          <w:iCs w:val="0"/>
          <w:color w:val="auto"/>
          <w:sz w:val="24"/>
          <w:szCs w:val="24"/>
        </w:rPr>
        <w:fldChar w:fldCharType="begin"/>
      </w:r>
      <w:r w:rsidRPr="00FE55A1">
        <w:rPr>
          <w:rFonts w:ascii="Times New Roman" w:hAnsi="Times New Roman"/>
          <w:b/>
          <w:bCs/>
          <w:i w:val="0"/>
          <w:iCs w:val="0"/>
          <w:color w:val="auto"/>
          <w:sz w:val="24"/>
          <w:szCs w:val="24"/>
        </w:rPr>
        <w:instrText xml:space="preserve"> SEQ Figure \* ARABIC </w:instrText>
      </w:r>
      <w:r w:rsidRPr="00FE55A1">
        <w:rPr>
          <w:rFonts w:ascii="Times New Roman" w:hAnsi="Times New Roman"/>
          <w:b/>
          <w:bCs/>
          <w:i w:val="0"/>
          <w:iCs w:val="0"/>
          <w:color w:val="auto"/>
          <w:sz w:val="24"/>
          <w:szCs w:val="24"/>
        </w:rPr>
        <w:fldChar w:fldCharType="separate"/>
      </w:r>
      <w:r>
        <w:rPr>
          <w:rFonts w:ascii="Times New Roman" w:hAnsi="Times New Roman"/>
          <w:b/>
          <w:bCs/>
          <w:i w:val="0"/>
          <w:iCs w:val="0"/>
          <w:noProof/>
          <w:color w:val="auto"/>
          <w:sz w:val="24"/>
          <w:szCs w:val="24"/>
        </w:rPr>
        <w:t>1</w:t>
      </w:r>
      <w:r w:rsidRPr="00FE55A1">
        <w:rPr>
          <w:rFonts w:ascii="Times New Roman" w:hAnsi="Times New Roman"/>
          <w:b/>
          <w:bCs/>
          <w:i w:val="0"/>
          <w:iCs w:val="0"/>
          <w:color w:val="auto"/>
          <w:sz w:val="24"/>
          <w:szCs w:val="24"/>
        </w:rPr>
        <w:fldChar w:fldCharType="end"/>
      </w:r>
      <w:r w:rsidRPr="00FE55A1">
        <w:rPr>
          <w:rFonts w:ascii="Times New Roman" w:hAnsi="Times New Roman"/>
          <w:b/>
          <w:bCs/>
          <w:i w:val="0"/>
          <w:iCs w:val="0"/>
          <w:color w:val="auto"/>
          <w:sz w:val="24"/>
          <w:szCs w:val="24"/>
        </w:rPr>
        <w:t>:</w:t>
      </w:r>
      <w:r w:rsidRPr="00FE55A1">
        <w:rPr>
          <w:rFonts w:ascii="Times New Roman" w:hAnsi="Times New Roman"/>
          <w:i w:val="0"/>
          <w:iCs w:val="0"/>
          <w:color w:val="auto"/>
          <w:sz w:val="24"/>
          <w:szCs w:val="24"/>
        </w:rPr>
        <w:t xml:space="preserve"> Illustration of the </w:t>
      </w:r>
      <w:proofErr w:type="spellStart"/>
      <w:r w:rsidRPr="00FE55A1">
        <w:rPr>
          <w:rFonts w:ascii="Times New Roman" w:hAnsi="Times New Roman"/>
          <w:i w:val="0"/>
          <w:iCs w:val="0"/>
          <w:color w:val="auto"/>
          <w:sz w:val="24"/>
          <w:szCs w:val="24"/>
        </w:rPr>
        <w:t>seedlings</w:t>
      </w:r>
      <w:proofErr w:type="spellEnd"/>
      <w:r w:rsidRPr="00FE55A1">
        <w:rPr>
          <w:rFonts w:ascii="Times New Roman" w:hAnsi="Times New Roman"/>
          <w:i w:val="0"/>
          <w:iCs w:val="0"/>
          <w:color w:val="auto"/>
          <w:sz w:val="24"/>
          <w:szCs w:val="24"/>
        </w:rPr>
        <w:t xml:space="preserve"> of the 5 </w:t>
      </w:r>
      <w:proofErr w:type="spellStart"/>
      <w:r w:rsidRPr="00FE55A1">
        <w:rPr>
          <w:rFonts w:ascii="Times New Roman" w:hAnsi="Times New Roman"/>
          <w:i w:val="0"/>
          <w:iCs w:val="0"/>
          <w:color w:val="auto"/>
          <w:sz w:val="24"/>
          <w:szCs w:val="24"/>
        </w:rPr>
        <w:t>genotypes</w:t>
      </w:r>
      <w:proofErr w:type="spellEnd"/>
      <w:r w:rsidRPr="00FE55A1">
        <w:rPr>
          <w:rFonts w:ascii="Times New Roman" w:hAnsi="Times New Roman"/>
          <w:i w:val="0"/>
          <w:iCs w:val="0"/>
          <w:color w:val="auto"/>
          <w:sz w:val="24"/>
          <w:szCs w:val="24"/>
        </w:rPr>
        <w:t xml:space="preserve"> </w:t>
      </w:r>
      <w:proofErr w:type="spellStart"/>
      <w:r w:rsidRPr="00FE55A1">
        <w:rPr>
          <w:rFonts w:ascii="Times New Roman" w:hAnsi="Times New Roman"/>
          <w:i w:val="0"/>
          <w:iCs w:val="0"/>
          <w:color w:val="auto"/>
          <w:sz w:val="24"/>
          <w:szCs w:val="24"/>
        </w:rPr>
        <w:t>evaluated</w:t>
      </w:r>
      <w:proofErr w:type="spellEnd"/>
    </w:p>
    <w:p w14:paraId="3D676597" w14:textId="77777777" w:rsidR="000E3E02" w:rsidRPr="000E3E02" w:rsidRDefault="000E3E02" w:rsidP="001C17BD">
      <w:pPr>
        <w:pStyle w:val="Heading2"/>
        <w:spacing w:before="0" w:line="480" w:lineRule="auto"/>
        <w:ind w:left="708"/>
        <w:jc w:val="both"/>
        <w:rPr>
          <w:rFonts w:ascii="Times New Roman" w:hAnsi="Times New Roman" w:cs="Times New Roman"/>
          <w:b/>
          <w:color w:val="auto"/>
          <w:sz w:val="24"/>
          <w:szCs w:val="24"/>
          <w:lang w:val="en-US"/>
        </w:rPr>
      </w:pPr>
      <w:r w:rsidRPr="000E3E02">
        <w:rPr>
          <w:rFonts w:ascii="Times New Roman" w:hAnsi="Times New Roman" w:cs="Times New Roman"/>
          <w:b/>
          <w:color w:val="auto"/>
          <w:sz w:val="24"/>
          <w:szCs w:val="24"/>
          <w:lang w:val="en-US"/>
        </w:rPr>
        <w:lastRenderedPageBreak/>
        <w:t>Conservation methods used before the multiplication experiment</w:t>
      </w:r>
    </w:p>
    <w:p w14:paraId="38D9748F" w14:textId="1D95813F" w:rsidR="000E3E02" w:rsidRDefault="000E3E02" w:rsidP="001C17BD">
      <w:pPr>
        <w:spacing w:after="0" w:line="480" w:lineRule="auto"/>
        <w:jc w:val="both"/>
        <w:rPr>
          <w:rFonts w:ascii="Times New Roman" w:hAnsi="Times New Roman" w:cs="Times New Roman"/>
          <w:bCs/>
          <w:sz w:val="24"/>
          <w:szCs w:val="24"/>
          <w:lang w:val="en-US"/>
        </w:rPr>
      </w:pPr>
      <w:r w:rsidRPr="000E3E02">
        <w:rPr>
          <w:rFonts w:ascii="Times New Roman" w:hAnsi="Times New Roman" w:cs="Times New Roman"/>
          <w:bCs/>
          <w:sz w:val="24"/>
          <w:szCs w:val="24"/>
          <w:lang w:val="en-US"/>
        </w:rPr>
        <w:t>The conservation materials consisted of containers (“</w:t>
      </w:r>
      <w:proofErr w:type="spellStart"/>
      <w:r w:rsidRPr="000E3E02">
        <w:rPr>
          <w:rFonts w:ascii="Times New Roman" w:hAnsi="Times New Roman" w:cs="Times New Roman"/>
          <w:bCs/>
          <w:sz w:val="24"/>
          <w:szCs w:val="24"/>
          <w:lang w:val="en-US"/>
        </w:rPr>
        <w:t>bitatoré</w:t>
      </w:r>
      <w:proofErr w:type="spellEnd"/>
      <w:r w:rsidRPr="000E3E02">
        <w:rPr>
          <w:rFonts w:ascii="Times New Roman" w:hAnsi="Times New Roman" w:cs="Times New Roman"/>
          <w:bCs/>
          <w:sz w:val="24"/>
          <w:szCs w:val="24"/>
          <w:lang w:val="en-US"/>
        </w:rPr>
        <w:t xml:space="preserve">,” the canary, and basins) and additives (millet husks, sand, and wood shavings) (Figure </w:t>
      </w:r>
      <w:r w:rsidR="00FE55A1">
        <w:rPr>
          <w:rFonts w:ascii="Times New Roman" w:hAnsi="Times New Roman" w:cs="Times New Roman"/>
          <w:bCs/>
          <w:sz w:val="24"/>
          <w:szCs w:val="24"/>
          <w:lang w:val="en-US"/>
        </w:rPr>
        <w:t>2</w:t>
      </w:r>
      <w:r w:rsidRPr="000E3E02">
        <w:rPr>
          <w:rFonts w:ascii="Times New Roman" w:hAnsi="Times New Roman" w:cs="Times New Roman"/>
          <w:bCs/>
          <w:sz w:val="24"/>
          <w:szCs w:val="24"/>
          <w:lang w:val="en-US"/>
        </w:rPr>
        <w:t>). During the seedling conservation period, the temperature recorded in the containers ranged from 28.63 ± 0.12 °C to 32.35 ± 0.20 °C in the “</w:t>
      </w:r>
      <w:proofErr w:type="spellStart"/>
      <w:r w:rsidRPr="000E3E02">
        <w:rPr>
          <w:rFonts w:ascii="Times New Roman" w:hAnsi="Times New Roman" w:cs="Times New Roman"/>
          <w:bCs/>
          <w:sz w:val="24"/>
          <w:szCs w:val="24"/>
          <w:lang w:val="en-US"/>
        </w:rPr>
        <w:t>bitatoré</w:t>
      </w:r>
      <w:proofErr w:type="spellEnd"/>
      <w:r w:rsidRPr="000E3E02">
        <w:rPr>
          <w:rFonts w:ascii="Times New Roman" w:hAnsi="Times New Roman" w:cs="Times New Roman"/>
          <w:bCs/>
          <w:sz w:val="24"/>
          <w:szCs w:val="24"/>
          <w:lang w:val="en-US"/>
        </w:rPr>
        <w:t>,” compared to 27.43 ± 1.18 °C and 32.95 ± 0.58 °C in the canaries. As for relative humidity, it ranged from 32.40 ± 0.10% to 43.50 ± 0.50% in the “</w:t>
      </w:r>
      <w:proofErr w:type="spellStart"/>
      <w:r w:rsidRPr="000E3E02">
        <w:rPr>
          <w:rFonts w:ascii="Times New Roman" w:hAnsi="Times New Roman" w:cs="Times New Roman"/>
          <w:bCs/>
          <w:sz w:val="24"/>
          <w:szCs w:val="24"/>
          <w:lang w:val="en-US"/>
        </w:rPr>
        <w:t>bitatoré</w:t>
      </w:r>
      <w:proofErr w:type="spellEnd"/>
      <w:r w:rsidRPr="000E3E02">
        <w:rPr>
          <w:rFonts w:ascii="Times New Roman" w:hAnsi="Times New Roman" w:cs="Times New Roman"/>
          <w:bCs/>
          <w:sz w:val="24"/>
          <w:szCs w:val="24"/>
          <w:lang w:val="en-US"/>
        </w:rPr>
        <w:t xml:space="preserve">,” while in the </w:t>
      </w:r>
      <w:proofErr w:type="spellStart"/>
      <w:r w:rsidRPr="000E3E02">
        <w:rPr>
          <w:rFonts w:ascii="Times New Roman" w:hAnsi="Times New Roman" w:cs="Times New Roman"/>
          <w:bCs/>
          <w:sz w:val="24"/>
          <w:szCs w:val="24"/>
          <w:lang w:val="en-US"/>
        </w:rPr>
        <w:t>canaris</w:t>
      </w:r>
      <w:proofErr w:type="spellEnd"/>
      <w:r w:rsidRPr="000E3E02">
        <w:rPr>
          <w:rFonts w:ascii="Times New Roman" w:hAnsi="Times New Roman" w:cs="Times New Roman"/>
          <w:bCs/>
          <w:sz w:val="24"/>
          <w:szCs w:val="24"/>
          <w:lang w:val="en-US"/>
        </w:rPr>
        <w:t xml:space="preserve"> it ranged from 30.00 ± 1.26% to 43.17 ± 0.67%. The average CO2 concentration ranged from 1253.33 ± 62.09 to 2612.50 ± 246.81 ppm inside the “</w:t>
      </w:r>
      <w:proofErr w:type="spellStart"/>
      <w:r>
        <w:rPr>
          <w:rFonts w:ascii="Times New Roman" w:hAnsi="Times New Roman" w:cs="Times New Roman"/>
          <w:bCs/>
          <w:sz w:val="24"/>
          <w:szCs w:val="24"/>
          <w:lang w:val="en-US"/>
        </w:rPr>
        <w:t>b</w:t>
      </w:r>
      <w:r w:rsidRPr="000E3E02">
        <w:rPr>
          <w:rFonts w:ascii="Times New Roman" w:hAnsi="Times New Roman" w:cs="Times New Roman"/>
          <w:bCs/>
          <w:sz w:val="24"/>
          <w:szCs w:val="24"/>
          <w:lang w:val="en-US"/>
        </w:rPr>
        <w:t>itatoré</w:t>
      </w:r>
      <w:proofErr w:type="spellEnd"/>
      <w:r w:rsidRPr="000E3E02">
        <w:rPr>
          <w:rFonts w:ascii="Times New Roman" w:hAnsi="Times New Roman" w:cs="Times New Roman"/>
          <w:bCs/>
          <w:sz w:val="24"/>
          <w:szCs w:val="24"/>
          <w:lang w:val="en-US"/>
        </w:rPr>
        <w:t>,” compared to a range of 1150.00 ± 36.00 to 2127.50 ± 96.09 ppm in the canaries.</w:t>
      </w:r>
      <w:r>
        <w:rPr>
          <w:rFonts w:ascii="Times New Roman" w:hAnsi="Times New Roman" w:cs="Times New Roman"/>
          <w:bCs/>
          <w:sz w:val="24"/>
          <w:szCs w:val="24"/>
          <w:lang w:val="en-US"/>
        </w:rPr>
        <w:t xml:space="preserve"> </w:t>
      </w:r>
    </w:p>
    <w:p w14:paraId="294691F7" w14:textId="77777777" w:rsidR="000E3E02" w:rsidRPr="000E3E02" w:rsidRDefault="000E3E02" w:rsidP="001C17BD">
      <w:pPr>
        <w:spacing w:after="0" w:line="480" w:lineRule="auto"/>
        <w:jc w:val="both"/>
        <w:rPr>
          <w:rFonts w:ascii="Times New Roman" w:hAnsi="Times New Roman" w:cs="Times New Roman"/>
          <w:bCs/>
          <w:sz w:val="24"/>
          <w:szCs w:val="24"/>
          <w:lang w:val="en-US"/>
        </w:rPr>
      </w:pPr>
      <w:r w:rsidRPr="000E3E02">
        <w:rPr>
          <w:rFonts w:ascii="Times New Roman" w:hAnsi="Times New Roman" w:cs="Times New Roman"/>
          <w:bCs/>
          <w:sz w:val="24"/>
          <w:szCs w:val="24"/>
          <w:lang w:val="en-US"/>
        </w:rPr>
        <w:t>The “</w:t>
      </w:r>
      <w:proofErr w:type="spellStart"/>
      <w:r w:rsidRPr="000E3E02">
        <w:rPr>
          <w:rFonts w:ascii="Times New Roman" w:hAnsi="Times New Roman" w:cs="Times New Roman"/>
          <w:bCs/>
          <w:sz w:val="24"/>
          <w:szCs w:val="24"/>
          <w:lang w:val="en-US"/>
        </w:rPr>
        <w:t>bitatoré</w:t>
      </w:r>
      <w:proofErr w:type="spellEnd"/>
      <w:r w:rsidRPr="000E3E02">
        <w:rPr>
          <w:rFonts w:ascii="Times New Roman" w:hAnsi="Times New Roman" w:cs="Times New Roman"/>
          <w:bCs/>
          <w:sz w:val="24"/>
          <w:szCs w:val="24"/>
          <w:lang w:val="en-US"/>
        </w:rPr>
        <w:t>” is a straw basket lined with insulation to moderate the internal temperature and reduce heat exchange with the outside (</w:t>
      </w:r>
      <w:proofErr w:type="spellStart"/>
      <w:r w:rsidRPr="000E3E02">
        <w:rPr>
          <w:rFonts w:ascii="Times New Roman" w:hAnsi="Times New Roman" w:cs="Times New Roman"/>
          <w:bCs/>
          <w:sz w:val="24"/>
          <w:szCs w:val="24"/>
          <w:lang w:val="en-US"/>
        </w:rPr>
        <w:t>Zongo</w:t>
      </w:r>
      <w:proofErr w:type="spellEnd"/>
      <w:r w:rsidRPr="000E3E02">
        <w:rPr>
          <w:rFonts w:ascii="Times New Roman" w:hAnsi="Times New Roman" w:cs="Times New Roman"/>
          <w:bCs/>
          <w:sz w:val="24"/>
          <w:szCs w:val="24"/>
          <w:lang w:val="en-US"/>
        </w:rPr>
        <w:t xml:space="preserve"> et al. 2024). The </w:t>
      </w:r>
      <w:proofErr w:type="spellStart"/>
      <w:r w:rsidRPr="000E3E02">
        <w:rPr>
          <w:rFonts w:ascii="Times New Roman" w:hAnsi="Times New Roman" w:cs="Times New Roman"/>
          <w:bCs/>
          <w:sz w:val="24"/>
          <w:szCs w:val="24"/>
          <w:lang w:val="en-US"/>
        </w:rPr>
        <w:t>canari</w:t>
      </w:r>
      <w:proofErr w:type="spellEnd"/>
      <w:r w:rsidRPr="000E3E02">
        <w:rPr>
          <w:rFonts w:ascii="Times New Roman" w:hAnsi="Times New Roman" w:cs="Times New Roman"/>
          <w:bCs/>
          <w:sz w:val="24"/>
          <w:szCs w:val="24"/>
          <w:lang w:val="en-US"/>
        </w:rPr>
        <w:t xml:space="preserve"> is a terracotta container, spherical in shape and of varying size, with an opening that allows access to the contents (</w:t>
      </w:r>
      <w:proofErr w:type="spellStart"/>
      <w:r w:rsidRPr="000E3E02">
        <w:rPr>
          <w:rFonts w:ascii="Times New Roman" w:hAnsi="Times New Roman" w:cs="Times New Roman"/>
          <w:bCs/>
          <w:sz w:val="24"/>
          <w:szCs w:val="24"/>
          <w:lang w:val="en-US"/>
        </w:rPr>
        <w:t>Zongo</w:t>
      </w:r>
      <w:proofErr w:type="spellEnd"/>
      <w:r w:rsidRPr="000E3E02">
        <w:rPr>
          <w:rFonts w:ascii="Times New Roman" w:hAnsi="Times New Roman" w:cs="Times New Roman"/>
          <w:bCs/>
          <w:sz w:val="24"/>
          <w:szCs w:val="24"/>
          <w:lang w:val="en-US"/>
        </w:rPr>
        <w:t xml:space="preserve"> et al. 2024). Plastic basins were used to implement the triple S storage method, or Storage in Sand and Sprouting. The triple S system is a method generally used for the storage of sweet potato seed tubers (International Potato Center, 2019).</w:t>
      </w:r>
    </w:p>
    <w:p w14:paraId="04C4876D" w14:textId="45F136C9" w:rsidR="000E3E02" w:rsidRDefault="000E3E02" w:rsidP="001C17BD">
      <w:pPr>
        <w:spacing w:line="480" w:lineRule="auto"/>
        <w:jc w:val="both"/>
        <w:rPr>
          <w:rFonts w:ascii="Times New Roman" w:hAnsi="Times New Roman" w:cs="Times New Roman"/>
          <w:bCs/>
          <w:sz w:val="24"/>
          <w:szCs w:val="24"/>
          <w:lang w:val="en-US"/>
        </w:rPr>
      </w:pPr>
      <w:r w:rsidRPr="000E3E02">
        <w:rPr>
          <w:rFonts w:ascii="Times New Roman" w:hAnsi="Times New Roman" w:cs="Times New Roman"/>
          <w:bCs/>
          <w:sz w:val="24"/>
          <w:szCs w:val="24"/>
          <w:lang w:val="en-US"/>
        </w:rPr>
        <w:t xml:space="preserve">The seed tubers were packed into bags, with or without additives, and then placed in storage in the </w:t>
      </w:r>
      <w:r>
        <w:rPr>
          <w:rFonts w:ascii="Times New Roman" w:hAnsi="Times New Roman" w:cs="Times New Roman"/>
          <w:bCs/>
          <w:sz w:val="24"/>
          <w:szCs w:val="24"/>
          <w:lang w:val="en-US"/>
        </w:rPr>
        <w:t>canaries</w:t>
      </w:r>
      <w:r w:rsidRPr="000E3E02">
        <w:rPr>
          <w:rFonts w:ascii="Times New Roman" w:hAnsi="Times New Roman" w:cs="Times New Roman"/>
          <w:bCs/>
          <w:sz w:val="24"/>
          <w:szCs w:val="24"/>
          <w:lang w:val="en-US"/>
        </w:rPr>
        <w:t xml:space="preserve"> and the “</w:t>
      </w:r>
      <w:proofErr w:type="spellStart"/>
      <w:r w:rsidRPr="000E3E02">
        <w:rPr>
          <w:rFonts w:ascii="Times New Roman" w:hAnsi="Times New Roman" w:cs="Times New Roman"/>
          <w:bCs/>
          <w:sz w:val="24"/>
          <w:szCs w:val="24"/>
          <w:lang w:val="en-US"/>
        </w:rPr>
        <w:t>bitatoré</w:t>
      </w:r>
      <w:proofErr w:type="spellEnd"/>
      <w:r w:rsidRPr="000E3E02">
        <w:rPr>
          <w:rFonts w:ascii="Times New Roman" w:hAnsi="Times New Roman" w:cs="Times New Roman"/>
          <w:bCs/>
          <w:sz w:val="24"/>
          <w:szCs w:val="24"/>
          <w:lang w:val="en-US"/>
        </w:rPr>
        <w:t>.” Each container was then sealed with its lid to ensure a certain degree of airtightness. The entire batch was stored for a period of six (6) months. Storage using the basins was carried out according to the method described by the International Potato Center (2019), also known as the Triple S method.</w:t>
      </w:r>
    </w:p>
    <w:p w14:paraId="716C6B24" w14:textId="77777777" w:rsidR="00FE55A1" w:rsidRPr="00AD4CC1" w:rsidRDefault="0004251C" w:rsidP="00003B82">
      <w:pPr>
        <w:keepNext/>
        <w:spacing w:line="480" w:lineRule="auto"/>
        <w:ind w:left="1416"/>
        <w:jc w:val="both"/>
        <w:rPr>
          <w:sz w:val="32"/>
          <w:szCs w:val="32"/>
        </w:rPr>
      </w:pPr>
      <w:r w:rsidRPr="00AD4CC1">
        <w:rPr>
          <w:rFonts w:ascii="Arial" w:hAnsi="Arial" w:cs="Arial"/>
          <w:bCs/>
          <w:noProof/>
          <w:sz w:val="36"/>
          <w:szCs w:val="36"/>
          <w:lang w:val="en-US"/>
        </w:rPr>
        <w:lastRenderedPageBreak/>
        <w:drawing>
          <wp:inline distT="0" distB="0" distL="0" distR="0" wp14:anchorId="1FDA7515" wp14:editId="2A5172B3">
            <wp:extent cx="3276600" cy="2598595"/>
            <wp:effectExtent l="0" t="0" r="0" b="0"/>
            <wp:docPr id="3844336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433612" name="Image 384433612"/>
                    <pic:cNvPicPr/>
                  </pic:nvPicPr>
                  <pic:blipFill rotWithShape="1">
                    <a:blip r:embed="rId9">
                      <a:extLst>
                        <a:ext uri="{28A0092B-C50C-407E-A947-70E740481C1C}">
                          <a14:useLocalDpi xmlns:a14="http://schemas.microsoft.com/office/drawing/2010/main" val="0"/>
                        </a:ext>
                      </a:extLst>
                    </a:blip>
                    <a:srcRect l="22218" t="11826" r="24139" b="12542"/>
                    <a:stretch>
                      <a:fillRect/>
                    </a:stretch>
                  </pic:blipFill>
                  <pic:spPr bwMode="auto">
                    <a:xfrm>
                      <a:off x="0" y="0"/>
                      <a:ext cx="3300538" cy="2617579"/>
                    </a:xfrm>
                    <a:prstGeom prst="rect">
                      <a:avLst/>
                    </a:prstGeom>
                    <a:ln>
                      <a:noFill/>
                    </a:ln>
                    <a:extLst>
                      <a:ext uri="{53640926-AAD7-44D8-BBD7-CCE9431645EC}">
                        <a14:shadowObscured xmlns:a14="http://schemas.microsoft.com/office/drawing/2010/main"/>
                      </a:ext>
                    </a:extLst>
                  </pic:spPr>
                </pic:pic>
              </a:graphicData>
            </a:graphic>
          </wp:inline>
        </w:drawing>
      </w:r>
    </w:p>
    <w:bookmarkEnd w:id="2"/>
    <w:p w14:paraId="4B7DE918" w14:textId="77777777" w:rsidR="00AD4CC1" w:rsidRDefault="00FE55A1" w:rsidP="00AD4CC1">
      <w:pPr>
        <w:pStyle w:val="Caption"/>
        <w:spacing w:after="0"/>
        <w:jc w:val="both"/>
        <w:rPr>
          <w:rFonts w:ascii="Times New Roman" w:hAnsi="Times New Roman"/>
          <w:bCs/>
          <w:i w:val="0"/>
          <w:iCs w:val="0"/>
          <w:color w:val="auto"/>
          <w:sz w:val="24"/>
          <w:szCs w:val="24"/>
          <w:lang w:val="en-US"/>
        </w:rPr>
      </w:pPr>
      <w:r w:rsidRPr="00AD4CC1">
        <w:rPr>
          <w:rFonts w:ascii="Times New Roman" w:hAnsi="Times New Roman"/>
          <w:b/>
          <w:bCs/>
          <w:i w:val="0"/>
          <w:iCs w:val="0"/>
          <w:color w:val="auto"/>
          <w:sz w:val="24"/>
          <w:szCs w:val="24"/>
        </w:rPr>
        <w:t xml:space="preserve">Figure </w:t>
      </w:r>
      <w:r w:rsidRPr="00AD4CC1">
        <w:rPr>
          <w:rFonts w:ascii="Times New Roman" w:hAnsi="Times New Roman"/>
          <w:b/>
          <w:bCs/>
          <w:i w:val="0"/>
          <w:iCs w:val="0"/>
          <w:color w:val="auto"/>
          <w:sz w:val="24"/>
          <w:szCs w:val="24"/>
        </w:rPr>
        <w:fldChar w:fldCharType="begin"/>
      </w:r>
      <w:r w:rsidRPr="00AD4CC1">
        <w:rPr>
          <w:rFonts w:ascii="Times New Roman" w:hAnsi="Times New Roman"/>
          <w:b/>
          <w:bCs/>
          <w:i w:val="0"/>
          <w:iCs w:val="0"/>
          <w:color w:val="auto"/>
          <w:sz w:val="24"/>
          <w:szCs w:val="24"/>
        </w:rPr>
        <w:instrText xml:space="preserve"> SEQ Figure \* ARABIC </w:instrText>
      </w:r>
      <w:r w:rsidRPr="00AD4CC1">
        <w:rPr>
          <w:rFonts w:ascii="Times New Roman" w:hAnsi="Times New Roman"/>
          <w:b/>
          <w:bCs/>
          <w:i w:val="0"/>
          <w:iCs w:val="0"/>
          <w:color w:val="auto"/>
          <w:sz w:val="24"/>
          <w:szCs w:val="24"/>
        </w:rPr>
        <w:fldChar w:fldCharType="separate"/>
      </w:r>
      <w:r w:rsidRPr="00AD4CC1">
        <w:rPr>
          <w:rFonts w:ascii="Times New Roman" w:hAnsi="Times New Roman"/>
          <w:b/>
          <w:bCs/>
          <w:i w:val="0"/>
          <w:iCs w:val="0"/>
          <w:noProof/>
          <w:color w:val="auto"/>
          <w:sz w:val="24"/>
          <w:szCs w:val="24"/>
        </w:rPr>
        <w:t>2</w:t>
      </w:r>
      <w:r w:rsidRPr="00AD4CC1">
        <w:rPr>
          <w:rFonts w:ascii="Times New Roman" w:hAnsi="Times New Roman"/>
          <w:b/>
          <w:bCs/>
          <w:i w:val="0"/>
          <w:iCs w:val="0"/>
          <w:color w:val="auto"/>
          <w:sz w:val="24"/>
          <w:szCs w:val="24"/>
        </w:rPr>
        <w:fldChar w:fldCharType="end"/>
      </w:r>
      <w:r w:rsidRPr="00AD4CC1">
        <w:rPr>
          <w:rFonts w:ascii="Times New Roman" w:eastAsiaTheme="minorHAnsi" w:hAnsi="Times New Roman"/>
          <w:b/>
          <w:bCs/>
          <w:i w:val="0"/>
          <w:iCs w:val="0"/>
          <w:color w:val="auto"/>
          <w:kern w:val="2"/>
          <w:sz w:val="24"/>
          <w:szCs w:val="24"/>
          <w:lang w:val="en-US"/>
          <w14:ligatures w14:val="standardContextual"/>
        </w:rPr>
        <w:t>:</w:t>
      </w:r>
      <w:r w:rsidRPr="00AD4CC1">
        <w:rPr>
          <w:rFonts w:ascii="Times New Roman" w:eastAsiaTheme="minorHAnsi" w:hAnsi="Times New Roman"/>
          <w:b/>
          <w:i w:val="0"/>
          <w:iCs w:val="0"/>
          <w:color w:val="auto"/>
          <w:kern w:val="2"/>
          <w:sz w:val="24"/>
          <w:szCs w:val="24"/>
          <w:lang w:val="en-US"/>
          <w14:ligatures w14:val="standardContextual"/>
        </w:rPr>
        <w:t xml:space="preserve"> </w:t>
      </w:r>
      <w:r w:rsidR="0004251C" w:rsidRPr="00AD4CC1">
        <w:rPr>
          <w:rFonts w:ascii="Times New Roman" w:hAnsi="Times New Roman"/>
          <w:bCs/>
          <w:i w:val="0"/>
          <w:iCs w:val="0"/>
          <w:color w:val="auto"/>
          <w:sz w:val="24"/>
          <w:szCs w:val="24"/>
          <w:lang w:val="en-US"/>
        </w:rPr>
        <w:t>Diagram illustrating the seedling conservation methods used.</w:t>
      </w:r>
    </w:p>
    <w:p w14:paraId="7D68282E" w14:textId="2DCA7882" w:rsidR="0004251C" w:rsidRPr="00FE55A1" w:rsidRDefault="0004251C" w:rsidP="00AD4CC1">
      <w:pPr>
        <w:pStyle w:val="Caption"/>
        <w:jc w:val="both"/>
        <w:rPr>
          <w:rFonts w:ascii="Times New Roman" w:hAnsi="Times New Roman"/>
          <w:bCs/>
          <w:i w:val="0"/>
          <w:iCs w:val="0"/>
          <w:color w:val="auto"/>
          <w:lang w:val="en-US"/>
        </w:rPr>
      </w:pPr>
      <w:r w:rsidRPr="00AD4CC1">
        <w:rPr>
          <w:rFonts w:ascii="Times New Roman" w:hAnsi="Times New Roman"/>
          <w:bCs/>
          <w:i w:val="0"/>
          <w:iCs w:val="0"/>
          <w:color w:val="auto"/>
          <w:sz w:val="24"/>
          <w:szCs w:val="24"/>
          <w:lang w:val="en-US"/>
        </w:rPr>
        <w:t xml:space="preserve"> </w:t>
      </w:r>
      <w:r w:rsidRPr="00FE55A1">
        <w:rPr>
          <w:rFonts w:ascii="Times New Roman" w:hAnsi="Times New Roman"/>
          <w:bCs/>
          <w:i w:val="0"/>
          <w:iCs w:val="0"/>
          <w:color w:val="auto"/>
          <w:lang w:val="en-US"/>
        </w:rPr>
        <w:t>A = seed tubers (seedlings); B = additives (1: millet husks, 2: wood chips, 3: sand); C = packed in a cotton bag (with or without additives); D = “</w:t>
      </w:r>
      <w:proofErr w:type="spellStart"/>
      <w:r w:rsidRPr="00FE55A1">
        <w:rPr>
          <w:rFonts w:ascii="Times New Roman" w:hAnsi="Times New Roman"/>
          <w:bCs/>
          <w:i w:val="0"/>
          <w:iCs w:val="0"/>
          <w:color w:val="auto"/>
          <w:lang w:val="en-US"/>
        </w:rPr>
        <w:t>bitatoré</w:t>
      </w:r>
      <w:proofErr w:type="spellEnd"/>
      <w:r w:rsidRPr="00FE55A1">
        <w:rPr>
          <w:rFonts w:ascii="Times New Roman" w:hAnsi="Times New Roman"/>
          <w:bCs/>
          <w:i w:val="0"/>
          <w:iCs w:val="0"/>
          <w:color w:val="auto"/>
          <w:lang w:val="en-US"/>
        </w:rPr>
        <w:t>” container; E = “</w:t>
      </w:r>
      <w:proofErr w:type="spellStart"/>
      <w:r w:rsidRPr="00FE55A1">
        <w:rPr>
          <w:rFonts w:ascii="Times New Roman" w:hAnsi="Times New Roman"/>
          <w:bCs/>
          <w:i w:val="0"/>
          <w:iCs w:val="0"/>
          <w:color w:val="auto"/>
          <w:lang w:val="en-US"/>
        </w:rPr>
        <w:t>canaris</w:t>
      </w:r>
      <w:proofErr w:type="spellEnd"/>
      <w:r w:rsidRPr="00FE55A1">
        <w:rPr>
          <w:rFonts w:ascii="Times New Roman" w:hAnsi="Times New Roman"/>
          <w:bCs/>
          <w:i w:val="0"/>
          <w:iCs w:val="0"/>
          <w:color w:val="auto"/>
          <w:lang w:val="en-US"/>
        </w:rPr>
        <w:t>” container; F = storage using the Triple S system.</w:t>
      </w:r>
    </w:p>
    <w:p w14:paraId="7BAC9D6C" w14:textId="77777777" w:rsidR="00E47CF8" w:rsidRPr="00E47CF8" w:rsidRDefault="00E47CF8" w:rsidP="00AD4CC1">
      <w:pPr>
        <w:pStyle w:val="Heading2"/>
        <w:spacing w:before="0" w:after="0" w:line="480" w:lineRule="auto"/>
        <w:ind w:left="708"/>
        <w:jc w:val="both"/>
        <w:rPr>
          <w:rFonts w:ascii="Times New Roman" w:hAnsi="Times New Roman" w:cs="Times New Roman"/>
          <w:b/>
          <w:color w:val="auto"/>
          <w:sz w:val="24"/>
          <w:szCs w:val="24"/>
          <w:lang w:val="en-US"/>
        </w:rPr>
      </w:pPr>
      <w:r w:rsidRPr="00E47CF8">
        <w:rPr>
          <w:rFonts w:ascii="Times New Roman" w:hAnsi="Times New Roman" w:cs="Times New Roman"/>
          <w:b/>
          <w:color w:val="auto"/>
          <w:sz w:val="24"/>
          <w:szCs w:val="24"/>
          <w:lang w:val="en-US"/>
        </w:rPr>
        <w:t>Experimental Design</w:t>
      </w:r>
    </w:p>
    <w:p w14:paraId="1DA11E46" w14:textId="282037FD" w:rsidR="0004251C" w:rsidRDefault="00E47CF8" w:rsidP="001C17BD">
      <w:pPr>
        <w:spacing w:line="480" w:lineRule="auto"/>
        <w:jc w:val="both"/>
        <w:rPr>
          <w:rFonts w:ascii="Times New Roman" w:hAnsi="Times New Roman" w:cs="Times New Roman"/>
          <w:bCs/>
          <w:sz w:val="24"/>
          <w:szCs w:val="24"/>
          <w:lang w:val="en-US"/>
        </w:rPr>
      </w:pPr>
      <w:r w:rsidRPr="00E47CF8">
        <w:rPr>
          <w:rFonts w:ascii="Times New Roman" w:hAnsi="Times New Roman" w:cs="Times New Roman"/>
          <w:bCs/>
          <w:sz w:val="24"/>
          <w:szCs w:val="24"/>
          <w:lang w:val="en-US"/>
        </w:rPr>
        <w:t>The propagation experiment was conducted in trays arranged in a split-plot experimental design with three (3) replicates. Two factors were studied, with the main factor being the storage method at nine (9) levels, namely: storage in “</w:t>
      </w:r>
      <w:proofErr w:type="spellStart"/>
      <w:r w:rsidRPr="00E47CF8">
        <w:rPr>
          <w:rFonts w:ascii="Times New Roman" w:hAnsi="Times New Roman" w:cs="Times New Roman"/>
          <w:bCs/>
          <w:sz w:val="24"/>
          <w:szCs w:val="24"/>
          <w:lang w:val="en-US"/>
        </w:rPr>
        <w:t>bitatoré</w:t>
      </w:r>
      <w:proofErr w:type="spellEnd"/>
      <w:r w:rsidRPr="00E47CF8">
        <w:rPr>
          <w:rFonts w:ascii="Times New Roman" w:hAnsi="Times New Roman" w:cs="Times New Roman"/>
          <w:bCs/>
          <w:sz w:val="24"/>
          <w:szCs w:val="24"/>
          <w:lang w:val="en-US"/>
        </w:rPr>
        <w:t>” without additives (BITA), “</w:t>
      </w:r>
      <w:proofErr w:type="spellStart"/>
      <w:r w:rsidRPr="00E47CF8">
        <w:rPr>
          <w:rFonts w:ascii="Times New Roman" w:hAnsi="Times New Roman" w:cs="Times New Roman"/>
          <w:bCs/>
          <w:sz w:val="24"/>
          <w:szCs w:val="24"/>
          <w:lang w:val="en-US"/>
        </w:rPr>
        <w:t>bitatoré</w:t>
      </w:r>
      <w:proofErr w:type="spellEnd"/>
      <w:r w:rsidRPr="00E47CF8">
        <w:rPr>
          <w:rFonts w:ascii="Times New Roman" w:hAnsi="Times New Roman" w:cs="Times New Roman"/>
          <w:bCs/>
          <w:sz w:val="24"/>
          <w:szCs w:val="24"/>
          <w:lang w:val="en-US"/>
        </w:rPr>
        <w:t>” with wood chips as additives (BITA+CB), “</w:t>
      </w:r>
      <w:proofErr w:type="spellStart"/>
      <w:r w:rsidRPr="00E47CF8">
        <w:rPr>
          <w:rFonts w:ascii="Times New Roman" w:hAnsi="Times New Roman" w:cs="Times New Roman"/>
          <w:bCs/>
          <w:sz w:val="24"/>
          <w:szCs w:val="24"/>
          <w:lang w:val="en-US"/>
        </w:rPr>
        <w:t>bitatoré</w:t>
      </w:r>
      <w:proofErr w:type="spellEnd"/>
      <w:r w:rsidRPr="00E47CF8">
        <w:rPr>
          <w:rFonts w:ascii="Times New Roman" w:hAnsi="Times New Roman" w:cs="Times New Roman"/>
          <w:bCs/>
          <w:sz w:val="24"/>
          <w:szCs w:val="24"/>
          <w:lang w:val="en-US"/>
        </w:rPr>
        <w:t>” with millet husks (BITA+G), “</w:t>
      </w:r>
      <w:proofErr w:type="spellStart"/>
      <w:r w:rsidRPr="00E47CF8">
        <w:rPr>
          <w:rFonts w:ascii="Times New Roman" w:hAnsi="Times New Roman" w:cs="Times New Roman"/>
          <w:bCs/>
          <w:sz w:val="24"/>
          <w:szCs w:val="24"/>
          <w:lang w:val="en-US"/>
        </w:rPr>
        <w:t>bitatoré</w:t>
      </w:r>
      <w:proofErr w:type="spellEnd"/>
      <w:r w:rsidRPr="00E47CF8">
        <w:rPr>
          <w:rFonts w:ascii="Times New Roman" w:hAnsi="Times New Roman" w:cs="Times New Roman"/>
          <w:bCs/>
          <w:sz w:val="24"/>
          <w:szCs w:val="24"/>
          <w:lang w:val="en-US"/>
        </w:rPr>
        <w:t>” with sand as an additive (BITA+S), canaries without additives (CAN), canaries with millet husks as an additive (CAN+G), canaries with wood chips as an additive (CAN+CB), canaries with sand as an additive (CAN+S), and the Storage in Sand and Sprouting (</w:t>
      </w:r>
      <w:proofErr w:type="spellStart"/>
      <w:r w:rsidRPr="00E47CF8">
        <w:rPr>
          <w:rFonts w:ascii="Times New Roman" w:hAnsi="Times New Roman" w:cs="Times New Roman"/>
          <w:bCs/>
          <w:sz w:val="24"/>
          <w:szCs w:val="24"/>
          <w:lang w:val="en-US"/>
        </w:rPr>
        <w:t>TriS</w:t>
      </w:r>
      <w:proofErr w:type="spellEnd"/>
      <w:r w:rsidRPr="00E47CF8">
        <w:rPr>
          <w:rFonts w:ascii="Times New Roman" w:hAnsi="Times New Roman" w:cs="Times New Roman"/>
          <w:bCs/>
          <w:sz w:val="24"/>
          <w:szCs w:val="24"/>
          <w:lang w:val="en-US"/>
        </w:rPr>
        <w:t>) system. The genotypes with five (5) treatments (E120, E165, E186, White, UW086M) constituted the secondary factor. Each replicate, representing a block, consisted of 45 trays. Within each block, five (5) trays per storage method formed a subblock, with one (1) tray per genotype. The spacing between two blocks was 50 cm, and 30 cm between two trays.</w:t>
      </w:r>
    </w:p>
    <w:p w14:paraId="232F55F8" w14:textId="77777777" w:rsidR="00CB49E4" w:rsidRPr="00CB49E4" w:rsidRDefault="00CB49E4" w:rsidP="001C17BD">
      <w:pPr>
        <w:pStyle w:val="Heading2"/>
        <w:spacing w:before="0" w:line="480" w:lineRule="auto"/>
        <w:ind w:left="708"/>
        <w:jc w:val="both"/>
        <w:rPr>
          <w:rFonts w:ascii="Times New Roman" w:hAnsi="Times New Roman" w:cs="Times New Roman"/>
          <w:b/>
          <w:color w:val="auto"/>
          <w:sz w:val="24"/>
          <w:szCs w:val="24"/>
          <w:lang w:val="en-US"/>
        </w:rPr>
      </w:pPr>
      <w:r w:rsidRPr="00CB49E4">
        <w:rPr>
          <w:rFonts w:ascii="Times New Roman" w:hAnsi="Times New Roman" w:cs="Times New Roman"/>
          <w:b/>
          <w:color w:val="auto"/>
          <w:sz w:val="24"/>
          <w:szCs w:val="24"/>
          <w:lang w:val="en-US"/>
        </w:rPr>
        <w:t>Conduct of the Experiment</w:t>
      </w:r>
    </w:p>
    <w:p w14:paraId="4C9EF772" w14:textId="6332594C" w:rsidR="00CB49E4" w:rsidRDefault="00CB49E4" w:rsidP="001C17BD">
      <w:pPr>
        <w:spacing w:line="480" w:lineRule="auto"/>
        <w:jc w:val="both"/>
        <w:rPr>
          <w:rFonts w:ascii="Times New Roman" w:hAnsi="Times New Roman" w:cs="Times New Roman"/>
          <w:bCs/>
          <w:sz w:val="24"/>
          <w:szCs w:val="24"/>
          <w:lang w:val="en-US"/>
        </w:rPr>
      </w:pPr>
      <w:r w:rsidRPr="00CB49E4">
        <w:rPr>
          <w:rFonts w:ascii="Times New Roman" w:hAnsi="Times New Roman" w:cs="Times New Roman"/>
          <w:bCs/>
          <w:sz w:val="24"/>
          <w:szCs w:val="24"/>
          <w:lang w:val="en-US"/>
        </w:rPr>
        <w:t xml:space="preserve">For the implementation of each storage method, ten (10) seed tubers with a diameter of less than 26 mm were selected per genotype. The quantities of additives used per experimental unit </w:t>
      </w:r>
      <w:r w:rsidRPr="00CB49E4">
        <w:rPr>
          <w:rFonts w:ascii="Times New Roman" w:hAnsi="Times New Roman" w:cs="Times New Roman"/>
          <w:bCs/>
          <w:sz w:val="24"/>
          <w:szCs w:val="24"/>
          <w:lang w:val="en-US"/>
        </w:rPr>
        <w:lastRenderedPageBreak/>
        <w:t>were 50 g of millet glumes, 400 g of fine sand, and 50 g of wood shavings. The seedlings packed in bags were then placed in storage in the canaries and “</w:t>
      </w:r>
      <w:proofErr w:type="spellStart"/>
      <w:r w:rsidRPr="00CB49E4">
        <w:rPr>
          <w:rFonts w:ascii="Times New Roman" w:hAnsi="Times New Roman" w:cs="Times New Roman"/>
          <w:bCs/>
          <w:sz w:val="24"/>
          <w:szCs w:val="24"/>
          <w:lang w:val="en-US"/>
        </w:rPr>
        <w:t>bitatorés</w:t>
      </w:r>
      <w:proofErr w:type="spellEnd"/>
      <w:r w:rsidRPr="00CB49E4">
        <w:rPr>
          <w:rFonts w:ascii="Times New Roman" w:hAnsi="Times New Roman" w:cs="Times New Roman"/>
          <w:bCs/>
          <w:sz w:val="24"/>
          <w:szCs w:val="24"/>
          <w:lang w:val="en-US"/>
        </w:rPr>
        <w:t>.” Storage using the triple S system was carried out with sand in containers following the method of the International Potato Center (2019). To do this, a layer of fine sand (0.5 kg) was placed on newspaper in the basins before placing the seedlings, and then covered with another layer of fine sand (4.5 kg) approximately 5 cm thick (</w:t>
      </w:r>
      <w:proofErr w:type="spellStart"/>
      <w:r w:rsidRPr="00CB49E4">
        <w:rPr>
          <w:rFonts w:ascii="Times New Roman" w:hAnsi="Times New Roman" w:cs="Times New Roman"/>
          <w:bCs/>
          <w:sz w:val="24"/>
          <w:szCs w:val="24"/>
          <w:lang w:val="en-US"/>
        </w:rPr>
        <w:t>Zongo</w:t>
      </w:r>
      <w:proofErr w:type="spellEnd"/>
      <w:r w:rsidRPr="00CB49E4">
        <w:rPr>
          <w:rFonts w:ascii="Times New Roman" w:hAnsi="Times New Roman" w:cs="Times New Roman"/>
          <w:bCs/>
          <w:sz w:val="24"/>
          <w:szCs w:val="24"/>
          <w:lang w:val="en-US"/>
        </w:rPr>
        <w:t xml:space="preserve"> et al.</w:t>
      </w:r>
      <w:r w:rsidR="00E13F58">
        <w:rPr>
          <w:rFonts w:ascii="Times New Roman" w:hAnsi="Times New Roman" w:cs="Times New Roman"/>
          <w:bCs/>
          <w:sz w:val="24"/>
          <w:szCs w:val="24"/>
          <w:lang w:val="en-US"/>
        </w:rPr>
        <w:t>,</w:t>
      </w:r>
      <w:r w:rsidRPr="00CB49E4">
        <w:rPr>
          <w:rFonts w:ascii="Times New Roman" w:hAnsi="Times New Roman" w:cs="Times New Roman"/>
          <w:bCs/>
          <w:sz w:val="24"/>
          <w:szCs w:val="24"/>
          <w:lang w:val="en-US"/>
        </w:rPr>
        <w:t xml:space="preserve"> 2024, International Potato Center, 2019). The trays containing the seedlings and the sand were stored in the laboratory.</w:t>
      </w:r>
      <w:r>
        <w:rPr>
          <w:rFonts w:ascii="Times New Roman" w:hAnsi="Times New Roman" w:cs="Times New Roman"/>
          <w:bCs/>
          <w:sz w:val="24"/>
          <w:szCs w:val="24"/>
          <w:lang w:val="en-US"/>
        </w:rPr>
        <w:t xml:space="preserve"> </w:t>
      </w:r>
      <w:r w:rsidRPr="00CB49E4">
        <w:rPr>
          <w:rFonts w:ascii="Times New Roman" w:hAnsi="Times New Roman" w:cs="Times New Roman"/>
          <w:bCs/>
          <w:sz w:val="24"/>
          <w:szCs w:val="24"/>
          <w:lang w:val="en-US"/>
        </w:rPr>
        <w:t>After six (6) months of storage, the seedlings were propagated on July 16, 2023, in trays containing a growing medium composed of sand and potting soil, in proportions of two-thirds (2/3) and one-third (1/3), respectively. Three (3) seedlings per genotype were transplanted into each tray at 10-cm intervals. The substrate in each tray was then covered with leaves until the seedlings emerged to protect the seedling buds from high temperatures. Measurements of the parameters began on the 7th day after planting (DAP) and continued until the 73rd DAP. Following an assessment of the number of seedlings that had taken root by the 42nd DAP, thinning was performed to leave one plant per tray to prevent competition among the plants. Weeding was carried out as needed to maintain the crops.</w:t>
      </w:r>
    </w:p>
    <w:p w14:paraId="17F83E0B" w14:textId="77777777" w:rsidR="00CB49E4" w:rsidRPr="00CB49E4" w:rsidRDefault="00CB49E4" w:rsidP="001C17BD">
      <w:pPr>
        <w:pStyle w:val="Heading2"/>
        <w:spacing w:before="0" w:line="480" w:lineRule="auto"/>
        <w:ind w:left="708"/>
        <w:jc w:val="both"/>
        <w:rPr>
          <w:rFonts w:ascii="Times New Roman" w:hAnsi="Times New Roman" w:cs="Times New Roman"/>
          <w:b/>
          <w:color w:val="auto"/>
          <w:sz w:val="24"/>
          <w:szCs w:val="24"/>
          <w:lang w:val="en-US"/>
        </w:rPr>
      </w:pPr>
      <w:r w:rsidRPr="00CB49E4">
        <w:rPr>
          <w:rFonts w:ascii="Times New Roman" w:hAnsi="Times New Roman" w:cs="Times New Roman"/>
          <w:b/>
          <w:color w:val="auto"/>
          <w:sz w:val="24"/>
          <w:szCs w:val="24"/>
          <w:lang w:val="en-US"/>
        </w:rPr>
        <w:t>Measured parameters</w:t>
      </w:r>
    </w:p>
    <w:p w14:paraId="0835E550" w14:textId="77777777" w:rsidR="002D2F2E" w:rsidRDefault="00CB49E4" w:rsidP="001C17BD">
      <w:pPr>
        <w:pStyle w:val="ListParagraph"/>
        <w:numPr>
          <w:ilvl w:val="0"/>
          <w:numId w:val="2"/>
        </w:numPr>
        <w:spacing w:line="480" w:lineRule="auto"/>
        <w:ind w:left="142" w:hanging="142"/>
        <w:jc w:val="both"/>
        <w:rPr>
          <w:rFonts w:ascii="Times New Roman" w:hAnsi="Times New Roman" w:cs="Times New Roman"/>
          <w:bCs/>
          <w:sz w:val="24"/>
          <w:szCs w:val="24"/>
          <w:lang w:val="en-US"/>
        </w:rPr>
      </w:pPr>
      <w:r w:rsidRPr="00CB49E4">
        <w:rPr>
          <w:rFonts w:ascii="Times New Roman" w:hAnsi="Times New Roman" w:cs="Times New Roman"/>
          <w:b/>
          <w:sz w:val="24"/>
          <w:szCs w:val="24"/>
          <w:lang w:val="en-US"/>
        </w:rPr>
        <w:t>Seedling recovery rate (SRR):</w:t>
      </w:r>
      <w:r w:rsidRPr="00CB49E4">
        <w:rPr>
          <w:rFonts w:ascii="Times New Roman" w:hAnsi="Times New Roman" w:cs="Times New Roman"/>
          <w:bCs/>
          <w:sz w:val="24"/>
          <w:szCs w:val="24"/>
          <w:lang w:val="en-US"/>
        </w:rPr>
        <w:t xml:space="preserve"> the number of recovered seedlings was counted following visual observation based on the emergence of the first leaves 42 days after transplanting. The seedling survival rate (SSR) was calculated by dividing the number of surviving seedlings by the number of seedlings planted. The following equation was used to calculate the seedling survival rate:</w:t>
      </w:r>
      <w:r w:rsidR="003E294A">
        <w:rPr>
          <w:rFonts w:ascii="Times New Roman" w:hAnsi="Times New Roman" w:cs="Times New Roman"/>
          <w:bCs/>
          <w:sz w:val="24"/>
          <w:szCs w:val="24"/>
          <w:lang w:val="en-US"/>
        </w:rPr>
        <w:t xml:space="preserve"> </w:t>
      </w:r>
    </w:p>
    <w:p w14:paraId="2D901887" w14:textId="083C8C30" w:rsidR="003E294A" w:rsidRPr="003E294A" w:rsidRDefault="003E294A" w:rsidP="002D2F2E">
      <w:pPr>
        <w:pStyle w:val="ListParagraph"/>
        <w:spacing w:line="480" w:lineRule="auto"/>
        <w:ind w:left="142"/>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m:oMath>
        <m:r>
          <m:rPr>
            <m:sty m:val="bi"/>
          </m:rPr>
          <w:rPr>
            <w:rFonts w:ascii="Cambria Math" w:hAnsi="Cambria Math" w:cs="Arial"/>
            <w:sz w:val="24"/>
            <w:szCs w:val="24"/>
            <w:lang w:val="en-US"/>
          </w:rPr>
          <m:t>SRR (%) =</m:t>
        </m:r>
        <m:f>
          <m:fPr>
            <m:ctrlPr>
              <w:rPr>
                <w:rFonts w:ascii="Cambria Math" w:hAnsi="Cambria Math" w:cs="Arial"/>
                <w:bCs/>
                <w:iCs/>
                <w:sz w:val="24"/>
                <w:szCs w:val="24"/>
                <w:lang w:val="en-US"/>
              </w:rPr>
            </m:ctrlPr>
          </m:fPr>
          <m:num>
            <m:r>
              <m:rPr>
                <m:sty m:val="p"/>
              </m:rPr>
              <w:rPr>
                <w:rFonts w:ascii="Cambria Math" w:hAnsi="Cambria Math" w:cs="Arial"/>
                <w:sz w:val="24"/>
                <w:szCs w:val="24"/>
                <w:lang w:val="en-US"/>
              </w:rPr>
              <m:t xml:space="preserve">Number of seedlings recovered </m:t>
            </m:r>
          </m:num>
          <m:den>
            <m:r>
              <m:rPr>
                <m:sty m:val="p"/>
              </m:rPr>
              <w:rPr>
                <w:rFonts w:ascii="Cambria Math" w:hAnsi="Cambria Math" w:cs="Arial"/>
                <w:sz w:val="24"/>
                <w:szCs w:val="24"/>
                <w:lang w:val="en-US"/>
              </w:rPr>
              <m:t>Number of seedlings planted</m:t>
            </m:r>
          </m:den>
        </m:f>
        <m:r>
          <m:rPr>
            <m:sty m:val="p"/>
          </m:rPr>
          <w:rPr>
            <w:rFonts w:ascii="Cambria Math" w:hAnsi="Cambria Math" w:cs="Arial"/>
            <w:sz w:val="24"/>
            <w:szCs w:val="24"/>
            <w:lang w:val="en-US"/>
          </w:rPr>
          <m:t>×100</m:t>
        </m:r>
      </m:oMath>
      <w:r w:rsidRPr="003E294A">
        <w:rPr>
          <w:rFonts w:ascii="Arial" w:eastAsiaTheme="minorEastAsia" w:hAnsi="Arial" w:cs="Arial"/>
          <w:b/>
          <w:sz w:val="24"/>
          <w:szCs w:val="24"/>
          <w:lang w:val="en-US"/>
        </w:rPr>
        <w:t xml:space="preserve">         </w:t>
      </w:r>
      <w:r w:rsidRPr="003E294A">
        <w:rPr>
          <w:rFonts w:ascii="Arial" w:eastAsiaTheme="minorEastAsia" w:hAnsi="Arial" w:cs="Arial"/>
          <w:bCs/>
          <w:sz w:val="24"/>
          <w:szCs w:val="24"/>
          <w:lang w:val="en-US"/>
        </w:rPr>
        <w:t>(1)</w:t>
      </w:r>
    </w:p>
    <w:p w14:paraId="2AE20225" w14:textId="09B587AC" w:rsidR="002D2F2E" w:rsidRDefault="003E294A" w:rsidP="001C17BD">
      <w:pPr>
        <w:pStyle w:val="ListParagraph"/>
        <w:numPr>
          <w:ilvl w:val="0"/>
          <w:numId w:val="2"/>
        </w:numPr>
        <w:spacing w:line="480" w:lineRule="auto"/>
        <w:ind w:left="142" w:hanging="142"/>
        <w:jc w:val="both"/>
        <w:rPr>
          <w:rFonts w:ascii="Times New Roman" w:hAnsi="Times New Roman" w:cs="Times New Roman"/>
          <w:bCs/>
          <w:sz w:val="24"/>
          <w:szCs w:val="24"/>
          <w:lang w:val="en-US"/>
        </w:rPr>
      </w:pPr>
      <w:r w:rsidRPr="003E294A">
        <w:rPr>
          <w:rFonts w:ascii="Times New Roman" w:hAnsi="Times New Roman" w:cs="Times New Roman"/>
          <w:b/>
          <w:sz w:val="24"/>
          <w:szCs w:val="24"/>
          <w:lang w:val="en-US"/>
        </w:rPr>
        <w:lastRenderedPageBreak/>
        <w:t>Plant speed of growth (PSG):</w:t>
      </w:r>
      <w:r w:rsidRPr="003E294A">
        <w:rPr>
          <w:rFonts w:ascii="Times New Roman" w:hAnsi="Times New Roman" w:cs="Times New Roman"/>
          <w:bCs/>
          <w:sz w:val="24"/>
          <w:szCs w:val="24"/>
          <w:lang w:val="en-US"/>
        </w:rPr>
        <w:t xml:space="preserve"> calculated as the </w:t>
      </w:r>
      <w:r w:rsidR="002D2F2E">
        <w:rPr>
          <w:rFonts w:ascii="Times New Roman" w:hAnsi="Times New Roman" w:cs="Times New Roman"/>
          <w:bCs/>
          <w:sz w:val="24"/>
          <w:szCs w:val="24"/>
          <w:lang w:val="en-US"/>
        </w:rPr>
        <w:t>difference</w:t>
      </w:r>
      <w:r w:rsidRPr="003E294A">
        <w:rPr>
          <w:rFonts w:ascii="Times New Roman" w:hAnsi="Times New Roman" w:cs="Times New Roman"/>
          <w:bCs/>
          <w:sz w:val="24"/>
          <w:szCs w:val="24"/>
          <w:lang w:val="en-US"/>
        </w:rPr>
        <w:t xml:space="preserve"> between two consecutive plant height measurements, divided by the number of days between those </w:t>
      </w:r>
      <w:r w:rsidR="002D2F2E">
        <w:rPr>
          <w:rFonts w:ascii="Times New Roman" w:hAnsi="Times New Roman" w:cs="Times New Roman"/>
          <w:bCs/>
          <w:sz w:val="24"/>
          <w:szCs w:val="24"/>
          <w:lang w:val="en-US"/>
        </w:rPr>
        <w:t>measurements</w:t>
      </w:r>
      <w:r w:rsidR="00182306">
        <w:rPr>
          <w:rFonts w:ascii="Times New Roman" w:hAnsi="Times New Roman" w:cs="Times New Roman"/>
          <w:bCs/>
          <w:sz w:val="24"/>
          <w:szCs w:val="24"/>
          <w:lang w:val="en-US"/>
        </w:rPr>
        <w:t xml:space="preserve"> </w:t>
      </w:r>
      <w:r w:rsidRPr="003E294A">
        <w:rPr>
          <w:rFonts w:ascii="Times New Roman" w:hAnsi="Times New Roman" w:cs="Times New Roman"/>
          <w:bCs/>
          <w:sz w:val="24"/>
          <w:szCs w:val="24"/>
          <w:lang w:val="en-US"/>
        </w:rPr>
        <w:t xml:space="preserve">(time </w:t>
      </w:r>
      <w:r w:rsidRPr="00E653C6">
        <w:rPr>
          <w:rFonts w:ascii="Times New Roman" w:hAnsi="Times New Roman" w:cs="Times New Roman"/>
          <w:bCs/>
          <w:sz w:val="24"/>
          <w:szCs w:val="24"/>
          <w:lang w:val="en-US"/>
        </w:rPr>
        <w:t>interval), using the following formula:</w:t>
      </w:r>
    </w:p>
    <w:p w14:paraId="7E3527D3" w14:textId="15DAB84D" w:rsidR="00E653C6" w:rsidRPr="002D2F2E" w:rsidRDefault="003E294A" w:rsidP="001C17BD">
      <w:pPr>
        <w:pStyle w:val="ListParagraph"/>
        <w:numPr>
          <w:ilvl w:val="0"/>
          <w:numId w:val="2"/>
        </w:numPr>
        <w:spacing w:line="480" w:lineRule="auto"/>
        <w:ind w:left="142" w:hanging="142"/>
        <w:jc w:val="both"/>
        <w:rPr>
          <w:rFonts w:ascii="Times New Roman" w:hAnsi="Times New Roman" w:cs="Times New Roman"/>
          <w:bCs/>
          <w:lang w:val="en-US"/>
        </w:rPr>
      </w:pPr>
      <w:r w:rsidRPr="002D2F2E">
        <w:rPr>
          <w:rFonts w:ascii="Times New Roman" w:hAnsi="Times New Roman" w:cs="Times New Roman"/>
          <w:bCs/>
          <w:lang w:val="en-US"/>
        </w:rPr>
        <w:t xml:space="preserve"> </w:t>
      </w:r>
      <m:oMath>
        <m:r>
          <m:rPr>
            <m:sty m:val="bi"/>
          </m:rPr>
          <w:rPr>
            <w:rFonts w:ascii="Cambria Math" w:hAnsi="Cambria Math" w:cs="Times New Roman"/>
            <w:sz w:val="24"/>
            <w:szCs w:val="24"/>
            <w:lang w:val="en-US"/>
          </w:rPr>
          <m:t>PSG (cm/day)</m:t>
        </m:r>
        <m:r>
          <w:rPr>
            <w:rFonts w:ascii="Cambria Math" w:hAnsi="Cambria Math" w:cs="Times New Roman"/>
            <w:sz w:val="24"/>
            <w:szCs w:val="24"/>
            <w:lang w:val="en-US"/>
          </w:rPr>
          <m:t xml:space="preserve"> = </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H2 -H1</m:t>
            </m:r>
          </m:num>
          <m:den>
            <m:r>
              <w:rPr>
                <w:rFonts w:ascii="Cambria Math" w:hAnsi="Cambria Math" w:cs="Times New Roman"/>
                <w:sz w:val="24"/>
                <w:szCs w:val="24"/>
                <w:lang w:val="en-US"/>
              </w:rPr>
              <m:t>T</m:t>
            </m:r>
          </m:den>
        </m:f>
      </m:oMath>
      <w:r w:rsidRPr="003825F7">
        <w:rPr>
          <w:rFonts w:ascii="Times New Roman" w:eastAsiaTheme="minorEastAsia" w:hAnsi="Times New Roman" w:cs="Times New Roman"/>
          <w:bCs/>
          <w:sz w:val="24"/>
          <w:szCs w:val="24"/>
          <w:lang w:val="en-US"/>
        </w:rPr>
        <w:t xml:space="preserve">        </w:t>
      </w:r>
      <w:r w:rsidRPr="003825F7">
        <w:rPr>
          <w:rFonts w:ascii="Times New Roman" w:eastAsiaTheme="minorEastAsia" w:hAnsi="Times New Roman" w:cs="Times New Roman"/>
          <w:bCs/>
          <w:lang w:val="en-US"/>
        </w:rPr>
        <w:t xml:space="preserve">     </w:t>
      </w:r>
      <w:r w:rsidRPr="002D2F2E">
        <w:rPr>
          <w:rFonts w:ascii="Times New Roman" w:eastAsiaTheme="minorEastAsia" w:hAnsi="Times New Roman" w:cs="Times New Roman"/>
          <w:bCs/>
          <w:lang w:val="en-US"/>
        </w:rPr>
        <w:t>(2)</w:t>
      </w:r>
      <w:r w:rsidR="00E653C6" w:rsidRPr="002D2F2E">
        <w:rPr>
          <w:rFonts w:ascii="Times New Roman" w:eastAsiaTheme="minorEastAsia" w:hAnsi="Times New Roman" w:cs="Times New Roman"/>
          <w:bCs/>
          <w:lang w:val="en-US"/>
        </w:rPr>
        <w:t xml:space="preserve">, </w:t>
      </w:r>
      <w:r w:rsidR="00E653C6" w:rsidRPr="002D2F2E">
        <w:rPr>
          <w:rFonts w:ascii="Times New Roman" w:hAnsi="Times New Roman" w:cs="Times New Roman"/>
          <w:bCs/>
          <w:lang w:val="en-US"/>
        </w:rPr>
        <w:t>Where: H1 =</w:t>
      </w:r>
      <w:r w:rsidR="00E653C6" w:rsidRPr="002D2F2E">
        <w:rPr>
          <w:rFonts w:ascii="Arial" w:hAnsi="Arial" w:cs="Arial"/>
          <w:bCs/>
          <w:lang w:val="en-US"/>
        </w:rPr>
        <w:t xml:space="preserve"> </w:t>
      </w:r>
      <w:r w:rsidR="00E653C6" w:rsidRPr="002D2F2E">
        <w:rPr>
          <w:rFonts w:ascii="Times New Roman" w:hAnsi="Times New Roman" w:cs="Times New Roman"/>
          <w:bCs/>
          <w:lang w:val="en-US"/>
        </w:rPr>
        <w:t>first height measurement, H2 = second height measurement, T = the number of days between each measurement</w:t>
      </w:r>
    </w:p>
    <w:p w14:paraId="4CAF6D6B" w14:textId="2DA142CD" w:rsidR="00E653C6" w:rsidRDefault="00E653C6" w:rsidP="001C17BD">
      <w:pPr>
        <w:pStyle w:val="ListParagraph"/>
        <w:numPr>
          <w:ilvl w:val="0"/>
          <w:numId w:val="2"/>
        </w:numPr>
        <w:spacing w:line="480" w:lineRule="auto"/>
        <w:ind w:left="142" w:hanging="142"/>
        <w:jc w:val="both"/>
        <w:rPr>
          <w:rFonts w:ascii="Times New Roman" w:hAnsi="Times New Roman" w:cs="Times New Roman"/>
          <w:bCs/>
          <w:sz w:val="24"/>
          <w:szCs w:val="24"/>
          <w:lang w:val="en-US"/>
        </w:rPr>
      </w:pPr>
      <w:r w:rsidRPr="00E653C6">
        <w:rPr>
          <w:rFonts w:ascii="Times New Roman" w:hAnsi="Times New Roman" w:cs="Times New Roman"/>
          <w:b/>
          <w:sz w:val="24"/>
          <w:szCs w:val="24"/>
          <w:lang w:val="en-US"/>
        </w:rPr>
        <w:t>Number of shoots (N</w:t>
      </w:r>
      <w:r>
        <w:rPr>
          <w:rFonts w:ascii="Times New Roman" w:hAnsi="Times New Roman" w:cs="Times New Roman"/>
          <w:b/>
          <w:sz w:val="24"/>
          <w:szCs w:val="24"/>
          <w:lang w:val="en-US"/>
        </w:rPr>
        <w:t>S</w:t>
      </w:r>
      <w:r w:rsidRPr="00E653C6">
        <w:rPr>
          <w:rFonts w:ascii="Times New Roman" w:hAnsi="Times New Roman" w:cs="Times New Roman"/>
          <w:b/>
          <w:sz w:val="24"/>
          <w:szCs w:val="24"/>
          <w:lang w:val="en-US"/>
        </w:rPr>
        <w:t>):</w:t>
      </w:r>
      <w:r w:rsidRPr="00E653C6">
        <w:rPr>
          <w:rFonts w:ascii="Times New Roman" w:hAnsi="Times New Roman" w:cs="Times New Roman"/>
          <w:bCs/>
          <w:sz w:val="24"/>
          <w:szCs w:val="24"/>
          <w:lang w:val="en-US"/>
        </w:rPr>
        <w:t xml:space="preserve"> These were counted on each plant every week from the 31st to the 73rd day after sowing</w:t>
      </w:r>
      <w:r>
        <w:rPr>
          <w:rFonts w:ascii="Times New Roman" w:hAnsi="Times New Roman" w:cs="Times New Roman"/>
          <w:bCs/>
          <w:sz w:val="24"/>
          <w:szCs w:val="24"/>
          <w:lang w:val="en-US"/>
        </w:rPr>
        <w:t>.</w:t>
      </w:r>
    </w:p>
    <w:p w14:paraId="7CF3130D" w14:textId="77777777" w:rsidR="002D2F2E" w:rsidRPr="002D2F2E" w:rsidRDefault="00E653C6" w:rsidP="001C17BD">
      <w:pPr>
        <w:pStyle w:val="ListParagraph"/>
        <w:numPr>
          <w:ilvl w:val="0"/>
          <w:numId w:val="2"/>
        </w:numPr>
        <w:spacing w:line="480" w:lineRule="auto"/>
        <w:ind w:left="142" w:hanging="142"/>
        <w:jc w:val="both"/>
        <w:rPr>
          <w:rFonts w:ascii="Times New Roman" w:hAnsi="Times New Roman" w:cs="Times New Roman"/>
          <w:bCs/>
          <w:sz w:val="24"/>
          <w:szCs w:val="24"/>
          <w:lang w:val="en-US"/>
        </w:rPr>
      </w:pPr>
      <w:r w:rsidRPr="00E653C6">
        <w:rPr>
          <w:rFonts w:ascii="Times New Roman" w:hAnsi="Times New Roman" w:cs="Times New Roman"/>
          <w:b/>
          <w:bCs/>
          <w:sz w:val="24"/>
          <w:szCs w:val="24"/>
          <w:lang w:val="en-US"/>
        </w:rPr>
        <w:t>Length of tubers per plant in mm (LTP</w:t>
      </w:r>
      <w:r w:rsidRPr="00E653C6">
        <w:rPr>
          <w:rFonts w:ascii="Times New Roman" w:hAnsi="Times New Roman" w:cs="Times New Roman"/>
          <w:sz w:val="24"/>
          <w:szCs w:val="24"/>
          <w:lang w:val="en-US"/>
        </w:rPr>
        <w:t xml:space="preserve">): The tubers were sorted using two sieves based on their diameter, following the method described by </w:t>
      </w:r>
      <w:proofErr w:type="spellStart"/>
      <w:r w:rsidRPr="00E653C6">
        <w:rPr>
          <w:rFonts w:ascii="Times New Roman" w:hAnsi="Times New Roman" w:cs="Times New Roman"/>
          <w:sz w:val="24"/>
          <w:szCs w:val="24"/>
          <w:lang w:val="en-US"/>
        </w:rPr>
        <w:t>Tarpaga</w:t>
      </w:r>
      <w:proofErr w:type="spellEnd"/>
      <w:r w:rsidRPr="00E653C6">
        <w:rPr>
          <w:rFonts w:ascii="Times New Roman" w:hAnsi="Times New Roman" w:cs="Times New Roman"/>
          <w:sz w:val="24"/>
          <w:szCs w:val="24"/>
          <w:lang w:val="en-US"/>
        </w:rPr>
        <w:t xml:space="preserve"> (2001). Thus, the tubers were classified into three categories based on their diameter: (</w:t>
      </w:r>
      <w:proofErr w:type="spellStart"/>
      <w:r w:rsidRPr="00E653C6">
        <w:rPr>
          <w:rFonts w:ascii="Times New Roman" w:hAnsi="Times New Roman" w:cs="Times New Roman"/>
          <w:sz w:val="24"/>
          <w:szCs w:val="24"/>
          <w:lang w:val="en-US"/>
        </w:rPr>
        <w:t>i</w:t>
      </w:r>
      <w:proofErr w:type="spellEnd"/>
      <w:r w:rsidRPr="00E653C6">
        <w:rPr>
          <w:rFonts w:ascii="Times New Roman" w:hAnsi="Times New Roman" w:cs="Times New Roman"/>
          <w:sz w:val="24"/>
          <w:szCs w:val="24"/>
          <w:lang w:val="en-US"/>
        </w:rPr>
        <w:t>) small-diameter tubers (SDT) (D ≤ 16 mm), (ii) medium-diameter tubers (MDT) (16 &lt; D ≤ 26 mm), and (iii) large-diameter tubers (LDT) (D ≥ 26 mm). Next, ten (10) tubers were selected from each group for measurement. The average number of tubers per plant was determined using the following equation:</w:t>
      </w:r>
    </w:p>
    <w:p w14:paraId="56DC2827" w14:textId="3D6F96A5" w:rsidR="00E653C6" w:rsidRPr="00E653C6" w:rsidRDefault="00E653C6" w:rsidP="002D2F2E">
      <w:pPr>
        <w:pStyle w:val="ListParagraph"/>
        <w:spacing w:line="480" w:lineRule="auto"/>
        <w:ind w:left="142"/>
        <w:jc w:val="both"/>
        <w:rPr>
          <w:rFonts w:ascii="Times New Roman" w:hAnsi="Times New Roman" w:cs="Times New Roman"/>
          <w:bCs/>
          <w:sz w:val="24"/>
          <w:szCs w:val="24"/>
          <w:lang w:val="en-US"/>
        </w:rPr>
      </w:pPr>
      <w:r w:rsidRPr="00E653C6">
        <w:rPr>
          <w:rFonts w:ascii="Times New Roman" w:hAnsi="Times New Roman" w:cs="Times New Roman"/>
          <w:sz w:val="24"/>
          <w:szCs w:val="24"/>
          <w:lang w:val="en-US"/>
        </w:rPr>
        <w:t xml:space="preserve"> </w:t>
      </w:r>
      <m:oMath>
        <m:r>
          <m:rPr>
            <m:sty m:val="bi"/>
          </m:rPr>
          <w:rPr>
            <w:rFonts w:ascii="Cambria Math" w:hAnsi="Cambria Math" w:cs="Times New Roman"/>
            <w:sz w:val="24"/>
            <w:szCs w:val="24"/>
            <w:lang w:val="en-US"/>
          </w:rPr>
          <m:t xml:space="preserve">LTP </m:t>
        </m:r>
        <m:r>
          <w:rPr>
            <w:rFonts w:ascii="Cambria Math" w:hAnsi="Cambria Math" w:cs="Times New Roman"/>
            <w:sz w:val="24"/>
            <w:szCs w:val="24"/>
            <w:lang w:val="en-US"/>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lang w:val="en-US"/>
              </w:rPr>
              <m:t>LSD+LMD+LLD</m:t>
            </m:r>
          </m:num>
          <m:den>
            <m:r>
              <w:rPr>
                <w:rFonts w:ascii="Cambria Math" w:hAnsi="Cambria Math" w:cs="Times New Roman"/>
                <w:sz w:val="24"/>
                <w:szCs w:val="24"/>
                <w:lang w:val="en-US"/>
              </w:rPr>
              <m:t>3</m:t>
            </m:r>
          </m:den>
        </m:f>
      </m:oMath>
      <w:r w:rsidRPr="00E653C6">
        <w:rPr>
          <w:rFonts w:ascii="Times New Roman" w:eastAsiaTheme="minorEastAsia" w:hAnsi="Times New Roman" w:cs="Times New Roman"/>
          <w:sz w:val="24"/>
          <w:szCs w:val="24"/>
          <w:lang w:val="en-US"/>
        </w:rPr>
        <w:t xml:space="preserve">   (3); </w:t>
      </w:r>
      <w:r w:rsidRPr="00E653C6">
        <w:rPr>
          <w:rFonts w:ascii="Times New Roman" w:hAnsi="Times New Roman" w:cs="Times New Roman"/>
          <w:sz w:val="20"/>
          <w:szCs w:val="20"/>
          <w:lang w:val="en-US"/>
        </w:rPr>
        <w:t>where: LDS= length of small-diameter tubers, LMD= length of medium-diameter tubers and LLD = length of large-diameter tubers</w:t>
      </w:r>
    </w:p>
    <w:p w14:paraId="63B3331F" w14:textId="77777777" w:rsidR="002D2F2E" w:rsidRPr="002D2F2E" w:rsidRDefault="00E653C6" w:rsidP="001C17BD">
      <w:pPr>
        <w:pStyle w:val="ListParagraph"/>
        <w:numPr>
          <w:ilvl w:val="0"/>
          <w:numId w:val="2"/>
        </w:numPr>
        <w:spacing w:line="480" w:lineRule="auto"/>
        <w:ind w:left="142" w:hanging="142"/>
        <w:jc w:val="both"/>
        <w:rPr>
          <w:rFonts w:ascii="Times New Roman" w:hAnsi="Times New Roman" w:cs="Times New Roman"/>
          <w:bCs/>
          <w:sz w:val="24"/>
          <w:szCs w:val="24"/>
          <w:lang w:val="en-US"/>
        </w:rPr>
      </w:pPr>
      <w:r w:rsidRPr="00E653C6">
        <w:rPr>
          <w:rFonts w:ascii="Times New Roman" w:hAnsi="Times New Roman" w:cs="Times New Roman"/>
          <w:b/>
          <w:bCs/>
          <w:sz w:val="24"/>
          <w:szCs w:val="24"/>
          <w:lang w:val="en-US"/>
        </w:rPr>
        <w:t>Average tuber diameter in mm</w:t>
      </w:r>
      <w:r w:rsidRPr="00E653C6">
        <w:rPr>
          <w:rFonts w:ascii="Times New Roman" w:hAnsi="Times New Roman" w:cs="Times New Roman"/>
          <w:sz w:val="24"/>
          <w:szCs w:val="24"/>
          <w:lang w:val="en-US"/>
        </w:rPr>
        <w:t xml:space="preserve"> </w:t>
      </w:r>
      <w:r w:rsidRPr="00E653C6">
        <w:rPr>
          <w:rFonts w:ascii="Times New Roman" w:hAnsi="Times New Roman" w:cs="Times New Roman"/>
          <w:b/>
          <w:bCs/>
          <w:sz w:val="24"/>
          <w:szCs w:val="24"/>
          <w:lang w:val="en-US"/>
        </w:rPr>
        <w:t>(ATD):</w:t>
      </w:r>
      <w:r w:rsidRPr="00E653C6">
        <w:rPr>
          <w:rFonts w:ascii="Times New Roman" w:hAnsi="Times New Roman" w:cs="Times New Roman"/>
          <w:sz w:val="24"/>
          <w:szCs w:val="24"/>
          <w:lang w:val="en-US"/>
        </w:rPr>
        <w:t xml:space="preserve"> This parameter was determined in the same way as the average tuber length, using the following equation:</w:t>
      </w:r>
    </w:p>
    <w:p w14:paraId="22D7C343" w14:textId="142ED522" w:rsidR="00E653C6" w:rsidRPr="00F9645E" w:rsidRDefault="00E653C6" w:rsidP="002D2F2E">
      <w:pPr>
        <w:pStyle w:val="ListParagraph"/>
        <w:spacing w:line="480" w:lineRule="auto"/>
        <w:ind w:left="142"/>
        <w:jc w:val="both"/>
        <w:rPr>
          <w:rFonts w:ascii="Times New Roman" w:hAnsi="Times New Roman" w:cs="Times New Roman"/>
          <w:bCs/>
          <w:sz w:val="24"/>
          <w:szCs w:val="24"/>
          <w:lang w:val="en-US"/>
        </w:rPr>
      </w:pPr>
      <w:r w:rsidRPr="00E653C6">
        <w:rPr>
          <w:rFonts w:ascii="Times New Roman" w:hAnsi="Times New Roman" w:cs="Times New Roman"/>
          <w:sz w:val="24"/>
          <w:szCs w:val="24"/>
          <w:lang w:val="en-US"/>
        </w:rPr>
        <w:t xml:space="preserve"> </w:t>
      </w:r>
      <m:oMath>
        <m:r>
          <m:rPr>
            <m:sty m:val="bi"/>
          </m:rPr>
          <w:rPr>
            <w:rFonts w:ascii="Cambria Math" w:hAnsi="Cambria Math" w:cs="Times New Roman"/>
            <w:sz w:val="24"/>
            <w:szCs w:val="24"/>
            <w:lang w:val="en-US"/>
          </w:rPr>
          <m:t xml:space="preserve">ATD </m:t>
        </m:r>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 xml:space="preserve">SDT+MDT+LDT) </m:t>
            </m:r>
          </m:num>
          <m:den>
            <m:r>
              <w:rPr>
                <w:rFonts w:ascii="Cambria Math" w:hAnsi="Cambria Math" w:cs="Times New Roman"/>
                <w:sz w:val="24"/>
                <w:szCs w:val="24"/>
                <w:lang w:val="en-US"/>
              </w:rPr>
              <m:t>3</m:t>
            </m:r>
          </m:den>
        </m:f>
      </m:oMath>
      <w:r w:rsidRPr="00E653C6">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 xml:space="preserve"> </w:t>
      </w:r>
      <w:r w:rsidRPr="00E653C6">
        <w:rPr>
          <w:rFonts w:ascii="Times New Roman" w:eastAsiaTheme="minorEastAsia" w:hAnsi="Times New Roman" w:cs="Times New Roman"/>
          <w:sz w:val="24"/>
          <w:szCs w:val="24"/>
          <w:lang w:val="en-US"/>
        </w:rPr>
        <w:t xml:space="preserve">(4) </w:t>
      </w:r>
      <w:r w:rsidRPr="00E653C6">
        <w:rPr>
          <w:rFonts w:ascii="Times New Roman" w:hAnsi="Times New Roman" w:cs="Times New Roman"/>
          <w:sz w:val="20"/>
          <w:szCs w:val="20"/>
          <w:lang w:val="en-US"/>
        </w:rPr>
        <w:t>where: SDT= small-diameter tubers (SDT), MDT= medium-diameter tubers and LDT =large-diameter tubers</w:t>
      </w:r>
      <w:r w:rsidR="00F9645E">
        <w:rPr>
          <w:rFonts w:ascii="Times New Roman" w:hAnsi="Times New Roman" w:cs="Times New Roman"/>
          <w:sz w:val="20"/>
          <w:szCs w:val="20"/>
          <w:lang w:val="en-US"/>
        </w:rPr>
        <w:t>.</w:t>
      </w:r>
    </w:p>
    <w:p w14:paraId="72101F93" w14:textId="34409D35" w:rsidR="00F9645E" w:rsidRPr="00F9645E" w:rsidRDefault="00F9645E" w:rsidP="001C17BD">
      <w:pPr>
        <w:pStyle w:val="Heading2"/>
        <w:spacing w:before="0" w:line="480" w:lineRule="auto"/>
        <w:ind w:left="708"/>
        <w:jc w:val="both"/>
        <w:rPr>
          <w:rFonts w:ascii="Times New Roman" w:hAnsi="Times New Roman" w:cs="Times New Roman"/>
          <w:b/>
          <w:color w:val="auto"/>
          <w:sz w:val="24"/>
          <w:szCs w:val="24"/>
          <w:lang w:val="en-US"/>
        </w:rPr>
      </w:pPr>
      <w:r w:rsidRPr="00F9645E">
        <w:rPr>
          <w:rFonts w:ascii="Times New Roman" w:hAnsi="Times New Roman" w:cs="Times New Roman"/>
          <w:b/>
          <w:color w:val="auto"/>
          <w:sz w:val="24"/>
          <w:szCs w:val="24"/>
          <w:lang w:val="en-US"/>
        </w:rPr>
        <w:t xml:space="preserve">Data treatment and analysis </w:t>
      </w:r>
    </w:p>
    <w:p w14:paraId="6E3F57DE" w14:textId="1BA8768C" w:rsidR="003E294A" w:rsidRDefault="00F9645E" w:rsidP="001C17BD">
      <w:pPr>
        <w:pStyle w:val="ListParagraph"/>
        <w:spacing w:line="480" w:lineRule="auto"/>
        <w:ind w:left="142"/>
        <w:jc w:val="both"/>
        <w:rPr>
          <w:rFonts w:ascii="Times New Roman" w:hAnsi="Times New Roman" w:cs="Times New Roman"/>
          <w:bCs/>
          <w:sz w:val="24"/>
          <w:szCs w:val="24"/>
          <w:lang w:val="en-US"/>
        </w:rPr>
      </w:pPr>
      <w:r w:rsidRPr="00F9645E">
        <w:rPr>
          <w:rFonts w:ascii="Times New Roman" w:hAnsi="Times New Roman" w:cs="Times New Roman"/>
          <w:bCs/>
          <w:sz w:val="24"/>
          <w:szCs w:val="24"/>
          <w:lang w:val="en-US"/>
        </w:rPr>
        <w:t xml:space="preserve">The data were entered and processed using Microsoft Excel 2019, which was also used for calculations and the creation of graphs. They were then subjected to an analysis of variance (ANOVA) using RStudio software (version 2026.01.1+403) to evaluate the effects of the storage methods and genotypes evaluated. Mean comparisons were performed using Tukey’s </w:t>
      </w:r>
      <w:r w:rsidRPr="00F9645E">
        <w:rPr>
          <w:rFonts w:ascii="Times New Roman" w:hAnsi="Times New Roman" w:cs="Times New Roman"/>
          <w:bCs/>
          <w:sz w:val="24"/>
          <w:szCs w:val="24"/>
          <w:lang w:val="en-US"/>
        </w:rPr>
        <w:lastRenderedPageBreak/>
        <w:t>test at the 5% significance level. Additionally, a Pearson correlation analysis was conducted at the 5% significance level using the same software.</w:t>
      </w:r>
    </w:p>
    <w:p w14:paraId="201CB838" w14:textId="77777777" w:rsidR="00182306" w:rsidRPr="00182306" w:rsidRDefault="00182306" w:rsidP="001C17BD">
      <w:pPr>
        <w:pStyle w:val="Heading1"/>
        <w:spacing w:after="0" w:line="480" w:lineRule="auto"/>
        <w:jc w:val="both"/>
        <w:rPr>
          <w:rFonts w:ascii="Times New Roman" w:hAnsi="Times New Roman" w:cs="Times New Roman"/>
          <w:b/>
          <w:bCs/>
          <w:color w:val="auto"/>
          <w:sz w:val="24"/>
          <w:szCs w:val="24"/>
          <w:lang w:val="en-US"/>
        </w:rPr>
      </w:pPr>
      <w:r w:rsidRPr="00182306">
        <w:rPr>
          <w:rFonts w:ascii="Times New Roman" w:hAnsi="Times New Roman" w:cs="Times New Roman"/>
          <w:b/>
          <w:bCs/>
          <w:color w:val="auto"/>
          <w:sz w:val="24"/>
          <w:szCs w:val="24"/>
          <w:lang w:val="en-US"/>
        </w:rPr>
        <w:t>Results</w:t>
      </w:r>
    </w:p>
    <w:p w14:paraId="08D3F9F0" w14:textId="066C1D5C" w:rsidR="00182306" w:rsidRPr="00182306" w:rsidRDefault="00182306" w:rsidP="001C17BD">
      <w:pPr>
        <w:pStyle w:val="Heading2"/>
        <w:spacing w:before="0" w:after="0" w:line="480" w:lineRule="auto"/>
        <w:ind w:left="708"/>
        <w:jc w:val="both"/>
        <w:rPr>
          <w:rFonts w:ascii="Times New Roman" w:hAnsi="Times New Roman" w:cs="Times New Roman"/>
          <w:b/>
          <w:color w:val="auto"/>
          <w:sz w:val="24"/>
          <w:szCs w:val="24"/>
          <w:lang w:val="en-US"/>
        </w:rPr>
      </w:pPr>
      <w:r w:rsidRPr="00182306">
        <w:rPr>
          <w:rFonts w:ascii="Times New Roman" w:hAnsi="Times New Roman" w:cs="Times New Roman"/>
          <w:b/>
          <w:color w:val="auto"/>
          <w:sz w:val="24"/>
          <w:szCs w:val="24"/>
          <w:lang w:val="en-US"/>
        </w:rPr>
        <w:t xml:space="preserve">Effect </w:t>
      </w:r>
      <w:r w:rsidR="00E547BA" w:rsidRPr="00E547BA">
        <w:rPr>
          <w:rFonts w:ascii="Times New Roman" w:hAnsi="Times New Roman" w:cs="Times New Roman"/>
          <w:b/>
          <w:color w:val="auto"/>
          <w:sz w:val="24"/>
          <w:szCs w:val="24"/>
          <w:lang w:val="en-US"/>
        </w:rPr>
        <w:t xml:space="preserve">of conservation methods </w:t>
      </w:r>
      <w:r w:rsidRPr="00182306">
        <w:rPr>
          <w:rFonts w:ascii="Times New Roman" w:hAnsi="Times New Roman" w:cs="Times New Roman"/>
          <w:b/>
          <w:color w:val="auto"/>
          <w:sz w:val="24"/>
          <w:szCs w:val="24"/>
          <w:lang w:val="en-US"/>
        </w:rPr>
        <w:t>on seedling recovery rate</w:t>
      </w:r>
    </w:p>
    <w:p w14:paraId="15A77740" w14:textId="5FB08986" w:rsidR="00182306" w:rsidRDefault="00182306" w:rsidP="001C17BD">
      <w:pPr>
        <w:pStyle w:val="ListParagraph"/>
        <w:spacing w:line="480" w:lineRule="auto"/>
        <w:ind w:left="142"/>
        <w:jc w:val="both"/>
        <w:rPr>
          <w:rFonts w:ascii="Times New Roman" w:hAnsi="Times New Roman" w:cs="Times New Roman"/>
          <w:bCs/>
          <w:sz w:val="24"/>
          <w:szCs w:val="24"/>
          <w:lang w:val="en-US"/>
        </w:rPr>
      </w:pPr>
      <w:r w:rsidRPr="00182306">
        <w:rPr>
          <w:rFonts w:ascii="Times New Roman" w:hAnsi="Times New Roman" w:cs="Times New Roman"/>
          <w:bCs/>
          <w:sz w:val="24"/>
          <w:szCs w:val="24"/>
          <w:lang w:val="en-US"/>
        </w:rPr>
        <w:t>The results showed that the seedling recovery rate ranged from 60.60 ± 7.54% to 73.33 ± 8.31% depending on the storage method, 42 days after the seedlings were planted (Table 1). Seedlings stored in the “</w:t>
      </w:r>
      <w:proofErr w:type="spellStart"/>
      <w:r w:rsidRPr="00182306">
        <w:rPr>
          <w:rFonts w:ascii="Times New Roman" w:hAnsi="Times New Roman" w:cs="Times New Roman"/>
          <w:bCs/>
          <w:sz w:val="24"/>
          <w:szCs w:val="24"/>
          <w:lang w:val="en-US"/>
        </w:rPr>
        <w:t>bitatoré</w:t>
      </w:r>
      <w:proofErr w:type="spellEnd"/>
      <w:r w:rsidRPr="00182306">
        <w:rPr>
          <w:rFonts w:ascii="Times New Roman" w:hAnsi="Times New Roman" w:cs="Times New Roman"/>
          <w:bCs/>
          <w:sz w:val="24"/>
          <w:szCs w:val="24"/>
          <w:lang w:val="en-US"/>
        </w:rPr>
        <w:t xml:space="preserve">” with millet glumes as an additive (BITA+G) had the highest survival rate, at 73.33 ± 8.31%. In contrast, seedlings stored in the </w:t>
      </w:r>
      <w:proofErr w:type="spellStart"/>
      <w:r w:rsidRPr="00182306">
        <w:rPr>
          <w:rFonts w:ascii="Times New Roman" w:hAnsi="Times New Roman" w:cs="Times New Roman"/>
          <w:bCs/>
          <w:sz w:val="24"/>
          <w:szCs w:val="24"/>
          <w:lang w:val="en-US"/>
        </w:rPr>
        <w:t>canari</w:t>
      </w:r>
      <w:proofErr w:type="spellEnd"/>
      <w:r w:rsidRPr="00182306">
        <w:rPr>
          <w:rFonts w:ascii="Times New Roman" w:hAnsi="Times New Roman" w:cs="Times New Roman"/>
          <w:bCs/>
          <w:sz w:val="24"/>
          <w:szCs w:val="24"/>
          <w:lang w:val="en-US"/>
        </w:rPr>
        <w:t xml:space="preserve"> with wood shavings as an additive (CAN+CB) recorded a lower survival rate of 60.60 ± 7.54% compared to those stored using the other methods (Table </w:t>
      </w:r>
      <w:r w:rsidR="003F3121">
        <w:rPr>
          <w:rFonts w:ascii="Times New Roman" w:hAnsi="Times New Roman" w:cs="Times New Roman"/>
          <w:bCs/>
          <w:sz w:val="24"/>
          <w:szCs w:val="24"/>
          <w:lang w:val="en-US"/>
        </w:rPr>
        <w:t>1</w:t>
      </w:r>
      <w:r w:rsidRPr="00182306">
        <w:rPr>
          <w:rFonts w:ascii="Times New Roman" w:hAnsi="Times New Roman" w:cs="Times New Roman"/>
          <w:bCs/>
          <w:sz w:val="24"/>
          <w:szCs w:val="24"/>
          <w:lang w:val="en-US"/>
        </w:rPr>
        <w:t>). However, the analysis of variance did not reveal a significant difference (P = 0.69) among the storage methods.</w:t>
      </w:r>
    </w:p>
    <w:p w14:paraId="629258A6" w14:textId="6CCA0B7D" w:rsidR="00C778CD" w:rsidRPr="00E13F58" w:rsidRDefault="00080557" w:rsidP="00E13F58">
      <w:pPr>
        <w:pStyle w:val="ListParagraph"/>
        <w:spacing w:line="480" w:lineRule="auto"/>
        <w:ind w:left="142"/>
        <w:jc w:val="both"/>
        <w:rPr>
          <w:rFonts w:ascii="Times New Roman" w:hAnsi="Times New Roman" w:cs="Times New Roman"/>
          <w:bCs/>
          <w:sz w:val="24"/>
          <w:szCs w:val="24"/>
          <w:lang w:val="en-US"/>
        </w:rPr>
      </w:pPr>
      <w:r w:rsidRPr="00080557">
        <w:rPr>
          <w:rFonts w:ascii="Times New Roman" w:hAnsi="Times New Roman" w:cs="Times New Roman"/>
          <w:bCs/>
          <w:sz w:val="24"/>
          <w:szCs w:val="24"/>
          <w:lang w:val="en-US"/>
        </w:rPr>
        <w:t>The seedling recovery rate also ranged from 11.11 ± 10.00% to 100.0 ± 00.00% depending on the genotype 42 days after planting (Table 2). Except for the conservation methods in the canary and “</w:t>
      </w:r>
      <w:proofErr w:type="spellStart"/>
      <w:r w:rsidRPr="00080557">
        <w:rPr>
          <w:rFonts w:ascii="Times New Roman" w:hAnsi="Times New Roman" w:cs="Times New Roman"/>
          <w:bCs/>
          <w:sz w:val="24"/>
          <w:szCs w:val="24"/>
          <w:lang w:val="en-US"/>
        </w:rPr>
        <w:t>bitatoré</w:t>
      </w:r>
      <w:proofErr w:type="spellEnd"/>
      <w:r w:rsidRPr="00080557">
        <w:rPr>
          <w:rFonts w:ascii="Times New Roman" w:hAnsi="Times New Roman" w:cs="Times New Roman"/>
          <w:bCs/>
          <w:sz w:val="24"/>
          <w:szCs w:val="24"/>
          <w:lang w:val="en-US"/>
        </w:rPr>
        <w:t>” with glume as an additive and according to the triple S system, the analysis of variance revealed a significant difference between genotypes for the other conservation methods (Table 2). Thus, the highest seedling emergence rates (100.0 ± 00.00%) were observed in seedlings of genotype E186 from “</w:t>
      </w:r>
      <w:proofErr w:type="spellStart"/>
      <w:r w:rsidRPr="00080557">
        <w:rPr>
          <w:rFonts w:ascii="Times New Roman" w:hAnsi="Times New Roman" w:cs="Times New Roman"/>
          <w:bCs/>
          <w:sz w:val="24"/>
          <w:szCs w:val="24"/>
          <w:lang w:val="en-US"/>
        </w:rPr>
        <w:t>bitatoré</w:t>
      </w:r>
      <w:proofErr w:type="spellEnd"/>
      <w:r w:rsidRPr="00080557">
        <w:rPr>
          <w:rFonts w:ascii="Times New Roman" w:hAnsi="Times New Roman" w:cs="Times New Roman"/>
          <w:bCs/>
          <w:sz w:val="24"/>
          <w:szCs w:val="24"/>
          <w:lang w:val="en-US"/>
        </w:rPr>
        <w:t xml:space="preserve">” and canary with sand as an additive, E120 from canary without </w:t>
      </w:r>
      <w:r>
        <w:rPr>
          <w:rFonts w:ascii="Times New Roman" w:hAnsi="Times New Roman" w:cs="Times New Roman"/>
          <w:bCs/>
          <w:sz w:val="24"/>
          <w:szCs w:val="24"/>
          <w:lang w:val="en-US"/>
        </w:rPr>
        <w:t xml:space="preserve">an </w:t>
      </w:r>
      <w:r w:rsidRPr="00080557">
        <w:rPr>
          <w:rFonts w:ascii="Times New Roman" w:hAnsi="Times New Roman" w:cs="Times New Roman"/>
          <w:bCs/>
          <w:sz w:val="24"/>
          <w:szCs w:val="24"/>
          <w:lang w:val="en-US"/>
        </w:rPr>
        <w:t>additive, and ‘White’ from “</w:t>
      </w:r>
      <w:proofErr w:type="spellStart"/>
      <w:r w:rsidRPr="00080557">
        <w:rPr>
          <w:rFonts w:ascii="Times New Roman" w:hAnsi="Times New Roman" w:cs="Times New Roman"/>
          <w:bCs/>
          <w:sz w:val="24"/>
          <w:szCs w:val="24"/>
          <w:lang w:val="en-US"/>
        </w:rPr>
        <w:t>bitatoré</w:t>
      </w:r>
      <w:proofErr w:type="spellEnd"/>
      <w:r w:rsidRPr="00080557">
        <w:rPr>
          <w:rFonts w:ascii="Times New Roman" w:hAnsi="Times New Roman" w:cs="Times New Roman"/>
          <w:bCs/>
          <w:sz w:val="24"/>
          <w:szCs w:val="24"/>
          <w:lang w:val="en-US"/>
        </w:rPr>
        <w:t xml:space="preserve">” without </w:t>
      </w:r>
      <w:r>
        <w:rPr>
          <w:rFonts w:ascii="Times New Roman" w:hAnsi="Times New Roman" w:cs="Times New Roman"/>
          <w:bCs/>
          <w:sz w:val="24"/>
          <w:szCs w:val="24"/>
          <w:lang w:val="en-US"/>
        </w:rPr>
        <w:t xml:space="preserve">an </w:t>
      </w:r>
      <w:r w:rsidRPr="00080557">
        <w:rPr>
          <w:rFonts w:ascii="Times New Roman" w:hAnsi="Times New Roman" w:cs="Times New Roman"/>
          <w:bCs/>
          <w:sz w:val="24"/>
          <w:szCs w:val="24"/>
          <w:lang w:val="en-US"/>
        </w:rPr>
        <w:t>additive (Table 2). In contrast, the lowest rate was observed in seedlings of the ‘White’ genotype derived from “</w:t>
      </w:r>
      <w:proofErr w:type="spellStart"/>
      <w:r w:rsidRPr="00080557">
        <w:rPr>
          <w:rFonts w:ascii="Times New Roman" w:hAnsi="Times New Roman" w:cs="Times New Roman"/>
          <w:bCs/>
          <w:sz w:val="24"/>
          <w:szCs w:val="24"/>
          <w:lang w:val="en-US"/>
        </w:rPr>
        <w:t>bitatoré</w:t>
      </w:r>
      <w:proofErr w:type="spellEnd"/>
      <w:r w:rsidRPr="00080557">
        <w:rPr>
          <w:rFonts w:ascii="Times New Roman" w:hAnsi="Times New Roman" w:cs="Times New Roman"/>
          <w:bCs/>
          <w:sz w:val="24"/>
          <w:szCs w:val="24"/>
          <w:lang w:val="en-US"/>
        </w:rPr>
        <w:t>” and canary with wood shavings as an additive, at 11.11 ± 10.00% (Table 2)</w:t>
      </w:r>
    </w:p>
    <w:p w14:paraId="636CA9D9" w14:textId="4EB767D1" w:rsidR="003F3121" w:rsidRPr="00C778CD" w:rsidRDefault="003F3121" w:rsidP="00C778CD">
      <w:pPr>
        <w:pStyle w:val="ListParagraph"/>
        <w:spacing w:after="0" w:line="360" w:lineRule="auto"/>
        <w:ind w:left="1416"/>
        <w:jc w:val="both"/>
        <w:rPr>
          <w:rFonts w:ascii="Times New Roman" w:hAnsi="Times New Roman" w:cs="Times New Roman"/>
          <w:bCs/>
          <w:sz w:val="24"/>
          <w:szCs w:val="24"/>
          <w:lang w:val="en-US"/>
        </w:rPr>
      </w:pPr>
      <w:r w:rsidRPr="00C778CD">
        <w:rPr>
          <w:rFonts w:ascii="Times New Roman" w:hAnsi="Times New Roman" w:cs="Times New Roman"/>
          <w:b/>
          <w:sz w:val="24"/>
          <w:szCs w:val="24"/>
          <w:lang w:val="en-US"/>
        </w:rPr>
        <w:t>Table 1:</w:t>
      </w:r>
      <w:r w:rsidRPr="00C778CD">
        <w:rPr>
          <w:rFonts w:ascii="Times New Roman" w:hAnsi="Times New Roman" w:cs="Times New Roman"/>
          <w:bCs/>
          <w:sz w:val="24"/>
          <w:szCs w:val="24"/>
          <w:lang w:val="en-US"/>
        </w:rPr>
        <w:t xml:space="preserve"> Seedling recovery rates by conservation method</w:t>
      </w:r>
    </w:p>
    <w:tbl>
      <w:tblPr>
        <w:tblW w:w="5442" w:type="dxa"/>
        <w:jc w:val="center"/>
        <w:tblCellMar>
          <w:left w:w="10" w:type="dxa"/>
          <w:right w:w="10" w:type="dxa"/>
        </w:tblCellMar>
        <w:tblLook w:val="0000" w:firstRow="0" w:lastRow="0" w:firstColumn="0" w:lastColumn="0" w:noHBand="0" w:noVBand="0"/>
      </w:tblPr>
      <w:tblGrid>
        <w:gridCol w:w="2721"/>
        <w:gridCol w:w="2721"/>
      </w:tblGrid>
      <w:tr w:rsidR="003F3121" w:rsidRPr="00C778CD" w14:paraId="78B0AF85" w14:textId="77777777" w:rsidTr="007748D3">
        <w:trPr>
          <w:trHeight w:val="170"/>
          <w:jc w:val="center"/>
        </w:trPr>
        <w:tc>
          <w:tcPr>
            <w:tcW w:w="2721" w:type="dxa"/>
            <w:tcBorders>
              <w:top w:val="single" w:sz="4" w:space="0" w:color="000000"/>
              <w:bottom w:val="single" w:sz="4" w:space="0" w:color="000000"/>
            </w:tcBorders>
            <w:tcMar>
              <w:top w:w="0" w:type="dxa"/>
              <w:left w:w="108" w:type="dxa"/>
              <w:bottom w:w="0" w:type="dxa"/>
              <w:right w:w="108" w:type="dxa"/>
            </w:tcMar>
          </w:tcPr>
          <w:p w14:paraId="5ABCD3B4" w14:textId="2403D43F" w:rsidR="003F3121" w:rsidRPr="00C778CD" w:rsidRDefault="003F3121" w:rsidP="00B22E9A">
            <w:pPr>
              <w:spacing w:after="0" w:line="240" w:lineRule="auto"/>
              <w:rPr>
                <w:rFonts w:ascii="Times New Roman" w:eastAsia="Times New Roman" w:hAnsi="Times New Roman" w:cs="Times New Roman"/>
                <w:color w:val="000000"/>
                <w:sz w:val="20"/>
                <w:szCs w:val="20"/>
                <w:lang w:eastAsia="fr-FR"/>
              </w:rPr>
            </w:pPr>
            <w:bookmarkStart w:id="3" w:name="_Hlk184751641"/>
            <w:r w:rsidRPr="00C778CD">
              <w:rPr>
                <w:rFonts w:ascii="Times New Roman" w:hAnsi="Times New Roman" w:cs="Times New Roman"/>
                <w:sz w:val="20"/>
                <w:szCs w:val="20"/>
              </w:rPr>
              <w:t xml:space="preserve">Conservation </w:t>
            </w:r>
            <w:proofErr w:type="spellStart"/>
            <w:r w:rsidRPr="00C778CD">
              <w:rPr>
                <w:rFonts w:ascii="Times New Roman" w:hAnsi="Times New Roman" w:cs="Times New Roman"/>
                <w:sz w:val="20"/>
                <w:szCs w:val="20"/>
              </w:rPr>
              <w:t>methods</w:t>
            </w:r>
            <w:proofErr w:type="spellEnd"/>
            <w:r w:rsidRPr="00C778CD">
              <w:rPr>
                <w:rFonts w:ascii="Times New Roman" w:hAnsi="Times New Roman" w:cs="Times New Roman"/>
                <w:sz w:val="20"/>
                <w:szCs w:val="20"/>
              </w:rPr>
              <w:t xml:space="preserve">    </w:t>
            </w:r>
          </w:p>
        </w:tc>
        <w:tc>
          <w:tcPr>
            <w:tcW w:w="2721" w:type="dxa"/>
            <w:tcBorders>
              <w:top w:val="single" w:sz="4" w:space="0" w:color="000000"/>
              <w:bottom w:val="single" w:sz="4" w:space="0" w:color="000000"/>
            </w:tcBorders>
            <w:tcMar>
              <w:top w:w="0" w:type="dxa"/>
              <w:left w:w="108" w:type="dxa"/>
              <w:bottom w:w="0" w:type="dxa"/>
              <w:right w:w="108" w:type="dxa"/>
            </w:tcMar>
          </w:tcPr>
          <w:p w14:paraId="1912937C" w14:textId="504619F9" w:rsidR="003F3121" w:rsidRPr="00C778CD" w:rsidRDefault="003F3121" w:rsidP="00B22E9A">
            <w:pPr>
              <w:spacing w:after="0" w:line="240" w:lineRule="auto"/>
              <w:jc w:val="center"/>
              <w:rPr>
                <w:rFonts w:ascii="Times New Roman" w:eastAsia="Times New Roman" w:hAnsi="Times New Roman" w:cs="Times New Roman"/>
                <w:color w:val="000000"/>
                <w:sz w:val="20"/>
                <w:szCs w:val="20"/>
                <w:lang w:eastAsia="fr-FR"/>
              </w:rPr>
            </w:pPr>
            <w:r w:rsidRPr="00C778CD">
              <w:rPr>
                <w:rFonts w:ascii="Times New Roman" w:hAnsi="Times New Roman" w:cs="Times New Roman"/>
                <w:sz w:val="20"/>
                <w:szCs w:val="20"/>
              </w:rPr>
              <w:t xml:space="preserve">  </w:t>
            </w:r>
            <w:proofErr w:type="spellStart"/>
            <w:r w:rsidRPr="00C778CD">
              <w:rPr>
                <w:rFonts w:ascii="Times New Roman" w:hAnsi="Times New Roman" w:cs="Times New Roman"/>
                <w:sz w:val="20"/>
                <w:szCs w:val="20"/>
              </w:rPr>
              <w:t>Recovery</w:t>
            </w:r>
            <w:proofErr w:type="spellEnd"/>
            <w:r w:rsidRPr="00C778CD">
              <w:rPr>
                <w:rFonts w:ascii="Times New Roman" w:hAnsi="Times New Roman" w:cs="Times New Roman"/>
                <w:sz w:val="20"/>
                <w:szCs w:val="20"/>
              </w:rPr>
              <w:t xml:space="preserve"> rate (%)</w:t>
            </w:r>
          </w:p>
        </w:tc>
      </w:tr>
      <w:tr w:rsidR="003F3121" w:rsidRPr="00C778CD" w14:paraId="2E3918F6" w14:textId="77777777" w:rsidTr="000F6481">
        <w:trPr>
          <w:trHeight w:val="227"/>
          <w:jc w:val="center"/>
        </w:trPr>
        <w:tc>
          <w:tcPr>
            <w:tcW w:w="2721" w:type="dxa"/>
            <w:tcMar>
              <w:top w:w="0" w:type="dxa"/>
              <w:left w:w="108" w:type="dxa"/>
              <w:bottom w:w="0" w:type="dxa"/>
              <w:right w:w="108" w:type="dxa"/>
            </w:tcMar>
          </w:tcPr>
          <w:p w14:paraId="2D4A795A" w14:textId="77777777" w:rsidR="003F3121" w:rsidRPr="00C778CD" w:rsidRDefault="003F3121" w:rsidP="00B22E9A">
            <w:pPr>
              <w:spacing w:after="0" w:line="240" w:lineRule="auto"/>
              <w:jc w:val="both"/>
              <w:rPr>
                <w:sz w:val="20"/>
                <w:szCs w:val="20"/>
              </w:rPr>
            </w:pPr>
            <w:r w:rsidRPr="00C778CD">
              <w:rPr>
                <w:rFonts w:ascii="Times New Roman" w:hAnsi="Times New Roman"/>
                <w:color w:val="000000"/>
                <w:sz w:val="20"/>
                <w:szCs w:val="20"/>
                <w:lang w:val="fr"/>
              </w:rPr>
              <w:t>BITA+G</w:t>
            </w:r>
          </w:p>
        </w:tc>
        <w:tc>
          <w:tcPr>
            <w:tcW w:w="2721" w:type="dxa"/>
            <w:tcMar>
              <w:top w:w="0" w:type="dxa"/>
              <w:left w:w="108" w:type="dxa"/>
              <w:bottom w:w="0" w:type="dxa"/>
              <w:right w:w="108" w:type="dxa"/>
            </w:tcMar>
            <w:vAlign w:val="center"/>
          </w:tcPr>
          <w:p w14:paraId="1D1E4B3D" w14:textId="77777777" w:rsidR="003F3121" w:rsidRPr="00C778CD" w:rsidRDefault="003F3121" w:rsidP="00B22E9A">
            <w:pPr>
              <w:spacing w:after="0" w:line="240" w:lineRule="auto"/>
              <w:jc w:val="center"/>
              <w:rPr>
                <w:sz w:val="20"/>
                <w:szCs w:val="20"/>
              </w:rPr>
            </w:pPr>
            <w:r w:rsidRPr="00C778CD">
              <w:rPr>
                <w:rFonts w:ascii="Times New Roman" w:hAnsi="Times New Roman"/>
                <w:sz w:val="20"/>
                <w:szCs w:val="20"/>
              </w:rPr>
              <w:t>73.33 ± 8.31</w:t>
            </w:r>
            <w:r w:rsidRPr="00C778CD">
              <w:rPr>
                <w:rFonts w:ascii="Times New Roman" w:hAnsi="Times New Roman"/>
                <w:sz w:val="20"/>
                <w:szCs w:val="20"/>
                <w:vertAlign w:val="superscript"/>
              </w:rPr>
              <w:t>a</w:t>
            </w:r>
          </w:p>
        </w:tc>
      </w:tr>
      <w:tr w:rsidR="003F3121" w:rsidRPr="00C778CD" w14:paraId="0990BB13" w14:textId="77777777" w:rsidTr="000F6481">
        <w:trPr>
          <w:trHeight w:val="227"/>
          <w:jc w:val="center"/>
        </w:trPr>
        <w:tc>
          <w:tcPr>
            <w:tcW w:w="2721" w:type="dxa"/>
            <w:tcMar>
              <w:top w:w="0" w:type="dxa"/>
              <w:left w:w="108" w:type="dxa"/>
              <w:bottom w:w="0" w:type="dxa"/>
              <w:right w:w="108" w:type="dxa"/>
            </w:tcMar>
          </w:tcPr>
          <w:p w14:paraId="5F7F58E0" w14:textId="77777777" w:rsidR="003F3121" w:rsidRPr="00C778CD" w:rsidRDefault="003F3121" w:rsidP="00B22E9A">
            <w:pPr>
              <w:spacing w:after="0" w:line="240" w:lineRule="auto"/>
              <w:jc w:val="both"/>
              <w:rPr>
                <w:sz w:val="20"/>
                <w:szCs w:val="20"/>
              </w:rPr>
            </w:pPr>
            <w:r w:rsidRPr="00C778CD">
              <w:rPr>
                <w:rFonts w:ascii="Times New Roman" w:hAnsi="Times New Roman"/>
                <w:color w:val="000000"/>
                <w:sz w:val="20"/>
                <w:szCs w:val="20"/>
                <w:lang w:val="fr"/>
              </w:rPr>
              <w:t>BITA+S</w:t>
            </w:r>
          </w:p>
        </w:tc>
        <w:tc>
          <w:tcPr>
            <w:tcW w:w="2721" w:type="dxa"/>
            <w:tcMar>
              <w:top w:w="0" w:type="dxa"/>
              <w:left w:w="108" w:type="dxa"/>
              <w:bottom w:w="0" w:type="dxa"/>
              <w:right w:w="108" w:type="dxa"/>
            </w:tcMar>
            <w:vAlign w:val="center"/>
          </w:tcPr>
          <w:p w14:paraId="33817C77" w14:textId="77777777" w:rsidR="003F3121" w:rsidRPr="00C778CD" w:rsidRDefault="003F3121" w:rsidP="00B22E9A">
            <w:pPr>
              <w:spacing w:after="0" w:line="240" w:lineRule="auto"/>
              <w:jc w:val="center"/>
              <w:rPr>
                <w:sz w:val="20"/>
                <w:szCs w:val="20"/>
              </w:rPr>
            </w:pPr>
            <w:r w:rsidRPr="00C778CD">
              <w:rPr>
                <w:rFonts w:ascii="Times New Roman" w:hAnsi="Times New Roman"/>
                <w:sz w:val="20"/>
                <w:szCs w:val="20"/>
              </w:rPr>
              <w:t>69.69 ± 8.35</w:t>
            </w:r>
            <w:r w:rsidRPr="00C778CD">
              <w:rPr>
                <w:rFonts w:ascii="Times New Roman" w:hAnsi="Times New Roman"/>
                <w:sz w:val="20"/>
                <w:szCs w:val="20"/>
                <w:vertAlign w:val="superscript"/>
              </w:rPr>
              <w:t>a</w:t>
            </w:r>
          </w:p>
        </w:tc>
      </w:tr>
      <w:tr w:rsidR="003F3121" w:rsidRPr="00C778CD" w14:paraId="1FFCF2F4" w14:textId="77777777" w:rsidTr="000F6481">
        <w:trPr>
          <w:trHeight w:val="227"/>
          <w:jc w:val="center"/>
        </w:trPr>
        <w:tc>
          <w:tcPr>
            <w:tcW w:w="2721" w:type="dxa"/>
            <w:tcMar>
              <w:top w:w="0" w:type="dxa"/>
              <w:left w:w="108" w:type="dxa"/>
              <w:bottom w:w="0" w:type="dxa"/>
              <w:right w:w="108" w:type="dxa"/>
            </w:tcMar>
          </w:tcPr>
          <w:p w14:paraId="10657337" w14:textId="77777777" w:rsidR="003F3121" w:rsidRPr="00C778CD" w:rsidRDefault="003F3121" w:rsidP="00B22E9A">
            <w:pPr>
              <w:spacing w:after="0" w:line="240" w:lineRule="auto"/>
              <w:jc w:val="both"/>
              <w:rPr>
                <w:sz w:val="20"/>
                <w:szCs w:val="20"/>
              </w:rPr>
            </w:pPr>
            <w:r w:rsidRPr="00C778CD">
              <w:rPr>
                <w:rFonts w:ascii="Times New Roman" w:hAnsi="Times New Roman"/>
                <w:color w:val="000000"/>
                <w:sz w:val="20"/>
                <w:szCs w:val="20"/>
                <w:lang w:val="fr"/>
              </w:rPr>
              <w:t>BITA</w:t>
            </w:r>
          </w:p>
        </w:tc>
        <w:tc>
          <w:tcPr>
            <w:tcW w:w="2721" w:type="dxa"/>
            <w:tcMar>
              <w:top w:w="0" w:type="dxa"/>
              <w:left w:w="108" w:type="dxa"/>
              <w:bottom w:w="0" w:type="dxa"/>
              <w:right w:w="108" w:type="dxa"/>
            </w:tcMar>
            <w:vAlign w:val="center"/>
          </w:tcPr>
          <w:p w14:paraId="1F01B802" w14:textId="77777777" w:rsidR="003F3121" w:rsidRPr="00C778CD" w:rsidRDefault="003F3121" w:rsidP="00B22E9A">
            <w:pPr>
              <w:spacing w:after="0" w:line="240" w:lineRule="auto"/>
              <w:jc w:val="center"/>
              <w:rPr>
                <w:sz w:val="20"/>
                <w:szCs w:val="20"/>
              </w:rPr>
            </w:pPr>
            <w:r w:rsidRPr="00C778CD">
              <w:rPr>
                <w:rFonts w:ascii="Times New Roman" w:hAnsi="Times New Roman"/>
                <w:sz w:val="20"/>
                <w:szCs w:val="20"/>
              </w:rPr>
              <w:t>69.04 ± 7.38</w:t>
            </w:r>
            <w:r w:rsidRPr="00C778CD">
              <w:rPr>
                <w:rFonts w:ascii="Times New Roman" w:hAnsi="Times New Roman"/>
                <w:sz w:val="20"/>
                <w:szCs w:val="20"/>
                <w:vertAlign w:val="superscript"/>
              </w:rPr>
              <w:t>a</w:t>
            </w:r>
          </w:p>
        </w:tc>
      </w:tr>
      <w:tr w:rsidR="003F3121" w:rsidRPr="00C778CD" w14:paraId="3B4DED01" w14:textId="77777777" w:rsidTr="000F6481">
        <w:trPr>
          <w:trHeight w:val="227"/>
          <w:jc w:val="center"/>
        </w:trPr>
        <w:tc>
          <w:tcPr>
            <w:tcW w:w="2721" w:type="dxa"/>
            <w:tcMar>
              <w:top w:w="0" w:type="dxa"/>
              <w:left w:w="108" w:type="dxa"/>
              <w:bottom w:w="0" w:type="dxa"/>
              <w:right w:w="108" w:type="dxa"/>
            </w:tcMar>
          </w:tcPr>
          <w:p w14:paraId="46014665" w14:textId="77777777" w:rsidR="003F3121" w:rsidRPr="00C778CD" w:rsidRDefault="003F3121" w:rsidP="00B22E9A">
            <w:pPr>
              <w:spacing w:after="0" w:line="240" w:lineRule="auto"/>
              <w:jc w:val="both"/>
              <w:rPr>
                <w:sz w:val="20"/>
                <w:szCs w:val="20"/>
              </w:rPr>
            </w:pPr>
            <w:r w:rsidRPr="00C778CD">
              <w:rPr>
                <w:rFonts w:ascii="Times New Roman" w:hAnsi="Times New Roman"/>
                <w:color w:val="000000"/>
                <w:sz w:val="20"/>
                <w:szCs w:val="20"/>
                <w:lang w:val="fr"/>
              </w:rPr>
              <w:t>CAN+S</w:t>
            </w:r>
          </w:p>
        </w:tc>
        <w:tc>
          <w:tcPr>
            <w:tcW w:w="2721" w:type="dxa"/>
            <w:tcMar>
              <w:top w:w="0" w:type="dxa"/>
              <w:left w:w="108" w:type="dxa"/>
              <w:bottom w:w="0" w:type="dxa"/>
              <w:right w:w="108" w:type="dxa"/>
            </w:tcMar>
            <w:vAlign w:val="center"/>
          </w:tcPr>
          <w:p w14:paraId="39F65CAB" w14:textId="77777777" w:rsidR="003F3121" w:rsidRPr="00C778CD" w:rsidRDefault="003F3121" w:rsidP="00B22E9A">
            <w:pPr>
              <w:spacing w:after="0" w:line="240" w:lineRule="auto"/>
              <w:jc w:val="center"/>
              <w:rPr>
                <w:sz w:val="20"/>
                <w:szCs w:val="20"/>
              </w:rPr>
            </w:pPr>
            <w:r w:rsidRPr="00C778CD">
              <w:rPr>
                <w:rFonts w:ascii="Times New Roman" w:hAnsi="Times New Roman"/>
                <w:sz w:val="20"/>
                <w:szCs w:val="20"/>
              </w:rPr>
              <w:t>66.66 ± 8.99</w:t>
            </w:r>
            <w:r w:rsidRPr="00C778CD">
              <w:rPr>
                <w:rFonts w:ascii="Times New Roman" w:hAnsi="Times New Roman"/>
                <w:sz w:val="20"/>
                <w:szCs w:val="20"/>
                <w:vertAlign w:val="superscript"/>
              </w:rPr>
              <w:t>a</w:t>
            </w:r>
          </w:p>
        </w:tc>
      </w:tr>
      <w:tr w:rsidR="003F3121" w:rsidRPr="00C778CD" w14:paraId="22225C78" w14:textId="77777777" w:rsidTr="000F6481">
        <w:trPr>
          <w:trHeight w:val="227"/>
          <w:jc w:val="center"/>
        </w:trPr>
        <w:tc>
          <w:tcPr>
            <w:tcW w:w="2721" w:type="dxa"/>
            <w:tcMar>
              <w:top w:w="0" w:type="dxa"/>
              <w:left w:w="108" w:type="dxa"/>
              <w:bottom w:w="0" w:type="dxa"/>
              <w:right w:w="108" w:type="dxa"/>
            </w:tcMar>
          </w:tcPr>
          <w:p w14:paraId="378A13E2" w14:textId="77777777" w:rsidR="003F3121" w:rsidRPr="00C778CD" w:rsidRDefault="003F3121" w:rsidP="00B22E9A">
            <w:pPr>
              <w:spacing w:after="0" w:line="240" w:lineRule="auto"/>
              <w:jc w:val="both"/>
              <w:rPr>
                <w:sz w:val="20"/>
                <w:szCs w:val="20"/>
              </w:rPr>
            </w:pPr>
            <w:r w:rsidRPr="00C778CD">
              <w:rPr>
                <w:rFonts w:ascii="Times New Roman" w:hAnsi="Times New Roman"/>
                <w:color w:val="000000"/>
                <w:sz w:val="20"/>
                <w:szCs w:val="20"/>
                <w:lang w:val="fr"/>
              </w:rPr>
              <w:t>CAN</w:t>
            </w:r>
          </w:p>
        </w:tc>
        <w:tc>
          <w:tcPr>
            <w:tcW w:w="2721" w:type="dxa"/>
            <w:tcMar>
              <w:top w:w="0" w:type="dxa"/>
              <w:left w:w="108" w:type="dxa"/>
              <w:bottom w:w="0" w:type="dxa"/>
              <w:right w:w="108" w:type="dxa"/>
            </w:tcMar>
            <w:vAlign w:val="center"/>
          </w:tcPr>
          <w:p w14:paraId="47299ABF" w14:textId="77777777" w:rsidR="003F3121" w:rsidRPr="00C778CD" w:rsidRDefault="003F3121" w:rsidP="00B22E9A">
            <w:pPr>
              <w:spacing w:after="0" w:line="240" w:lineRule="auto"/>
              <w:jc w:val="center"/>
              <w:rPr>
                <w:sz w:val="20"/>
                <w:szCs w:val="20"/>
              </w:rPr>
            </w:pPr>
            <w:r w:rsidRPr="00C778CD">
              <w:rPr>
                <w:rFonts w:ascii="Times New Roman" w:hAnsi="Times New Roman"/>
                <w:sz w:val="20"/>
                <w:szCs w:val="20"/>
              </w:rPr>
              <w:t>66.66 ± 7.80</w:t>
            </w:r>
            <w:r w:rsidRPr="00C778CD">
              <w:rPr>
                <w:rFonts w:ascii="Times New Roman" w:hAnsi="Times New Roman"/>
                <w:sz w:val="20"/>
                <w:szCs w:val="20"/>
                <w:vertAlign w:val="superscript"/>
              </w:rPr>
              <w:t>a</w:t>
            </w:r>
          </w:p>
        </w:tc>
      </w:tr>
      <w:tr w:rsidR="003F3121" w:rsidRPr="00C778CD" w14:paraId="73B2EBC9" w14:textId="77777777" w:rsidTr="000F6481">
        <w:trPr>
          <w:trHeight w:val="227"/>
          <w:jc w:val="center"/>
        </w:trPr>
        <w:tc>
          <w:tcPr>
            <w:tcW w:w="2721" w:type="dxa"/>
            <w:tcMar>
              <w:top w:w="0" w:type="dxa"/>
              <w:left w:w="108" w:type="dxa"/>
              <w:bottom w:w="0" w:type="dxa"/>
              <w:right w:w="108" w:type="dxa"/>
            </w:tcMar>
          </w:tcPr>
          <w:p w14:paraId="1B421B39" w14:textId="77777777" w:rsidR="003F3121" w:rsidRPr="00C778CD" w:rsidRDefault="003F3121" w:rsidP="00B22E9A">
            <w:pPr>
              <w:spacing w:after="0" w:line="240" w:lineRule="auto"/>
              <w:jc w:val="both"/>
              <w:rPr>
                <w:sz w:val="20"/>
                <w:szCs w:val="20"/>
              </w:rPr>
            </w:pPr>
            <w:r w:rsidRPr="00C778CD">
              <w:rPr>
                <w:rFonts w:ascii="Times New Roman" w:hAnsi="Times New Roman"/>
                <w:color w:val="000000"/>
                <w:sz w:val="20"/>
                <w:szCs w:val="20"/>
                <w:lang w:val="fr"/>
              </w:rPr>
              <w:t>BITA+CB</w:t>
            </w:r>
          </w:p>
        </w:tc>
        <w:tc>
          <w:tcPr>
            <w:tcW w:w="2721" w:type="dxa"/>
            <w:tcMar>
              <w:top w:w="0" w:type="dxa"/>
              <w:left w:w="108" w:type="dxa"/>
              <w:bottom w:w="0" w:type="dxa"/>
              <w:right w:w="108" w:type="dxa"/>
            </w:tcMar>
            <w:vAlign w:val="center"/>
          </w:tcPr>
          <w:p w14:paraId="521B12F4" w14:textId="77777777" w:rsidR="003F3121" w:rsidRPr="00C778CD" w:rsidRDefault="003F3121" w:rsidP="00B22E9A">
            <w:pPr>
              <w:spacing w:after="0" w:line="240" w:lineRule="auto"/>
              <w:jc w:val="center"/>
              <w:rPr>
                <w:sz w:val="20"/>
                <w:szCs w:val="20"/>
              </w:rPr>
            </w:pPr>
            <w:r w:rsidRPr="00C778CD">
              <w:rPr>
                <w:rFonts w:ascii="Times New Roman" w:hAnsi="Times New Roman"/>
                <w:sz w:val="20"/>
                <w:szCs w:val="20"/>
              </w:rPr>
              <w:t>62.50 ± 9.83</w:t>
            </w:r>
            <w:r w:rsidRPr="00C778CD">
              <w:rPr>
                <w:rFonts w:ascii="Times New Roman" w:hAnsi="Times New Roman"/>
                <w:sz w:val="20"/>
                <w:szCs w:val="20"/>
                <w:vertAlign w:val="superscript"/>
              </w:rPr>
              <w:t>a</w:t>
            </w:r>
          </w:p>
        </w:tc>
      </w:tr>
      <w:tr w:rsidR="003F3121" w:rsidRPr="00C778CD" w14:paraId="2E7E8239" w14:textId="77777777" w:rsidTr="000F6481">
        <w:trPr>
          <w:trHeight w:val="227"/>
          <w:jc w:val="center"/>
        </w:trPr>
        <w:tc>
          <w:tcPr>
            <w:tcW w:w="2721" w:type="dxa"/>
            <w:tcMar>
              <w:top w:w="0" w:type="dxa"/>
              <w:left w:w="108" w:type="dxa"/>
              <w:bottom w:w="0" w:type="dxa"/>
              <w:right w:w="108" w:type="dxa"/>
            </w:tcMar>
          </w:tcPr>
          <w:p w14:paraId="320C735C" w14:textId="77777777" w:rsidR="003F3121" w:rsidRPr="00C778CD" w:rsidRDefault="003F3121" w:rsidP="00B22E9A">
            <w:pPr>
              <w:spacing w:after="0" w:line="240" w:lineRule="auto"/>
              <w:jc w:val="both"/>
              <w:rPr>
                <w:sz w:val="20"/>
                <w:szCs w:val="20"/>
              </w:rPr>
            </w:pPr>
            <w:proofErr w:type="spellStart"/>
            <w:r w:rsidRPr="00C778CD">
              <w:rPr>
                <w:rFonts w:ascii="Times New Roman" w:hAnsi="Times New Roman"/>
                <w:color w:val="000000"/>
                <w:sz w:val="20"/>
                <w:szCs w:val="20"/>
                <w:lang w:val="fr"/>
              </w:rPr>
              <w:lastRenderedPageBreak/>
              <w:t>TriS</w:t>
            </w:r>
            <w:proofErr w:type="spellEnd"/>
          </w:p>
        </w:tc>
        <w:tc>
          <w:tcPr>
            <w:tcW w:w="2721" w:type="dxa"/>
            <w:tcMar>
              <w:top w:w="0" w:type="dxa"/>
              <w:left w:w="108" w:type="dxa"/>
              <w:bottom w:w="0" w:type="dxa"/>
              <w:right w:w="108" w:type="dxa"/>
            </w:tcMar>
            <w:vAlign w:val="center"/>
          </w:tcPr>
          <w:p w14:paraId="22B25548" w14:textId="77777777" w:rsidR="003F3121" w:rsidRPr="00C778CD" w:rsidRDefault="003F3121" w:rsidP="00B22E9A">
            <w:pPr>
              <w:spacing w:after="0" w:line="240" w:lineRule="auto"/>
              <w:jc w:val="center"/>
              <w:rPr>
                <w:sz w:val="20"/>
                <w:szCs w:val="20"/>
              </w:rPr>
            </w:pPr>
            <w:r w:rsidRPr="00C778CD">
              <w:rPr>
                <w:rFonts w:ascii="Times New Roman" w:hAnsi="Times New Roman"/>
                <w:sz w:val="20"/>
                <w:szCs w:val="20"/>
              </w:rPr>
              <w:t>61.11 ± 8.03</w:t>
            </w:r>
            <w:r w:rsidRPr="00C778CD">
              <w:rPr>
                <w:rFonts w:ascii="Times New Roman" w:hAnsi="Times New Roman"/>
                <w:sz w:val="20"/>
                <w:szCs w:val="20"/>
                <w:vertAlign w:val="superscript"/>
              </w:rPr>
              <w:t>a</w:t>
            </w:r>
          </w:p>
        </w:tc>
      </w:tr>
      <w:tr w:rsidR="003F3121" w:rsidRPr="00C778CD" w14:paraId="2EB27514" w14:textId="77777777" w:rsidTr="000F6481">
        <w:trPr>
          <w:trHeight w:val="227"/>
          <w:jc w:val="center"/>
        </w:trPr>
        <w:tc>
          <w:tcPr>
            <w:tcW w:w="2721" w:type="dxa"/>
            <w:tcMar>
              <w:top w:w="0" w:type="dxa"/>
              <w:left w:w="108" w:type="dxa"/>
              <w:bottom w:w="0" w:type="dxa"/>
              <w:right w:w="108" w:type="dxa"/>
            </w:tcMar>
          </w:tcPr>
          <w:p w14:paraId="4656A118" w14:textId="77777777" w:rsidR="003F3121" w:rsidRPr="00C778CD" w:rsidRDefault="003F3121" w:rsidP="00B22E9A">
            <w:pPr>
              <w:spacing w:after="0" w:line="240" w:lineRule="auto"/>
              <w:jc w:val="both"/>
              <w:rPr>
                <w:rFonts w:ascii="Times New Roman" w:hAnsi="Times New Roman"/>
                <w:color w:val="000000"/>
                <w:sz w:val="20"/>
                <w:szCs w:val="20"/>
                <w:lang w:val="fr"/>
              </w:rPr>
            </w:pPr>
            <w:r w:rsidRPr="00C778CD">
              <w:rPr>
                <w:rFonts w:ascii="Times New Roman" w:hAnsi="Times New Roman"/>
                <w:color w:val="000000"/>
                <w:sz w:val="20"/>
                <w:szCs w:val="20"/>
                <w:lang w:val="fr"/>
              </w:rPr>
              <w:t>CAN+G</w:t>
            </w:r>
          </w:p>
        </w:tc>
        <w:tc>
          <w:tcPr>
            <w:tcW w:w="2721" w:type="dxa"/>
            <w:tcMar>
              <w:top w:w="0" w:type="dxa"/>
              <w:left w:w="108" w:type="dxa"/>
              <w:bottom w:w="0" w:type="dxa"/>
              <w:right w:w="108" w:type="dxa"/>
            </w:tcMar>
            <w:vAlign w:val="center"/>
          </w:tcPr>
          <w:p w14:paraId="046EEE23" w14:textId="77777777" w:rsidR="003F3121" w:rsidRPr="00C778CD" w:rsidRDefault="003F3121" w:rsidP="00B22E9A">
            <w:pPr>
              <w:spacing w:after="0" w:line="240" w:lineRule="auto"/>
              <w:jc w:val="center"/>
              <w:rPr>
                <w:sz w:val="20"/>
                <w:szCs w:val="20"/>
              </w:rPr>
            </w:pPr>
            <w:r w:rsidRPr="00C778CD">
              <w:rPr>
                <w:rFonts w:ascii="Times New Roman" w:hAnsi="Times New Roman"/>
                <w:sz w:val="20"/>
                <w:szCs w:val="20"/>
              </w:rPr>
              <w:t>60.60 ± 7.54</w:t>
            </w:r>
            <w:r w:rsidRPr="00C778CD">
              <w:rPr>
                <w:rFonts w:ascii="Times New Roman" w:hAnsi="Times New Roman"/>
                <w:sz w:val="20"/>
                <w:szCs w:val="20"/>
                <w:vertAlign w:val="superscript"/>
              </w:rPr>
              <w:t>a</w:t>
            </w:r>
          </w:p>
        </w:tc>
      </w:tr>
      <w:tr w:rsidR="003F3121" w:rsidRPr="00C778CD" w14:paraId="04B86F70" w14:textId="77777777" w:rsidTr="000F6481">
        <w:trPr>
          <w:trHeight w:val="227"/>
          <w:jc w:val="center"/>
        </w:trPr>
        <w:tc>
          <w:tcPr>
            <w:tcW w:w="2721" w:type="dxa"/>
            <w:tcBorders>
              <w:bottom w:val="single" w:sz="4" w:space="0" w:color="000000"/>
            </w:tcBorders>
            <w:tcMar>
              <w:top w:w="0" w:type="dxa"/>
              <w:left w:w="108" w:type="dxa"/>
              <w:bottom w:w="0" w:type="dxa"/>
              <w:right w:w="108" w:type="dxa"/>
            </w:tcMar>
          </w:tcPr>
          <w:p w14:paraId="0F425B3B" w14:textId="77777777" w:rsidR="003F3121" w:rsidRPr="00C778CD" w:rsidRDefault="003F3121" w:rsidP="00B22E9A">
            <w:pPr>
              <w:spacing w:after="0" w:line="240" w:lineRule="auto"/>
              <w:jc w:val="both"/>
              <w:rPr>
                <w:rFonts w:ascii="Times New Roman" w:hAnsi="Times New Roman"/>
                <w:color w:val="000000"/>
                <w:sz w:val="20"/>
                <w:szCs w:val="20"/>
                <w:lang w:val="fr"/>
              </w:rPr>
            </w:pPr>
            <w:r w:rsidRPr="00C778CD">
              <w:rPr>
                <w:rFonts w:ascii="Times New Roman" w:hAnsi="Times New Roman"/>
                <w:color w:val="000000"/>
                <w:sz w:val="20"/>
                <w:szCs w:val="20"/>
                <w:lang w:val="fr"/>
              </w:rPr>
              <w:t>CAN+CB</w:t>
            </w:r>
          </w:p>
        </w:tc>
        <w:tc>
          <w:tcPr>
            <w:tcW w:w="2721" w:type="dxa"/>
            <w:tcBorders>
              <w:bottom w:val="single" w:sz="4" w:space="0" w:color="000000"/>
            </w:tcBorders>
            <w:tcMar>
              <w:top w:w="0" w:type="dxa"/>
              <w:left w:w="108" w:type="dxa"/>
              <w:bottom w:w="0" w:type="dxa"/>
              <w:right w:w="108" w:type="dxa"/>
            </w:tcMar>
            <w:vAlign w:val="center"/>
          </w:tcPr>
          <w:p w14:paraId="7FB2AD89" w14:textId="77777777" w:rsidR="003F3121" w:rsidRPr="00C778CD" w:rsidRDefault="003F3121" w:rsidP="00B22E9A">
            <w:pPr>
              <w:spacing w:after="0" w:line="240" w:lineRule="auto"/>
              <w:jc w:val="center"/>
              <w:rPr>
                <w:sz w:val="20"/>
                <w:szCs w:val="20"/>
              </w:rPr>
            </w:pPr>
            <w:r w:rsidRPr="00C778CD">
              <w:rPr>
                <w:rFonts w:ascii="Times New Roman" w:hAnsi="Times New Roman"/>
                <w:sz w:val="20"/>
                <w:szCs w:val="20"/>
              </w:rPr>
              <w:t>53.84 ± 7.09</w:t>
            </w:r>
            <w:r w:rsidRPr="00C778CD">
              <w:rPr>
                <w:rFonts w:ascii="Times New Roman" w:hAnsi="Times New Roman"/>
                <w:sz w:val="20"/>
                <w:szCs w:val="20"/>
                <w:vertAlign w:val="superscript"/>
              </w:rPr>
              <w:t>a</w:t>
            </w:r>
          </w:p>
        </w:tc>
      </w:tr>
      <w:tr w:rsidR="003F3121" w:rsidRPr="00C778CD" w14:paraId="0F4D1F9A" w14:textId="77777777" w:rsidTr="000F6481">
        <w:trPr>
          <w:trHeight w:val="170"/>
          <w:jc w:val="center"/>
        </w:trPr>
        <w:tc>
          <w:tcPr>
            <w:tcW w:w="2721" w:type="dxa"/>
            <w:tcBorders>
              <w:top w:val="single" w:sz="4" w:space="0" w:color="000000"/>
              <w:bottom w:val="single" w:sz="4" w:space="0" w:color="000000"/>
            </w:tcBorders>
            <w:tcMar>
              <w:top w:w="0" w:type="dxa"/>
              <w:left w:w="108" w:type="dxa"/>
              <w:bottom w:w="0" w:type="dxa"/>
              <w:right w:w="108" w:type="dxa"/>
            </w:tcMar>
            <w:vAlign w:val="center"/>
          </w:tcPr>
          <w:p w14:paraId="3297C92C" w14:textId="77777777" w:rsidR="003F3121" w:rsidRPr="00C778CD" w:rsidRDefault="003F3121" w:rsidP="00B22E9A">
            <w:pPr>
              <w:spacing w:after="0" w:line="240" w:lineRule="auto"/>
              <w:jc w:val="both"/>
              <w:rPr>
                <w:sz w:val="20"/>
                <w:szCs w:val="20"/>
              </w:rPr>
            </w:pPr>
            <w:r w:rsidRPr="00C778CD">
              <w:rPr>
                <w:rFonts w:ascii="Times New Roman" w:eastAsia="Times New Roman" w:hAnsi="Times New Roman"/>
                <w:color w:val="000000"/>
                <w:sz w:val="20"/>
                <w:szCs w:val="20"/>
                <w:lang w:eastAsia="fr-FR"/>
              </w:rPr>
              <w:t>P-value</w:t>
            </w:r>
          </w:p>
        </w:tc>
        <w:tc>
          <w:tcPr>
            <w:tcW w:w="2721" w:type="dxa"/>
            <w:tcBorders>
              <w:top w:val="single" w:sz="4" w:space="0" w:color="000000"/>
              <w:bottom w:val="single" w:sz="4" w:space="0" w:color="000000"/>
            </w:tcBorders>
            <w:tcMar>
              <w:top w:w="0" w:type="dxa"/>
              <w:left w:w="108" w:type="dxa"/>
              <w:bottom w:w="0" w:type="dxa"/>
              <w:right w:w="108" w:type="dxa"/>
            </w:tcMar>
            <w:vAlign w:val="center"/>
          </w:tcPr>
          <w:p w14:paraId="040D5A48" w14:textId="77777777" w:rsidR="003F3121" w:rsidRPr="00C778CD" w:rsidRDefault="003F3121" w:rsidP="00B22E9A">
            <w:pPr>
              <w:spacing w:after="0" w:line="240" w:lineRule="auto"/>
              <w:jc w:val="center"/>
              <w:rPr>
                <w:sz w:val="20"/>
                <w:szCs w:val="20"/>
              </w:rPr>
            </w:pPr>
            <w:r w:rsidRPr="00C778CD">
              <w:rPr>
                <w:rFonts w:ascii="Times New Roman" w:hAnsi="Times New Roman"/>
                <w:sz w:val="20"/>
                <w:szCs w:val="20"/>
              </w:rPr>
              <w:t>0.69</w:t>
            </w:r>
          </w:p>
        </w:tc>
      </w:tr>
      <w:tr w:rsidR="003F3121" w:rsidRPr="00C778CD" w14:paraId="08A0AE60" w14:textId="77777777" w:rsidTr="000F6481">
        <w:trPr>
          <w:trHeight w:val="170"/>
          <w:jc w:val="center"/>
        </w:trPr>
        <w:tc>
          <w:tcPr>
            <w:tcW w:w="2721" w:type="dxa"/>
            <w:tcBorders>
              <w:top w:val="single" w:sz="4" w:space="0" w:color="000000"/>
              <w:bottom w:val="single" w:sz="4" w:space="0" w:color="000000"/>
            </w:tcBorders>
            <w:tcMar>
              <w:top w:w="0" w:type="dxa"/>
              <w:left w:w="108" w:type="dxa"/>
              <w:bottom w:w="0" w:type="dxa"/>
              <w:right w:w="108" w:type="dxa"/>
            </w:tcMar>
            <w:vAlign w:val="center"/>
          </w:tcPr>
          <w:p w14:paraId="1CC20734" w14:textId="77777777" w:rsidR="003F3121" w:rsidRPr="00C778CD" w:rsidRDefault="003F3121" w:rsidP="00B22E9A">
            <w:pPr>
              <w:spacing w:after="0" w:line="240" w:lineRule="auto"/>
              <w:jc w:val="both"/>
              <w:rPr>
                <w:sz w:val="20"/>
                <w:szCs w:val="20"/>
              </w:rPr>
            </w:pPr>
            <w:r w:rsidRPr="00C778CD">
              <w:rPr>
                <w:rFonts w:ascii="Times New Roman" w:eastAsia="Times New Roman" w:hAnsi="Times New Roman"/>
                <w:color w:val="000000"/>
                <w:sz w:val="20"/>
                <w:szCs w:val="20"/>
                <w:lang w:eastAsia="fr-FR"/>
              </w:rPr>
              <w:t>S</w:t>
            </w:r>
          </w:p>
        </w:tc>
        <w:tc>
          <w:tcPr>
            <w:tcW w:w="2721" w:type="dxa"/>
            <w:tcBorders>
              <w:top w:val="single" w:sz="4" w:space="0" w:color="000000"/>
              <w:bottom w:val="single" w:sz="4" w:space="0" w:color="000000"/>
            </w:tcBorders>
            <w:tcMar>
              <w:top w:w="0" w:type="dxa"/>
              <w:left w:w="108" w:type="dxa"/>
              <w:bottom w:w="0" w:type="dxa"/>
              <w:right w:w="108" w:type="dxa"/>
            </w:tcMar>
            <w:vAlign w:val="center"/>
          </w:tcPr>
          <w:p w14:paraId="5A9B0877" w14:textId="77777777" w:rsidR="003F3121" w:rsidRPr="00C778CD" w:rsidRDefault="003F3121" w:rsidP="00B22E9A">
            <w:pPr>
              <w:spacing w:after="0" w:line="240" w:lineRule="auto"/>
              <w:jc w:val="center"/>
              <w:rPr>
                <w:sz w:val="20"/>
                <w:szCs w:val="20"/>
              </w:rPr>
            </w:pPr>
            <w:r w:rsidRPr="00C778CD">
              <w:rPr>
                <w:rFonts w:ascii="Times New Roman" w:hAnsi="Times New Roman"/>
                <w:sz w:val="20"/>
                <w:szCs w:val="20"/>
              </w:rPr>
              <w:t>NS</w:t>
            </w:r>
          </w:p>
        </w:tc>
      </w:tr>
    </w:tbl>
    <w:bookmarkEnd w:id="3"/>
    <w:p w14:paraId="4FF0C970" w14:textId="06D935BE" w:rsidR="003F3121" w:rsidRDefault="00080557" w:rsidP="001C17BD">
      <w:pPr>
        <w:pStyle w:val="ListParagraph"/>
        <w:spacing w:before="240" w:after="0" w:line="480" w:lineRule="auto"/>
        <w:ind w:left="1416"/>
        <w:jc w:val="both"/>
        <w:rPr>
          <w:rFonts w:ascii="Times New Roman" w:hAnsi="Times New Roman" w:cs="Times New Roman"/>
          <w:bCs/>
          <w:sz w:val="24"/>
          <w:szCs w:val="24"/>
          <w:lang w:val="en-US"/>
        </w:rPr>
      </w:pPr>
      <w:r w:rsidRPr="00080557">
        <w:rPr>
          <w:rFonts w:ascii="Times New Roman" w:hAnsi="Times New Roman" w:cs="Times New Roman"/>
          <w:b/>
          <w:sz w:val="24"/>
          <w:szCs w:val="24"/>
          <w:lang w:val="en-US"/>
        </w:rPr>
        <w:t>Table 2:</w:t>
      </w:r>
      <w:r w:rsidRPr="00080557">
        <w:rPr>
          <w:rFonts w:ascii="Times New Roman" w:hAnsi="Times New Roman" w:cs="Times New Roman"/>
          <w:bCs/>
          <w:sz w:val="24"/>
          <w:szCs w:val="24"/>
          <w:lang w:val="en-US"/>
        </w:rPr>
        <w:t xml:space="preserve"> Seedling recovery rates by genotype evaluated</w:t>
      </w:r>
    </w:p>
    <w:tbl>
      <w:tblPr>
        <w:tblW w:w="10084" w:type="dxa"/>
        <w:tblInd w:w="-426"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644"/>
        <w:gridCol w:w="995"/>
        <w:gridCol w:w="1460"/>
        <w:gridCol w:w="1460"/>
        <w:gridCol w:w="1382"/>
        <w:gridCol w:w="1383"/>
        <w:gridCol w:w="1382"/>
        <w:gridCol w:w="877"/>
        <w:gridCol w:w="501"/>
      </w:tblGrid>
      <w:tr w:rsidR="00080557" w:rsidRPr="00C778CD" w14:paraId="6C3F32C7" w14:textId="77777777" w:rsidTr="00080557">
        <w:trPr>
          <w:trHeight w:val="211"/>
        </w:trPr>
        <w:tc>
          <w:tcPr>
            <w:tcW w:w="644" w:type="dxa"/>
            <w:tcBorders>
              <w:top w:val="nil"/>
              <w:bottom w:val="single" w:sz="4" w:space="0" w:color="auto"/>
            </w:tcBorders>
          </w:tcPr>
          <w:p w14:paraId="09EB0FAA" w14:textId="77777777" w:rsidR="00080557" w:rsidRPr="00C778CD" w:rsidRDefault="00080557" w:rsidP="00C778CD">
            <w:pPr>
              <w:spacing w:after="0" w:line="240" w:lineRule="auto"/>
              <w:rPr>
                <w:rFonts w:ascii="Times New Roman" w:eastAsia="Times New Roman" w:hAnsi="Times New Roman"/>
                <w:bCs/>
                <w:sz w:val="20"/>
                <w:szCs w:val="20"/>
                <w:lang w:eastAsia="fr-FR"/>
              </w:rPr>
            </w:pPr>
          </w:p>
        </w:tc>
        <w:tc>
          <w:tcPr>
            <w:tcW w:w="995" w:type="dxa"/>
            <w:tcBorders>
              <w:top w:val="single" w:sz="4" w:space="0" w:color="auto"/>
              <w:bottom w:val="single" w:sz="4" w:space="0" w:color="auto"/>
            </w:tcBorders>
            <w:noWrap/>
            <w:vAlign w:val="center"/>
            <w:hideMark/>
          </w:tcPr>
          <w:p w14:paraId="3456A62E" w14:textId="5F517C93" w:rsidR="00080557" w:rsidRPr="00C778CD" w:rsidRDefault="00080557" w:rsidP="00C778CD">
            <w:pPr>
              <w:spacing w:after="0" w:line="240" w:lineRule="auto"/>
              <w:rPr>
                <w:rFonts w:ascii="Times New Roman" w:eastAsia="Times New Roman" w:hAnsi="Times New Roman"/>
                <w:b/>
                <w:sz w:val="20"/>
                <w:szCs w:val="20"/>
                <w:lang w:eastAsia="fr-FR"/>
              </w:rPr>
            </w:pPr>
            <w:proofErr w:type="spellStart"/>
            <w:r w:rsidRPr="00C778CD">
              <w:rPr>
                <w:rFonts w:ascii="Times New Roman" w:eastAsia="Times New Roman" w:hAnsi="Times New Roman"/>
                <w:b/>
                <w:sz w:val="20"/>
                <w:szCs w:val="20"/>
                <w:lang w:eastAsia="fr-FR"/>
              </w:rPr>
              <w:t>Genotype</w:t>
            </w:r>
            <w:proofErr w:type="spellEnd"/>
          </w:p>
        </w:tc>
        <w:tc>
          <w:tcPr>
            <w:tcW w:w="1460" w:type="dxa"/>
            <w:tcBorders>
              <w:top w:val="single" w:sz="4" w:space="0" w:color="auto"/>
              <w:bottom w:val="single" w:sz="4" w:space="0" w:color="auto"/>
            </w:tcBorders>
            <w:vAlign w:val="center"/>
            <w:hideMark/>
          </w:tcPr>
          <w:p w14:paraId="7B31FC4A" w14:textId="77777777" w:rsidR="00080557" w:rsidRPr="00C778CD" w:rsidRDefault="00080557" w:rsidP="00C778CD">
            <w:pPr>
              <w:spacing w:after="0" w:line="240" w:lineRule="auto"/>
              <w:jc w:val="center"/>
              <w:rPr>
                <w:rFonts w:ascii="Times New Roman" w:eastAsia="Times New Roman" w:hAnsi="Times New Roman"/>
                <w:b/>
                <w:color w:val="000000"/>
                <w:sz w:val="20"/>
                <w:szCs w:val="20"/>
                <w:lang w:eastAsia="fr-FR"/>
              </w:rPr>
            </w:pPr>
            <w:r w:rsidRPr="00C778CD">
              <w:rPr>
                <w:rFonts w:ascii="Times New Roman" w:eastAsia="Times New Roman" w:hAnsi="Times New Roman"/>
                <w:b/>
                <w:color w:val="000000"/>
                <w:sz w:val="20"/>
                <w:szCs w:val="20"/>
                <w:lang w:eastAsia="fr-FR"/>
              </w:rPr>
              <w:t>E120</w:t>
            </w:r>
          </w:p>
        </w:tc>
        <w:tc>
          <w:tcPr>
            <w:tcW w:w="1460" w:type="dxa"/>
            <w:tcBorders>
              <w:top w:val="single" w:sz="4" w:space="0" w:color="auto"/>
              <w:bottom w:val="single" w:sz="4" w:space="0" w:color="auto"/>
            </w:tcBorders>
            <w:vAlign w:val="center"/>
            <w:hideMark/>
          </w:tcPr>
          <w:p w14:paraId="47A88AF5" w14:textId="77777777" w:rsidR="00080557" w:rsidRPr="00C778CD" w:rsidRDefault="00080557" w:rsidP="00C778CD">
            <w:pPr>
              <w:spacing w:after="0" w:line="240" w:lineRule="auto"/>
              <w:jc w:val="center"/>
              <w:rPr>
                <w:rFonts w:ascii="Times New Roman" w:eastAsia="Times New Roman" w:hAnsi="Times New Roman"/>
                <w:b/>
                <w:color w:val="000000"/>
                <w:sz w:val="20"/>
                <w:szCs w:val="20"/>
                <w:lang w:eastAsia="fr-FR"/>
              </w:rPr>
            </w:pPr>
            <w:r w:rsidRPr="00C778CD">
              <w:rPr>
                <w:rFonts w:ascii="Times New Roman" w:eastAsia="Times New Roman" w:hAnsi="Times New Roman"/>
                <w:b/>
                <w:color w:val="000000"/>
                <w:sz w:val="20"/>
                <w:szCs w:val="20"/>
                <w:lang w:eastAsia="fr-FR"/>
              </w:rPr>
              <w:t>UW086 M</w:t>
            </w:r>
          </w:p>
        </w:tc>
        <w:tc>
          <w:tcPr>
            <w:tcW w:w="1382" w:type="dxa"/>
            <w:tcBorders>
              <w:top w:val="single" w:sz="4" w:space="0" w:color="auto"/>
              <w:bottom w:val="single" w:sz="4" w:space="0" w:color="auto"/>
            </w:tcBorders>
            <w:vAlign w:val="center"/>
            <w:hideMark/>
          </w:tcPr>
          <w:p w14:paraId="27E7BE62" w14:textId="77777777" w:rsidR="00080557" w:rsidRPr="00C778CD" w:rsidRDefault="00080557" w:rsidP="00C778CD">
            <w:pPr>
              <w:spacing w:after="0" w:line="240" w:lineRule="auto"/>
              <w:jc w:val="center"/>
              <w:rPr>
                <w:rFonts w:ascii="Times New Roman" w:eastAsia="Times New Roman" w:hAnsi="Times New Roman"/>
                <w:b/>
                <w:color w:val="000000"/>
                <w:sz w:val="20"/>
                <w:szCs w:val="20"/>
                <w:lang w:eastAsia="fr-FR"/>
              </w:rPr>
            </w:pPr>
            <w:r w:rsidRPr="00C778CD">
              <w:rPr>
                <w:rFonts w:ascii="Times New Roman" w:eastAsia="Times New Roman" w:hAnsi="Times New Roman"/>
                <w:b/>
                <w:color w:val="000000"/>
                <w:sz w:val="20"/>
                <w:szCs w:val="20"/>
                <w:lang w:eastAsia="fr-FR"/>
              </w:rPr>
              <w:t>E186</w:t>
            </w:r>
          </w:p>
        </w:tc>
        <w:tc>
          <w:tcPr>
            <w:tcW w:w="1383" w:type="dxa"/>
            <w:tcBorders>
              <w:top w:val="single" w:sz="4" w:space="0" w:color="auto"/>
              <w:bottom w:val="single" w:sz="4" w:space="0" w:color="auto"/>
            </w:tcBorders>
            <w:vAlign w:val="center"/>
            <w:hideMark/>
          </w:tcPr>
          <w:p w14:paraId="007F863B" w14:textId="77777777" w:rsidR="00080557" w:rsidRPr="00C778CD" w:rsidRDefault="00080557" w:rsidP="00C778CD">
            <w:pPr>
              <w:spacing w:after="0" w:line="240" w:lineRule="auto"/>
              <w:jc w:val="center"/>
              <w:rPr>
                <w:rFonts w:ascii="Times New Roman" w:eastAsia="Times New Roman" w:hAnsi="Times New Roman"/>
                <w:b/>
                <w:color w:val="000000"/>
                <w:sz w:val="20"/>
                <w:szCs w:val="20"/>
                <w:lang w:eastAsia="fr-FR"/>
              </w:rPr>
            </w:pPr>
            <w:r w:rsidRPr="00C778CD">
              <w:rPr>
                <w:rFonts w:ascii="Times New Roman" w:eastAsia="Times New Roman" w:hAnsi="Times New Roman"/>
                <w:b/>
                <w:color w:val="000000"/>
                <w:sz w:val="20"/>
                <w:szCs w:val="20"/>
                <w:lang w:eastAsia="fr-FR"/>
              </w:rPr>
              <w:t>E165</w:t>
            </w:r>
          </w:p>
        </w:tc>
        <w:tc>
          <w:tcPr>
            <w:tcW w:w="1382" w:type="dxa"/>
            <w:tcBorders>
              <w:top w:val="single" w:sz="4" w:space="0" w:color="auto"/>
              <w:bottom w:val="single" w:sz="4" w:space="0" w:color="auto"/>
            </w:tcBorders>
            <w:vAlign w:val="center"/>
            <w:hideMark/>
          </w:tcPr>
          <w:p w14:paraId="374D23A1" w14:textId="77777777" w:rsidR="00080557" w:rsidRPr="00C778CD" w:rsidRDefault="00080557" w:rsidP="00C778CD">
            <w:pPr>
              <w:spacing w:after="0" w:line="240" w:lineRule="auto"/>
              <w:jc w:val="center"/>
              <w:rPr>
                <w:rFonts w:ascii="Times New Roman" w:eastAsia="Times New Roman" w:hAnsi="Times New Roman"/>
                <w:b/>
                <w:color w:val="000000"/>
                <w:sz w:val="20"/>
                <w:szCs w:val="20"/>
                <w:lang w:eastAsia="fr-FR"/>
              </w:rPr>
            </w:pPr>
            <w:r w:rsidRPr="00C778CD">
              <w:rPr>
                <w:rFonts w:ascii="Times New Roman" w:eastAsia="Times New Roman" w:hAnsi="Times New Roman"/>
                <w:b/>
                <w:color w:val="000000"/>
                <w:sz w:val="20"/>
                <w:szCs w:val="20"/>
                <w:lang w:eastAsia="fr-FR"/>
              </w:rPr>
              <w:t>White</w:t>
            </w:r>
          </w:p>
        </w:tc>
        <w:tc>
          <w:tcPr>
            <w:tcW w:w="877" w:type="dxa"/>
            <w:tcBorders>
              <w:top w:val="single" w:sz="4" w:space="0" w:color="auto"/>
              <w:bottom w:val="single" w:sz="4" w:space="0" w:color="auto"/>
            </w:tcBorders>
            <w:vAlign w:val="center"/>
            <w:hideMark/>
          </w:tcPr>
          <w:p w14:paraId="255CB90C" w14:textId="77777777" w:rsidR="00080557" w:rsidRPr="00C778CD" w:rsidRDefault="00080557" w:rsidP="00C778CD">
            <w:pPr>
              <w:spacing w:after="0" w:line="240" w:lineRule="auto"/>
              <w:jc w:val="center"/>
              <w:rPr>
                <w:rFonts w:ascii="Times New Roman" w:eastAsia="Times New Roman" w:hAnsi="Times New Roman"/>
                <w:b/>
                <w:color w:val="000000"/>
                <w:sz w:val="20"/>
                <w:szCs w:val="20"/>
                <w:lang w:eastAsia="fr-FR"/>
              </w:rPr>
            </w:pPr>
            <w:r w:rsidRPr="00C778CD">
              <w:rPr>
                <w:rFonts w:ascii="Times New Roman" w:eastAsia="Times New Roman" w:hAnsi="Times New Roman"/>
                <w:b/>
                <w:color w:val="000000"/>
                <w:sz w:val="20"/>
                <w:szCs w:val="20"/>
                <w:lang w:eastAsia="fr-FR"/>
              </w:rPr>
              <w:t>P-value</w:t>
            </w:r>
          </w:p>
        </w:tc>
        <w:tc>
          <w:tcPr>
            <w:tcW w:w="501" w:type="dxa"/>
            <w:tcBorders>
              <w:top w:val="single" w:sz="4" w:space="0" w:color="auto"/>
              <w:bottom w:val="single" w:sz="4" w:space="0" w:color="auto"/>
            </w:tcBorders>
            <w:vAlign w:val="center"/>
            <w:hideMark/>
          </w:tcPr>
          <w:p w14:paraId="7133D354" w14:textId="77777777" w:rsidR="00080557" w:rsidRPr="00C778CD" w:rsidRDefault="00080557" w:rsidP="00C778CD">
            <w:pPr>
              <w:spacing w:after="0" w:line="240" w:lineRule="auto"/>
              <w:jc w:val="center"/>
              <w:rPr>
                <w:rFonts w:ascii="Times New Roman" w:eastAsia="Times New Roman" w:hAnsi="Times New Roman"/>
                <w:b/>
                <w:color w:val="000000"/>
                <w:sz w:val="20"/>
                <w:szCs w:val="20"/>
                <w:lang w:eastAsia="fr-FR"/>
              </w:rPr>
            </w:pPr>
            <w:r w:rsidRPr="00C778CD">
              <w:rPr>
                <w:rFonts w:ascii="Times New Roman" w:eastAsia="Times New Roman" w:hAnsi="Times New Roman"/>
                <w:b/>
                <w:color w:val="000000"/>
                <w:sz w:val="20"/>
                <w:szCs w:val="20"/>
                <w:lang w:eastAsia="fr-FR"/>
              </w:rPr>
              <w:t>S</w:t>
            </w:r>
          </w:p>
        </w:tc>
      </w:tr>
      <w:tr w:rsidR="00080557" w:rsidRPr="00C778CD" w14:paraId="638096FF" w14:textId="77777777" w:rsidTr="00080557">
        <w:trPr>
          <w:trHeight w:val="244"/>
        </w:trPr>
        <w:tc>
          <w:tcPr>
            <w:tcW w:w="644" w:type="dxa"/>
            <w:vMerge w:val="restart"/>
            <w:tcBorders>
              <w:top w:val="single" w:sz="4" w:space="0" w:color="auto"/>
              <w:left w:val="single" w:sz="4" w:space="0" w:color="auto"/>
              <w:bottom w:val="single" w:sz="4" w:space="0" w:color="auto"/>
              <w:right w:val="single" w:sz="4" w:space="0" w:color="auto"/>
            </w:tcBorders>
            <w:textDirection w:val="btLr"/>
          </w:tcPr>
          <w:p w14:paraId="28270541" w14:textId="6195CED4" w:rsidR="00080557" w:rsidRPr="00C778CD" w:rsidRDefault="00080557" w:rsidP="00C778CD">
            <w:pPr>
              <w:spacing w:after="0" w:line="240" w:lineRule="auto"/>
              <w:ind w:left="113" w:right="113"/>
              <w:rPr>
                <w:rFonts w:ascii="Times New Roman" w:eastAsia="Times New Roman" w:hAnsi="Times New Roman"/>
                <w:color w:val="000000"/>
                <w:sz w:val="20"/>
                <w:szCs w:val="20"/>
                <w:lang w:eastAsia="fr-FR"/>
              </w:rPr>
            </w:pPr>
            <w:r w:rsidRPr="00C778CD">
              <w:rPr>
                <w:rFonts w:ascii="Times New Roman" w:hAnsi="Times New Roman" w:cs="Times New Roman"/>
                <w:b/>
                <w:bCs/>
                <w:sz w:val="20"/>
                <w:szCs w:val="20"/>
              </w:rPr>
              <w:t xml:space="preserve">Conservation </w:t>
            </w:r>
            <w:proofErr w:type="spellStart"/>
            <w:r w:rsidRPr="00C778CD">
              <w:rPr>
                <w:rFonts w:ascii="Times New Roman" w:hAnsi="Times New Roman" w:cs="Times New Roman"/>
                <w:b/>
                <w:bCs/>
                <w:sz w:val="20"/>
                <w:szCs w:val="20"/>
              </w:rPr>
              <w:t>methods</w:t>
            </w:r>
            <w:proofErr w:type="spellEnd"/>
            <w:r w:rsidRPr="00C778CD">
              <w:rPr>
                <w:rFonts w:ascii="Times New Roman" w:hAnsi="Times New Roman" w:cs="Times New Roman"/>
                <w:b/>
                <w:bCs/>
                <w:sz w:val="20"/>
                <w:szCs w:val="20"/>
              </w:rPr>
              <w:t xml:space="preserve">    </w:t>
            </w:r>
          </w:p>
        </w:tc>
        <w:tc>
          <w:tcPr>
            <w:tcW w:w="995" w:type="dxa"/>
            <w:tcBorders>
              <w:top w:val="single" w:sz="4" w:space="0" w:color="auto"/>
              <w:left w:val="single" w:sz="4" w:space="0" w:color="auto"/>
            </w:tcBorders>
            <w:vAlign w:val="center"/>
            <w:hideMark/>
          </w:tcPr>
          <w:p w14:paraId="4F8BE079" w14:textId="19C4A628"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BITA+G</w:t>
            </w:r>
          </w:p>
        </w:tc>
        <w:tc>
          <w:tcPr>
            <w:tcW w:w="1460" w:type="dxa"/>
            <w:tcBorders>
              <w:top w:val="single" w:sz="4" w:space="0" w:color="auto"/>
            </w:tcBorders>
            <w:vAlign w:val="center"/>
            <w:hideMark/>
          </w:tcPr>
          <w:p w14:paraId="442F5640"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77.78 ± 11.11</w:t>
            </w:r>
            <w:r w:rsidRPr="00C778CD">
              <w:rPr>
                <w:rFonts w:ascii="Times New Roman" w:eastAsia="Times New Roman" w:hAnsi="Times New Roman"/>
                <w:color w:val="000000"/>
                <w:sz w:val="20"/>
                <w:szCs w:val="20"/>
                <w:vertAlign w:val="superscript"/>
                <w:lang w:eastAsia="fr-FR"/>
              </w:rPr>
              <w:t>a</w:t>
            </w:r>
          </w:p>
        </w:tc>
        <w:tc>
          <w:tcPr>
            <w:tcW w:w="1460" w:type="dxa"/>
            <w:tcBorders>
              <w:top w:val="single" w:sz="4" w:space="0" w:color="auto"/>
            </w:tcBorders>
            <w:vAlign w:val="center"/>
            <w:hideMark/>
          </w:tcPr>
          <w:p w14:paraId="670CBC59"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55.56 ± 11.11</w:t>
            </w:r>
            <w:r w:rsidRPr="00C778CD">
              <w:rPr>
                <w:rFonts w:ascii="Times New Roman" w:eastAsia="Times New Roman" w:hAnsi="Times New Roman"/>
                <w:color w:val="000000"/>
                <w:sz w:val="20"/>
                <w:szCs w:val="20"/>
                <w:vertAlign w:val="superscript"/>
                <w:lang w:eastAsia="fr-FR"/>
              </w:rPr>
              <w:t>a</w:t>
            </w:r>
          </w:p>
        </w:tc>
        <w:tc>
          <w:tcPr>
            <w:tcW w:w="1382" w:type="dxa"/>
            <w:tcBorders>
              <w:top w:val="single" w:sz="4" w:space="0" w:color="auto"/>
            </w:tcBorders>
            <w:vAlign w:val="center"/>
            <w:hideMark/>
          </w:tcPr>
          <w:p w14:paraId="6EA2A022"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88.89 ± 11.11</w:t>
            </w:r>
            <w:r w:rsidRPr="00C778CD">
              <w:rPr>
                <w:rFonts w:ascii="Times New Roman" w:eastAsia="Times New Roman" w:hAnsi="Times New Roman"/>
                <w:color w:val="000000"/>
                <w:sz w:val="20"/>
                <w:szCs w:val="20"/>
                <w:vertAlign w:val="superscript"/>
                <w:lang w:eastAsia="fr-FR"/>
              </w:rPr>
              <w:t>a</w:t>
            </w:r>
          </w:p>
        </w:tc>
        <w:tc>
          <w:tcPr>
            <w:tcW w:w="1383" w:type="dxa"/>
            <w:tcBorders>
              <w:top w:val="single" w:sz="4" w:space="0" w:color="auto"/>
            </w:tcBorders>
            <w:vAlign w:val="center"/>
            <w:hideMark/>
          </w:tcPr>
          <w:p w14:paraId="6FE63794"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66.67 ± 19.25</w:t>
            </w:r>
            <w:r w:rsidRPr="00C778CD">
              <w:rPr>
                <w:rFonts w:ascii="Times New Roman" w:eastAsia="Times New Roman" w:hAnsi="Times New Roman"/>
                <w:color w:val="000000"/>
                <w:sz w:val="20"/>
                <w:szCs w:val="20"/>
                <w:vertAlign w:val="superscript"/>
                <w:lang w:eastAsia="fr-FR"/>
              </w:rPr>
              <w:t>a</w:t>
            </w:r>
          </w:p>
        </w:tc>
        <w:tc>
          <w:tcPr>
            <w:tcW w:w="1382" w:type="dxa"/>
            <w:tcBorders>
              <w:top w:val="single" w:sz="4" w:space="0" w:color="auto"/>
            </w:tcBorders>
            <w:vAlign w:val="center"/>
            <w:hideMark/>
          </w:tcPr>
          <w:p w14:paraId="6DEF1316"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33.33 ± 0.00</w:t>
            </w:r>
            <w:r w:rsidRPr="00C778CD">
              <w:rPr>
                <w:rFonts w:ascii="Times New Roman" w:eastAsia="Times New Roman" w:hAnsi="Times New Roman"/>
                <w:color w:val="000000"/>
                <w:sz w:val="20"/>
                <w:szCs w:val="20"/>
                <w:vertAlign w:val="superscript"/>
                <w:lang w:eastAsia="fr-FR"/>
              </w:rPr>
              <w:t>a</w:t>
            </w:r>
          </w:p>
        </w:tc>
        <w:tc>
          <w:tcPr>
            <w:tcW w:w="877" w:type="dxa"/>
            <w:tcBorders>
              <w:top w:val="single" w:sz="4" w:space="0" w:color="auto"/>
            </w:tcBorders>
            <w:vAlign w:val="center"/>
            <w:hideMark/>
          </w:tcPr>
          <w:p w14:paraId="07BC299C"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0.067</w:t>
            </w:r>
          </w:p>
        </w:tc>
        <w:tc>
          <w:tcPr>
            <w:tcW w:w="501" w:type="dxa"/>
            <w:tcBorders>
              <w:top w:val="single" w:sz="4" w:space="0" w:color="auto"/>
            </w:tcBorders>
            <w:vAlign w:val="center"/>
            <w:hideMark/>
          </w:tcPr>
          <w:p w14:paraId="5894E777"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r>
      <w:tr w:rsidR="00080557" w:rsidRPr="00C778CD" w14:paraId="0F767FFA" w14:textId="77777777" w:rsidTr="00080557">
        <w:trPr>
          <w:trHeight w:val="244"/>
        </w:trPr>
        <w:tc>
          <w:tcPr>
            <w:tcW w:w="644" w:type="dxa"/>
            <w:vMerge/>
            <w:tcBorders>
              <w:top w:val="single" w:sz="4" w:space="0" w:color="auto"/>
              <w:left w:val="single" w:sz="4" w:space="0" w:color="auto"/>
              <w:bottom w:val="single" w:sz="4" w:space="0" w:color="auto"/>
              <w:right w:val="single" w:sz="4" w:space="0" w:color="auto"/>
            </w:tcBorders>
          </w:tcPr>
          <w:p w14:paraId="5A33FCCA" w14:textId="2AE6569F" w:rsidR="00080557" w:rsidRPr="00C778CD" w:rsidRDefault="00080557" w:rsidP="00C778CD">
            <w:pPr>
              <w:spacing w:after="0" w:line="240" w:lineRule="auto"/>
              <w:ind w:left="113" w:right="113"/>
              <w:rPr>
                <w:rFonts w:ascii="Times New Roman" w:eastAsia="Times New Roman" w:hAnsi="Times New Roman"/>
                <w:color w:val="000000"/>
                <w:sz w:val="20"/>
                <w:szCs w:val="20"/>
                <w:lang w:eastAsia="fr-FR"/>
              </w:rPr>
            </w:pPr>
          </w:p>
        </w:tc>
        <w:tc>
          <w:tcPr>
            <w:tcW w:w="995" w:type="dxa"/>
            <w:tcBorders>
              <w:left w:val="single" w:sz="4" w:space="0" w:color="auto"/>
            </w:tcBorders>
            <w:vAlign w:val="center"/>
            <w:hideMark/>
          </w:tcPr>
          <w:p w14:paraId="572D9B83" w14:textId="7C015558"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BITA+S</w:t>
            </w:r>
          </w:p>
        </w:tc>
        <w:tc>
          <w:tcPr>
            <w:tcW w:w="1460" w:type="dxa"/>
            <w:vAlign w:val="center"/>
            <w:hideMark/>
          </w:tcPr>
          <w:p w14:paraId="0BB3D97E"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88.89 ± 11.11</w:t>
            </w:r>
            <w:r w:rsidRPr="00C778CD">
              <w:rPr>
                <w:rFonts w:ascii="Times New Roman" w:eastAsia="Times New Roman" w:hAnsi="Times New Roman"/>
                <w:color w:val="000000"/>
                <w:sz w:val="20"/>
                <w:szCs w:val="20"/>
                <w:vertAlign w:val="superscript"/>
                <w:lang w:eastAsia="fr-FR"/>
              </w:rPr>
              <w:t>ab</w:t>
            </w:r>
          </w:p>
        </w:tc>
        <w:tc>
          <w:tcPr>
            <w:tcW w:w="1460" w:type="dxa"/>
            <w:vAlign w:val="center"/>
            <w:hideMark/>
          </w:tcPr>
          <w:p w14:paraId="0DAB75A4"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55.56 ± 11.11</w:t>
            </w:r>
            <w:r w:rsidRPr="00C778CD">
              <w:rPr>
                <w:rFonts w:ascii="Times New Roman" w:eastAsia="Times New Roman" w:hAnsi="Times New Roman"/>
                <w:color w:val="000000"/>
                <w:sz w:val="20"/>
                <w:szCs w:val="20"/>
                <w:vertAlign w:val="superscript"/>
                <w:lang w:eastAsia="fr-FR"/>
              </w:rPr>
              <w:t>bc</w:t>
            </w:r>
          </w:p>
        </w:tc>
        <w:tc>
          <w:tcPr>
            <w:tcW w:w="1382" w:type="dxa"/>
            <w:vAlign w:val="center"/>
            <w:hideMark/>
          </w:tcPr>
          <w:p w14:paraId="05CCD745"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100.00 ± 0.00</w:t>
            </w:r>
            <w:r w:rsidRPr="00C778CD">
              <w:rPr>
                <w:rFonts w:ascii="Times New Roman" w:eastAsia="Times New Roman" w:hAnsi="Times New Roman"/>
                <w:color w:val="000000"/>
                <w:sz w:val="20"/>
                <w:szCs w:val="20"/>
                <w:vertAlign w:val="superscript"/>
                <w:lang w:eastAsia="fr-FR"/>
              </w:rPr>
              <w:t>a</w:t>
            </w:r>
          </w:p>
        </w:tc>
        <w:tc>
          <w:tcPr>
            <w:tcW w:w="1383" w:type="dxa"/>
            <w:vAlign w:val="center"/>
            <w:hideMark/>
          </w:tcPr>
          <w:p w14:paraId="1E6B1882"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44.44 ± 11.11</w:t>
            </w:r>
            <w:r w:rsidRPr="00C778CD">
              <w:rPr>
                <w:rFonts w:ascii="Times New Roman" w:eastAsia="Times New Roman" w:hAnsi="Times New Roman"/>
                <w:color w:val="000000"/>
                <w:sz w:val="20"/>
                <w:szCs w:val="20"/>
                <w:vertAlign w:val="superscript"/>
                <w:lang w:eastAsia="fr-FR"/>
              </w:rPr>
              <w:t>c</w:t>
            </w:r>
          </w:p>
        </w:tc>
        <w:tc>
          <w:tcPr>
            <w:tcW w:w="1382" w:type="dxa"/>
            <w:vAlign w:val="center"/>
            <w:hideMark/>
          </w:tcPr>
          <w:p w14:paraId="0D97EDAD"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66.67 ± 0.00</w:t>
            </w:r>
            <w:r w:rsidRPr="00C778CD">
              <w:rPr>
                <w:rFonts w:ascii="Times New Roman" w:eastAsia="Times New Roman" w:hAnsi="Times New Roman"/>
                <w:color w:val="000000"/>
                <w:sz w:val="20"/>
                <w:szCs w:val="20"/>
                <w:vertAlign w:val="superscript"/>
                <w:lang w:eastAsia="fr-FR"/>
              </w:rPr>
              <w:t>abc</w:t>
            </w:r>
          </w:p>
        </w:tc>
        <w:tc>
          <w:tcPr>
            <w:tcW w:w="877" w:type="dxa"/>
            <w:vAlign w:val="center"/>
            <w:hideMark/>
          </w:tcPr>
          <w:p w14:paraId="1885AD0A"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0.005</w:t>
            </w:r>
          </w:p>
        </w:tc>
        <w:tc>
          <w:tcPr>
            <w:tcW w:w="501" w:type="dxa"/>
            <w:vAlign w:val="center"/>
            <w:hideMark/>
          </w:tcPr>
          <w:p w14:paraId="5B4C0C08"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w:t>
            </w:r>
          </w:p>
        </w:tc>
      </w:tr>
      <w:tr w:rsidR="00080557" w:rsidRPr="00C778CD" w14:paraId="126054D6" w14:textId="77777777" w:rsidTr="00080557">
        <w:trPr>
          <w:trHeight w:val="244"/>
        </w:trPr>
        <w:tc>
          <w:tcPr>
            <w:tcW w:w="644" w:type="dxa"/>
            <w:vMerge/>
            <w:tcBorders>
              <w:top w:val="single" w:sz="4" w:space="0" w:color="auto"/>
              <w:left w:val="single" w:sz="4" w:space="0" w:color="auto"/>
              <w:bottom w:val="single" w:sz="4" w:space="0" w:color="auto"/>
              <w:right w:val="single" w:sz="4" w:space="0" w:color="auto"/>
            </w:tcBorders>
          </w:tcPr>
          <w:p w14:paraId="1A69E209" w14:textId="6654661D" w:rsidR="00080557" w:rsidRPr="00C778CD" w:rsidRDefault="00080557" w:rsidP="00C778CD">
            <w:pPr>
              <w:spacing w:after="0" w:line="240" w:lineRule="auto"/>
              <w:ind w:left="113" w:right="113"/>
              <w:rPr>
                <w:rFonts w:ascii="Times New Roman" w:eastAsia="Times New Roman" w:hAnsi="Times New Roman"/>
                <w:color w:val="000000"/>
                <w:sz w:val="20"/>
                <w:szCs w:val="20"/>
                <w:lang w:eastAsia="fr-FR"/>
              </w:rPr>
            </w:pPr>
          </w:p>
        </w:tc>
        <w:tc>
          <w:tcPr>
            <w:tcW w:w="995" w:type="dxa"/>
            <w:tcBorders>
              <w:left w:val="single" w:sz="4" w:space="0" w:color="auto"/>
            </w:tcBorders>
            <w:vAlign w:val="center"/>
            <w:hideMark/>
          </w:tcPr>
          <w:p w14:paraId="501850F8" w14:textId="1775B9E9"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BITA</w:t>
            </w:r>
          </w:p>
        </w:tc>
        <w:tc>
          <w:tcPr>
            <w:tcW w:w="1460" w:type="dxa"/>
            <w:vAlign w:val="center"/>
            <w:hideMark/>
          </w:tcPr>
          <w:p w14:paraId="4FE707F2"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88.89 ± 11.11</w:t>
            </w:r>
            <w:r w:rsidRPr="00C778CD">
              <w:rPr>
                <w:rFonts w:ascii="Times New Roman" w:eastAsia="Times New Roman" w:hAnsi="Times New Roman"/>
                <w:color w:val="000000"/>
                <w:sz w:val="20"/>
                <w:szCs w:val="20"/>
                <w:vertAlign w:val="superscript"/>
                <w:lang w:eastAsia="fr-FR"/>
              </w:rPr>
              <w:t>a</w:t>
            </w:r>
          </w:p>
        </w:tc>
        <w:tc>
          <w:tcPr>
            <w:tcW w:w="1460" w:type="dxa"/>
            <w:vAlign w:val="center"/>
            <w:hideMark/>
          </w:tcPr>
          <w:p w14:paraId="6D289E30"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55.56 ± 11.11</w:t>
            </w:r>
            <w:r w:rsidRPr="00C778CD">
              <w:rPr>
                <w:rFonts w:ascii="Times New Roman" w:eastAsia="Times New Roman" w:hAnsi="Times New Roman"/>
                <w:color w:val="000000"/>
                <w:sz w:val="20"/>
                <w:szCs w:val="20"/>
                <w:vertAlign w:val="superscript"/>
                <w:lang w:eastAsia="fr-FR"/>
              </w:rPr>
              <w:t>a</w:t>
            </w:r>
          </w:p>
        </w:tc>
        <w:tc>
          <w:tcPr>
            <w:tcW w:w="1382" w:type="dxa"/>
            <w:vAlign w:val="center"/>
            <w:hideMark/>
          </w:tcPr>
          <w:p w14:paraId="4A497805"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66.67 ± 19.25</w:t>
            </w:r>
            <w:r w:rsidRPr="00C778CD">
              <w:rPr>
                <w:rFonts w:ascii="Times New Roman" w:eastAsia="Times New Roman" w:hAnsi="Times New Roman"/>
                <w:color w:val="000000"/>
                <w:sz w:val="20"/>
                <w:szCs w:val="20"/>
                <w:vertAlign w:val="superscript"/>
                <w:lang w:eastAsia="fr-FR"/>
              </w:rPr>
              <w:t>a</w:t>
            </w:r>
          </w:p>
        </w:tc>
        <w:tc>
          <w:tcPr>
            <w:tcW w:w="1383" w:type="dxa"/>
            <w:vAlign w:val="center"/>
            <w:hideMark/>
          </w:tcPr>
          <w:p w14:paraId="7F8E36E6"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44.44 ± 11.11</w:t>
            </w:r>
            <w:r w:rsidRPr="00C778CD">
              <w:rPr>
                <w:rFonts w:ascii="Times New Roman" w:eastAsia="Times New Roman" w:hAnsi="Times New Roman"/>
                <w:color w:val="000000"/>
                <w:sz w:val="20"/>
                <w:szCs w:val="20"/>
                <w:vertAlign w:val="superscript"/>
                <w:lang w:eastAsia="fr-FR"/>
              </w:rPr>
              <w:t>b</w:t>
            </w:r>
          </w:p>
        </w:tc>
        <w:tc>
          <w:tcPr>
            <w:tcW w:w="1382" w:type="dxa"/>
            <w:vAlign w:val="center"/>
            <w:hideMark/>
          </w:tcPr>
          <w:p w14:paraId="0DDD02A7"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100.0 ± 0.00</w:t>
            </w:r>
            <w:r w:rsidRPr="00C778CD">
              <w:rPr>
                <w:rFonts w:ascii="Times New Roman" w:eastAsia="Times New Roman" w:hAnsi="Times New Roman"/>
                <w:color w:val="000000"/>
                <w:sz w:val="20"/>
                <w:szCs w:val="20"/>
                <w:vertAlign w:val="superscript"/>
                <w:lang w:eastAsia="fr-FR"/>
              </w:rPr>
              <w:t>a</w:t>
            </w:r>
          </w:p>
        </w:tc>
        <w:tc>
          <w:tcPr>
            <w:tcW w:w="877" w:type="dxa"/>
            <w:vAlign w:val="center"/>
            <w:hideMark/>
          </w:tcPr>
          <w:p w14:paraId="72BB8620"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0.046</w:t>
            </w:r>
          </w:p>
        </w:tc>
        <w:tc>
          <w:tcPr>
            <w:tcW w:w="501" w:type="dxa"/>
            <w:vAlign w:val="center"/>
            <w:hideMark/>
          </w:tcPr>
          <w:p w14:paraId="1F156214"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w:t>
            </w:r>
          </w:p>
        </w:tc>
      </w:tr>
      <w:tr w:rsidR="00080557" w:rsidRPr="00C778CD" w14:paraId="28060871" w14:textId="77777777" w:rsidTr="00080557">
        <w:trPr>
          <w:cantSplit/>
          <w:trHeight w:val="191"/>
        </w:trPr>
        <w:tc>
          <w:tcPr>
            <w:tcW w:w="644" w:type="dxa"/>
            <w:vMerge/>
            <w:tcBorders>
              <w:top w:val="single" w:sz="4" w:space="0" w:color="auto"/>
              <w:left w:val="single" w:sz="4" w:space="0" w:color="auto"/>
              <w:bottom w:val="single" w:sz="4" w:space="0" w:color="auto"/>
              <w:right w:val="single" w:sz="4" w:space="0" w:color="auto"/>
            </w:tcBorders>
            <w:textDirection w:val="btLr"/>
          </w:tcPr>
          <w:p w14:paraId="0BA68376" w14:textId="0147FA21" w:rsidR="00080557" w:rsidRPr="00C778CD" w:rsidRDefault="00080557" w:rsidP="00C778CD">
            <w:pPr>
              <w:spacing w:after="0" w:line="240" w:lineRule="auto"/>
              <w:ind w:left="113" w:right="113"/>
              <w:rPr>
                <w:rFonts w:ascii="Times New Roman" w:eastAsia="Times New Roman" w:hAnsi="Times New Roman"/>
                <w:color w:val="000000"/>
                <w:sz w:val="20"/>
                <w:szCs w:val="20"/>
                <w:lang w:eastAsia="fr-FR"/>
              </w:rPr>
            </w:pPr>
          </w:p>
        </w:tc>
        <w:tc>
          <w:tcPr>
            <w:tcW w:w="995" w:type="dxa"/>
            <w:tcBorders>
              <w:left w:val="single" w:sz="4" w:space="0" w:color="auto"/>
            </w:tcBorders>
            <w:vAlign w:val="center"/>
            <w:hideMark/>
          </w:tcPr>
          <w:p w14:paraId="14A358BB" w14:textId="6B112432"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BITA+CB</w:t>
            </w:r>
          </w:p>
        </w:tc>
        <w:tc>
          <w:tcPr>
            <w:tcW w:w="1460" w:type="dxa"/>
            <w:vAlign w:val="center"/>
            <w:hideMark/>
          </w:tcPr>
          <w:p w14:paraId="598FC03E"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55.56 ± 11.11</w:t>
            </w:r>
            <w:r w:rsidRPr="00C778CD">
              <w:rPr>
                <w:rFonts w:ascii="Times New Roman" w:eastAsia="Times New Roman" w:hAnsi="Times New Roman"/>
                <w:color w:val="000000"/>
                <w:sz w:val="20"/>
                <w:szCs w:val="20"/>
                <w:vertAlign w:val="superscript"/>
                <w:lang w:eastAsia="fr-FR"/>
              </w:rPr>
              <w:t>ab</w:t>
            </w:r>
          </w:p>
        </w:tc>
        <w:tc>
          <w:tcPr>
            <w:tcW w:w="1460" w:type="dxa"/>
            <w:vAlign w:val="center"/>
            <w:hideMark/>
          </w:tcPr>
          <w:p w14:paraId="7ACF0135"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88.89 ± 11.11</w:t>
            </w:r>
            <w:r w:rsidRPr="00C778CD">
              <w:rPr>
                <w:rFonts w:ascii="Times New Roman" w:eastAsia="Times New Roman" w:hAnsi="Times New Roman"/>
                <w:color w:val="000000"/>
                <w:sz w:val="20"/>
                <w:szCs w:val="20"/>
                <w:vertAlign w:val="superscript"/>
                <w:lang w:eastAsia="fr-FR"/>
              </w:rPr>
              <w:t>a</w:t>
            </w:r>
          </w:p>
        </w:tc>
        <w:tc>
          <w:tcPr>
            <w:tcW w:w="1382" w:type="dxa"/>
            <w:vAlign w:val="center"/>
            <w:hideMark/>
          </w:tcPr>
          <w:p w14:paraId="726E43AA"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66.67 ± 19.25</w:t>
            </w:r>
            <w:r w:rsidRPr="00C778CD">
              <w:rPr>
                <w:rFonts w:ascii="Times New Roman" w:eastAsia="Times New Roman" w:hAnsi="Times New Roman"/>
                <w:color w:val="000000"/>
                <w:sz w:val="20"/>
                <w:szCs w:val="20"/>
                <w:vertAlign w:val="superscript"/>
                <w:lang w:eastAsia="fr-FR"/>
              </w:rPr>
              <w:t>ab</w:t>
            </w:r>
          </w:p>
        </w:tc>
        <w:tc>
          <w:tcPr>
            <w:tcW w:w="1383" w:type="dxa"/>
            <w:vAlign w:val="center"/>
            <w:hideMark/>
          </w:tcPr>
          <w:p w14:paraId="0B26C2E1"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33.33 ± 00.00</w:t>
            </w:r>
            <w:r w:rsidRPr="00C778CD">
              <w:rPr>
                <w:rFonts w:ascii="Times New Roman" w:eastAsia="Times New Roman" w:hAnsi="Times New Roman"/>
                <w:color w:val="000000"/>
                <w:sz w:val="20"/>
                <w:szCs w:val="20"/>
                <w:vertAlign w:val="superscript"/>
                <w:lang w:eastAsia="fr-FR"/>
              </w:rPr>
              <w:t>ab</w:t>
            </w:r>
          </w:p>
        </w:tc>
        <w:tc>
          <w:tcPr>
            <w:tcW w:w="1382" w:type="dxa"/>
            <w:vAlign w:val="center"/>
            <w:hideMark/>
          </w:tcPr>
          <w:p w14:paraId="690ED76D"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11.11 ± 9.19</w:t>
            </w:r>
            <w:r w:rsidRPr="00C778CD">
              <w:rPr>
                <w:rFonts w:ascii="Times New Roman" w:eastAsia="Times New Roman" w:hAnsi="Times New Roman"/>
                <w:color w:val="000000"/>
                <w:sz w:val="20"/>
                <w:szCs w:val="20"/>
                <w:vertAlign w:val="superscript"/>
                <w:lang w:eastAsia="fr-FR"/>
              </w:rPr>
              <w:t>b</w:t>
            </w:r>
          </w:p>
        </w:tc>
        <w:tc>
          <w:tcPr>
            <w:tcW w:w="877" w:type="dxa"/>
            <w:vAlign w:val="center"/>
            <w:hideMark/>
          </w:tcPr>
          <w:p w14:paraId="796B5872"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0.009</w:t>
            </w:r>
          </w:p>
        </w:tc>
        <w:tc>
          <w:tcPr>
            <w:tcW w:w="501" w:type="dxa"/>
            <w:vAlign w:val="center"/>
            <w:hideMark/>
          </w:tcPr>
          <w:p w14:paraId="262D042D"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w:t>
            </w:r>
          </w:p>
        </w:tc>
      </w:tr>
      <w:tr w:rsidR="00080557" w:rsidRPr="00C778CD" w14:paraId="3011AFB7" w14:textId="77777777" w:rsidTr="00080557">
        <w:trPr>
          <w:trHeight w:val="244"/>
        </w:trPr>
        <w:tc>
          <w:tcPr>
            <w:tcW w:w="644" w:type="dxa"/>
            <w:vMerge/>
            <w:tcBorders>
              <w:top w:val="single" w:sz="4" w:space="0" w:color="auto"/>
              <w:left w:val="single" w:sz="4" w:space="0" w:color="auto"/>
              <w:bottom w:val="single" w:sz="4" w:space="0" w:color="auto"/>
              <w:right w:val="single" w:sz="4" w:space="0" w:color="auto"/>
            </w:tcBorders>
          </w:tcPr>
          <w:p w14:paraId="47128E70"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p>
        </w:tc>
        <w:tc>
          <w:tcPr>
            <w:tcW w:w="995" w:type="dxa"/>
            <w:tcBorders>
              <w:left w:val="single" w:sz="4" w:space="0" w:color="auto"/>
            </w:tcBorders>
            <w:vAlign w:val="center"/>
            <w:hideMark/>
          </w:tcPr>
          <w:p w14:paraId="0A7EA594" w14:textId="0E0DEB8F" w:rsidR="00080557" w:rsidRPr="00C778CD" w:rsidRDefault="00080557" w:rsidP="00C778CD">
            <w:pPr>
              <w:spacing w:after="0" w:line="240" w:lineRule="auto"/>
              <w:rPr>
                <w:rFonts w:ascii="Times New Roman" w:eastAsia="Times New Roman" w:hAnsi="Times New Roman"/>
                <w:color w:val="000000"/>
                <w:sz w:val="20"/>
                <w:szCs w:val="20"/>
                <w:lang w:eastAsia="fr-FR"/>
              </w:rPr>
            </w:pPr>
            <w:proofErr w:type="spellStart"/>
            <w:r w:rsidRPr="00C778CD">
              <w:rPr>
                <w:rFonts w:ascii="Times New Roman" w:eastAsia="Times New Roman" w:hAnsi="Times New Roman"/>
                <w:color w:val="000000"/>
                <w:sz w:val="20"/>
                <w:szCs w:val="20"/>
                <w:lang w:eastAsia="fr-FR"/>
              </w:rPr>
              <w:t>TriS</w:t>
            </w:r>
            <w:proofErr w:type="spellEnd"/>
          </w:p>
        </w:tc>
        <w:tc>
          <w:tcPr>
            <w:tcW w:w="1460" w:type="dxa"/>
            <w:vAlign w:val="center"/>
            <w:hideMark/>
          </w:tcPr>
          <w:p w14:paraId="37A2E007"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66.67 ± 17.92</w:t>
            </w:r>
            <w:r w:rsidRPr="00C778CD">
              <w:rPr>
                <w:rFonts w:ascii="Times New Roman" w:eastAsia="Times New Roman" w:hAnsi="Times New Roman"/>
                <w:color w:val="000000"/>
                <w:sz w:val="20"/>
                <w:szCs w:val="20"/>
                <w:vertAlign w:val="superscript"/>
                <w:lang w:eastAsia="fr-FR"/>
              </w:rPr>
              <w:t>a</w:t>
            </w:r>
          </w:p>
        </w:tc>
        <w:tc>
          <w:tcPr>
            <w:tcW w:w="1460" w:type="dxa"/>
            <w:vAlign w:val="center"/>
            <w:hideMark/>
          </w:tcPr>
          <w:p w14:paraId="7E794E65"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44.44 ± 17.92</w:t>
            </w:r>
            <w:r w:rsidRPr="00C778CD">
              <w:rPr>
                <w:rFonts w:ascii="Times New Roman" w:eastAsia="Times New Roman" w:hAnsi="Times New Roman"/>
                <w:color w:val="000000"/>
                <w:sz w:val="20"/>
                <w:szCs w:val="20"/>
                <w:vertAlign w:val="superscript"/>
                <w:lang w:eastAsia="fr-FR"/>
              </w:rPr>
              <w:t>a</w:t>
            </w:r>
          </w:p>
        </w:tc>
        <w:tc>
          <w:tcPr>
            <w:tcW w:w="1382" w:type="dxa"/>
            <w:vAlign w:val="center"/>
            <w:hideMark/>
          </w:tcPr>
          <w:p w14:paraId="0EC18170"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55.56 ± 17.92</w:t>
            </w:r>
            <w:r w:rsidRPr="00C778CD">
              <w:rPr>
                <w:rFonts w:ascii="Times New Roman" w:eastAsia="Times New Roman" w:hAnsi="Times New Roman"/>
                <w:color w:val="000000"/>
                <w:sz w:val="20"/>
                <w:szCs w:val="20"/>
                <w:vertAlign w:val="superscript"/>
                <w:lang w:eastAsia="fr-FR"/>
              </w:rPr>
              <w:t>a</w:t>
            </w:r>
          </w:p>
        </w:tc>
        <w:tc>
          <w:tcPr>
            <w:tcW w:w="1383" w:type="dxa"/>
            <w:vAlign w:val="center"/>
            <w:hideMark/>
          </w:tcPr>
          <w:p w14:paraId="308F6C32"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88.89 ± 17.92</w:t>
            </w:r>
            <w:r w:rsidRPr="00C778CD">
              <w:rPr>
                <w:rFonts w:ascii="Times New Roman" w:eastAsia="Times New Roman" w:hAnsi="Times New Roman"/>
                <w:color w:val="000000"/>
                <w:sz w:val="20"/>
                <w:szCs w:val="20"/>
                <w:vertAlign w:val="superscript"/>
                <w:lang w:eastAsia="fr-FR"/>
              </w:rPr>
              <w:t>a</w:t>
            </w:r>
          </w:p>
        </w:tc>
        <w:tc>
          <w:tcPr>
            <w:tcW w:w="1382" w:type="dxa"/>
            <w:vAlign w:val="center"/>
            <w:hideMark/>
          </w:tcPr>
          <w:p w14:paraId="09369116"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44.44 ± 11.11</w:t>
            </w:r>
            <w:r w:rsidRPr="00C778CD">
              <w:rPr>
                <w:rFonts w:ascii="Times New Roman" w:eastAsia="Times New Roman" w:hAnsi="Times New Roman"/>
                <w:color w:val="000000"/>
                <w:sz w:val="20"/>
                <w:szCs w:val="20"/>
                <w:vertAlign w:val="superscript"/>
                <w:lang w:eastAsia="fr-FR"/>
              </w:rPr>
              <w:t>a</w:t>
            </w:r>
          </w:p>
        </w:tc>
        <w:tc>
          <w:tcPr>
            <w:tcW w:w="877" w:type="dxa"/>
            <w:noWrap/>
            <w:vAlign w:val="center"/>
            <w:hideMark/>
          </w:tcPr>
          <w:p w14:paraId="0D68A115"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0,183</w:t>
            </w:r>
          </w:p>
        </w:tc>
        <w:tc>
          <w:tcPr>
            <w:tcW w:w="501" w:type="dxa"/>
            <w:vAlign w:val="center"/>
            <w:hideMark/>
          </w:tcPr>
          <w:p w14:paraId="01F85CED"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r>
      <w:tr w:rsidR="00080557" w:rsidRPr="00C778CD" w14:paraId="489B9011" w14:textId="77777777" w:rsidTr="00080557">
        <w:trPr>
          <w:trHeight w:val="244"/>
        </w:trPr>
        <w:tc>
          <w:tcPr>
            <w:tcW w:w="644" w:type="dxa"/>
            <w:vMerge/>
            <w:tcBorders>
              <w:top w:val="single" w:sz="4" w:space="0" w:color="auto"/>
              <w:left w:val="single" w:sz="4" w:space="0" w:color="auto"/>
              <w:bottom w:val="single" w:sz="4" w:space="0" w:color="auto"/>
              <w:right w:val="single" w:sz="4" w:space="0" w:color="auto"/>
            </w:tcBorders>
          </w:tcPr>
          <w:p w14:paraId="4BEE3502"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p>
        </w:tc>
        <w:tc>
          <w:tcPr>
            <w:tcW w:w="995" w:type="dxa"/>
            <w:tcBorders>
              <w:left w:val="single" w:sz="4" w:space="0" w:color="auto"/>
            </w:tcBorders>
            <w:vAlign w:val="center"/>
            <w:hideMark/>
          </w:tcPr>
          <w:p w14:paraId="318EBB20" w14:textId="2DEF2F16"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CAN</w:t>
            </w:r>
          </w:p>
        </w:tc>
        <w:tc>
          <w:tcPr>
            <w:tcW w:w="1460" w:type="dxa"/>
            <w:vAlign w:val="center"/>
            <w:hideMark/>
          </w:tcPr>
          <w:p w14:paraId="4BAD9B95"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100.0 ± 00.00</w:t>
            </w:r>
            <w:r w:rsidRPr="00C778CD">
              <w:rPr>
                <w:rFonts w:ascii="Times New Roman" w:eastAsia="Times New Roman" w:hAnsi="Times New Roman"/>
                <w:color w:val="000000"/>
                <w:sz w:val="20"/>
                <w:szCs w:val="20"/>
                <w:vertAlign w:val="superscript"/>
                <w:lang w:eastAsia="fr-FR"/>
              </w:rPr>
              <w:t>a</w:t>
            </w:r>
          </w:p>
        </w:tc>
        <w:tc>
          <w:tcPr>
            <w:tcW w:w="1460" w:type="dxa"/>
            <w:vAlign w:val="center"/>
            <w:hideMark/>
          </w:tcPr>
          <w:p w14:paraId="5E367E9D"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66.67 ± 00.00</w:t>
            </w:r>
            <w:r w:rsidRPr="00C778CD">
              <w:rPr>
                <w:rFonts w:ascii="Times New Roman" w:eastAsia="Times New Roman" w:hAnsi="Times New Roman"/>
                <w:color w:val="000000"/>
                <w:sz w:val="20"/>
                <w:szCs w:val="20"/>
                <w:vertAlign w:val="superscript"/>
                <w:lang w:eastAsia="fr-FR"/>
              </w:rPr>
              <w:t>b</w:t>
            </w:r>
          </w:p>
        </w:tc>
        <w:tc>
          <w:tcPr>
            <w:tcW w:w="1382" w:type="dxa"/>
            <w:vAlign w:val="center"/>
            <w:hideMark/>
          </w:tcPr>
          <w:p w14:paraId="6BA444EB"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55.56 ± 22.22</w:t>
            </w:r>
            <w:r w:rsidRPr="00C778CD">
              <w:rPr>
                <w:rFonts w:ascii="Times New Roman" w:eastAsia="Times New Roman" w:hAnsi="Times New Roman"/>
                <w:color w:val="000000"/>
                <w:sz w:val="20"/>
                <w:szCs w:val="20"/>
                <w:vertAlign w:val="superscript"/>
                <w:lang w:eastAsia="fr-FR"/>
              </w:rPr>
              <w:t>b</w:t>
            </w:r>
          </w:p>
        </w:tc>
        <w:tc>
          <w:tcPr>
            <w:tcW w:w="1383" w:type="dxa"/>
            <w:vAlign w:val="center"/>
            <w:hideMark/>
          </w:tcPr>
          <w:p w14:paraId="17F4DD31"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55.56 ± 22.22</w:t>
            </w:r>
            <w:r w:rsidRPr="00C778CD">
              <w:rPr>
                <w:rFonts w:ascii="Times New Roman" w:eastAsia="Times New Roman" w:hAnsi="Times New Roman"/>
                <w:color w:val="000000"/>
                <w:sz w:val="20"/>
                <w:szCs w:val="20"/>
                <w:vertAlign w:val="superscript"/>
                <w:lang w:eastAsia="fr-FR"/>
              </w:rPr>
              <w:t>b</w:t>
            </w:r>
          </w:p>
        </w:tc>
        <w:tc>
          <w:tcPr>
            <w:tcW w:w="1382" w:type="dxa"/>
            <w:vAlign w:val="center"/>
            <w:hideMark/>
          </w:tcPr>
          <w:p w14:paraId="27D650FB"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66.67 ± 19.25</w:t>
            </w:r>
            <w:r w:rsidRPr="00C778CD">
              <w:rPr>
                <w:rFonts w:ascii="Times New Roman" w:eastAsia="Times New Roman" w:hAnsi="Times New Roman"/>
                <w:color w:val="000000"/>
                <w:sz w:val="20"/>
                <w:szCs w:val="20"/>
                <w:vertAlign w:val="superscript"/>
                <w:lang w:eastAsia="fr-FR"/>
              </w:rPr>
              <w:t>b</w:t>
            </w:r>
          </w:p>
        </w:tc>
        <w:tc>
          <w:tcPr>
            <w:tcW w:w="877" w:type="dxa"/>
            <w:noWrap/>
            <w:vAlign w:val="center"/>
            <w:hideMark/>
          </w:tcPr>
          <w:p w14:paraId="63ED7F27"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0,05</w:t>
            </w:r>
          </w:p>
        </w:tc>
        <w:tc>
          <w:tcPr>
            <w:tcW w:w="501" w:type="dxa"/>
            <w:noWrap/>
            <w:vAlign w:val="center"/>
            <w:hideMark/>
          </w:tcPr>
          <w:p w14:paraId="2933F06F"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w:t>
            </w:r>
          </w:p>
        </w:tc>
      </w:tr>
      <w:tr w:rsidR="00080557" w:rsidRPr="00C778CD" w14:paraId="5B921543" w14:textId="77777777" w:rsidTr="00080557">
        <w:trPr>
          <w:trHeight w:val="244"/>
        </w:trPr>
        <w:tc>
          <w:tcPr>
            <w:tcW w:w="644" w:type="dxa"/>
            <w:vMerge/>
            <w:tcBorders>
              <w:top w:val="single" w:sz="4" w:space="0" w:color="auto"/>
              <w:left w:val="single" w:sz="4" w:space="0" w:color="auto"/>
              <w:bottom w:val="single" w:sz="4" w:space="0" w:color="auto"/>
              <w:right w:val="single" w:sz="4" w:space="0" w:color="auto"/>
            </w:tcBorders>
          </w:tcPr>
          <w:p w14:paraId="6BB854B0"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p>
        </w:tc>
        <w:tc>
          <w:tcPr>
            <w:tcW w:w="995" w:type="dxa"/>
            <w:tcBorders>
              <w:left w:val="single" w:sz="4" w:space="0" w:color="auto"/>
            </w:tcBorders>
            <w:vAlign w:val="center"/>
            <w:hideMark/>
          </w:tcPr>
          <w:p w14:paraId="12F2A96E" w14:textId="0C747BA6"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CAN+S</w:t>
            </w:r>
          </w:p>
        </w:tc>
        <w:tc>
          <w:tcPr>
            <w:tcW w:w="1460" w:type="dxa"/>
            <w:vAlign w:val="center"/>
            <w:hideMark/>
          </w:tcPr>
          <w:p w14:paraId="025A9EDB"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55.56 ± 22.22</w:t>
            </w:r>
            <w:r w:rsidRPr="00C778CD">
              <w:rPr>
                <w:rFonts w:ascii="Times New Roman" w:eastAsia="Times New Roman" w:hAnsi="Times New Roman"/>
                <w:color w:val="000000"/>
                <w:sz w:val="20"/>
                <w:szCs w:val="20"/>
                <w:vertAlign w:val="superscript"/>
                <w:lang w:eastAsia="fr-FR"/>
              </w:rPr>
              <w:t>ab</w:t>
            </w:r>
          </w:p>
        </w:tc>
        <w:tc>
          <w:tcPr>
            <w:tcW w:w="1460" w:type="dxa"/>
            <w:vAlign w:val="center"/>
            <w:hideMark/>
          </w:tcPr>
          <w:p w14:paraId="698CEC61"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44.44 ± 22.22</w:t>
            </w:r>
            <w:r w:rsidRPr="00C778CD">
              <w:rPr>
                <w:rFonts w:ascii="Times New Roman" w:eastAsia="Times New Roman" w:hAnsi="Times New Roman"/>
                <w:color w:val="000000"/>
                <w:sz w:val="20"/>
                <w:szCs w:val="20"/>
                <w:vertAlign w:val="superscript"/>
                <w:lang w:eastAsia="fr-FR"/>
              </w:rPr>
              <w:t>ab</w:t>
            </w:r>
          </w:p>
        </w:tc>
        <w:tc>
          <w:tcPr>
            <w:tcW w:w="1382" w:type="dxa"/>
            <w:vAlign w:val="center"/>
            <w:hideMark/>
          </w:tcPr>
          <w:p w14:paraId="5E55479D"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100.0 ± 0.00</w:t>
            </w:r>
            <w:r w:rsidRPr="00C778CD">
              <w:rPr>
                <w:rFonts w:ascii="Times New Roman" w:eastAsia="Times New Roman" w:hAnsi="Times New Roman"/>
                <w:color w:val="000000"/>
                <w:sz w:val="20"/>
                <w:szCs w:val="20"/>
                <w:vertAlign w:val="superscript"/>
                <w:lang w:eastAsia="fr-FR"/>
              </w:rPr>
              <w:t>a</w:t>
            </w:r>
          </w:p>
        </w:tc>
        <w:tc>
          <w:tcPr>
            <w:tcW w:w="1383" w:type="dxa"/>
            <w:vAlign w:val="center"/>
            <w:hideMark/>
          </w:tcPr>
          <w:p w14:paraId="08A944FB"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55.56 ± 11.11</w:t>
            </w:r>
            <w:r w:rsidRPr="00C778CD">
              <w:rPr>
                <w:rFonts w:ascii="Times New Roman" w:eastAsia="Times New Roman" w:hAnsi="Times New Roman"/>
                <w:color w:val="000000"/>
                <w:sz w:val="20"/>
                <w:szCs w:val="20"/>
                <w:vertAlign w:val="superscript"/>
                <w:lang w:eastAsia="fr-FR"/>
              </w:rPr>
              <w:t>ab</w:t>
            </w:r>
          </w:p>
        </w:tc>
        <w:tc>
          <w:tcPr>
            <w:tcW w:w="1382" w:type="dxa"/>
            <w:vAlign w:val="center"/>
            <w:hideMark/>
          </w:tcPr>
          <w:p w14:paraId="60C7F6B9"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22.22 ± 11.11</w:t>
            </w:r>
            <w:r w:rsidRPr="00C778CD">
              <w:rPr>
                <w:rFonts w:ascii="Times New Roman" w:eastAsia="Times New Roman" w:hAnsi="Times New Roman"/>
                <w:color w:val="000000"/>
                <w:sz w:val="20"/>
                <w:szCs w:val="20"/>
                <w:vertAlign w:val="superscript"/>
                <w:lang w:eastAsia="fr-FR"/>
              </w:rPr>
              <w:t>b</w:t>
            </w:r>
          </w:p>
        </w:tc>
        <w:tc>
          <w:tcPr>
            <w:tcW w:w="877" w:type="dxa"/>
            <w:noWrap/>
            <w:vAlign w:val="center"/>
            <w:hideMark/>
          </w:tcPr>
          <w:p w14:paraId="7250F11E"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0,05</w:t>
            </w:r>
          </w:p>
        </w:tc>
        <w:tc>
          <w:tcPr>
            <w:tcW w:w="501" w:type="dxa"/>
            <w:vAlign w:val="center"/>
            <w:hideMark/>
          </w:tcPr>
          <w:p w14:paraId="263F0AE7"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w:t>
            </w:r>
          </w:p>
        </w:tc>
      </w:tr>
      <w:tr w:rsidR="00080557" w:rsidRPr="00C778CD" w14:paraId="5B122BE0" w14:textId="77777777" w:rsidTr="00080557">
        <w:trPr>
          <w:trHeight w:val="244"/>
        </w:trPr>
        <w:tc>
          <w:tcPr>
            <w:tcW w:w="644" w:type="dxa"/>
            <w:vMerge/>
            <w:tcBorders>
              <w:top w:val="single" w:sz="4" w:space="0" w:color="auto"/>
              <w:left w:val="single" w:sz="4" w:space="0" w:color="auto"/>
              <w:bottom w:val="single" w:sz="4" w:space="0" w:color="auto"/>
              <w:right w:val="single" w:sz="4" w:space="0" w:color="auto"/>
            </w:tcBorders>
          </w:tcPr>
          <w:p w14:paraId="21C37FDA"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p>
        </w:tc>
        <w:tc>
          <w:tcPr>
            <w:tcW w:w="995" w:type="dxa"/>
            <w:tcBorders>
              <w:left w:val="single" w:sz="4" w:space="0" w:color="auto"/>
            </w:tcBorders>
            <w:vAlign w:val="center"/>
            <w:hideMark/>
          </w:tcPr>
          <w:p w14:paraId="0E4680E9" w14:textId="1995C56C"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CAN+G</w:t>
            </w:r>
          </w:p>
        </w:tc>
        <w:tc>
          <w:tcPr>
            <w:tcW w:w="1460" w:type="dxa"/>
            <w:vAlign w:val="center"/>
            <w:hideMark/>
          </w:tcPr>
          <w:p w14:paraId="41CC2EC1"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55.56 ± 11.11</w:t>
            </w:r>
            <w:r w:rsidRPr="00C778CD">
              <w:rPr>
                <w:rFonts w:ascii="Times New Roman" w:eastAsia="Times New Roman" w:hAnsi="Times New Roman"/>
                <w:color w:val="000000"/>
                <w:sz w:val="20"/>
                <w:szCs w:val="20"/>
                <w:vertAlign w:val="superscript"/>
                <w:lang w:eastAsia="fr-FR"/>
              </w:rPr>
              <w:t>a</w:t>
            </w:r>
          </w:p>
        </w:tc>
        <w:tc>
          <w:tcPr>
            <w:tcW w:w="1460" w:type="dxa"/>
            <w:vAlign w:val="center"/>
            <w:hideMark/>
          </w:tcPr>
          <w:p w14:paraId="512A8039"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33.33 ± 0.00</w:t>
            </w:r>
            <w:r w:rsidRPr="00C778CD">
              <w:rPr>
                <w:rFonts w:ascii="Times New Roman" w:eastAsia="Times New Roman" w:hAnsi="Times New Roman"/>
                <w:color w:val="000000"/>
                <w:sz w:val="20"/>
                <w:szCs w:val="20"/>
                <w:vertAlign w:val="superscript"/>
                <w:lang w:eastAsia="fr-FR"/>
              </w:rPr>
              <w:t>a</w:t>
            </w:r>
          </w:p>
        </w:tc>
        <w:tc>
          <w:tcPr>
            <w:tcW w:w="1382" w:type="dxa"/>
            <w:vAlign w:val="center"/>
            <w:hideMark/>
          </w:tcPr>
          <w:p w14:paraId="6685E9F0"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44.44 ± 11.11</w:t>
            </w:r>
            <w:r w:rsidRPr="00C778CD">
              <w:rPr>
                <w:rFonts w:ascii="Times New Roman" w:eastAsia="Times New Roman" w:hAnsi="Times New Roman"/>
                <w:color w:val="000000"/>
                <w:sz w:val="20"/>
                <w:szCs w:val="20"/>
                <w:vertAlign w:val="superscript"/>
                <w:lang w:eastAsia="fr-FR"/>
              </w:rPr>
              <w:t>a</w:t>
            </w:r>
          </w:p>
        </w:tc>
        <w:tc>
          <w:tcPr>
            <w:tcW w:w="1383" w:type="dxa"/>
            <w:vAlign w:val="center"/>
            <w:hideMark/>
          </w:tcPr>
          <w:p w14:paraId="3A6C9738"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77.78 ± 11.11</w:t>
            </w:r>
            <w:r w:rsidRPr="00C778CD">
              <w:rPr>
                <w:rFonts w:ascii="Times New Roman" w:eastAsia="Times New Roman" w:hAnsi="Times New Roman"/>
                <w:color w:val="000000"/>
                <w:sz w:val="20"/>
                <w:szCs w:val="20"/>
                <w:vertAlign w:val="superscript"/>
                <w:lang w:eastAsia="fr-FR"/>
              </w:rPr>
              <w:t>a</w:t>
            </w:r>
          </w:p>
        </w:tc>
        <w:tc>
          <w:tcPr>
            <w:tcW w:w="1382" w:type="dxa"/>
            <w:vAlign w:val="center"/>
            <w:hideMark/>
          </w:tcPr>
          <w:p w14:paraId="72F222EC"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66.67 ± 19.25</w:t>
            </w:r>
            <w:r w:rsidRPr="00C778CD">
              <w:rPr>
                <w:rFonts w:ascii="Times New Roman" w:eastAsia="Times New Roman" w:hAnsi="Times New Roman"/>
                <w:color w:val="000000"/>
                <w:sz w:val="20"/>
                <w:szCs w:val="20"/>
                <w:vertAlign w:val="superscript"/>
                <w:lang w:eastAsia="fr-FR"/>
              </w:rPr>
              <w:t>a</w:t>
            </w:r>
          </w:p>
        </w:tc>
        <w:tc>
          <w:tcPr>
            <w:tcW w:w="877" w:type="dxa"/>
            <w:noWrap/>
            <w:vAlign w:val="center"/>
            <w:hideMark/>
          </w:tcPr>
          <w:p w14:paraId="4E32A0EF"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0,158</w:t>
            </w:r>
          </w:p>
        </w:tc>
        <w:tc>
          <w:tcPr>
            <w:tcW w:w="501" w:type="dxa"/>
            <w:vAlign w:val="center"/>
            <w:hideMark/>
          </w:tcPr>
          <w:p w14:paraId="0754CB91"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r>
      <w:tr w:rsidR="00080557" w:rsidRPr="00C778CD" w14:paraId="0C21F4A4" w14:textId="77777777" w:rsidTr="00080557">
        <w:trPr>
          <w:trHeight w:val="210"/>
        </w:trPr>
        <w:tc>
          <w:tcPr>
            <w:tcW w:w="644" w:type="dxa"/>
            <w:vMerge/>
            <w:tcBorders>
              <w:top w:val="single" w:sz="4" w:space="0" w:color="auto"/>
              <w:left w:val="single" w:sz="4" w:space="0" w:color="auto"/>
              <w:bottom w:val="single" w:sz="4" w:space="0" w:color="auto"/>
              <w:right w:val="single" w:sz="4" w:space="0" w:color="auto"/>
            </w:tcBorders>
          </w:tcPr>
          <w:p w14:paraId="5010C70F"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p>
        </w:tc>
        <w:tc>
          <w:tcPr>
            <w:tcW w:w="995" w:type="dxa"/>
            <w:tcBorders>
              <w:left w:val="single" w:sz="4" w:space="0" w:color="auto"/>
            </w:tcBorders>
            <w:vAlign w:val="center"/>
            <w:hideMark/>
          </w:tcPr>
          <w:p w14:paraId="632A2509" w14:textId="640C89D6"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CAN+CB</w:t>
            </w:r>
          </w:p>
        </w:tc>
        <w:tc>
          <w:tcPr>
            <w:tcW w:w="1460" w:type="dxa"/>
            <w:vAlign w:val="center"/>
            <w:hideMark/>
          </w:tcPr>
          <w:p w14:paraId="62DBC35A"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66.67 ± 19.25</w:t>
            </w:r>
            <w:r w:rsidRPr="00C778CD">
              <w:rPr>
                <w:rFonts w:ascii="Times New Roman" w:eastAsia="Times New Roman" w:hAnsi="Times New Roman"/>
                <w:color w:val="000000"/>
                <w:sz w:val="20"/>
                <w:szCs w:val="20"/>
                <w:vertAlign w:val="superscript"/>
                <w:lang w:eastAsia="fr-FR"/>
              </w:rPr>
              <w:t>a</w:t>
            </w:r>
          </w:p>
        </w:tc>
        <w:tc>
          <w:tcPr>
            <w:tcW w:w="1460" w:type="dxa"/>
            <w:vAlign w:val="center"/>
            <w:hideMark/>
          </w:tcPr>
          <w:p w14:paraId="23E241EB"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66.67 ± 19.25</w:t>
            </w:r>
            <w:r w:rsidRPr="00C778CD">
              <w:rPr>
                <w:rFonts w:ascii="Times New Roman" w:eastAsia="Times New Roman" w:hAnsi="Times New Roman"/>
                <w:color w:val="000000"/>
                <w:sz w:val="20"/>
                <w:szCs w:val="20"/>
                <w:vertAlign w:val="superscript"/>
                <w:lang w:eastAsia="fr-FR"/>
              </w:rPr>
              <w:t>a</w:t>
            </w:r>
          </w:p>
        </w:tc>
        <w:tc>
          <w:tcPr>
            <w:tcW w:w="1382" w:type="dxa"/>
            <w:vAlign w:val="center"/>
            <w:hideMark/>
          </w:tcPr>
          <w:p w14:paraId="3A078F44"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55.56 ± 11.11</w:t>
            </w:r>
            <w:r w:rsidRPr="00C778CD">
              <w:rPr>
                <w:rFonts w:ascii="Times New Roman" w:eastAsia="Times New Roman" w:hAnsi="Times New Roman"/>
                <w:color w:val="000000"/>
                <w:sz w:val="20"/>
                <w:szCs w:val="20"/>
                <w:vertAlign w:val="superscript"/>
                <w:lang w:eastAsia="fr-FR"/>
              </w:rPr>
              <w:t>a</w:t>
            </w:r>
          </w:p>
        </w:tc>
        <w:tc>
          <w:tcPr>
            <w:tcW w:w="1383" w:type="dxa"/>
            <w:vAlign w:val="center"/>
            <w:hideMark/>
          </w:tcPr>
          <w:p w14:paraId="4F0FF4B3"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33.33 ± 00.00</w:t>
            </w:r>
            <w:r w:rsidRPr="00C778CD">
              <w:rPr>
                <w:rFonts w:ascii="Times New Roman" w:eastAsia="Times New Roman" w:hAnsi="Times New Roman"/>
                <w:color w:val="000000"/>
                <w:sz w:val="20"/>
                <w:szCs w:val="20"/>
                <w:vertAlign w:val="superscript"/>
                <w:lang w:eastAsia="fr-FR"/>
              </w:rPr>
              <w:t>ab</w:t>
            </w:r>
          </w:p>
        </w:tc>
        <w:tc>
          <w:tcPr>
            <w:tcW w:w="1382" w:type="dxa"/>
            <w:vAlign w:val="center"/>
            <w:hideMark/>
          </w:tcPr>
          <w:p w14:paraId="322B5E6E"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11.11 ± 10,00</w:t>
            </w:r>
            <w:r w:rsidRPr="00C778CD">
              <w:rPr>
                <w:rFonts w:ascii="Times New Roman" w:eastAsia="Times New Roman" w:hAnsi="Times New Roman"/>
                <w:color w:val="000000"/>
                <w:sz w:val="20"/>
                <w:szCs w:val="20"/>
                <w:vertAlign w:val="superscript"/>
                <w:lang w:eastAsia="fr-FR"/>
              </w:rPr>
              <w:t>b</w:t>
            </w:r>
          </w:p>
        </w:tc>
        <w:tc>
          <w:tcPr>
            <w:tcW w:w="877" w:type="dxa"/>
            <w:noWrap/>
            <w:vAlign w:val="center"/>
            <w:hideMark/>
          </w:tcPr>
          <w:p w14:paraId="44D26EEA"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0,05</w:t>
            </w:r>
          </w:p>
        </w:tc>
        <w:tc>
          <w:tcPr>
            <w:tcW w:w="501" w:type="dxa"/>
            <w:vAlign w:val="center"/>
            <w:hideMark/>
          </w:tcPr>
          <w:p w14:paraId="57F5CF63" w14:textId="77777777" w:rsidR="00080557" w:rsidRPr="00C778CD" w:rsidRDefault="00080557"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w:t>
            </w:r>
          </w:p>
        </w:tc>
      </w:tr>
    </w:tbl>
    <w:p w14:paraId="60CD0571" w14:textId="37C37E1C" w:rsidR="00080557" w:rsidRDefault="00A25D90" w:rsidP="002D2F2E">
      <w:pPr>
        <w:spacing w:line="240" w:lineRule="auto"/>
        <w:jc w:val="both"/>
        <w:rPr>
          <w:rFonts w:ascii="Times New Roman" w:hAnsi="Times New Roman" w:cs="Times New Roman"/>
          <w:bCs/>
          <w:sz w:val="20"/>
          <w:szCs w:val="20"/>
          <w:lang w:val="en-US"/>
        </w:rPr>
      </w:pPr>
      <w:r w:rsidRPr="00A25D90">
        <w:rPr>
          <w:rFonts w:ascii="Times New Roman" w:hAnsi="Times New Roman" w:cs="Times New Roman"/>
          <w:b/>
          <w:sz w:val="20"/>
          <w:szCs w:val="20"/>
          <w:lang w:val="en-US"/>
        </w:rPr>
        <w:t>Legend:</w:t>
      </w:r>
      <w:r w:rsidRPr="00A25D90">
        <w:rPr>
          <w:rFonts w:ascii="Times New Roman" w:hAnsi="Times New Roman" w:cs="Times New Roman"/>
          <w:bCs/>
          <w:sz w:val="20"/>
          <w:szCs w:val="20"/>
          <w:lang w:val="en-US"/>
        </w:rPr>
        <w:t xml:space="preserve"> S: significant; NS = not significant; *, **, *** = significant, BITA = conservation in “</w:t>
      </w:r>
      <w:proofErr w:type="spellStart"/>
      <w:r w:rsidRPr="00A25D90">
        <w:rPr>
          <w:rFonts w:ascii="Times New Roman" w:hAnsi="Times New Roman" w:cs="Times New Roman"/>
          <w:bCs/>
          <w:sz w:val="20"/>
          <w:szCs w:val="20"/>
          <w:lang w:val="en-US"/>
        </w:rPr>
        <w:t>bitatoré</w:t>
      </w:r>
      <w:proofErr w:type="spellEnd"/>
      <w:r w:rsidRPr="00A25D90">
        <w:rPr>
          <w:rFonts w:ascii="Times New Roman" w:hAnsi="Times New Roman" w:cs="Times New Roman"/>
          <w:bCs/>
          <w:sz w:val="20"/>
          <w:szCs w:val="20"/>
          <w:lang w:val="en-US"/>
        </w:rPr>
        <w:t>” without additives, BITA+CB = conservation in “</w:t>
      </w:r>
      <w:proofErr w:type="spellStart"/>
      <w:r w:rsidRPr="00A25D90">
        <w:rPr>
          <w:rFonts w:ascii="Times New Roman" w:hAnsi="Times New Roman" w:cs="Times New Roman"/>
          <w:bCs/>
          <w:sz w:val="20"/>
          <w:szCs w:val="20"/>
          <w:lang w:val="en-US"/>
        </w:rPr>
        <w:t>bitatoré</w:t>
      </w:r>
      <w:proofErr w:type="spellEnd"/>
      <w:r w:rsidRPr="00A25D90">
        <w:rPr>
          <w:rFonts w:ascii="Times New Roman" w:hAnsi="Times New Roman" w:cs="Times New Roman"/>
          <w:bCs/>
          <w:sz w:val="20"/>
          <w:szCs w:val="20"/>
          <w:lang w:val="en-US"/>
        </w:rPr>
        <w:t>” with wood chips as additives, BITA+G = conservation in “</w:t>
      </w:r>
      <w:proofErr w:type="spellStart"/>
      <w:r w:rsidRPr="00A25D90">
        <w:rPr>
          <w:rFonts w:ascii="Times New Roman" w:hAnsi="Times New Roman" w:cs="Times New Roman"/>
          <w:bCs/>
          <w:sz w:val="20"/>
          <w:szCs w:val="20"/>
          <w:lang w:val="en-US"/>
        </w:rPr>
        <w:t>bitatoré</w:t>
      </w:r>
      <w:proofErr w:type="spellEnd"/>
      <w:r w:rsidRPr="00A25D90">
        <w:rPr>
          <w:rFonts w:ascii="Times New Roman" w:hAnsi="Times New Roman" w:cs="Times New Roman"/>
          <w:bCs/>
          <w:sz w:val="20"/>
          <w:szCs w:val="20"/>
          <w:lang w:val="en-US"/>
        </w:rPr>
        <w:t>” with millet husks as additives, BITA+S = conservation in “</w:t>
      </w:r>
      <w:proofErr w:type="spellStart"/>
      <w:r w:rsidRPr="00A25D90">
        <w:rPr>
          <w:rFonts w:ascii="Times New Roman" w:hAnsi="Times New Roman" w:cs="Times New Roman"/>
          <w:bCs/>
          <w:sz w:val="20"/>
          <w:szCs w:val="20"/>
          <w:lang w:val="en-US"/>
        </w:rPr>
        <w:t>bitatoré</w:t>
      </w:r>
      <w:proofErr w:type="spellEnd"/>
      <w:r w:rsidRPr="00A25D90">
        <w:rPr>
          <w:rFonts w:ascii="Times New Roman" w:hAnsi="Times New Roman" w:cs="Times New Roman"/>
          <w:bCs/>
          <w:sz w:val="20"/>
          <w:szCs w:val="20"/>
          <w:lang w:val="en-US"/>
        </w:rPr>
        <w:t>” with sand as additives, CAN = storage in canaries without additives, CAN+G = storage in canaries with millet husks as an additive, CAN+CB = storage in canaries with wood chips as an additive, CAN+S = storage in canaries with sand as an additive, Tri S = conservation using the Storage in Sand and Sprouting system or Triple S. The letters a, b, c, and d represent the different groups identified by the Tukey test at the 5% significance level.</w:t>
      </w:r>
    </w:p>
    <w:p w14:paraId="1867D386" w14:textId="5C7A7D27" w:rsidR="00360E50" w:rsidRPr="00360E50" w:rsidRDefault="00360E50" w:rsidP="001C17BD">
      <w:pPr>
        <w:pStyle w:val="Heading2"/>
        <w:spacing w:before="0" w:after="0" w:line="480" w:lineRule="auto"/>
        <w:ind w:left="708"/>
        <w:jc w:val="both"/>
        <w:rPr>
          <w:rFonts w:ascii="Times New Roman" w:hAnsi="Times New Roman" w:cs="Times New Roman"/>
          <w:b/>
          <w:color w:val="auto"/>
          <w:sz w:val="24"/>
          <w:szCs w:val="24"/>
          <w:lang w:val="en-US"/>
        </w:rPr>
      </w:pPr>
      <w:r w:rsidRPr="00360E50">
        <w:rPr>
          <w:rFonts w:ascii="Times New Roman" w:hAnsi="Times New Roman" w:cs="Times New Roman"/>
          <w:b/>
          <w:color w:val="auto"/>
          <w:sz w:val="24"/>
          <w:szCs w:val="24"/>
          <w:lang w:val="en-US"/>
        </w:rPr>
        <w:t xml:space="preserve">Effect </w:t>
      </w:r>
      <w:r w:rsidR="00E547BA" w:rsidRPr="00E547BA">
        <w:rPr>
          <w:rFonts w:ascii="Times New Roman" w:hAnsi="Times New Roman" w:cs="Times New Roman"/>
          <w:b/>
          <w:color w:val="auto"/>
          <w:sz w:val="24"/>
          <w:szCs w:val="24"/>
          <w:lang w:val="en-US"/>
        </w:rPr>
        <w:t xml:space="preserve">of conservation methods </w:t>
      </w:r>
      <w:r w:rsidRPr="00360E50">
        <w:rPr>
          <w:rFonts w:ascii="Times New Roman" w:hAnsi="Times New Roman" w:cs="Times New Roman"/>
          <w:b/>
          <w:color w:val="auto"/>
          <w:sz w:val="24"/>
          <w:szCs w:val="24"/>
          <w:lang w:val="en-US"/>
        </w:rPr>
        <w:t xml:space="preserve">on </w:t>
      </w:r>
      <w:r w:rsidR="00E215F1">
        <w:rPr>
          <w:rFonts w:ascii="Times New Roman" w:hAnsi="Times New Roman" w:cs="Times New Roman"/>
          <w:b/>
          <w:color w:val="auto"/>
          <w:sz w:val="24"/>
          <w:szCs w:val="24"/>
          <w:lang w:val="en-US"/>
        </w:rPr>
        <w:t>the</w:t>
      </w:r>
      <w:r w:rsidRPr="00360E50">
        <w:rPr>
          <w:rFonts w:ascii="Times New Roman" w:hAnsi="Times New Roman" w:cs="Times New Roman"/>
          <w:b/>
          <w:color w:val="auto"/>
          <w:sz w:val="24"/>
          <w:szCs w:val="24"/>
          <w:lang w:val="en-US"/>
        </w:rPr>
        <w:t xml:space="preserve"> speed of growth</w:t>
      </w:r>
    </w:p>
    <w:p w14:paraId="478EA6E4" w14:textId="00DA2007" w:rsidR="00360E50" w:rsidRDefault="00360E50" w:rsidP="001C17BD">
      <w:pPr>
        <w:spacing w:after="0" w:line="480" w:lineRule="auto"/>
        <w:jc w:val="both"/>
        <w:rPr>
          <w:rFonts w:ascii="Times New Roman" w:hAnsi="Times New Roman" w:cs="Times New Roman"/>
          <w:bCs/>
          <w:sz w:val="24"/>
          <w:szCs w:val="24"/>
          <w:lang w:val="en-US"/>
        </w:rPr>
      </w:pPr>
      <w:r w:rsidRPr="00360E50">
        <w:rPr>
          <w:rFonts w:ascii="Times New Roman" w:hAnsi="Times New Roman" w:cs="Times New Roman"/>
          <w:bCs/>
          <w:sz w:val="24"/>
          <w:szCs w:val="24"/>
          <w:lang w:val="en-US"/>
        </w:rPr>
        <w:t>The speed of plant growth ranged from 0.16 ± 0.03 cm/day to 0.34 ± 0.02 cm/day</w:t>
      </w:r>
      <w:r w:rsidR="00E215F1">
        <w:rPr>
          <w:rFonts w:ascii="Times New Roman" w:hAnsi="Times New Roman" w:cs="Times New Roman"/>
          <w:bCs/>
          <w:sz w:val="24"/>
          <w:szCs w:val="24"/>
          <w:lang w:val="en-US"/>
        </w:rPr>
        <w:t>,</w:t>
      </w:r>
      <w:r w:rsidRPr="00360E50">
        <w:rPr>
          <w:rFonts w:ascii="Times New Roman" w:hAnsi="Times New Roman" w:cs="Times New Roman"/>
          <w:bCs/>
          <w:sz w:val="24"/>
          <w:szCs w:val="24"/>
          <w:lang w:val="en-US"/>
        </w:rPr>
        <w:t xml:space="preserve"> depending on the seedling conservation methods used from the 24th to the 73rd day after planting (DAP) (Table 3). In fact, plants derived from seedlings stored in “</w:t>
      </w:r>
      <w:proofErr w:type="spellStart"/>
      <w:r w:rsidRPr="00360E50">
        <w:rPr>
          <w:rFonts w:ascii="Times New Roman" w:hAnsi="Times New Roman" w:cs="Times New Roman"/>
          <w:bCs/>
          <w:sz w:val="24"/>
          <w:szCs w:val="24"/>
          <w:lang w:val="en-US"/>
        </w:rPr>
        <w:t>bitatoré</w:t>
      </w:r>
      <w:proofErr w:type="spellEnd"/>
      <w:r w:rsidRPr="00360E50">
        <w:rPr>
          <w:rFonts w:ascii="Times New Roman" w:hAnsi="Times New Roman" w:cs="Times New Roman"/>
          <w:bCs/>
          <w:sz w:val="24"/>
          <w:szCs w:val="24"/>
          <w:lang w:val="en-US"/>
        </w:rPr>
        <w:t>” with millet glumes showed a low growth rate by the 73rd D</w:t>
      </w:r>
      <w:r>
        <w:rPr>
          <w:rFonts w:ascii="Times New Roman" w:hAnsi="Times New Roman" w:cs="Times New Roman"/>
          <w:bCs/>
          <w:sz w:val="24"/>
          <w:szCs w:val="24"/>
          <w:lang w:val="en-US"/>
        </w:rPr>
        <w:t>AP</w:t>
      </w:r>
      <w:r w:rsidRPr="00360E50">
        <w:rPr>
          <w:rFonts w:ascii="Times New Roman" w:hAnsi="Times New Roman" w:cs="Times New Roman"/>
          <w:bCs/>
          <w:sz w:val="24"/>
          <w:szCs w:val="24"/>
          <w:lang w:val="en-US"/>
        </w:rPr>
        <w:t>, with an average of 0.22 ± 0.04 cm/day. In contrast, those from seedlings stored in “</w:t>
      </w:r>
      <w:proofErr w:type="spellStart"/>
      <w:r w:rsidRPr="00360E50">
        <w:rPr>
          <w:rFonts w:ascii="Times New Roman" w:hAnsi="Times New Roman" w:cs="Times New Roman"/>
          <w:bCs/>
          <w:sz w:val="24"/>
          <w:szCs w:val="24"/>
          <w:lang w:val="en-US"/>
        </w:rPr>
        <w:t>bitatoré</w:t>
      </w:r>
      <w:proofErr w:type="spellEnd"/>
      <w:r w:rsidRPr="00360E50">
        <w:rPr>
          <w:rFonts w:ascii="Times New Roman" w:hAnsi="Times New Roman" w:cs="Times New Roman"/>
          <w:bCs/>
          <w:sz w:val="24"/>
          <w:szCs w:val="24"/>
          <w:lang w:val="en-US"/>
        </w:rPr>
        <w:t>” without additives recorded a higher growth rate (0.32 ± 0.02 cm/day). However, the analysis of variance did not show a significant difference between the seedling storage methods regarding seedling growth rate from the 24th to the 73rd day after sowing (Table 3).</w:t>
      </w:r>
    </w:p>
    <w:p w14:paraId="47D4A297" w14:textId="21D78C05" w:rsidR="00C13115" w:rsidRDefault="00C13115" w:rsidP="001C17BD">
      <w:pPr>
        <w:spacing w:line="480" w:lineRule="auto"/>
        <w:jc w:val="both"/>
        <w:rPr>
          <w:rFonts w:ascii="Times New Roman" w:hAnsi="Times New Roman" w:cs="Times New Roman"/>
          <w:bCs/>
          <w:sz w:val="24"/>
          <w:szCs w:val="24"/>
          <w:lang w:val="en-US"/>
        </w:rPr>
      </w:pPr>
      <w:r w:rsidRPr="00C13115">
        <w:rPr>
          <w:rFonts w:ascii="Times New Roman" w:hAnsi="Times New Roman" w:cs="Times New Roman"/>
          <w:bCs/>
          <w:sz w:val="24"/>
          <w:szCs w:val="24"/>
          <w:lang w:val="en-US"/>
        </w:rPr>
        <w:t>At the genotype level, plant growth speed fluctuated between 0.11 ± 0.00 and 0.45 ± 0.00 cm/day 73 days after the seedlings were planted (Table 4). Analysis of variance revealed a significant difference between genotypes from conservation in “</w:t>
      </w:r>
      <w:proofErr w:type="spellStart"/>
      <w:r w:rsidRPr="00C13115">
        <w:rPr>
          <w:rFonts w:ascii="Times New Roman" w:hAnsi="Times New Roman" w:cs="Times New Roman"/>
          <w:bCs/>
          <w:sz w:val="24"/>
          <w:szCs w:val="24"/>
          <w:lang w:val="en-US"/>
        </w:rPr>
        <w:t>bitatoré</w:t>
      </w:r>
      <w:proofErr w:type="spellEnd"/>
      <w:r w:rsidRPr="00C13115">
        <w:rPr>
          <w:rFonts w:ascii="Times New Roman" w:hAnsi="Times New Roman" w:cs="Times New Roman"/>
          <w:bCs/>
          <w:sz w:val="24"/>
          <w:szCs w:val="24"/>
          <w:lang w:val="en-US"/>
        </w:rPr>
        <w:t xml:space="preserve">” with sand as an additive (BITA+S) (P = 0.000), in the canary with millet husks as an additive (CAN+G) (P = 0.019), and in the canary with wood chips as an additive (CAN+CB) (P = 0.004) (Table 4). </w:t>
      </w:r>
      <w:r w:rsidRPr="00C13115">
        <w:rPr>
          <w:rFonts w:ascii="Times New Roman" w:hAnsi="Times New Roman" w:cs="Times New Roman"/>
          <w:bCs/>
          <w:sz w:val="24"/>
          <w:szCs w:val="24"/>
          <w:lang w:val="en-US"/>
        </w:rPr>
        <w:lastRenderedPageBreak/>
        <w:t>Thus, for the BITA+S method, the highest growth rate was recorded in plants of genotype E120 (0.43 ± 0.02 cm/day), while the lowest was observed in ‘White’ (0.11 ± 0.00 cm/day).  For the CAN+G method, the highest values were obtained for genotypes E120 and E186 (0.39 ± 0.05 cm/day), while the lowest was observed in ‘White’ (0.20 ± 0.02 cm/day). Similarly, for the CAN+CB method, plants of genotype E120 exhibited the highest growth rate (0.35 ± 0.02 cm/day), while the lowest was recorded for ‘White’ (Table 4)</w:t>
      </w:r>
      <w:r>
        <w:rPr>
          <w:rFonts w:ascii="Times New Roman" w:hAnsi="Times New Roman" w:cs="Times New Roman"/>
          <w:bCs/>
          <w:sz w:val="24"/>
          <w:szCs w:val="24"/>
          <w:lang w:val="en-US"/>
        </w:rPr>
        <w:t>.</w:t>
      </w:r>
    </w:p>
    <w:p w14:paraId="02A6343D" w14:textId="11BC52C6" w:rsidR="00C13115" w:rsidRPr="003137DE" w:rsidRDefault="00C13115" w:rsidP="00C33C19">
      <w:pPr>
        <w:pStyle w:val="Caption"/>
        <w:keepNext/>
        <w:spacing w:after="0"/>
        <w:rPr>
          <w:rFonts w:ascii="Times New Roman" w:hAnsi="Times New Roman"/>
          <w:i w:val="0"/>
          <w:iCs w:val="0"/>
          <w:color w:val="auto"/>
          <w:sz w:val="24"/>
          <w:szCs w:val="24"/>
        </w:rPr>
      </w:pPr>
      <w:r w:rsidRPr="003137DE">
        <w:rPr>
          <w:rFonts w:ascii="Times New Roman" w:hAnsi="Times New Roman"/>
          <w:b/>
          <w:bCs/>
          <w:i w:val="0"/>
          <w:iCs w:val="0"/>
          <w:color w:val="auto"/>
          <w:sz w:val="24"/>
          <w:szCs w:val="24"/>
        </w:rPr>
        <w:t xml:space="preserve">Table </w:t>
      </w:r>
      <w:r w:rsidRPr="003137DE">
        <w:rPr>
          <w:rFonts w:ascii="Times New Roman" w:hAnsi="Times New Roman"/>
          <w:b/>
          <w:bCs/>
          <w:i w:val="0"/>
          <w:iCs w:val="0"/>
          <w:color w:val="auto"/>
          <w:sz w:val="24"/>
          <w:szCs w:val="24"/>
        </w:rPr>
        <w:fldChar w:fldCharType="begin"/>
      </w:r>
      <w:r w:rsidRPr="003137DE">
        <w:rPr>
          <w:rFonts w:ascii="Times New Roman" w:hAnsi="Times New Roman"/>
          <w:b/>
          <w:bCs/>
          <w:i w:val="0"/>
          <w:iCs w:val="0"/>
          <w:color w:val="auto"/>
          <w:sz w:val="24"/>
          <w:szCs w:val="24"/>
        </w:rPr>
        <w:instrText xml:space="preserve"> SEQ Tableau \* ARABIC </w:instrText>
      </w:r>
      <w:r w:rsidRPr="003137DE">
        <w:rPr>
          <w:rFonts w:ascii="Times New Roman" w:hAnsi="Times New Roman"/>
          <w:b/>
          <w:bCs/>
          <w:i w:val="0"/>
          <w:iCs w:val="0"/>
          <w:color w:val="auto"/>
          <w:sz w:val="24"/>
          <w:szCs w:val="24"/>
        </w:rPr>
        <w:fldChar w:fldCharType="separate"/>
      </w:r>
      <w:r>
        <w:rPr>
          <w:rFonts w:ascii="Times New Roman" w:hAnsi="Times New Roman"/>
          <w:b/>
          <w:bCs/>
          <w:i w:val="0"/>
          <w:iCs w:val="0"/>
          <w:noProof/>
          <w:color w:val="auto"/>
          <w:sz w:val="24"/>
          <w:szCs w:val="24"/>
        </w:rPr>
        <w:t>3</w:t>
      </w:r>
      <w:r w:rsidRPr="003137DE">
        <w:rPr>
          <w:rFonts w:ascii="Times New Roman" w:hAnsi="Times New Roman"/>
          <w:b/>
          <w:bCs/>
          <w:i w:val="0"/>
          <w:iCs w:val="0"/>
          <w:color w:val="auto"/>
          <w:sz w:val="24"/>
          <w:szCs w:val="24"/>
        </w:rPr>
        <w:fldChar w:fldCharType="end"/>
      </w:r>
      <w:r w:rsidRPr="003137DE">
        <w:rPr>
          <w:rFonts w:ascii="Times New Roman" w:hAnsi="Times New Roman"/>
          <w:b/>
          <w:bCs/>
          <w:i w:val="0"/>
          <w:iCs w:val="0"/>
          <w:color w:val="auto"/>
          <w:sz w:val="24"/>
          <w:szCs w:val="24"/>
        </w:rPr>
        <w:t> :</w:t>
      </w:r>
      <w:r w:rsidRPr="003137DE">
        <w:rPr>
          <w:rFonts w:ascii="Times New Roman" w:hAnsi="Times New Roman"/>
          <w:i w:val="0"/>
          <w:iCs w:val="0"/>
          <w:color w:val="auto"/>
          <w:sz w:val="24"/>
          <w:szCs w:val="24"/>
        </w:rPr>
        <w:t xml:space="preserve"> </w:t>
      </w:r>
      <w:r w:rsidRPr="00C13115">
        <w:rPr>
          <w:rFonts w:ascii="Times New Roman" w:hAnsi="Times New Roman"/>
          <w:i w:val="0"/>
          <w:iCs w:val="0"/>
          <w:color w:val="auto"/>
          <w:sz w:val="24"/>
          <w:szCs w:val="24"/>
        </w:rPr>
        <w:t xml:space="preserve">Plant </w:t>
      </w:r>
      <w:proofErr w:type="spellStart"/>
      <w:r w:rsidRPr="00C13115">
        <w:rPr>
          <w:rFonts w:ascii="Times New Roman" w:hAnsi="Times New Roman"/>
          <w:i w:val="0"/>
          <w:iCs w:val="0"/>
          <w:color w:val="auto"/>
          <w:sz w:val="24"/>
          <w:szCs w:val="24"/>
        </w:rPr>
        <w:t>growth</w:t>
      </w:r>
      <w:proofErr w:type="spellEnd"/>
      <w:r w:rsidRPr="00C13115">
        <w:rPr>
          <w:rFonts w:ascii="Times New Roman" w:hAnsi="Times New Roman"/>
          <w:i w:val="0"/>
          <w:iCs w:val="0"/>
          <w:color w:val="auto"/>
          <w:sz w:val="24"/>
          <w:szCs w:val="24"/>
        </w:rPr>
        <w:t xml:space="preserve"> speed </w:t>
      </w:r>
      <w:proofErr w:type="spellStart"/>
      <w:r w:rsidRPr="00C13115">
        <w:rPr>
          <w:rFonts w:ascii="Times New Roman" w:hAnsi="Times New Roman"/>
          <w:i w:val="0"/>
          <w:iCs w:val="0"/>
          <w:color w:val="auto"/>
          <w:sz w:val="24"/>
          <w:szCs w:val="24"/>
        </w:rPr>
        <w:t>depending</w:t>
      </w:r>
      <w:proofErr w:type="spellEnd"/>
      <w:r w:rsidRPr="00C13115">
        <w:rPr>
          <w:rFonts w:ascii="Times New Roman" w:hAnsi="Times New Roman"/>
          <w:i w:val="0"/>
          <w:iCs w:val="0"/>
          <w:color w:val="auto"/>
          <w:sz w:val="24"/>
          <w:szCs w:val="24"/>
        </w:rPr>
        <w:t xml:space="preserve"> on </w:t>
      </w:r>
      <w:proofErr w:type="spellStart"/>
      <w:r w:rsidRPr="00C13115">
        <w:rPr>
          <w:rFonts w:ascii="Times New Roman" w:hAnsi="Times New Roman"/>
          <w:i w:val="0"/>
          <w:iCs w:val="0"/>
          <w:color w:val="auto"/>
          <w:sz w:val="24"/>
          <w:szCs w:val="24"/>
        </w:rPr>
        <w:t>seedling</w:t>
      </w:r>
      <w:proofErr w:type="spellEnd"/>
      <w:r w:rsidRPr="00C13115">
        <w:rPr>
          <w:rFonts w:ascii="Times New Roman" w:hAnsi="Times New Roman"/>
          <w:i w:val="0"/>
          <w:iCs w:val="0"/>
          <w:color w:val="auto"/>
          <w:sz w:val="24"/>
          <w:szCs w:val="24"/>
        </w:rPr>
        <w:t xml:space="preserve"> conservation </w:t>
      </w:r>
      <w:proofErr w:type="spellStart"/>
      <w:r w:rsidRPr="00C13115">
        <w:rPr>
          <w:rFonts w:ascii="Times New Roman" w:hAnsi="Times New Roman"/>
          <w:i w:val="0"/>
          <w:iCs w:val="0"/>
          <w:color w:val="auto"/>
          <w:sz w:val="24"/>
          <w:szCs w:val="24"/>
        </w:rPr>
        <w:t>methods</w:t>
      </w:r>
      <w:proofErr w:type="spellEnd"/>
    </w:p>
    <w:tbl>
      <w:tblPr>
        <w:tblW w:w="10200" w:type="dxa"/>
        <w:tblInd w:w="-426" w:type="dxa"/>
        <w:tblCellMar>
          <w:left w:w="70" w:type="dxa"/>
          <w:right w:w="70" w:type="dxa"/>
        </w:tblCellMar>
        <w:tblLook w:val="04A0" w:firstRow="1" w:lastRow="0" w:firstColumn="1" w:lastColumn="0" w:noHBand="0" w:noVBand="1"/>
      </w:tblPr>
      <w:tblGrid>
        <w:gridCol w:w="1168"/>
        <w:gridCol w:w="1129"/>
        <w:gridCol w:w="1129"/>
        <w:gridCol w:w="1129"/>
        <w:gridCol w:w="1129"/>
        <w:gridCol w:w="1129"/>
        <w:gridCol w:w="1129"/>
        <w:gridCol w:w="1129"/>
        <w:gridCol w:w="1129"/>
      </w:tblGrid>
      <w:tr w:rsidR="00C13115" w:rsidRPr="00C778CD" w14:paraId="7752A838" w14:textId="77777777" w:rsidTr="000F6481">
        <w:trPr>
          <w:trHeight w:val="227"/>
        </w:trPr>
        <w:tc>
          <w:tcPr>
            <w:tcW w:w="1168" w:type="dxa"/>
            <w:tcBorders>
              <w:top w:val="single" w:sz="4" w:space="0" w:color="auto"/>
              <w:left w:val="nil"/>
              <w:bottom w:val="single" w:sz="4" w:space="0" w:color="auto"/>
              <w:right w:val="nil"/>
            </w:tcBorders>
            <w:noWrap/>
            <w:vAlign w:val="center"/>
          </w:tcPr>
          <w:p w14:paraId="3D2EAA67" w14:textId="70B96564" w:rsidR="00C13115" w:rsidRPr="00C778CD" w:rsidRDefault="00AE2C03" w:rsidP="00C778CD">
            <w:pPr>
              <w:spacing w:after="0" w:line="240" w:lineRule="auto"/>
              <w:rPr>
                <w:rFonts w:ascii="Times New Roman" w:eastAsia="Times New Roman" w:hAnsi="Times New Roman"/>
                <w:color w:val="000000"/>
                <w:sz w:val="20"/>
                <w:szCs w:val="20"/>
                <w:lang w:eastAsia="fr-FR"/>
              </w:rPr>
            </w:pPr>
            <w:bookmarkStart w:id="4" w:name="_Hlk224641345"/>
            <w:r w:rsidRPr="00C778CD">
              <w:rPr>
                <w:rFonts w:ascii="Times New Roman" w:hAnsi="Times New Roman" w:cs="Times New Roman"/>
                <w:sz w:val="20"/>
                <w:szCs w:val="20"/>
              </w:rPr>
              <w:t>M</w:t>
            </w:r>
            <w:r w:rsidR="00C13115" w:rsidRPr="00C778CD">
              <w:rPr>
                <w:rFonts w:ascii="Times New Roman" w:hAnsi="Times New Roman" w:cs="Times New Roman"/>
                <w:sz w:val="20"/>
                <w:szCs w:val="20"/>
              </w:rPr>
              <w:t>ethods</w:t>
            </w:r>
          </w:p>
        </w:tc>
        <w:tc>
          <w:tcPr>
            <w:tcW w:w="1129" w:type="dxa"/>
            <w:tcBorders>
              <w:top w:val="single" w:sz="4" w:space="0" w:color="auto"/>
              <w:left w:val="nil"/>
              <w:bottom w:val="single" w:sz="4" w:space="0" w:color="auto"/>
              <w:right w:val="nil"/>
            </w:tcBorders>
            <w:noWrap/>
            <w:vAlign w:val="center"/>
          </w:tcPr>
          <w:p w14:paraId="424C0BA2" w14:textId="6371F48C"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24 DAP</w:t>
            </w:r>
          </w:p>
        </w:tc>
        <w:tc>
          <w:tcPr>
            <w:tcW w:w="1129" w:type="dxa"/>
            <w:tcBorders>
              <w:top w:val="single" w:sz="4" w:space="0" w:color="auto"/>
              <w:left w:val="nil"/>
              <w:bottom w:val="single" w:sz="4" w:space="0" w:color="auto"/>
              <w:right w:val="nil"/>
            </w:tcBorders>
            <w:noWrap/>
            <w:vAlign w:val="center"/>
          </w:tcPr>
          <w:p w14:paraId="7A672B00" w14:textId="011B8531"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31 DAP</w:t>
            </w:r>
          </w:p>
        </w:tc>
        <w:tc>
          <w:tcPr>
            <w:tcW w:w="1129" w:type="dxa"/>
            <w:tcBorders>
              <w:top w:val="single" w:sz="4" w:space="0" w:color="auto"/>
              <w:left w:val="nil"/>
              <w:bottom w:val="single" w:sz="4" w:space="0" w:color="auto"/>
              <w:right w:val="nil"/>
            </w:tcBorders>
            <w:noWrap/>
            <w:vAlign w:val="center"/>
          </w:tcPr>
          <w:p w14:paraId="62E9A771" w14:textId="6EEF8BF5"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38 DAP</w:t>
            </w:r>
          </w:p>
        </w:tc>
        <w:tc>
          <w:tcPr>
            <w:tcW w:w="1129" w:type="dxa"/>
            <w:tcBorders>
              <w:top w:val="single" w:sz="4" w:space="0" w:color="auto"/>
              <w:left w:val="nil"/>
              <w:bottom w:val="single" w:sz="4" w:space="0" w:color="auto"/>
              <w:right w:val="nil"/>
            </w:tcBorders>
            <w:noWrap/>
            <w:vAlign w:val="center"/>
          </w:tcPr>
          <w:p w14:paraId="38C9916A" w14:textId="05D922D1"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45 DAP</w:t>
            </w:r>
          </w:p>
        </w:tc>
        <w:tc>
          <w:tcPr>
            <w:tcW w:w="1129" w:type="dxa"/>
            <w:tcBorders>
              <w:top w:val="single" w:sz="4" w:space="0" w:color="auto"/>
              <w:left w:val="nil"/>
              <w:bottom w:val="single" w:sz="4" w:space="0" w:color="auto"/>
              <w:right w:val="nil"/>
            </w:tcBorders>
            <w:noWrap/>
            <w:vAlign w:val="center"/>
          </w:tcPr>
          <w:p w14:paraId="27DC508C" w14:textId="4490998F"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52 DAP</w:t>
            </w:r>
          </w:p>
        </w:tc>
        <w:tc>
          <w:tcPr>
            <w:tcW w:w="1129" w:type="dxa"/>
            <w:tcBorders>
              <w:top w:val="single" w:sz="4" w:space="0" w:color="auto"/>
              <w:left w:val="nil"/>
              <w:bottom w:val="single" w:sz="4" w:space="0" w:color="auto"/>
              <w:right w:val="nil"/>
            </w:tcBorders>
            <w:noWrap/>
            <w:vAlign w:val="center"/>
          </w:tcPr>
          <w:p w14:paraId="4A0AD7CF" w14:textId="499D8EF4"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59 DAP</w:t>
            </w:r>
          </w:p>
        </w:tc>
        <w:tc>
          <w:tcPr>
            <w:tcW w:w="1129" w:type="dxa"/>
            <w:tcBorders>
              <w:top w:val="single" w:sz="4" w:space="0" w:color="auto"/>
              <w:left w:val="nil"/>
              <w:bottom w:val="single" w:sz="4" w:space="0" w:color="auto"/>
              <w:right w:val="nil"/>
            </w:tcBorders>
            <w:noWrap/>
            <w:vAlign w:val="center"/>
          </w:tcPr>
          <w:p w14:paraId="1D060EF2" w14:textId="61A148A1"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66 DAP</w:t>
            </w:r>
          </w:p>
        </w:tc>
        <w:tc>
          <w:tcPr>
            <w:tcW w:w="1129" w:type="dxa"/>
            <w:tcBorders>
              <w:top w:val="single" w:sz="4" w:space="0" w:color="auto"/>
              <w:left w:val="nil"/>
              <w:bottom w:val="single" w:sz="4" w:space="0" w:color="auto"/>
              <w:right w:val="nil"/>
            </w:tcBorders>
            <w:noWrap/>
            <w:vAlign w:val="center"/>
          </w:tcPr>
          <w:p w14:paraId="0C781F3A" w14:textId="6B644906"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73 DAP</w:t>
            </w:r>
          </w:p>
        </w:tc>
      </w:tr>
      <w:tr w:rsidR="00C13115" w:rsidRPr="00C778CD" w14:paraId="276BC1E5" w14:textId="77777777" w:rsidTr="000F6481">
        <w:trPr>
          <w:trHeight w:val="227"/>
        </w:trPr>
        <w:tc>
          <w:tcPr>
            <w:tcW w:w="1168" w:type="dxa"/>
            <w:tcBorders>
              <w:top w:val="single" w:sz="4" w:space="0" w:color="auto"/>
              <w:left w:val="nil"/>
              <w:bottom w:val="nil"/>
              <w:right w:val="nil"/>
            </w:tcBorders>
            <w:noWrap/>
            <w:vAlign w:val="center"/>
            <w:hideMark/>
          </w:tcPr>
          <w:p w14:paraId="390C565E"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BITA</w:t>
            </w:r>
          </w:p>
        </w:tc>
        <w:tc>
          <w:tcPr>
            <w:tcW w:w="1129" w:type="dxa"/>
            <w:tcBorders>
              <w:top w:val="single" w:sz="4" w:space="0" w:color="auto"/>
              <w:left w:val="nil"/>
              <w:bottom w:val="nil"/>
              <w:right w:val="nil"/>
            </w:tcBorders>
            <w:noWrap/>
            <w:vAlign w:val="center"/>
            <w:hideMark/>
          </w:tcPr>
          <w:p w14:paraId="295A2EE3"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0.27 ± 0.04</w:t>
            </w:r>
            <w:r w:rsidRPr="00C778CD">
              <w:rPr>
                <w:rFonts w:ascii="Times New Roman" w:eastAsia="Times New Roman" w:hAnsi="Times New Roman"/>
                <w:color w:val="000000"/>
                <w:sz w:val="20"/>
                <w:szCs w:val="20"/>
                <w:vertAlign w:val="superscript"/>
                <w:lang w:eastAsia="fr-FR"/>
              </w:rPr>
              <w:t>a</w:t>
            </w:r>
          </w:p>
        </w:tc>
        <w:tc>
          <w:tcPr>
            <w:tcW w:w="1129" w:type="dxa"/>
            <w:tcBorders>
              <w:top w:val="single" w:sz="4" w:space="0" w:color="auto"/>
              <w:left w:val="nil"/>
              <w:bottom w:val="nil"/>
              <w:right w:val="nil"/>
            </w:tcBorders>
            <w:noWrap/>
            <w:vAlign w:val="center"/>
            <w:hideMark/>
          </w:tcPr>
          <w:p w14:paraId="03C59309"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0.25 ± 0.03</w:t>
            </w:r>
            <w:r w:rsidRPr="00C778CD">
              <w:rPr>
                <w:rFonts w:ascii="Times New Roman" w:eastAsia="Times New Roman" w:hAnsi="Times New Roman"/>
                <w:color w:val="000000"/>
                <w:sz w:val="20"/>
                <w:szCs w:val="20"/>
                <w:vertAlign w:val="superscript"/>
                <w:lang w:eastAsia="fr-FR"/>
              </w:rPr>
              <w:t>a</w:t>
            </w:r>
          </w:p>
        </w:tc>
        <w:tc>
          <w:tcPr>
            <w:tcW w:w="1129" w:type="dxa"/>
            <w:tcBorders>
              <w:top w:val="single" w:sz="4" w:space="0" w:color="auto"/>
              <w:left w:val="nil"/>
              <w:bottom w:val="nil"/>
              <w:right w:val="nil"/>
            </w:tcBorders>
            <w:noWrap/>
            <w:vAlign w:val="center"/>
            <w:hideMark/>
          </w:tcPr>
          <w:p w14:paraId="4DA66835"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0.27 ± 0.03</w:t>
            </w:r>
            <w:r w:rsidRPr="00C778CD">
              <w:rPr>
                <w:rFonts w:ascii="Times New Roman" w:eastAsia="Times New Roman" w:hAnsi="Times New Roman"/>
                <w:color w:val="000000"/>
                <w:sz w:val="20"/>
                <w:szCs w:val="20"/>
                <w:vertAlign w:val="superscript"/>
                <w:lang w:eastAsia="fr-FR"/>
              </w:rPr>
              <w:t>a</w:t>
            </w:r>
          </w:p>
        </w:tc>
        <w:tc>
          <w:tcPr>
            <w:tcW w:w="1129" w:type="dxa"/>
            <w:tcBorders>
              <w:top w:val="single" w:sz="4" w:space="0" w:color="auto"/>
              <w:left w:val="nil"/>
              <w:bottom w:val="nil"/>
              <w:right w:val="nil"/>
            </w:tcBorders>
            <w:noWrap/>
            <w:vAlign w:val="center"/>
            <w:hideMark/>
          </w:tcPr>
          <w:p w14:paraId="03F88BFB"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0.29 ± 0.03</w:t>
            </w:r>
            <w:r w:rsidRPr="00C778CD">
              <w:rPr>
                <w:rFonts w:ascii="Times New Roman" w:eastAsia="Times New Roman" w:hAnsi="Times New Roman"/>
                <w:color w:val="000000"/>
                <w:sz w:val="20"/>
                <w:szCs w:val="20"/>
                <w:vertAlign w:val="superscript"/>
                <w:lang w:eastAsia="fr-FR"/>
              </w:rPr>
              <w:t>a</w:t>
            </w:r>
          </w:p>
        </w:tc>
        <w:tc>
          <w:tcPr>
            <w:tcW w:w="1129" w:type="dxa"/>
            <w:tcBorders>
              <w:top w:val="single" w:sz="4" w:space="0" w:color="auto"/>
              <w:left w:val="nil"/>
              <w:bottom w:val="nil"/>
              <w:right w:val="nil"/>
            </w:tcBorders>
            <w:noWrap/>
            <w:vAlign w:val="center"/>
            <w:hideMark/>
          </w:tcPr>
          <w:p w14:paraId="711EBDAD"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0.29 ± 0.03</w:t>
            </w:r>
            <w:r w:rsidRPr="00C778CD">
              <w:rPr>
                <w:rFonts w:ascii="Times New Roman" w:eastAsia="Times New Roman" w:hAnsi="Times New Roman"/>
                <w:color w:val="000000"/>
                <w:sz w:val="20"/>
                <w:szCs w:val="20"/>
                <w:vertAlign w:val="superscript"/>
                <w:lang w:eastAsia="fr-FR"/>
              </w:rPr>
              <w:t>a</w:t>
            </w:r>
          </w:p>
        </w:tc>
        <w:tc>
          <w:tcPr>
            <w:tcW w:w="1129" w:type="dxa"/>
            <w:tcBorders>
              <w:top w:val="single" w:sz="4" w:space="0" w:color="auto"/>
              <w:left w:val="nil"/>
              <w:bottom w:val="nil"/>
              <w:right w:val="nil"/>
            </w:tcBorders>
            <w:noWrap/>
            <w:vAlign w:val="center"/>
            <w:hideMark/>
          </w:tcPr>
          <w:p w14:paraId="435F771B"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0.30 ± 0.02</w:t>
            </w:r>
            <w:r w:rsidRPr="00C778CD">
              <w:rPr>
                <w:rFonts w:ascii="Times New Roman" w:eastAsia="Times New Roman" w:hAnsi="Times New Roman"/>
                <w:color w:val="000000"/>
                <w:sz w:val="20"/>
                <w:szCs w:val="20"/>
                <w:vertAlign w:val="superscript"/>
                <w:lang w:eastAsia="fr-FR"/>
              </w:rPr>
              <w:t>a</w:t>
            </w:r>
          </w:p>
        </w:tc>
        <w:tc>
          <w:tcPr>
            <w:tcW w:w="1129" w:type="dxa"/>
            <w:tcBorders>
              <w:top w:val="single" w:sz="4" w:space="0" w:color="auto"/>
              <w:left w:val="nil"/>
              <w:bottom w:val="nil"/>
              <w:right w:val="nil"/>
            </w:tcBorders>
            <w:noWrap/>
            <w:vAlign w:val="center"/>
            <w:hideMark/>
          </w:tcPr>
          <w:p w14:paraId="406917F5"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0.31 ± 0.02</w:t>
            </w:r>
            <w:r w:rsidRPr="00C778CD">
              <w:rPr>
                <w:rFonts w:ascii="Times New Roman" w:eastAsia="Times New Roman" w:hAnsi="Times New Roman"/>
                <w:color w:val="000000"/>
                <w:sz w:val="20"/>
                <w:szCs w:val="20"/>
                <w:vertAlign w:val="superscript"/>
                <w:lang w:eastAsia="fr-FR"/>
              </w:rPr>
              <w:t>a</w:t>
            </w:r>
          </w:p>
        </w:tc>
        <w:tc>
          <w:tcPr>
            <w:tcW w:w="1129" w:type="dxa"/>
            <w:tcBorders>
              <w:top w:val="single" w:sz="4" w:space="0" w:color="auto"/>
              <w:left w:val="nil"/>
              <w:bottom w:val="nil"/>
              <w:right w:val="nil"/>
            </w:tcBorders>
            <w:noWrap/>
            <w:vAlign w:val="center"/>
            <w:hideMark/>
          </w:tcPr>
          <w:p w14:paraId="1AC8E0FB"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0.32 ± 0.02</w:t>
            </w:r>
            <w:r w:rsidRPr="00C778CD">
              <w:rPr>
                <w:rFonts w:ascii="Times New Roman" w:eastAsia="Times New Roman" w:hAnsi="Times New Roman"/>
                <w:color w:val="000000"/>
                <w:sz w:val="20"/>
                <w:szCs w:val="20"/>
                <w:vertAlign w:val="superscript"/>
                <w:lang w:eastAsia="fr-FR"/>
              </w:rPr>
              <w:t>a</w:t>
            </w:r>
          </w:p>
        </w:tc>
      </w:tr>
      <w:tr w:rsidR="00C13115" w:rsidRPr="00C778CD" w14:paraId="721D8FA4" w14:textId="77777777" w:rsidTr="000F6481">
        <w:trPr>
          <w:trHeight w:val="227"/>
        </w:trPr>
        <w:tc>
          <w:tcPr>
            <w:tcW w:w="1168" w:type="dxa"/>
            <w:tcBorders>
              <w:top w:val="nil"/>
              <w:left w:val="nil"/>
              <w:bottom w:val="nil"/>
              <w:right w:val="nil"/>
            </w:tcBorders>
            <w:noWrap/>
            <w:vAlign w:val="center"/>
            <w:hideMark/>
          </w:tcPr>
          <w:p w14:paraId="6BFA3752"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BITA+CB</w:t>
            </w:r>
          </w:p>
        </w:tc>
        <w:tc>
          <w:tcPr>
            <w:tcW w:w="1129" w:type="dxa"/>
            <w:tcBorders>
              <w:top w:val="nil"/>
              <w:left w:val="nil"/>
              <w:bottom w:val="nil"/>
              <w:right w:val="nil"/>
            </w:tcBorders>
            <w:noWrap/>
            <w:vAlign w:val="center"/>
            <w:hideMark/>
          </w:tcPr>
          <w:p w14:paraId="7929296A"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0.21 ± 0.04</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3B26C59D"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0.19 ± 0.04</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5977E67C"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0.34 ± 0.02</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67D203B4"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0.33 ± 0.02</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7EE4F65D"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0.20 ± 0.04</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30CC5628"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0.20 ± 0.04</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2A12067D"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0.21 ± 0.02</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108FA79B"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0.21 ± 0.04</w:t>
            </w:r>
            <w:r w:rsidRPr="00C778CD">
              <w:rPr>
                <w:rFonts w:ascii="Times New Roman" w:eastAsia="Times New Roman" w:hAnsi="Times New Roman"/>
                <w:color w:val="000000"/>
                <w:sz w:val="20"/>
                <w:szCs w:val="20"/>
                <w:vertAlign w:val="superscript"/>
                <w:lang w:eastAsia="fr-FR"/>
              </w:rPr>
              <w:t>a</w:t>
            </w:r>
          </w:p>
        </w:tc>
      </w:tr>
      <w:tr w:rsidR="00C13115" w:rsidRPr="00C778CD" w14:paraId="56898843" w14:textId="77777777" w:rsidTr="000F6481">
        <w:trPr>
          <w:trHeight w:val="227"/>
        </w:trPr>
        <w:tc>
          <w:tcPr>
            <w:tcW w:w="1168" w:type="dxa"/>
            <w:tcBorders>
              <w:top w:val="nil"/>
              <w:left w:val="nil"/>
              <w:bottom w:val="nil"/>
              <w:right w:val="nil"/>
            </w:tcBorders>
            <w:noWrap/>
            <w:vAlign w:val="center"/>
            <w:hideMark/>
          </w:tcPr>
          <w:p w14:paraId="731C7877"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BITA+G</w:t>
            </w:r>
          </w:p>
        </w:tc>
        <w:tc>
          <w:tcPr>
            <w:tcW w:w="1129" w:type="dxa"/>
            <w:tcBorders>
              <w:top w:val="nil"/>
              <w:left w:val="nil"/>
              <w:bottom w:val="nil"/>
              <w:right w:val="nil"/>
            </w:tcBorders>
            <w:noWrap/>
            <w:vAlign w:val="center"/>
            <w:hideMark/>
          </w:tcPr>
          <w:p w14:paraId="26467108"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0.17 ± 0.04</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776B06DC"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0.16 ± 0.04</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5FF326A6"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0.24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0E1E8A8B"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0.30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44B5C0FA"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0.21 ± 0.04</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0BB8FF6E"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0.21 ± 0.05</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532BD2CF"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0.21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534343B6"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0.22 ± 0.04</w:t>
            </w:r>
            <w:r w:rsidRPr="00C778CD">
              <w:rPr>
                <w:rFonts w:ascii="Times New Roman" w:eastAsia="Times New Roman" w:hAnsi="Times New Roman"/>
                <w:color w:val="000000"/>
                <w:sz w:val="20"/>
                <w:szCs w:val="20"/>
                <w:vertAlign w:val="superscript"/>
                <w:lang w:eastAsia="fr-FR"/>
              </w:rPr>
              <w:t>a</w:t>
            </w:r>
          </w:p>
        </w:tc>
      </w:tr>
      <w:tr w:rsidR="00C13115" w:rsidRPr="00C778CD" w14:paraId="0B897A8F" w14:textId="77777777" w:rsidTr="000F6481">
        <w:trPr>
          <w:trHeight w:val="227"/>
        </w:trPr>
        <w:tc>
          <w:tcPr>
            <w:tcW w:w="1168" w:type="dxa"/>
            <w:tcBorders>
              <w:top w:val="nil"/>
              <w:left w:val="nil"/>
              <w:bottom w:val="nil"/>
              <w:right w:val="nil"/>
            </w:tcBorders>
            <w:noWrap/>
            <w:vAlign w:val="center"/>
            <w:hideMark/>
          </w:tcPr>
          <w:p w14:paraId="753D68CC"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BITA+S</w:t>
            </w:r>
          </w:p>
        </w:tc>
        <w:tc>
          <w:tcPr>
            <w:tcW w:w="1129" w:type="dxa"/>
            <w:tcBorders>
              <w:top w:val="nil"/>
              <w:left w:val="nil"/>
              <w:bottom w:val="nil"/>
              <w:right w:val="nil"/>
            </w:tcBorders>
            <w:noWrap/>
            <w:vAlign w:val="center"/>
            <w:hideMark/>
          </w:tcPr>
          <w:p w14:paraId="4FEA60FB"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0.16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6D975539"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0.17 ± 0.04</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61AD55F4"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0.23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51C7615C"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0.24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68EED997"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0.21 ± 0.38</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2E1E6786"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0.22 ± 0.38</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5F764835"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0.23 ± 0.04</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57BD12DD"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0.25 ± 0.04</w:t>
            </w:r>
            <w:r w:rsidRPr="00C778CD">
              <w:rPr>
                <w:rFonts w:ascii="Times New Roman" w:eastAsia="Times New Roman" w:hAnsi="Times New Roman"/>
                <w:color w:val="000000"/>
                <w:sz w:val="20"/>
                <w:szCs w:val="20"/>
                <w:vertAlign w:val="superscript"/>
                <w:lang w:eastAsia="fr-FR"/>
              </w:rPr>
              <w:t>a</w:t>
            </w:r>
          </w:p>
        </w:tc>
      </w:tr>
      <w:tr w:rsidR="00C13115" w:rsidRPr="00C778CD" w14:paraId="5B187227" w14:textId="77777777" w:rsidTr="000F6481">
        <w:trPr>
          <w:trHeight w:val="227"/>
        </w:trPr>
        <w:tc>
          <w:tcPr>
            <w:tcW w:w="1168" w:type="dxa"/>
            <w:tcBorders>
              <w:top w:val="nil"/>
              <w:left w:val="nil"/>
              <w:bottom w:val="nil"/>
              <w:right w:val="nil"/>
            </w:tcBorders>
            <w:noWrap/>
            <w:vAlign w:val="center"/>
            <w:hideMark/>
          </w:tcPr>
          <w:p w14:paraId="342F845C"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CAN</w:t>
            </w:r>
          </w:p>
        </w:tc>
        <w:tc>
          <w:tcPr>
            <w:tcW w:w="1129" w:type="dxa"/>
            <w:tcBorders>
              <w:top w:val="nil"/>
              <w:left w:val="nil"/>
              <w:bottom w:val="nil"/>
              <w:right w:val="nil"/>
            </w:tcBorders>
            <w:noWrap/>
            <w:vAlign w:val="center"/>
            <w:hideMark/>
          </w:tcPr>
          <w:p w14:paraId="1DF5910B"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0.26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70CA21BE"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0.23 ± 0.02</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157D728F"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0.23 ± 0.02</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08A0873C"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0.26 ± 0.02</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1170AD84"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0.28 ± 0.02</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2ABD5495"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0.29 ± 0.02</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3C629160"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0.29 ± 0.05</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2C6FE106"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0.31 ± 0.02</w:t>
            </w:r>
            <w:r w:rsidRPr="00C778CD">
              <w:rPr>
                <w:rFonts w:ascii="Times New Roman" w:eastAsia="Times New Roman" w:hAnsi="Times New Roman"/>
                <w:color w:val="000000"/>
                <w:sz w:val="20"/>
                <w:szCs w:val="20"/>
                <w:vertAlign w:val="superscript"/>
                <w:lang w:eastAsia="fr-FR"/>
              </w:rPr>
              <w:t>a</w:t>
            </w:r>
          </w:p>
        </w:tc>
      </w:tr>
      <w:tr w:rsidR="00C13115" w:rsidRPr="00C778CD" w14:paraId="123CE700" w14:textId="77777777" w:rsidTr="000F6481">
        <w:trPr>
          <w:trHeight w:val="227"/>
        </w:trPr>
        <w:tc>
          <w:tcPr>
            <w:tcW w:w="1168" w:type="dxa"/>
            <w:tcBorders>
              <w:top w:val="nil"/>
              <w:left w:val="nil"/>
              <w:bottom w:val="nil"/>
              <w:right w:val="nil"/>
            </w:tcBorders>
            <w:noWrap/>
            <w:vAlign w:val="center"/>
            <w:hideMark/>
          </w:tcPr>
          <w:p w14:paraId="53E02D3D"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CAN+CB</w:t>
            </w:r>
          </w:p>
        </w:tc>
        <w:tc>
          <w:tcPr>
            <w:tcW w:w="1129" w:type="dxa"/>
            <w:tcBorders>
              <w:top w:val="nil"/>
              <w:left w:val="nil"/>
              <w:bottom w:val="nil"/>
              <w:right w:val="nil"/>
            </w:tcBorders>
            <w:noWrap/>
            <w:vAlign w:val="center"/>
            <w:hideMark/>
          </w:tcPr>
          <w:p w14:paraId="5A346CA7"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0.19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2839274C"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0.19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33A56647"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0.23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6B517933"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0.23 ± 0.02</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2FA37757"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0.23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2D2607F8"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0.25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270C73E3"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0.26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23C6872F"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0.28 ± 0.03</w:t>
            </w:r>
            <w:r w:rsidRPr="00C778CD">
              <w:rPr>
                <w:rFonts w:ascii="Times New Roman" w:eastAsia="Times New Roman" w:hAnsi="Times New Roman"/>
                <w:color w:val="000000"/>
                <w:sz w:val="20"/>
                <w:szCs w:val="20"/>
                <w:vertAlign w:val="superscript"/>
                <w:lang w:eastAsia="fr-FR"/>
              </w:rPr>
              <w:t>a</w:t>
            </w:r>
          </w:p>
        </w:tc>
      </w:tr>
      <w:tr w:rsidR="00C13115" w:rsidRPr="00C778CD" w14:paraId="72E97324" w14:textId="77777777" w:rsidTr="000F6481">
        <w:trPr>
          <w:trHeight w:val="227"/>
        </w:trPr>
        <w:tc>
          <w:tcPr>
            <w:tcW w:w="1168" w:type="dxa"/>
            <w:tcBorders>
              <w:top w:val="nil"/>
              <w:left w:val="nil"/>
              <w:bottom w:val="nil"/>
              <w:right w:val="nil"/>
            </w:tcBorders>
            <w:noWrap/>
            <w:vAlign w:val="center"/>
            <w:hideMark/>
          </w:tcPr>
          <w:p w14:paraId="4576A512"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CAN+G</w:t>
            </w:r>
          </w:p>
        </w:tc>
        <w:tc>
          <w:tcPr>
            <w:tcW w:w="1129" w:type="dxa"/>
            <w:tcBorders>
              <w:top w:val="nil"/>
              <w:left w:val="nil"/>
              <w:bottom w:val="nil"/>
              <w:right w:val="nil"/>
            </w:tcBorders>
            <w:noWrap/>
            <w:vAlign w:val="center"/>
            <w:hideMark/>
          </w:tcPr>
          <w:p w14:paraId="73A7749C"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0.20 ± 0.04</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7A31730A"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0.20 ± 0.04</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561735E6"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0.25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537BAEB7"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0.26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4AEA8D7A"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0.22 ± 0.04</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234269D9"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0.22 ± 0.04</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45E36C38"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0.23 ± 0.02</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40BB77A3"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0.24 ± 0.04</w:t>
            </w:r>
            <w:r w:rsidRPr="00C778CD">
              <w:rPr>
                <w:rFonts w:ascii="Times New Roman" w:eastAsia="Times New Roman" w:hAnsi="Times New Roman"/>
                <w:color w:val="000000"/>
                <w:sz w:val="20"/>
                <w:szCs w:val="20"/>
                <w:vertAlign w:val="superscript"/>
                <w:lang w:eastAsia="fr-FR"/>
              </w:rPr>
              <w:t>a</w:t>
            </w:r>
          </w:p>
        </w:tc>
      </w:tr>
      <w:tr w:rsidR="00C13115" w:rsidRPr="00C778CD" w14:paraId="73160B42" w14:textId="77777777" w:rsidTr="000F6481">
        <w:trPr>
          <w:trHeight w:val="227"/>
        </w:trPr>
        <w:tc>
          <w:tcPr>
            <w:tcW w:w="1168" w:type="dxa"/>
            <w:tcBorders>
              <w:top w:val="nil"/>
              <w:left w:val="nil"/>
              <w:bottom w:val="nil"/>
              <w:right w:val="nil"/>
            </w:tcBorders>
            <w:noWrap/>
            <w:vAlign w:val="center"/>
            <w:hideMark/>
          </w:tcPr>
          <w:p w14:paraId="00F31E7F"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CAN+S</w:t>
            </w:r>
          </w:p>
        </w:tc>
        <w:tc>
          <w:tcPr>
            <w:tcW w:w="1129" w:type="dxa"/>
            <w:tcBorders>
              <w:top w:val="nil"/>
              <w:left w:val="nil"/>
              <w:bottom w:val="nil"/>
              <w:right w:val="nil"/>
            </w:tcBorders>
            <w:noWrap/>
            <w:vAlign w:val="center"/>
            <w:hideMark/>
          </w:tcPr>
          <w:p w14:paraId="09E5AFB4"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0.18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4B923D65"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0.16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444A2917"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0.24 ± 0.02</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6C172DF8"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0.25 ± 0.02</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504B8265"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0.20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7BD64DE8"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0.22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6777A8BA"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0.23 ± 0.04</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nil"/>
              <w:right w:val="nil"/>
            </w:tcBorders>
            <w:noWrap/>
            <w:vAlign w:val="center"/>
            <w:hideMark/>
          </w:tcPr>
          <w:p w14:paraId="7490D3B0"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0.24 ± 0.03</w:t>
            </w:r>
            <w:r w:rsidRPr="00C778CD">
              <w:rPr>
                <w:rFonts w:ascii="Times New Roman" w:eastAsia="Times New Roman" w:hAnsi="Times New Roman"/>
                <w:color w:val="000000"/>
                <w:sz w:val="20"/>
                <w:szCs w:val="20"/>
                <w:vertAlign w:val="superscript"/>
                <w:lang w:eastAsia="fr-FR"/>
              </w:rPr>
              <w:t>a</w:t>
            </w:r>
          </w:p>
        </w:tc>
      </w:tr>
      <w:tr w:rsidR="00C13115" w:rsidRPr="00C778CD" w14:paraId="07564599" w14:textId="77777777" w:rsidTr="000F6481">
        <w:trPr>
          <w:trHeight w:val="227"/>
        </w:trPr>
        <w:tc>
          <w:tcPr>
            <w:tcW w:w="1168" w:type="dxa"/>
            <w:tcBorders>
              <w:top w:val="nil"/>
              <w:left w:val="nil"/>
              <w:bottom w:val="single" w:sz="4" w:space="0" w:color="auto"/>
              <w:right w:val="nil"/>
            </w:tcBorders>
            <w:noWrap/>
            <w:vAlign w:val="center"/>
            <w:hideMark/>
          </w:tcPr>
          <w:p w14:paraId="2FBADACA"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proofErr w:type="spellStart"/>
            <w:r w:rsidRPr="00C778CD">
              <w:rPr>
                <w:rFonts w:ascii="Times New Roman" w:eastAsia="Times New Roman" w:hAnsi="Times New Roman"/>
                <w:color w:val="000000"/>
                <w:sz w:val="20"/>
                <w:szCs w:val="20"/>
                <w:lang w:eastAsia="fr-FR"/>
              </w:rPr>
              <w:t>TriS</w:t>
            </w:r>
            <w:proofErr w:type="spellEnd"/>
          </w:p>
        </w:tc>
        <w:tc>
          <w:tcPr>
            <w:tcW w:w="1129" w:type="dxa"/>
            <w:tcBorders>
              <w:top w:val="nil"/>
              <w:left w:val="nil"/>
              <w:bottom w:val="single" w:sz="4" w:space="0" w:color="auto"/>
              <w:right w:val="nil"/>
            </w:tcBorders>
            <w:noWrap/>
            <w:vAlign w:val="center"/>
            <w:hideMark/>
          </w:tcPr>
          <w:p w14:paraId="2E683BF2"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0.23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single" w:sz="4" w:space="0" w:color="auto"/>
              <w:right w:val="nil"/>
            </w:tcBorders>
            <w:noWrap/>
            <w:vAlign w:val="center"/>
            <w:hideMark/>
          </w:tcPr>
          <w:p w14:paraId="6FD06E1B"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0.22 ± 0.03</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single" w:sz="4" w:space="0" w:color="auto"/>
              <w:right w:val="nil"/>
            </w:tcBorders>
            <w:noWrap/>
            <w:vAlign w:val="center"/>
            <w:hideMark/>
          </w:tcPr>
          <w:p w14:paraId="2A1CEEAE"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0.27 ± 0.02</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single" w:sz="4" w:space="0" w:color="auto"/>
              <w:right w:val="nil"/>
            </w:tcBorders>
            <w:noWrap/>
            <w:vAlign w:val="center"/>
            <w:hideMark/>
          </w:tcPr>
          <w:p w14:paraId="32FD6034"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0.25 ± 0.02</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single" w:sz="4" w:space="0" w:color="auto"/>
              <w:right w:val="nil"/>
            </w:tcBorders>
            <w:noWrap/>
            <w:vAlign w:val="center"/>
            <w:hideMark/>
          </w:tcPr>
          <w:p w14:paraId="3D60804F"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0.29 ± 0.02</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single" w:sz="4" w:space="0" w:color="auto"/>
              <w:right w:val="nil"/>
            </w:tcBorders>
            <w:noWrap/>
            <w:vAlign w:val="center"/>
            <w:hideMark/>
          </w:tcPr>
          <w:p w14:paraId="3A27333D"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0.28 ± 0.02</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single" w:sz="4" w:space="0" w:color="auto"/>
              <w:right w:val="nil"/>
            </w:tcBorders>
            <w:noWrap/>
            <w:vAlign w:val="center"/>
            <w:hideMark/>
          </w:tcPr>
          <w:p w14:paraId="0CE56B27"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0.30 ± 0.05</w:t>
            </w:r>
            <w:r w:rsidRPr="00C778CD">
              <w:rPr>
                <w:rFonts w:ascii="Times New Roman" w:eastAsia="Times New Roman" w:hAnsi="Times New Roman"/>
                <w:color w:val="000000"/>
                <w:sz w:val="20"/>
                <w:szCs w:val="20"/>
                <w:vertAlign w:val="superscript"/>
                <w:lang w:eastAsia="fr-FR"/>
              </w:rPr>
              <w:t>a</w:t>
            </w:r>
          </w:p>
        </w:tc>
        <w:tc>
          <w:tcPr>
            <w:tcW w:w="1129" w:type="dxa"/>
            <w:tcBorders>
              <w:top w:val="nil"/>
              <w:left w:val="nil"/>
              <w:bottom w:val="single" w:sz="4" w:space="0" w:color="auto"/>
              <w:right w:val="nil"/>
            </w:tcBorders>
            <w:noWrap/>
            <w:vAlign w:val="center"/>
            <w:hideMark/>
          </w:tcPr>
          <w:p w14:paraId="584C6F4A"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0.31 ± 0.05</w:t>
            </w:r>
            <w:r w:rsidRPr="00C778CD">
              <w:rPr>
                <w:rFonts w:ascii="Times New Roman" w:eastAsia="Times New Roman" w:hAnsi="Times New Roman"/>
                <w:color w:val="000000"/>
                <w:sz w:val="20"/>
                <w:szCs w:val="20"/>
                <w:vertAlign w:val="superscript"/>
                <w:lang w:eastAsia="fr-FR"/>
              </w:rPr>
              <w:t>a</w:t>
            </w:r>
          </w:p>
        </w:tc>
      </w:tr>
      <w:tr w:rsidR="00C13115" w:rsidRPr="00C778CD" w14:paraId="0A295DDF" w14:textId="77777777" w:rsidTr="000F6481">
        <w:trPr>
          <w:trHeight w:val="227"/>
        </w:trPr>
        <w:tc>
          <w:tcPr>
            <w:tcW w:w="1168" w:type="dxa"/>
            <w:tcBorders>
              <w:top w:val="single" w:sz="4" w:space="0" w:color="auto"/>
              <w:left w:val="nil"/>
              <w:bottom w:val="single" w:sz="4" w:space="0" w:color="auto"/>
              <w:right w:val="nil"/>
            </w:tcBorders>
            <w:noWrap/>
            <w:vAlign w:val="center"/>
            <w:hideMark/>
          </w:tcPr>
          <w:p w14:paraId="13B8BEA6"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P-value</w:t>
            </w:r>
          </w:p>
        </w:tc>
        <w:tc>
          <w:tcPr>
            <w:tcW w:w="1129" w:type="dxa"/>
            <w:tcBorders>
              <w:top w:val="single" w:sz="4" w:space="0" w:color="auto"/>
              <w:left w:val="nil"/>
              <w:bottom w:val="single" w:sz="4" w:space="0" w:color="auto"/>
              <w:right w:val="nil"/>
            </w:tcBorders>
            <w:noWrap/>
            <w:vAlign w:val="center"/>
            <w:hideMark/>
          </w:tcPr>
          <w:p w14:paraId="3176A565"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0,28</w:t>
            </w:r>
          </w:p>
        </w:tc>
        <w:tc>
          <w:tcPr>
            <w:tcW w:w="1129" w:type="dxa"/>
            <w:tcBorders>
              <w:top w:val="single" w:sz="4" w:space="0" w:color="auto"/>
              <w:left w:val="nil"/>
              <w:bottom w:val="single" w:sz="4" w:space="0" w:color="auto"/>
              <w:right w:val="nil"/>
            </w:tcBorders>
            <w:noWrap/>
            <w:vAlign w:val="center"/>
            <w:hideMark/>
          </w:tcPr>
          <w:p w14:paraId="2FB3EB49"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0,3</w:t>
            </w:r>
          </w:p>
        </w:tc>
        <w:tc>
          <w:tcPr>
            <w:tcW w:w="1129" w:type="dxa"/>
            <w:tcBorders>
              <w:top w:val="single" w:sz="4" w:space="0" w:color="auto"/>
              <w:left w:val="nil"/>
              <w:bottom w:val="single" w:sz="4" w:space="0" w:color="auto"/>
              <w:right w:val="nil"/>
            </w:tcBorders>
            <w:noWrap/>
            <w:vAlign w:val="center"/>
            <w:hideMark/>
          </w:tcPr>
          <w:p w14:paraId="24560FF6"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0,44</w:t>
            </w:r>
          </w:p>
        </w:tc>
        <w:tc>
          <w:tcPr>
            <w:tcW w:w="1129" w:type="dxa"/>
            <w:tcBorders>
              <w:top w:val="single" w:sz="4" w:space="0" w:color="auto"/>
              <w:left w:val="nil"/>
              <w:bottom w:val="single" w:sz="4" w:space="0" w:color="auto"/>
              <w:right w:val="nil"/>
            </w:tcBorders>
            <w:noWrap/>
            <w:vAlign w:val="center"/>
            <w:hideMark/>
          </w:tcPr>
          <w:p w14:paraId="14AF0BF0"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0,56</w:t>
            </w:r>
          </w:p>
        </w:tc>
        <w:tc>
          <w:tcPr>
            <w:tcW w:w="1129" w:type="dxa"/>
            <w:tcBorders>
              <w:top w:val="single" w:sz="4" w:space="0" w:color="auto"/>
              <w:left w:val="nil"/>
              <w:bottom w:val="single" w:sz="4" w:space="0" w:color="auto"/>
              <w:right w:val="nil"/>
            </w:tcBorders>
            <w:noWrap/>
            <w:vAlign w:val="center"/>
            <w:hideMark/>
          </w:tcPr>
          <w:p w14:paraId="1A69B92D"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0,21</w:t>
            </w:r>
          </w:p>
        </w:tc>
        <w:tc>
          <w:tcPr>
            <w:tcW w:w="1129" w:type="dxa"/>
            <w:tcBorders>
              <w:top w:val="single" w:sz="4" w:space="0" w:color="auto"/>
              <w:left w:val="nil"/>
              <w:bottom w:val="single" w:sz="4" w:space="0" w:color="auto"/>
              <w:right w:val="nil"/>
            </w:tcBorders>
            <w:noWrap/>
            <w:vAlign w:val="center"/>
            <w:hideMark/>
          </w:tcPr>
          <w:p w14:paraId="64F1B5A8"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0,14</w:t>
            </w:r>
          </w:p>
        </w:tc>
        <w:tc>
          <w:tcPr>
            <w:tcW w:w="1129" w:type="dxa"/>
            <w:tcBorders>
              <w:top w:val="single" w:sz="4" w:space="0" w:color="auto"/>
              <w:left w:val="nil"/>
              <w:bottom w:val="single" w:sz="4" w:space="0" w:color="auto"/>
              <w:right w:val="nil"/>
            </w:tcBorders>
            <w:noWrap/>
            <w:vAlign w:val="center"/>
            <w:hideMark/>
          </w:tcPr>
          <w:p w14:paraId="27D2E4B8"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0,12</w:t>
            </w:r>
          </w:p>
        </w:tc>
        <w:tc>
          <w:tcPr>
            <w:tcW w:w="1129" w:type="dxa"/>
            <w:tcBorders>
              <w:top w:val="single" w:sz="4" w:space="0" w:color="auto"/>
              <w:left w:val="nil"/>
              <w:bottom w:val="single" w:sz="4" w:space="0" w:color="auto"/>
              <w:right w:val="nil"/>
            </w:tcBorders>
            <w:noWrap/>
            <w:vAlign w:val="center"/>
            <w:hideMark/>
          </w:tcPr>
          <w:p w14:paraId="609D35E4"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0,07</w:t>
            </w:r>
          </w:p>
        </w:tc>
      </w:tr>
      <w:tr w:rsidR="00C13115" w:rsidRPr="00C778CD" w14:paraId="4BA45353" w14:textId="77777777" w:rsidTr="000F6481">
        <w:trPr>
          <w:trHeight w:val="227"/>
        </w:trPr>
        <w:tc>
          <w:tcPr>
            <w:tcW w:w="1168" w:type="dxa"/>
            <w:tcBorders>
              <w:top w:val="single" w:sz="4" w:space="0" w:color="auto"/>
              <w:left w:val="nil"/>
              <w:bottom w:val="single" w:sz="4" w:space="0" w:color="auto"/>
              <w:right w:val="nil"/>
            </w:tcBorders>
            <w:noWrap/>
            <w:vAlign w:val="center"/>
            <w:hideMark/>
          </w:tcPr>
          <w:p w14:paraId="7002F905"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S</w:t>
            </w:r>
          </w:p>
        </w:tc>
        <w:tc>
          <w:tcPr>
            <w:tcW w:w="1129" w:type="dxa"/>
            <w:tcBorders>
              <w:top w:val="single" w:sz="4" w:space="0" w:color="auto"/>
              <w:left w:val="nil"/>
              <w:bottom w:val="single" w:sz="4" w:space="0" w:color="auto"/>
              <w:right w:val="nil"/>
            </w:tcBorders>
            <w:noWrap/>
            <w:vAlign w:val="center"/>
            <w:hideMark/>
          </w:tcPr>
          <w:p w14:paraId="3D1819D2"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c>
          <w:tcPr>
            <w:tcW w:w="1129" w:type="dxa"/>
            <w:tcBorders>
              <w:top w:val="single" w:sz="4" w:space="0" w:color="auto"/>
              <w:left w:val="nil"/>
              <w:bottom w:val="single" w:sz="4" w:space="0" w:color="auto"/>
              <w:right w:val="nil"/>
            </w:tcBorders>
            <w:noWrap/>
            <w:vAlign w:val="center"/>
            <w:hideMark/>
          </w:tcPr>
          <w:p w14:paraId="60A3616F"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c>
          <w:tcPr>
            <w:tcW w:w="1129" w:type="dxa"/>
            <w:tcBorders>
              <w:top w:val="single" w:sz="4" w:space="0" w:color="auto"/>
              <w:left w:val="nil"/>
              <w:bottom w:val="single" w:sz="4" w:space="0" w:color="auto"/>
              <w:right w:val="nil"/>
            </w:tcBorders>
            <w:noWrap/>
            <w:vAlign w:val="center"/>
            <w:hideMark/>
          </w:tcPr>
          <w:p w14:paraId="76DDB87C"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c>
          <w:tcPr>
            <w:tcW w:w="1129" w:type="dxa"/>
            <w:tcBorders>
              <w:top w:val="single" w:sz="4" w:space="0" w:color="auto"/>
              <w:left w:val="nil"/>
              <w:bottom w:val="single" w:sz="4" w:space="0" w:color="auto"/>
              <w:right w:val="nil"/>
            </w:tcBorders>
            <w:noWrap/>
            <w:vAlign w:val="center"/>
            <w:hideMark/>
          </w:tcPr>
          <w:p w14:paraId="32FB7318"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c>
          <w:tcPr>
            <w:tcW w:w="1129" w:type="dxa"/>
            <w:tcBorders>
              <w:top w:val="single" w:sz="4" w:space="0" w:color="auto"/>
              <w:left w:val="nil"/>
              <w:bottom w:val="single" w:sz="4" w:space="0" w:color="auto"/>
              <w:right w:val="nil"/>
            </w:tcBorders>
            <w:noWrap/>
            <w:vAlign w:val="center"/>
            <w:hideMark/>
          </w:tcPr>
          <w:p w14:paraId="737B37E8"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c>
          <w:tcPr>
            <w:tcW w:w="1129" w:type="dxa"/>
            <w:tcBorders>
              <w:top w:val="single" w:sz="4" w:space="0" w:color="auto"/>
              <w:left w:val="nil"/>
              <w:bottom w:val="single" w:sz="4" w:space="0" w:color="auto"/>
              <w:right w:val="nil"/>
            </w:tcBorders>
            <w:noWrap/>
            <w:vAlign w:val="center"/>
            <w:hideMark/>
          </w:tcPr>
          <w:p w14:paraId="591CB777"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c>
          <w:tcPr>
            <w:tcW w:w="1129" w:type="dxa"/>
            <w:tcBorders>
              <w:top w:val="single" w:sz="4" w:space="0" w:color="auto"/>
              <w:left w:val="nil"/>
              <w:bottom w:val="single" w:sz="4" w:space="0" w:color="auto"/>
              <w:right w:val="nil"/>
            </w:tcBorders>
            <w:noWrap/>
            <w:vAlign w:val="center"/>
            <w:hideMark/>
          </w:tcPr>
          <w:p w14:paraId="3DB7378F"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c>
          <w:tcPr>
            <w:tcW w:w="1129" w:type="dxa"/>
            <w:tcBorders>
              <w:top w:val="single" w:sz="4" w:space="0" w:color="auto"/>
              <w:left w:val="nil"/>
              <w:bottom w:val="single" w:sz="4" w:space="0" w:color="auto"/>
              <w:right w:val="nil"/>
            </w:tcBorders>
            <w:noWrap/>
            <w:vAlign w:val="center"/>
            <w:hideMark/>
          </w:tcPr>
          <w:p w14:paraId="38DB2EEF" w14:textId="77777777" w:rsidR="00C13115" w:rsidRPr="00C778CD" w:rsidRDefault="00C1311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r>
    </w:tbl>
    <w:p w14:paraId="52C6294B" w14:textId="11B277F4" w:rsidR="00E13F58" w:rsidRDefault="00E13F58" w:rsidP="00E13F58">
      <w:pPr>
        <w:tabs>
          <w:tab w:val="left" w:pos="1843"/>
        </w:tabs>
        <w:spacing w:after="0" w:line="240" w:lineRule="auto"/>
        <w:jc w:val="both"/>
        <w:rPr>
          <w:rFonts w:ascii="Times New Roman" w:hAnsi="Times New Roman"/>
          <w:b/>
          <w:sz w:val="24"/>
        </w:rPr>
      </w:pPr>
      <w:bookmarkStart w:id="5" w:name="_Toc188136714"/>
      <w:bookmarkEnd w:id="4"/>
      <w:r w:rsidRPr="00AC5893">
        <w:rPr>
          <w:rFonts w:ascii="Times New Roman" w:hAnsi="Times New Roman"/>
          <w:sz w:val="18"/>
          <w:szCs w:val="20"/>
        </w:rPr>
        <w:t xml:space="preserve">DAP = </w:t>
      </w:r>
      <w:proofErr w:type="spellStart"/>
      <w:r w:rsidRPr="00AC5893">
        <w:rPr>
          <w:rFonts w:ascii="Times New Roman" w:hAnsi="Times New Roman"/>
          <w:sz w:val="18"/>
          <w:szCs w:val="20"/>
        </w:rPr>
        <w:t>days</w:t>
      </w:r>
      <w:proofErr w:type="spellEnd"/>
      <w:r w:rsidRPr="00AC5893">
        <w:rPr>
          <w:rFonts w:ascii="Times New Roman" w:hAnsi="Times New Roman"/>
          <w:sz w:val="18"/>
          <w:szCs w:val="20"/>
        </w:rPr>
        <w:t xml:space="preserve"> </w:t>
      </w:r>
      <w:proofErr w:type="spellStart"/>
      <w:r w:rsidRPr="00AC5893">
        <w:rPr>
          <w:rFonts w:ascii="Times New Roman" w:hAnsi="Times New Roman"/>
          <w:sz w:val="18"/>
          <w:szCs w:val="20"/>
        </w:rPr>
        <w:t>after</w:t>
      </w:r>
      <w:proofErr w:type="spellEnd"/>
      <w:r w:rsidRPr="00AC5893">
        <w:rPr>
          <w:rFonts w:ascii="Times New Roman" w:hAnsi="Times New Roman"/>
          <w:sz w:val="18"/>
          <w:szCs w:val="20"/>
        </w:rPr>
        <w:t xml:space="preserve"> </w:t>
      </w:r>
      <w:proofErr w:type="spellStart"/>
      <w:r w:rsidRPr="00AC5893">
        <w:rPr>
          <w:rFonts w:ascii="Times New Roman" w:hAnsi="Times New Roman"/>
          <w:sz w:val="18"/>
          <w:szCs w:val="20"/>
        </w:rPr>
        <w:t>planting</w:t>
      </w:r>
      <w:proofErr w:type="spellEnd"/>
      <w:r w:rsidRPr="00AC5893">
        <w:rPr>
          <w:rFonts w:ascii="Times New Roman" w:eastAsia="Times New Roman" w:hAnsi="Times New Roman"/>
          <w:color w:val="000000"/>
          <w:sz w:val="18"/>
          <w:szCs w:val="20"/>
          <w:lang w:eastAsia="fr-FR"/>
        </w:rPr>
        <w:t>,</w:t>
      </w:r>
    </w:p>
    <w:p w14:paraId="7A1D8272" w14:textId="48612B47" w:rsidR="00C13115" w:rsidRDefault="00C13115" w:rsidP="00C33C19">
      <w:pPr>
        <w:tabs>
          <w:tab w:val="left" w:pos="1843"/>
        </w:tabs>
        <w:spacing w:before="240" w:after="0" w:line="360" w:lineRule="auto"/>
        <w:jc w:val="both"/>
        <w:rPr>
          <w:rFonts w:ascii="Times New Roman" w:hAnsi="Times New Roman"/>
          <w:sz w:val="24"/>
          <w:szCs w:val="24"/>
        </w:rPr>
      </w:pPr>
      <w:r w:rsidRPr="00AD1E78">
        <w:rPr>
          <w:rFonts w:ascii="Times New Roman" w:hAnsi="Times New Roman"/>
          <w:b/>
          <w:sz w:val="24"/>
        </w:rPr>
        <w:t xml:space="preserve">Table </w:t>
      </w:r>
      <w:r w:rsidRPr="00AD1E78">
        <w:rPr>
          <w:rFonts w:ascii="Times New Roman" w:hAnsi="Times New Roman"/>
          <w:b/>
          <w:sz w:val="24"/>
        </w:rPr>
        <w:fldChar w:fldCharType="begin"/>
      </w:r>
      <w:r w:rsidRPr="00AD1E78">
        <w:rPr>
          <w:rFonts w:ascii="Times New Roman" w:hAnsi="Times New Roman"/>
          <w:b/>
          <w:sz w:val="24"/>
        </w:rPr>
        <w:instrText xml:space="preserve"> SEQ Tableau \* ARABIC </w:instrText>
      </w:r>
      <w:r w:rsidRPr="00AD1E78">
        <w:rPr>
          <w:rFonts w:ascii="Times New Roman" w:hAnsi="Times New Roman"/>
          <w:b/>
          <w:sz w:val="24"/>
        </w:rPr>
        <w:fldChar w:fldCharType="separate"/>
      </w:r>
      <w:r>
        <w:rPr>
          <w:rFonts w:ascii="Times New Roman" w:hAnsi="Times New Roman"/>
          <w:b/>
          <w:noProof/>
          <w:sz w:val="24"/>
        </w:rPr>
        <w:t>4</w:t>
      </w:r>
      <w:r w:rsidRPr="00AD1E78">
        <w:rPr>
          <w:rFonts w:ascii="Times New Roman" w:hAnsi="Times New Roman"/>
          <w:b/>
          <w:sz w:val="24"/>
        </w:rPr>
        <w:fldChar w:fldCharType="end"/>
      </w:r>
      <w:r w:rsidRPr="00AD1E78">
        <w:rPr>
          <w:rFonts w:ascii="Times New Roman" w:hAnsi="Times New Roman"/>
          <w:b/>
          <w:sz w:val="24"/>
        </w:rPr>
        <w:t> :</w:t>
      </w:r>
      <w:r w:rsidRPr="00F87078">
        <w:rPr>
          <w:rFonts w:ascii="Times New Roman" w:hAnsi="Times New Roman"/>
          <w:sz w:val="28"/>
          <w:szCs w:val="24"/>
        </w:rPr>
        <w:t xml:space="preserve"> </w:t>
      </w:r>
      <w:r w:rsidRPr="00C13115">
        <w:rPr>
          <w:rFonts w:ascii="Times New Roman" w:hAnsi="Times New Roman"/>
          <w:sz w:val="24"/>
          <w:szCs w:val="24"/>
        </w:rPr>
        <w:t xml:space="preserve">Plant </w:t>
      </w:r>
      <w:proofErr w:type="spellStart"/>
      <w:r w:rsidRPr="00C13115">
        <w:rPr>
          <w:rFonts w:ascii="Times New Roman" w:hAnsi="Times New Roman"/>
          <w:sz w:val="24"/>
          <w:szCs w:val="24"/>
        </w:rPr>
        <w:t>growth</w:t>
      </w:r>
      <w:proofErr w:type="spellEnd"/>
      <w:r w:rsidRPr="00C13115">
        <w:rPr>
          <w:rFonts w:ascii="Times New Roman" w:hAnsi="Times New Roman"/>
          <w:sz w:val="24"/>
          <w:szCs w:val="24"/>
        </w:rPr>
        <w:t xml:space="preserve"> speed </w:t>
      </w:r>
      <w:proofErr w:type="spellStart"/>
      <w:r w:rsidRPr="00C13115">
        <w:rPr>
          <w:rFonts w:ascii="Times New Roman" w:hAnsi="Times New Roman"/>
          <w:sz w:val="24"/>
          <w:szCs w:val="24"/>
        </w:rPr>
        <w:t>according</w:t>
      </w:r>
      <w:proofErr w:type="spellEnd"/>
      <w:r w:rsidRPr="00C13115">
        <w:rPr>
          <w:rFonts w:ascii="Times New Roman" w:hAnsi="Times New Roman"/>
          <w:sz w:val="24"/>
          <w:szCs w:val="24"/>
        </w:rPr>
        <w:t xml:space="preserve"> to the </w:t>
      </w:r>
      <w:proofErr w:type="spellStart"/>
      <w:r w:rsidRPr="00C13115">
        <w:rPr>
          <w:rFonts w:ascii="Times New Roman" w:hAnsi="Times New Roman"/>
          <w:sz w:val="24"/>
          <w:szCs w:val="24"/>
        </w:rPr>
        <w:t>genotype</w:t>
      </w:r>
      <w:proofErr w:type="spellEnd"/>
      <w:r w:rsidRPr="00C13115">
        <w:rPr>
          <w:rFonts w:ascii="Times New Roman" w:hAnsi="Times New Roman"/>
          <w:sz w:val="24"/>
          <w:szCs w:val="24"/>
        </w:rPr>
        <w:t xml:space="preserve"> </w:t>
      </w:r>
      <w:proofErr w:type="spellStart"/>
      <w:r w:rsidRPr="00C13115">
        <w:rPr>
          <w:rFonts w:ascii="Times New Roman" w:hAnsi="Times New Roman"/>
          <w:sz w:val="24"/>
          <w:szCs w:val="24"/>
        </w:rPr>
        <w:t>evaluated</w:t>
      </w:r>
      <w:proofErr w:type="spellEnd"/>
    </w:p>
    <w:tbl>
      <w:tblPr>
        <w:tblW w:w="10084" w:type="dxa"/>
        <w:tblInd w:w="-426"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644"/>
        <w:gridCol w:w="995"/>
        <w:gridCol w:w="1460"/>
        <w:gridCol w:w="1460"/>
        <w:gridCol w:w="1382"/>
        <w:gridCol w:w="1383"/>
        <w:gridCol w:w="1382"/>
        <w:gridCol w:w="877"/>
        <w:gridCol w:w="501"/>
      </w:tblGrid>
      <w:tr w:rsidR="00C13115" w:rsidRPr="00C778CD" w14:paraId="6BCA28D3" w14:textId="77777777" w:rsidTr="00C13115">
        <w:trPr>
          <w:trHeight w:val="211"/>
        </w:trPr>
        <w:tc>
          <w:tcPr>
            <w:tcW w:w="644" w:type="dxa"/>
            <w:tcBorders>
              <w:top w:val="nil"/>
              <w:bottom w:val="single" w:sz="4" w:space="0" w:color="auto"/>
            </w:tcBorders>
          </w:tcPr>
          <w:p w14:paraId="641E7CD6" w14:textId="77777777" w:rsidR="00C13115" w:rsidRPr="00C778CD" w:rsidRDefault="00C13115" w:rsidP="00C778CD">
            <w:pPr>
              <w:spacing w:after="0" w:line="240" w:lineRule="auto"/>
              <w:rPr>
                <w:rFonts w:ascii="Times New Roman" w:eastAsia="Times New Roman" w:hAnsi="Times New Roman" w:cs="Times New Roman"/>
                <w:bCs/>
                <w:sz w:val="20"/>
                <w:szCs w:val="20"/>
                <w:lang w:eastAsia="fr-FR"/>
              </w:rPr>
            </w:pPr>
          </w:p>
        </w:tc>
        <w:tc>
          <w:tcPr>
            <w:tcW w:w="995" w:type="dxa"/>
            <w:tcBorders>
              <w:top w:val="single" w:sz="4" w:space="0" w:color="auto"/>
              <w:bottom w:val="single" w:sz="4" w:space="0" w:color="auto"/>
            </w:tcBorders>
            <w:noWrap/>
            <w:vAlign w:val="center"/>
            <w:hideMark/>
          </w:tcPr>
          <w:p w14:paraId="00A7FE41" w14:textId="77777777" w:rsidR="00C13115" w:rsidRPr="00C778CD" w:rsidRDefault="00C13115" w:rsidP="00C778CD">
            <w:pPr>
              <w:spacing w:after="0" w:line="240" w:lineRule="auto"/>
              <w:rPr>
                <w:rFonts w:ascii="Times New Roman" w:eastAsia="Times New Roman" w:hAnsi="Times New Roman" w:cs="Times New Roman"/>
                <w:bCs/>
                <w:sz w:val="20"/>
                <w:szCs w:val="20"/>
                <w:lang w:eastAsia="fr-FR"/>
              </w:rPr>
            </w:pPr>
            <w:proofErr w:type="spellStart"/>
            <w:r w:rsidRPr="00C778CD">
              <w:rPr>
                <w:rFonts w:ascii="Times New Roman" w:eastAsia="Times New Roman" w:hAnsi="Times New Roman" w:cs="Times New Roman"/>
                <w:bCs/>
                <w:sz w:val="20"/>
                <w:szCs w:val="20"/>
                <w:lang w:eastAsia="fr-FR"/>
              </w:rPr>
              <w:t>Genotype</w:t>
            </w:r>
            <w:proofErr w:type="spellEnd"/>
          </w:p>
        </w:tc>
        <w:tc>
          <w:tcPr>
            <w:tcW w:w="1460" w:type="dxa"/>
            <w:tcBorders>
              <w:top w:val="single" w:sz="4" w:space="0" w:color="auto"/>
              <w:bottom w:val="single" w:sz="4" w:space="0" w:color="auto"/>
            </w:tcBorders>
            <w:vAlign w:val="center"/>
            <w:hideMark/>
          </w:tcPr>
          <w:p w14:paraId="47D1B54A" w14:textId="77777777" w:rsidR="00C13115" w:rsidRPr="00C778CD" w:rsidRDefault="00C13115" w:rsidP="00C778CD">
            <w:pPr>
              <w:spacing w:after="0" w:line="240" w:lineRule="auto"/>
              <w:jc w:val="center"/>
              <w:rPr>
                <w:rFonts w:ascii="Times New Roman" w:eastAsia="Times New Roman" w:hAnsi="Times New Roman" w:cs="Times New Roman"/>
                <w:bCs/>
                <w:color w:val="000000"/>
                <w:sz w:val="20"/>
                <w:szCs w:val="20"/>
                <w:lang w:eastAsia="fr-FR"/>
              </w:rPr>
            </w:pPr>
            <w:r w:rsidRPr="00C778CD">
              <w:rPr>
                <w:rFonts w:ascii="Times New Roman" w:eastAsia="Times New Roman" w:hAnsi="Times New Roman" w:cs="Times New Roman"/>
                <w:bCs/>
                <w:color w:val="000000"/>
                <w:sz w:val="20"/>
                <w:szCs w:val="20"/>
                <w:lang w:eastAsia="fr-FR"/>
              </w:rPr>
              <w:t>E120</w:t>
            </w:r>
          </w:p>
        </w:tc>
        <w:tc>
          <w:tcPr>
            <w:tcW w:w="1460" w:type="dxa"/>
            <w:tcBorders>
              <w:top w:val="single" w:sz="4" w:space="0" w:color="auto"/>
              <w:bottom w:val="single" w:sz="4" w:space="0" w:color="auto"/>
            </w:tcBorders>
            <w:vAlign w:val="center"/>
            <w:hideMark/>
          </w:tcPr>
          <w:p w14:paraId="5324C222" w14:textId="77777777" w:rsidR="00C13115" w:rsidRPr="00C778CD" w:rsidRDefault="00C13115" w:rsidP="00C778CD">
            <w:pPr>
              <w:spacing w:after="0" w:line="240" w:lineRule="auto"/>
              <w:jc w:val="center"/>
              <w:rPr>
                <w:rFonts w:ascii="Times New Roman" w:eastAsia="Times New Roman" w:hAnsi="Times New Roman" w:cs="Times New Roman"/>
                <w:bCs/>
                <w:color w:val="000000"/>
                <w:sz w:val="20"/>
                <w:szCs w:val="20"/>
                <w:lang w:eastAsia="fr-FR"/>
              </w:rPr>
            </w:pPr>
            <w:r w:rsidRPr="00C778CD">
              <w:rPr>
                <w:rFonts w:ascii="Times New Roman" w:eastAsia="Times New Roman" w:hAnsi="Times New Roman" w:cs="Times New Roman"/>
                <w:bCs/>
                <w:color w:val="000000"/>
                <w:sz w:val="20"/>
                <w:szCs w:val="20"/>
                <w:lang w:eastAsia="fr-FR"/>
              </w:rPr>
              <w:t>UW086 M</w:t>
            </w:r>
          </w:p>
        </w:tc>
        <w:tc>
          <w:tcPr>
            <w:tcW w:w="1382" w:type="dxa"/>
            <w:tcBorders>
              <w:top w:val="single" w:sz="4" w:space="0" w:color="auto"/>
              <w:bottom w:val="single" w:sz="4" w:space="0" w:color="auto"/>
            </w:tcBorders>
            <w:vAlign w:val="center"/>
            <w:hideMark/>
          </w:tcPr>
          <w:p w14:paraId="44386705" w14:textId="77777777" w:rsidR="00C13115" w:rsidRPr="00C778CD" w:rsidRDefault="00C13115" w:rsidP="00C778CD">
            <w:pPr>
              <w:spacing w:after="0" w:line="240" w:lineRule="auto"/>
              <w:jc w:val="center"/>
              <w:rPr>
                <w:rFonts w:ascii="Times New Roman" w:eastAsia="Times New Roman" w:hAnsi="Times New Roman" w:cs="Times New Roman"/>
                <w:bCs/>
                <w:color w:val="000000"/>
                <w:sz w:val="20"/>
                <w:szCs w:val="20"/>
                <w:lang w:eastAsia="fr-FR"/>
              </w:rPr>
            </w:pPr>
            <w:r w:rsidRPr="00C778CD">
              <w:rPr>
                <w:rFonts w:ascii="Times New Roman" w:eastAsia="Times New Roman" w:hAnsi="Times New Roman" w:cs="Times New Roman"/>
                <w:bCs/>
                <w:color w:val="000000"/>
                <w:sz w:val="20"/>
                <w:szCs w:val="20"/>
                <w:lang w:eastAsia="fr-FR"/>
              </w:rPr>
              <w:t>E186</w:t>
            </w:r>
          </w:p>
        </w:tc>
        <w:tc>
          <w:tcPr>
            <w:tcW w:w="1383" w:type="dxa"/>
            <w:tcBorders>
              <w:top w:val="single" w:sz="4" w:space="0" w:color="auto"/>
              <w:bottom w:val="single" w:sz="4" w:space="0" w:color="auto"/>
            </w:tcBorders>
            <w:vAlign w:val="center"/>
            <w:hideMark/>
          </w:tcPr>
          <w:p w14:paraId="42D50E65" w14:textId="77777777" w:rsidR="00C13115" w:rsidRPr="00C778CD" w:rsidRDefault="00C13115" w:rsidP="00C778CD">
            <w:pPr>
              <w:spacing w:after="0" w:line="240" w:lineRule="auto"/>
              <w:jc w:val="center"/>
              <w:rPr>
                <w:rFonts w:ascii="Times New Roman" w:eastAsia="Times New Roman" w:hAnsi="Times New Roman" w:cs="Times New Roman"/>
                <w:bCs/>
                <w:color w:val="000000"/>
                <w:sz w:val="20"/>
                <w:szCs w:val="20"/>
                <w:lang w:eastAsia="fr-FR"/>
              </w:rPr>
            </w:pPr>
            <w:r w:rsidRPr="00C778CD">
              <w:rPr>
                <w:rFonts w:ascii="Times New Roman" w:eastAsia="Times New Roman" w:hAnsi="Times New Roman" w:cs="Times New Roman"/>
                <w:bCs/>
                <w:color w:val="000000"/>
                <w:sz w:val="20"/>
                <w:szCs w:val="20"/>
                <w:lang w:eastAsia="fr-FR"/>
              </w:rPr>
              <w:t>E165</w:t>
            </w:r>
          </w:p>
        </w:tc>
        <w:tc>
          <w:tcPr>
            <w:tcW w:w="1382" w:type="dxa"/>
            <w:tcBorders>
              <w:top w:val="single" w:sz="4" w:space="0" w:color="auto"/>
              <w:bottom w:val="single" w:sz="4" w:space="0" w:color="auto"/>
            </w:tcBorders>
            <w:vAlign w:val="center"/>
            <w:hideMark/>
          </w:tcPr>
          <w:p w14:paraId="029621E5" w14:textId="77777777" w:rsidR="00C13115" w:rsidRPr="00C778CD" w:rsidRDefault="00C13115" w:rsidP="00C778CD">
            <w:pPr>
              <w:spacing w:after="0" w:line="240" w:lineRule="auto"/>
              <w:jc w:val="center"/>
              <w:rPr>
                <w:rFonts w:ascii="Times New Roman" w:eastAsia="Times New Roman" w:hAnsi="Times New Roman" w:cs="Times New Roman"/>
                <w:bCs/>
                <w:color w:val="000000"/>
                <w:sz w:val="20"/>
                <w:szCs w:val="20"/>
                <w:lang w:eastAsia="fr-FR"/>
              </w:rPr>
            </w:pPr>
            <w:r w:rsidRPr="00C778CD">
              <w:rPr>
                <w:rFonts w:ascii="Times New Roman" w:eastAsia="Times New Roman" w:hAnsi="Times New Roman" w:cs="Times New Roman"/>
                <w:bCs/>
                <w:color w:val="000000"/>
                <w:sz w:val="20"/>
                <w:szCs w:val="20"/>
                <w:lang w:eastAsia="fr-FR"/>
              </w:rPr>
              <w:t>White</w:t>
            </w:r>
          </w:p>
        </w:tc>
        <w:tc>
          <w:tcPr>
            <w:tcW w:w="877" w:type="dxa"/>
            <w:tcBorders>
              <w:top w:val="single" w:sz="4" w:space="0" w:color="auto"/>
              <w:bottom w:val="single" w:sz="4" w:space="0" w:color="auto"/>
            </w:tcBorders>
            <w:vAlign w:val="center"/>
            <w:hideMark/>
          </w:tcPr>
          <w:p w14:paraId="549F0291" w14:textId="77777777" w:rsidR="00C13115" w:rsidRPr="00C778CD" w:rsidRDefault="00C13115" w:rsidP="00C778CD">
            <w:pPr>
              <w:spacing w:after="0" w:line="240" w:lineRule="auto"/>
              <w:jc w:val="center"/>
              <w:rPr>
                <w:rFonts w:ascii="Times New Roman" w:eastAsia="Times New Roman" w:hAnsi="Times New Roman" w:cs="Times New Roman"/>
                <w:bCs/>
                <w:color w:val="000000"/>
                <w:sz w:val="20"/>
                <w:szCs w:val="20"/>
                <w:lang w:eastAsia="fr-FR"/>
              </w:rPr>
            </w:pPr>
            <w:r w:rsidRPr="00C778CD">
              <w:rPr>
                <w:rFonts w:ascii="Times New Roman" w:eastAsia="Times New Roman" w:hAnsi="Times New Roman" w:cs="Times New Roman"/>
                <w:bCs/>
                <w:color w:val="000000"/>
                <w:sz w:val="20"/>
                <w:szCs w:val="20"/>
                <w:lang w:eastAsia="fr-FR"/>
              </w:rPr>
              <w:t>P-value</w:t>
            </w:r>
          </w:p>
        </w:tc>
        <w:tc>
          <w:tcPr>
            <w:tcW w:w="501" w:type="dxa"/>
            <w:tcBorders>
              <w:top w:val="single" w:sz="4" w:space="0" w:color="auto"/>
              <w:bottom w:val="single" w:sz="4" w:space="0" w:color="auto"/>
            </w:tcBorders>
            <w:vAlign w:val="center"/>
            <w:hideMark/>
          </w:tcPr>
          <w:p w14:paraId="73324D3E" w14:textId="77777777" w:rsidR="00C13115" w:rsidRPr="00C778CD" w:rsidRDefault="00C13115" w:rsidP="00C778CD">
            <w:pPr>
              <w:spacing w:after="0" w:line="240" w:lineRule="auto"/>
              <w:jc w:val="center"/>
              <w:rPr>
                <w:rFonts w:ascii="Times New Roman" w:eastAsia="Times New Roman" w:hAnsi="Times New Roman" w:cs="Times New Roman"/>
                <w:bCs/>
                <w:color w:val="000000"/>
                <w:sz w:val="20"/>
                <w:szCs w:val="20"/>
                <w:lang w:eastAsia="fr-FR"/>
              </w:rPr>
            </w:pPr>
            <w:r w:rsidRPr="00C778CD">
              <w:rPr>
                <w:rFonts w:ascii="Times New Roman" w:eastAsia="Times New Roman" w:hAnsi="Times New Roman" w:cs="Times New Roman"/>
                <w:bCs/>
                <w:color w:val="000000"/>
                <w:sz w:val="20"/>
                <w:szCs w:val="20"/>
                <w:lang w:eastAsia="fr-FR"/>
              </w:rPr>
              <w:t>S</w:t>
            </w:r>
          </w:p>
        </w:tc>
      </w:tr>
      <w:tr w:rsidR="00C13115" w:rsidRPr="00C778CD" w14:paraId="5FFA04EB" w14:textId="77777777" w:rsidTr="00C13115">
        <w:trPr>
          <w:trHeight w:val="244"/>
        </w:trPr>
        <w:tc>
          <w:tcPr>
            <w:tcW w:w="644" w:type="dxa"/>
            <w:vMerge w:val="restart"/>
            <w:tcBorders>
              <w:top w:val="single" w:sz="4" w:space="0" w:color="auto"/>
              <w:left w:val="single" w:sz="4" w:space="0" w:color="auto"/>
              <w:bottom w:val="single" w:sz="4" w:space="0" w:color="auto"/>
              <w:right w:val="single" w:sz="4" w:space="0" w:color="auto"/>
            </w:tcBorders>
            <w:textDirection w:val="btLr"/>
          </w:tcPr>
          <w:p w14:paraId="458D16AC" w14:textId="77777777" w:rsidR="00C13115" w:rsidRPr="00C778CD" w:rsidRDefault="00C13115" w:rsidP="00C778CD">
            <w:pPr>
              <w:spacing w:after="0" w:line="240" w:lineRule="auto"/>
              <w:ind w:left="113" w:right="113"/>
              <w:rPr>
                <w:rFonts w:ascii="Times New Roman" w:eastAsia="Times New Roman" w:hAnsi="Times New Roman" w:cs="Times New Roman"/>
                <w:color w:val="000000"/>
                <w:sz w:val="20"/>
                <w:szCs w:val="20"/>
                <w:lang w:eastAsia="fr-FR"/>
              </w:rPr>
            </w:pPr>
            <w:r w:rsidRPr="00C778CD">
              <w:rPr>
                <w:rFonts w:ascii="Times New Roman" w:hAnsi="Times New Roman" w:cs="Times New Roman"/>
                <w:b/>
                <w:bCs/>
                <w:sz w:val="20"/>
                <w:szCs w:val="20"/>
              </w:rPr>
              <w:t xml:space="preserve">Conservation </w:t>
            </w:r>
            <w:proofErr w:type="spellStart"/>
            <w:r w:rsidRPr="00C778CD">
              <w:rPr>
                <w:rFonts w:ascii="Times New Roman" w:hAnsi="Times New Roman" w:cs="Times New Roman"/>
                <w:b/>
                <w:bCs/>
                <w:sz w:val="20"/>
                <w:szCs w:val="20"/>
              </w:rPr>
              <w:t>methods</w:t>
            </w:r>
            <w:proofErr w:type="spellEnd"/>
            <w:r w:rsidRPr="00C778CD">
              <w:rPr>
                <w:rFonts w:ascii="Times New Roman" w:hAnsi="Times New Roman" w:cs="Times New Roman"/>
                <w:b/>
                <w:bCs/>
                <w:sz w:val="20"/>
                <w:szCs w:val="20"/>
              </w:rPr>
              <w:t xml:space="preserve">    </w:t>
            </w:r>
          </w:p>
        </w:tc>
        <w:tc>
          <w:tcPr>
            <w:tcW w:w="995" w:type="dxa"/>
            <w:tcBorders>
              <w:top w:val="single" w:sz="4" w:space="0" w:color="auto"/>
              <w:left w:val="single" w:sz="4" w:space="0" w:color="auto"/>
            </w:tcBorders>
            <w:vAlign w:val="center"/>
            <w:hideMark/>
          </w:tcPr>
          <w:p w14:paraId="50AB8D3D" w14:textId="0E9F4974"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bCs/>
                <w:color w:val="000000"/>
                <w:sz w:val="20"/>
                <w:szCs w:val="20"/>
                <w:lang w:eastAsia="fr-FR"/>
              </w:rPr>
              <w:t>BITA+G</w:t>
            </w:r>
          </w:p>
        </w:tc>
        <w:tc>
          <w:tcPr>
            <w:tcW w:w="1460" w:type="dxa"/>
            <w:tcBorders>
              <w:top w:val="single" w:sz="4" w:space="0" w:color="auto"/>
            </w:tcBorders>
            <w:vAlign w:val="center"/>
            <w:hideMark/>
          </w:tcPr>
          <w:p w14:paraId="6056454F" w14:textId="77592EBD"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0.29 ± 0.16</w:t>
            </w:r>
            <w:r w:rsidRPr="00C778CD">
              <w:rPr>
                <w:rFonts w:ascii="Times New Roman" w:eastAsia="Times New Roman" w:hAnsi="Times New Roman" w:cs="Times New Roman"/>
                <w:color w:val="000000"/>
                <w:sz w:val="20"/>
                <w:szCs w:val="20"/>
                <w:vertAlign w:val="superscript"/>
                <w:lang w:eastAsia="fr-FR"/>
              </w:rPr>
              <w:t>a</w:t>
            </w:r>
          </w:p>
        </w:tc>
        <w:tc>
          <w:tcPr>
            <w:tcW w:w="1460" w:type="dxa"/>
            <w:tcBorders>
              <w:top w:val="single" w:sz="4" w:space="0" w:color="auto"/>
            </w:tcBorders>
            <w:vAlign w:val="center"/>
            <w:hideMark/>
          </w:tcPr>
          <w:p w14:paraId="68ADD3F8" w14:textId="79A85468"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0.25 ± 0.01</w:t>
            </w:r>
            <w:r w:rsidRPr="00C778CD">
              <w:rPr>
                <w:rFonts w:ascii="Times New Roman" w:eastAsia="Times New Roman" w:hAnsi="Times New Roman" w:cs="Times New Roman"/>
                <w:color w:val="000000"/>
                <w:sz w:val="20"/>
                <w:szCs w:val="20"/>
                <w:vertAlign w:val="superscript"/>
                <w:lang w:eastAsia="fr-FR"/>
              </w:rPr>
              <w:t>a</w:t>
            </w:r>
          </w:p>
        </w:tc>
        <w:tc>
          <w:tcPr>
            <w:tcW w:w="1382" w:type="dxa"/>
            <w:tcBorders>
              <w:top w:val="single" w:sz="4" w:space="0" w:color="auto"/>
            </w:tcBorders>
            <w:vAlign w:val="center"/>
            <w:hideMark/>
          </w:tcPr>
          <w:p w14:paraId="6FA9BCFD" w14:textId="2ACF3FA3"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0.30 ± 0.06</w:t>
            </w:r>
            <w:r w:rsidRPr="00C778CD">
              <w:rPr>
                <w:rFonts w:ascii="Times New Roman" w:eastAsia="Times New Roman" w:hAnsi="Times New Roman" w:cs="Times New Roman"/>
                <w:color w:val="000000"/>
                <w:sz w:val="20"/>
                <w:szCs w:val="20"/>
                <w:vertAlign w:val="superscript"/>
                <w:lang w:eastAsia="fr-FR"/>
              </w:rPr>
              <w:t>a</w:t>
            </w:r>
          </w:p>
        </w:tc>
        <w:tc>
          <w:tcPr>
            <w:tcW w:w="1383" w:type="dxa"/>
            <w:tcBorders>
              <w:top w:val="single" w:sz="4" w:space="0" w:color="auto"/>
            </w:tcBorders>
            <w:vAlign w:val="center"/>
            <w:hideMark/>
          </w:tcPr>
          <w:p w14:paraId="5DC42554" w14:textId="1C207223"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0.21 ± 0.00</w:t>
            </w:r>
            <w:r w:rsidRPr="00C778CD">
              <w:rPr>
                <w:rFonts w:ascii="Times New Roman" w:eastAsia="Times New Roman" w:hAnsi="Times New Roman" w:cs="Times New Roman"/>
                <w:color w:val="000000"/>
                <w:sz w:val="20"/>
                <w:szCs w:val="20"/>
                <w:vertAlign w:val="superscript"/>
                <w:lang w:eastAsia="fr-FR"/>
              </w:rPr>
              <w:t>a</w:t>
            </w:r>
          </w:p>
        </w:tc>
        <w:tc>
          <w:tcPr>
            <w:tcW w:w="1382" w:type="dxa"/>
            <w:tcBorders>
              <w:top w:val="single" w:sz="4" w:space="0" w:color="auto"/>
            </w:tcBorders>
            <w:vAlign w:val="center"/>
            <w:hideMark/>
          </w:tcPr>
          <w:p w14:paraId="48D8E540" w14:textId="325C5325"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0.45 ± 0.00</w:t>
            </w:r>
            <w:r w:rsidRPr="00C778CD">
              <w:rPr>
                <w:rFonts w:ascii="Times New Roman" w:eastAsia="Times New Roman" w:hAnsi="Times New Roman" w:cs="Times New Roman"/>
                <w:color w:val="000000"/>
                <w:sz w:val="20"/>
                <w:szCs w:val="20"/>
                <w:vertAlign w:val="superscript"/>
                <w:lang w:eastAsia="fr-FR"/>
              </w:rPr>
              <w:t>a</w:t>
            </w:r>
          </w:p>
        </w:tc>
        <w:tc>
          <w:tcPr>
            <w:tcW w:w="877" w:type="dxa"/>
            <w:tcBorders>
              <w:top w:val="single" w:sz="4" w:space="0" w:color="auto"/>
            </w:tcBorders>
            <w:vAlign w:val="center"/>
            <w:hideMark/>
          </w:tcPr>
          <w:p w14:paraId="43DFAB01" w14:textId="4CD8F435"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bCs/>
                <w:color w:val="000000"/>
                <w:sz w:val="20"/>
                <w:szCs w:val="20"/>
                <w:lang w:eastAsia="fr-FR"/>
              </w:rPr>
              <w:t>0.29</w:t>
            </w:r>
          </w:p>
        </w:tc>
        <w:tc>
          <w:tcPr>
            <w:tcW w:w="501" w:type="dxa"/>
            <w:tcBorders>
              <w:top w:val="single" w:sz="4" w:space="0" w:color="auto"/>
            </w:tcBorders>
            <w:vAlign w:val="center"/>
            <w:hideMark/>
          </w:tcPr>
          <w:p w14:paraId="76B02EA2" w14:textId="161EFEB0"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NS</w:t>
            </w:r>
          </w:p>
        </w:tc>
      </w:tr>
      <w:tr w:rsidR="00C13115" w:rsidRPr="00C778CD" w14:paraId="5BBFE139" w14:textId="77777777" w:rsidTr="00C13115">
        <w:trPr>
          <w:trHeight w:val="244"/>
        </w:trPr>
        <w:tc>
          <w:tcPr>
            <w:tcW w:w="644" w:type="dxa"/>
            <w:vMerge/>
            <w:tcBorders>
              <w:top w:val="single" w:sz="4" w:space="0" w:color="auto"/>
              <w:left w:val="single" w:sz="4" w:space="0" w:color="auto"/>
              <w:bottom w:val="single" w:sz="4" w:space="0" w:color="auto"/>
              <w:right w:val="single" w:sz="4" w:space="0" w:color="auto"/>
            </w:tcBorders>
          </w:tcPr>
          <w:p w14:paraId="159BA62E" w14:textId="77777777" w:rsidR="00C13115" w:rsidRPr="00C778CD" w:rsidRDefault="00C13115" w:rsidP="00C778CD">
            <w:pPr>
              <w:spacing w:after="0" w:line="240" w:lineRule="auto"/>
              <w:ind w:left="113" w:right="113"/>
              <w:rPr>
                <w:rFonts w:ascii="Times New Roman" w:eastAsia="Times New Roman" w:hAnsi="Times New Roman" w:cs="Times New Roman"/>
                <w:color w:val="000000"/>
                <w:sz w:val="20"/>
                <w:szCs w:val="20"/>
                <w:lang w:eastAsia="fr-FR"/>
              </w:rPr>
            </w:pPr>
          </w:p>
        </w:tc>
        <w:tc>
          <w:tcPr>
            <w:tcW w:w="995" w:type="dxa"/>
            <w:tcBorders>
              <w:left w:val="single" w:sz="4" w:space="0" w:color="auto"/>
            </w:tcBorders>
            <w:vAlign w:val="center"/>
            <w:hideMark/>
          </w:tcPr>
          <w:p w14:paraId="0F430164" w14:textId="0758050C"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bCs/>
                <w:color w:val="000000"/>
                <w:sz w:val="20"/>
                <w:szCs w:val="20"/>
                <w:lang w:eastAsia="fr-FR"/>
              </w:rPr>
              <w:t>BITA+S</w:t>
            </w:r>
          </w:p>
        </w:tc>
        <w:tc>
          <w:tcPr>
            <w:tcW w:w="1460" w:type="dxa"/>
            <w:vAlign w:val="center"/>
            <w:hideMark/>
          </w:tcPr>
          <w:p w14:paraId="1899022B" w14:textId="0E82D12A"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0.41 ± 0.03</w:t>
            </w:r>
            <w:r w:rsidRPr="00C778CD">
              <w:rPr>
                <w:rFonts w:ascii="Times New Roman" w:eastAsia="Times New Roman" w:hAnsi="Times New Roman" w:cs="Times New Roman"/>
                <w:color w:val="000000"/>
                <w:sz w:val="20"/>
                <w:szCs w:val="20"/>
                <w:vertAlign w:val="superscript"/>
                <w:lang w:eastAsia="fr-FR"/>
              </w:rPr>
              <w:t>a</w:t>
            </w:r>
          </w:p>
        </w:tc>
        <w:tc>
          <w:tcPr>
            <w:tcW w:w="1460" w:type="dxa"/>
            <w:vAlign w:val="center"/>
            <w:hideMark/>
          </w:tcPr>
          <w:p w14:paraId="40F4DEDF" w14:textId="2905F125"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0.24 ± 0.04</w:t>
            </w:r>
            <w:r w:rsidRPr="00C778CD">
              <w:rPr>
                <w:rFonts w:ascii="Times New Roman" w:eastAsia="Times New Roman" w:hAnsi="Times New Roman" w:cs="Times New Roman"/>
                <w:color w:val="000000"/>
                <w:sz w:val="20"/>
                <w:szCs w:val="20"/>
                <w:vertAlign w:val="superscript"/>
                <w:lang w:eastAsia="fr-FR"/>
              </w:rPr>
              <w:t>bc</w:t>
            </w:r>
          </w:p>
        </w:tc>
        <w:tc>
          <w:tcPr>
            <w:tcW w:w="1382" w:type="dxa"/>
            <w:vAlign w:val="center"/>
            <w:hideMark/>
          </w:tcPr>
          <w:p w14:paraId="0D16F425" w14:textId="11E5D6A5"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0.29 ± 0.04</w:t>
            </w:r>
            <w:r w:rsidRPr="00C778CD">
              <w:rPr>
                <w:rFonts w:ascii="Times New Roman" w:eastAsia="Times New Roman" w:hAnsi="Times New Roman" w:cs="Times New Roman"/>
                <w:color w:val="000000"/>
                <w:sz w:val="20"/>
                <w:szCs w:val="20"/>
                <w:vertAlign w:val="superscript"/>
                <w:lang w:eastAsia="fr-FR"/>
              </w:rPr>
              <w:t>ab</w:t>
            </w:r>
          </w:p>
        </w:tc>
        <w:tc>
          <w:tcPr>
            <w:tcW w:w="1383" w:type="dxa"/>
            <w:vAlign w:val="center"/>
            <w:hideMark/>
          </w:tcPr>
          <w:p w14:paraId="44A0EED5" w14:textId="6C117CA5"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0.21 ± 0.00</w:t>
            </w:r>
            <w:r w:rsidRPr="00C778CD">
              <w:rPr>
                <w:rFonts w:ascii="Times New Roman" w:eastAsia="Times New Roman" w:hAnsi="Times New Roman" w:cs="Times New Roman"/>
                <w:color w:val="000000"/>
                <w:sz w:val="20"/>
                <w:szCs w:val="20"/>
                <w:vertAlign w:val="superscript"/>
                <w:lang w:eastAsia="fr-FR"/>
              </w:rPr>
              <w:t>bc</w:t>
            </w:r>
          </w:p>
        </w:tc>
        <w:tc>
          <w:tcPr>
            <w:tcW w:w="1382" w:type="dxa"/>
            <w:vAlign w:val="center"/>
            <w:hideMark/>
          </w:tcPr>
          <w:p w14:paraId="6CF72E7A" w14:textId="552B27E6"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0.11 ± 0.00</w:t>
            </w:r>
            <w:r w:rsidRPr="00C778CD">
              <w:rPr>
                <w:rFonts w:ascii="Times New Roman" w:eastAsia="Times New Roman" w:hAnsi="Times New Roman" w:cs="Times New Roman"/>
                <w:color w:val="000000"/>
                <w:sz w:val="20"/>
                <w:szCs w:val="20"/>
                <w:vertAlign w:val="superscript"/>
                <w:lang w:eastAsia="fr-FR"/>
              </w:rPr>
              <w:t>c</w:t>
            </w:r>
          </w:p>
        </w:tc>
        <w:tc>
          <w:tcPr>
            <w:tcW w:w="877" w:type="dxa"/>
            <w:vAlign w:val="center"/>
            <w:hideMark/>
          </w:tcPr>
          <w:p w14:paraId="61BEFB00" w14:textId="551BBF12"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bCs/>
                <w:color w:val="000000"/>
                <w:sz w:val="20"/>
                <w:szCs w:val="20"/>
                <w:lang w:eastAsia="fr-FR"/>
              </w:rPr>
              <w:t>0.000</w:t>
            </w:r>
          </w:p>
        </w:tc>
        <w:tc>
          <w:tcPr>
            <w:tcW w:w="501" w:type="dxa"/>
            <w:vAlign w:val="center"/>
            <w:hideMark/>
          </w:tcPr>
          <w:p w14:paraId="76B0126D" w14:textId="0DD6B39B"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w:t>
            </w:r>
          </w:p>
        </w:tc>
      </w:tr>
      <w:tr w:rsidR="00C13115" w:rsidRPr="00C778CD" w14:paraId="53243AD5" w14:textId="77777777" w:rsidTr="00C13115">
        <w:trPr>
          <w:trHeight w:val="244"/>
        </w:trPr>
        <w:tc>
          <w:tcPr>
            <w:tcW w:w="644" w:type="dxa"/>
            <w:vMerge/>
            <w:tcBorders>
              <w:top w:val="single" w:sz="4" w:space="0" w:color="auto"/>
              <w:left w:val="single" w:sz="4" w:space="0" w:color="auto"/>
              <w:bottom w:val="single" w:sz="4" w:space="0" w:color="auto"/>
              <w:right w:val="single" w:sz="4" w:space="0" w:color="auto"/>
            </w:tcBorders>
          </w:tcPr>
          <w:p w14:paraId="6B302AD6" w14:textId="77777777" w:rsidR="00C13115" w:rsidRPr="00C778CD" w:rsidRDefault="00C13115" w:rsidP="00C778CD">
            <w:pPr>
              <w:spacing w:after="0" w:line="240" w:lineRule="auto"/>
              <w:ind w:left="113" w:right="113"/>
              <w:rPr>
                <w:rFonts w:ascii="Times New Roman" w:eastAsia="Times New Roman" w:hAnsi="Times New Roman" w:cs="Times New Roman"/>
                <w:color w:val="000000"/>
                <w:sz w:val="20"/>
                <w:szCs w:val="20"/>
                <w:lang w:eastAsia="fr-FR"/>
              </w:rPr>
            </w:pPr>
          </w:p>
        </w:tc>
        <w:tc>
          <w:tcPr>
            <w:tcW w:w="995" w:type="dxa"/>
            <w:tcBorders>
              <w:left w:val="single" w:sz="4" w:space="0" w:color="auto"/>
            </w:tcBorders>
            <w:vAlign w:val="center"/>
            <w:hideMark/>
          </w:tcPr>
          <w:p w14:paraId="31E8397F" w14:textId="377BE793"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bCs/>
                <w:color w:val="000000"/>
                <w:sz w:val="20"/>
                <w:szCs w:val="20"/>
                <w:lang w:eastAsia="fr-FR"/>
              </w:rPr>
              <w:t>BITA</w:t>
            </w:r>
          </w:p>
        </w:tc>
        <w:tc>
          <w:tcPr>
            <w:tcW w:w="1460" w:type="dxa"/>
            <w:vAlign w:val="center"/>
            <w:hideMark/>
          </w:tcPr>
          <w:p w14:paraId="34F28A64" w14:textId="05185964"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0.43 ± 0.02</w:t>
            </w:r>
            <w:r w:rsidRPr="00C778CD">
              <w:rPr>
                <w:rFonts w:ascii="Times New Roman" w:eastAsia="Times New Roman" w:hAnsi="Times New Roman" w:cs="Times New Roman"/>
                <w:color w:val="000000"/>
                <w:sz w:val="20"/>
                <w:szCs w:val="20"/>
                <w:vertAlign w:val="superscript"/>
                <w:lang w:eastAsia="fr-FR"/>
              </w:rPr>
              <w:t>a</w:t>
            </w:r>
          </w:p>
        </w:tc>
        <w:tc>
          <w:tcPr>
            <w:tcW w:w="1460" w:type="dxa"/>
            <w:vAlign w:val="center"/>
            <w:hideMark/>
          </w:tcPr>
          <w:p w14:paraId="57B3DC38" w14:textId="70075004"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0.15 ± 0.07</w:t>
            </w:r>
            <w:r w:rsidRPr="00C778CD">
              <w:rPr>
                <w:rFonts w:ascii="Times New Roman" w:eastAsia="Times New Roman" w:hAnsi="Times New Roman" w:cs="Times New Roman"/>
                <w:color w:val="000000"/>
                <w:sz w:val="20"/>
                <w:szCs w:val="20"/>
                <w:vertAlign w:val="superscript"/>
                <w:lang w:eastAsia="fr-FR"/>
              </w:rPr>
              <w:t>a</w:t>
            </w:r>
          </w:p>
        </w:tc>
        <w:tc>
          <w:tcPr>
            <w:tcW w:w="1382" w:type="dxa"/>
            <w:vAlign w:val="center"/>
            <w:hideMark/>
          </w:tcPr>
          <w:p w14:paraId="2A142B88" w14:textId="7D026193"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0.29 ± 0.06</w:t>
            </w:r>
            <w:r w:rsidRPr="00C778CD">
              <w:rPr>
                <w:rFonts w:ascii="Times New Roman" w:eastAsia="Times New Roman" w:hAnsi="Times New Roman" w:cs="Times New Roman"/>
                <w:color w:val="000000"/>
                <w:sz w:val="20"/>
                <w:szCs w:val="20"/>
                <w:vertAlign w:val="superscript"/>
                <w:lang w:eastAsia="fr-FR"/>
              </w:rPr>
              <w:t>a</w:t>
            </w:r>
          </w:p>
        </w:tc>
        <w:tc>
          <w:tcPr>
            <w:tcW w:w="1383" w:type="dxa"/>
            <w:vAlign w:val="center"/>
            <w:hideMark/>
          </w:tcPr>
          <w:p w14:paraId="62D6DC6B" w14:textId="70406D31"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0.29 ± 0.07</w:t>
            </w:r>
            <w:r w:rsidRPr="00C778CD">
              <w:rPr>
                <w:rFonts w:ascii="Times New Roman" w:eastAsia="Times New Roman" w:hAnsi="Times New Roman" w:cs="Times New Roman"/>
                <w:color w:val="000000"/>
                <w:sz w:val="20"/>
                <w:szCs w:val="20"/>
                <w:vertAlign w:val="superscript"/>
                <w:lang w:eastAsia="fr-FR"/>
              </w:rPr>
              <w:t>a</w:t>
            </w:r>
          </w:p>
        </w:tc>
        <w:tc>
          <w:tcPr>
            <w:tcW w:w="1382" w:type="dxa"/>
            <w:vAlign w:val="center"/>
            <w:hideMark/>
          </w:tcPr>
          <w:p w14:paraId="67D2D0CE" w14:textId="77F7DA14"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0.19 ± 0.12</w:t>
            </w:r>
            <w:r w:rsidRPr="00C778CD">
              <w:rPr>
                <w:rFonts w:ascii="Times New Roman" w:eastAsia="Times New Roman" w:hAnsi="Times New Roman" w:cs="Times New Roman"/>
                <w:color w:val="000000"/>
                <w:sz w:val="20"/>
                <w:szCs w:val="20"/>
                <w:vertAlign w:val="superscript"/>
                <w:lang w:eastAsia="fr-FR"/>
              </w:rPr>
              <w:t>a</w:t>
            </w:r>
          </w:p>
        </w:tc>
        <w:tc>
          <w:tcPr>
            <w:tcW w:w="877" w:type="dxa"/>
            <w:vAlign w:val="center"/>
            <w:hideMark/>
          </w:tcPr>
          <w:p w14:paraId="1DA16A2C" w14:textId="1F3E496B"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bCs/>
                <w:color w:val="000000"/>
                <w:sz w:val="20"/>
                <w:szCs w:val="20"/>
                <w:lang w:eastAsia="fr-FR"/>
              </w:rPr>
              <w:t>0.19</w:t>
            </w:r>
          </w:p>
        </w:tc>
        <w:tc>
          <w:tcPr>
            <w:tcW w:w="501" w:type="dxa"/>
            <w:vAlign w:val="center"/>
            <w:hideMark/>
          </w:tcPr>
          <w:p w14:paraId="5472CCB6" w14:textId="34D132E6"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NS</w:t>
            </w:r>
          </w:p>
        </w:tc>
      </w:tr>
      <w:tr w:rsidR="00C13115" w:rsidRPr="00C778CD" w14:paraId="0F5A3D4C" w14:textId="77777777" w:rsidTr="00C13115">
        <w:trPr>
          <w:cantSplit/>
          <w:trHeight w:val="191"/>
        </w:trPr>
        <w:tc>
          <w:tcPr>
            <w:tcW w:w="644" w:type="dxa"/>
            <w:vMerge/>
            <w:tcBorders>
              <w:top w:val="single" w:sz="4" w:space="0" w:color="auto"/>
              <w:left w:val="single" w:sz="4" w:space="0" w:color="auto"/>
              <w:bottom w:val="single" w:sz="4" w:space="0" w:color="auto"/>
              <w:right w:val="single" w:sz="4" w:space="0" w:color="auto"/>
            </w:tcBorders>
            <w:textDirection w:val="btLr"/>
          </w:tcPr>
          <w:p w14:paraId="2FF1D99E" w14:textId="77777777" w:rsidR="00C13115" w:rsidRPr="00C778CD" w:rsidRDefault="00C13115" w:rsidP="00C778CD">
            <w:pPr>
              <w:spacing w:after="0" w:line="240" w:lineRule="auto"/>
              <w:ind w:left="113" w:right="113"/>
              <w:rPr>
                <w:rFonts w:ascii="Times New Roman" w:eastAsia="Times New Roman" w:hAnsi="Times New Roman" w:cs="Times New Roman"/>
                <w:color w:val="000000"/>
                <w:sz w:val="20"/>
                <w:szCs w:val="20"/>
                <w:lang w:eastAsia="fr-FR"/>
              </w:rPr>
            </w:pPr>
          </w:p>
        </w:tc>
        <w:tc>
          <w:tcPr>
            <w:tcW w:w="995" w:type="dxa"/>
            <w:tcBorders>
              <w:left w:val="single" w:sz="4" w:space="0" w:color="auto"/>
            </w:tcBorders>
            <w:vAlign w:val="center"/>
            <w:hideMark/>
          </w:tcPr>
          <w:p w14:paraId="6C364CE0" w14:textId="3931E6BA"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bCs/>
                <w:color w:val="000000"/>
                <w:sz w:val="20"/>
                <w:szCs w:val="20"/>
                <w:lang w:eastAsia="fr-FR"/>
              </w:rPr>
              <w:t>BITA+CB</w:t>
            </w:r>
          </w:p>
        </w:tc>
        <w:tc>
          <w:tcPr>
            <w:tcW w:w="1460" w:type="dxa"/>
            <w:vAlign w:val="center"/>
            <w:hideMark/>
          </w:tcPr>
          <w:p w14:paraId="7A301C57" w14:textId="5C17674D"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0.30 ± 0.00</w:t>
            </w:r>
            <w:r w:rsidRPr="00C778CD">
              <w:rPr>
                <w:rFonts w:ascii="Times New Roman" w:eastAsia="Times New Roman" w:hAnsi="Times New Roman" w:cs="Times New Roman"/>
                <w:color w:val="000000"/>
                <w:sz w:val="20"/>
                <w:szCs w:val="20"/>
                <w:vertAlign w:val="superscript"/>
                <w:lang w:eastAsia="fr-FR"/>
              </w:rPr>
              <w:t>a</w:t>
            </w:r>
          </w:p>
        </w:tc>
        <w:tc>
          <w:tcPr>
            <w:tcW w:w="1460" w:type="dxa"/>
            <w:vAlign w:val="center"/>
            <w:hideMark/>
          </w:tcPr>
          <w:p w14:paraId="22BC3642" w14:textId="004191F2"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0.30 ± 0.00</w:t>
            </w:r>
            <w:r w:rsidRPr="00C778CD">
              <w:rPr>
                <w:rFonts w:ascii="Times New Roman" w:eastAsia="Times New Roman" w:hAnsi="Times New Roman" w:cs="Times New Roman"/>
                <w:color w:val="000000"/>
                <w:sz w:val="20"/>
                <w:szCs w:val="20"/>
                <w:vertAlign w:val="superscript"/>
                <w:lang w:eastAsia="fr-FR"/>
              </w:rPr>
              <w:t>a</w:t>
            </w:r>
          </w:p>
        </w:tc>
        <w:tc>
          <w:tcPr>
            <w:tcW w:w="1382" w:type="dxa"/>
            <w:vAlign w:val="center"/>
            <w:hideMark/>
          </w:tcPr>
          <w:p w14:paraId="297A572C" w14:textId="0A98E7B2"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0.31 ± 0.01</w:t>
            </w:r>
            <w:r w:rsidRPr="00C778CD">
              <w:rPr>
                <w:rFonts w:ascii="Times New Roman" w:eastAsia="Times New Roman" w:hAnsi="Times New Roman" w:cs="Times New Roman"/>
                <w:color w:val="000000"/>
                <w:sz w:val="20"/>
                <w:szCs w:val="20"/>
                <w:vertAlign w:val="superscript"/>
                <w:lang w:eastAsia="fr-FR"/>
              </w:rPr>
              <w:t>a</w:t>
            </w:r>
          </w:p>
        </w:tc>
        <w:tc>
          <w:tcPr>
            <w:tcW w:w="1383" w:type="dxa"/>
            <w:vAlign w:val="center"/>
            <w:hideMark/>
          </w:tcPr>
          <w:p w14:paraId="556EFA9D" w14:textId="5EBCAFCD"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0.38 ± 0.07</w:t>
            </w:r>
            <w:r w:rsidRPr="00C778CD">
              <w:rPr>
                <w:rFonts w:ascii="Times New Roman" w:eastAsia="Times New Roman" w:hAnsi="Times New Roman" w:cs="Times New Roman"/>
                <w:color w:val="000000"/>
                <w:sz w:val="20"/>
                <w:szCs w:val="20"/>
                <w:vertAlign w:val="superscript"/>
                <w:lang w:eastAsia="fr-FR"/>
              </w:rPr>
              <w:t>a</w:t>
            </w:r>
          </w:p>
        </w:tc>
        <w:tc>
          <w:tcPr>
            <w:tcW w:w="1382" w:type="dxa"/>
            <w:vAlign w:val="center"/>
            <w:hideMark/>
          </w:tcPr>
          <w:p w14:paraId="1D914BC1" w14:textId="32363CA2"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0.15 ± 0.15</w:t>
            </w:r>
            <w:r w:rsidRPr="00C778CD">
              <w:rPr>
                <w:rFonts w:ascii="Times New Roman" w:eastAsia="Times New Roman" w:hAnsi="Times New Roman" w:cs="Times New Roman"/>
                <w:color w:val="000000"/>
                <w:sz w:val="20"/>
                <w:szCs w:val="20"/>
                <w:vertAlign w:val="superscript"/>
                <w:lang w:eastAsia="fr-FR"/>
              </w:rPr>
              <w:t>a</w:t>
            </w:r>
          </w:p>
        </w:tc>
        <w:tc>
          <w:tcPr>
            <w:tcW w:w="877" w:type="dxa"/>
            <w:vAlign w:val="center"/>
            <w:hideMark/>
          </w:tcPr>
          <w:p w14:paraId="6A13E21C" w14:textId="31E0FB08"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bCs/>
                <w:color w:val="000000"/>
                <w:sz w:val="20"/>
                <w:szCs w:val="20"/>
                <w:lang w:eastAsia="fr-FR"/>
              </w:rPr>
              <w:t>0.37</w:t>
            </w:r>
          </w:p>
        </w:tc>
        <w:tc>
          <w:tcPr>
            <w:tcW w:w="501" w:type="dxa"/>
            <w:vAlign w:val="center"/>
            <w:hideMark/>
          </w:tcPr>
          <w:p w14:paraId="17D63274" w14:textId="09B885D3"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NS</w:t>
            </w:r>
          </w:p>
        </w:tc>
      </w:tr>
      <w:tr w:rsidR="00C13115" w:rsidRPr="00C778CD" w14:paraId="5240F599" w14:textId="77777777" w:rsidTr="00C13115">
        <w:trPr>
          <w:trHeight w:val="244"/>
        </w:trPr>
        <w:tc>
          <w:tcPr>
            <w:tcW w:w="644" w:type="dxa"/>
            <w:vMerge/>
            <w:tcBorders>
              <w:top w:val="single" w:sz="4" w:space="0" w:color="auto"/>
              <w:left w:val="single" w:sz="4" w:space="0" w:color="auto"/>
              <w:bottom w:val="single" w:sz="4" w:space="0" w:color="auto"/>
              <w:right w:val="single" w:sz="4" w:space="0" w:color="auto"/>
            </w:tcBorders>
          </w:tcPr>
          <w:p w14:paraId="13EE4615" w14:textId="77777777"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p>
        </w:tc>
        <w:tc>
          <w:tcPr>
            <w:tcW w:w="995" w:type="dxa"/>
            <w:tcBorders>
              <w:left w:val="single" w:sz="4" w:space="0" w:color="auto"/>
            </w:tcBorders>
            <w:vAlign w:val="center"/>
            <w:hideMark/>
          </w:tcPr>
          <w:p w14:paraId="37035352" w14:textId="27742320"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proofErr w:type="spellStart"/>
            <w:r w:rsidRPr="00C778CD">
              <w:rPr>
                <w:rFonts w:ascii="Times New Roman" w:eastAsia="Times New Roman" w:hAnsi="Times New Roman" w:cs="Times New Roman"/>
                <w:bCs/>
                <w:color w:val="000000"/>
                <w:sz w:val="20"/>
                <w:szCs w:val="20"/>
                <w:lang w:eastAsia="fr-FR"/>
              </w:rPr>
              <w:t>TriS</w:t>
            </w:r>
            <w:proofErr w:type="spellEnd"/>
          </w:p>
        </w:tc>
        <w:tc>
          <w:tcPr>
            <w:tcW w:w="1460" w:type="dxa"/>
            <w:vAlign w:val="center"/>
            <w:hideMark/>
          </w:tcPr>
          <w:p w14:paraId="15A03367" w14:textId="60D03825"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0.37 ± 0.07</w:t>
            </w:r>
            <w:r w:rsidRPr="00C778CD">
              <w:rPr>
                <w:rFonts w:ascii="Times New Roman" w:eastAsia="Times New Roman" w:hAnsi="Times New Roman" w:cs="Times New Roman"/>
                <w:color w:val="000000"/>
                <w:sz w:val="20"/>
                <w:szCs w:val="20"/>
                <w:vertAlign w:val="superscript"/>
                <w:lang w:eastAsia="fr-FR"/>
              </w:rPr>
              <w:t>a</w:t>
            </w:r>
          </w:p>
        </w:tc>
        <w:tc>
          <w:tcPr>
            <w:tcW w:w="1460" w:type="dxa"/>
            <w:vAlign w:val="center"/>
            <w:hideMark/>
          </w:tcPr>
          <w:p w14:paraId="3DE0BC40" w14:textId="35EAC787"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0.19 ± 0.16</w:t>
            </w:r>
            <w:r w:rsidRPr="00C778CD">
              <w:rPr>
                <w:rFonts w:ascii="Times New Roman" w:eastAsia="Times New Roman" w:hAnsi="Times New Roman" w:cs="Times New Roman"/>
                <w:color w:val="000000"/>
                <w:sz w:val="20"/>
                <w:szCs w:val="20"/>
                <w:vertAlign w:val="superscript"/>
                <w:lang w:eastAsia="fr-FR"/>
              </w:rPr>
              <w:t>a</w:t>
            </w:r>
          </w:p>
        </w:tc>
        <w:tc>
          <w:tcPr>
            <w:tcW w:w="1382" w:type="dxa"/>
            <w:vAlign w:val="center"/>
            <w:hideMark/>
          </w:tcPr>
          <w:p w14:paraId="71A2C82D" w14:textId="02D3AE1F"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0.14 ± 0.12</w:t>
            </w:r>
            <w:r w:rsidRPr="00C778CD">
              <w:rPr>
                <w:rFonts w:ascii="Times New Roman" w:eastAsia="Times New Roman" w:hAnsi="Times New Roman" w:cs="Times New Roman"/>
                <w:color w:val="000000"/>
                <w:sz w:val="20"/>
                <w:szCs w:val="20"/>
                <w:vertAlign w:val="superscript"/>
                <w:lang w:eastAsia="fr-FR"/>
              </w:rPr>
              <w:t>a</w:t>
            </w:r>
          </w:p>
        </w:tc>
        <w:tc>
          <w:tcPr>
            <w:tcW w:w="1383" w:type="dxa"/>
            <w:vAlign w:val="center"/>
            <w:hideMark/>
          </w:tcPr>
          <w:p w14:paraId="0CE659E4" w14:textId="55E1F251"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0.23 ± 0.08</w:t>
            </w:r>
            <w:r w:rsidRPr="00C778CD">
              <w:rPr>
                <w:rFonts w:ascii="Times New Roman" w:eastAsia="Times New Roman" w:hAnsi="Times New Roman" w:cs="Times New Roman"/>
                <w:color w:val="000000"/>
                <w:sz w:val="20"/>
                <w:szCs w:val="20"/>
                <w:vertAlign w:val="superscript"/>
                <w:lang w:eastAsia="fr-FR"/>
              </w:rPr>
              <w:t>a</w:t>
            </w:r>
          </w:p>
        </w:tc>
        <w:tc>
          <w:tcPr>
            <w:tcW w:w="1382" w:type="dxa"/>
            <w:vAlign w:val="center"/>
            <w:hideMark/>
          </w:tcPr>
          <w:p w14:paraId="7C1336E6" w14:textId="745F9228"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0.18 ± 0.10</w:t>
            </w:r>
            <w:r w:rsidRPr="00C778CD">
              <w:rPr>
                <w:rFonts w:ascii="Times New Roman" w:eastAsia="Times New Roman" w:hAnsi="Times New Roman" w:cs="Times New Roman"/>
                <w:color w:val="000000"/>
                <w:sz w:val="20"/>
                <w:szCs w:val="20"/>
                <w:vertAlign w:val="superscript"/>
                <w:lang w:eastAsia="fr-FR"/>
              </w:rPr>
              <w:t>a</w:t>
            </w:r>
          </w:p>
        </w:tc>
        <w:tc>
          <w:tcPr>
            <w:tcW w:w="877" w:type="dxa"/>
            <w:noWrap/>
            <w:vAlign w:val="center"/>
            <w:hideMark/>
          </w:tcPr>
          <w:p w14:paraId="082E02CE" w14:textId="1E60486E"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0.35</w:t>
            </w:r>
          </w:p>
        </w:tc>
        <w:tc>
          <w:tcPr>
            <w:tcW w:w="501" w:type="dxa"/>
            <w:vAlign w:val="center"/>
            <w:hideMark/>
          </w:tcPr>
          <w:p w14:paraId="682E4604" w14:textId="709D536B"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NS</w:t>
            </w:r>
          </w:p>
        </w:tc>
      </w:tr>
      <w:tr w:rsidR="00C13115" w:rsidRPr="00C778CD" w14:paraId="0FFD1C44" w14:textId="77777777" w:rsidTr="00C13115">
        <w:trPr>
          <w:trHeight w:val="244"/>
        </w:trPr>
        <w:tc>
          <w:tcPr>
            <w:tcW w:w="644" w:type="dxa"/>
            <w:vMerge/>
            <w:tcBorders>
              <w:top w:val="single" w:sz="4" w:space="0" w:color="auto"/>
              <w:left w:val="single" w:sz="4" w:space="0" w:color="auto"/>
              <w:bottom w:val="single" w:sz="4" w:space="0" w:color="auto"/>
              <w:right w:val="single" w:sz="4" w:space="0" w:color="auto"/>
            </w:tcBorders>
          </w:tcPr>
          <w:p w14:paraId="211AC8DF" w14:textId="77777777"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p>
        </w:tc>
        <w:tc>
          <w:tcPr>
            <w:tcW w:w="995" w:type="dxa"/>
            <w:tcBorders>
              <w:left w:val="single" w:sz="4" w:space="0" w:color="auto"/>
            </w:tcBorders>
            <w:vAlign w:val="center"/>
            <w:hideMark/>
          </w:tcPr>
          <w:p w14:paraId="1B98E822" w14:textId="3F2D03C6"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bCs/>
                <w:color w:val="000000"/>
                <w:sz w:val="20"/>
                <w:szCs w:val="20"/>
                <w:lang w:eastAsia="fr-FR"/>
              </w:rPr>
              <w:t>CAN</w:t>
            </w:r>
          </w:p>
        </w:tc>
        <w:tc>
          <w:tcPr>
            <w:tcW w:w="1460" w:type="dxa"/>
            <w:vAlign w:val="center"/>
            <w:hideMark/>
          </w:tcPr>
          <w:p w14:paraId="540E2104" w14:textId="5DCECD61"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0.33 ± 0.02</w:t>
            </w:r>
            <w:r w:rsidRPr="00C778CD">
              <w:rPr>
                <w:rFonts w:ascii="Times New Roman" w:eastAsia="Times New Roman" w:hAnsi="Times New Roman" w:cs="Times New Roman"/>
                <w:color w:val="000000"/>
                <w:sz w:val="20"/>
                <w:szCs w:val="20"/>
                <w:vertAlign w:val="superscript"/>
                <w:lang w:eastAsia="fr-FR"/>
              </w:rPr>
              <w:t>a</w:t>
            </w:r>
          </w:p>
        </w:tc>
        <w:tc>
          <w:tcPr>
            <w:tcW w:w="1460" w:type="dxa"/>
            <w:vAlign w:val="center"/>
            <w:hideMark/>
          </w:tcPr>
          <w:p w14:paraId="3D1566ED" w14:textId="513825B7"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0.14 ± 0.07</w:t>
            </w:r>
            <w:r w:rsidRPr="00C778CD">
              <w:rPr>
                <w:rFonts w:ascii="Times New Roman" w:eastAsia="Times New Roman" w:hAnsi="Times New Roman" w:cs="Times New Roman"/>
                <w:color w:val="000000"/>
                <w:sz w:val="20"/>
                <w:szCs w:val="20"/>
                <w:vertAlign w:val="superscript"/>
                <w:lang w:eastAsia="fr-FR"/>
              </w:rPr>
              <w:t>a</w:t>
            </w:r>
          </w:p>
        </w:tc>
        <w:tc>
          <w:tcPr>
            <w:tcW w:w="1382" w:type="dxa"/>
            <w:vAlign w:val="center"/>
            <w:hideMark/>
          </w:tcPr>
          <w:p w14:paraId="791A6F15" w14:textId="4733EE92"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0.22 ± 0.04</w:t>
            </w:r>
            <w:r w:rsidRPr="00C778CD">
              <w:rPr>
                <w:rFonts w:ascii="Times New Roman" w:eastAsia="Times New Roman" w:hAnsi="Times New Roman" w:cs="Times New Roman"/>
                <w:color w:val="000000"/>
                <w:sz w:val="20"/>
                <w:szCs w:val="20"/>
                <w:vertAlign w:val="superscript"/>
                <w:lang w:eastAsia="fr-FR"/>
              </w:rPr>
              <w:t>a</w:t>
            </w:r>
          </w:p>
        </w:tc>
        <w:tc>
          <w:tcPr>
            <w:tcW w:w="1383" w:type="dxa"/>
            <w:vAlign w:val="center"/>
            <w:hideMark/>
          </w:tcPr>
          <w:p w14:paraId="0624626E" w14:textId="7167DC70"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0.29 ± 0.03</w:t>
            </w:r>
            <w:r w:rsidRPr="00C778CD">
              <w:rPr>
                <w:rFonts w:ascii="Times New Roman" w:eastAsia="Times New Roman" w:hAnsi="Times New Roman" w:cs="Times New Roman"/>
                <w:color w:val="000000"/>
                <w:sz w:val="20"/>
                <w:szCs w:val="20"/>
                <w:vertAlign w:val="superscript"/>
                <w:lang w:eastAsia="fr-FR"/>
              </w:rPr>
              <w:t>a</w:t>
            </w:r>
          </w:p>
        </w:tc>
        <w:tc>
          <w:tcPr>
            <w:tcW w:w="1382" w:type="dxa"/>
            <w:vAlign w:val="center"/>
            <w:hideMark/>
          </w:tcPr>
          <w:p w14:paraId="3CE0DBB8" w14:textId="3C3B257D"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0.31 ± 0.03</w:t>
            </w:r>
            <w:r w:rsidRPr="00C778CD">
              <w:rPr>
                <w:rFonts w:ascii="Times New Roman" w:eastAsia="Times New Roman" w:hAnsi="Times New Roman" w:cs="Times New Roman"/>
                <w:color w:val="000000"/>
                <w:sz w:val="20"/>
                <w:szCs w:val="20"/>
                <w:vertAlign w:val="superscript"/>
                <w:lang w:eastAsia="fr-FR"/>
              </w:rPr>
              <w:t>a</w:t>
            </w:r>
          </w:p>
        </w:tc>
        <w:tc>
          <w:tcPr>
            <w:tcW w:w="877" w:type="dxa"/>
            <w:noWrap/>
            <w:vAlign w:val="center"/>
            <w:hideMark/>
          </w:tcPr>
          <w:p w14:paraId="1959FFCE" w14:textId="36E1663D"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0.06</w:t>
            </w:r>
          </w:p>
        </w:tc>
        <w:tc>
          <w:tcPr>
            <w:tcW w:w="501" w:type="dxa"/>
            <w:noWrap/>
            <w:vAlign w:val="center"/>
            <w:hideMark/>
          </w:tcPr>
          <w:p w14:paraId="2CB75322" w14:textId="4FC5C502"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NS</w:t>
            </w:r>
          </w:p>
        </w:tc>
      </w:tr>
      <w:tr w:rsidR="00C13115" w:rsidRPr="00C778CD" w14:paraId="149943D9" w14:textId="77777777" w:rsidTr="00C13115">
        <w:trPr>
          <w:trHeight w:val="244"/>
        </w:trPr>
        <w:tc>
          <w:tcPr>
            <w:tcW w:w="644" w:type="dxa"/>
            <w:vMerge/>
            <w:tcBorders>
              <w:top w:val="single" w:sz="4" w:space="0" w:color="auto"/>
              <w:left w:val="single" w:sz="4" w:space="0" w:color="auto"/>
              <w:bottom w:val="single" w:sz="4" w:space="0" w:color="auto"/>
              <w:right w:val="single" w:sz="4" w:space="0" w:color="auto"/>
            </w:tcBorders>
          </w:tcPr>
          <w:p w14:paraId="7C32192B" w14:textId="77777777"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p>
        </w:tc>
        <w:tc>
          <w:tcPr>
            <w:tcW w:w="995" w:type="dxa"/>
            <w:tcBorders>
              <w:left w:val="single" w:sz="4" w:space="0" w:color="auto"/>
            </w:tcBorders>
            <w:vAlign w:val="center"/>
            <w:hideMark/>
          </w:tcPr>
          <w:p w14:paraId="28FC76DE" w14:textId="01128393"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bCs/>
                <w:color w:val="000000"/>
                <w:sz w:val="20"/>
                <w:szCs w:val="20"/>
                <w:lang w:eastAsia="fr-FR"/>
              </w:rPr>
              <w:t>CAN+S</w:t>
            </w:r>
          </w:p>
        </w:tc>
        <w:tc>
          <w:tcPr>
            <w:tcW w:w="1460" w:type="dxa"/>
            <w:vAlign w:val="center"/>
            <w:hideMark/>
          </w:tcPr>
          <w:p w14:paraId="7868DA04" w14:textId="5FB8DE9D"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0.29 ± 0.05</w:t>
            </w:r>
            <w:r w:rsidRPr="00C778CD">
              <w:rPr>
                <w:rFonts w:ascii="Times New Roman" w:eastAsia="Times New Roman" w:hAnsi="Times New Roman" w:cs="Times New Roman"/>
                <w:color w:val="000000"/>
                <w:sz w:val="20"/>
                <w:szCs w:val="20"/>
                <w:vertAlign w:val="superscript"/>
                <w:lang w:eastAsia="fr-FR"/>
              </w:rPr>
              <w:t>a</w:t>
            </w:r>
          </w:p>
        </w:tc>
        <w:tc>
          <w:tcPr>
            <w:tcW w:w="1460" w:type="dxa"/>
            <w:vAlign w:val="center"/>
            <w:hideMark/>
          </w:tcPr>
          <w:p w14:paraId="6980D492" w14:textId="26B10E85"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0.27 ± 0.06</w:t>
            </w:r>
            <w:r w:rsidRPr="00C778CD">
              <w:rPr>
                <w:rFonts w:ascii="Times New Roman" w:eastAsia="Times New Roman" w:hAnsi="Times New Roman" w:cs="Times New Roman"/>
                <w:color w:val="000000"/>
                <w:sz w:val="20"/>
                <w:szCs w:val="20"/>
                <w:vertAlign w:val="superscript"/>
                <w:lang w:eastAsia="fr-FR"/>
              </w:rPr>
              <w:t>a</w:t>
            </w:r>
          </w:p>
        </w:tc>
        <w:tc>
          <w:tcPr>
            <w:tcW w:w="1382" w:type="dxa"/>
            <w:vAlign w:val="center"/>
            <w:hideMark/>
          </w:tcPr>
          <w:p w14:paraId="0E67CE77" w14:textId="5A09041D"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0.24 ± 0.03</w:t>
            </w:r>
            <w:r w:rsidRPr="00C778CD">
              <w:rPr>
                <w:rFonts w:ascii="Times New Roman" w:eastAsia="Times New Roman" w:hAnsi="Times New Roman" w:cs="Times New Roman"/>
                <w:color w:val="000000"/>
                <w:sz w:val="20"/>
                <w:szCs w:val="20"/>
                <w:vertAlign w:val="superscript"/>
                <w:lang w:eastAsia="fr-FR"/>
              </w:rPr>
              <w:t>a</w:t>
            </w:r>
          </w:p>
        </w:tc>
        <w:tc>
          <w:tcPr>
            <w:tcW w:w="1383" w:type="dxa"/>
            <w:vAlign w:val="center"/>
            <w:hideMark/>
          </w:tcPr>
          <w:p w14:paraId="3F687483" w14:textId="53867A45"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0.20 ± 0.10</w:t>
            </w:r>
            <w:r w:rsidRPr="00C778CD">
              <w:rPr>
                <w:rFonts w:ascii="Times New Roman" w:eastAsia="Times New Roman" w:hAnsi="Times New Roman" w:cs="Times New Roman"/>
                <w:color w:val="000000"/>
                <w:sz w:val="20"/>
                <w:szCs w:val="20"/>
                <w:vertAlign w:val="superscript"/>
                <w:lang w:eastAsia="fr-FR"/>
              </w:rPr>
              <w:t>a</w:t>
            </w:r>
          </w:p>
        </w:tc>
        <w:tc>
          <w:tcPr>
            <w:tcW w:w="1382" w:type="dxa"/>
            <w:vAlign w:val="center"/>
            <w:hideMark/>
          </w:tcPr>
          <w:p w14:paraId="254A91CB" w14:textId="470A8874"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0.18 ± 0.09</w:t>
            </w:r>
            <w:r w:rsidRPr="00C778CD">
              <w:rPr>
                <w:rFonts w:ascii="Times New Roman" w:eastAsia="Times New Roman" w:hAnsi="Times New Roman" w:cs="Times New Roman"/>
                <w:color w:val="000000"/>
                <w:sz w:val="20"/>
                <w:szCs w:val="20"/>
                <w:vertAlign w:val="superscript"/>
                <w:lang w:eastAsia="fr-FR"/>
              </w:rPr>
              <w:t>a</w:t>
            </w:r>
          </w:p>
        </w:tc>
        <w:tc>
          <w:tcPr>
            <w:tcW w:w="877" w:type="dxa"/>
            <w:noWrap/>
            <w:vAlign w:val="center"/>
            <w:hideMark/>
          </w:tcPr>
          <w:p w14:paraId="38C7E82C" w14:textId="763835E4"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0.82</w:t>
            </w:r>
          </w:p>
        </w:tc>
        <w:tc>
          <w:tcPr>
            <w:tcW w:w="501" w:type="dxa"/>
            <w:vAlign w:val="center"/>
            <w:hideMark/>
          </w:tcPr>
          <w:p w14:paraId="6822A823" w14:textId="53E16E2D"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NS</w:t>
            </w:r>
          </w:p>
        </w:tc>
      </w:tr>
      <w:tr w:rsidR="00C13115" w:rsidRPr="00C778CD" w14:paraId="3A29B028" w14:textId="77777777" w:rsidTr="00C13115">
        <w:trPr>
          <w:trHeight w:val="244"/>
        </w:trPr>
        <w:tc>
          <w:tcPr>
            <w:tcW w:w="644" w:type="dxa"/>
            <w:vMerge/>
            <w:tcBorders>
              <w:top w:val="single" w:sz="4" w:space="0" w:color="auto"/>
              <w:left w:val="single" w:sz="4" w:space="0" w:color="auto"/>
              <w:bottom w:val="single" w:sz="4" w:space="0" w:color="auto"/>
              <w:right w:val="single" w:sz="4" w:space="0" w:color="auto"/>
            </w:tcBorders>
          </w:tcPr>
          <w:p w14:paraId="56CC9C58" w14:textId="77777777"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p>
        </w:tc>
        <w:tc>
          <w:tcPr>
            <w:tcW w:w="995" w:type="dxa"/>
            <w:tcBorders>
              <w:left w:val="single" w:sz="4" w:space="0" w:color="auto"/>
            </w:tcBorders>
            <w:vAlign w:val="center"/>
            <w:hideMark/>
          </w:tcPr>
          <w:p w14:paraId="0296C4DF" w14:textId="35DDBA46"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bCs/>
                <w:color w:val="000000"/>
                <w:sz w:val="20"/>
                <w:szCs w:val="20"/>
                <w:lang w:eastAsia="fr-FR"/>
              </w:rPr>
              <w:t>CAN+G</w:t>
            </w:r>
          </w:p>
        </w:tc>
        <w:tc>
          <w:tcPr>
            <w:tcW w:w="1460" w:type="dxa"/>
            <w:vAlign w:val="center"/>
            <w:hideMark/>
          </w:tcPr>
          <w:p w14:paraId="6D0B5DE0" w14:textId="2CA2B0B7"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0.39 ± 0.05</w:t>
            </w:r>
            <w:r w:rsidRPr="00C778CD">
              <w:rPr>
                <w:rFonts w:ascii="Times New Roman" w:eastAsia="Times New Roman" w:hAnsi="Times New Roman" w:cs="Times New Roman"/>
                <w:color w:val="000000"/>
                <w:sz w:val="20"/>
                <w:szCs w:val="20"/>
                <w:vertAlign w:val="superscript"/>
                <w:lang w:eastAsia="fr-FR"/>
              </w:rPr>
              <w:t>a</w:t>
            </w:r>
          </w:p>
        </w:tc>
        <w:tc>
          <w:tcPr>
            <w:tcW w:w="1460" w:type="dxa"/>
            <w:vAlign w:val="center"/>
            <w:hideMark/>
          </w:tcPr>
          <w:p w14:paraId="681D436D" w14:textId="67AE7D48"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0.39 ± 0.05</w:t>
            </w:r>
            <w:r w:rsidRPr="00C778CD">
              <w:rPr>
                <w:rFonts w:ascii="Times New Roman" w:eastAsia="Times New Roman" w:hAnsi="Times New Roman" w:cs="Times New Roman"/>
                <w:color w:val="000000"/>
                <w:sz w:val="20"/>
                <w:szCs w:val="20"/>
                <w:vertAlign w:val="superscript"/>
                <w:lang w:eastAsia="fr-FR"/>
              </w:rPr>
              <w:t>a</w:t>
            </w:r>
          </w:p>
        </w:tc>
        <w:tc>
          <w:tcPr>
            <w:tcW w:w="1382" w:type="dxa"/>
            <w:vAlign w:val="center"/>
            <w:hideMark/>
          </w:tcPr>
          <w:p w14:paraId="45B0907A" w14:textId="768E72E7"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0.32 ± 0.00</w:t>
            </w:r>
            <w:r w:rsidRPr="00C778CD">
              <w:rPr>
                <w:rFonts w:ascii="Times New Roman" w:eastAsia="Times New Roman" w:hAnsi="Times New Roman" w:cs="Times New Roman"/>
                <w:color w:val="000000"/>
                <w:sz w:val="20"/>
                <w:szCs w:val="20"/>
                <w:vertAlign w:val="superscript"/>
                <w:lang w:eastAsia="fr-FR"/>
              </w:rPr>
              <w:t>ab</w:t>
            </w:r>
          </w:p>
        </w:tc>
        <w:tc>
          <w:tcPr>
            <w:tcW w:w="1383" w:type="dxa"/>
            <w:vAlign w:val="center"/>
            <w:hideMark/>
          </w:tcPr>
          <w:p w14:paraId="21A37708" w14:textId="5A8E621C"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0.27 ± 0.03</w:t>
            </w:r>
            <w:r w:rsidRPr="00C778CD">
              <w:rPr>
                <w:rFonts w:ascii="Times New Roman" w:eastAsia="Times New Roman" w:hAnsi="Times New Roman" w:cs="Times New Roman"/>
                <w:color w:val="000000"/>
                <w:sz w:val="20"/>
                <w:szCs w:val="20"/>
                <w:vertAlign w:val="superscript"/>
                <w:lang w:eastAsia="fr-FR"/>
              </w:rPr>
              <w:t>ab</w:t>
            </w:r>
          </w:p>
        </w:tc>
        <w:tc>
          <w:tcPr>
            <w:tcW w:w="1382" w:type="dxa"/>
            <w:vAlign w:val="center"/>
            <w:hideMark/>
          </w:tcPr>
          <w:p w14:paraId="171A382A" w14:textId="5278813B"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0.20 ± 0.02</w:t>
            </w:r>
            <w:r w:rsidRPr="00C778CD">
              <w:rPr>
                <w:rFonts w:ascii="Times New Roman" w:eastAsia="Times New Roman" w:hAnsi="Times New Roman" w:cs="Times New Roman"/>
                <w:color w:val="000000"/>
                <w:sz w:val="20"/>
                <w:szCs w:val="20"/>
                <w:vertAlign w:val="superscript"/>
                <w:lang w:eastAsia="fr-FR"/>
              </w:rPr>
              <w:t>b</w:t>
            </w:r>
          </w:p>
        </w:tc>
        <w:tc>
          <w:tcPr>
            <w:tcW w:w="877" w:type="dxa"/>
            <w:noWrap/>
            <w:vAlign w:val="center"/>
            <w:hideMark/>
          </w:tcPr>
          <w:p w14:paraId="63E956F5" w14:textId="2035CF52"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0.019</w:t>
            </w:r>
          </w:p>
        </w:tc>
        <w:tc>
          <w:tcPr>
            <w:tcW w:w="501" w:type="dxa"/>
            <w:vAlign w:val="center"/>
            <w:hideMark/>
          </w:tcPr>
          <w:p w14:paraId="09B9DB96" w14:textId="2088D2D2"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w:t>
            </w:r>
          </w:p>
        </w:tc>
      </w:tr>
      <w:tr w:rsidR="00C13115" w:rsidRPr="00C778CD" w14:paraId="3348DA82" w14:textId="77777777" w:rsidTr="00C13115">
        <w:trPr>
          <w:trHeight w:val="210"/>
        </w:trPr>
        <w:tc>
          <w:tcPr>
            <w:tcW w:w="644" w:type="dxa"/>
            <w:vMerge/>
            <w:tcBorders>
              <w:top w:val="single" w:sz="4" w:space="0" w:color="auto"/>
              <w:left w:val="single" w:sz="4" w:space="0" w:color="auto"/>
              <w:bottom w:val="single" w:sz="4" w:space="0" w:color="auto"/>
              <w:right w:val="single" w:sz="4" w:space="0" w:color="auto"/>
            </w:tcBorders>
          </w:tcPr>
          <w:p w14:paraId="6C57BDE1" w14:textId="77777777"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p>
        </w:tc>
        <w:tc>
          <w:tcPr>
            <w:tcW w:w="995" w:type="dxa"/>
            <w:tcBorders>
              <w:left w:val="single" w:sz="4" w:space="0" w:color="auto"/>
            </w:tcBorders>
            <w:vAlign w:val="center"/>
            <w:hideMark/>
          </w:tcPr>
          <w:p w14:paraId="7D1C4849" w14:textId="4986BE67"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bCs/>
                <w:color w:val="000000"/>
                <w:sz w:val="20"/>
                <w:szCs w:val="20"/>
                <w:lang w:eastAsia="fr-FR"/>
              </w:rPr>
              <w:t>CAN+CB</w:t>
            </w:r>
          </w:p>
        </w:tc>
        <w:tc>
          <w:tcPr>
            <w:tcW w:w="1460" w:type="dxa"/>
            <w:vAlign w:val="center"/>
            <w:hideMark/>
          </w:tcPr>
          <w:p w14:paraId="410E19EC" w14:textId="1F9D5922"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0.35 ± 0.02</w:t>
            </w:r>
            <w:r w:rsidRPr="00C778CD">
              <w:rPr>
                <w:rFonts w:ascii="Times New Roman" w:eastAsia="Times New Roman" w:hAnsi="Times New Roman" w:cs="Times New Roman"/>
                <w:color w:val="000000"/>
                <w:sz w:val="20"/>
                <w:szCs w:val="20"/>
                <w:vertAlign w:val="superscript"/>
                <w:lang w:eastAsia="fr-FR"/>
              </w:rPr>
              <w:t>a</w:t>
            </w:r>
          </w:p>
        </w:tc>
        <w:tc>
          <w:tcPr>
            <w:tcW w:w="1460" w:type="dxa"/>
            <w:vAlign w:val="center"/>
            <w:hideMark/>
          </w:tcPr>
          <w:p w14:paraId="550540E2" w14:textId="7994F038"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0.21 ± 0.03</w:t>
            </w:r>
            <w:r w:rsidRPr="00C778CD">
              <w:rPr>
                <w:rFonts w:ascii="Times New Roman" w:eastAsia="Times New Roman" w:hAnsi="Times New Roman" w:cs="Times New Roman"/>
                <w:color w:val="000000"/>
                <w:sz w:val="20"/>
                <w:szCs w:val="20"/>
                <w:vertAlign w:val="superscript"/>
                <w:lang w:eastAsia="fr-FR"/>
              </w:rPr>
              <w:t>ab</w:t>
            </w:r>
          </w:p>
        </w:tc>
        <w:tc>
          <w:tcPr>
            <w:tcW w:w="1382" w:type="dxa"/>
            <w:vAlign w:val="center"/>
            <w:hideMark/>
          </w:tcPr>
          <w:p w14:paraId="45970940" w14:textId="17AC29F5"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0.27 ± 0.05</w:t>
            </w:r>
            <w:r w:rsidRPr="00C778CD">
              <w:rPr>
                <w:rFonts w:ascii="Times New Roman" w:eastAsia="Times New Roman" w:hAnsi="Times New Roman" w:cs="Times New Roman"/>
                <w:color w:val="000000"/>
                <w:sz w:val="20"/>
                <w:szCs w:val="20"/>
                <w:vertAlign w:val="superscript"/>
                <w:lang w:eastAsia="fr-FR"/>
              </w:rPr>
              <w:t>a</w:t>
            </w:r>
          </w:p>
        </w:tc>
        <w:tc>
          <w:tcPr>
            <w:tcW w:w="1383" w:type="dxa"/>
            <w:vAlign w:val="center"/>
            <w:hideMark/>
          </w:tcPr>
          <w:p w14:paraId="4E4AAC59" w14:textId="1A8A847C"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0.21 ± 0.03</w:t>
            </w:r>
            <w:r w:rsidRPr="00C778CD">
              <w:rPr>
                <w:rFonts w:ascii="Times New Roman" w:eastAsia="Times New Roman" w:hAnsi="Times New Roman" w:cs="Times New Roman"/>
                <w:color w:val="000000"/>
                <w:sz w:val="20"/>
                <w:szCs w:val="20"/>
                <w:vertAlign w:val="superscript"/>
                <w:lang w:eastAsia="fr-FR"/>
              </w:rPr>
              <w:t>ab</w:t>
            </w:r>
          </w:p>
        </w:tc>
        <w:tc>
          <w:tcPr>
            <w:tcW w:w="1382" w:type="dxa"/>
            <w:vAlign w:val="center"/>
            <w:hideMark/>
          </w:tcPr>
          <w:p w14:paraId="21C2B2D8" w14:textId="3409E852"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0.04 ± 0.04</w:t>
            </w:r>
            <w:r w:rsidRPr="00C778CD">
              <w:rPr>
                <w:rFonts w:ascii="Times New Roman" w:eastAsia="Times New Roman" w:hAnsi="Times New Roman" w:cs="Times New Roman"/>
                <w:color w:val="000000"/>
                <w:sz w:val="20"/>
                <w:szCs w:val="20"/>
                <w:vertAlign w:val="superscript"/>
                <w:lang w:eastAsia="fr-FR"/>
              </w:rPr>
              <w:t>b</w:t>
            </w:r>
          </w:p>
        </w:tc>
        <w:tc>
          <w:tcPr>
            <w:tcW w:w="877" w:type="dxa"/>
            <w:noWrap/>
            <w:vAlign w:val="center"/>
            <w:hideMark/>
          </w:tcPr>
          <w:p w14:paraId="4553BA25" w14:textId="72F7EC1D"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0.004</w:t>
            </w:r>
          </w:p>
        </w:tc>
        <w:tc>
          <w:tcPr>
            <w:tcW w:w="501" w:type="dxa"/>
            <w:vAlign w:val="center"/>
            <w:hideMark/>
          </w:tcPr>
          <w:p w14:paraId="381907B1" w14:textId="64453599" w:rsidR="00C13115" w:rsidRPr="00C778CD" w:rsidRDefault="00C13115" w:rsidP="00C778CD">
            <w:pPr>
              <w:spacing w:after="0" w:line="240" w:lineRule="auto"/>
              <w:rPr>
                <w:rFonts w:ascii="Times New Roman" w:eastAsia="Times New Roman" w:hAnsi="Times New Roman" w:cs="Times New Roman"/>
                <w:color w:val="000000"/>
                <w:sz w:val="20"/>
                <w:szCs w:val="20"/>
                <w:lang w:eastAsia="fr-FR"/>
              </w:rPr>
            </w:pPr>
            <w:r w:rsidRPr="00C778CD">
              <w:rPr>
                <w:rFonts w:ascii="Times New Roman" w:eastAsia="Times New Roman" w:hAnsi="Times New Roman" w:cs="Times New Roman"/>
                <w:color w:val="000000"/>
                <w:sz w:val="20"/>
                <w:szCs w:val="20"/>
                <w:lang w:eastAsia="fr-FR"/>
              </w:rPr>
              <w:t>**</w:t>
            </w:r>
          </w:p>
        </w:tc>
      </w:tr>
    </w:tbl>
    <w:bookmarkEnd w:id="5"/>
    <w:p w14:paraId="5FBE172C" w14:textId="77777777" w:rsidR="00E547BA" w:rsidRPr="00E547BA" w:rsidRDefault="00E547BA" w:rsidP="00E13F58">
      <w:pPr>
        <w:pStyle w:val="Heading2"/>
        <w:spacing w:after="0" w:line="480" w:lineRule="auto"/>
        <w:ind w:left="708"/>
        <w:jc w:val="both"/>
        <w:rPr>
          <w:rFonts w:ascii="Times New Roman" w:hAnsi="Times New Roman" w:cs="Times New Roman"/>
          <w:b/>
          <w:color w:val="auto"/>
          <w:sz w:val="24"/>
          <w:szCs w:val="24"/>
          <w:lang w:val="en-US"/>
        </w:rPr>
      </w:pPr>
      <w:r w:rsidRPr="00E547BA">
        <w:rPr>
          <w:rFonts w:ascii="Times New Roman" w:hAnsi="Times New Roman" w:cs="Times New Roman"/>
          <w:b/>
          <w:color w:val="auto"/>
          <w:sz w:val="24"/>
          <w:szCs w:val="24"/>
          <w:lang w:val="en-US"/>
        </w:rPr>
        <w:t>Effect of conservation methods on the number of shoots per plant</w:t>
      </w:r>
    </w:p>
    <w:p w14:paraId="17026BF7" w14:textId="60C0CBEE" w:rsidR="00E547BA" w:rsidRDefault="00E547BA" w:rsidP="001C17BD">
      <w:pPr>
        <w:spacing w:after="0" w:line="480" w:lineRule="auto"/>
        <w:jc w:val="both"/>
        <w:rPr>
          <w:rFonts w:ascii="Times New Roman" w:hAnsi="Times New Roman" w:cs="Times New Roman"/>
          <w:bCs/>
          <w:sz w:val="24"/>
          <w:szCs w:val="24"/>
          <w:lang w:val="en-US"/>
        </w:rPr>
      </w:pPr>
      <w:r w:rsidRPr="00E215F1">
        <w:rPr>
          <w:rFonts w:ascii="Times New Roman" w:hAnsi="Times New Roman" w:cs="Times New Roman"/>
          <w:bCs/>
          <w:sz w:val="24"/>
          <w:szCs w:val="24"/>
          <w:lang w:val="en-US"/>
        </w:rPr>
        <w:t>The number of shoots ranged from 3.07 ± 0.6 to 8.18 ± 0.83 depending on the conservation method, with higher values observed in plants grown from seedlings stored in “</w:t>
      </w:r>
      <w:proofErr w:type="spellStart"/>
      <w:r w:rsidRPr="00E215F1">
        <w:rPr>
          <w:rFonts w:ascii="Times New Roman" w:hAnsi="Times New Roman" w:cs="Times New Roman"/>
          <w:bCs/>
          <w:sz w:val="24"/>
          <w:szCs w:val="24"/>
          <w:lang w:val="en-US"/>
        </w:rPr>
        <w:t>bitatoré</w:t>
      </w:r>
      <w:proofErr w:type="spellEnd"/>
      <w:r w:rsidRPr="00E215F1">
        <w:rPr>
          <w:rFonts w:ascii="Times New Roman" w:hAnsi="Times New Roman" w:cs="Times New Roman"/>
          <w:bCs/>
          <w:sz w:val="24"/>
          <w:szCs w:val="24"/>
          <w:lang w:val="en-US"/>
        </w:rPr>
        <w:t xml:space="preserve"> with millet glumes as an additive and with sand as an additive had a higher number of tillers (8.00 ± 0.83 and 8.18 ± 0.83 tillers) on the 73rd day after the seedlings were transplanted (Table 5). In contrast, the lowest numbers of tillers were observed in plants derived from seedlings stored in canary seed without an additive and using the triple S method, with values ranging from 4.72 ± </w:t>
      </w:r>
      <w:r w:rsidRPr="00E215F1">
        <w:rPr>
          <w:rFonts w:ascii="Times New Roman" w:hAnsi="Times New Roman" w:cs="Times New Roman"/>
          <w:bCs/>
          <w:sz w:val="24"/>
          <w:szCs w:val="24"/>
          <w:lang w:val="en-US"/>
        </w:rPr>
        <w:lastRenderedPageBreak/>
        <w:t xml:space="preserve">0.91 to 5.00 ± 0.83 tillers. </w:t>
      </w:r>
      <w:r w:rsidR="00E215F1" w:rsidRPr="00E215F1">
        <w:rPr>
          <w:rFonts w:ascii="Times New Roman" w:hAnsi="Times New Roman" w:cs="Times New Roman"/>
          <w:bCs/>
          <w:sz w:val="24"/>
          <w:szCs w:val="24"/>
          <w:lang w:val="en-US"/>
        </w:rPr>
        <w:t>Except for</w:t>
      </w:r>
      <w:r w:rsidRPr="00E215F1">
        <w:rPr>
          <w:rFonts w:ascii="Times New Roman" w:hAnsi="Times New Roman" w:cs="Times New Roman"/>
          <w:bCs/>
          <w:sz w:val="24"/>
          <w:szCs w:val="24"/>
          <w:lang w:val="en-US"/>
        </w:rPr>
        <w:t xml:space="preserve"> the 31st and 38th days after sowing, the analysis of variance revealed significant differences between the storage methods (Table 5).</w:t>
      </w:r>
    </w:p>
    <w:p w14:paraId="1BBED2B5" w14:textId="32E6B41B" w:rsidR="00C13115" w:rsidRDefault="00E215F1" w:rsidP="001C17BD">
      <w:pPr>
        <w:spacing w:line="480" w:lineRule="auto"/>
        <w:jc w:val="both"/>
        <w:rPr>
          <w:rFonts w:ascii="Times New Roman" w:hAnsi="Times New Roman" w:cs="Times New Roman"/>
          <w:bCs/>
          <w:sz w:val="24"/>
          <w:szCs w:val="24"/>
          <w:lang w:val="en-US"/>
        </w:rPr>
      </w:pPr>
      <w:r w:rsidRPr="00E215F1">
        <w:rPr>
          <w:rFonts w:ascii="Times New Roman" w:hAnsi="Times New Roman" w:cs="Times New Roman"/>
          <w:bCs/>
          <w:sz w:val="24"/>
          <w:szCs w:val="24"/>
          <w:lang w:val="en-US"/>
        </w:rPr>
        <w:t>The number of shoots per plant also ranged from 2.33 ± 1.47 to 12.33 ± 0.67 shoots, depending on the genotype (Table 6). Analysis of variance revealed a significant difference between genotypes derived from “</w:t>
      </w:r>
      <w:proofErr w:type="spellStart"/>
      <w:r w:rsidRPr="00E215F1">
        <w:rPr>
          <w:rFonts w:ascii="Times New Roman" w:hAnsi="Times New Roman" w:cs="Times New Roman"/>
          <w:bCs/>
          <w:sz w:val="24"/>
          <w:szCs w:val="24"/>
          <w:lang w:val="en-US"/>
        </w:rPr>
        <w:t>bitatoré</w:t>
      </w:r>
      <w:proofErr w:type="spellEnd"/>
      <w:r w:rsidRPr="00E215F1">
        <w:rPr>
          <w:rFonts w:ascii="Times New Roman" w:hAnsi="Times New Roman" w:cs="Times New Roman"/>
          <w:bCs/>
          <w:sz w:val="24"/>
          <w:szCs w:val="24"/>
          <w:lang w:val="en-US"/>
        </w:rPr>
        <w:t>” conservation methods using sand (BITA+S) (P = 0.02), millet glume as an additive (BITA+G) (P = 0.04), and canary seed without additive (CAN) (P = 0.04) (Table 6). Indeed, for “</w:t>
      </w:r>
      <w:proofErr w:type="spellStart"/>
      <w:r w:rsidRPr="00E215F1">
        <w:rPr>
          <w:rFonts w:ascii="Times New Roman" w:hAnsi="Times New Roman" w:cs="Times New Roman"/>
          <w:bCs/>
          <w:sz w:val="24"/>
          <w:szCs w:val="24"/>
          <w:lang w:val="en-US"/>
        </w:rPr>
        <w:t>bitatoré</w:t>
      </w:r>
      <w:proofErr w:type="spellEnd"/>
      <w:r w:rsidRPr="00E215F1">
        <w:rPr>
          <w:rFonts w:ascii="Times New Roman" w:hAnsi="Times New Roman" w:cs="Times New Roman"/>
          <w:bCs/>
          <w:sz w:val="24"/>
          <w:szCs w:val="24"/>
          <w:lang w:val="en-US"/>
        </w:rPr>
        <w:t>” with sand (BITA+S), the highest number of tillers was observed in plants of genotype E165 (12.33 ± 0.67 tillers), while the lowest was observed in genotype UW086 M (5.00 ± 0.00 tillers). For the “</w:t>
      </w:r>
      <w:proofErr w:type="spellStart"/>
      <w:r w:rsidRPr="00E215F1">
        <w:rPr>
          <w:rFonts w:ascii="Times New Roman" w:hAnsi="Times New Roman" w:cs="Times New Roman"/>
          <w:bCs/>
          <w:sz w:val="24"/>
          <w:szCs w:val="24"/>
          <w:lang w:val="en-US"/>
        </w:rPr>
        <w:t>bitatoré</w:t>
      </w:r>
      <w:proofErr w:type="spellEnd"/>
      <w:r w:rsidRPr="00E215F1">
        <w:rPr>
          <w:rFonts w:ascii="Times New Roman" w:hAnsi="Times New Roman" w:cs="Times New Roman"/>
          <w:bCs/>
          <w:sz w:val="24"/>
          <w:szCs w:val="24"/>
          <w:lang w:val="en-US"/>
        </w:rPr>
        <w:t>” with millet glumes as an additive, the highest values for tillers were observed in genotypes E165 (9.33 ± 1.45 tillers) and ‘White’ (8.00 ± 0.00 tillers), while the lowest was obtained in plants of genotype E120 (3.33 ± 2.03) (Table 6). As for the conservation method in canary without additive (CAN), only plants of the ‘White’ genotype showed a low number of tillers (2.00 ± 0.58 tillers) compared to the other genotypes, whose values remained high and statistically equivalent, ranging from 5.67 ± 0.88 to 10.00 ± 1.15 tillers (Table 6)</w:t>
      </w:r>
      <w:r w:rsidR="00AE2C03">
        <w:rPr>
          <w:rFonts w:ascii="Times New Roman" w:hAnsi="Times New Roman" w:cs="Times New Roman"/>
          <w:bCs/>
          <w:sz w:val="24"/>
          <w:szCs w:val="24"/>
          <w:lang w:val="en-US"/>
        </w:rPr>
        <w:t>.</w:t>
      </w:r>
    </w:p>
    <w:p w14:paraId="625E092E" w14:textId="39AE1325" w:rsidR="00AE2C03" w:rsidRDefault="00AE2C03" w:rsidP="00C33C19">
      <w:pPr>
        <w:spacing w:after="0" w:line="360" w:lineRule="auto"/>
        <w:jc w:val="both"/>
        <w:rPr>
          <w:rFonts w:ascii="Times New Roman" w:hAnsi="Times New Roman" w:cs="Times New Roman"/>
          <w:bCs/>
          <w:sz w:val="24"/>
          <w:szCs w:val="24"/>
          <w:lang w:val="en-US"/>
        </w:rPr>
      </w:pPr>
      <w:r w:rsidRPr="00C33C19">
        <w:rPr>
          <w:rFonts w:ascii="Times New Roman" w:hAnsi="Times New Roman" w:cs="Times New Roman"/>
          <w:b/>
          <w:sz w:val="24"/>
          <w:szCs w:val="24"/>
          <w:lang w:val="en-US"/>
        </w:rPr>
        <w:t>Table 5:</w:t>
      </w:r>
      <w:r w:rsidRPr="00AE2C03">
        <w:rPr>
          <w:rFonts w:ascii="Times New Roman" w:hAnsi="Times New Roman" w:cs="Times New Roman"/>
          <w:bCs/>
          <w:sz w:val="24"/>
          <w:szCs w:val="24"/>
          <w:lang w:val="en-US"/>
        </w:rPr>
        <w:t xml:space="preserve"> Number of shoots per plant according to seedling conservation methods</w:t>
      </w:r>
    </w:p>
    <w:tbl>
      <w:tblPr>
        <w:tblW w:w="9071" w:type="dxa"/>
        <w:tblInd w:w="-70" w:type="dxa"/>
        <w:tblCellMar>
          <w:left w:w="70" w:type="dxa"/>
          <w:right w:w="70" w:type="dxa"/>
        </w:tblCellMar>
        <w:tblLook w:val="04A0" w:firstRow="1" w:lastRow="0" w:firstColumn="1" w:lastColumn="0" w:noHBand="0" w:noVBand="1"/>
      </w:tblPr>
      <w:tblGrid>
        <w:gridCol w:w="1168"/>
        <w:gridCol w:w="1129"/>
        <w:gridCol w:w="1129"/>
        <w:gridCol w:w="1129"/>
        <w:gridCol w:w="1129"/>
        <w:gridCol w:w="1129"/>
        <w:gridCol w:w="1129"/>
        <w:gridCol w:w="1129"/>
      </w:tblGrid>
      <w:tr w:rsidR="00AE2C03" w:rsidRPr="00C778CD" w14:paraId="5691741E" w14:textId="77777777" w:rsidTr="00AE2C03">
        <w:trPr>
          <w:trHeight w:val="227"/>
        </w:trPr>
        <w:tc>
          <w:tcPr>
            <w:tcW w:w="1168" w:type="dxa"/>
            <w:tcBorders>
              <w:top w:val="single" w:sz="4" w:space="0" w:color="auto"/>
              <w:left w:val="nil"/>
              <w:bottom w:val="single" w:sz="4" w:space="0" w:color="auto"/>
              <w:right w:val="nil"/>
            </w:tcBorders>
            <w:noWrap/>
            <w:vAlign w:val="center"/>
          </w:tcPr>
          <w:p w14:paraId="2EF5E077" w14:textId="77777777"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hAnsi="Times New Roman" w:cs="Times New Roman"/>
                <w:sz w:val="20"/>
                <w:szCs w:val="20"/>
              </w:rPr>
              <w:t>Methods</w:t>
            </w:r>
          </w:p>
        </w:tc>
        <w:tc>
          <w:tcPr>
            <w:tcW w:w="1129" w:type="dxa"/>
            <w:tcBorders>
              <w:top w:val="single" w:sz="4" w:space="0" w:color="auto"/>
              <w:left w:val="nil"/>
              <w:bottom w:val="single" w:sz="4" w:space="0" w:color="auto"/>
              <w:right w:val="nil"/>
            </w:tcBorders>
            <w:noWrap/>
            <w:vAlign w:val="center"/>
          </w:tcPr>
          <w:p w14:paraId="05A5195B" w14:textId="77777777"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31 DAP</w:t>
            </w:r>
          </w:p>
        </w:tc>
        <w:tc>
          <w:tcPr>
            <w:tcW w:w="1129" w:type="dxa"/>
            <w:tcBorders>
              <w:top w:val="single" w:sz="4" w:space="0" w:color="auto"/>
              <w:left w:val="nil"/>
              <w:bottom w:val="single" w:sz="4" w:space="0" w:color="auto"/>
              <w:right w:val="nil"/>
            </w:tcBorders>
            <w:noWrap/>
            <w:vAlign w:val="center"/>
          </w:tcPr>
          <w:p w14:paraId="29CA78E0" w14:textId="77777777"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38 DAP</w:t>
            </w:r>
          </w:p>
        </w:tc>
        <w:tc>
          <w:tcPr>
            <w:tcW w:w="1129" w:type="dxa"/>
            <w:tcBorders>
              <w:top w:val="single" w:sz="4" w:space="0" w:color="auto"/>
              <w:left w:val="nil"/>
              <w:bottom w:val="single" w:sz="4" w:space="0" w:color="auto"/>
              <w:right w:val="nil"/>
            </w:tcBorders>
            <w:noWrap/>
            <w:vAlign w:val="center"/>
          </w:tcPr>
          <w:p w14:paraId="578BE16C" w14:textId="77777777"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45 DAP</w:t>
            </w:r>
          </w:p>
        </w:tc>
        <w:tc>
          <w:tcPr>
            <w:tcW w:w="1129" w:type="dxa"/>
            <w:tcBorders>
              <w:top w:val="single" w:sz="4" w:space="0" w:color="auto"/>
              <w:left w:val="nil"/>
              <w:bottom w:val="single" w:sz="4" w:space="0" w:color="auto"/>
              <w:right w:val="nil"/>
            </w:tcBorders>
            <w:noWrap/>
            <w:vAlign w:val="center"/>
          </w:tcPr>
          <w:p w14:paraId="2C53C0FB" w14:textId="77777777"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52 DAP</w:t>
            </w:r>
          </w:p>
        </w:tc>
        <w:tc>
          <w:tcPr>
            <w:tcW w:w="1129" w:type="dxa"/>
            <w:tcBorders>
              <w:top w:val="single" w:sz="4" w:space="0" w:color="auto"/>
              <w:left w:val="nil"/>
              <w:bottom w:val="single" w:sz="4" w:space="0" w:color="auto"/>
              <w:right w:val="nil"/>
            </w:tcBorders>
            <w:noWrap/>
            <w:vAlign w:val="center"/>
          </w:tcPr>
          <w:p w14:paraId="241F215F" w14:textId="77777777"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59 DAP</w:t>
            </w:r>
          </w:p>
        </w:tc>
        <w:tc>
          <w:tcPr>
            <w:tcW w:w="1129" w:type="dxa"/>
            <w:tcBorders>
              <w:top w:val="single" w:sz="4" w:space="0" w:color="auto"/>
              <w:left w:val="nil"/>
              <w:bottom w:val="single" w:sz="4" w:space="0" w:color="auto"/>
              <w:right w:val="nil"/>
            </w:tcBorders>
            <w:noWrap/>
            <w:vAlign w:val="center"/>
          </w:tcPr>
          <w:p w14:paraId="594FF83A" w14:textId="77777777"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66 DAP</w:t>
            </w:r>
          </w:p>
        </w:tc>
        <w:tc>
          <w:tcPr>
            <w:tcW w:w="1129" w:type="dxa"/>
            <w:tcBorders>
              <w:top w:val="single" w:sz="4" w:space="0" w:color="auto"/>
              <w:left w:val="nil"/>
              <w:bottom w:val="single" w:sz="4" w:space="0" w:color="auto"/>
              <w:right w:val="nil"/>
            </w:tcBorders>
            <w:noWrap/>
            <w:vAlign w:val="center"/>
          </w:tcPr>
          <w:p w14:paraId="6BF2A42E" w14:textId="77777777"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73 DAP</w:t>
            </w:r>
          </w:p>
        </w:tc>
      </w:tr>
      <w:tr w:rsidR="00AE2C03" w:rsidRPr="00C778CD" w14:paraId="571E5883" w14:textId="77777777" w:rsidTr="00AE2C03">
        <w:trPr>
          <w:trHeight w:val="227"/>
        </w:trPr>
        <w:tc>
          <w:tcPr>
            <w:tcW w:w="1168" w:type="dxa"/>
            <w:tcBorders>
              <w:top w:val="single" w:sz="4" w:space="0" w:color="auto"/>
              <w:left w:val="nil"/>
              <w:bottom w:val="nil"/>
              <w:right w:val="nil"/>
            </w:tcBorders>
            <w:noWrap/>
            <w:vAlign w:val="center"/>
            <w:hideMark/>
          </w:tcPr>
          <w:p w14:paraId="25208309" w14:textId="77777777" w:rsidR="00AE2C03" w:rsidRPr="00C778CD" w:rsidRDefault="00AE2C03" w:rsidP="00C778CD">
            <w:pPr>
              <w:spacing w:after="0" w:line="240" w:lineRule="auto"/>
              <w:rPr>
                <w:rFonts w:ascii="Times New Roman" w:eastAsia="Times New Roman" w:hAnsi="Times New Roman"/>
                <w:bCs/>
                <w:color w:val="000000"/>
                <w:sz w:val="20"/>
                <w:szCs w:val="20"/>
                <w:lang w:eastAsia="fr-FR"/>
              </w:rPr>
            </w:pPr>
            <w:r w:rsidRPr="00C778CD">
              <w:rPr>
                <w:rFonts w:ascii="Times New Roman" w:eastAsia="Times New Roman" w:hAnsi="Times New Roman"/>
                <w:bCs/>
                <w:color w:val="000000"/>
                <w:sz w:val="20"/>
                <w:szCs w:val="20"/>
                <w:lang w:eastAsia="fr-FR"/>
              </w:rPr>
              <w:t>BITA</w:t>
            </w:r>
          </w:p>
        </w:tc>
        <w:tc>
          <w:tcPr>
            <w:tcW w:w="1129" w:type="dxa"/>
            <w:tcBorders>
              <w:top w:val="single" w:sz="4" w:space="0" w:color="auto"/>
              <w:left w:val="nil"/>
              <w:bottom w:val="nil"/>
              <w:right w:val="nil"/>
            </w:tcBorders>
            <w:noWrap/>
            <w:vAlign w:val="center"/>
            <w:hideMark/>
          </w:tcPr>
          <w:p w14:paraId="698BC515" w14:textId="558C721B"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4.14±0.65</w:t>
            </w:r>
            <w:r w:rsidRPr="00C778CD">
              <w:rPr>
                <w:rFonts w:ascii="Times New Roman" w:eastAsia="Times New Roman" w:hAnsi="Times New Roman"/>
                <w:b/>
                <w:bCs/>
                <w:color w:val="000000"/>
                <w:sz w:val="20"/>
                <w:szCs w:val="20"/>
                <w:vertAlign w:val="superscript"/>
                <w:lang w:eastAsia="fr-FR"/>
              </w:rPr>
              <w:t>a</w:t>
            </w:r>
          </w:p>
        </w:tc>
        <w:tc>
          <w:tcPr>
            <w:tcW w:w="1129" w:type="dxa"/>
            <w:tcBorders>
              <w:top w:val="single" w:sz="4" w:space="0" w:color="auto"/>
              <w:left w:val="nil"/>
              <w:bottom w:val="nil"/>
              <w:right w:val="nil"/>
            </w:tcBorders>
            <w:noWrap/>
            <w:vAlign w:val="center"/>
            <w:hideMark/>
          </w:tcPr>
          <w:p w14:paraId="3214A466" w14:textId="5B5A691D"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4.85±0.65</w:t>
            </w:r>
            <w:r w:rsidRPr="00C778CD">
              <w:rPr>
                <w:rFonts w:ascii="Times New Roman" w:eastAsia="Times New Roman" w:hAnsi="Times New Roman"/>
                <w:b/>
                <w:bCs/>
                <w:color w:val="000000"/>
                <w:sz w:val="20"/>
                <w:szCs w:val="20"/>
                <w:vertAlign w:val="superscript"/>
                <w:lang w:eastAsia="fr-FR"/>
              </w:rPr>
              <w:t>a</w:t>
            </w:r>
          </w:p>
        </w:tc>
        <w:tc>
          <w:tcPr>
            <w:tcW w:w="1129" w:type="dxa"/>
            <w:tcBorders>
              <w:top w:val="single" w:sz="4" w:space="0" w:color="auto"/>
              <w:left w:val="nil"/>
              <w:bottom w:val="nil"/>
              <w:right w:val="nil"/>
            </w:tcBorders>
            <w:noWrap/>
            <w:vAlign w:val="center"/>
            <w:hideMark/>
          </w:tcPr>
          <w:p w14:paraId="5CF3BADD" w14:textId="50BA735A"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5,35±0.70</w:t>
            </w:r>
            <w:r w:rsidRPr="00C778CD">
              <w:rPr>
                <w:rFonts w:ascii="Times New Roman" w:eastAsia="Times New Roman" w:hAnsi="Times New Roman"/>
                <w:b/>
                <w:bCs/>
                <w:color w:val="000000"/>
                <w:sz w:val="20"/>
                <w:szCs w:val="20"/>
                <w:vertAlign w:val="superscript"/>
                <w:lang w:eastAsia="fr-FR"/>
              </w:rPr>
              <w:t>ab</w:t>
            </w:r>
          </w:p>
        </w:tc>
        <w:tc>
          <w:tcPr>
            <w:tcW w:w="1129" w:type="dxa"/>
            <w:tcBorders>
              <w:top w:val="single" w:sz="4" w:space="0" w:color="auto"/>
              <w:left w:val="nil"/>
              <w:bottom w:val="nil"/>
              <w:right w:val="nil"/>
            </w:tcBorders>
            <w:noWrap/>
            <w:vAlign w:val="center"/>
            <w:hideMark/>
          </w:tcPr>
          <w:p w14:paraId="0D549A03" w14:textId="36093CAE"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5.64±0.78</w:t>
            </w:r>
            <w:r w:rsidRPr="00C778CD">
              <w:rPr>
                <w:rFonts w:ascii="Times New Roman" w:eastAsia="Times New Roman" w:hAnsi="Times New Roman"/>
                <w:b/>
                <w:bCs/>
                <w:color w:val="000000"/>
                <w:sz w:val="20"/>
                <w:szCs w:val="20"/>
                <w:vertAlign w:val="superscript"/>
                <w:lang w:eastAsia="fr-FR"/>
              </w:rPr>
              <w:t>ab</w:t>
            </w:r>
          </w:p>
        </w:tc>
        <w:tc>
          <w:tcPr>
            <w:tcW w:w="1129" w:type="dxa"/>
            <w:tcBorders>
              <w:top w:val="single" w:sz="4" w:space="0" w:color="auto"/>
              <w:left w:val="nil"/>
              <w:bottom w:val="nil"/>
              <w:right w:val="nil"/>
            </w:tcBorders>
            <w:noWrap/>
            <w:vAlign w:val="center"/>
            <w:hideMark/>
          </w:tcPr>
          <w:p w14:paraId="01A523E2" w14:textId="3FBF527C"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5.71±0,80</w:t>
            </w:r>
            <w:r w:rsidRPr="00C778CD">
              <w:rPr>
                <w:rFonts w:ascii="Times New Roman" w:eastAsia="Times New Roman" w:hAnsi="Times New Roman"/>
                <w:b/>
                <w:bCs/>
                <w:color w:val="000000"/>
                <w:sz w:val="20"/>
                <w:szCs w:val="20"/>
                <w:vertAlign w:val="superscript"/>
                <w:lang w:eastAsia="fr-FR"/>
              </w:rPr>
              <w:t>ab</w:t>
            </w:r>
          </w:p>
        </w:tc>
        <w:tc>
          <w:tcPr>
            <w:tcW w:w="1129" w:type="dxa"/>
            <w:tcBorders>
              <w:top w:val="single" w:sz="4" w:space="0" w:color="auto"/>
              <w:left w:val="nil"/>
              <w:bottom w:val="nil"/>
              <w:right w:val="nil"/>
            </w:tcBorders>
            <w:noWrap/>
            <w:vAlign w:val="center"/>
            <w:hideMark/>
          </w:tcPr>
          <w:p w14:paraId="375E50D2" w14:textId="19B23985"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5.78±0,83</w:t>
            </w:r>
            <w:r w:rsidRPr="00C778CD">
              <w:rPr>
                <w:rFonts w:ascii="Times New Roman" w:eastAsia="Times New Roman" w:hAnsi="Times New Roman"/>
                <w:b/>
                <w:bCs/>
                <w:color w:val="000000"/>
                <w:sz w:val="20"/>
                <w:szCs w:val="20"/>
                <w:vertAlign w:val="superscript"/>
                <w:lang w:eastAsia="fr-FR"/>
              </w:rPr>
              <w:t>ab</w:t>
            </w:r>
          </w:p>
        </w:tc>
        <w:tc>
          <w:tcPr>
            <w:tcW w:w="1129" w:type="dxa"/>
            <w:tcBorders>
              <w:top w:val="single" w:sz="4" w:space="0" w:color="auto"/>
              <w:left w:val="nil"/>
              <w:bottom w:val="nil"/>
              <w:right w:val="nil"/>
            </w:tcBorders>
            <w:noWrap/>
            <w:vAlign w:val="center"/>
            <w:hideMark/>
          </w:tcPr>
          <w:p w14:paraId="384F5937" w14:textId="18791E31"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5.78±0,83</w:t>
            </w:r>
            <w:r w:rsidRPr="00C778CD">
              <w:rPr>
                <w:rFonts w:ascii="Times New Roman" w:eastAsia="Times New Roman" w:hAnsi="Times New Roman"/>
                <w:b/>
                <w:bCs/>
                <w:color w:val="000000"/>
                <w:sz w:val="20"/>
                <w:szCs w:val="20"/>
                <w:vertAlign w:val="superscript"/>
                <w:lang w:eastAsia="fr-FR"/>
              </w:rPr>
              <w:t>ab</w:t>
            </w:r>
          </w:p>
        </w:tc>
      </w:tr>
      <w:tr w:rsidR="00AE2C03" w:rsidRPr="00C778CD" w14:paraId="7963073A" w14:textId="77777777" w:rsidTr="00AE2C03">
        <w:trPr>
          <w:trHeight w:val="227"/>
        </w:trPr>
        <w:tc>
          <w:tcPr>
            <w:tcW w:w="1168" w:type="dxa"/>
            <w:tcBorders>
              <w:top w:val="nil"/>
              <w:left w:val="nil"/>
              <w:bottom w:val="nil"/>
              <w:right w:val="nil"/>
            </w:tcBorders>
            <w:noWrap/>
            <w:vAlign w:val="center"/>
            <w:hideMark/>
          </w:tcPr>
          <w:p w14:paraId="42368902" w14:textId="77777777" w:rsidR="00AE2C03" w:rsidRPr="00C778CD" w:rsidRDefault="00AE2C03" w:rsidP="00C778CD">
            <w:pPr>
              <w:spacing w:after="0" w:line="240" w:lineRule="auto"/>
              <w:rPr>
                <w:rFonts w:ascii="Times New Roman" w:eastAsia="Times New Roman" w:hAnsi="Times New Roman"/>
                <w:bCs/>
                <w:color w:val="000000"/>
                <w:sz w:val="20"/>
                <w:szCs w:val="20"/>
                <w:lang w:eastAsia="fr-FR"/>
              </w:rPr>
            </w:pPr>
            <w:r w:rsidRPr="00C778CD">
              <w:rPr>
                <w:rFonts w:ascii="Times New Roman" w:eastAsia="Times New Roman" w:hAnsi="Times New Roman"/>
                <w:bCs/>
                <w:color w:val="000000"/>
                <w:sz w:val="20"/>
                <w:szCs w:val="20"/>
                <w:lang w:eastAsia="fr-FR"/>
              </w:rPr>
              <w:t>BITA+CB</w:t>
            </w:r>
          </w:p>
        </w:tc>
        <w:tc>
          <w:tcPr>
            <w:tcW w:w="1129" w:type="dxa"/>
            <w:tcBorders>
              <w:top w:val="nil"/>
              <w:left w:val="nil"/>
              <w:bottom w:val="nil"/>
              <w:right w:val="nil"/>
            </w:tcBorders>
            <w:noWrap/>
            <w:vAlign w:val="center"/>
            <w:hideMark/>
          </w:tcPr>
          <w:p w14:paraId="5A1684C0" w14:textId="73565363"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4.55±0.76</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2CEFA726" w14:textId="4C61339C"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5.22±0.92</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00EC17C7" w14:textId="20EEA3FA"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5,88±0.99</w:t>
            </w:r>
            <w:r w:rsidRPr="00C778CD">
              <w:rPr>
                <w:rFonts w:ascii="Times New Roman" w:eastAsia="Times New Roman" w:hAnsi="Times New Roman"/>
                <w:b/>
                <w:bCs/>
                <w:color w:val="000000"/>
                <w:sz w:val="20"/>
                <w:szCs w:val="20"/>
                <w:vertAlign w:val="superscript"/>
                <w:lang w:eastAsia="fr-FR"/>
              </w:rPr>
              <w:t>ab</w:t>
            </w:r>
          </w:p>
        </w:tc>
        <w:tc>
          <w:tcPr>
            <w:tcW w:w="1129" w:type="dxa"/>
            <w:tcBorders>
              <w:top w:val="nil"/>
              <w:left w:val="nil"/>
              <w:bottom w:val="nil"/>
              <w:right w:val="nil"/>
            </w:tcBorders>
            <w:noWrap/>
            <w:vAlign w:val="center"/>
            <w:hideMark/>
          </w:tcPr>
          <w:p w14:paraId="7C58DEE4" w14:textId="19C31E6D"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6.11±1.00</w:t>
            </w:r>
            <w:r w:rsidRPr="00C778CD">
              <w:rPr>
                <w:rFonts w:ascii="Times New Roman" w:eastAsia="Times New Roman" w:hAnsi="Times New Roman"/>
                <w:b/>
                <w:bCs/>
                <w:color w:val="000000"/>
                <w:sz w:val="20"/>
                <w:szCs w:val="20"/>
                <w:vertAlign w:val="superscript"/>
                <w:lang w:eastAsia="fr-FR"/>
              </w:rPr>
              <w:t>ab</w:t>
            </w:r>
          </w:p>
        </w:tc>
        <w:tc>
          <w:tcPr>
            <w:tcW w:w="1129" w:type="dxa"/>
            <w:tcBorders>
              <w:top w:val="nil"/>
              <w:left w:val="nil"/>
              <w:bottom w:val="nil"/>
              <w:right w:val="nil"/>
            </w:tcBorders>
            <w:noWrap/>
            <w:vAlign w:val="center"/>
            <w:hideMark/>
          </w:tcPr>
          <w:p w14:paraId="786BDA78" w14:textId="6CCC0343"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6.55±1,05</w:t>
            </w:r>
            <w:r w:rsidRPr="00C778CD">
              <w:rPr>
                <w:rFonts w:ascii="Times New Roman" w:eastAsia="Times New Roman" w:hAnsi="Times New Roman"/>
                <w:b/>
                <w:bCs/>
                <w:color w:val="000000"/>
                <w:sz w:val="20"/>
                <w:szCs w:val="20"/>
                <w:vertAlign w:val="superscript"/>
                <w:lang w:eastAsia="fr-FR"/>
              </w:rPr>
              <w:t>ab</w:t>
            </w:r>
          </w:p>
        </w:tc>
        <w:tc>
          <w:tcPr>
            <w:tcW w:w="1129" w:type="dxa"/>
            <w:tcBorders>
              <w:top w:val="nil"/>
              <w:left w:val="nil"/>
              <w:bottom w:val="nil"/>
              <w:right w:val="nil"/>
            </w:tcBorders>
            <w:noWrap/>
            <w:vAlign w:val="center"/>
            <w:hideMark/>
          </w:tcPr>
          <w:p w14:paraId="5CA92CE5" w14:textId="23C3B5DE"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6.55±1,05</w:t>
            </w:r>
            <w:r w:rsidRPr="00C778CD">
              <w:rPr>
                <w:rFonts w:ascii="Times New Roman" w:eastAsia="Times New Roman" w:hAnsi="Times New Roman"/>
                <w:b/>
                <w:bCs/>
                <w:color w:val="000000"/>
                <w:sz w:val="20"/>
                <w:szCs w:val="20"/>
                <w:vertAlign w:val="superscript"/>
                <w:lang w:eastAsia="fr-FR"/>
              </w:rPr>
              <w:t>ab</w:t>
            </w:r>
          </w:p>
        </w:tc>
        <w:tc>
          <w:tcPr>
            <w:tcW w:w="1129" w:type="dxa"/>
            <w:tcBorders>
              <w:top w:val="nil"/>
              <w:left w:val="nil"/>
              <w:bottom w:val="nil"/>
              <w:right w:val="nil"/>
            </w:tcBorders>
            <w:noWrap/>
            <w:vAlign w:val="center"/>
            <w:hideMark/>
          </w:tcPr>
          <w:p w14:paraId="612C3E68" w14:textId="6D8AC801"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6.55±0,85</w:t>
            </w:r>
            <w:r w:rsidRPr="00C778CD">
              <w:rPr>
                <w:rFonts w:ascii="Times New Roman" w:eastAsia="Times New Roman" w:hAnsi="Times New Roman"/>
                <w:b/>
                <w:bCs/>
                <w:color w:val="000000"/>
                <w:sz w:val="20"/>
                <w:szCs w:val="20"/>
                <w:vertAlign w:val="superscript"/>
                <w:lang w:eastAsia="fr-FR"/>
              </w:rPr>
              <w:t>ab</w:t>
            </w:r>
          </w:p>
        </w:tc>
      </w:tr>
      <w:tr w:rsidR="00AE2C03" w:rsidRPr="00C778CD" w14:paraId="784EAA91" w14:textId="77777777" w:rsidTr="00AE2C03">
        <w:trPr>
          <w:trHeight w:val="227"/>
        </w:trPr>
        <w:tc>
          <w:tcPr>
            <w:tcW w:w="1168" w:type="dxa"/>
            <w:tcBorders>
              <w:top w:val="nil"/>
              <w:left w:val="nil"/>
              <w:bottom w:val="nil"/>
              <w:right w:val="nil"/>
            </w:tcBorders>
            <w:noWrap/>
            <w:vAlign w:val="center"/>
            <w:hideMark/>
          </w:tcPr>
          <w:p w14:paraId="6719280A" w14:textId="77777777" w:rsidR="00AE2C03" w:rsidRPr="00C778CD" w:rsidRDefault="00AE2C03" w:rsidP="00C778CD">
            <w:pPr>
              <w:spacing w:after="0" w:line="240" w:lineRule="auto"/>
              <w:rPr>
                <w:rFonts w:ascii="Times New Roman" w:eastAsia="Times New Roman" w:hAnsi="Times New Roman"/>
                <w:bCs/>
                <w:color w:val="000000"/>
                <w:sz w:val="20"/>
                <w:szCs w:val="20"/>
                <w:lang w:eastAsia="fr-FR"/>
              </w:rPr>
            </w:pPr>
            <w:r w:rsidRPr="00C778CD">
              <w:rPr>
                <w:rFonts w:ascii="Times New Roman" w:eastAsia="Times New Roman" w:hAnsi="Times New Roman"/>
                <w:bCs/>
                <w:color w:val="000000"/>
                <w:sz w:val="20"/>
                <w:szCs w:val="20"/>
                <w:lang w:eastAsia="fr-FR"/>
              </w:rPr>
              <w:t>BITA+G</w:t>
            </w:r>
          </w:p>
        </w:tc>
        <w:tc>
          <w:tcPr>
            <w:tcW w:w="1129" w:type="dxa"/>
            <w:tcBorders>
              <w:top w:val="nil"/>
              <w:left w:val="nil"/>
              <w:bottom w:val="nil"/>
              <w:right w:val="nil"/>
            </w:tcBorders>
            <w:noWrap/>
            <w:vAlign w:val="center"/>
            <w:hideMark/>
          </w:tcPr>
          <w:p w14:paraId="721DBF39" w14:textId="11604B88"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5.33±0.59</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7A3DEC1C" w14:textId="13AE5C68"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5.88±0.56</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3497D87F" w14:textId="7A58A762"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7,33±0.83</w:t>
            </w:r>
            <w:r w:rsidRPr="00C778CD">
              <w:rPr>
                <w:rFonts w:ascii="Times New Roman" w:eastAsia="Times New Roman" w:hAnsi="Times New Roman"/>
                <w:b/>
                <w:bCs/>
                <w:color w:val="000000"/>
                <w:sz w:val="20"/>
                <w:szCs w:val="20"/>
                <w:vertAlign w:val="superscript"/>
                <w:lang w:eastAsia="fr-FR"/>
              </w:rPr>
              <w:t>ab</w:t>
            </w:r>
          </w:p>
        </w:tc>
        <w:tc>
          <w:tcPr>
            <w:tcW w:w="1129" w:type="dxa"/>
            <w:tcBorders>
              <w:top w:val="nil"/>
              <w:left w:val="nil"/>
              <w:bottom w:val="nil"/>
              <w:right w:val="nil"/>
            </w:tcBorders>
            <w:noWrap/>
            <w:vAlign w:val="center"/>
            <w:hideMark/>
          </w:tcPr>
          <w:p w14:paraId="40595063" w14:textId="2DE64DE4"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7.55±0.94</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3D6DAE0C" w14:textId="79647BF4"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8.00±0,92</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33BAD229" w14:textId="1B02D610"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8.00±0,92</w:t>
            </w:r>
            <w:r w:rsidRPr="00C778CD">
              <w:rPr>
                <w:rFonts w:ascii="Times New Roman" w:eastAsia="Times New Roman" w:hAnsi="Times New Roman"/>
                <w:b/>
                <w:bCs/>
                <w:color w:val="000000"/>
                <w:sz w:val="20"/>
                <w:szCs w:val="20"/>
                <w:vertAlign w:val="superscript"/>
                <w:lang w:eastAsia="fr-FR"/>
              </w:rPr>
              <w:t>ab</w:t>
            </w:r>
          </w:p>
        </w:tc>
        <w:tc>
          <w:tcPr>
            <w:tcW w:w="1129" w:type="dxa"/>
            <w:tcBorders>
              <w:top w:val="nil"/>
              <w:left w:val="nil"/>
              <w:bottom w:val="nil"/>
              <w:right w:val="nil"/>
            </w:tcBorders>
            <w:noWrap/>
            <w:vAlign w:val="center"/>
            <w:hideMark/>
          </w:tcPr>
          <w:p w14:paraId="211D3388" w14:textId="2792C040"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8.00±0,83</w:t>
            </w:r>
            <w:r w:rsidRPr="00C778CD">
              <w:rPr>
                <w:rFonts w:ascii="Times New Roman" w:eastAsia="Times New Roman" w:hAnsi="Times New Roman"/>
                <w:b/>
                <w:bCs/>
                <w:color w:val="000000"/>
                <w:sz w:val="20"/>
                <w:szCs w:val="20"/>
                <w:vertAlign w:val="superscript"/>
                <w:lang w:eastAsia="fr-FR"/>
              </w:rPr>
              <w:t>a</w:t>
            </w:r>
          </w:p>
        </w:tc>
      </w:tr>
      <w:tr w:rsidR="00AE2C03" w:rsidRPr="00C778CD" w14:paraId="69371E68" w14:textId="77777777" w:rsidTr="00AE2C03">
        <w:trPr>
          <w:trHeight w:val="227"/>
        </w:trPr>
        <w:tc>
          <w:tcPr>
            <w:tcW w:w="1168" w:type="dxa"/>
            <w:tcBorders>
              <w:top w:val="nil"/>
              <w:left w:val="nil"/>
              <w:bottom w:val="nil"/>
              <w:right w:val="nil"/>
            </w:tcBorders>
            <w:noWrap/>
            <w:vAlign w:val="center"/>
            <w:hideMark/>
          </w:tcPr>
          <w:p w14:paraId="7CF2656C" w14:textId="77777777" w:rsidR="00AE2C03" w:rsidRPr="00C778CD" w:rsidRDefault="00AE2C03" w:rsidP="00C778CD">
            <w:pPr>
              <w:spacing w:after="0" w:line="240" w:lineRule="auto"/>
              <w:rPr>
                <w:rFonts w:ascii="Times New Roman" w:eastAsia="Times New Roman" w:hAnsi="Times New Roman"/>
                <w:bCs/>
                <w:color w:val="000000"/>
                <w:sz w:val="20"/>
                <w:szCs w:val="20"/>
                <w:lang w:eastAsia="fr-FR"/>
              </w:rPr>
            </w:pPr>
            <w:r w:rsidRPr="00C778CD">
              <w:rPr>
                <w:rFonts w:ascii="Times New Roman" w:eastAsia="Times New Roman" w:hAnsi="Times New Roman"/>
                <w:bCs/>
                <w:color w:val="000000"/>
                <w:sz w:val="20"/>
                <w:szCs w:val="20"/>
                <w:lang w:eastAsia="fr-FR"/>
              </w:rPr>
              <w:t>BITA+S</w:t>
            </w:r>
          </w:p>
        </w:tc>
        <w:tc>
          <w:tcPr>
            <w:tcW w:w="1129" w:type="dxa"/>
            <w:tcBorders>
              <w:top w:val="nil"/>
              <w:left w:val="nil"/>
              <w:bottom w:val="nil"/>
              <w:right w:val="nil"/>
            </w:tcBorders>
            <w:noWrap/>
            <w:vAlign w:val="center"/>
            <w:hideMark/>
          </w:tcPr>
          <w:p w14:paraId="3337FE93" w14:textId="6F04C766"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5.18±0.89</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062E1842" w14:textId="4F68F5F8"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6.18±0.98</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31656110" w14:textId="0D0B147D"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7,72±1.05</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1949686C" w14:textId="75E07198"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7.81±1.02</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3037C742" w14:textId="5360A69B"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8.09±0,99</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66E40884" w14:textId="7E28B6E1"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8.18±0,98</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55278C1D" w14:textId="4DD6D0AF"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8.18±0,83</w:t>
            </w:r>
            <w:r w:rsidRPr="00C778CD">
              <w:rPr>
                <w:rFonts w:ascii="Times New Roman" w:eastAsia="Times New Roman" w:hAnsi="Times New Roman"/>
                <w:b/>
                <w:bCs/>
                <w:color w:val="000000"/>
                <w:sz w:val="20"/>
                <w:szCs w:val="20"/>
                <w:vertAlign w:val="superscript"/>
                <w:lang w:eastAsia="fr-FR"/>
              </w:rPr>
              <w:t>a</w:t>
            </w:r>
          </w:p>
        </w:tc>
      </w:tr>
      <w:tr w:rsidR="00AE2C03" w:rsidRPr="00C778CD" w14:paraId="418E6D3A" w14:textId="77777777" w:rsidTr="00AE2C03">
        <w:trPr>
          <w:trHeight w:val="227"/>
        </w:trPr>
        <w:tc>
          <w:tcPr>
            <w:tcW w:w="1168" w:type="dxa"/>
            <w:tcBorders>
              <w:top w:val="nil"/>
              <w:left w:val="nil"/>
              <w:bottom w:val="nil"/>
              <w:right w:val="nil"/>
            </w:tcBorders>
            <w:noWrap/>
            <w:vAlign w:val="center"/>
            <w:hideMark/>
          </w:tcPr>
          <w:p w14:paraId="02966EE0" w14:textId="77777777" w:rsidR="00AE2C03" w:rsidRPr="00C778CD" w:rsidRDefault="00AE2C03" w:rsidP="00C778CD">
            <w:pPr>
              <w:spacing w:after="0" w:line="240" w:lineRule="auto"/>
              <w:rPr>
                <w:rFonts w:ascii="Times New Roman" w:eastAsia="Times New Roman" w:hAnsi="Times New Roman"/>
                <w:bCs/>
                <w:color w:val="000000"/>
                <w:sz w:val="20"/>
                <w:szCs w:val="20"/>
                <w:lang w:eastAsia="fr-FR"/>
              </w:rPr>
            </w:pPr>
            <w:r w:rsidRPr="00C778CD">
              <w:rPr>
                <w:rFonts w:ascii="Times New Roman" w:eastAsia="Times New Roman" w:hAnsi="Times New Roman"/>
                <w:bCs/>
                <w:color w:val="000000"/>
                <w:sz w:val="20"/>
                <w:szCs w:val="20"/>
                <w:lang w:eastAsia="fr-FR"/>
              </w:rPr>
              <w:t>CAN</w:t>
            </w:r>
          </w:p>
        </w:tc>
        <w:tc>
          <w:tcPr>
            <w:tcW w:w="1129" w:type="dxa"/>
            <w:tcBorders>
              <w:top w:val="nil"/>
              <w:left w:val="nil"/>
              <w:bottom w:val="nil"/>
              <w:right w:val="nil"/>
            </w:tcBorders>
            <w:noWrap/>
            <w:vAlign w:val="center"/>
            <w:hideMark/>
          </w:tcPr>
          <w:p w14:paraId="02668EE0" w14:textId="2A14EE49"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4.21±0.58</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3383CB0B" w14:textId="0861B7CF"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4.92±0059</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62112A28" w14:textId="383ADE0A"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5,57±0.70</w:t>
            </w:r>
            <w:r w:rsidRPr="00C778CD">
              <w:rPr>
                <w:rFonts w:ascii="Times New Roman" w:eastAsia="Times New Roman" w:hAnsi="Times New Roman"/>
                <w:b/>
                <w:bCs/>
                <w:color w:val="000000"/>
                <w:sz w:val="20"/>
                <w:szCs w:val="20"/>
                <w:vertAlign w:val="superscript"/>
                <w:lang w:eastAsia="fr-FR"/>
              </w:rPr>
              <w:t>ab</w:t>
            </w:r>
          </w:p>
        </w:tc>
        <w:tc>
          <w:tcPr>
            <w:tcW w:w="1129" w:type="dxa"/>
            <w:tcBorders>
              <w:top w:val="nil"/>
              <w:left w:val="nil"/>
              <w:bottom w:val="nil"/>
              <w:right w:val="nil"/>
            </w:tcBorders>
            <w:noWrap/>
            <w:vAlign w:val="center"/>
            <w:hideMark/>
          </w:tcPr>
          <w:p w14:paraId="478B241C" w14:textId="4DE33F8D"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6.07±0.93</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3FF52F5F" w14:textId="71E622F8"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6.57±0,95</w:t>
            </w:r>
            <w:r w:rsidRPr="00C778CD">
              <w:rPr>
                <w:rFonts w:ascii="Times New Roman" w:eastAsia="Times New Roman" w:hAnsi="Times New Roman"/>
                <w:b/>
                <w:bCs/>
                <w:color w:val="000000"/>
                <w:sz w:val="20"/>
                <w:szCs w:val="20"/>
                <w:vertAlign w:val="superscript"/>
                <w:lang w:eastAsia="fr-FR"/>
              </w:rPr>
              <w:t>ab</w:t>
            </w:r>
          </w:p>
        </w:tc>
        <w:tc>
          <w:tcPr>
            <w:tcW w:w="1129" w:type="dxa"/>
            <w:tcBorders>
              <w:top w:val="nil"/>
              <w:left w:val="nil"/>
              <w:bottom w:val="nil"/>
              <w:right w:val="nil"/>
            </w:tcBorders>
            <w:noWrap/>
            <w:vAlign w:val="center"/>
            <w:hideMark/>
          </w:tcPr>
          <w:p w14:paraId="3C272A40" w14:textId="21274BA2"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6.57±0,95</w:t>
            </w:r>
            <w:r w:rsidRPr="00C778CD">
              <w:rPr>
                <w:rFonts w:ascii="Times New Roman" w:eastAsia="Times New Roman" w:hAnsi="Times New Roman"/>
                <w:color w:val="000000"/>
                <w:sz w:val="20"/>
                <w:szCs w:val="20"/>
                <w:vertAlign w:val="superscript"/>
                <w:lang w:eastAsia="fr-FR"/>
              </w:rPr>
              <w:t>a</w:t>
            </w:r>
            <w:r w:rsidRPr="00C778CD">
              <w:rPr>
                <w:rFonts w:ascii="Times New Roman" w:eastAsia="Times New Roman" w:hAnsi="Times New Roman"/>
                <w:b/>
                <w:bCs/>
                <w:color w:val="000000"/>
                <w:sz w:val="20"/>
                <w:szCs w:val="20"/>
                <w:vertAlign w:val="superscript"/>
                <w:lang w:eastAsia="fr-FR"/>
              </w:rPr>
              <w:t>b</w:t>
            </w:r>
          </w:p>
        </w:tc>
        <w:tc>
          <w:tcPr>
            <w:tcW w:w="1129" w:type="dxa"/>
            <w:tcBorders>
              <w:top w:val="nil"/>
              <w:left w:val="nil"/>
              <w:bottom w:val="nil"/>
              <w:right w:val="nil"/>
            </w:tcBorders>
            <w:noWrap/>
            <w:vAlign w:val="center"/>
            <w:hideMark/>
          </w:tcPr>
          <w:p w14:paraId="458CB1D1" w14:textId="74E2B16A"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6.57±0,95</w:t>
            </w:r>
            <w:r w:rsidRPr="00C778CD">
              <w:rPr>
                <w:rFonts w:ascii="Times New Roman" w:eastAsia="Times New Roman" w:hAnsi="Times New Roman"/>
                <w:b/>
                <w:bCs/>
                <w:color w:val="000000"/>
                <w:sz w:val="20"/>
                <w:szCs w:val="20"/>
                <w:vertAlign w:val="superscript"/>
                <w:lang w:eastAsia="fr-FR"/>
              </w:rPr>
              <w:t>ab</w:t>
            </w:r>
          </w:p>
        </w:tc>
      </w:tr>
      <w:tr w:rsidR="00AE2C03" w:rsidRPr="00C778CD" w14:paraId="3B7DA48F" w14:textId="77777777" w:rsidTr="00AE2C03">
        <w:trPr>
          <w:trHeight w:val="227"/>
        </w:trPr>
        <w:tc>
          <w:tcPr>
            <w:tcW w:w="1168" w:type="dxa"/>
            <w:tcBorders>
              <w:top w:val="nil"/>
              <w:left w:val="nil"/>
              <w:bottom w:val="nil"/>
              <w:right w:val="nil"/>
            </w:tcBorders>
            <w:noWrap/>
            <w:vAlign w:val="center"/>
            <w:hideMark/>
          </w:tcPr>
          <w:p w14:paraId="10011CCB" w14:textId="77777777" w:rsidR="00AE2C03" w:rsidRPr="00C778CD" w:rsidRDefault="00AE2C03" w:rsidP="00C778CD">
            <w:pPr>
              <w:spacing w:after="0" w:line="240" w:lineRule="auto"/>
              <w:rPr>
                <w:rFonts w:ascii="Times New Roman" w:eastAsia="Times New Roman" w:hAnsi="Times New Roman"/>
                <w:bCs/>
                <w:color w:val="000000"/>
                <w:sz w:val="20"/>
                <w:szCs w:val="20"/>
                <w:lang w:eastAsia="fr-FR"/>
              </w:rPr>
            </w:pPr>
            <w:r w:rsidRPr="00C778CD">
              <w:rPr>
                <w:rFonts w:ascii="Times New Roman" w:eastAsia="Times New Roman" w:hAnsi="Times New Roman"/>
                <w:bCs/>
                <w:color w:val="000000"/>
                <w:sz w:val="20"/>
                <w:szCs w:val="20"/>
                <w:lang w:eastAsia="fr-FR"/>
              </w:rPr>
              <w:t>CAN+CB</w:t>
            </w:r>
          </w:p>
        </w:tc>
        <w:tc>
          <w:tcPr>
            <w:tcW w:w="1129" w:type="dxa"/>
            <w:tcBorders>
              <w:top w:val="nil"/>
              <w:left w:val="nil"/>
              <w:bottom w:val="nil"/>
              <w:right w:val="nil"/>
            </w:tcBorders>
            <w:noWrap/>
            <w:vAlign w:val="center"/>
            <w:hideMark/>
          </w:tcPr>
          <w:p w14:paraId="29F27834" w14:textId="71185CA3"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3.40±0.51</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55FA33E3" w14:textId="6E383A59"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3.90±0.54</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7AA572DD" w14:textId="2CD05FBA"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4,60±0.54</w:t>
            </w:r>
            <w:r w:rsidRPr="00C778CD">
              <w:rPr>
                <w:rFonts w:ascii="Times New Roman" w:eastAsia="Times New Roman" w:hAnsi="Times New Roman"/>
                <w:b/>
                <w:bCs/>
                <w:color w:val="000000"/>
                <w:sz w:val="20"/>
                <w:szCs w:val="20"/>
                <w:vertAlign w:val="superscript"/>
                <w:lang w:eastAsia="fr-FR"/>
              </w:rPr>
              <w:t>b</w:t>
            </w:r>
          </w:p>
        </w:tc>
        <w:tc>
          <w:tcPr>
            <w:tcW w:w="1129" w:type="dxa"/>
            <w:tcBorders>
              <w:top w:val="nil"/>
              <w:left w:val="nil"/>
              <w:bottom w:val="nil"/>
              <w:right w:val="nil"/>
            </w:tcBorders>
            <w:noWrap/>
            <w:vAlign w:val="center"/>
            <w:hideMark/>
          </w:tcPr>
          <w:p w14:paraId="38347B9A" w14:textId="678F02AE"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4.70±0.57</w:t>
            </w:r>
            <w:r w:rsidRPr="00C778CD">
              <w:rPr>
                <w:rFonts w:ascii="Times New Roman" w:eastAsia="Times New Roman" w:hAnsi="Times New Roman"/>
                <w:b/>
                <w:bCs/>
                <w:color w:val="000000"/>
                <w:sz w:val="20"/>
                <w:szCs w:val="20"/>
                <w:vertAlign w:val="superscript"/>
                <w:lang w:eastAsia="fr-FR"/>
              </w:rPr>
              <w:t>b</w:t>
            </w:r>
          </w:p>
        </w:tc>
        <w:tc>
          <w:tcPr>
            <w:tcW w:w="1129" w:type="dxa"/>
            <w:tcBorders>
              <w:top w:val="nil"/>
              <w:left w:val="nil"/>
              <w:bottom w:val="nil"/>
              <w:right w:val="nil"/>
            </w:tcBorders>
            <w:noWrap/>
            <w:vAlign w:val="center"/>
            <w:hideMark/>
          </w:tcPr>
          <w:p w14:paraId="50768B66" w14:textId="26817194"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4.70±0,58</w:t>
            </w:r>
            <w:r w:rsidRPr="00C778CD">
              <w:rPr>
                <w:rFonts w:ascii="Times New Roman" w:eastAsia="Times New Roman" w:hAnsi="Times New Roman"/>
                <w:b/>
                <w:bCs/>
                <w:color w:val="000000"/>
                <w:sz w:val="20"/>
                <w:szCs w:val="20"/>
                <w:vertAlign w:val="superscript"/>
                <w:lang w:eastAsia="fr-FR"/>
              </w:rPr>
              <w:t>b</w:t>
            </w:r>
          </w:p>
        </w:tc>
        <w:tc>
          <w:tcPr>
            <w:tcW w:w="1129" w:type="dxa"/>
            <w:tcBorders>
              <w:top w:val="nil"/>
              <w:left w:val="nil"/>
              <w:bottom w:val="nil"/>
              <w:right w:val="nil"/>
            </w:tcBorders>
            <w:noWrap/>
            <w:vAlign w:val="center"/>
            <w:hideMark/>
          </w:tcPr>
          <w:p w14:paraId="6ECEBAB1" w14:textId="42E567C7"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4.80±0,55</w:t>
            </w:r>
            <w:r w:rsidRPr="00C778CD">
              <w:rPr>
                <w:rFonts w:ascii="Times New Roman" w:eastAsia="Times New Roman" w:hAnsi="Times New Roman"/>
                <w:b/>
                <w:bCs/>
                <w:color w:val="000000"/>
                <w:sz w:val="20"/>
                <w:szCs w:val="20"/>
                <w:vertAlign w:val="superscript"/>
                <w:lang w:eastAsia="fr-FR"/>
              </w:rPr>
              <w:t>b</w:t>
            </w:r>
          </w:p>
        </w:tc>
        <w:tc>
          <w:tcPr>
            <w:tcW w:w="1129" w:type="dxa"/>
            <w:tcBorders>
              <w:top w:val="nil"/>
              <w:left w:val="nil"/>
              <w:bottom w:val="nil"/>
              <w:right w:val="nil"/>
            </w:tcBorders>
            <w:noWrap/>
            <w:vAlign w:val="center"/>
            <w:hideMark/>
          </w:tcPr>
          <w:p w14:paraId="0BDD150F" w14:textId="09D91552"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4.80±0,55</w:t>
            </w:r>
            <w:r w:rsidRPr="00C778CD">
              <w:rPr>
                <w:rFonts w:ascii="Times New Roman" w:eastAsia="Times New Roman" w:hAnsi="Times New Roman"/>
                <w:b/>
                <w:bCs/>
                <w:color w:val="000000"/>
                <w:sz w:val="20"/>
                <w:szCs w:val="20"/>
                <w:vertAlign w:val="superscript"/>
                <w:lang w:eastAsia="fr-FR"/>
              </w:rPr>
              <w:t>b</w:t>
            </w:r>
          </w:p>
        </w:tc>
      </w:tr>
      <w:tr w:rsidR="00AE2C03" w:rsidRPr="00C778CD" w14:paraId="6B7DAA13" w14:textId="77777777" w:rsidTr="00AE2C03">
        <w:trPr>
          <w:trHeight w:val="227"/>
        </w:trPr>
        <w:tc>
          <w:tcPr>
            <w:tcW w:w="1168" w:type="dxa"/>
            <w:tcBorders>
              <w:top w:val="nil"/>
              <w:left w:val="nil"/>
              <w:bottom w:val="nil"/>
              <w:right w:val="nil"/>
            </w:tcBorders>
            <w:noWrap/>
            <w:vAlign w:val="center"/>
            <w:hideMark/>
          </w:tcPr>
          <w:p w14:paraId="5E1EE00F" w14:textId="77777777" w:rsidR="00AE2C03" w:rsidRPr="00C778CD" w:rsidRDefault="00AE2C03" w:rsidP="00C778CD">
            <w:pPr>
              <w:spacing w:after="0" w:line="240" w:lineRule="auto"/>
              <w:rPr>
                <w:rFonts w:ascii="Times New Roman" w:eastAsia="Times New Roman" w:hAnsi="Times New Roman"/>
                <w:bCs/>
                <w:color w:val="000000"/>
                <w:sz w:val="20"/>
                <w:szCs w:val="20"/>
                <w:lang w:eastAsia="fr-FR"/>
              </w:rPr>
            </w:pPr>
            <w:r w:rsidRPr="00C778CD">
              <w:rPr>
                <w:rFonts w:ascii="Times New Roman" w:eastAsia="Times New Roman" w:hAnsi="Times New Roman"/>
                <w:bCs/>
                <w:color w:val="000000"/>
                <w:sz w:val="20"/>
                <w:szCs w:val="20"/>
                <w:lang w:eastAsia="fr-FR"/>
              </w:rPr>
              <w:t>CAN+G</w:t>
            </w:r>
          </w:p>
        </w:tc>
        <w:tc>
          <w:tcPr>
            <w:tcW w:w="1129" w:type="dxa"/>
            <w:tcBorders>
              <w:top w:val="nil"/>
              <w:left w:val="nil"/>
              <w:bottom w:val="nil"/>
              <w:right w:val="nil"/>
            </w:tcBorders>
            <w:noWrap/>
            <w:vAlign w:val="center"/>
            <w:hideMark/>
          </w:tcPr>
          <w:p w14:paraId="7FB6D43D" w14:textId="56ADC5B7"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3.07±0.61</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23F9321B" w14:textId="48246945"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4.23±0.60</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2A03F8B9" w14:textId="410574E2"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4,61±0.70</w:t>
            </w:r>
            <w:r w:rsidRPr="00C778CD">
              <w:rPr>
                <w:rFonts w:ascii="Times New Roman" w:eastAsia="Times New Roman" w:hAnsi="Times New Roman"/>
                <w:b/>
                <w:bCs/>
                <w:color w:val="000000"/>
                <w:sz w:val="20"/>
                <w:szCs w:val="20"/>
                <w:vertAlign w:val="superscript"/>
                <w:lang w:eastAsia="fr-FR"/>
              </w:rPr>
              <w:t>b</w:t>
            </w:r>
          </w:p>
        </w:tc>
        <w:tc>
          <w:tcPr>
            <w:tcW w:w="1129" w:type="dxa"/>
            <w:tcBorders>
              <w:top w:val="nil"/>
              <w:left w:val="nil"/>
              <w:bottom w:val="nil"/>
              <w:right w:val="nil"/>
            </w:tcBorders>
            <w:noWrap/>
            <w:vAlign w:val="center"/>
            <w:hideMark/>
          </w:tcPr>
          <w:p w14:paraId="75698C8C" w14:textId="0BCC2C61"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4.61±0.70</w:t>
            </w:r>
            <w:r w:rsidRPr="00C778CD">
              <w:rPr>
                <w:rFonts w:ascii="Times New Roman" w:eastAsia="Times New Roman" w:hAnsi="Times New Roman"/>
                <w:b/>
                <w:bCs/>
                <w:color w:val="000000"/>
                <w:sz w:val="20"/>
                <w:szCs w:val="20"/>
                <w:vertAlign w:val="superscript"/>
                <w:lang w:eastAsia="fr-FR"/>
              </w:rPr>
              <w:t>b</w:t>
            </w:r>
          </w:p>
        </w:tc>
        <w:tc>
          <w:tcPr>
            <w:tcW w:w="1129" w:type="dxa"/>
            <w:tcBorders>
              <w:top w:val="nil"/>
              <w:left w:val="nil"/>
              <w:bottom w:val="nil"/>
              <w:right w:val="nil"/>
            </w:tcBorders>
            <w:noWrap/>
            <w:vAlign w:val="center"/>
            <w:hideMark/>
          </w:tcPr>
          <w:p w14:paraId="6D41D1AA" w14:textId="53B10B4A"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4.84±0,70</w:t>
            </w:r>
            <w:r w:rsidRPr="00C778CD">
              <w:rPr>
                <w:rFonts w:ascii="Times New Roman" w:eastAsia="Times New Roman" w:hAnsi="Times New Roman"/>
                <w:b/>
                <w:bCs/>
                <w:color w:val="000000"/>
                <w:sz w:val="20"/>
                <w:szCs w:val="20"/>
                <w:vertAlign w:val="superscript"/>
                <w:lang w:eastAsia="fr-FR"/>
              </w:rPr>
              <w:t>ab</w:t>
            </w:r>
          </w:p>
        </w:tc>
        <w:tc>
          <w:tcPr>
            <w:tcW w:w="1129" w:type="dxa"/>
            <w:tcBorders>
              <w:top w:val="nil"/>
              <w:left w:val="nil"/>
              <w:bottom w:val="nil"/>
              <w:right w:val="nil"/>
            </w:tcBorders>
            <w:noWrap/>
            <w:vAlign w:val="center"/>
            <w:hideMark/>
          </w:tcPr>
          <w:p w14:paraId="11155BE0" w14:textId="2067A036"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4.92±0,72</w:t>
            </w:r>
            <w:r w:rsidRPr="00C778CD">
              <w:rPr>
                <w:rFonts w:ascii="Times New Roman" w:eastAsia="Times New Roman" w:hAnsi="Times New Roman"/>
                <w:b/>
                <w:bCs/>
                <w:color w:val="000000"/>
                <w:sz w:val="20"/>
                <w:szCs w:val="20"/>
                <w:vertAlign w:val="superscript"/>
                <w:lang w:eastAsia="fr-FR"/>
              </w:rPr>
              <w:t>b</w:t>
            </w:r>
          </w:p>
        </w:tc>
        <w:tc>
          <w:tcPr>
            <w:tcW w:w="1129" w:type="dxa"/>
            <w:tcBorders>
              <w:top w:val="nil"/>
              <w:left w:val="nil"/>
              <w:bottom w:val="nil"/>
              <w:right w:val="nil"/>
            </w:tcBorders>
            <w:noWrap/>
            <w:vAlign w:val="center"/>
            <w:hideMark/>
          </w:tcPr>
          <w:p w14:paraId="7B725040" w14:textId="59C9CE90"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4.92±0,72</w:t>
            </w:r>
            <w:r w:rsidRPr="00C778CD">
              <w:rPr>
                <w:rFonts w:ascii="Times New Roman" w:eastAsia="Times New Roman" w:hAnsi="Times New Roman"/>
                <w:b/>
                <w:bCs/>
                <w:color w:val="000000"/>
                <w:sz w:val="20"/>
                <w:szCs w:val="20"/>
                <w:vertAlign w:val="superscript"/>
                <w:lang w:eastAsia="fr-FR"/>
              </w:rPr>
              <w:t>b</w:t>
            </w:r>
          </w:p>
        </w:tc>
      </w:tr>
      <w:tr w:rsidR="00AE2C03" w:rsidRPr="00C778CD" w14:paraId="4E19BF61" w14:textId="77777777" w:rsidTr="00AE2C03">
        <w:trPr>
          <w:trHeight w:val="227"/>
        </w:trPr>
        <w:tc>
          <w:tcPr>
            <w:tcW w:w="1168" w:type="dxa"/>
            <w:tcBorders>
              <w:top w:val="nil"/>
              <w:left w:val="nil"/>
              <w:bottom w:val="nil"/>
              <w:right w:val="nil"/>
            </w:tcBorders>
            <w:noWrap/>
            <w:vAlign w:val="center"/>
            <w:hideMark/>
          </w:tcPr>
          <w:p w14:paraId="4EF27A6F" w14:textId="77777777" w:rsidR="00AE2C03" w:rsidRPr="00C778CD" w:rsidRDefault="00AE2C03" w:rsidP="00C778CD">
            <w:pPr>
              <w:spacing w:after="0" w:line="240" w:lineRule="auto"/>
              <w:rPr>
                <w:rFonts w:ascii="Times New Roman" w:eastAsia="Times New Roman" w:hAnsi="Times New Roman"/>
                <w:bCs/>
                <w:color w:val="000000"/>
                <w:sz w:val="20"/>
                <w:szCs w:val="20"/>
                <w:lang w:eastAsia="fr-FR"/>
              </w:rPr>
            </w:pPr>
            <w:r w:rsidRPr="00C778CD">
              <w:rPr>
                <w:rFonts w:ascii="Times New Roman" w:eastAsia="Times New Roman" w:hAnsi="Times New Roman"/>
                <w:bCs/>
                <w:color w:val="000000"/>
                <w:sz w:val="20"/>
                <w:szCs w:val="20"/>
                <w:lang w:eastAsia="fr-FR"/>
              </w:rPr>
              <w:t>CAN+S</w:t>
            </w:r>
          </w:p>
        </w:tc>
        <w:tc>
          <w:tcPr>
            <w:tcW w:w="1129" w:type="dxa"/>
            <w:tcBorders>
              <w:top w:val="nil"/>
              <w:left w:val="nil"/>
              <w:bottom w:val="nil"/>
              <w:right w:val="nil"/>
            </w:tcBorders>
            <w:noWrap/>
            <w:vAlign w:val="center"/>
            <w:hideMark/>
          </w:tcPr>
          <w:p w14:paraId="5F0ECB9D" w14:textId="43150AF5"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3.81±0.56</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55A62C9C" w14:textId="0335C5F8"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3.90±0.60</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nil"/>
              <w:right w:val="nil"/>
            </w:tcBorders>
            <w:noWrap/>
            <w:vAlign w:val="center"/>
            <w:hideMark/>
          </w:tcPr>
          <w:p w14:paraId="630A500F" w14:textId="1709D975"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4,36±0.78</w:t>
            </w:r>
            <w:r w:rsidRPr="00C778CD">
              <w:rPr>
                <w:rFonts w:ascii="Times New Roman" w:eastAsia="Times New Roman" w:hAnsi="Times New Roman"/>
                <w:b/>
                <w:bCs/>
                <w:color w:val="000000"/>
                <w:sz w:val="20"/>
                <w:szCs w:val="20"/>
                <w:vertAlign w:val="superscript"/>
                <w:lang w:eastAsia="fr-FR"/>
              </w:rPr>
              <w:t>b</w:t>
            </w:r>
          </w:p>
        </w:tc>
        <w:tc>
          <w:tcPr>
            <w:tcW w:w="1129" w:type="dxa"/>
            <w:tcBorders>
              <w:top w:val="nil"/>
              <w:left w:val="nil"/>
              <w:bottom w:val="nil"/>
              <w:right w:val="nil"/>
            </w:tcBorders>
            <w:noWrap/>
            <w:vAlign w:val="center"/>
            <w:hideMark/>
          </w:tcPr>
          <w:p w14:paraId="1DAE452A" w14:textId="345EE4AD"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4.63±0.89</w:t>
            </w:r>
            <w:r w:rsidRPr="00C778CD">
              <w:rPr>
                <w:rFonts w:ascii="Times New Roman" w:eastAsia="Times New Roman" w:hAnsi="Times New Roman"/>
                <w:b/>
                <w:bCs/>
                <w:color w:val="000000"/>
                <w:sz w:val="20"/>
                <w:szCs w:val="20"/>
                <w:vertAlign w:val="superscript"/>
                <w:lang w:eastAsia="fr-FR"/>
              </w:rPr>
              <w:t>b</w:t>
            </w:r>
          </w:p>
        </w:tc>
        <w:tc>
          <w:tcPr>
            <w:tcW w:w="1129" w:type="dxa"/>
            <w:tcBorders>
              <w:top w:val="nil"/>
              <w:left w:val="nil"/>
              <w:bottom w:val="nil"/>
              <w:right w:val="nil"/>
            </w:tcBorders>
            <w:noWrap/>
            <w:vAlign w:val="center"/>
            <w:hideMark/>
          </w:tcPr>
          <w:p w14:paraId="41A01D72" w14:textId="01736F41"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4.72±0,91</w:t>
            </w:r>
            <w:r w:rsidRPr="00C778CD">
              <w:rPr>
                <w:rFonts w:ascii="Times New Roman" w:eastAsia="Times New Roman" w:hAnsi="Times New Roman"/>
                <w:b/>
                <w:bCs/>
                <w:color w:val="000000"/>
                <w:sz w:val="20"/>
                <w:szCs w:val="20"/>
                <w:vertAlign w:val="superscript"/>
                <w:lang w:eastAsia="fr-FR"/>
              </w:rPr>
              <w:t>b</w:t>
            </w:r>
          </w:p>
        </w:tc>
        <w:tc>
          <w:tcPr>
            <w:tcW w:w="1129" w:type="dxa"/>
            <w:tcBorders>
              <w:top w:val="nil"/>
              <w:left w:val="nil"/>
              <w:bottom w:val="nil"/>
              <w:right w:val="nil"/>
            </w:tcBorders>
            <w:noWrap/>
            <w:vAlign w:val="center"/>
            <w:hideMark/>
          </w:tcPr>
          <w:p w14:paraId="3696794E" w14:textId="72988EC9"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4.72±0,91</w:t>
            </w:r>
            <w:r w:rsidRPr="00C778CD">
              <w:rPr>
                <w:rFonts w:ascii="Times New Roman" w:eastAsia="Times New Roman" w:hAnsi="Times New Roman"/>
                <w:b/>
                <w:bCs/>
                <w:color w:val="000000"/>
                <w:sz w:val="20"/>
                <w:szCs w:val="20"/>
                <w:vertAlign w:val="superscript"/>
                <w:lang w:eastAsia="fr-FR"/>
              </w:rPr>
              <w:t>b</w:t>
            </w:r>
          </w:p>
        </w:tc>
        <w:tc>
          <w:tcPr>
            <w:tcW w:w="1129" w:type="dxa"/>
            <w:tcBorders>
              <w:top w:val="nil"/>
              <w:left w:val="nil"/>
              <w:bottom w:val="nil"/>
              <w:right w:val="nil"/>
            </w:tcBorders>
            <w:noWrap/>
            <w:vAlign w:val="center"/>
            <w:hideMark/>
          </w:tcPr>
          <w:p w14:paraId="45B86579" w14:textId="6E13B0B9"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4.72±0,91</w:t>
            </w:r>
            <w:r w:rsidRPr="00C778CD">
              <w:rPr>
                <w:rFonts w:ascii="Times New Roman" w:eastAsia="Times New Roman" w:hAnsi="Times New Roman"/>
                <w:b/>
                <w:bCs/>
                <w:color w:val="000000"/>
                <w:sz w:val="20"/>
                <w:szCs w:val="20"/>
                <w:vertAlign w:val="superscript"/>
                <w:lang w:eastAsia="fr-FR"/>
              </w:rPr>
              <w:t>b</w:t>
            </w:r>
          </w:p>
        </w:tc>
      </w:tr>
      <w:tr w:rsidR="00AE2C03" w:rsidRPr="00C778CD" w14:paraId="2B11E7E7" w14:textId="77777777" w:rsidTr="00AE2C03">
        <w:trPr>
          <w:trHeight w:val="227"/>
        </w:trPr>
        <w:tc>
          <w:tcPr>
            <w:tcW w:w="1168" w:type="dxa"/>
            <w:tcBorders>
              <w:top w:val="nil"/>
              <w:left w:val="nil"/>
              <w:bottom w:val="single" w:sz="4" w:space="0" w:color="auto"/>
              <w:right w:val="nil"/>
            </w:tcBorders>
            <w:noWrap/>
            <w:vAlign w:val="center"/>
            <w:hideMark/>
          </w:tcPr>
          <w:p w14:paraId="4CCFBFB5" w14:textId="77777777" w:rsidR="00AE2C03" w:rsidRPr="00C778CD" w:rsidRDefault="00AE2C03" w:rsidP="00C778CD">
            <w:pPr>
              <w:spacing w:after="0" w:line="240" w:lineRule="auto"/>
              <w:rPr>
                <w:rFonts w:ascii="Times New Roman" w:eastAsia="Times New Roman" w:hAnsi="Times New Roman"/>
                <w:bCs/>
                <w:color w:val="000000"/>
                <w:sz w:val="20"/>
                <w:szCs w:val="20"/>
                <w:lang w:eastAsia="fr-FR"/>
              </w:rPr>
            </w:pPr>
            <w:proofErr w:type="spellStart"/>
            <w:r w:rsidRPr="00C778CD">
              <w:rPr>
                <w:rFonts w:ascii="Times New Roman" w:eastAsia="Times New Roman" w:hAnsi="Times New Roman"/>
                <w:bCs/>
                <w:color w:val="000000"/>
                <w:sz w:val="20"/>
                <w:szCs w:val="20"/>
                <w:lang w:eastAsia="fr-FR"/>
              </w:rPr>
              <w:t>TriS</w:t>
            </w:r>
            <w:proofErr w:type="spellEnd"/>
          </w:p>
        </w:tc>
        <w:tc>
          <w:tcPr>
            <w:tcW w:w="1129" w:type="dxa"/>
            <w:tcBorders>
              <w:top w:val="nil"/>
              <w:left w:val="nil"/>
              <w:bottom w:val="single" w:sz="4" w:space="0" w:color="auto"/>
              <w:right w:val="nil"/>
            </w:tcBorders>
            <w:noWrap/>
            <w:vAlign w:val="center"/>
            <w:hideMark/>
          </w:tcPr>
          <w:p w14:paraId="19BEADE0" w14:textId="492225B8"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3.21±0.50</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single" w:sz="4" w:space="0" w:color="auto"/>
              <w:right w:val="nil"/>
            </w:tcBorders>
            <w:noWrap/>
            <w:vAlign w:val="center"/>
            <w:hideMark/>
          </w:tcPr>
          <w:p w14:paraId="432118C1" w14:textId="3493F908"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3.85±0.69</w:t>
            </w:r>
            <w:r w:rsidRPr="00C778CD">
              <w:rPr>
                <w:rFonts w:ascii="Times New Roman" w:eastAsia="Times New Roman" w:hAnsi="Times New Roman"/>
                <w:b/>
                <w:bCs/>
                <w:color w:val="000000"/>
                <w:sz w:val="20"/>
                <w:szCs w:val="20"/>
                <w:vertAlign w:val="superscript"/>
                <w:lang w:eastAsia="fr-FR"/>
              </w:rPr>
              <w:t>a</w:t>
            </w:r>
          </w:p>
        </w:tc>
        <w:tc>
          <w:tcPr>
            <w:tcW w:w="1129" w:type="dxa"/>
            <w:tcBorders>
              <w:top w:val="nil"/>
              <w:left w:val="nil"/>
              <w:bottom w:val="single" w:sz="4" w:space="0" w:color="auto"/>
              <w:right w:val="nil"/>
            </w:tcBorders>
            <w:noWrap/>
            <w:vAlign w:val="center"/>
            <w:hideMark/>
          </w:tcPr>
          <w:p w14:paraId="67BF8EA9" w14:textId="52D8B084"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4,57±0.85</w:t>
            </w:r>
            <w:r w:rsidRPr="00C778CD">
              <w:rPr>
                <w:rFonts w:ascii="Times New Roman" w:eastAsia="Times New Roman" w:hAnsi="Times New Roman"/>
                <w:b/>
                <w:bCs/>
                <w:color w:val="000000"/>
                <w:sz w:val="20"/>
                <w:szCs w:val="20"/>
                <w:vertAlign w:val="superscript"/>
                <w:lang w:eastAsia="fr-FR"/>
              </w:rPr>
              <w:t>b</w:t>
            </w:r>
          </w:p>
        </w:tc>
        <w:tc>
          <w:tcPr>
            <w:tcW w:w="1129" w:type="dxa"/>
            <w:tcBorders>
              <w:top w:val="nil"/>
              <w:left w:val="nil"/>
              <w:bottom w:val="single" w:sz="4" w:space="0" w:color="auto"/>
              <w:right w:val="nil"/>
            </w:tcBorders>
            <w:noWrap/>
            <w:vAlign w:val="center"/>
            <w:hideMark/>
          </w:tcPr>
          <w:p w14:paraId="3AD0CE79" w14:textId="2429087B"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4.71±0.86</w:t>
            </w:r>
            <w:r w:rsidRPr="00C778CD">
              <w:rPr>
                <w:rFonts w:ascii="Times New Roman" w:eastAsia="Times New Roman" w:hAnsi="Times New Roman"/>
                <w:b/>
                <w:bCs/>
                <w:color w:val="000000"/>
                <w:sz w:val="20"/>
                <w:szCs w:val="20"/>
                <w:vertAlign w:val="superscript"/>
                <w:lang w:eastAsia="fr-FR"/>
              </w:rPr>
              <w:t>b</w:t>
            </w:r>
          </w:p>
        </w:tc>
        <w:tc>
          <w:tcPr>
            <w:tcW w:w="1129" w:type="dxa"/>
            <w:tcBorders>
              <w:top w:val="nil"/>
              <w:left w:val="nil"/>
              <w:bottom w:val="single" w:sz="4" w:space="0" w:color="auto"/>
              <w:right w:val="nil"/>
            </w:tcBorders>
            <w:noWrap/>
            <w:vAlign w:val="center"/>
            <w:hideMark/>
          </w:tcPr>
          <w:p w14:paraId="778DD311" w14:textId="3DB85F9B"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5.00±0,83</w:t>
            </w:r>
            <w:r w:rsidRPr="00C778CD">
              <w:rPr>
                <w:rFonts w:ascii="Times New Roman" w:eastAsia="Times New Roman" w:hAnsi="Times New Roman"/>
                <w:b/>
                <w:bCs/>
                <w:color w:val="000000"/>
                <w:sz w:val="20"/>
                <w:szCs w:val="20"/>
                <w:vertAlign w:val="superscript"/>
                <w:lang w:eastAsia="fr-FR"/>
              </w:rPr>
              <w:t>ab</w:t>
            </w:r>
          </w:p>
        </w:tc>
        <w:tc>
          <w:tcPr>
            <w:tcW w:w="1129" w:type="dxa"/>
            <w:tcBorders>
              <w:top w:val="nil"/>
              <w:left w:val="nil"/>
              <w:bottom w:val="single" w:sz="4" w:space="0" w:color="auto"/>
              <w:right w:val="nil"/>
            </w:tcBorders>
            <w:noWrap/>
            <w:vAlign w:val="center"/>
            <w:hideMark/>
          </w:tcPr>
          <w:p w14:paraId="16E72E96" w14:textId="4883ED89"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5.00±0,83</w:t>
            </w:r>
            <w:r w:rsidRPr="00C778CD">
              <w:rPr>
                <w:rFonts w:ascii="Times New Roman" w:eastAsia="Times New Roman" w:hAnsi="Times New Roman"/>
                <w:b/>
                <w:bCs/>
                <w:color w:val="000000"/>
                <w:sz w:val="20"/>
                <w:szCs w:val="20"/>
                <w:vertAlign w:val="superscript"/>
                <w:lang w:eastAsia="fr-FR"/>
              </w:rPr>
              <w:t>b</w:t>
            </w:r>
          </w:p>
        </w:tc>
        <w:tc>
          <w:tcPr>
            <w:tcW w:w="1129" w:type="dxa"/>
            <w:tcBorders>
              <w:top w:val="nil"/>
              <w:left w:val="nil"/>
              <w:bottom w:val="single" w:sz="4" w:space="0" w:color="auto"/>
              <w:right w:val="nil"/>
            </w:tcBorders>
            <w:noWrap/>
            <w:vAlign w:val="center"/>
            <w:hideMark/>
          </w:tcPr>
          <w:p w14:paraId="3DF2EA43" w14:textId="12BCE9E8"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5.00±0,83</w:t>
            </w:r>
            <w:r w:rsidRPr="00C778CD">
              <w:rPr>
                <w:rFonts w:ascii="Times New Roman" w:eastAsia="Times New Roman" w:hAnsi="Times New Roman"/>
                <w:b/>
                <w:bCs/>
                <w:color w:val="000000"/>
                <w:sz w:val="20"/>
                <w:szCs w:val="20"/>
                <w:vertAlign w:val="superscript"/>
                <w:lang w:eastAsia="fr-FR"/>
              </w:rPr>
              <w:t>b</w:t>
            </w:r>
          </w:p>
        </w:tc>
      </w:tr>
      <w:tr w:rsidR="00AE2C03" w:rsidRPr="00C778CD" w14:paraId="17655CD9" w14:textId="77777777" w:rsidTr="00AE2C03">
        <w:trPr>
          <w:trHeight w:val="227"/>
        </w:trPr>
        <w:tc>
          <w:tcPr>
            <w:tcW w:w="1168" w:type="dxa"/>
            <w:tcBorders>
              <w:top w:val="single" w:sz="4" w:space="0" w:color="auto"/>
              <w:left w:val="nil"/>
              <w:bottom w:val="single" w:sz="4" w:space="0" w:color="auto"/>
              <w:right w:val="nil"/>
            </w:tcBorders>
            <w:noWrap/>
            <w:vAlign w:val="center"/>
            <w:hideMark/>
          </w:tcPr>
          <w:p w14:paraId="68FA6168" w14:textId="77777777"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P-value</w:t>
            </w:r>
          </w:p>
        </w:tc>
        <w:tc>
          <w:tcPr>
            <w:tcW w:w="1129" w:type="dxa"/>
            <w:tcBorders>
              <w:top w:val="single" w:sz="4" w:space="0" w:color="auto"/>
              <w:left w:val="nil"/>
              <w:bottom w:val="single" w:sz="4" w:space="0" w:color="auto"/>
              <w:right w:val="nil"/>
            </w:tcBorders>
            <w:noWrap/>
            <w:vAlign w:val="center"/>
            <w:hideMark/>
          </w:tcPr>
          <w:p w14:paraId="551FDF29" w14:textId="0FE807EE"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0.082</w:t>
            </w:r>
          </w:p>
        </w:tc>
        <w:tc>
          <w:tcPr>
            <w:tcW w:w="1129" w:type="dxa"/>
            <w:tcBorders>
              <w:top w:val="single" w:sz="4" w:space="0" w:color="auto"/>
              <w:left w:val="nil"/>
              <w:bottom w:val="single" w:sz="4" w:space="0" w:color="auto"/>
              <w:right w:val="nil"/>
            </w:tcBorders>
            <w:noWrap/>
            <w:vAlign w:val="center"/>
            <w:hideMark/>
          </w:tcPr>
          <w:p w14:paraId="42C115BD" w14:textId="3041AA52"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0.12</w:t>
            </w:r>
          </w:p>
        </w:tc>
        <w:tc>
          <w:tcPr>
            <w:tcW w:w="1129" w:type="dxa"/>
            <w:tcBorders>
              <w:top w:val="single" w:sz="4" w:space="0" w:color="auto"/>
              <w:left w:val="nil"/>
              <w:bottom w:val="single" w:sz="4" w:space="0" w:color="auto"/>
              <w:right w:val="nil"/>
            </w:tcBorders>
            <w:noWrap/>
            <w:vAlign w:val="center"/>
            <w:hideMark/>
          </w:tcPr>
          <w:p w14:paraId="046BD871" w14:textId="6266A4B6"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0.012</w:t>
            </w:r>
          </w:p>
        </w:tc>
        <w:tc>
          <w:tcPr>
            <w:tcW w:w="1129" w:type="dxa"/>
            <w:tcBorders>
              <w:top w:val="single" w:sz="4" w:space="0" w:color="auto"/>
              <w:left w:val="nil"/>
              <w:bottom w:val="single" w:sz="4" w:space="0" w:color="auto"/>
              <w:right w:val="nil"/>
            </w:tcBorders>
            <w:noWrap/>
            <w:vAlign w:val="center"/>
            <w:hideMark/>
          </w:tcPr>
          <w:p w14:paraId="385B264B" w14:textId="54A1BD4F"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0.027</w:t>
            </w:r>
          </w:p>
        </w:tc>
        <w:tc>
          <w:tcPr>
            <w:tcW w:w="1129" w:type="dxa"/>
            <w:tcBorders>
              <w:top w:val="single" w:sz="4" w:space="0" w:color="auto"/>
              <w:left w:val="nil"/>
              <w:bottom w:val="single" w:sz="4" w:space="0" w:color="auto"/>
              <w:right w:val="nil"/>
            </w:tcBorders>
            <w:noWrap/>
            <w:vAlign w:val="center"/>
            <w:hideMark/>
          </w:tcPr>
          <w:p w14:paraId="1BD8CA6A" w14:textId="7FF8A42D"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0.005</w:t>
            </w:r>
          </w:p>
        </w:tc>
        <w:tc>
          <w:tcPr>
            <w:tcW w:w="1129" w:type="dxa"/>
            <w:tcBorders>
              <w:top w:val="single" w:sz="4" w:space="0" w:color="auto"/>
              <w:left w:val="nil"/>
              <w:bottom w:val="single" w:sz="4" w:space="0" w:color="auto"/>
              <w:right w:val="nil"/>
            </w:tcBorders>
            <w:noWrap/>
            <w:vAlign w:val="center"/>
            <w:hideMark/>
          </w:tcPr>
          <w:p w14:paraId="66D9FCB4" w14:textId="447E979C"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0.0065</w:t>
            </w:r>
          </w:p>
        </w:tc>
        <w:tc>
          <w:tcPr>
            <w:tcW w:w="1129" w:type="dxa"/>
            <w:tcBorders>
              <w:top w:val="single" w:sz="4" w:space="0" w:color="auto"/>
              <w:left w:val="nil"/>
              <w:bottom w:val="single" w:sz="4" w:space="0" w:color="auto"/>
              <w:right w:val="nil"/>
            </w:tcBorders>
            <w:noWrap/>
            <w:vAlign w:val="center"/>
            <w:hideMark/>
          </w:tcPr>
          <w:p w14:paraId="53C06812" w14:textId="3F7CEBF0"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0.0065</w:t>
            </w:r>
          </w:p>
        </w:tc>
      </w:tr>
      <w:tr w:rsidR="00AE2C03" w:rsidRPr="00C778CD" w14:paraId="556F8999" w14:textId="77777777" w:rsidTr="00AE2C03">
        <w:trPr>
          <w:trHeight w:val="227"/>
        </w:trPr>
        <w:tc>
          <w:tcPr>
            <w:tcW w:w="1168" w:type="dxa"/>
            <w:tcBorders>
              <w:top w:val="single" w:sz="4" w:space="0" w:color="auto"/>
              <w:left w:val="nil"/>
              <w:bottom w:val="single" w:sz="4" w:space="0" w:color="auto"/>
              <w:right w:val="nil"/>
            </w:tcBorders>
            <w:noWrap/>
            <w:vAlign w:val="center"/>
            <w:hideMark/>
          </w:tcPr>
          <w:p w14:paraId="26A7B04C" w14:textId="77777777"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S</w:t>
            </w:r>
          </w:p>
        </w:tc>
        <w:tc>
          <w:tcPr>
            <w:tcW w:w="1129" w:type="dxa"/>
            <w:tcBorders>
              <w:top w:val="single" w:sz="4" w:space="0" w:color="auto"/>
              <w:left w:val="nil"/>
              <w:bottom w:val="single" w:sz="4" w:space="0" w:color="auto"/>
              <w:right w:val="nil"/>
            </w:tcBorders>
            <w:noWrap/>
            <w:vAlign w:val="center"/>
            <w:hideMark/>
          </w:tcPr>
          <w:p w14:paraId="01B61069" w14:textId="245D3775"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c>
          <w:tcPr>
            <w:tcW w:w="1129" w:type="dxa"/>
            <w:tcBorders>
              <w:top w:val="single" w:sz="4" w:space="0" w:color="auto"/>
              <w:left w:val="nil"/>
              <w:bottom w:val="single" w:sz="4" w:space="0" w:color="auto"/>
              <w:right w:val="nil"/>
            </w:tcBorders>
            <w:noWrap/>
            <w:vAlign w:val="center"/>
            <w:hideMark/>
          </w:tcPr>
          <w:p w14:paraId="40A04996" w14:textId="5A33C76C"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c>
          <w:tcPr>
            <w:tcW w:w="1129" w:type="dxa"/>
            <w:tcBorders>
              <w:top w:val="single" w:sz="4" w:space="0" w:color="auto"/>
              <w:left w:val="nil"/>
              <w:bottom w:val="single" w:sz="4" w:space="0" w:color="auto"/>
              <w:right w:val="nil"/>
            </w:tcBorders>
            <w:noWrap/>
            <w:vAlign w:val="center"/>
            <w:hideMark/>
          </w:tcPr>
          <w:p w14:paraId="6033D73C" w14:textId="4C418F05"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S</w:t>
            </w:r>
          </w:p>
        </w:tc>
        <w:tc>
          <w:tcPr>
            <w:tcW w:w="1129" w:type="dxa"/>
            <w:tcBorders>
              <w:top w:val="single" w:sz="4" w:space="0" w:color="auto"/>
              <w:left w:val="nil"/>
              <w:bottom w:val="single" w:sz="4" w:space="0" w:color="auto"/>
              <w:right w:val="nil"/>
            </w:tcBorders>
            <w:noWrap/>
            <w:vAlign w:val="center"/>
            <w:hideMark/>
          </w:tcPr>
          <w:p w14:paraId="3FD4FE2D" w14:textId="69912972"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S</w:t>
            </w:r>
          </w:p>
        </w:tc>
        <w:tc>
          <w:tcPr>
            <w:tcW w:w="1129" w:type="dxa"/>
            <w:tcBorders>
              <w:top w:val="single" w:sz="4" w:space="0" w:color="auto"/>
              <w:left w:val="nil"/>
              <w:bottom w:val="single" w:sz="4" w:space="0" w:color="auto"/>
              <w:right w:val="nil"/>
            </w:tcBorders>
            <w:noWrap/>
            <w:vAlign w:val="center"/>
            <w:hideMark/>
          </w:tcPr>
          <w:p w14:paraId="6927D4F8" w14:textId="0D0783C5"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S</w:t>
            </w:r>
          </w:p>
        </w:tc>
        <w:tc>
          <w:tcPr>
            <w:tcW w:w="1129" w:type="dxa"/>
            <w:tcBorders>
              <w:top w:val="single" w:sz="4" w:space="0" w:color="auto"/>
              <w:left w:val="nil"/>
              <w:bottom w:val="single" w:sz="4" w:space="0" w:color="auto"/>
              <w:right w:val="nil"/>
            </w:tcBorders>
            <w:noWrap/>
            <w:vAlign w:val="center"/>
            <w:hideMark/>
          </w:tcPr>
          <w:p w14:paraId="38221904" w14:textId="4207CCB4"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S</w:t>
            </w:r>
          </w:p>
        </w:tc>
        <w:tc>
          <w:tcPr>
            <w:tcW w:w="1129" w:type="dxa"/>
            <w:tcBorders>
              <w:top w:val="single" w:sz="4" w:space="0" w:color="auto"/>
              <w:left w:val="nil"/>
              <w:bottom w:val="single" w:sz="4" w:space="0" w:color="auto"/>
              <w:right w:val="nil"/>
            </w:tcBorders>
            <w:noWrap/>
            <w:vAlign w:val="center"/>
            <w:hideMark/>
          </w:tcPr>
          <w:p w14:paraId="0F269003" w14:textId="2F9A7C1B" w:rsidR="00AE2C03" w:rsidRPr="00C778CD" w:rsidRDefault="00AE2C03"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S</w:t>
            </w:r>
          </w:p>
        </w:tc>
      </w:tr>
    </w:tbl>
    <w:p w14:paraId="20F6966F" w14:textId="0611DAF0" w:rsidR="00AE2C03" w:rsidRDefault="004F0545" w:rsidP="001C17BD">
      <w:pPr>
        <w:spacing w:before="240" w:after="0" w:line="480" w:lineRule="auto"/>
        <w:jc w:val="both"/>
        <w:rPr>
          <w:rFonts w:ascii="Times New Roman" w:hAnsi="Times New Roman" w:cs="Times New Roman"/>
          <w:bCs/>
          <w:sz w:val="24"/>
          <w:szCs w:val="24"/>
          <w:lang w:val="en-US"/>
        </w:rPr>
      </w:pPr>
      <w:r w:rsidRPr="00C33C19">
        <w:rPr>
          <w:rFonts w:ascii="Times New Roman" w:hAnsi="Times New Roman" w:cs="Times New Roman"/>
          <w:b/>
          <w:sz w:val="24"/>
          <w:szCs w:val="24"/>
          <w:lang w:val="en-US"/>
        </w:rPr>
        <w:t>Table 6:</w:t>
      </w:r>
      <w:r w:rsidRPr="004F0545">
        <w:rPr>
          <w:rFonts w:ascii="Times New Roman" w:hAnsi="Times New Roman" w:cs="Times New Roman"/>
          <w:bCs/>
          <w:sz w:val="24"/>
          <w:szCs w:val="24"/>
          <w:lang w:val="en-US"/>
        </w:rPr>
        <w:t xml:space="preserve"> Number of shoots per plant according to seedling conservation methods</w:t>
      </w:r>
    </w:p>
    <w:tbl>
      <w:tblPr>
        <w:tblW w:w="10084" w:type="dxa"/>
        <w:tblInd w:w="-426"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644"/>
        <w:gridCol w:w="995"/>
        <w:gridCol w:w="1460"/>
        <w:gridCol w:w="1460"/>
        <w:gridCol w:w="1382"/>
        <w:gridCol w:w="1383"/>
        <w:gridCol w:w="1382"/>
        <w:gridCol w:w="877"/>
        <w:gridCol w:w="501"/>
      </w:tblGrid>
      <w:tr w:rsidR="004F0545" w:rsidRPr="00C778CD" w14:paraId="0BB188E7" w14:textId="77777777" w:rsidTr="000F6481">
        <w:trPr>
          <w:trHeight w:val="211"/>
        </w:trPr>
        <w:tc>
          <w:tcPr>
            <w:tcW w:w="644" w:type="dxa"/>
            <w:tcBorders>
              <w:top w:val="nil"/>
              <w:bottom w:val="single" w:sz="4" w:space="0" w:color="auto"/>
            </w:tcBorders>
          </w:tcPr>
          <w:p w14:paraId="4ED9B8F4" w14:textId="77777777" w:rsidR="004F0545" w:rsidRPr="00C778CD" w:rsidRDefault="004F0545" w:rsidP="00C778CD">
            <w:pPr>
              <w:spacing w:after="0" w:line="240" w:lineRule="auto"/>
              <w:rPr>
                <w:rFonts w:ascii="Times New Roman" w:eastAsia="Times New Roman" w:hAnsi="Times New Roman"/>
                <w:bCs/>
                <w:sz w:val="20"/>
                <w:szCs w:val="20"/>
                <w:lang w:eastAsia="fr-FR"/>
              </w:rPr>
            </w:pPr>
          </w:p>
        </w:tc>
        <w:tc>
          <w:tcPr>
            <w:tcW w:w="995" w:type="dxa"/>
            <w:tcBorders>
              <w:top w:val="single" w:sz="4" w:space="0" w:color="auto"/>
              <w:bottom w:val="single" w:sz="4" w:space="0" w:color="auto"/>
            </w:tcBorders>
            <w:noWrap/>
            <w:vAlign w:val="center"/>
            <w:hideMark/>
          </w:tcPr>
          <w:p w14:paraId="1199361F" w14:textId="6D702A3E" w:rsidR="004F0545" w:rsidRPr="00C778CD" w:rsidRDefault="004F0545" w:rsidP="00C778CD">
            <w:pPr>
              <w:spacing w:after="0" w:line="240" w:lineRule="auto"/>
              <w:rPr>
                <w:rFonts w:ascii="Times New Roman" w:eastAsia="Times New Roman" w:hAnsi="Times New Roman"/>
                <w:b/>
                <w:sz w:val="20"/>
                <w:szCs w:val="20"/>
                <w:lang w:eastAsia="fr-FR"/>
              </w:rPr>
            </w:pPr>
            <w:proofErr w:type="spellStart"/>
            <w:r w:rsidRPr="00C778CD">
              <w:rPr>
                <w:rFonts w:ascii="Times New Roman" w:eastAsia="Times New Roman" w:hAnsi="Times New Roman"/>
                <w:b/>
                <w:sz w:val="20"/>
                <w:szCs w:val="20"/>
                <w:lang w:eastAsia="fr-FR"/>
              </w:rPr>
              <w:t>Genotype</w:t>
            </w:r>
            <w:proofErr w:type="spellEnd"/>
          </w:p>
        </w:tc>
        <w:tc>
          <w:tcPr>
            <w:tcW w:w="1460" w:type="dxa"/>
            <w:tcBorders>
              <w:top w:val="single" w:sz="4" w:space="0" w:color="auto"/>
              <w:bottom w:val="single" w:sz="4" w:space="0" w:color="auto"/>
            </w:tcBorders>
            <w:vAlign w:val="center"/>
            <w:hideMark/>
          </w:tcPr>
          <w:p w14:paraId="3DBDEFB2" w14:textId="035DBBC2" w:rsidR="004F0545" w:rsidRPr="00C778CD" w:rsidRDefault="004F0545" w:rsidP="00C778CD">
            <w:pPr>
              <w:spacing w:after="0" w:line="240" w:lineRule="auto"/>
              <w:jc w:val="center"/>
              <w:rPr>
                <w:rFonts w:ascii="Times New Roman" w:eastAsia="Times New Roman" w:hAnsi="Times New Roman"/>
                <w:b/>
                <w:color w:val="000000"/>
                <w:sz w:val="20"/>
                <w:szCs w:val="20"/>
                <w:lang w:eastAsia="fr-FR"/>
              </w:rPr>
            </w:pPr>
            <w:r w:rsidRPr="00C778CD">
              <w:rPr>
                <w:rFonts w:ascii="Times New Roman" w:eastAsia="Times New Roman" w:hAnsi="Times New Roman"/>
                <w:color w:val="000000"/>
                <w:sz w:val="20"/>
                <w:szCs w:val="20"/>
                <w:lang w:eastAsia="fr-FR"/>
              </w:rPr>
              <w:t>E120</w:t>
            </w:r>
          </w:p>
        </w:tc>
        <w:tc>
          <w:tcPr>
            <w:tcW w:w="1460" w:type="dxa"/>
            <w:tcBorders>
              <w:top w:val="single" w:sz="4" w:space="0" w:color="auto"/>
              <w:bottom w:val="single" w:sz="4" w:space="0" w:color="auto"/>
            </w:tcBorders>
            <w:vAlign w:val="center"/>
            <w:hideMark/>
          </w:tcPr>
          <w:p w14:paraId="3AA14E7D" w14:textId="0A1D3C7D" w:rsidR="004F0545" w:rsidRPr="00C778CD" w:rsidRDefault="004F0545" w:rsidP="00C778CD">
            <w:pPr>
              <w:spacing w:after="0" w:line="240" w:lineRule="auto"/>
              <w:jc w:val="center"/>
              <w:rPr>
                <w:rFonts w:ascii="Times New Roman" w:eastAsia="Times New Roman" w:hAnsi="Times New Roman"/>
                <w:b/>
                <w:color w:val="000000"/>
                <w:sz w:val="20"/>
                <w:szCs w:val="20"/>
                <w:lang w:eastAsia="fr-FR"/>
              </w:rPr>
            </w:pPr>
            <w:r w:rsidRPr="00C778CD">
              <w:rPr>
                <w:rFonts w:ascii="Times New Roman" w:eastAsia="Times New Roman" w:hAnsi="Times New Roman"/>
                <w:color w:val="000000"/>
                <w:sz w:val="20"/>
                <w:szCs w:val="20"/>
                <w:lang w:eastAsia="fr-FR"/>
              </w:rPr>
              <w:t>E165</w:t>
            </w:r>
          </w:p>
        </w:tc>
        <w:tc>
          <w:tcPr>
            <w:tcW w:w="1382" w:type="dxa"/>
            <w:tcBorders>
              <w:top w:val="single" w:sz="4" w:space="0" w:color="auto"/>
              <w:bottom w:val="single" w:sz="4" w:space="0" w:color="auto"/>
            </w:tcBorders>
            <w:vAlign w:val="center"/>
            <w:hideMark/>
          </w:tcPr>
          <w:p w14:paraId="594CEE8B" w14:textId="692B33C6" w:rsidR="004F0545" w:rsidRPr="00C778CD" w:rsidRDefault="004F0545" w:rsidP="00C778CD">
            <w:pPr>
              <w:spacing w:after="0" w:line="240" w:lineRule="auto"/>
              <w:jc w:val="center"/>
              <w:rPr>
                <w:rFonts w:ascii="Times New Roman" w:eastAsia="Times New Roman" w:hAnsi="Times New Roman"/>
                <w:b/>
                <w:color w:val="000000"/>
                <w:sz w:val="20"/>
                <w:szCs w:val="20"/>
                <w:lang w:eastAsia="fr-FR"/>
              </w:rPr>
            </w:pPr>
            <w:r w:rsidRPr="00C778CD">
              <w:rPr>
                <w:rFonts w:ascii="Times New Roman" w:eastAsia="Times New Roman" w:hAnsi="Times New Roman"/>
                <w:color w:val="000000"/>
                <w:sz w:val="20"/>
                <w:szCs w:val="20"/>
                <w:lang w:eastAsia="fr-FR"/>
              </w:rPr>
              <w:t>E186</w:t>
            </w:r>
          </w:p>
        </w:tc>
        <w:tc>
          <w:tcPr>
            <w:tcW w:w="1383" w:type="dxa"/>
            <w:tcBorders>
              <w:top w:val="single" w:sz="4" w:space="0" w:color="auto"/>
              <w:bottom w:val="single" w:sz="4" w:space="0" w:color="auto"/>
            </w:tcBorders>
            <w:vAlign w:val="center"/>
            <w:hideMark/>
          </w:tcPr>
          <w:p w14:paraId="7768423A" w14:textId="51B287C9" w:rsidR="004F0545" w:rsidRPr="00C778CD" w:rsidRDefault="004F0545" w:rsidP="00C778CD">
            <w:pPr>
              <w:spacing w:after="0" w:line="240" w:lineRule="auto"/>
              <w:jc w:val="center"/>
              <w:rPr>
                <w:rFonts w:ascii="Times New Roman" w:eastAsia="Times New Roman" w:hAnsi="Times New Roman"/>
                <w:b/>
                <w:color w:val="000000"/>
                <w:sz w:val="20"/>
                <w:szCs w:val="20"/>
                <w:lang w:eastAsia="fr-FR"/>
              </w:rPr>
            </w:pPr>
            <w:r w:rsidRPr="00C778CD">
              <w:rPr>
                <w:rFonts w:ascii="Times New Roman" w:eastAsia="Times New Roman" w:hAnsi="Times New Roman"/>
                <w:color w:val="000000"/>
                <w:sz w:val="20"/>
                <w:szCs w:val="20"/>
                <w:lang w:eastAsia="fr-FR"/>
              </w:rPr>
              <w:t>UW086 M</w:t>
            </w:r>
          </w:p>
        </w:tc>
        <w:tc>
          <w:tcPr>
            <w:tcW w:w="1382" w:type="dxa"/>
            <w:tcBorders>
              <w:top w:val="single" w:sz="4" w:space="0" w:color="auto"/>
              <w:bottom w:val="single" w:sz="4" w:space="0" w:color="auto"/>
            </w:tcBorders>
            <w:vAlign w:val="center"/>
            <w:hideMark/>
          </w:tcPr>
          <w:p w14:paraId="75C1B54F" w14:textId="05D5A795" w:rsidR="004F0545" w:rsidRPr="00C778CD" w:rsidRDefault="004F0545" w:rsidP="00C778CD">
            <w:pPr>
              <w:spacing w:after="0" w:line="240" w:lineRule="auto"/>
              <w:jc w:val="center"/>
              <w:rPr>
                <w:rFonts w:ascii="Times New Roman" w:eastAsia="Times New Roman" w:hAnsi="Times New Roman"/>
                <w:b/>
                <w:color w:val="000000"/>
                <w:sz w:val="20"/>
                <w:szCs w:val="20"/>
                <w:lang w:eastAsia="fr-FR"/>
              </w:rPr>
            </w:pPr>
            <w:r w:rsidRPr="00C778CD">
              <w:rPr>
                <w:rFonts w:ascii="Times New Roman" w:eastAsia="Times New Roman" w:hAnsi="Times New Roman"/>
                <w:color w:val="000000"/>
                <w:sz w:val="20"/>
                <w:szCs w:val="20"/>
                <w:lang w:eastAsia="fr-FR"/>
              </w:rPr>
              <w:t>White</w:t>
            </w:r>
          </w:p>
        </w:tc>
        <w:tc>
          <w:tcPr>
            <w:tcW w:w="877" w:type="dxa"/>
            <w:tcBorders>
              <w:top w:val="single" w:sz="4" w:space="0" w:color="auto"/>
              <w:bottom w:val="single" w:sz="4" w:space="0" w:color="auto"/>
            </w:tcBorders>
            <w:vAlign w:val="center"/>
            <w:hideMark/>
          </w:tcPr>
          <w:p w14:paraId="23559CD9" w14:textId="12BC43F3" w:rsidR="004F0545" w:rsidRPr="00C778CD" w:rsidRDefault="004F0545" w:rsidP="00C778CD">
            <w:pPr>
              <w:spacing w:after="0" w:line="240" w:lineRule="auto"/>
              <w:jc w:val="center"/>
              <w:rPr>
                <w:rFonts w:ascii="Times New Roman" w:eastAsia="Times New Roman" w:hAnsi="Times New Roman"/>
                <w:b/>
                <w:color w:val="000000"/>
                <w:sz w:val="20"/>
                <w:szCs w:val="20"/>
                <w:lang w:eastAsia="fr-FR"/>
              </w:rPr>
            </w:pPr>
            <w:r w:rsidRPr="00C778CD">
              <w:rPr>
                <w:rFonts w:ascii="Times New Roman" w:eastAsia="Times New Roman" w:hAnsi="Times New Roman"/>
                <w:color w:val="000000"/>
                <w:sz w:val="20"/>
                <w:szCs w:val="20"/>
                <w:lang w:eastAsia="fr-FR"/>
              </w:rPr>
              <w:t>P-value</w:t>
            </w:r>
          </w:p>
        </w:tc>
        <w:tc>
          <w:tcPr>
            <w:tcW w:w="501" w:type="dxa"/>
            <w:tcBorders>
              <w:top w:val="single" w:sz="4" w:space="0" w:color="auto"/>
              <w:bottom w:val="single" w:sz="4" w:space="0" w:color="auto"/>
            </w:tcBorders>
            <w:vAlign w:val="center"/>
            <w:hideMark/>
          </w:tcPr>
          <w:p w14:paraId="266F0222" w14:textId="7A00BA78" w:rsidR="004F0545" w:rsidRPr="00C778CD" w:rsidRDefault="004F0545" w:rsidP="00C778CD">
            <w:pPr>
              <w:spacing w:after="0" w:line="240" w:lineRule="auto"/>
              <w:jc w:val="center"/>
              <w:rPr>
                <w:rFonts w:ascii="Times New Roman" w:eastAsia="Times New Roman" w:hAnsi="Times New Roman"/>
                <w:b/>
                <w:color w:val="000000"/>
                <w:sz w:val="20"/>
                <w:szCs w:val="20"/>
                <w:lang w:eastAsia="fr-FR"/>
              </w:rPr>
            </w:pPr>
            <w:r w:rsidRPr="00C778CD">
              <w:rPr>
                <w:rFonts w:ascii="Times New Roman" w:eastAsia="Times New Roman" w:hAnsi="Times New Roman"/>
                <w:color w:val="000000"/>
                <w:sz w:val="20"/>
                <w:szCs w:val="20"/>
                <w:lang w:eastAsia="fr-FR"/>
              </w:rPr>
              <w:t>S</w:t>
            </w:r>
          </w:p>
        </w:tc>
      </w:tr>
      <w:tr w:rsidR="004F0545" w:rsidRPr="00C778CD" w14:paraId="7A330C2F" w14:textId="77777777" w:rsidTr="000F6481">
        <w:trPr>
          <w:trHeight w:val="244"/>
        </w:trPr>
        <w:tc>
          <w:tcPr>
            <w:tcW w:w="644" w:type="dxa"/>
            <w:vMerge w:val="restart"/>
            <w:tcBorders>
              <w:top w:val="single" w:sz="4" w:space="0" w:color="auto"/>
              <w:left w:val="single" w:sz="4" w:space="0" w:color="auto"/>
              <w:bottom w:val="single" w:sz="4" w:space="0" w:color="auto"/>
              <w:right w:val="single" w:sz="4" w:space="0" w:color="auto"/>
            </w:tcBorders>
            <w:textDirection w:val="btLr"/>
          </w:tcPr>
          <w:p w14:paraId="34DDC263" w14:textId="77777777" w:rsidR="004F0545" w:rsidRPr="00C778CD" w:rsidRDefault="004F0545" w:rsidP="00C778CD">
            <w:pPr>
              <w:spacing w:after="0" w:line="240" w:lineRule="auto"/>
              <w:ind w:left="113" w:right="113"/>
              <w:rPr>
                <w:rFonts w:ascii="Times New Roman" w:eastAsia="Times New Roman" w:hAnsi="Times New Roman"/>
                <w:color w:val="000000"/>
                <w:sz w:val="20"/>
                <w:szCs w:val="20"/>
                <w:lang w:eastAsia="fr-FR"/>
              </w:rPr>
            </w:pPr>
            <w:r w:rsidRPr="00C778CD">
              <w:rPr>
                <w:rFonts w:ascii="Times New Roman" w:hAnsi="Times New Roman" w:cs="Times New Roman"/>
                <w:b/>
                <w:bCs/>
                <w:sz w:val="20"/>
                <w:szCs w:val="20"/>
              </w:rPr>
              <w:t xml:space="preserve">Conservation </w:t>
            </w:r>
            <w:proofErr w:type="spellStart"/>
            <w:r w:rsidRPr="00C778CD">
              <w:rPr>
                <w:rFonts w:ascii="Times New Roman" w:hAnsi="Times New Roman" w:cs="Times New Roman"/>
                <w:b/>
                <w:bCs/>
                <w:sz w:val="20"/>
                <w:szCs w:val="20"/>
              </w:rPr>
              <w:t>methods</w:t>
            </w:r>
            <w:proofErr w:type="spellEnd"/>
            <w:r w:rsidRPr="00C778CD">
              <w:rPr>
                <w:rFonts w:ascii="Times New Roman" w:hAnsi="Times New Roman" w:cs="Times New Roman"/>
                <w:b/>
                <w:bCs/>
                <w:sz w:val="20"/>
                <w:szCs w:val="20"/>
              </w:rPr>
              <w:t xml:space="preserve">    </w:t>
            </w:r>
          </w:p>
        </w:tc>
        <w:tc>
          <w:tcPr>
            <w:tcW w:w="995" w:type="dxa"/>
            <w:tcBorders>
              <w:top w:val="single" w:sz="4" w:space="0" w:color="auto"/>
              <w:left w:val="single" w:sz="4" w:space="0" w:color="auto"/>
            </w:tcBorders>
            <w:vAlign w:val="center"/>
            <w:hideMark/>
          </w:tcPr>
          <w:p w14:paraId="3A7719D8" w14:textId="24BB8916"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BITA+G</w:t>
            </w:r>
          </w:p>
        </w:tc>
        <w:tc>
          <w:tcPr>
            <w:tcW w:w="1460" w:type="dxa"/>
            <w:tcBorders>
              <w:top w:val="single" w:sz="4" w:space="0" w:color="auto"/>
            </w:tcBorders>
            <w:vAlign w:val="center"/>
            <w:hideMark/>
          </w:tcPr>
          <w:p w14:paraId="0627510F" w14:textId="5764A521"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3.33 ± 2.03</w:t>
            </w:r>
            <w:r w:rsidRPr="00C778CD">
              <w:rPr>
                <w:rFonts w:ascii="Times New Roman" w:eastAsia="Times New Roman" w:hAnsi="Times New Roman"/>
                <w:color w:val="000000"/>
                <w:sz w:val="20"/>
                <w:szCs w:val="20"/>
                <w:vertAlign w:val="superscript"/>
                <w:lang w:eastAsia="fr-FR"/>
              </w:rPr>
              <w:t>b</w:t>
            </w:r>
          </w:p>
        </w:tc>
        <w:tc>
          <w:tcPr>
            <w:tcW w:w="1460" w:type="dxa"/>
            <w:tcBorders>
              <w:top w:val="single" w:sz="4" w:space="0" w:color="auto"/>
            </w:tcBorders>
            <w:vAlign w:val="center"/>
            <w:hideMark/>
          </w:tcPr>
          <w:p w14:paraId="2D5D5AE8" w14:textId="1BD2803C"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9.33 ± 1.45</w:t>
            </w:r>
            <w:r w:rsidRPr="00C778CD">
              <w:rPr>
                <w:rFonts w:ascii="Times New Roman" w:eastAsia="Times New Roman" w:hAnsi="Times New Roman"/>
                <w:color w:val="000000"/>
                <w:sz w:val="20"/>
                <w:szCs w:val="20"/>
                <w:vertAlign w:val="superscript"/>
                <w:lang w:eastAsia="fr-FR"/>
              </w:rPr>
              <w:t>a</w:t>
            </w:r>
          </w:p>
        </w:tc>
        <w:tc>
          <w:tcPr>
            <w:tcW w:w="1382" w:type="dxa"/>
            <w:tcBorders>
              <w:top w:val="single" w:sz="4" w:space="0" w:color="auto"/>
            </w:tcBorders>
            <w:vAlign w:val="center"/>
            <w:hideMark/>
          </w:tcPr>
          <w:p w14:paraId="7175416E" w14:textId="6AB77F97"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8.00 ± 1.53</w:t>
            </w:r>
            <w:r w:rsidRPr="00C778CD">
              <w:rPr>
                <w:rFonts w:ascii="Times New Roman" w:eastAsia="Times New Roman" w:hAnsi="Times New Roman"/>
                <w:color w:val="000000"/>
                <w:sz w:val="20"/>
                <w:szCs w:val="20"/>
                <w:vertAlign w:val="superscript"/>
                <w:lang w:eastAsia="fr-FR"/>
              </w:rPr>
              <w:t>ab</w:t>
            </w:r>
          </w:p>
        </w:tc>
        <w:tc>
          <w:tcPr>
            <w:tcW w:w="1383" w:type="dxa"/>
            <w:tcBorders>
              <w:top w:val="single" w:sz="4" w:space="0" w:color="auto"/>
            </w:tcBorders>
            <w:vAlign w:val="center"/>
            <w:hideMark/>
          </w:tcPr>
          <w:p w14:paraId="3A5C2048" w14:textId="441B4C5D"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5.00 ± 0.00</w:t>
            </w:r>
            <w:r w:rsidRPr="00C778CD">
              <w:rPr>
                <w:rFonts w:ascii="Times New Roman" w:eastAsia="Times New Roman" w:hAnsi="Times New Roman"/>
                <w:color w:val="000000"/>
                <w:sz w:val="20"/>
                <w:szCs w:val="20"/>
                <w:vertAlign w:val="superscript"/>
                <w:lang w:eastAsia="fr-FR"/>
              </w:rPr>
              <w:t>ab</w:t>
            </w:r>
          </w:p>
        </w:tc>
        <w:tc>
          <w:tcPr>
            <w:tcW w:w="1382" w:type="dxa"/>
            <w:tcBorders>
              <w:top w:val="single" w:sz="4" w:space="0" w:color="auto"/>
            </w:tcBorders>
            <w:vAlign w:val="center"/>
            <w:hideMark/>
          </w:tcPr>
          <w:p w14:paraId="7B4F45CA" w14:textId="42463C8A"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8,00 ± 0.00</w:t>
            </w:r>
            <w:r w:rsidRPr="00C778CD">
              <w:rPr>
                <w:rFonts w:ascii="Times New Roman" w:eastAsia="Times New Roman" w:hAnsi="Times New Roman"/>
                <w:color w:val="000000"/>
                <w:sz w:val="20"/>
                <w:szCs w:val="20"/>
                <w:vertAlign w:val="superscript"/>
                <w:lang w:eastAsia="fr-FR"/>
              </w:rPr>
              <w:t>a</w:t>
            </w:r>
          </w:p>
        </w:tc>
        <w:tc>
          <w:tcPr>
            <w:tcW w:w="877" w:type="dxa"/>
            <w:tcBorders>
              <w:top w:val="single" w:sz="4" w:space="0" w:color="auto"/>
            </w:tcBorders>
            <w:vAlign w:val="center"/>
            <w:hideMark/>
          </w:tcPr>
          <w:p w14:paraId="2B355C35" w14:textId="168DD822"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0.02</w:t>
            </w:r>
          </w:p>
        </w:tc>
        <w:tc>
          <w:tcPr>
            <w:tcW w:w="501" w:type="dxa"/>
            <w:tcBorders>
              <w:top w:val="single" w:sz="4" w:space="0" w:color="auto"/>
            </w:tcBorders>
            <w:vAlign w:val="center"/>
            <w:hideMark/>
          </w:tcPr>
          <w:p w14:paraId="391F209D" w14:textId="2D310FF2"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w:t>
            </w:r>
          </w:p>
        </w:tc>
      </w:tr>
      <w:tr w:rsidR="004F0545" w:rsidRPr="00C778CD" w14:paraId="14ABE8B8" w14:textId="77777777" w:rsidTr="000F6481">
        <w:trPr>
          <w:trHeight w:val="244"/>
        </w:trPr>
        <w:tc>
          <w:tcPr>
            <w:tcW w:w="644" w:type="dxa"/>
            <w:vMerge/>
            <w:tcBorders>
              <w:top w:val="single" w:sz="4" w:space="0" w:color="auto"/>
              <w:left w:val="single" w:sz="4" w:space="0" w:color="auto"/>
              <w:bottom w:val="single" w:sz="4" w:space="0" w:color="auto"/>
              <w:right w:val="single" w:sz="4" w:space="0" w:color="auto"/>
            </w:tcBorders>
          </w:tcPr>
          <w:p w14:paraId="13676F86" w14:textId="77777777" w:rsidR="004F0545" w:rsidRPr="00C778CD" w:rsidRDefault="004F0545" w:rsidP="00C778CD">
            <w:pPr>
              <w:spacing w:after="0" w:line="240" w:lineRule="auto"/>
              <w:ind w:left="113" w:right="113"/>
              <w:rPr>
                <w:rFonts w:ascii="Times New Roman" w:eastAsia="Times New Roman" w:hAnsi="Times New Roman"/>
                <w:color w:val="000000"/>
                <w:sz w:val="20"/>
                <w:szCs w:val="20"/>
                <w:lang w:eastAsia="fr-FR"/>
              </w:rPr>
            </w:pPr>
          </w:p>
        </w:tc>
        <w:tc>
          <w:tcPr>
            <w:tcW w:w="995" w:type="dxa"/>
            <w:tcBorders>
              <w:left w:val="single" w:sz="4" w:space="0" w:color="auto"/>
            </w:tcBorders>
            <w:vAlign w:val="center"/>
            <w:hideMark/>
          </w:tcPr>
          <w:p w14:paraId="022E1251" w14:textId="26C53D61"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BITA+S</w:t>
            </w:r>
          </w:p>
        </w:tc>
        <w:tc>
          <w:tcPr>
            <w:tcW w:w="1460" w:type="dxa"/>
            <w:vAlign w:val="center"/>
            <w:hideMark/>
          </w:tcPr>
          <w:p w14:paraId="3C816E77" w14:textId="13D78CC1"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7.00 ± 1.73</w:t>
            </w:r>
            <w:r w:rsidRPr="00C778CD">
              <w:rPr>
                <w:rFonts w:ascii="Times New Roman" w:eastAsia="Times New Roman" w:hAnsi="Times New Roman"/>
                <w:color w:val="000000"/>
                <w:sz w:val="20"/>
                <w:szCs w:val="20"/>
                <w:vertAlign w:val="superscript"/>
                <w:lang w:eastAsia="fr-FR"/>
              </w:rPr>
              <w:t>ab</w:t>
            </w:r>
          </w:p>
        </w:tc>
        <w:tc>
          <w:tcPr>
            <w:tcW w:w="1460" w:type="dxa"/>
            <w:vAlign w:val="center"/>
            <w:hideMark/>
          </w:tcPr>
          <w:p w14:paraId="4C77982F" w14:textId="53D6861C"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12.33 ± 0.67</w:t>
            </w:r>
            <w:r w:rsidRPr="00C778CD">
              <w:rPr>
                <w:rFonts w:ascii="Times New Roman" w:eastAsia="Times New Roman" w:hAnsi="Times New Roman"/>
                <w:color w:val="000000"/>
                <w:sz w:val="20"/>
                <w:szCs w:val="20"/>
                <w:vertAlign w:val="superscript"/>
                <w:lang w:eastAsia="fr-FR"/>
              </w:rPr>
              <w:t>a</w:t>
            </w:r>
          </w:p>
        </w:tc>
        <w:tc>
          <w:tcPr>
            <w:tcW w:w="1382" w:type="dxa"/>
            <w:vAlign w:val="center"/>
            <w:hideMark/>
          </w:tcPr>
          <w:p w14:paraId="23162276" w14:textId="27A0088A"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6.33 ± 1.33</w:t>
            </w:r>
            <w:r w:rsidRPr="00C778CD">
              <w:rPr>
                <w:rFonts w:ascii="Times New Roman" w:eastAsia="Times New Roman" w:hAnsi="Times New Roman"/>
                <w:color w:val="000000"/>
                <w:sz w:val="20"/>
                <w:szCs w:val="20"/>
                <w:vertAlign w:val="superscript"/>
                <w:lang w:eastAsia="fr-FR"/>
              </w:rPr>
              <w:t>ab</w:t>
            </w:r>
          </w:p>
        </w:tc>
        <w:tc>
          <w:tcPr>
            <w:tcW w:w="1383" w:type="dxa"/>
            <w:vAlign w:val="center"/>
            <w:hideMark/>
          </w:tcPr>
          <w:p w14:paraId="2334C51D" w14:textId="2635ABF7"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5.00 ± 0.00</w:t>
            </w:r>
            <w:r w:rsidRPr="00C778CD">
              <w:rPr>
                <w:rFonts w:ascii="Times New Roman" w:eastAsia="Times New Roman" w:hAnsi="Times New Roman"/>
                <w:color w:val="000000"/>
                <w:sz w:val="20"/>
                <w:szCs w:val="20"/>
                <w:vertAlign w:val="superscript"/>
                <w:lang w:eastAsia="fr-FR"/>
              </w:rPr>
              <w:t>b</w:t>
            </w:r>
          </w:p>
        </w:tc>
        <w:tc>
          <w:tcPr>
            <w:tcW w:w="1382" w:type="dxa"/>
            <w:vAlign w:val="center"/>
            <w:hideMark/>
          </w:tcPr>
          <w:p w14:paraId="3A7A9E83" w14:textId="14C41D7E"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 xml:space="preserve">  5.33 ± 2.67</w:t>
            </w:r>
            <w:r w:rsidRPr="00C778CD">
              <w:rPr>
                <w:rFonts w:ascii="Times New Roman" w:eastAsia="Times New Roman" w:hAnsi="Times New Roman"/>
                <w:color w:val="000000"/>
                <w:sz w:val="20"/>
                <w:szCs w:val="20"/>
                <w:vertAlign w:val="superscript"/>
                <w:lang w:eastAsia="fr-FR"/>
              </w:rPr>
              <w:t>ab</w:t>
            </w:r>
          </w:p>
        </w:tc>
        <w:tc>
          <w:tcPr>
            <w:tcW w:w="877" w:type="dxa"/>
            <w:vAlign w:val="center"/>
            <w:hideMark/>
          </w:tcPr>
          <w:p w14:paraId="0D1FCB2E" w14:textId="6341AA31"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0.04</w:t>
            </w:r>
          </w:p>
        </w:tc>
        <w:tc>
          <w:tcPr>
            <w:tcW w:w="501" w:type="dxa"/>
            <w:vAlign w:val="center"/>
            <w:hideMark/>
          </w:tcPr>
          <w:p w14:paraId="17C2510C" w14:textId="3294CC70"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w:t>
            </w:r>
          </w:p>
        </w:tc>
      </w:tr>
      <w:tr w:rsidR="004F0545" w:rsidRPr="00C778CD" w14:paraId="3970E992" w14:textId="77777777" w:rsidTr="000F6481">
        <w:trPr>
          <w:trHeight w:val="244"/>
        </w:trPr>
        <w:tc>
          <w:tcPr>
            <w:tcW w:w="644" w:type="dxa"/>
            <w:vMerge/>
            <w:tcBorders>
              <w:top w:val="single" w:sz="4" w:space="0" w:color="auto"/>
              <w:left w:val="single" w:sz="4" w:space="0" w:color="auto"/>
              <w:bottom w:val="single" w:sz="4" w:space="0" w:color="auto"/>
              <w:right w:val="single" w:sz="4" w:space="0" w:color="auto"/>
            </w:tcBorders>
          </w:tcPr>
          <w:p w14:paraId="220B8687" w14:textId="77777777" w:rsidR="004F0545" w:rsidRPr="00C778CD" w:rsidRDefault="004F0545" w:rsidP="00C778CD">
            <w:pPr>
              <w:spacing w:after="0" w:line="240" w:lineRule="auto"/>
              <w:ind w:left="113" w:right="113"/>
              <w:rPr>
                <w:rFonts w:ascii="Times New Roman" w:eastAsia="Times New Roman" w:hAnsi="Times New Roman"/>
                <w:color w:val="000000"/>
                <w:sz w:val="20"/>
                <w:szCs w:val="20"/>
                <w:lang w:eastAsia="fr-FR"/>
              </w:rPr>
            </w:pPr>
          </w:p>
        </w:tc>
        <w:tc>
          <w:tcPr>
            <w:tcW w:w="995" w:type="dxa"/>
            <w:tcBorders>
              <w:left w:val="single" w:sz="4" w:space="0" w:color="auto"/>
            </w:tcBorders>
            <w:vAlign w:val="center"/>
            <w:hideMark/>
          </w:tcPr>
          <w:p w14:paraId="2F34BEEA" w14:textId="1DDD2FB0"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BITA</w:t>
            </w:r>
          </w:p>
        </w:tc>
        <w:tc>
          <w:tcPr>
            <w:tcW w:w="1460" w:type="dxa"/>
            <w:vAlign w:val="center"/>
            <w:hideMark/>
          </w:tcPr>
          <w:p w14:paraId="158CD0A1" w14:textId="14C83ED2"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2.00 ± 0.58</w:t>
            </w:r>
            <w:r w:rsidRPr="00C778CD">
              <w:rPr>
                <w:rFonts w:ascii="Times New Roman" w:eastAsia="Times New Roman" w:hAnsi="Times New Roman"/>
                <w:color w:val="000000"/>
                <w:sz w:val="20"/>
                <w:szCs w:val="20"/>
                <w:vertAlign w:val="superscript"/>
                <w:lang w:eastAsia="fr-FR"/>
              </w:rPr>
              <w:t>a</w:t>
            </w:r>
          </w:p>
        </w:tc>
        <w:tc>
          <w:tcPr>
            <w:tcW w:w="1460" w:type="dxa"/>
            <w:vAlign w:val="center"/>
            <w:hideMark/>
          </w:tcPr>
          <w:p w14:paraId="562C7E1D" w14:textId="72B5F0F1"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5.33 ± 2.90</w:t>
            </w:r>
            <w:r w:rsidRPr="00C778CD">
              <w:rPr>
                <w:rFonts w:ascii="Times New Roman" w:eastAsia="Times New Roman" w:hAnsi="Times New Roman"/>
                <w:color w:val="000000"/>
                <w:sz w:val="20"/>
                <w:szCs w:val="20"/>
                <w:vertAlign w:val="superscript"/>
                <w:lang w:eastAsia="fr-FR"/>
              </w:rPr>
              <w:t>a</w:t>
            </w:r>
          </w:p>
        </w:tc>
        <w:tc>
          <w:tcPr>
            <w:tcW w:w="1382" w:type="dxa"/>
            <w:vAlign w:val="center"/>
            <w:hideMark/>
          </w:tcPr>
          <w:p w14:paraId="03EEFF46" w14:textId="350328C8"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7.33 ± 1.45</w:t>
            </w:r>
            <w:r w:rsidRPr="00C778CD">
              <w:rPr>
                <w:rFonts w:ascii="Times New Roman" w:eastAsia="Times New Roman" w:hAnsi="Times New Roman"/>
                <w:color w:val="000000"/>
                <w:sz w:val="20"/>
                <w:szCs w:val="20"/>
                <w:vertAlign w:val="superscript"/>
                <w:lang w:eastAsia="fr-FR"/>
              </w:rPr>
              <w:t>a</w:t>
            </w:r>
          </w:p>
        </w:tc>
        <w:tc>
          <w:tcPr>
            <w:tcW w:w="1383" w:type="dxa"/>
            <w:vAlign w:val="center"/>
            <w:hideMark/>
          </w:tcPr>
          <w:p w14:paraId="02C3C0A7" w14:textId="1EC303FF"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5.67 ± 1.20</w:t>
            </w:r>
            <w:r w:rsidRPr="00C778CD">
              <w:rPr>
                <w:rFonts w:ascii="Times New Roman" w:eastAsia="Times New Roman" w:hAnsi="Times New Roman"/>
                <w:color w:val="000000"/>
                <w:sz w:val="20"/>
                <w:szCs w:val="20"/>
                <w:vertAlign w:val="superscript"/>
                <w:lang w:eastAsia="fr-FR"/>
              </w:rPr>
              <w:t>a</w:t>
            </w:r>
          </w:p>
        </w:tc>
        <w:tc>
          <w:tcPr>
            <w:tcW w:w="1382" w:type="dxa"/>
            <w:vAlign w:val="center"/>
            <w:hideMark/>
          </w:tcPr>
          <w:p w14:paraId="2AC27E31" w14:textId="6910A229"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6.67 ± 2.33</w:t>
            </w:r>
            <w:r w:rsidRPr="00C778CD">
              <w:rPr>
                <w:rFonts w:ascii="Times New Roman" w:eastAsia="Times New Roman" w:hAnsi="Times New Roman"/>
                <w:color w:val="000000"/>
                <w:sz w:val="20"/>
                <w:szCs w:val="20"/>
                <w:vertAlign w:val="superscript"/>
                <w:lang w:eastAsia="fr-FR"/>
              </w:rPr>
              <w:t>a</w:t>
            </w:r>
          </w:p>
        </w:tc>
        <w:tc>
          <w:tcPr>
            <w:tcW w:w="877" w:type="dxa"/>
            <w:vAlign w:val="center"/>
            <w:hideMark/>
          </w:tcPr>
          <w:p w14:paraId="026FE823" w14:textId="6B042112"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0.37</w:t>
            </w:r>
          </w:p>
        </w:tc>
        <w:tc>
          <w:tcPr>
            <w:tcW w:w="501" w:type="dxa"/>
            <w:vAlign w:val="center"/>
            <w:hideMark/>
          </w:tcPr>
          <w:p w14:paraId="1A293207" w14:textId="76317A5A"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r>
      <w:tr w:rsidR="004F0545" w:rsidRPr="00C778CD" w14:paraId="7F8C0BBB" w14:textId="77777777" w:rsidTr="000F6481">
        <w:trPr>
          <w:cantSplit/>
          <w:trHeight w:val="191"/>
        </w:trPr>
        <w:tc>
          <w:tcPr>
            <w:tcW w:w="644" w:type="dxa"/>
            <w:vMerge/>
            <w:tcBorders>
              <w:top w:val="single" w:sz="4" w:space="0" w:color="auto"/>
              <w:left w:val="single" w:sz="4" w:space="0" w:color="auto"/>
              <w:bottom w:val="single" w:sz="4" w:space="0" w:color="auto"/>
              <w:right w:val="single" w:sz="4" w:space="0" w:color="auto"/>
            </w:tcBorders>
            <w:textDirection w:val="btLr"/>
          </w:tcPr>
          <w:p w14:paraId="3BBD6B45" w14:textId="77777777" w:rsidR="004F0545" w:rsidRPr="00C778CD" w:rsidRDefault="004F0545" w:rsidP="00C778CD">
            <w:pPr>
              <w:spacing w:after="0" w:line="240" w:lineRule="auto"/>
              <w:ind w:left="113" w:right="113"/>
              <w:rPr>
                <w:rFonts w:ascii="Times New Roman" w:eastAsia="Times New Roman" w:hAnsi="Times New Roman"/>
                <w:color w:val="000000"/>
                <w:sz w:val="20"/>
                <w:szCs w:val="20"/>
                <w:lang w:eastAsia="fr-FR"/>
              </w:rPr>
            </w:pPr>
          </w:p>
        </w:tc>
        <w:tc>
          <w:tcPr>
            <w:tcW w:w="995" w:type="dxa"/>
            <w:tcBorders>
              <w:left w:val="single" w:sz="4" w:space="0" w:color="auto"/>
            </w:tcBorders>
            <w:vAlign w:val="center"/>
            <w:hideMark/>
          </w:tcPr>
          <w:p w14:paraId="6CC8F8C0" w14:textId="38F963B8"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BITA+CB</w:t>
            </w:r>
          </w:p>
        </w:tc>
        <w:tc>
          <w:tcPr>
            <w:tcW w:w="1460" w:type="dxa"/>
            <w:vAlign w:val="center"/>
            <w:hideMark/>
          </w:tcPr>
          <w:p w14:paraId="74FBD0E9" w14:textId="2D1AC0E6"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2.67 ± 0.33</w:t>
            </w:r>
            <w:r w:rsidRPr="00C778CD">
              <w:rPr>
                <w:rFonts w:ascii="Times New Roman" w:eastAsia="Times New Roman" w:hAnsi="Times New Roman"/>
                <w:color w:val="000000"/>
                <w:sz w:val="20"/>
                <w:szCs w:val="20"/>
                <w:vertAlign w:val="superscript"/>
                <w:lang w:eastAsia="fr-FR"/>
              </w:rPr>
              <w:t>a</w:t>
            </w:r>
          </w:p>
        </w:tc>
        <w:tc>
          <w:tcPr>
            <w:tcW w:w="1460" w:type="dxa"/>
            <w:vAlign w:val="center"/>
            <w:hideMark/>
          </w:tcPr>
          <w:p w14:paraId="7B8A81E3" w14:textId="67E5A5F6"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4.00 ± 0.00</w:t>
            </w:r>
            <w:r w:rsidRPr="00C778CD">
              <w:rPr>
                <w:rFonts w:ascii="Times New Roman" w:eastAsia="Times New Roman" w:hAnsi="Times New Roman"/>
                <w:color w:val="000000"/>
                <w:sz w:val="20"/>
                <w:szCs w:val="20"/>
                <w:vertAlign w:val="superscript"/>
                <w:lang w:eastAsia="fr-FR"/>
              </w:rPr>
              <w:t>a</w:t>
            </w:r>
          </w:p>
        </w:tc>
        <w:tc>
          <w:tcPr>
            <w:tcW w:w="1382" w:type="dxa"/>
            <w:vAlign w:val="center"/>
            <w:hideMark/>
          </w:tcPr>
          <w:p w14:paraId="0BA5DC6D" w14:textId="18ACB110"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8.33 ± 1.45</w:t>
            </w:r>
            <w:r w:rsidRPr="00C778CD">
              <w:rPr>
                <w:rFonts w:ascii="Times New Roman" w:eastAsia="Times New Roman" w:hAnsi="Times New Roman"/>
                <w:color w:val="000000"/>
                <w:sz w:val="20"/>
                <w:szCs w:val="20"/>
                <w:vertAlign w:val="superscript"/>
                <w:lang w:eastAsia="fr-FR"/>
              </w:rPr>
              <w:t>a</w:t>
            </w:r>
          </w:p>
        </w:tc>
        <w:tc>
          <w:tcPr>
            <w:tcW w:w="1383" w:type="dxa"/>
            <w:vAlign w:val="center"/>
            <w:hideMark/>
          </w:tcPr>
          <w:p w14:paraId="7505F7EB" w14:textId="1D7954EF"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8.33 ± 1.20a</w:t>
            </w:r>
          </w:p>
        </w:tc>
        <w:tc>
          <w:tcPr>
            <w:tcW w:w="1382" w:type="dxa"/>
            <w:vAlign w:val="center"/>
            <w:hideMark/>
          </w:tcPr>
          <w:p w14:paraId="0104E6AA" w14:textId="12ED7FC5"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3.33 ± 3.33</w:t>
            </w:r>
            <w:r w:rsidRPr="00C778CD">
              <w:rPr>
                <w:rFonts w:ascii="Times New Roman" w:eastAsia="Times New Roman" w:hAnsi="Times New Roman"/>
                <w:color w:val="000000"/>
                <w:sz w:val="20"/>
                <w:szCs w:val="20"/>
                <w:vertAlign w:val="superscript"/>
                <w:lang w:eastAsia="fr-FR"/>
              </w:rPr>
              <w:t>a</w:t>
            </w:r>
          </w:p>
        </w:tc>
        <w:tc>
          <w:tcPr>
            <w:tcW w:w="877" w:type="dxa"/>
            <w:vAlign w:val="center"/>
            <w:hideMark/>
          </w:tcPr>
          <w:p w14:paraId="3411B7A3" w14:textId="30BDF330"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0.09</w:t>
            </w:r>
          </w:p>
        </w:tc>
        <w:tc>
          <w:tcPr>
            <w:tcW w:w="501" w:type="dxa"/>
            <w:vAlign w:val="center"/>
            <w:hideMark/>
          </w:tcPr>
          <w:p w14:paraId="26BEC4AE" w14:textId="38DA077C"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r>
      <w:tr w:rsidR="004F0545" w:rsidRPr="00C778CD" w14:paraId="16D238D3" w14:textId="77777777" w:rsidTr="000F6481">
        <w:trPr>
          <w:trHeight w:val="244"/>
        </w:trPr>
        <w:tc>
          <w:tcPr>
            <w:tcW w:w="644" w:type="dxa"/>
            <w:vMerge/>
            <w:tcBorders>
              <w:top w:val="single" w:sz="4" w:space="0" w:color="auto"/>
              <w:left w:val="single" w:sz="4" w:space="0" w:color="auto"/>
              <w:bottom w:val="single" w:sz="4" w:space="0" w:color="auto"/>
              <w:right w:val="single" w:sz="4" w:space="0" w:color="auto"/>
            </w:tcBorders>
          </w:tcPr>
          <w:p w14:paraId="3AAAF630" w14:textId="77777777" w:rsidR="004F0545" w:rsidRPr="00C778CD" w:rsidRDefault="004F0545" w:rsidP="00C778CD">
            <w:pPr>
              <w:spacing w:after="0" w:line="240" w:lineRule="auto"/>
              <w:rPr>
                <w:rFonts w:ascii="Times New Roman" w:eastAsia="Times New Roman" w:hAnsi="Times New Roman"/>
                <w:color w:val="000000"/>
                <w:sz w:val="20"/>
                <w:szCs w:val="20"/>
                <w:lang w:eastAsia="fr-FR"/>
              </w:rPr>
            </w:pPr>
          </w:p>
        </w:tc>
        <w:tc>
          <w:tcPr>
            <w:tcW w:w="995" w:type="dxa"/>
            <w:tcBorders>
              <w:left w:val="single" w:sz="4" w:space="0" w:color="auto"/>
            </w:tcBorders>
            <w:vAlign w:val="center"/>
            <w:hideMark/>
          </w:tcPr>
          <w:p w14:paraId="4BB36B39" w14:textId="7142F96A" w:rsidR="004F0545" w:rsidRPr="00C778CD" w:rsidRDefault="004F0545" w:rsidP="00C778CD">
            <w:pPr>
              <w:spacing w:after="0" w:line="240" w:lineRule="auto"/>
              <w:rPr>
                <w:rFonts w:ascii="Times New Roman" w:eastAsia="Times New Roman" w:hAnsi="Times New Roman"/>
                <w:color w:val="000000"/>
                <w:sz w:val="20"/>
                <w:szCs w:val="20"/>
                <w:lang w:eastAsia="fr-FR"/>
              </w:rPr>
            </w:pPr>
            <w:proofErr w:type="spellStart"/>
            <w:r w:rsidRPr="00C778CD">
              <w:rPr>
                <w:rFonts w:ascii="Times New Roman" w:eastAsia="Times New Roman" w:hAnsi="Times New Roman"/>
                <w:color w:val="000000"/>
                <w:sz w:val="20"/>
                <w:szCs w:val="20"/>
                <w:lang w:eastAsia="fr-FR"/>
              </w:rPr>
              <w:t>TriS</w:t>
            </w:r>
            <w:proofErr w:type="spellEnd"/>
          </w:p>
        </w:tc>
        <w:tc>
          <w:tcPr>
            <w:tcW w:w="1460" w:type="dxa"/>
            <w:vAlign w:val="center"/>
            <w:hideMark/>
          </w:tcPr>
          <w:p w14:paraId="3D25571A" w14:textId="651E0CF8"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3.00 ± 1.00</w:t>
            </w:r>
            <w:r w:rsidRPr="00C778CD">
              <w:rPr>
                <w:rFonts w:ascii="Times New Roman" w:eastAsia="Times New Roman" w:hAnsi="Times New Roman"/>
                <w:color w:val="000000"/>
                <w:sz w:val="20"/>
                <w:szCs w:val="20"/>
                <w:vertAlign w:val="superscript"/>
                <w:lang w:eastAsia="fr-FR"/>
              </w:rPr>
              <w:t>a</w:t>
            </w:r>
          </w:p>
        </w:tc>
        <w:tc>
          <w:tcPr>
            <w:tcW w:w="1460" w:type="dxa"/>
            <w:vAlign w:val="center"/>
            <w:hideMark/>
          </w:tcPr>
          <w:p w14:paraId="5C8B61C7" w14:textId="71243B47"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6,33 ± 2.08</w:t>
            </w:r>
            <w:r w:rsidRPr="00C778CD">
              <w:rPr>
                <w:rFonts w:ascii="Times New Roman" w:eastAsia="Times New Roman" w:hAnsi="Times New Roman"/>
                <w:color w:val="000000"/>
                <w:sz w:val="20"/>
                <w:szCs w:val="20"/>
                <w:vertAlign w:val="superscript"/>
                <w:lang w:eastAsia="fr-FR"/>
              </w:rPr>
              <w:t>a</w:t>
            </w:r>
          </w:p>
        </w:tc>
        <w:tc>
          <w:tcPr>
            <w:tcW w:w="1382" w:type="dxa"/>
            <w:vAlign w:val="center"/>
            <w:hideMark/>
          </w:tcPr>
          <w:p w14:paraId="6A32E742" w14:textId="0C1F934A"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5.33±1.15</w:t>
            </w:r>
            <w:r w:rsidRPr="00C778CD">
              <w:rPr>
                <w:rFonts w:ascii="Times New Roman" w:eastAsia="Times New Roman" w:hAnsi="Times New Roman"/>
                <w:color w:val="000000"/>
                <w:sz w:val="20"/>
                <w:szCs w:val="20"/>
                <w:vertAlign w:val="superscript"/>
                <w:lang w:eastAsia="fr-FR"/>
              </w:rPr>
              <w:t>a</w:t>
            </w:r>
          </w:p>
        </w:tc>
        <w:tc>
          <w:tcPr>
            <w:tcW w:w="1383" w:type="dxa"/>
            <w:vAlign w:val="center"/>
            <w:hideMark/>
          </w:tcPr>
          <w:p w14:paraId="3DDEB242" w14:textId="7E3CEEDF"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5.00± 2.08</w:t>
            </w:r>
            <w:r w:rsidRPr="00C778CD">
              <w:rPr>
                <w:rFonts w:ascii="Times New Roman" w:eastAsia="Times New Roman" w:hAnsi="Times New Roman"/>
                <w:color w:val="000000"/>
                <w:sz w:val="20"/>
                <w:szCs w:val="20"/>
                <w:vertAlign w:val="superscript"/>
                <w:lang w:eastAsia="fr-FR"/>
              </w:rPr>
              <w:t>a</w:t>
            </w:r>
          </w:p>
        </w:tc>
        <w:tc>
          <w:tcPr>
            <w:tcW w:w="1382" w:type="dxa"/>
            <w:vAlign w:val="center"/>
            <w:hideMark/>
          </w:tcPr>
          <w:p w14:paraId="23695B4E" w14:textId="0A9D29F1"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3,66 ± 2.08</w:t>
            </w:r>
            <w:r w:rsidRPr="00C778CD">
              <w:rPr>
                <w:rFonts w:ascii="Times New Roman" w:eastAsia="Times New Roman" w:hAnsi="Times New Roman"/>
                <w:color w:val="000000"/>
                <w:sz w:val="20"/>
                <w:szCs w:val="20"/>
                <w:vertAlign w:val="superscript"/>
                <w:lang w:eastAsia="fr-FR"/>
              </w:rPr>
              <w:t xml:space="preserve">a </w:t>
            </w:r>
          </w:p>
        </w:tc>
        <w:tc>
          <w:tcPr>
            <w:tcW w:w="877" w:type="dxa"/>
            <w:noWrap/>
            <w:vAlign w:val="center"/>
            <w:hideMark/>
          </w:tcPr>
          <w:p w14:paraId="1BE08433" w14:textId="2CF044ED"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0.79</w:t>
            </w:r>
          </w:p>
        </w:tc>
        <w:tc>
          <w:tcPr>
            <w:tcW w:w="501" w:type="dxa"/>
            <w:vAlign w:val="center"/>
            <w:hideMark/>
          </w:tcPr>
          <w:p w14:paraId="0F3C493C" w14:textId="10D17135"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r>
      <w:tr w:rsidR="004F0545" w:rsidRPr="00C778CD" w14:paraId="795194F8" w14:textId="77777777" w:rsidTr="000F6481">
        <w:trPr>
          <w:trHeight w:val="244"/>
        </w:trPr>
        <w:tc>
          <w:tcPr>
            <w:tcW w:w="644" w:type="dxa"/>
            <w:vMerge/>
            <w:tcBorders>
              <w:top w:val="single" w:sz="4" w:space="0" w:color="auto"/>
              <w:left w:val="single" w:sz="4" w:space="0" w:color="auto"/>
              <w:bottom w:val="single" w:sz="4" w:space="0" w:color="auto"/>
              <w:right w:val="single" w:sz="4" w:space="0" w:color="auto"/>
            </w:tcBorders>
          </w:tcPr>
          <w:p w14:paraId="19DAA8B5" w14:textId="77777777" w:rsidR="004F0545" w:rsidRPr="00C778CD" w:rsidRDefault="004F0545" w:rsidP="00C778CD">
            <w:pPr>
              <w:spacing w:after="0" w:line="240" w:lineRule="auto"/>
              <w:rPr>
                <w:rFonts w:ascii="Times New Roman" w:eastAsia="Times New Roman" w:hAnsi="Times New Roman"/>
                <w:color w:val="000000"/>
                <w:sz w:val="20"/>
                <w:szCs w:val="20"/>
                <w:lang w:eastAsia="fr-FR"/>
              </w:rPr>
            </w:pPr>
          </w:p>
        </w:tc>
        <w:tc>
          <w:tcPr>
            <w:tcW w:w="995" w:type="dxa"/>
            <w:tcBorders>
              <w:left w:val="single" w:sz="4" w:space="0" w:color="auto"/>
            </w:tcBorders>
            <w:vAlign w:val="center"/>
            <w:hideMark/>
          </w:tcPr>
          <w:p w14:paraId="7486E81D" w14:textId="26915C97"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CAN</w:t>
            </w:r>
          </w:p>
        </w:tc>
        <w:tc>
          <w:tcPr>
            <w:tcW w:w="1460" w:type="dxa"/>
            <w:vAlign w:val="center"/>
            <w:hideMark/>
          </w:tcPr>
          <w:p w14:paraId="7683A1DC" w14:textId="745738D2"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10.0 ± 1.15</w:t>
            </w:r>
            <w:r w:rsidRPr="00C778CD">
              <w:rPr>
                <w:rFonts w:ascii="Times New Roman" w:eastAsia="Times New Roman" w:hAnsi="Times New Roman"/>
                <w:color w:val="000000"/>
                <w:sz w:val="20"/>
                <w:szCs w:val="20"/>
                <w:vertAlign w:val="superscript"/>
                <w:lang w:eastAsia="fr-FR"/>
              </w:rPr>
              <w:t>a</w:t>
            </w:r>
          </w:p>
        </w:tc>
        <w:tc>
          <w:tcPr>
            <w:tcW w:w="1460" w:type="dxa"/>
            <w:vAlign w:val="center"/>
            <w:hideMark/>
          </w:tcPr>
          <w:p w14:paraId="32E5628B" w14:textId="18940767"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7.00 ± 3.77</w:t>
            </w:r>
            <w:r w:rsidRPr="00C778CD">
              <w:rPr>
                <w:rFonts w:ascii="Times New Roman" w:eastAsia="Times New Roman" w:hAnsi="Times New Roman"/>
                <w:color w:val="000000"/>
                <w:sz w:val="20"/>
                <w:szCs w:val="20"/>
                <w:vertAlign w:val="superscript"/>
                <w:lang w:eastAsia="fr-FR"/>
              </w:rPr>
              <w:t>a</w:t>
            </w:r>
          </w:p>
        </w:tc>
        <w:tc>
          <w:tcPr>
            <w:tcW w:w="1382" w:type="dxa"/>
            <w:vAlign w:val="center"/>
            <w:hideMark/>
          </w:tcPr>
          <w:p w14:paraId="25023E72" w14:textId="7219C1DE"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6.00 ± 1.00</w:t>
            </w:r>
            <w:r w:rsidRPr="00C778CD">
              <w:rPr>
                <w:rFonts w:ascii="Times New Roman" w:eastAsia="Times New Roman" w:hAnsi="Times New Roman"/>
                <w:color w:val="000000"/>
                <w:sz w:val="20"/>
                <w:szCs w:val="20"/>
                <w:vertAlign w:val="superscript"/>
                <w:lang w:eastAsia="fr-FR"/>
              </w:rPr>
              <w:t>a</w:t>
            </w:r>
          </w:p>
        </w:tc>
        <w:tc>
          <w:tcPr>
            <w:tcW w:w="1383" w:type="dxa"/>
            <w:vAlign w:val="center"/>
            <w:hideMark/>
          </w:tcPr>
          <w:p w14:paraId="62226DFC" w14:textId="6E5198E7"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5.67 ± 0.88</w:t>
            </w:r>
            <w:r w:rsidRPr="00C778CD">
              <w:rPr>
                <w:rFonts w:ascii="Times New Roman" w:eastAsia="Times New Roman" w:hAnsi="Times New Roman"/>
                <w:color w:val="000000"/>
                <w:sz w:val="20"/>
                <w:szCs w:val="20"/>
                <w:vertAlign w:val="superscript"/>
                <w:lang w:eastAsia="fr-FR"/>
              </w:rPr>
              <w:t>a</w:t>
            </w:r>
          </w:p>
        </w:tc>
        <w:tc>
          <w:tcPr>
            <w:tcW w:w="1382" w:type="dxa"/>
            <w:vAlign w:val="center"/>
            <w:hideMark/>
          </w:tcPr>
          <w:p w14:paraId="5DE23CD4" w14:textId="50D50C87"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2.00 ± 0.58</w:t>
            </w:r>
            <w:r w:rsidRPr="00C778CD">
              <w:rPr>
                <w:rFonts w:ascii="Times New Roman" w:eastAsia="Times New Roman" w:hAnsi="Times New Roman"/>
                <w:color w:val="000000"/>
                <w:sz w:val="20"/>
                <w:szCs w:val="20"/>
                <w:vertAlign w:val="superscript"/>
                <w:lang w:eastAsia="fr-FR"/>
              </w:rPr>
              <w:t>b</w:t>
            </w:r>
          </w:p>
        </w:tc>
        <w:tc>
          <w:tcPr>
            <w:tcW w:w="877" w:type="dxa"/>
            <w:noWrap/>
            <w:vAlign w:val="center"/>
            <w:hideMark/>
          </w:tcPr>
          <w:p w14:paraId="4B447A84" w14:textId="1455FF63"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0.04</w:t>
            </w:r>
          </w:p>
        </w:tc>
        <w:tc>
          <w:tcPr>
            <w:tcW w:w="501" w:type="dxa"/>
            <w:noWrap/>
            <w:vAlign w:val="center"/>
            <w:hideMark/>
          </w:tcPr>
          <w:p w14:paraId="1D1CEA34" w14:textId="4410F09F"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w:t>
            </w:r>
          </w:p>
        </w:tc>
      </w:tr>
      <w:tr w:rsidR="004F0545" w:rsidRPr="00C778CD" w14:paraId="1D8BFE15" w14:textId="77777777" w:rsidTr="000F6481">
        <w:trPr>
          <w:trHeight w:val="244"/>
        </w:trPr>
        <w:tc>
          <w:tcPr>
            <w:tcW w:w="644" w:type="dxa"/>
            <w:vMerge/>
            <w:tcBorders>
              <w:top w:val="single" w:sz="4" w:space="0" w:color="auto"/>
              <w:left w:val="single" w:sz="4" w:space="0" w:color="auto"/>
              <w:bottom w:val="single" w:sz="4" w:space="0" w:color="auto"/>
              <w:right w:val="single" w:sz="4" w:space="0" w:color="auto"/>
            </w:tcBorders>
          </w:tcPr>
          <w:p w14:paraId="49CCE441" w14:textId="77777777" w:rsidR="004F0545" w:rsidRPr="00C778CD" w:rsidRDefault="004F0545" w:rsidP="00C778CD">
            <w:pPr>
              <w:spacing w:after="0" w:line="240" w:lineRule="auto"/>
              <w:rPr>
                <w:rFonts w:ascii="Times New Roman" w:eastAsia="Times New Roman" w:hAnsi="Times New Roman"/>
                <w:color w:val="000000"/>
                <w:sz w:val="20"/>
                <w:szCs w:val="20"/>
                <w:lang w:eastAsia="fr-FR"/>
              </w:rPr>
            </w:pPr>
          </w:p>
        </w:tc>
        <w:tc>
          <w:tcPr>
            <w:tcW w:w="995" w:type="dxa"/>
            <w:tcBorders>
              <w:left w:val="single" w:sz="4" w:space="0" w:color="auto"/>
            </w:tcBorders>
            <w:vAlign w:val="center"/>
            <w:hideMark/>
          </w:tcPr>
          <w:p w14:paraId="545D7CAF" w14:textId="6DAF36F3"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CAN+S</w:t>
            </w:r>
          </w:p>
        </w:tc>
        <w:tc>
          <w:tcPr>
            <w:tcW w:w="1460" w:type="dxa"/>
            <w:vAlign w:val="center"/>
            <w:hideMark/>
          </w:tcPr>
          <w:p w14:paraId="21853512" w14:textId="116434B8"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3.00 ± 0.58</w:t>
            </w:r>
            <w:r w:rsidRPr="00C778CD">
              <w:rPr>
                <w:rFonts w:ascii="Times New Roman" w:eastAsia="Times New Roman" w:hAnsi="Times New Roman"/>
                <w:color w:val="000000"/>
                <w:sz w:val="20"/>
                <w:szCs w:val="20"/>
                <w:vertAlign w:val="superscript"/>
                <w:lang w:eastAsia="fr-FR"/>
              </w:rPr>
              <w:t>a</w:t>
            </w:r>
          </w:p>
        </w:tc>
        <w:tc>
          <w:tcPr>
            <w:tcW w:w="1460" w:type="dxa"/>
            <w:vAlign w:val="center"/>
            <w:hideMark/>
          </w:tcPr>
          <w:p w14:paraId="0E51B1CF" w14:textId="603DE853"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5.00 ± 2.65</w:t>
            </w:r>
            <w:r w:rsidRPr="00C778CD">
              <w:rPr>
                <w:rFonts w:ascii="Times New Roman" w:eastAsia="Times New Roman" w:hAnsi="Times New Roman"/>
                <w:color w:val="000000"/>
                <w:sz w:val="20"/>
                <w:szCs w:val="20"/>
                <w:vertAlign w:val="superscript"/>
                <w:lang w:eastAsia="fr-FR"/>
              </w:rPr>
              <w:t>a</w:t>
            </w:r>
          </w:p>
        </w:tc>
        <w:tc>
          <w:tcPr>
            <w:tcW w:w="1382" w:type="dxa"/>
            <w:vAlign w:val="center"/>
            <w:hideMark/>
          </w:tcPr>
          <w:p w14:paraId="6F1F0380" w14:textId="112CCE2C"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6.67 ± 2.03</w:t>
            </w:r>
            <w:r w:rsidRPr="00C778CD">
              <w:rPr>
                <w:rFonts w:ascii="Times New Roman" w:eastAsia="Times New Roman" w:hAnsi="Times New Roman"/>
                <w:color w:val="000000"/>
                <w:sz w:val="20"/>
                <w:szCs w:val="20"/>
                <w:vertAlign w:val="superscript"/>
                <w:lang w:eastAsia="fr-FR"/>
              </w:rPr>
              <w:t>a</w:t>
            </w:r>
          </w:p>
        </w:tc>
        <w:tc>
          <w:tcPr>
            <w:tcW w:w="1383" w:type="dxa"/>
            <w:vAlign w:val="center"/>
            <w:hideMark/>
          </w:tcPr>
          <w:p w14:paraId="13D63346" w14:textId="128066C8"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2.67 ± 1.45</w:t>
            </w:r>
            <w:r w:rsidRPr="00C778CD">
              <w:rPr>
                <w:rFonts w:ascii="Times New Roman" w:eastAsia="Times New Roman" w:hAnsi="Times New Roman"/>
                <w:color w:val="000000"/>
                <w:sz w:val="20"/>
                <w:szCs w:val="20"/>
                <w:vertAlign w:val="superscript"/>
                <w:lang w:eastAsia="fr-FR"/>
              </w:rPr>
              <w:t>a</w:t>
            </w:r>
          </w:p>
        </w:tc>
        <w:tc>
          <w:tcPr>
            <w:tcW w:w="1382" w:type="dxa"/>
            <w:vAlign w:val="center"/>
            <w:hideMark/>
          </w:tcPr>
          <w:p w14:paraId="1B79BBF4" w14:textId="3BB6F655"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4.67 ± 2.33</w:t>
            </w:r>
            <w:r w:rsidRPr="00C778CD">
              <w:rPr>
                <w:rFonts w:ascii="Times New Roman" w:eastAsia="Times New Roman" w:hAnsi="Times New Roman"/>
                <w:color w:val="000000"/>
                <w:sz w:val="20"/>
                <w:szCs w:val="20"/>
                <w:vertAlign w:val="superscript"/>
                <w:lang w:eastAsia="fr-FR"/>
              </w:rPr>
              <w:t>a</w:t>
            </w:r>
          </w:p>
        </w:tc>
        <w:tc>
          <w:tcPr>
            <w:tcW w:w="877" w:type="dxa"/>
            <w:noWrap/>
            <w:vAlign w:val="center"/>
            <w:hideMark/>
          </w:tcPr>
          <w:p w14:paraId="282C49F9" w14:textId="417E3730"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0.62</w:t>
            </w:r>
          </w:p>
        </w:tc>
        <w:tc>
          <w:tcPr>
            <w:tcW w:w="501" w:type="dxa"/>
            <w:vAlign w:val="center"/>
            <w:hideMark/>
          </w:tcPr>
          <w:p w14:paraId="461E9020" w14:textId="0C5FBE5E"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r>
      <w:tr w:rsidR="004F0545" w:rsidRPr="00C778CD" w14:paraId="2F0D331D" w14:textId="77777777" w:rsidTr="000F6481">
        <w:trPr>
          <w:trHeight w:val="244"/>
        </w:trPr>
        <w:tc>
          <w:tcPr>
            <w:tcW w:w="644" w:type="dxa"/>
            <w:vMerge/>
            <w:tcBorders>
              <w:top w:val="single" w:sz="4" w:space="0" w:color="auto"/>
              <w:left w:val="single" w:sz="4" w:space="0" w:color="auto"/>
              <w:bottom w:val="single" w:sz="4" w:space="0" w:color="auto"/>
              <w:right w:val="single" w:sz="4" w:space="0" w:color="auto"/>
            </w:tcBorders>
          </w:tcPr>
          <w:p w14:paraId="1E9F3908" w14:textId="77777777" w:rsidR="004F0545" w:rsidRPr="00C778CD" w:rsidRDefault="004F0545" w:rsidP="00C778CD">
            <w:pPr>
              <w:spacing w:after="0" w:line="240" w:lineRule="auto"/>
              <w:rPr>
                <w:rFonts w:ascii="Times New Roman" w:eastAsia="Times New Roman" w:hAnsi="Times New Roman"/>
                <w:color w:val="000000"/>
                <w:sz w:val="20"/>
                <w:szCs w:val="20"/>
                <w:lang w:eastAsia="fr-FR"/>
              </w:rPr>
            </w:pPr>
          </w:p>
        </w:tc>
        <w:tc>
          <w:tcPr>
            <w:tcW w:w="995" w:type="dxa"/>
            <w:tcBorders>
              <w:left w:val="single" w:sz="4" w:space="0" w:color="auto"/>
            </w:tcBorders>
            <w:vAlign w:val="center"/>
            <w:hideMark/>
          </w:tcPr>
          <w:p w14:paraId="5D5BB3BB" w14:textId="1810A8D0"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CAN+G</w:t>
            </w:r>
          </w:p>
        </w:tc>
        <w:tc>
          <w:tcPr>
            <w:tcW w:w="1460" w:type="dxa"/>
            <w:vAlign w:val="center"/>
            <w:hideMark/>
          </w:tcPr>
          <w:p w14:paraId="220B063F" w14:textId="0A618C33"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3.33 ± 0.67a</w:t>
            </w:r>
          </w:p>
        </w:tc>
        <w:tc>
          <w:tcPr>
            <w:tcW w:w="1460" w:type="dxa"/>
            <w:vAlign w:val="center"/>
            <w:hideMark/>
          </w:tcPr>
          <w:p w14:paraId="1BFB554A" w14:textId="159C1A3A"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4.67 ± 1.33</w:t>
            </w:r>
            <w:r w:rsidRPr="00C778CD">
              <w:rPr>
                <w:rFonts w:ascii="Times New Roman" w:eastAsia="Times New Roman" w:hAnsi="Times New Roman"/>
                <w:color w:val="000000"/>
                <w:sz w:val="20"/>
                <w:szCs w:val="20"/>
                <w:vertAlign w:val="superscript"/>
                <w:lang w:eastAsia="fr-FR"/>
              </w:rPr>
              <w:t>a</w:t>
            </w:r>
          </w:p>
        </w:tc>
        <w:tc>
          <w:tcPr>
            <w:tcW w:w="1382" w:type="dxa"/>
            <w:vAlign w:val="center"/>
            <w:hideMark/>
          </w:tcPr>
          <w:p w14:paraId="1403A66B" w14:textId="3E4A6A75"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5.67 ± 0.67</w:t>
            </w:r>
            <w:r w:rsidRPr="00C778CD">
              <w:rPr>
                <w:rFonts w:ascii="Times New Roman" w:eastAsia="Times New Roman" w:hAnsi="Times New Roman"/>
                <w:color w:val="000000"/>
                <w:sz w:val="20"/>
                <w:szCs w:val="20"/>
                <w:vertAlign w:val="superscript"/>
                <w:lang w:eastAsia="fr-FR"/>
              </w:rPr>
              <w:t>a</w:t>
            </w:r>
          </w:p>
        </w:tc>
        <w:tc>
          <w:tcPr>
            <w:tcW w:w="1383" w:type="dxa"/>
            <w:vAlign w:val="center"/>
            <w:hideMark/>
          </w:tcPr>
          <w:p w14:paraId="6B1402A0" w14:textId="685E7E9E"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3.00 ± 0.00</w:t>
            </w:r>
            <w:r w:rsidRPr="00C778CD">
              <w:rPr>
                <w:rFonts w:ascii="Times New Roman" w:eastAsia="Times New Roman" w:hAnsi="Times New Roman"/>
                <w:color w:val="000000"/>
                <w:sz w:val="20"/>
                <w:szCs w:val="20"/>
                <w:vertAlign w:val="superscript"/>
                <w:lang w:eastAsia="fr-FR"/>
              </w:rPr>
              <w:t>a</w:t>
            </w:r>
          </w:p>
        </w:tc>
        <w:tc>
          <w:tcPr>
            <w:tcW w:w="1382" w:type="dxa"/>
            <w:vAlign w:val="center"/>
            <w:hideMark/>
          </w:tcPr>
          <w:p w14:paraId="79B5B752" w14:textId="1F98356A"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4.00 ± 2.00</w:t>
            </w:r>
            <w:r w:rsidRPr="00C778CD">
              <w:rPr>
                <w:rFonts w:ascii="Times New Roman" w:eastAsia="Times New Roman" w:hAnsi="Times New Roman"/>
                <w:color w:val="000000"/>
                <w:sz w:val="20"/>
                <w:szCs w:val="20"/>
                <w:vertAlign w:val="superscript"/>
                <w:lang w:eastAsia="fr-FR"/>
              </w:rPr>
              <w:t>a</w:t>
            </w:r>
          </w:p>
        </w:tc>
        <w:tc>
          <w:tcPr>
            <w:tcW w:w="877" w:type="dxa"/>
            <w:noWrap/>
            <w:vAlign w:val="center"/>
            <w:hideMark/>
          </w:tcPr>
          <w:p w14:paraId="4B46C717" w14:textId="6D047FD1"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0.51</w:t>
            </w:r>
          </w:p>
        </w:tc>
        <w:tc>
          <w:tcPr>
            <w:tcW w:w="501" w:type="dxa"/>
            <w:vAlign w:val="center"/>
            <w:hideMark/>
          </w:tcPr>
          <w:p w14:paraId="75509265" w14:textId="38EA4D03"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r>
      <w:tr w:rsidR="004F0545" w:rsidRPr="00C778CD" w14:paraId="02FD884D" w14:textId="77777777" w:rsidTr="000F6481">
        <w:trPr>
          <w:trHeight w:val="210"/>
        </w:trPr>
        <w:tc>
          <w:tcPr>
            <w:tcW w:w="644" w:type="dxa"/>
            <w:vMerge/>
            <w:tcBorders>
              <w:top w:val="single" w:sz="4" w:space="0" w:color="auto"/>
              <w:left w:val="single" w:sz="4" w:space="0" w:color="auto"/>
              <w:bottom w:val="single" w:sz="4" w:space="0" w:color="auto"/>
              <w:right w:val="single" w:sz="4" w:space="0" w:color="auto"/>
            </w:tcBorders>
          </w:tcPr>
          <w:p w14:paraId="286EB448" w14:textId="77777777" w:rsidR="004F0545" w:rsidRPr="00C778CD" w:rsidRDefault="004F0545" w:rsidP="00C778CD">
            <w:pPr>
              <w:spacing w:after="0" w:line="240" w:lineRule="auto"/>
              <w:rPr>
                <w:rFonts w:ascii="Times New Roman" w:eastAsia="Times New Roman" w:hAnsi="Times New Roman"/>
                <w:color w:val="000000"/>
                <w:sz w:val="20"/>
                <w:szCs w:val="20"/>
                <w:lang w:eastAsia="fr-FR"/>
              </w:rPr>
            </w:pPr>
          </w:p>
        </w:tc>
        <w:tc>
          <w:tcPr>
            <w:tcW w:w="995" w:type="dxa"/>
            <w:tcBorders>
              <w:left w:val="single" w:sz="4" w:space="0" w:color="auto"/>
            </w:tcBorders>
            <w:vAlign w:val="center"/>
            <w:hideMark/>
          </w:tcPr>
          <w:p w14:paraId="3A06F257" w14:textId="065EAA2A"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CAN+CB</w:t>
            </w:r>
          </w:p>
        </w:tc>
        <w:tc>
          <w:tcPr>
            <w:tcW w:w="1460" w:type="dxa"/>
            <w:vAlign w:val="center"/>
            <w:hideMark/>
          </w:tcPr>
          <w:p w14:paraId="378BD8AF" w14:textId="79D2BDE9"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2.67 ± 0.67</w:t>
            </w:r>
            <w:r w:rsidRPr="00C778CD">
              <w:rPr>
                <w:rFonts w:ascii="Times New Roman" w:eastAsia="Times New Roman" w:hAnsi="Times New Roman"/>
                <w:color w:val="000000"/>
                <w:sz w:val="20"/>
                <w:szCs w:val="20"/>
                <w:vertAlign w:val="superscript"/>
                <w:lang w:eastAsia="fr-FR"/>
              </w:rPr>
              <w:t>a</w:t>
            </w:r>
          </w:p>
        </w:tc>
        <w:tc>
          <w:tcPr>
            <w:tcW w:w="1460" w:type="dxa"/>
            <w:vAlign w:val="center"/>
            <w:hideMark/>
          </w:tcPr>
          <w:p w14:paraId="0B048CB1" w14:textId="54935D22"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7.33 ± 0.33</w:t>
            </w:r>
            <w:r w:rsidRPr="00C778CD">
              <w:rPr>
                <w:rFonts w:ascii="Times New Roman" w:eastAsia="Times New Roman" w:hAnsi="Times New Roman"/>
                <w:color w:val="000000"/>
                <w:sz w:val="20"/>
                <w:szCs w:val="20"/>
                <w:vertAlign w:val="superscript"/>
                <w:lang w:eastAsia="fr-FR"/>
              </w:rPr>
              <w:t>a</w:t>
            </w:r>
          </w:p>
        </w:tc>
        <w:tc>
          <w:tcPr>
            <w:tcW w:w="1382" w:type="dxa"/>
            <w:vAlign w:val="center"/>
            <w:hideMark/>
          </w:tcPr>
          <w:p w14:paraId="489610FB" w14:textId="33129F41"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6.67 ± 0.88</w:t>
            </w:r>
            <w:r w:rsidRPr="00C778CD">
              <w:rPr>
                <w:rFonts w:ascii="Times New Roman" w:eastAsia="Times New Roman" w:hAnsi="Times New Roman"/>
                <w:color w:val="000000"/>
                <w:sz w:val="20"/>
                <w:szCs w:val="20"/>
                <w:vertAlign w:val="superscript"/>
                <w:lang w:eastAsia="fr-FR"/>
              </w:rPr>
              <w:t>a</w:t>
            </w:r>
          </w:p>
        </w:tc>
        <w:tc>
          <w:tcPr>
            <w:tcW w:w="1383" w:type="dxa"/>
            <w:vAlign w:val="center"/>
            <w:hideMark/>
          </w:tcPr>
          <w:p w14:paraId="40164D3E" w14:textId="46FB4319"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4.67 ± 1.20</w:t>
            </w:r>
            <w:r w:rsidRPr="00C778CD">
              <w:rPr>
                <w:rFonts w:ascii="Times New Roman" w:eastAsia="Times New Roman" w:hAnsi="Times New Roman"/>
                <w:color w:val="000000"/>
                <w:sz w:val="20"/>
                <w:szCs w:val="20"/>
                <w:vertAlign w:val="superscript"/>
                <w:lang w:eastAsia="fr-FR"/>
              </w:rPr>
              <w:t>a</w:t>
            </w:r>
          </w:p>
        </w:tc>
        <w:tc>
          <w:tcPr>
            <w:tcW w:w="1382" w:type="dxa"/>
            <w:vAlign w:val="center"/>
            <w:hideMark/>
          </w:tcPr>
          <w:p w14:paraId="329E181E" w14:textId="1DFF13FF"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2.33 ± 1.47</w:t>
            </w:r>
            <w:r w:rsidRPr="00C778CD">
              <w:rPr>
                <w:rFonts w:ascii="Times New Roman" w:eastAsia="Times New Roman" w:hAnsi="Times New Roman"/>
                <w:color w:val="000000"/>
                <w:sz w:val="20"/>
                <w:szCs w:val="20"/>
                <w:vertAlign w:val="superscript"/>
                <w:lang w:eastAsia="fr-FR"/>
              </w:rPr>
              <w:t>a</w:t>
            </w:r>
          </w:p>
        </w:tc>
        <w:tc>
          <w:tcPr>
            <w:tcW w:w="877" w:type="dxa"/>
            <w:noWrap/>
            <w:vAlign w:val="center"/>
            <w:hideMark/>
          </w:tcPr>
          <w:p w14:paraId="76101382" w14:textId="1A08AFA3"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0.06</w:t>
            </w:r>
          </w:p>
        </w:tc>
        <w:tc>
          <w:tcPr>
            <w:tcW w:w="501" w:type="dxa"/>
            <w:vAlign w:val="center"/>
            <w:hideMark/>
          </w:tcPr>
          <w:p w14:paraId="61C94F8C" w14:textId="6614D736" w:rsidR="004F0545" w:rsidRPr="00C778CD" w:rsidRDefault="004F0545" w:rsidP="00C778CD">
            <w:pPr>
              <w:spacing w:after="0" w:line="240" w:lineRule="auto"/>
              <w:rPr>
                <w:rFonts w:ascii="Times New Roman" w:eastAsia="Times New Roman" w:hAnsi="Times New Roman"/>
                <w:color w:val="000000"/>
                <w:sz w:val="20"/>
                <w:szCs w:val="20"/>
                <w:lang w:eastAsia="fr-FR"/>
              </w:rPr>
            </w:pPr>
            <w:r w:rsidRPr="00C778CD">
              <w:rPr>
                <w:rFonts w:ascii="Times New Roman" w:eastAsia="Times New Roman" w:hAnsi="Times New Roman"/>
                <w:color w:val="000000"/>
                <w:sz w:val="20"/>
                <w:szCs w:val="20"/>
                <w:lang w:eastAsia="fr-FR"/>
              </w:rPr>
              <w:t>NS</w:t>
            </w:r>
          </w:p>
        </w:tc>
      </w:tr>
    </w:tbl>
    <w:p w14:paraId="4750665C" w14:textId="77777777" w:rsidR="000F39D7" w:rsidRPr="000F39D7" w:rsidRDefault="000F39D7" w:rsidP="00656351">
      <w:pPr>
        <w:pStyle w:val="Heading2"/>
        <w:spacing w:after="0" w:line="480" w:lineRule="auto"/>
        <w:ind w:left="708"/>
        <w:jc w:val="both"/>
        <w:rPr>
          <w:rFonts w:ascii="Times New Roman" w:hAnsi="Times New Roman" w:cs="Times New Roman"/>
          <w:b/>
          <w:color w:val="auto"/>
          <w:sz w:val="24"/>
          <w:szCs w:val="24"/>
          <w:lang w:val="en-US"/>
        </w:rPr>
      </w:pPr>
      <w:r w:rsidRPr="000F39D7">
        <w:rPr>
          <w:rFonts w:ascii="Times New Roman" w:hAnsi="Times New Roman" w:cs="Times New Roman"/>
          <w:b/>
          <w:color w:val="auto"/>
          <w:sz w:val="24"/>
          <w:szCs w:val="24"/>
          <w:lang w:val="en-US"/>
        </w:rPr>
        <w:t xml:space="preserve">Effect of conservation methods on tuber yield parameters </w:t>
      </w:r>
    </w:p>
    <w:p w14:paraId="7273ADBD" w14:textId="77777777" w:rsidR="000F39D7" w:rsidRPr="000F39D7" w:rsidRDefault="000F39D7" w:rsidP="001C17BD">
      <w:pPr>
        <w:pStyle w:val="Heading2"/>
        <w:spacing w:before="0" w:line="480" w:lineRule="auto"/>
        <w:ind w:left="1416"/>
        <w:rPr>
          <w:rFonts w:ascii="Times New Roman" w:hAnsi="Times New Roman" w:cs="Times New Roman"/>
          <w:b/>
          <w:color w:val="auto"/>
          <w:sz w:val="24"/>
          <w:szCs w:val="24"/>
          <w:lang w:val="en-US"/>
        </w:rPr>
      </w:pPr>
      <w:r w:rsidRPr="000F39D7">
        <w:rPr>
          <w:rFonts w:ascii="Times New Roman" w:hAnsi="Times New Roman" w:cs="Times New Roman"/>
          <w:b/>
          <w:color w:val="auto"/>
          <w:sz w:val="24"/>
          <w:szCs w:val="24"/>
          <w:lang w:val="en-US"/>
        </w:rPr>
        <w:t xml:space="preserve">Average number of tubers </w:t>
      </w:r>
    </w:p>
    <w:p w14:paraId="3DFDDB7A" w14:textId="5ADD0F17" w:rsidR="004F0545" w:rsidRDefault="000F39D7" w:rsidP="001C17BD">
      <w:pPr>
        <w:spacing w:after="0" w:line="480" w:lineRule="auto"/>
        <w:jc w:val="both"/>
        <w:rPr>
          <w:rFonts w:ascii="Times New Roman" w:hAnsi="Times New Roman" w:cs="Times New Roman"/>
          <w:bCs/>
          <w:sz w:val="24"/>
          <w:szCs w:val="24"/>
          <w:lang w:val="en-US"/>
        </w:rPr>
      </w:pPr>
      <w:r w:rsidRPr="000F39D7">
        <w:rPr>
          <w:rFonts w:ascii="Times New Roman" w:hAnsi="Times New Roman" w:cs="Times New Roman"/>
          <w:bCs/>
          <w:sz w:val="24"/>
          <w:szCs w:val="24"/>
          <w:lang w:val="en-US"/>
        </w:rPr>
        <w:t>The average number of tubers per plant ranged from 22.12 ± 7.52 to 88.22 ± 9.38 tubers, depending on the conservation method (Table 7). In fact, plants grown from seed tubers stored in the “</w:t>
      </w:r>
      <w:proofErr w:type="spellStart"/>
      <w:r w:rsidRPr="000F39D7">
        <w:rPr>
          <w:rFonts w:ascii="Times New Roman" w:hAnsi="Times New Roman" w:cs="Times New Roman"/>
          <w:bCs/>
          <w:sz w:val="24"/>
          <w:szCs w:val="24"/>
          <w:lang w:val="en-US"/>
        </w:rPr>
        <w:t>bitatoré</w:t>
      </w:r>
      <w:proofErr w:type="spellEnd"/>
      <w:r w:rsidRPr="000F39D7">
        <w:rPr>
          <w:rFonts w:ascii="Times New Roman" w:hAnsi="Times New Roman" w:cs="Times New Roman"/>
          <w:bCs/>
          <w:sz w:val="24"/>
          <w:szCs w:val="24"/>
          <w:lang w:val="en-US"/>
        </w:rPr>
        <w:t xml:space="preserve">” with wood chips as an additive produced a greater number of tubers (88.22 ± 9.38 tubers per plant) compared to those from seed tubers stored in the </w:t>
      </w:r>
      <w:proofErr w:type="spellStart"/>
      <w:r w:rsidRPr="000F39D7">
        <w:rPr>
          <w:rFonts w:ascii="Times New Roman" w:hAnsi="Times New Roman" w:cs="Times New Roman"/>
          <w:bCs/>
          <w:sz w:val="24"/>
          <w:szCs w:val="24"/>
          <w:lang w:val="en-US"/>
        </w:rPr>
        <w:t>canaris</w:t>
      </w:r>
      <w:proofErr w:type="spellEnd"/>
      <w:r w:rsidRPr="000F39D7">
        <w:rPr>
          <w:rFonts w:ascii="Times New Roman" w:hAnsi="Times New Roman" w:cs="Times New Roman"/>
          <w:bCs/>
          <w:sz w:val="24"/>
          <w:szCs w:val="24"/>
          <w:lang w:val="en-US"/>
        </w:rPr>
        <w:t xml:space="preserve"> with wood chips as an additive, which produced fewer tubers (22.12 ± 7.52 tubers per plant) (Table 7). The analysis of variance revealed a significant difference between the storage methods for the number of tubers per plant (P &lt; 0.0001) (Table 7).</w:t>
      </w:r>
    </w:p>
    <w:p w14:paraId="25ED1F2E" w14:textId="6977543E" w:rsidR="0092672F" w:rsidRDefault="00335DB0" w:rsidP="001C17BD">
      <w:pPr>
        <w:spacing w:after="0" w:line="480" w:lineRule="auto"/>
        <w:jc w:val="both"/>
        <w:rPr>
          <w:rFonts w:ascii="Times New Roman" w:hAnsi="Times New Roman" w:cs="Times New Roman"/>
          <w:bCs/>
          <w:sz w:val="24"/>
          <w:szCs w:val="24"/>
          <w:lang w:val="en-US"/>
        </w:rPr>
      </w:pPr>
      <w:r w:rsidRPr="00335DB0">
        <w:rPr>
          <w:rFonts w:ascii="Times New Roman" w:hAnsi="Times New Roman" w:cs="Times New Roman"/>
          <w:bCs/>
          <w:sz w:val="24"/>
          <w:szCs w:val="24"/>
          <w:lang w:val="en-US"/>
        </w:rPr>
        <w:t>Among the genotypes, the average number of tubers ranged from 7.33 ± 3.67 to 114 ± 30.41 tubers. Regarding the average number of tubers, the analysis of variance revealed a significant difference between genotypes derived from conservation methods in the “</w:t>
      </w:r>
      <w:proofErr w:type="spellStart"/>
      <w:r w:rsidRPr="00335DB0">
        <w:rPr>
          <w:rFonts w:ascii="Times New Roman" w:hAnsi="Times New Roman" w:cs="Times New Roman"/>
          <w:bCs/>
          <w:sz w:val="24"/>
          <w:szCs w:val="24"/>
          <w:lang w:val="en-US"/>
        </w:rPr>
        <w:t>bitatoré</w:t>
      </w:r>
      <w:proofErr w:type="spellEnd"/>
      <w:r w:rsidRPr="00335DB0">
        <w:rPr>
          <w:rFonts w:ascii="Times New Roman" w:hAnsi="Times New Roman" w:cs="Times New Roman"/>
          <w:bCs/>
          <w:sz w:val="24"/>
          <w:szCs w:val="24"/>
          <w:lang w:val="en-US"/>
        </w:rPr>
        <w:t xml:space="preserve">” with sand as an additive (BITA+S) (P = 0.01), wood chips as an additive (BITA+CB) (P = 0.02), and the canary method with wood chips as an additive (CAN + CB) (P = 0.01) (Figure </w:t>
      </w:r>
      <w:r w:rsidR="00656351">
        <w:rPr>
          <w:rFonts w:ascii="Times New Roman" w:hAnsi="Times New Roman" w:cs="Times New Roman"/>
          <w:bCs/>
          <w:sz w:val="24"/>
          <w:szCs w:val="24"/>
          <w:lang w:val="en-US"/>
        </w:rPr>
        <w:t>3</w:t>
      </w:r>
      <w:r w:rsidR="00346F3F">
        <w:rPr>
          <w:rFonts w:ascii="Times New Roman" w:hAnsi="Times New Roman" w:cs="Times New Roman"/>
          <w:bCs/>
          <w:sz w:val="24"/>
          <w:szCs w:val="24"/>
          <w:lang w:val="en-US"/>
        </w:rPr>
        <w:t>a</w:t>
      </w:r>
      <w:r w:rsidRPr="00335DB0">
        <w:rPr>
          <w:rFonts w:ascii="Times New Roman" w:hAnsi="Times New Roman" w:cs="Times New Roman"/>
          <w:bCs/>
          <w:sz w:val="24"/>
          <w:szCs w:val="24"/>
          <w:lang w:val="en-US"/>
        </w:rPr>
        <w:t xml:space="preserve">). For the BITA+S method, plants of genotype E165 (114 ± 30.41) produced the highest number of tubers, while those of the “white” genotype recorded the lowest yield (7.33 ± 3.67). Furthermore, plants of genotypes E120 and UW086 M derived from seedlings preserved using the BITA+CB method produced the highest number of tubers, namely 100 ± 0.00 and 96 ± 31.78 tubers, respectively. In contrast, the “white” genotype showed low yield (8.67 ± 6.66) (Figure </w:t>
      </w:r>
      <w:r w:rsidR="00FE55A1">
        <w:rPr>
          <w:rFonts w:ascii="Times New Roman" w:hAnsi="Times New Roman" w:cs="Times New Roman"/>
          <w:bCs/>
          <w:sz w:val="24"/>
          <w:szCs w:val="24"/>
          <w:lang w:val="en-US"/>
        </w:rPr>
        <w:t>3</w:t>
      </w:r>
      <w:r w:rsidR="00346F3F">
        <w:rPr>
          <w:rFonts w:ascii="Times New Roman" w:hAnsi="Times New Roman" w:cs="Times New Roman"/>
          <w:bCs/>
          <w:sz w:val="24"/>
          <w:szCs w:val="24"/>
          <w:lang w:val="en-US"/>
        </w:rPr>
        <w:t>a</w:t>
      </w:r>
      <w:r w:rsidRPr="00335DB0">
        <w:rPr>
          <w:rFonts w:ascii="Times New Roman" w:hAnsi="Times New Roman" w:cs="Times New Roman"/>
          <w:bCs/>
          <w:sz w:val="24"/>
          <w:szCs w:val="24"/>
          <w:lang w:val="en-US"/>
        </w:rPr>
        <w:t>). For the CAN + CB method, plants of the E186 genotype produced the highest number of tubers (38.33 ± 3.33).</w:t>
      </w:r>
    </w:p>
    <w:p w14:paraId="5E2FB1E7" w14:textId="77777777" w:rsidR="006B7185" w:rsidRPr="006B7185" w:rsidRDefault="006B7185" w:rsidP="001C17BD">
      <w:pPr>
        <w:pStyle w:val="Heading2"/>
        <w:spacing w:before="0" w:line="480" w:lineRule="auto"/>
        <w:ind w:left="1416"/>
        <w:rPr>
          <w:rFonts w:ascii="Times New Roman" w:hAnsi="Times New Roman" w:cs="Times New Roman"/>
          <w:b/>
          <w:color w:val="auto"/>
          <w:sz w:val="24"/>
          <w:szCs w:val="24"/>
          <w:lang w:val="en-US"/>
        </w:rPr>
      </w:pPr>
      <w:r w:rsidRPr="006B7185">
        <w:rPr>
          <w:rFonts w:ascii="Times New Roman" w:hAnsi="Times New Roman" w:cs="Times New Roman"/>
          <w:b/>
          <w:color w:val="auto"/>
          <w:sz w:val="24"/>
          <w:szCs w:val="24"/>
          <w:lang w:val="en-US"/>
        </w:rPr>
        <w:lastRenderedPageBreak/>
        <w:t xml:space="preserve">Average tuber weight </w:t>
      </w:r>
    </w:p>
    <w:p w14:paraId="4002A80F" w14:textId="19AF31EB" w:rsidR="006B7185" w:rsidRDefault="006B7185" w:rsidP="001C17BD">
      <w:pPr>
        <w:spacing w:after="0" w:line="480" w:lineRule="auto"/>
        <w:jc w:val="both"/>
        <w:rPr>
          <w:rFonts w:ascii="Times New Roman" w:hAnsi="Times New Roman" w:cs="Times New Roman"/>
          <w:bCs/>
          <w:sz w:val="24"/>
          <w:szCs w:val="24"/>
          <w:lang w:val="en-US"/>
        </w:rPr>
      </w:pPr>
      <w:r w:rsidRPr="006B7185">
        <w:rPr>
          <w:rFonts w:ascii="Times New Roman" w:hAnsi="Times New Roman" w:cs="Times New Roman"/>
          <w:bCs/>
          <w:sz w:val="24"/>
          <w:szCs w:val="24"/>
          <w:lang w:val="en-US"/>
        </w:rPr>
        <w:t xml:space="preserve">In terms of average tuber weight per plant, values ranged from 41.09 ± 23.08 g to 186.72 ± 28.78 g depending on the </w:t>
      </w:r>
      <w:r w:rsidRPr="000F39D7">
        <w:rPr>
          <w:rFonts w:ascii="Times New Roman" w:hAnsi="Times New Roman" w:cs="Times New Roman"/>
          <w:bCs/>
          <w:sz w:val="24"/>
          <w:szCs w:val="24"/>
          <w:lang w:val="en-US"/>
        </w:rPr>
        <w:t>conservation method</w:t>
      </w:r>
      <w:r w:rsidRPr="006B7185">
        <w:rPr>
          <w:rFonts w:ascii="Times New Roman" w:hAnsi="Times New Roman" w:cs="Times New Roman"/>
          <w:bCs/>
          <w:sz w:val="24"/>
          <w:szCs w:val="24"/>
          <w:lang w:val="en-US"/>
        </w:rPr>
        <w:t>. Plants grown from seedlings stored in the “</w:t>
      </w:r>
      <w:proofErr w:type="spellStart"/>
      <w:r w:rsidRPr="006B7185">
        <w:rPr>
          <w:rFonts w:ascii="Times New Roman" w:hAnsi="Times New Roman" w:cs="Times New Roman"/>
          <w:bCs/>
          <w:sz w:val="24"/>
          <w:szCs w:val="24"/>
          <w:lang w:val="en-US"/>
        </w:rPr>
        <w:t>bitatoré</w:t>
      </w:r>
      <w:proofErr w:type="spellEnd"/>
      <w:r w:rsidRPr="006B7185">
        <w:rPr>
          <w:rFonts w:ascii="Times New Roman" w:hAnsi="Times New Roman" w:cs="Times New Roman"/>
          <w:bCs/>
          <w:sz w:val="24"/>
          <w:szCs w:val="24"/>
          <w:lang w:val="en-US"/>
        </w:rPr>
        <w:t xml:space="preserve">” with or without additives produced tubers with high weights, ranging from 153.86 ± 23.95 g to 186.72 ± 28.78 g (Table 7). In contrast, plants derived from seedlings stored in </w:t>
      </w:r>
      <w:proofErr w:type="spellStart"/>
      <w:r w:rsidRPr="006B7185">
        <w:rPr>
          <w:rFonts w:ascii="Times New Roman" w:hAnsi="Times New Roman" w:cs="Times New Roman"/>
          <w:bCs/>
          <w:sz w:val="24"/>
          <w:szCs w:val="24"/>
          <w:lang w:val="en-US"/>
        </w:rPr>
        <w:t>canaris</w:t>
      </w:r>
      <w:proofErr w:type="spellEnd"/>
      <w:r w:rsidRPr="006B7185">
        <w:rPr>
          <w:rFonts w:ascii="Times New Roman" w:hAnsi="Times New Roman" w:cs="Times New Roman"/>
          <w:bCs/>
          <w:sz w:val="24"/>
          <w:szCs w:val="24"/>
          <w:lang w:val="en-US"/>
        </w:rPr>
        <w:t xml:space="preserve"> with wood chips as an </w:t>
      </w:r>
      <w:proofErr w:type="gramStart"/>
      <w:r w:rsidRPr="006B7185">
        <w:rPr>
          <w:rFonts w:ascii="Times New Roman" w:hAnsi="Times New Roman" w:cs="Times New Roman"/>
          <w:bCs/>
          <w:sz w:val="24"/>
          <w:szCs w:val="24"/>
          <w:lang w:val="en-US"/>
        </w:rPr>
        <w:t>additive produced tubers</w:t>
      </w:r>
      <w:proofErr w:type="gramEnd"/>
      <w:r w:rsidRPr="006B7185">
        <w:rPr>
          <w:rFonts w:ascii="Times New Roman" w:hAnsi="Times New Roman" w:cs="Times New Roman"/>
          <w:bCs/>
          <w:sz w:val="24"/>
          <w:szCs w:val="24"/>
          <w:lang w:val="en-US"/>
        </w:rPr>
        <w:t xml:space="preserve"> with low weight per plant (41.09 ± 23.08 g) (Table 7). Analysis of variance revealed a significant difference between storage methods for average tuber weight per plant (P = 0.001).</w:t>
      </w:r>
    </w:p>
    <w:p w14:paraId="3572EE8F" w14:textId="50F8F506" w:rsidR="006B7185" w:rsidRDefault="006B7185" w:rsidP="001C17BD">
      <w:pPr>
        <w:spacing w:line="480" w:lineRule="auto"/>
        <w:jc w:val="both"/>
        <w:rPr>
          <w:rFonts w:ascii="Times New Roman" w:hAnsi="Times New Roman" w:cs="Times New Roman"/>
          <w:bCs/>
          <w:sz w:val="24"/>
          <w:szCs w:val="24"/>
          <w:lang w:val="en-US"/>
        </w:rPr>
      </w:pPr>
      <w:r w:rsidRPr="006B7185">
        <w:rPr>
          <w:rFonts w:ascii="Times New Roman" w:hAnsi="Times New Roman" w:cs="Times New Roman"/>
          <w:bCs/>
          <w:sz w:val="24"/>
          <w:szCs w:val="24"/>
          <w:lang w:val="en-US"/>
        </w:rPr>
        <w:t xml:space="preserve">The average tuber weight per plant ranged from 23.06 ± 14.77 to 360.00 ± 0.00 g depending on the genotypes (Figure </w:t>
      </w:r>
      <w:r w:rsidR="00FE55A1">
        <w:rPr>
          <w:rFonts w:ascii="Times New Roman" w:hAnsi="Times New Roman" w:cs="Times New Roman"/>
          <w:bCs/>
          <w:sz w:val="24"/>
          <w:szCs w:val="24"/>
          <w:lang w:val="en-US"/>
        </w:rPr>
        <w:t>3</w:t>
      </w:r>
      <w:r w:rsidR="00346F3F">
        <w:rPr>
          <w:rFonts w:ascii="Times New Roman" w:hAnsi="Times New Roman" w:cs="Times New Roman"/>
          <w:bCs/>
          <w:sz w:val="24"/>
          <w:szCs w:val="24"/>
          <w:lang w:val="en-US"/>
        </w:rPr>
        <w:t>b</w:t>
      </w:r>
      <w:r w:rsidRPr="006B718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Except for</w:t>
      </w:r>
      <w:r w:rsidRPr="006B7185">
        <w:rPr>
          <w:rFonts w:ascii="Times New Roman" w:hAnsi="Times New Roman" w:cs="Times New Roman"/>
          <w:bCs/>
          <w:sz w:val="24"/>
          <w:szCs w:val="24"/>
          <w:lang w:val="en-US"/>
        </w:rPr>
        <w:t xml:space="preserve"> the methods using the “</w:t>
      </w:r>
      <w:proofErr w:type="spellStart"/>
      <w:r w:rsidRPr="006B7185">
        <w:rPr>
          <w:rFonts w:ascii="Times New Roman" w:hAnsi="Times New Roman" w:cs="Times New Roman"/>
          <w:bCs/>
          <w:sz w:val="24"/>
          <w:szCs w:val="24"/>
          <w:lang w:val="en-US"/>
        </w:rPr>
        <w:t>bitatoré</w:t>
      </w:r>
      <w:proofErr w:type="spellEnd"/>
      <w:r w:rsidRPr="006B7185">
        <w:rPr>
          <w:rFonts w:ascii="Times New Roman" w:hAnsi="Times New Roman" w:cs="Times New Roman"/>
          <w:bCs/>
          <w:sz w:val="24"/>
          <w:szCs w:val="24"/>
          <w:lang w:val="en-US"/>
        </w:rPr>
        <w:t xml:space="preserve">” without additives and the canary cage with sand and wood shavings as additives, the analysis of variance revealed a significant difference in the average tuber weight among genotypes from the other </w:t>
      </w:r>
      <w:r w:rsidRPr="000F39D7">
        <w:rPr>
          <w:rFonts w:ascii="Times New Roman" w:hAnsi="Times New Roman" w:cs="Times New Roman"/>
          <w:bCs/>
          <w:sz w:val="24"/>
          <w:szCs w:val="24"/>
          <w:lang w:val="en-US"/>
        </w:rPr>
        <w:t>conservation method</w:t>
      </w:r>
      <w:r w:rsidRPr="006B7185">
        <w:rPr>
          <w:rFonts w:ascii="Times New Roman" w:hAnsi="Times New Roman" w:cs="Times New Roman"/>
          <w:bCs/>
          <w:sz w:val="24"/>
          <w:szCs w:val="24"/>
          <w:lang w:val="en-US"/>
        </w:rPr>
        <w:t xml:space="preserve"> (Figure </w:t>
      </w:r>
      <w:r w:rsidR="00656351">
        <w:rPr>
          <w:rFonts w:ascii="Times New Roman" w:hAnsi="Times New Roman" w:cs="Times New Roman"/>
          <w:bCs/>
          <w:sz w:val="24"/>
          <w:szCs w:val="24"/>
          <w:lang w:val="en-US"/>
        </w:rPr>
        <w:t>3</w:t>
      </w:r>
      <w:r w:rsidR="00346F3F">
        <w:rPr>
          <w:rFonts w:ascii="Times New Roman" w:hAnsi="Times New Roman" w:cs="Times New Roman"/>
          <w:bCs/>
          <w:sz w:val="24"/>
          <w:szCs w:val="24"/>
          <w:lang w:val="en-US"/>
        </w:rPr>
        <w:t>b</w:t>
      </w:r>
      <w:r w:rsidRPr="006B7185">
        <w:rPr>
          <w:rFonts w:ascii="Times New Roman" w:hAnsi="Times New Roman" w:cs="Times New Roman"/>
          <w:bCs/>
          <w:sz w:val="24"/>
          <w:szCs w:val="24"/>
          <w:lang w:val="en-US"/>
        </w:rPr>
        <w:t xml:space="preserve">). In fact, plants of genotype E165 produced tubers with high weights across all evaluated methods (117.8 ± 61.05 g and 360.00 ± 0.00 g), while those of the ‘White’ genotype recorded the lowest values (22.99 ± 11.9 g and 95.33 ± 2.67 g) (Figure </w:t>
      </w:r>
      <w:r w:rsidR="00FE55A1">
        <w:rPr>
          <w:rFonts w:ascii="Times New Roman" w:hAnsi="Times New Roman" w:cs="Times New Roman"/>
          <w:bCs/>
          <w:sz w:val="24"/>
          <w:szCs w:val="24"/>
          <w:lang w:val="en-US"/>
        </w:rPr>
        <w:t>3</w:t>
      </w:r>
      <w:r w:rsidR="00346F3F">
        <w:rPr>
          <w:rFonts w:ascii="Times New Roman" w:hAnsi="Times New Roman" w:cs="Times New Roman"/>
          <w:bCs/>
          <w:sz w:val="24"/>
          <w:szCs w:val="24"/>
          <w:lang w:val="en-US"/>
        </w:rPr>
        <w:t>b</w:t>
      </w:r>
      <w:r w:rsidRPr="006B7185">
        <w:rPr>
          <w:rFonts w:ascii="Times New Roman" w:hAnsi="Times New Roman" w:cs="Times New Roman"/>
          <w:bCs/>
          <w:sz w:val="24"/>
          <w:szCs w:val="24"/>
          <w:lang w:val="en-US"/>
        </w:rPr>
        <w:t>).</w:t>
      </w:r>
    </w:p>
    <w:p w14:paraId="5A0F6FDF" w14:textId="77777777" w:rsidR="00954DD9" w:rsidRDefault="00954DD9" w:rsidP="001C17BD">
      <w:pPr>
        <w:spacing w:after="0" w:line="480" w:lineRule="auto"/>
        <w:ind w:left="708"/>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w:drawing>
          <wp:inline distT="0" distB="0" distL="0" distR="0" wp14:anchorId="6D3936CD" wp14:editId="12A94C93">
            <wp:extent cx="4421187" cy="3205480"/>
            <wp:effectExtent l="0" t="0" r="0" b="0"/>
            <wp:docPr id="52361673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616739" name="Image 523616739"/>
                    <pic:cNvPicPr/>
                  </pic:nvPicPr>
                  <pic:blipFill rotWithShape="1">
                    <a:blip r:embed="rId10">
                      <a:extLst>
                        <a:ext uri="{28A0092B-C50C-407E-A947-70E740481C1C}">
                          <a14:useLocalDpi xmlns:a14="http://schemas.microsoft.com/office/drawing/2010/main" val="0"/>
                        </a:ext>
                      </a:extLst>
                    </a:blip>
                    <a:srcRect r="20106"/>
                    <a:stretch>
                      <a:fillRect/>
                    </a:stretch>
                  </pic:blipFill>
                  <pic:spPr bwMode="auto">
                    <a:xfrm>
                      <a:off x="0" y="0"/>
                      <a:ext cx="4428020" cy="3210434"/>
                    </a:xfrm>
                    <a:prstGeom prst="rect">
                      <a:avLst/>
                    </a:prstGeom>
                    <a:ln>
                      <a:noFill/>
                    </a:ln>
                    <a:extLst>
                      <a:ext uri="{53640926-AAD7-44D8-BBD7-CCE9431645EC}">
                        <a14:shadowObscured xmlns:a14="http://schemas.microsoft.com/office/drawing/2010/main"/>
                      </a:ext>
                    </a:extLst>
                  </pic:spPr>
                </pic:pic>
              </a:graphicData>
            </a:graphic>
          </wp:inline>
        </w:drawing>
      </w:r>
    </w:p>
    <w:p w14:paraId="1D43B6E0" w14:textId="0CAB0A4B" w:rsidR="00954DD9" w:rsidRDefault="00954DD9" w:rsidP="001C17BD">
      <w:pPr>
        <w:spacing w:after="0" w:line="480" w:lineRule="auto"/>
        <w:jc w:val="both"/>
        <w:rPr>
          <w:rFonts w:ascii="Times New Roman" w:hAnsi="Times New Roman" w:cs="Times New Roman"/>
          <w:bCs/>
          <w:sz w:val="24"/>
          <w:szCs w:val="24"/>
          <w:lang w:val="en-US"/>
        </w:rPr>
      </w:pPr>
      <w:r w:rsidRPr="0092672F">
        <w:rPr>
          <w:rFonts w:ascii="Times New Roman" w:hAnsi="Times New Roman" w:cs="Times New Roman"/>
          <w:b/>
          <w:sz w:val="24"/>
          <w:szCs w:val="24"/>
          <w:lang w:val="en-US"/>
        </w:rPr>
        <w:lastRenderedPageBreak/>
        <w:t>Fig</w:t>
      </w:r>
      <w:r w:rsidR="00656351">
        <w:rPr>
          <w:rFonts w:ascii="Times New Roman" w:hAnsi="Times New Roman" w:cs="Times New Roman"/>
          <w:b/>
          <w:sz w:val="24"/>
          <w:szCs w:val="24"/>
          <w:lang w:val="en-US"/>
        </w:rPr>
        <w:t xml:space="preserve">ure </w:t>
      </w:r>
      <w:r w:rsidR="00FE55A1">
        <w:rPr>
          <w:rFonts w:ascii="Times New Roman" w:hAnsi="Times New Roman" w:cs="Times New Roman"/>
          <w:b/>
          <w:sz w:val="24"/>
          <w:szCs w:val="24"/>
          <w:lang w:val="en-US"/>
        </w:rPr>
        <w:t>3</w:t>
      </w:r>
      <w:r w:rsidRPr="0092672F">
        <w:rPr>
          <w:rFonts w:ascii="Times New Roman" w:hAnsi="Times New Roman" w:cs="Times New Roman"/>
          <w:b/>
          <w:sz w:val="24"/>
          <w:szCs w:val="24"/>
          <w:lang w:val="en-US"/>
        </w:rPr>
        <w:t>:</w:t>
      </w:r>
      <w:r w:rsidRPr="0092672F">
        <w:rPr>
          <w:rFonts w:ascii="Times New Roman" w:hAnsi="Times New Roman" w:cs="Times New Roman"/>
          <w:bCs/>
          <w:sz w:val="24"/>
          <w:szCs w:val="24"/>
          <w:lang w:val="en-US"/>
        </w:rPr>
        <w:t xml:space="preserve"> </w:t>
      </w:r>
      <w:r w:rsidRPr="00954DD9">
        <w:rPr>
          <w:rFonts w:ascii="Times New Roman" w:hAnsi="Times New Roman" w:cs="Times New Roman"/>
          <w:bCs/>
          <w:sz w:val="24"/>
          <w:szCs w:val="24"/>
          <w:lang w:val="en-US"/>
        </w:rPr>
        <w:t>Average number and weight of tubers by evaluated genotype</w:t>
      </w:r>
    </w:p>
    <w:p w14:paraId="0A24A03E" w14:textId="77777777" w:rsidR="000016A2" w:rsidRPr="000016A2" w:rsidRDefault="000016A2" w:rsidP="001C17BD">
      <w:pPr>
        <w:pStyle w:val="Heading2"/>
        <w:spacing w:before="0" w:after="0" w:line="480" w:lineRule="auto"/>
        <w:ind w:left="1416"/>
        <w:rPr>
          <w:rFonts w:ascii="Times New Roman" w:hAnsi="Times New Roman" w:cs="Times New Roman"/>
          <w:b/>
          <w:color w:val="auto"/>
          <w:sz w:val="24"/>
          <w:szCs w:val="24"/>
          <w:lang w:val="en-US"/>
        </w:rPr>
      </w:pPr>
      <w:r w:rsidRPr="000016A2">
        <w:rPr>
          <w:rFonts w:ascii="Times New Roman" w:hAnsi="Times New Roman" w:cs="Times New Roman"/>
          <w:b/>
          <w:color w:val="auto"/>
          <w:sz w:val="24"/>
          <w:szCs w:val="24"/>
          <w:lang w:val="en-US"/>
        </w:rPr>
        <w:t xml:space="preserve">Average tuber diameter </w:t>
      </w:r>
    </w:p>
    <w:p w14:paraId="6F488889" w14:textId="49B11719" w:rsidR="000016A2" w:rsidRDefault="000016A2" w:rsidP="001C17BD">
      <w:pPr>
        <w:spacing w:after="0" w:line="480" w:lineRule="auto"/>
        <w:jc w:val="both"/>
        <w:rPr>
          <w:rFonts w:ascii="Times New Roman" w:hAnsi="Times New Roman" w:cs="Times New Roman"/>
          <w:bCs/>
          <w:sz w:val="24"/>
          <w:szCs w:val="24"/>
          <w:lang w:val="en-US"/>
        </w:rPr>
      </w:pPr>
      <w:r w:rsidRPr="000016A2">
        <w:rPr>
          <w:rFonts w:ascii="Times New Roman" w:hAnsi="Times New Roman" w:cs="Times New Roman"/>
          <w:bCs/>
          <w:sz w:val="24"/>
          <w:szCs w:val="24"/>
          <w:lang w:val="en-US"/>
        </w:rPr>
        <w:t xml:space="preserve">Tuber diameter ranged from 10.97 ± 0.84 mm to 16.57 ± 0.83 mm depending on the </w:t>
      </w:r>
      <w:r w:rsidRPr="000F39D7">
        <w:rPr>
          <w:rFonts w:ascii="Times New Roman" w:hAnsi="Times New Roman" w:cs="Times New Roman"/>
          <w:bCs/>
          <w:sz w:val="24"/>
          <w:szCs w:val="24"/>
          <w:lang w:val="en-US"/>
        </w:rPr>
        <w:t>conservation method</w:t>
      </w:r>
      <w:r w:rsidRPr="000016A2">
        <w:rPr>
          <w:rFonts w:ascii="Times New Roman" w:hAnsi="Times New Roman" w:cs="Times New Roman"/>
          <w:bCs/>
          <w:sz w:val="24"/>
          <w:szCs w:val="24"/>
          <w:lang w:val="en-US"/>
        </w:rPr>
        <w:t>. The largest tuber diameter was observed in plants derived from seedlings stored using the triple S method (16.57 ± 0.83 mm) and in the “</w:t>
      </w:r>
      <w:proofErr w:type="spellStart"/>
      <w:r w:rsidRPr="000016A2">
        <w:rPr>
          <w:rFonts w:ascii="Times New Roman" w:hAnsi="Times New Roman" w:cs="Times New Roman"/>
          <w:bCs/>
          <w:sz w:val="24"/>
          <w:szCs w:val="24"/>
          <w:lang w:val="en-US"/>
        </w:rPr>
        <w:t>bitatoré</w:t>
      </w:r>
      <w:proofErr w:type="spellEnd"/>
      <w:r w:rsidRPr="000016A2">
        <w:rPr>
          <w:rFonts w:ascii="Times New Roman" w:hAnsi="Times New Roman" w:cs="Times New Roman"/>
          <w:bCs/>
          <w:sz w:val="24"/>
          <w:szCs w:val="24"/>
          <w:lang w:val="en-US"/>
        </w:rPr>
        <w:t xml:space="preserve">” with wood chips as an additive (16.05 ± 1.04 mm), </w:t>
      </w:r>
      <w:r>
        <w:rPr>
          <w:rFonts w:ascii="Times New Roman" w:hAnsi="Times New Roman" w:cs="Times New Roman"/>
          <w:bCs/>
          <w:sz w:val="24"/>
          <w:szCs w:val="24"/>
          <w:lang w:val="en-US"/>
        </w:rPr>
        <w:t>whereas</w:t>
      </w:r>
      <w:r w:rsidRPr="000016A2">
        <w:rPr>
          <w:rFonts w:ascii="Times New Roman" w:hAnsi="Times New Roman" w:cs="Times New Roman"/>
          <w:bCs/>
          <w:sz w:val="24"/>
          <w:szCs w:val="24"/>
          <w:lang w:val="en-US"/>
        </w:rPr>
        <w:t xml:space="preserve"> the lowest </w:t>
      </w:r>
      <w:r>
        <w:rPr>
          <w:rFonts w:ascii="Times New Roman" w:hAnsi="Times New Roman" w:cs="Times New Roman"/>
          <w:bCs/>
          <w:sz w:val="24"/>
          <w:szCs w:val="24"/>
          <w:lang w:val="en-US"/>
        </w:rPr>
        <w:t>was</w:t>
      </w:r>
      <w:r w:rsidRPr="000016A2">
        <w:rPr>
          <w:rFonts w:ascii="Times New Roman" w:hAnsi="Times New Roman" w:cs="Times New Roman"/>
          <w:bCs/>
          <w:sz w:val="24"/>
          <w:szCs w:val="24"/>
          <w:lang w:val="en-US"/>
        </w:rPr>
        <w:t xml:space="preserve"> observed in plants derived from seedlings stored in </w:t>
      </w:r>
      <w:proofErr w:type="spellStart"/>
      <w:r w:rsidRPr="000016A2">
        <w:rPr>
          <w:rFonts w:ascii="Times New Roman" w:hAnsi="Times New Roman" w:cs="Times New Roman"/>
          <w:bCs/>
          <w:sz w:val="24"/>
          <w:szCs w:val="24"/>
          <w:lang w:val="en-US"/>
        </w:rPr>
        <w:t>canaris</w:t>
      </w:r>
      <w:proofErr w:type="spellEnd"/>
      <w:r w:rsidRPr="000016A2">
        <w:rPr>
          <w:rFonts w:ascii="Times New Roman" w:hAnsi="Times New Roman" w:cs="Times New Roman"/>
          <w:bCs/>
          <w:sz w:val="24"/>
          <w:szCs w:val="24"/>
          <w:lang w:val="en-US"/>
        </w:rPr>
        <w:t xml:space="preserve"> with wood chips as an additive, at 10.97 ± 0.84 mm. Furthermore, the analysis of variance also revealed a significant difference between </w:t>
      </w:r>
      <w:r>
        <w:rPr>
          <w:rFonts w:ascii="Times New Roman" w:hAnsi="Times New Roman" w:cs="Times New Roman"/>
          <w:bCs/>
          <w:sz w:val="24"/>
          <w:szCs w:val="24"/>
          <w:lang w:val="en-US"/>
        </w:rPr>
        <w:t xml:space="preserve">the </w:t>
      </w:r>
      <w:r w:rsidRPr="000F39D7">
        <w:rPr>
          <w:rFonts w:ascii="Times New Roman" w:hAnsi="Times New Roman" w:cs="Times New Roman"/>
          <w:bCs/>
          <w:sz w:val="24"/>
          <w:szCs w:val="24"/>
          <w:lang w:val="en-US"/>
        </w:rPr>
        <w:t xml:space="preserve">conservation </w:t>
      </w:r>
      <w:r>
        <w:rPr>
          <w:rFonts w:ascii="Times New Roman" w:hAnsi="Times New Roman" w:cs="Times New Roman"/>
          <w:bCs/>
          <w:sz w:val="24"/>
          <w:szCs w:val="24"/>
          <w:lang w:val="en-US"/>
        </w:rPr>
        <w:t>methods</w:t>
      </w:r>
      <w:r w:rsidRPr="000F39D7">
        <w:rPr>
          <w:rFonts w:ascii="Times New Roman" w:hAnsi="Times New Roman" w:cs="Times New Roman"/>
          <w:bCs/>
          <w:sz w:val="24"/>
          <w:szCs w:val="24"/>
          <w:lang w:val="en-US"/>
        </w:rPr>
        <w:t xml:space="preserve"> </w:t>
      </w:r>
      <w:r w:rsidRPr="000016A2">
        <w:rPr>
          <w:rFonts w:ascii="Times New Roman" w:hAnsi="Times New Roman" w:cs="Times New Roman"/>
          <w:bCs/>
          <w:sz w:val="24"/>
          <w:szCs w:val="24"/>
          <w:lang w:val="en-US"/>
        </w:rPr>
        <w:t>for the average tuber weight per plant (Table 7).</w:t>
      </w:r>
    </w:p>
    <w:p w14:paraId="00F7ABF9" w14:textId="227849C5" w:rsidR="000016A2" w:rsidRDefault="000016A2" w:rsidP="001C17BD">
      <w:pPr>
        <w:spacing w:after="0" w:line="480" w:lineRule="auto"/>
        <w:jc w:val="both"/>
        <w:rPr>
          <w:rFonts w:ascii="Times New Roman" w:hAnsi="Times New Roman" w:cs="Times New Roman"/>
          <w:bCs/>
          <w:sz w:val="24"/>
          <w:szCs w:val="24"/>
          <w:lang w:val="en-US"/>
        </w:rPr>
      </w:pPr>
      <w:r w:rsidRPr="000016A2">
        <w:rPr>
          <w:rFonts w:ascii="Times New Roman" w:hAnsi="Times New Roman" w:cs="Times New Roman"/>
          <w:bCs/>
          <w:sz w:val="24"/>
          <w:szCs w:val="24"/>
          <w:lang w:val="en-US"/>
        </w:rPr>
        <w:t>Tuber diameter ranged from 3.5 ± 1.5 mm to 25.37 ± 0.83 mm depending on the genotype. However, analysis of variance revealed a significant difference in mean tuber diameter between genotypes derived from conservation methods in the “</w:t>
      </w:r>
      <w:proofErr w:type="spellStart"/>
      <w:r w:rsidRPr="000016A2">
        <w:rPr>
          <w:rFonts w:ascii="Times New Roman" w:hAnsi="Times New Roman" w:cs="Times New Roman"/>
          <w:bCs/>
          <w:sz w:val="24"/>
          <w:szCs w:val="24"/>
          <w:lang w:val="en-US"/>
        </w:rPr>
        <w:t>bitatoré</w:t>
      </w:r>
      <w:proofErr w:type="spellEnd"/>
      <w:r w:rsidRPr="000016A2">
        <w:rPr>
          <w:rFonts w:ascii="Times New Roman" w:hAnsi="Times New Roman" w:cs="Times New Roman"/>
          <w:bCs/>
          <w:sz w:val="24"/>
          <w:szCs w:val="24"/>
          <w:lang w:val="en-US"/>
        </w:rPr>
        <w:t>” (BITA+CB) (P = 0.02) and the canary (CAN+CB) (P = 0.001) with wood shavings, as well as using the triple S (</w:t>
      </w:r>
      <w:proofErr w:type="spellStart"/>
      <w:r w:rsidRPr="000016A2">
        <w:rPr>
          <w:rFonts w:ascii="Times New Roman" w:hAnsi="Times New Roman" w:cs="Times New Roman"/>
          <w:bCs/>
          <w:sz w:val="24"/>
          <w:szCs w:val="24"/>
          <w:lang w:val="en-US"/>
        </w:rPr>
        <w:t>TriS</w:t>
      </w:r>
      <w:proofErr w:type="spellEnd"/>
      <w:r w:rsidRPr="000016A2">
        <w:rPr>
          <w:rFonts w:ascii="Times New Roman" w:hAnsi="Times New Roman" w:cs="Times New Roman"/>
          <w:bCs/>
          <w:sz w:val="24"/>
          <w:szCs w:val="24"/>
          <w:lang w:val="en-US"/>
        </w:rPr>
        <w:t xml:space="preserve">) method (P = 0.01) (Figure </w:t>
      </w:r>
      <w:r w:rsidR="00656351">
        <w:rPr>
          <w:rFonts w:ascii="Times New Roman" w:hAnsi="Times New Roman" w:cs="Times New Roman"/>
          <w:bCs/>
          <w:sz w:val="24"/>
          <w:szCs w:val="24"/>
          <w:lang w:val="en-US"/>
        </w:rPr>
        <w:t>4</w:t>
      </w:r>
      <w:r w:rsidR="00954DD9">
        <w:rPr>
          <w:rFonts w:ascii="Times New Roman" w:hAnsi="Times New Roman" w:cs="Times New Roman"/>
          <w:bCs/>
          <w:sz w:val="24"/>
          <w:szCs w:val="24"/>
          <w:lang w:val="en-US"/>
        </w:rPr>
        <w:t>a</w:t>
      </w:r>
      <w:r w:rsidRPr="000016A2">
        <w:rPr>
          <w:rFonts w:ascii="Times New Roman" w:hAnsi="Times New Roman" w:cs="Times New Roman"/>
          <w:bCs/>
          <w:sz w:val="24"/>
          <w:szCs w:val="24"/>
          <w:lang w:val="en-US"/>
        </w:rPr>
        <w:t xml:space="preserve">). Large-diameter tubers were observed in plants of the UW086 M genotype derived from storage using the BITA+CB method (18.08 ± 1.72 mm) and </w:t>
      </w:r>
      <w:proofErr w:type="spellStart"/>
      <w:r w:rsidRPr="000016A2">
        <w:rPr>
          <w:rFonts w:ascii="Times New Roman" w:hAnsi="Times New Roman" w:cs="Times New Roman"/>
          <w:bCs/>
          <w:sz w:val="24"/>
          <w:szCs w:val="24"/>
          <w:lang w:val="en-US"/>
        </w:rPr>
        <w:t>TriS</w:t>
      </w:r>
      <w:proofErr w:type="spellEnd"/>
      <w:r w:rsidRPr="000016A2">
        <w:rPr>
          <w:rFonts w:ascii="Times New Roman" w:hAnsi="Times New Roman" w:cs="Times New Roman"/>
          <w:bCs/>
          <w:sz w:val="24"/>
          <w:szCs w:val="24"/>
          <w:lang w:val="en-US"/>
        </w:rPr>
        <w:t xml:space="preserve"> (25.37 ± 0.83 mm) methods, as well as in plants of the E120 genotype from storage using the CAN+CB method (15.12 ± 2.16 mm) (Figure </w:t>
      </w:r>
      <w:r w:rsidR="00FE55A1">
        <w:rPr>
          <w:rFonts w:ascii="Times New Roman" w:hAnsi="Times New Roman" w:cs="Times New Roman"/>
          <w:bCs/>
          <w:sz w:val="24"/>
          <w:szCs w:val="24"/>
          <w:lang w:val="en-US"/>
        </w:rPr>
        <w:t>4</w:t>
      </w:r>
      <w:r w:rsidR="00954DD9">
        <w:rPr>
          <w:rFonts w:ascii="Times New Roman" w:hAnsi="Times New Roman" w:cs="Times New Roman"/>
          <w:bCs/>
          <w:sz w:val="24"/>
          <w:szCs w:val="24"/>
          <w:lang w:val="en-US"/>
        </w:rPr>
        <w:t>a</w:t>
      </w:r>
      <w:r w:rsidRPr="000016A2">
        <w:rPr>
          <w:rFonts w:ascii="Times New Roman" w:hAnsi="Times New Roman" w:cs="Times New Roman"/>
          <w:bCs/>
          <w:sz w:val="24"/>
          <w:szCs w:val="24"/>
          <w:lang w:val="en-US"/>
        </w:rPr>
        <w:t xml:space="preserve">). In contrast, small-diameter tubers were observed in plants of the ‘white’ genotype derived from the same conservation methods as above, with an average ranging from 3.5 ± 1.5 mm to 7.47 ± 4.33 mm (Figure </w:t>
      </w:r>
      <w:r w:rsidR="00656351">
        <w:rPr>
          <w:rFonts w:ascii="Times New Roman" w:hAnsi="Times New Roman" w:cs="Times New Roman"/>
          <w:bCs/>
          <w:sz w:val="24"/>
          <w:szCs w:val="24"/>
          <w:lang w:val="en-US"/>
        </w:rPr>
        <w:t>4</w:t>
      </w:r>
      <w:r w:rsidR="00954DD9">
        <w:rPr>
          <w:rFonts w:ascii="Times New Roman" w:hAnsi="Times New Roman" w:cs="Times New Roman"/>
          <w:bCs/>
          <w:sz w:val="24"/>
          <w:szCs w:val="24"/>
          <w:lang w:val="en-US"/>
        </w:rPr>
        <w:t>a</w:t>
      </w:r>
      <w:r w:rsidRPr="000016A2">
        <w:rPr>
          <w:rFonts w:ascii="Times New Roman" w:hAnsi="Times New Roman" w:cs="Times New Roman"/>
          <w:bCs/>
          <w:sz w:val="24"/>
          <w:szCs w:val="24"/>
          <w:lang w:val="en-US"/>
        </w:rPr>
        <w:t>).</w:t>
      </w:r>
    </w:p>
    <w:p w14:paraId="3D905358" w14:textId="77777777" w:rsidR="00346F3F" w:rsidRPr="00346F3F" w:rsidRDefault="00346F3F" w:rsidP="001C17BD">
      <w:pPr>
        <w:pStyle w:val="Heading2"/>
        <w:spacing w:before="0" w:line="480" w:lineRule="auto"/>
        <w:ind w:left="1416"/>
        <w:rPr>
          <w:rFonts w:ascii="Times New Roman" w:hAnsi="Times New Roman" w:cs="Times New Roman"/>
          <w:b/>
          <w:color w:val="auto"/>
          <w:sz w:val="24"/>
          <w:szCs w:val="24"/>
          <w:lang w:val="en-US"/>
        </w:rPr>
      </w:pPr>
      <w:r w:rsidRPr="00346F3F">
        <w:rPr>
          <w:rFonts w:ascii="Times New Roman" w:hAnsi="Times New Roman" w:cs="Times New Roman"/>
          <w:b/>
          <w:color w:val="auto"/>
          <w:sz w:val="24"/>
          <w:szCs w:val="24"/>
          <w:lang w:val="en-US"/>
        </w:rPr>
        <w:t xml:space="preserve">Average tuber length </w:t>
      </w:r>
    </w:p>
    <w:p w14:paraId="42EE5A19" w14:textId="77777777" w:rsidR="00346F3F" w:rsidRPr="00346F3F" w:rsidRDefault="00346F3F" w:rsidP="001C17BD">
      <w:pPr>
        <w:spacing w:after="0" w:line="480" w:lineRule="auto"/>
        <w:jc w:val="both"/>
        <w:rPr>
          <w:rFonts w:ascii="Times New Roman" w:hAnsi="Times New Roman" w:cs="Times New Roman"/>
          <w:bCs/>
          <w:sz w:val="24"/>
          <w:szCs w:val="24"/>
          <w:lang w:val="en-US"/>
        </w:rPr>
      </w:pPr>
      <w:r w:rsidRPr="00346F3F">
        <w:rPr>
          <w:rFonts w:ascii="Times New Roman" w:hAnsi="Times New Roman" w:cs="Times New Roman"/>
          <w:bCs/>
          <w:sz w:val="24"/>
          <w:szCs w:val="24"/>
          <w:lang w:val="en-US"/>
        </w:rPr>
        <w:t>The average tuber length ranged from 25.81 ± 1.6 mm to 34.38 ± 1.82 mm (Table 7). However, analysis of variance did not reveal a significant difference (P = 0.39) between conservation methods for the average tuber length per plant (Table 7).</w:t>
      </w:r>
    </w:p>
    <w:p w14:paraId="67670E11" w14:textId="4D7B71D2" w:rsidR="00346F3F" w:rsidRDefault="00346F3F" w:rsidP="001C17BD">
      <w:pPr>
        <w:spacing w:after="0" w:line="480" w:lineRule="auto"/>
        <w:jc w:val="both"/>
        <w:rPr>
          <w:rFonts w:ascii="Times New Roman" w:hAnsi="Times New Roman" w:cs="Times New Roman"/>
          <w:bCs/>
          <w:sz w:val="24"/>
          <w:szCs w:val="24"/>
          <w:lang w:val="en-US"/>
        </w:rPr>
      </w:pPr>
      <w:r w:rsidRPr="00346F3F">
        <w:rPr>
          <w:rFonts w:ascii="Times New Roman" w:hAnsi="Times New Roman" w:cs="Times New Roman"/>
          <w:bCs/>
          <w:sz w:val="24"/>
          <w:szCs w:val="24"/>
          <w:lang w:val="en-US"/>
        </w:rPr>
        <w:t xml:space="preserve">Among genotypes, the average tuber length ranged from 8.5 ± 1.6 mm to 34.38 ± 1.82 mm (Figure </w:t>
      </w:r>
      <w:r w:rsidR="00FE55A1">
        <w:rPr>
          <w:rFonts w:ascii="Times New Roman" w:hAnsi="Times New Roman" w:cs="Times New Roman"/>
          <w:bCs/>
          <w:sz w:val="24"/>
          <w:szCs w:val="24"/>
          <w:lang w:val="en-US"/>
        </w:rPr>
        <w:t>4</w:t>
      </w:r>
      <w:r w:rsidR="00954DD9">
        <w:rPr>
          <w:rFonts w:ascii="Times New Roman" w:hAnsi="Times New Roman" w:cs="Times New Roman"/>
          <w:bCs/>
          <w:sz w:val="24"/>
          <w:szCs w:val="24"/>
          <w:lang w:val="en-US"/>
        </w:rPr>
        <w:t>b</w:t>
      </w:r>
      <w:r w:rsidRPr="00346F3F">
        <w:rPr>
          <w:rFonts w:ascii="Times New Roman" w:hAnsi="Times New Roman" w:cs="Times New Roman"/>
          <w:bCs/>
          <w:sz w:val="24"/>
          <w:szCs w:val="24"/>
          <w:lang w:val="en-US"/>
        </w:rPr>
        <w:t xml:space="preserve">). Analysis of variance revealed a significant difference in average tuber length </w:t>
      </w:r>
      <w:r w:rsidRPr="00346F3F">
        <w:rPr>
          <w:rFonts w:ascii="Times New Roman" w:hAnsi="Times New Roman" w:cs="Times New Roman"/>
          <w:bCs/>
          <w:sz w:val="24"/>
          <w:szCs w:val="24"/>
          <w:lang w:val="en-US"/>
        </w:rPr>
        <w:lastRenderedPageBreak/>
        <w:t>among genotypes from the following storage methods: in the additive-free “</w:t>
      </w:r>
      <w:proofErr w:type="spellStart"/>
      <w:r w:rsidRPr="00346F3F">
        <w:rPr>
          <w:rFonts w:ascii="Times New Roman" w:hAnsi="Times New Roman" w:cs="Times New Roman"/>
          <w:bCs/>
          <w:sz w:val="24"/>
          <w:szCs w:val="24"/>
          <w:lang w:val="en-US"/>
        </w:rPr>
        <w:t>bitatoré</w:t>
      </w:r>
      <w:proofErr w:type="spellEnd"/>
      <w:r w:rsidRPr="00346F3F">
        <w:rPr>
          <w:rFonts w:ascii="Times New Roman" w:hAnsi="Times New Roman" w:cs="Times New Roman"/>
          <w:bCs/>
          <w:sz w:val="24"/>
          <w:szCs w:val="24"/>
          <w:lang w:val="en-US"/>
        </w:rPr>
        <w:t>” (BITA) (P = 0.000), with wood chips (BITA+CB) (P = 0.02), the canary with millet husks (CAN+G) (P &lt; 0.0001), with wood chips (CAN+CB) (P = 0.01) and using the triple S (</w:t>
      </w:r>
      <w:proofErr w:type="spellStart"/>
      <w:r w:rsidRPr="00346F3F">
        <w:rPr>
          <w:rFonts w:ascii="Times New Roman" w:hAnsi="Times New Roman" w:cs="Times New Roman"/>
          <w:bCs/>
          <w:sz w:val="24"/>
          <w:szCs w:val="24"/>
          <w:lang w:val="en-US"/>
        </w:rPr>
        <w:t>TriS</w:t>
      </w:r>
      <w:proofErr w:type="spellEnd"/>
      <w:r w:rsidRPr="00346F3F">
        <w:rPr>
          <w:rFonts w:ascii="Times New Roman" w:hAnsi="Times New Roman" w:cs="Times New Roman"/>
          <w:bCs/>
          <w:sz w:val="24"/>
          <w:szCs w:val="24"/>
          <w:lang w:val="en-US"/>
        </w:rPr>
        <w:t xml:space="preserve">) method (P = 0.008) (Figure </w:t>
      </w:r>
      <w:r w:rsidR="00FE55A1">
        <w:rPr>
          <w:rFonts w:ascii="Times New Roman" w:hAnsi="Times New Roman" w:cs="Times New Roman"/>
          <w:bCs/>
          <w:sz w:val="24"/>
          <w:szCs w:val="24"/>
          <w:lang w:val="en-US"/>
        </w:rPr>
        <w:t>4</w:t>
      </w:r>
      <w:r w:rsidR="00954DD9">
        <w:rPr>
          <w:rFonts w:ascii="Times New Roman" w:hAnsi="Times New Roman" w:cs="Times New Roman"/>
          <w:bCs/>
          <w:sz w:val="24"/>
          <w:szCs w:val="24"/>
          <w:lang w:val="en-US"/>
        </w:rPr>
        <w:t>b</w:t>
      </w:r>
      <w:r w:rsidRPr="00346F3F">
        <w:rPr>
          <w:rFonts w:ascii="Times New Roman" w:hAnsi="Times New Roman" w:cs="Times New Roman"/>
          <w:bCs/>
          <w:sz w:val="24"/>
          <w:szCs w:val="24"/>
          <w:lang w:val="en-US"/>
        </w:rPr>
        <w:t xml:space="preserve">). For the BITA, </w:t>
      </w:r>
      <w:proofErr w:type="spellStart"/>
      <w:r w:rsidRPr="00346F3F">
        <w:rPr>
          <w:rFonts w:ascii="Times New Roman" w:hAnsi="Times New Roman" w:cs="Times New Roman"/>
          <w:bCs/>
          <w:sz w:val="24"/>
          <w:szCs w:val="24"/>
          <w:lang w:val="en-US"/>
        </w:rPr>
        <w:t>TriS</w:t>
      </w:r>
      <w:proofErr w:type="spellEnd"/>
      <w:r w:rsidRPr="00346F3F">
        <w:rPr>
          <w:rFonts w:ascii="Times New Roman" w:hAnsi="Times New Roman" w:cs="Times New Roman"/>
          <w:bCs/>
          <w:sz w:val="24"/>
          <w:szCs w:val="24"/>
          <w:lang w:val="en-US"/>
        </w:rPr>
        <w:t>, BITA+CB, CAN+G, and CAN+CB methods, only the tuber lengths from plants of the ‘White’ genotype are small, while those of the other genotypes are the largest and relatively homogeneous</w:t>
      </w:r>
      <w:r>
        <w:rPr>
          <w:rFonts w:ascii="Times New Roman" w:hAnsi="Times New Roman" w:cs="Times New Roman"/>
          <w:bCs/>
          <w:sz w:val="24"/>
          <w:szCs w:val="24"/>
          <w:lang w:val="en-US"/>
        </w:rPr>
        <w:t>.</w:t>
      </w:r>
    </w:p>
    <w:p w14:paraId="7E3712BF" w14:textId="070C82F6" w:rsidR="00346F3F" w:rsidRDefault="00A7490A" w:rsidP="001C17BD">
      <w:pPr>
        <w:spacing w:after="0" w:line="480" w:lineRule="auto"/>
        <w:ind w:left="708"/>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w:drawing>
          <wp:inline distT="0" distB="0" distL="0" distR="0" wp14:anchorId="0608B8CA" wp14:editId="42FDD239">
            <wp:extent cx="4084475" cy="3177540"/>
            <wp:effectExtent l="0" t="0" r="0" b="3810"/>
            <wp:docPr id="61004931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49311" name="Image 610049311"/>
                    <pic:cNvPicPr/>
                  </pic:nvPicPr>
                  <pic:blipFill rotWithShape="1">
                    <a:blip r:embed="rId11">
                      <a:extLst>
                        <a:ext uri="{28A0092B-C50C-407E-A947-70E740481C1C}">
                          <a14:useLocalDpi xmlns:a14="http://schemas.microsoft.com/office/drawing/2010/main" val="0"/>
                        </a:ext>
                      </a:extLst>
                    </a:blip>
                    <a:srcRect l="1676" t="3880" r="20194" b="4056"/>
                    <a:stretch>
                      <a:fillRect/>
                    </a:stretch>
                  </pic:blipFill>
                  <pic:spPr bwMode="auto">
                    <a:xfrm>
                      <a:off x="0" y="0"/>
                      <a:ext cx="4107950" cy="3195802"/>
                    </a:xfrm>
                    <a:prstGeom prst="rect">
                      <a:avLst/>
                    </a:prstGeom>
                    <a:ln>
                      <a:noFill/>
                    </a:ln>
                    <a:extLst>
                      <a:ext uri="{53640926-AAD7-44D8-BBD7-CCE9431645EC}">
                        <a14:shadowObscured xmlns:a14="http://schemas.microsoft.com/office/drawing/2010/main"/>
                      </a:ext>
                    </a:extLst>
                  </pic:spPr>
                </pic:pic>
              </a:graphicData>
            </a:graphic>
          </wp:inline>
        </w:drawing>
      </w:r>
    </w:p>
    <w:p w14:paraId="6A2456B7" w14:textId="57024BAE" w:rsidR="00A7490A" w:rsidRDefault="00A7490A" w:rsidP="001C17BD">
      <w:pPr>
        <w:spacing w:after="0" w:line="480" w:lineRule="auto"/>
        <w:jc w:val="both"/>
        <w:rPr>
          <w:rFonts w:ascii="Times New Roman" w:hAnsi="Times New Roman" w:cs="Times New Roman"/>
          <w:bCs/>
          <w:sz w:val="24"/>
          <w:szCs w:val="24"/>
          <w:lang w:val="en-US"/>
        </w:rPr>
      </w:pPr>
      <w:r w:rsidRPr="00FE55A1">
        <w:rPr>
          <w:rFonts w:ascii="Times New Roman" w:hAnsi="Times New Roman" w:cs="Times New Roman"/>
          <w:b/>
          <w:sz w:val="24"/>
          <w:szCs w:val="24"/>
          <w:lang w:val="en-US"/>
        </w:rPr>
        <w:t>Fig</w:t>
      </w:r>
      <w:r w:rsidR="00656351">
        <w:rPr>
          <w:rFonts w:ascii="Times New Roman" w:hAnsi="Times New Roman" w:cs="Times New Roman"/>
          <w:b/>
          <w:sz w:val="24"/>
          <w:szCs w:val="24"/>
          <w:lang w:val="en-US"/>
        </w:rPr>
        <w:t xml:space="preserve">ure </w:t>
      </w:r>
      <w:r w:rsidR="00FE55A1" w:rsidRPr="00FE55A1">
        <w:rPr>
          <w:rFonts w:ascii="Times New Roman" w:hAnsi="Times New Roman" w:cs="Times New Roman"/>
          <w:b/>
          <w:sz w:val="24"/>
          <w:szCs w:val="24"/>
          <w:lang w:val="en-US"/>
        </w:rPr>
        <w:t>4</w:t>
      </w:r>
      <w:r w:rsidRPr="00FE55A1">
        <w:rPr>
          <w:rFonts w:ascii="Times New Roman" w:hAnsi="Times New Roman" w:cs="Times New Roman"/>
          <w:b/>
          <w:sz w:val="24"/>
          <w:szCs w:val="24"/>
          <w:lang w:val="en-US"/>
        </w:rPr>
        <w:t>:</w:t>
      </w:r>
      <w:r>
        <w:rPr>
          <w:rFonts w:ascii="Times New Roman" w:hAnsi="Times New Roman" w:cs="Times New Roman"/>
          <w:bCs/>
          <w:sz w:val="24"/>
          <w:szCs w:val="24"/>
          <w:lang w:val="en-US"/>
        </w:rPr>
        <w:t xml:space="preserve"> </w:t>
      </w:r>
      <w:r w:rsidRPr="00A7490A">
        <w:rPr>
          <w:rFonts w:ascii="Times New Roman" w:hAnsi="Times New Roman" w:cs="Times New Roman"/>
          <w:bCs/>
          <w:sz w:val="24"/>
          <w:szCs w:val="24"/>
          <w:lang w:val="en-US"/>
        </w:rPr>
        <w:t>Average diameter and length of tubers by evaluated genotype</w:t>
      </w:r>
    </w:p>
    <w:p w14:paraId="35FD0057" w14:textId="035A1A29" w:rsidR="00A7490A" w:rsidRDefault="00625CE8" w:rsidP="001C17BD">
      <w:pPr>
        <w:spacing w:after="0" w:line="480" w:lineRule="auto"/>
        <w:jc w:val="both"/>
        <w:rPr>
          <w:rFonts w:ascii="Times New Roman" w:hAnsi="Times New Roman" w:cs="Times New Roman"/>
          <w:bCs/>
          <w:sz w:val="24"/>
          <w:szCs w:val="24"/>
          <w:lang w:val="en-US"/>
        </w:rPr>
      </w:pPr>
      <w:r w:rsidRPr="00C778CD">
        <w:rPr>
          <w:rFonts w:ascii="Times New Roman" w:hAnsi="Times New Roman" w:cs="Times New Roman"/>
          <w:b/>
          <w:sz w:val="24"/>
          <w:szCs w:val="24"/>
          <w:lang w:val="en-US"/>
        </w:rPr>
        <w:t>Table 7:</w:t>
      </w:r>
      <w:r w:rsidRPr="00625CE8">
        <w:rPr>
          <w:rFonts w:ascii="Times New Roman" w:hAnsi="Times New Roman" w:cs="Times New Roman"/>
          <w:bCs/>
          <w:sz w:val="24"/>
          <w:szCs w:val="24"/>
          <w:lang w:val="en-US"/>
        </w:rPr>
        <w:t xml:space="preserve"> Yield parameters for tubers by conservation method</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1701"/>
        <w:gridCol w:w="1843"/>
        <w:gridCol w:w="1701"/>
        <w:gridCol w:w="1701"/>
      </w:tblGrid>
      <w:tr w:rsidR="00625CE8" w:rsidRPr="00C91ABC" w14:paraId="382B6CD4" w14:textId="77777777" w:rsidTr="00625CE8">
        <w:trPr>
          <w:trHeight w:val="194"/>
          <w:jc w:val="center"/>
        </w:trPr>
        <w:tc>
          <w:tcPr>
            <w:tcW w:w="1418" w:type="dxa"/>
            <w:tcBorders>
              <w:top w:val="nil"/>
              <w:left w:val="nil"/>
              <w:bottom w:val="single" w:sz="4" w:space="0" w:color="auto"/>
              <w:right w:val="nil"/>
            </w:tcBorders>
            <w:noWrap/>
            <w:vAlign w:val="center"/>
            <w:hideMark/>
          </w:tcPr>
          <w:p w14:paraId="18B8A81F" w14:textId="77777777" w:rsidR="00625CE8" w:rsidRPr="00C91ABC" w:rsidRDefault="00625CE8" w:rsidP="00003B82">
            <w:pPr>
              <w:spacing w:after="0" w:line="240" w:lineRule="auto"/>
              <w:rPr>
                <w:rFonts w:ascii="Times New Roman" w:eastAsia="Times New Roman" w:hAnsi="Times New Roman" w:cs="Times New Roman"/>
                <w:sz w:val="20"/>
                <w:szCs w:val="20"/>
                <w:lang w:eastAsia="fr-FR"/>
              </w:rPr>
            </w:pPr>
            <w:bookmarkStart w:id="6" w:name="_Hlk184751700"/>
          </w:p>
        </w:tc>
        <w:tc>
          <w:tcPr>
            <w:tcW w:w="1701" w:type="dxa"/>
            <w:tcBorders>
              <w:top w:val="single" w:sz="4" w:space="0" w:color="auto"/>
              <w:left w:val="nil"/>
              <w:bottom w:val="single" w:sz="4" w:space="0" w:color="auto"/>
              <w:right w:val="nil"/>
            </w:tcBorders>
            <w:vAlign w:val="center"/>
            <w:hideMark/>
          </w:tcPr>
          <w:p w14:paraId="7F166022"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NTP</w:t>
            </w:r>
          </w:p>
        </w:tc>
        <w:tc>
          <w:tcPr>
            <w:tcW w:w="1843" w:type="dxa"/>
            <w:tcBorders>
              <w:top w:val="single" w:sz="4" w:space="0" w:color="auto"/>
              <w:left w:val="nil"/>
              <w:bottom w:val="single" w:sz="4" w:space="0" w:color="auto"/>
              <w:right w:val="nil"/>
            </w:tcBorders>
            <w:vAlign w:val="center"/>
            <w:hideMark/>
          </w:tcPr>
          <w:p w14:paraId="1873055F"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PTP (g)</w:t>
            </w:r>
          </w:p>
        </w:tc>
        <w:tc>
          <w:tcPr>
            <w:tcW w:w="1701" w:type="dxa"/>
            <w:tcBorders>
              <w:top w:val="single" w:sz="4" w:space="0" w:color="auto"/>
              <w:left w:val="nil"/>
              <w:bottom w:val="single" w:sz="4" w:space="0" w:color="auto"/>
              <w:right w:val="nil"/>
            </w:tcBorders>
            <w:vAlign w:val="center"/>
            <w:hideMark/>
          </w:tcPr>
          <w:p w14:paraId="0FA1BB4C"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DMT (mm)</w:t>
            </w:r>
          </w:p>
        </w:tc>
        <w:tc>
          <w:tcPr>
            <w:tcW w:w="1701" w:type="dxa"/>
            <w:tcBorders>
              <w:top w:val="single" w:sz="4" w:space="0" w:color="auto"/>
              <w:left w:val="nil"/>
              <w:bottom w:val="single" w:sz="4" w:space="0" w:color="auto"/>
              <w:right w:val="nil"/>
            </w:tcBorders>
            <w:vAlign w:val="center"/>
            <w:hideMark/>
          </w:tcPr>
          <w:p w14:paraId="4A9B0569"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LMT (mm)</w:t>
            </w:r>
          </w:p>
        </w:tc>
      </w:tr>
      <w:tr w:rsidR="00625CE8" w:rsidRPr="00C91ABC" w14:paraId="4047B32E" w14:textId="77777777" w:rsidTr="00625CE8">
        <w:trPr>
          <w:trHeight w:val="194"/>
          <w:jc w:val="center"/>
        </w:trPr>
        <w:tc>
          <w:tcPr>
            <w:tcW w:w="1418" w:type="dxa"/>
            <w:tcBorders>
              <w:top w:val="single" w:sz="4" w:space="0" w:color="auto"/>
              <w:left w:val="nil"/>
              <w:bottom w:val="nil"/>
              <w:right w:val="nil"/>
            </w:tcBorders>
            <w:noWrap/>
            <w:vAlign w:val="center"/>
            <w:hideMark/>
          </w:tcPr>
          <w:p w14:paraId="74FAD921" w14:textId="77777777" w:rsidR="00625CE8" w:rsidRPr="00C91ABC" w:rsidRDefault="00625CE8" w:rsidP="00003B82">
            <w:pPr>
              <w:spacing w:after="0" w:line="240" w:lineRule="auto"/>
              <w:rPr>
                <w:rFonts w:ascii="Times New Roman" w:eastAsia="Times New Roman" w:hAnsi="Times New Roman" w:cs="Times New Roman"/>
                <w:bCs/>
                <w:color w:val="000000"/>
                <w:sz w:val="20"/>
                <w:szCs w:val="20"/>
                <w:lang w:eastAsia="fr-FR"/>
              </w:rPr>
            </w:pPr>
            <w:r w:rsidRPr="00C91ABC">
              <w:rPr>
                <w:rFonts w:ascii="Times New Roman" w:eastAsia="Times New Roman" w:hAnsi="Times New Roman" w:cs="Times New Roman"/>
                <w:bCs/>
                <w:color w:val="000000"/>
                <w:sz w:val="20"/>
                <w:szCs w:val="20"/>
                <w:lang w:eastAsia="fr-FR"/>
              </w:rPr>
              <w:t>BITA+CB</w:t>
            </w:r>
          </w:p>
        </w:tc>
        <w:tc>
          <w:tcPr>
            <w:tcW w:w="1701" w:type="dxa"/>
            <w:tcBorders>
              <w:top w:val="single" w:sz="4" w:space="0" w:color="auto"/>
              <w:left w:val="nil"/>
              <w:bottom w:val="nil"/>
              <w:right w:val="nil"/>
            </w:tcBorders>
            <w:noWrap/>
            <w:vAlign w:val="center"/>
            <w:hideMark/>
          </w:tcPr>
          <w:p w14:paraId="5668B834"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88.22 ± 9.38</w:t>
            </w:r>
            <w:r w:rsidRPr="00C91ABC">
              <w:rPr>
                <w:rFonts w:ascii="Times New Roman" w:eastAsia="Times New Roman" w:hAnsi="Times New Roman" w:cs="Times New Roman"/>
                <w:color w:val="000000"/>
                <w:sz w:val="20"/>
                <w:szCs w:val="20"/>
                <w:vertAlign w:val="superscript"/>
                <w:lang w:eastAsia="fr-FR"/>
              </w:rPr>
              <w:t>a</w:t>
            </w:r>
          </w:p>
        </w:tc>
        <w:tc>
          <w:tcPr>
            <w:tcW w:w="1843" w:type="dxa"/>
            <w:tcBorders>
              <w:top w:val="single" w:sz="4" w:space="0" w:color="auto"/>
              <w:left w:val="nil"/>
              <w:bottom w:val="nil"/>
              <w:right w:val="nil"/>
            </w:tcBorders>
            <w:noWrap/>
            <w:vAlign w:val="center"/>
            <w:hideMark/>
          </w:tcPr>
          <w:p w14:paraId="0A6F8E6B"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186.72 ± 28.78</w:t>
            </w:r>
            <w:r w:rsidRPr="00C91ABC">
              <w:rPr>
                <w:rFonts w:ascii="Times New Roman" w:eastAsia="Times New Roman" w:hAnsi="Times New Roman" w:cs="Times New Roman"/>
                <w:color w:val="000000"/>
                <w:sz w:val="20"/>
                <w:szCs w:val="20"/>
                <w:vertAlign w:val="superscript"/>
                <w:lang w:eastAsia="fr-FR"/>
              </w:rPr>
              <w:t>a</w:t>
            </w:r>
          </w:p>
        </w:tc>
        <w:tc>
          <w:tcPr>
            <w:tcW w:w="1701" w:type="dxa"/>
            <w:tcBorders>
              <w:top w:val="single" w:sz="4" w:space="0" w:color="auto"/>
              <w:left w:val="nil"/>
              <w:bottom w:val="nil"/>
              <w:right w:val="nil"/>
            </w:tcBorders>
            <w:noWrap/>
            <w:vAlign w:val="center"/>
            <w:hideMark/>
          </w:tcPr>
          <w:p w14:paraId="74B74515"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16.05 ± 1.04</w:t>
            </w:r>
            <w:r w:rsidRPr="00C91ABC">
              <w:rPr>
                <w:rFonts w:ascii="Times New Roman" w:eastAsia="Times New Roman" w:hAnsi="Times New Roman" w:cs="Times New Roman"/>
                <w:color w:val="000000"/>
                <w:sz w:val="20"/>
                <w:szCs w:val="20"/>
                <w:vertAlign w:val="superscript"/>
                <w:lang w:eastAsia="fr-FR"/>
              </w:rPr>
              <w:t>a</w:t>
            </w:r>
          </w:p>
        </w:tc>
        <w:tc>
          <w:tcPr>
            <w:tcW w:w="1701" w:type="dxa"/>
            <w:tcBorders>
              <w:top w:val="single" w:sz="4" w:space="0" w:color="auto"/>
              <w:left w:val="nil"/>
              <w:bottom w:val="nil"/>
              <w:right w:val="nil"/>
            </w:tcBorders>
            <w:noWrap/>
            <w:vAlign w:val="center"/>
            <w:hideMark/>
          </w:tcPr>
          <w:p w14:paraId="35E228E5"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32.29 ± 2.01</w:t>
            </w:r>
            <w:r w:rsidRPr="00C91ABC">
              <w:rPr>
                <w:rFonts w:ascii="Times New Roman" w:eastAsia="Times New Roman" w:hAnsi="Times New Roman" w:cs="Times New Roman"/>
                <w:color w:val="000000"/>
                <w:sz w:val="20"/>
                <w:szCs w:val="20"/>
                <w:vertAlign w:val="superscript"/>
                <w:lang w:eastAsia="fr-FR"/>
              </w:rPr>
              <w:t>a</w:t>
            </w:r>
          </w:p>
        </w:tc>
      </w:tr>
      <w:tr w:rsidR="00625CE8" w:rsidRPr="00C91ABC" w14:paraId="0D9B8457" w14:textId="77777777" w:rsidTr="00625CE8">
        <w:trPr>
          <w:trHeight w:val="194"/>
          <w:jc w:val="center"/>
        </w:trPr>
        <w:tc>
          <w:tcPr>
            <w:tcW w:w="1418" w:type="dxa"/>
            <w:tcBorders>
              <w:top w:val="nil"/>
              <w:left w:val="nil"/>
              <w:bottom w:val="nil"/>
              <w:right w:val="nil"/>
            </w:tcBorders>
            <w:noWrap/>
            <w:vAlign w:val="center"/>
            <w:hideMark/>
          </w:tcPr>
          <w:p w14:paraId="19B1CB52" w14:textId="77777777" w:rsidR="00625CE8" w:rsidRPr="00C91ABC" w:rsidRDefault="00625CE8" w:rsidP="00003B82">
            <w:pPr>
              <w:spacing w:after="0" w:line="240" w:lineRule="auto"/>
              <w:rPr>
                <w:rFonts w:ascii="Times New Roman" w:eastAsia="Times New Roman" w:hAnsi="Times New Roman" w:cs="Times New Roman"/>
                <w:bCs/>
                <w:color w:val="000000"/>
                <w:sz w:val="20"/>
                <w:szCs w:val="20"/>
                <w:lang w:eastAsia="fr-FR"/>
              </w:rPr>
            </w:pPr>
            <w:r w:rsidRPr="00C91ABC">
              <w:rPr>
                <w:rFonts w:ascii="Times New Roman" w:eastAsia="Times New Roman" w:hAnsi="Times New Roman" w:cs="Times New Roman"/>
                <w:bCs/>
                <w:color w:val="000000"/>
                <w:sz w:val="20"/>
                <w:szCs w:val="20"/>
                <w:lang w:eastAsia="fr-FR"/>
              </w:rPr>
              <w:t>BITA+S</w:t>
            </w:r>
          </w:p>
        </w:tc>
        <w:tc>
          <w:tcPr>
            <w:tcW w:w="1701" w:type="dxa"/>
            <w:tcBorders>
              <w:top w:val="nil"/>
              <w:left w:val="nil"/>
              <w:bottom w:val="nil"/>
              <w:right w:val="nil"/>
            </w:tcBorders>
            <w:noWrap/>
            <w:vAlign w:val="center"/>
            <w:hideMark/>
          </w:tcPr>
          <w:p w14:paraId="54D1D9EF"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67.22 ± 8.49</w:t>
            </w:r>
            <w:r w:rsidRPr="00C91ABC">
              <w:rPr>
                <w:rFonts w:ascii="Times New Roman" w:eastAsia="Times New Roman" w:hAnsi="Times New Roman" w:cs="Times New Roman"/>
                <w:color w:val="000000"/>
                <w:sz w:val="20"/>
                <w:szCs w:val="20"/>
                <w:vertAlign w:val="superscript"/>
                <w:lang w:eastAsia="fr-FR"/>
              </w:rPr>
              <w:t>ab</w:t>
            </w:r>
          </w:p>
        </w:tc>
        <w:tc>
          <w:tcPr>
            <w:tcW w:w="1843" w:type="dxa"/>
            <w:tcBorders>
              <w:top w:val="nil"/>
              <w:left w:val="nil"/>
              <w:bottom w:val="nil"/>
              <w:right w:val="nil"/>
            </w:tcBorders>
            <w:noWrap/>
            <w:vAlign w:val="center"/>
            <w:hideMark/>
          </w:tcPr>
          <w:p w14:paraId="11A29B2A"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181.25 ± 26.03</w:t>
            </w:r>
            <w:r w:rsidRPr="00C91ABC">
              <w:rPr>
                <w:rFonts w:ascii="Times New Roman" w:eastAsia="Times New Roman" w:hAnsi="Times New Roman" w:cs="Times New Roman"/>
                <w:color w:val="000000"/>
                <w:sz w:val="20"/>
                <w:szCs w:val="20"/>
                <w:vertAlign w:val="superscript"/>
                <w:lang w:eastAsia="fr-FR"/>
              </w:rPr>
              <w:t>a</w:t>
            </w:r>
          </w:p>
        </w:tc>
        <w:tc>
          <w:tcPr>
            <w:tcW w:w="1701" w:type="dxa"/>
            <w:tcBorders>
              <w:top w:val="nil"/>
              <w:left w:val="nil"/>
              <w:bottom w:val="nil"/>
              <w:right w:val="nil"/>
            </w:tcBorders>
            <w:noWrap/>
            <w:vAlign w:val="center"/>
            <w:hideMark/>
          </w:tcPr>
          <w:p w14:paraId="26275EF8"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13.5 ± 0.94</w:t>
            </w:r>
            <w:r w:rsidRPr="00C91ABC">
              <w:rPr>
                <w:rFonts w:ascii="Times New Roman" w:eastAsia="Times New Roman" w:hAnsi="Times New Roman" w:cs="Times New Roman"/>
                <w:color w:val="000000"/>
                <w:sz w:val="20"/>
                <w:szCs w:val="20"/>
                <w:vertAlign w:val="superscript"/>
                <w:lang w:eastAsia="fr-FR"/>
              </w:rPr>
              <w:t>ab</w:t>
            </w:r>
          </w:p>
        </w:tc>
        <w:tc>
          <w:tcPr>
            <w:tcW w:w="1701" w:type="dxa"/>
            <w:tcBorders>
              <w:top w:val="nil"/>
              <w:left w:val="nil"/>
              <w:bottom w:val="nil"/>
              <w:right w:val="nil"/>
            </w:tcBorders>
            <w:noWrap/>
            <w:vAlign w:val="center"/>
            <w:hideMark/>
          </w:tcPr>
          <w:p w14:paraId="4F731939"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29.76 ± 1.82</w:t>
            </w:r>
            <w:r w:rsidRPr="00C91ABC">
              <w:rPr>
                <w:rFonts w:ascii="Times New Roman" w:eastAsia="Times New Roman" w:hAnsi="Times New Roman" w:cs="Times New Roman"/>
                <w:color w:val="000000"/>
                <w:sz w:val="20"/>
                <w:szCs w:val="20"/>
                <w:vertAlign w:val="superscript"/>
                <w:lang w:eastAsia="fr-FR"/>
              </w:rPr>
              <w:t>a</w:t>
            </w:r>
          </w:p>
        </w:tc>
      </w:tr>
      <w:tr w:rsidR="00625CE8" w:rsidRPr="00C91ABC" w14:paraId="442BBD29" w14:textId="77777777" w:rsidTr="00625CE8">
        <w:trPr>
          <w:trHeight w:val="194"/>
          <w:jc w:val="center"/>
        </w:trPr>
        <w:tc>
          <w:tcPr>
            <w:tcW w:w="1418" w:type="dxa"/>
            <w:tcBorders>
              <w:top w:val="nil"/>
              <w:left w:val="nil"/>
              <w:bottom w:val="nil"/>
              <w:right w:val="nil"/>
            </w:tcBorders>
            <w:noWrap/>
            <w:vAlign w:val="center"/>
            <w:hideMark/>
          </w:tcPr>
          <w:p w14:paraId="2230AEE9" w14:textId="77777777" w:rsidR="00625CE8" w:rsidRPr="00C91ABC" w:rsidRDefault="00625CE8" w:rsidP="00003B82">
            <w:pPr>
              <w:spacing w:after="0" w:line="240" w:lineRule="auto"/>
              <w:rPr>
                <w:rFonts w:ascii="Times New Roman" w:eastAsia="Times New Roman" w:hAnsi="Times New Roman" w:cs="Times New Roman"/>
                <w:bCs/>
                <w:color w:val="000000"/>
                <w:sz w:val="20"/>
                <w:szCs w:val="20"/>
                <w:lang w:eastAsia="fr-FR"/>
              </w:rPr>
            </w:pPr>
            <w:r w:rsidRPr="00C91ABC">
              <w:rPr>
                <w:rFonts w:ascii="Times New Roman" w:eastAsia="Times New Roman" w:hAnsi="Times New Roman" w:cs="Times New Roman"/>
                <w:bCs/>
                <w:color w:val="000000"/>
                <w:sz w:val="20"/>
                <w:szCs w:val="20"/>
                <w:lang w:eastAsia="fr-FR"/>
              </w:rPr>
              <w:t>BITA+G</w:t>
            </w:r>
          </w:p>
        </w:tc>
        <w:tc>
          <w:tcPr>
            <w:tcW w:w="1701" w:type="dxa"/>
            <w:tcBorders>
              <w:top w:val="nil"/>
              <w:left w:val="nil"/>
              <w:bottom w:val="nil"/>
              <w:right w:val="nil"/>
            </w:tcBorders>
            <w:noWrap/>
            <w:vAlign w:val="center"/>
            <w:hideMark/>
          </w:tcPr>
          <w:p w14:paraId="40B2E80D"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58.60 ± 8.90</w:t>
            </w:r>
            <w:r w:rsidRPr="00C91ABC">
              <w:rPr>
                <w:rFonts w:ascii="Times New Roman" w:eastAsia="Times New Roman" w:hAnsi="Times New Roman" w:cs="Times New Roman"/>
                <w:color w:val="000000"/>
                <w:sz w:val="20"/>
                <w:szCs w:val="20"/>
                <w:vertAlign w:val="superscript"/>
                <w:lang w:eastAsia="fr-FR"/>
              </w:rPr>
              <w:t>ab</w:t>
            </w:r>
          </w:p>
        </w:tc>
        <w:tc>
          <w:tcPr>
            <w:tcW w:w="1843" w:type="dxa"/>
            <w:tcBorders>
              <w:top w:val="nil"/>
              <w:left w:val="nil"/>
              <w:bottom w:val="nil"/>
              <w:right w:val="nil"/>
            </w:tcBorders>
            <w:noWrap/>
            <w:vAlign w:val="center"/>
            <w:hideMark/>
          </w:tcPr>
          <w:p w14:paraId="2A7D1889"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161.84 ± 27.31</w:t>
            </w:r>
            <w:r w:rsidRPr="00C91ABC">
              <w:rPr>
                <w:rFonts w:ascii="Times New Roman" w:eastAsia="Times New Roman" w:hAnsi="Times New Roman" w:cs="Times New Roman"/>
                <w:color w:val="000000"/>
                <w:sz w:val="20"/>
                <w:szCs w:val="20"/>
                <w:vertAlign w:val="superscript"/>
                <w:lang w:eastAsia="fr-FR"/>
              </w:rPr>
              <w:t>a</w:t>
            </w:r>
          </w:p>
        </w:tc>
        <w:tc>
          <w:tcPr>
            <w:tcW w:w="1701" w:type="dxa"/>
            <w:tcBorders>
              <w:top w:val="nil"/>
              <w:left w:val="nil"/>
              <w:bottom w:val="nil"/>
              <w:right w:val="nil"/>
            </w:tcBorders>
            <w:noWrap/>
            <w:vAlign w:val="center"/>
            <w:hideMark/>
          </w:tcPr>
          <w:p w14:paraId="1C230322"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14.82 ± 0.98</w:t>
            </w:r>
            <w:r w:rsidRPr="00C91ABC">
              <w:rPr>
                <w:rFonts w:ascii="Times New Roman" w:eastAsia="Times New Roman" w:hAnsi="Times New Roman" w:cs="Times New Roman"/>
                <w:color w:val="000000"/>
                <w:sz w:val="20"/>
                <w:szCs w:val="20"/>
                <w:vertAlign w:val="superscript"/>
                <w:lang w:eastAsia="fr-FR"/>
              </w:rPr>
              <w:t>ab</w:t>
            </w:r>
          </w:p>
        </w:tc>
        <w:tc>
          <w:tcPr>
            <w:tcW w:w="1701" w:type="dxa"/>
            <w:tcBorders>
              <w:top w:val="nil"/>
              <w:left w:val="nil"/>
              <w:bottom w:val="nil"/>
              <w:right w:val="nil"/>
            </w:tcBorders>
            <w:noWrap/>
            <w:vAlign w:val="center"/>
            <w:hideMark/>
          </w:tcPr>
          <w:p w14:paraId="063BEE25"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30.74 ± 1.91</w:t>
            </w:r>
            <w:r w:rsidRPr="00C91ABC">
              <w:rPr>
                <w:rFonts w:ascii="Times New Roman" w:eastAsia="Times New Roman" w:hAnsi="Times New Roman" w:cs="Times New Roman"/>
                <w:color w:val="000000"/>
                <w:sz w:val="20"/>
                <w:szCs w:val="20"/>
                <w:vertAlign w:val="superscript"/>
                <w:lang w:eastAsia="fr-FR"/>
              </w:rPr>
              <w:t>a</w:t>
            </w:r>
          </w:p>
        </w:tc>
      </w:tr>
      <w:tr w:rsidR="00625CE8" w:rsidRPr="00C91ABC" w14:paraId="7C18342F" w14:textId="77777777" w:rsidTr="00625CE8">
        <w:trPr>
          <w:trHeight w:val="194"/>
          <w:jc w:val="center"/>
        </w:trPr>
        <w:tc>
          <w:tcPr>
            <w:tcW w:w="1418" w:type="dxa"/>
            <w:tcBorders>
              <w:top w:val="nil"/>
              <w:left w:val="nil"/>
              <w:bottom w:val="nil"/>
              <w:right w:val="nil"/>
            </w:tcBorders>
            <w:noWrap/>
            <w:vAlign w:val="center"/>
            <w:hideMark/>
          </w:tcPr>
          <w:p w14:paraId="5D049ED1" w14:textId="77777777" w:rsidR="00625CE8" w:rsidRPr="00C91ABC" w:rsidRDefault="00625CE8" w:rsidP="00003B82">
            <w:pPr>
              <w:spacing w:after="0" w:line="240" w:lineRule="auto"/>
              <w:rPr>
                <w:rFonts w:ascii="Times New Roman" w:eastAsia="Times New Roman" w:hAnsi="Times New Roman" w:cs="Times New Roman"/>
                <w:bCs/>
                <w:color w:val="000000"/>
                <w:sz w:val="20"/>
                <w:szCs w:val="20"/>
                <w:lang w:eastAsia="fr-FR"/>
              </w:rPr>
            </w:pPr>
            <w:r w:rsidRPr="00C91ABC">
              <w:rPr>
                <w:rFonts w:ascii="Times New Roman" w:eastAsia="Times New Roman" w:hAnsi="Times New Roman" w:cs="Times New Roman"/>
                <w:bCs/>
                <w:color w:val="000000"/>
                <w:sz w:val="20"/>
                <w:szCs w:val="20"/>
                <w:lang w:eastAsia="fr-FR"/>
              </w:rPr>
              <w:t>BITA</w:t>
            </w:r>
          </w:p>
        </w:tc>
        <w:tc>
          <w:tcPr>
            <w:tcW w:w="1701" w:type="dxa"/>
            <w:tcBorders>
              <w:top w:val="nil"/>
              <w:left w:val="nil"/>
              <w:bottom w:val="nil"/>
              <w:right w:val="nil"/>
            </w:tcBorders>
            <w:noWrap/>
            <w:vAlign w:val="center"/>
            <w:hideMark/>
          </w:tcPr>
          <w:p w14:paraId="154D985D"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56.53 ± 7.81</w:t>
            </w:r>
            <w:r w:rsidRPr="00C91ABC">
              <w:rPr>
                <w:rFonts w:ascii="Times New Roman" w:eastAsia="Times New Roman" w:hAnsi="Times New Roman" w:cs="Times New Roman"/>
                <w:color w:val="000000"/>
                <w:sz w:val="20"/>
                <w:szCs w:val="20"/>
                <w:vertAlign w:val="superscript"/>
                <w:lang w:eastAsia="fr-FR"/>
              </w:rPr>
              <w:t>ab</w:t>
            </w:r>
          </w:p>
        </w:tc>
        <w:tc>
          <w:tcPr>
            <w:tcW w:w="1843" w:type="dxa"/>
            <w:tcBorders>
              <w:top w:val="nil"/>
              <w:left w:val="nil"/>
              <w:bottom w:val="nil"/>
              <w:right w:val="nil"/>
            </w:tcBorders>
            <w:noWrap/>
            <w:vAlign w:val="center"/>
            <w:hideMark/>
          </w:tcPr>
          <w:p w14:paraId="5CDAD27E"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153.86 ± 23.95</w:t>
            </w:r>
            <w:r w:rsidRPr="00C91ABC">
              <w:rPr>
                <w:rFonts w:ascii="Times New Roman" w:eastAsia="Times New Roman" w:hAnsi="Times New Roman" w:cs="Times New Roman"/>
                <w:color w:val="000000"/>
                <w:sz w:val="20"/>
                <w:szCs w:val="20"/>
                <w:vertAlign w:val="superscript"/>
                <w:lang w:eastAsia="fr-FR"/>
              </w:rPr>
              <w:t>a</w:t>
            </w:r>
          </w:p>
        </w:tc>
        <w:tc>
          <w:tcPr>
            <w:tcW w:w="1701" w:type="dxa"/>
            <w:tcBorders>
              <w:top w:val="nil"/>
              <w:left w:val="nil"/>
              <w:bottom w:val="nil"/>
              <w:right w:val="nil"/>
            </w:tcBorders>
            <w:noWrap/>
            <w:vAlign w:val="center"/>
            <w:hideMark/>
          </w:tcPr>
          <w:p w14:paraId="51CA1A24"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14.27 ± 0.86</w:t>
            </w:r>
            <w:r w:rsidRPr="00C91ABC">
              <w:rPr>
                <w:rFonts w:ascii="Times New Roman" w:eastAsia="Times New Roman" w:hAnsi="Times New Roman" w:cs="Times New Roman"/>
                <w:color w:val="000000"/>
                <w:sz w:val="20"/>
                <w:szCs w:val="20"/>
                <w:vertAlign w:val="superscript"/>
                <w:lang w:eastAsia="fr-FR"/>
              </w:rPr>
              <w:t>ab</w:t>
            </w:r>
          </w:p>
        </w:tc>
        <w:tc>
          <w:tcPr>
            <w:tcW w:w="1701" w:type="dxa"/>
            <w:tcBorders>
              <w:top w:val="nil"/>
              <w:left w:val="nil"/>
              <w:bottom w:val="nil"/>
              <w:right w:val="nil"/>
            </w:tcBorders>
            <w:noWrap/>
            <w:vAlign w:val="center"/>
            <w:hideMark/>
          </w:tcPr>
          <w:p w14:paraId="5159C645"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30.33 ± 1.67</w:t>
            </w:r>
            <w:r w:rsidRPr="00C91ABC">
              <w:rPr>
                <w:rFonts w:ascii="Times New Roman" w:eastAsia="Times New Roman" w:hAnsi="Times New Roman" w:cs="Times New Roman"/>
                <w:color w:val="000000"/>
                <w:sz w:val="20"/>
                <w:szCs w:val="20"/>
                <w:vertAlign w:val="superscript"/>
                <w:lang w:eastAsia="fr-FR"/>
              </w:rPr>
              <w:t>a</w:t>
            </w:r>
          </w:p>
        </w:tc>
      </w:tr>
      <w:tr w:rsidR="00625CE8" w:rsidRPr="00C91ABC" w14:paraId="6BD2A3B0" w14:textId="77777777" w:rsidTr="00625CE8">
        <w:trPr>
          <w:trHeight w:val="194"/>
          <w:jc w:val="center"/>
        </w:trPr>
        <w:tc>
          <w:tcPr>
            <w:tcW w:w="1418" w:type="dxa"/>
            <w:tcBorders>
              <w:top w:val="nil"/>
              <w:left w:val="nil"/>
              <w:bottom w:val="nil"/>
              <w:right w:val="nil"/>
            </w:tcBorders>
            <w:noWrap/>
            <w:vAlign w:val="center"/>
            <w:hideMark/>
          </w:tcPr>
          <w:p w14:paraId="4796D739" w14:textId="77777777" w:rsidR="00625CE8" w:rsidRPr="00C91ABC" w:rsidRDefault="00625CE8" w:rsidP="00003B82">
            <w:pPr>
              <w:spacing w:after="0" w:line="240" w:lineRule="auto"/>
              <w:rPr>
                <w:rFonts w:ascii="Times New Roman" w:eastAsia="Times New Roman" w:hAnsi="Times New Roman" w:cs="Times New Roman"/>
                <w:bCs/>
                <w:color w:val="000000"/>
                <w:sz w:val="20"/>
                <w:szCs w:val="20"/>
                <w:lang w:eastAsia="fr-FR"/>
              </w:rPr>
            </w:pPr>
            <w:r w:rsidRPr="00C91ABC">
              <w:rPr>
                <w:rFonts w:ascii="Times New Roman" w:eastAsia="Times New Roman" w:hAnsi="Times New Roman" w:cs="Times New Roman"/>
                <w:bCs/>
                <w:color w:val="000000"/>
                <w:sz w:val="20"/>
                <w:szCs w:val="20"/>
                <w:lang w:eastAsia="fr-FR"/>
              </w:rPr>
              <w:t>CAN</w:t>
            </w:r>
          </w:p>
        </w:tc>
        <w:tc>
          <w:tcPr>
            <w:tcW w:w="1701" w:type="dxa"/>
            <w:tcBorders>
              <w:top w:val="nil"/>
              <w:left w:val="nil"/>
              <w:bottom w:val="nil"/>
              <w:right w:val="nil"/>
            </w:tcBorders>
            <w:noWrap/>
            <w:vAlign w:val="center"/>
            <w:hideMark/>
          </w:tcPr>
          <w:p w14:paraId="00CB9222"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52.07 ± 7.52</w:t>
            </w:r>
            <w:r w:rsidRPr="00C91ABC">
              <w:rPr>
                <w:rFonts w:ascii="Times New Roman" w:eastAsia="Times New Roman" w:hAnsi="Times New Roman" w:cs="Times New Roman"/>
                <w:color w:val="000000"/>
                <w:sz w:val="20"/>
                <w:szCs w:val="20"/>
                <w:vertAlign w:val="superscript"/>
                <w:lang w:eastAsia="fr-FR"/>
              </w:rPr>
              <w:t>abc</w:t>
            </w:r>
          </w:p>
        </w:tc>
        <w:tc>
          <w:tcPr>
            <w:tcW w:w="1843" w:type="dxa"/>
            <w:tcBorders>
              <w:top w:val="nil"/>
              <w:left w:val="nil"/>
              <w:bottom w:val="nil"/>
              <w:right w:val="nil"/>
            </w:tcBorders>
            <w:noWrap/>
            <w:vAlign w:val="center"/>
            <w:hideMark/>
          </w:tcPr>
          <w:p w14:paraId="1CB1CF76"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123.35 ± 23.03</w:t>
            </w:r>
            <w:r w:rsidRPr="00C91ABC">
              <w:rPr>
                <w:rFonts w:ascii="Times New Roman" w:eastAsia="Times New Roman" w:hAnsi="Times New Roman" w:cs="Times New Roman"/>
                <w:color w:val="000000"/>
                <w:sz w:val="20"/>
                <w:szCs w:val="20"/>
                <w:vertAlign w:val="superscript"/>
                <w:lang w:eastAsia="fr-FR"/>
              </w:rPr>
              <w:t>ab</w:t>
            </w:r>
          </w:p>
        </w:tc>
        <w:tc>
          <w:tcPr>
            <w:tcW w:w="1701" w:type="dxa"/>
            <w:tcBorders>
              <w:top w:val="nil"/>
              <w:left w:val="nil"/>
              <w:bottom w:val="nil"/>
              <w:right w:val="nil"/>
            </w:tcBorders>
            <w:noWrap/>
            <w:vAlign w:val="center"/>
            <w:hideMark/>
          </w:tcPr>
          <w:p w14:paraId="6C70A2AE"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15.13 ± 0.83</w:t>
            </w:r>
            <w:r w:rsidRPr="00C91ABC">
              <w:rPr>
                <w:rFonts w:ascii="Times New Roman" w:eastAsia="Times New Roman" w:hAnsi="Times New Roman" w:cs="Times New Roman"/>
                <w:color w:val="000000"/>
                <w:sz w:val="20"/>
                <w:szCs w:val="20"/>
                <w:vertAlign w:val="superscript"/>
                <w:lang w:eastAsia="fr-FR"/>
              </w:rPr>
              <w:t>ab</w:t>
            </w:r>
          </w:p>
        </w:tc>
        <w:tc>
          <w:tcPr>
            <w:tcW w:w="1701" w:type="dxa"/>
            <w:tcBorders>
              <w:top w:val="nil"/>
              <w:left w:val="nil"/>
              <w:bottom w:val="nil"/>
              <w:right w:val="nil"/>
            </w:tcBorders>
            <w:noWrap/>
            <w:vAlign w:val="center"/>
            <w:hideMark/>
          </w:tcPr>
          <w:p w14:paraId="381DD71F"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31.01 ± 1.61</w:t>
            </w:r>
            <w:r w:rsidRPr="00C91ABC">
              <w:rPr>
                <w:rFonts w:ascii="Times New Roman" w:eastAsia="Times New Roman" w:hAnsi="Times New Roman" w:cs="Times New Roman"/>
                <w:color w:val="000000"/>
                <w:sz w:val="20"/>
                <w:szCs w:val="20"/>
                <w:vertAlign w:val="superscript"/>
                <w:lang w:eastAsia="fr-FR"/>
              </w:rPr>
              <w:t>a</w:t>
            </w:r>
          </w:p>
        </w:tc>
      </w:tr>
      <w:tr w:rsidR="00625CE8" w:rsidRPr="00C91ABC" w14:paraId="2FBCF74B" w14:textId="77777777" w:rsidTr="00625CE8">
        <w:trPr>
          <w:trHeight w:val="194"/>
          <w:jc w:val="center"/>
        </w:trPr>
        <w:tc>
          <w:tcPr>
            <w:tcW w:w="1418" w:type="dxa"/>
            <w:tcBorders>
              <w:top w:val="nil"/>
              <w:left w:val="nil"/>
              <w:bottom w:val="nil"/>
              <w:right w:val="nil"/>
            </w:tcBorders>
            <w:noWrap/>
            <w:vAlign w:val="center"/>
            <w:hideMark/>
          </w:tcPr>
          <w:p w14:paraId="0ADE9891" w14:textId="77777777" w:rsidR="00625CE8" w:rsidRPr="00C91ABC" w:rsidRDefault="00625CE8" w:rsidP="00003B82">
            <w:pPr>
              <w:spacing w:after="0" w:line="240" w:lineRule="auto"/>
              <w:rPr>
                <w:rFonts w:ascii="Times New Roman" w:eastAsia="Times New Roman" w:hAnsi="Times New Roman" w:cs="Times New Roman"/>
                <w:bCs/>
                <w:color w:val="000000"/>
                <w:sz w:val="20"/>
                <w:szCs w:val="20"/>
                <w:lang w:eastAsia="fr-FR"/>
              </w:rPr>
            </w:pPr>
            <w:r w:rsidRPr="00C91ABC">
              <w:rPr>
                <w:rFonts w:ascii="Times New Roman" w:eastAsia="Times New Roman" w:hAnsi="Times New Roman" w:cs="Times New Roman"/>
                <w:bCs/>
                <w:color w:val="000000"/>
                <w:sz w:val="20"/>
                <w:szCs w:val="20"/>
                <w:lang w:eastAsia="fr-FR"/>
              </w:rPr>
              <w:t>CAN+S</w:t>
            </w:r>
          </w:p>
        </w:tc>
        <w:tc>
          <w:tcPr>
            <w:tcW w:w="1701" w:type="dxa"/>
            <w:tcBorders>
              <w:top w:val="nil"/>
              <w:left w:val="nil"/>
              <w:bottom w:val="nil"/>
              <w:right w:val="nil"/>
            </w:tcBorders>
            <w:noWrap/>
            <w:vAlign w:val="center"/>
            <w:hideMark/>
          </w:tcPr>
          <w:p w14:paraId="188FAF72"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43.63 ± 8.48</w:t>
            </w:r>
            <w:r w:rsidRPr="00C91ABC">
              <w:rPr>
                <w:rFonts w:ascii="Times New Roman" w:eastAsia="Times New Roman" w:hAnsi="Times New Roman" w:cs="Times New Roman"/>
                <w:color w:val="000000"/>
                <w:sz w:val="20"/>
                <w:szCs w:val="20"/>
                <w:vertAlign w:val="superscript"/>
                <w:lang w:eastAsia="fr-FR"/>
              </w:rPr>
              <w:t>bc</w:t>
            </w:r>
          </w:p>
        </w:tc>
        <w:tc>
          <w:tcPr>
            <w:tcW w:w="1843" w:type="dxa"/>
            <w:tcBorders>
              <w:top w:val="nil"/>
              <w:left w:val="nil"/>
              <w:bottom w:val="nil"/>
              <w:right w:val="nil"/>
            </w:tcBorders>
            <w:noWrap/>
            <w:vAlign w:val="center"/>
            <w:hideMark/>
          </w:tcPr>
          <w:p w14:paraId="5B4A67CD"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102.04 ± 26.03</w:t>
            </w:r>
            <w:r w:rsidRPr="00C91ABC">
              <w:rPr>
                <w:rFonts w:ascii="Times New Roman" w:eastAsia="Times New Roman" w:hAnsi="Times New Roman" w:cs="Times New Roman"/>
                <w:color w:val="000000"/>
                <w:sz w:val="20"/>
                <w:szCs w:val="20"/>
                <w:vertAlign w:val="superscript"/>
                <w:lang w:eastAsia="fr-FR"/>
              </w:rPr>
              <w:t>ab</w:t>
            </w:r>
          </w:p>
        </w:tc>
        <w:tc>
          <w:tcPr>
            <w:tcW w:w="1701" w:type="dxa"/>
            <w:tcBorders>
              <w:top w:val="nil"/>
              <w:left w:val="nil"/>
              <w:bottom w:val="nil"/>
              <w:right w:val="nil"/>
            </w:tcBorders>
            <w:noWrap/>
            <w:vAlign w:val="center"/>
            <w:hideMark/>
          </w:tcPr>
          <w:p w14:paraId="507D16F0"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15.59 ± 0.94</w:t>
            </w:r>
            <w:r w:rsidRPr="00C91ABC">
              <w:rPr>
                <w:rFonts w:ascii="Times New Roman" w:eastAsia="Times New Roman" w:hAnsi="Times New Roman" w:cs="Times New Roman"/>
                <w:color w:val="000000"/>
                <w:sz w:val="20"/>
                <w:szCs w:val="20"/>
                <w:vertAlign w:val="superscript"/>
                <w:lang w:eastAsia="fr-FR"/>
              </w:rPr>
              <w:t>ab</w:t>
            </w:r>
          </w:p>
        </w:tc>
        <w:tc>
          <w:tcPr>
            <w:tcW w:w="1701" w:type="dxa"/>
            <w:tcBorders>
              <w:top w:val="nil"/>
              <w:left w:val="nil"/>
              <w:bottom w:val="nil"/>
              <w:right w:val="nil"/>
            </w:tcBorders>
            <w:noWrap/>
            <w:vAlign w:val="center"/>
            <w:hideMark/>
          </w:tcPr>
          <w:p w14:paraId="69E5CB81"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34.38 ± 1.82</w:t>
            </w:r>
            <w:r w:rsidRPr="00C91ABC">
              <w:rPr>
                <w:rFonts w:ascii="Times New Roman" w:eastAsia="Times New Roman" w:hAnsi="Times New Roman" w:cs="Times New Roman"/>
                <w:color w:val="000000"/>
                <w:sz w:val="20"/>
                <w:szCs w:val="20"/>
                <w:vertAlign w:val="superscript"/>
                <w:lang w:eastAsia="fr-FR"/>
              </w:rPr>
              <w:t>a</w:t>
            </w:r>
          </w:p>
        </w:tc>
      </w:tr>
      <w:tr w:rsidR="00625CE8" w:rsidRPr="00C91ABC" w14:paraId="5298E2CC" w14:textId="77777777" w:rsidTr="00625CE8">
        <w:trPr>
          <w:trHeight w:val="194"/>
          <w:jc w:val="center"/>
        </w:trPr>
        <w:tc>
          <w:tcPr>
            <w:tcW w:w="1418" w:type="dxa"/>
            <w:tcBorders>
              <w:top w:val="nil"/>
              <w:left w:val="nil"/>
              <w:bottom w:val="nil"/>
              <w:right w:val="nil"/>
            </w:tcBorders>
            <w:noWrap/>
            <w:vAlign w:val="center"/>
            <w:hideMark/>
          </w:tcPr>
          <w:p w14:paraId="7F67D381" w14:textId="77777777" w:rsidR="00625CE8" w:rsidRPr="00C91ABC" w:rsidRDefault="00625CE8" w:rsidP="00003B82">
            <w:pPr>
              <w:spacing w:after="0" w:line="240" w:lineRule="auto"/>
              <w:rPr>
                <w:rFonts w:ascii="Times New Roman" w:eastAsia="Times New Roman" w:hAnsi="Times New Roman" w:cs="Times New Roman"/>
                <w:bCs/>
                <w:color w:val="000000"/>
                <w:sz w:val="20"/>
                <w:szCs w:val="20"/>
                <w:lang w:eastAsia="fr-FR"/>
              </w:rPr>
            </w:pPr>
            <w:r w:rsidRPr="00C91ABC">
              <w:rPr>
                <w:rFonts w:ascii="Times New Roman" w:eastAsia="Times New Roman" w:hAnsi="Times New Roman" w:cs="Times New Roman"/>
                <w:bCs/>
                <w:color w:val="000000"/>
                <w:sz w:val="20"/>
                <w:szCs w:val="20"/>
                <w:lang w:eastAsia="fr-FR"/>
              </w:rPr>
              <w:t>CAN+G</w:t>
            </w:r>
          </w:p>
        </w:tc>
        <w:tc>
          <w:tcPr>
            <w:tcW w:w="1701" w:type="dxa"/>
            <w:tcBorders>
              <w:top w:val="nil"/>
              <w:left w:val="nil"/>
              <w:bottom w:val="nil"/>
              <w:right w:val="nil"/>
            </w:tcBorders>
            <w:noWrap/>
            <w:vAlign w:val="center"/>
            <w:hideMark/>
          </w:tcPr>
          <w:p w14:paraId="4D2A0535"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41.54 ± 8.49</w:t>
            </w:r>
            <w:r w:rsidRPr="00C91ABC">
              <w:rPr>
                <w:rFonts w:ascii="Times New Roman" w:eastAsia="Times New Roman" w:hAnsi="Times New Roman" w:cs="Times New Roman"/>
                <w:color w:val="000000"/>
                <w:sz w:val="20"/>
                <w:szCs w:val="20"/>
                <w:vertAlign w:val="superscript"/>
                <w:lang w:eastAsia="fr-FR"/>
              </w:rPr>
              <w:t>bc</w:t>
            </w:r>
          </w:p>
        </w:tc>
        <w:tc>
          <w:tcPr>
            <w:tcW w:w="1843" w:type="dxa"/>
            <w:tcBorders>
              <w:top w:val="nil"/>
              <w:left w:val="nil"/>
              <w:bottom w:val="nil"/>
              <w:right w:val="nil"/>
            </w:tcBorders>
            <w:noWrap/>
            <w:vAlign w:val="center"/>
            <w:hideMark/>
          </w:tcPr>
          <w:p w14:paraId="60169A25"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101.82 ± 26.03</w:t>
            </w:r>
            <w:r w:rsidRPr="00C91ABC">
              <w:rPr>
                <w:rFonts w:ascii="Times New Roman" w:eastAsia="Times New Roman" w:hAnsi="Times New Roman" w:cs="Times New Roman"/>
                <w:color w:val="000000"/>
                <w:sz w:val="20"/>
                <w:szCs w:val="20"/>
                <w:vertAlign w:val="superscript"/>
                <w:lang w:eastAsia="fr-FR"/>
              </w:rPr>
              <w:t>ab</w:t>
            </w:r>
          </w:p>
        </w:tc>
        <w:tc>
          <w:tcPr>
            <w:tcW w:w="1701" w:type="dxa"/>
            <w:tcBorders>
              <w:top w:val="nil"/>
              <w:left w:val="nil"/>
              <w:bottom w:val="nil"/>
              <w:right w:val="nil"/>
            </w:tcBorders>
            <w:noWrap/>
            <w:vAlign w:val="center"/>
            <w:hideMark/>
          </w:tcPr>
          <w:p w14:paraId="5E2459C0"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15.31 ± 0.94</w:t>
            </w:r>
            <w:r w:rsidRPr="00C91ABC">
              <w:rPr>
                <w:rFonts w:ascii="Times New Roman" w:eastAsia="Times New Roman" w:hAnsi="Times New Roman" w:cs="Times New Roman"/>
                <w:color w:val="000000"/>
                <w:sz w:val="20"/>
                <w:szCs w:val="20"/>
                <w:vertAlign w:val="superscript"/>
                <w:lang w:eastAsia="fr-FR"/>
              </w:rPr>
              <w:t>ab</w:t>
            </w:r>
          </w:p>
        </w:tc>
        <w:tc>
          <w:tcPr>
            <w:tcW w:w="1701" w:type="dxa"/>
            <w:tcBorders>
              <w:top w:val="nil"/>
              <w:left w:val="nil"/>
              <w:bottom w:val="nil"/>
              <w:right w:val="nil"/>
            </w:tcBorders>
            <w:noWrap/>
            <w:vAlign w:val="center"/>
            <w:hideMark/>
          </w:tcPr>
          <w:p w14:paraId="33941290"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29.24 ± 1.82</w:t>
            </w:r>
            <w:r w:rsidRPr="00C91ABC">
              <w:rPr>
                <w:rFonts w:ascii="Times New Roman" w:eastAsia="Times New Roman" w:hAnsi="Times New Roman" w:cs="Times New Roman"/>
                <w:color w:val="000000"/>
                <w:sz w:val="20"/>
                <w:szCs w:val="20"/>
                <w:vertAlign w:val="superscript"/>
                <w:lang w:eastAsia="fr-FR"/>
              </w:rPr>
              <w:t>a</w:t>
            </w:r>
          </w:p>
        </w:tc>
      </w:tr>
      <w:tr w:rsidR="00625CE8" w:rsidRPr="00C91ABC" w14:paraId="008C081D" w14:textId="77777777" w:rsidTr="00625CE8">
        <w:trPr>
          <w:trHeight w:val="194"/>
          <w:jc w:val="center"/>
        </w:trPr>
        <w:tc>
          <w:tcPr>
            <w:tcW w:w="1418" w:type="dxa"/>
            <w:tcBorders>
              <w:top w:val="nil"/>
              <w:left w:val="nil"/>
              <w:bottom w:val="nil"/>
              <w:right w:val="nil"/>
            </w:tcBorders>
            <w:noWrap/>
            <w:vAlign w:val="center"/>
            <w:hideMark/>
          </w:tcPr>
          <w:p w14:paraId="4E4186B2" w14:textId="77777777" w:rsidR="00625CE8" w:rsidRPr="00C91ABC" w:rsidRDefault="00625CE8" w:rsidP="00003B82">
            <w:pPr>
              <w:spacing w:after="0" w:line="240" w:lineRule="auto"/>
              <w:rPr>
                <w:rFonts w:ascii="Times New Roman" w:eastAsia="Times New Roman" w:hAnsi="Times New Roman" w:cs="Times New Roman"/>
                <w:bCs/>
                <w:color w:val="000000"/>
                <w:sz w:val="20"/>
                <w:szCs w:val="20"/>
                <w:lang w:eastAsia="fr-FR"/>
              </w:rPr>
            </w:pPr>
            <w:r w:rsidRPr="00C91ABC">
              <w:rPr>
                <w:rFonts w:ascii="Times New Roman" w:eastAsia="Times New Roman" w:hAnsi="Times New Roman" w:cs="Times New Roman"/>
                <w:bCs/>
                <w:color w:val="000000"/>
                <w:sz w:val="20"/>
                <w:szCs w:val="20"/>
                <w:lang w:eastAsia="fr-FR"/>
              </w:rPr>
              <w:t>CAN+CB</w:t>
            </w:r>
          </w:p>
        </w:tc>
        <w:tc>
          <w:tcPr>
            <w:tcW w:w="1701" w:type="dxa"/>
            <w:tcBorders>
              <w:top w:val="nil"/>
              <w:left w:val="nil"/>
              <w:bottom w:val="nil"/>
              <w:right w:val="nil"/>
            </w:tcBorders>
            <w:noWrap/>
            <w:vAlign w:val="center"/>
            <w:hideMark/>
          </w:tcPr>
          <w:p w14:paraId="42D94BA8"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22.12 ± 7.52</w:t>
            </w:r>
            <w:r w:rsidRPr="00C91ABC">
              <w:rPr>
                <w:rFonts w:ascii="Times New Roman" w:eastAsia="Times New Roman" w:hAnsi="Times New Roman" w:cs="Times New Roman"/>
                <w:color w:val="000000"/>
                <w:sz w:val="20"/>
                <w:szCs w:val="20"/>
                <w:vertAlign w:val="superscript"/>
                <w:lang w:eastAsia="fr-FR"/>
              </w:rPr>
              <w:t>c</w:t>
            </w:r>
          </w:p>
        </w:tc>
        <w:tc>
          <w:tcPr>
            <w:tcW w:w="1843" w:type="dxa"/>
            <w:tcBorders>
              <w:top w:val="nil"/>
              <w:left w:val="nil"/>
              <w:bottom w:val="nil"/>
              <w:right w:val="nil"/>
            </w:tcBorders>
            <w:noWrap/>
            <w:vAlign w:val="center"/>
            <w:hideMark/>
          </w:tcPr>
          <w:p w14:paraId="25384293"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41.09 ± 23.08</w:t>
            </w:r>
            <w:r w:rsidRPr="00C91ABC">
              <w:rPr>
                <w:rFonts w:ascii="Times New Roman" w:eastAsia="Times New Roman" w:hAnsi="Times New Roman" w:cs="Times New Roman"/>
                <w:color w:val="000000"/>
                <w:sz w:val="20"/>
                <w:szCs w:val="20"/>
                <w:vertAlign w:val="superscript"/>
                <w:lang w:eastAsia="fr-FR"/>
              </w:rPr>
              <w:t>b</w:t>
            </w:r>
          </w:p>
        </w:tc>
        <w:tc>
          <w:tcPr>
            <w:tcW w:w="1701" w:type="dxa"/>
            <w:tcBorders>
              <w:top w:val="nil"/>
              <w:left w:val="nil"/>
              <w:bottom w:val="nil"/>
              <w:right w:val="nil"/>
            </w:tcBorders>
            <w:noWrap/>
            <w:vAlign w:val="center"/>
            <w:hideMark/>
          </w:tcPr>
          <w:p w14:paraId="7A5ED35F"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10.97 ± 0.84</w:t>
            </w:r>
            <w:r w:rsidRPr="00C91ABC">
              <w:rPr>
                <w:rFonts w:ascii="Times New Roman" w:eastAsia="Times New Roman" w:hAnsi="Times New Roman" w:cs="Times New Roman"/>
                <w:color w:val="000000"/>
                <w:sz w:val="20"/>
                <w:szCs w:val="20"/>
                <w:vertAlign w:val="superscript"/>
                <w:lang w:eastAsia="fr-FR"/>
              </w:rPr>
              <w:t>b</w:t>
            </w:r>
          </w:p>
        </w:tc>
        <w:tc>
          <w:tcPr>
            <w:tcW w:w="1701" w:type="dxa"/>
            <w:tcBorders>
              <w:top w:val="nil"/>
              <w:left w:val="nil"/>
              <w:bottom w:val="nil"/>
              <w:right w:val="nil"/>
            </w:tcBorders>
            <w:noWrap/>
            <w:vAlign w:val="center"/>
            <w:hideMark/>
          </w:tcPr>
          <w:p w14:paraId="22DFD8C7"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25.81 ± 1.60</w:t>
            </w:r>
            <w:r w:rsidRPr="00C91ABC">
              <w:rPr>
                <w:rFonts w:ascii="Times New Roman" w:eastAsia="Times New Roman" w:hAnsi="Times New Roman" w:cs="Times New Roman"/>
                <w:color w:val="000000"/>
                <w:sz w:val="20"/>
                <w:szCs w:val="20"/>
                <w:vertAlign w:val="superscript"/>
                <w:lang w:eastAsia="fr-FR"/>
              </w:rPr>
              <w:t>a</w:t>
            </w:r>
          </w:p>
        </w:tc>
      </w:tr>
      <w:tr w:rsidR="00625CE8" w:rsidRPr="00C91ABC" w14:paraId="275657FB" w14:textId="77777777" w:rsidTr="00625CE8">
        <w:trPr>
          <w:trHeight w:val="194"/>
          <w:jc w:val="center"/>
        </w:trPr>
        <w:tc>
          <w:tcPr>
            <w:tcW w:w="1418" w:type="dxa"/>
            <w:tcBorders>
              <w:top w:val="nil"/>
              <w:left w:val="nil"/>
              <w:bottom w:val="nil"/>
              <w:right w:val="nil"/>
            </w:tcBorders>
            <w:noWrap/>
            <w:vAlign w:val="center"/>
            <w:hideMark/>
          </w:tcPr>
          <w:p w14:paraId="171FEE65" w14:textId="77777777" w:rsidR="00625CE8" w:rsidRPr="00C91ABC" w:rsidRDefault="00625CE8" w:rsidP="00003B82">
            <w:pPr>
              <w:spacing w:after="0" w:line="240" w:lineRule="auto"/>
              <w:rPr>
                <w:rFonts w:ascii="Times New Roman" w:eastAsia="Times New Roman" w:hAnsi="Times New Roman" w:cs="Times New Roman"/>
                <w:bCs/>
                <w:color w:val="000000"/>
                <w:sz w:val="20"/>
                <w:szCs w:val="20"/>
                <w:lang w:eastAsia="fr-FR"/>
              </w:rPr>
            </w:pPr>
            <w:r w:rsidRPr="00C91ABC">
              <w:rPr>
                <w:rFonts w:ascii="Times New Roman" w:eastAsia="Times New Roman" w:hAnsi="Times New Roman" w:cs="Times New Roman"/>
                <w:bCs/>
                <w:color w:val="000000"/>
                <w:sz w:val="20"/>
                <w:szCs w:val="20"/>
                <w:lang w:eastAsia="fr-FR"/>
              </w:rPr>
              <w:t>Tri S</w:t>
            </w:r>
          </w:p>
        </w:tc>
        <w:tc>
          <w:tcPr>
            <w:tcW w:w="1701" w:type="dxa"/>
            <w:tcBorders>
              <w:top w:val="nil"/>
              <w:left w:val="nil"/>
              <w:bottom w:val="nil"/>
              <w:right w:val="nil"/>
            </w:tcBorders>
            <w:noWrap/>
            <w:vAlign w:val="center"/>
            <w:hideMark/>
          </w:tcPr>
          <w:p w14:paraId="3F095276"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39.46 ± 7.52</w:t>
            </w:r>
            <w:r w:rsidRPr="00C91ABC">
              <w:rPr>
                <w:rFonts w:ascii="Times New Roman" w:eastAsia="Times New Roman" w:hAnsi="Times New Roman" w:cs="Times New Roman"/>
                <w:color w:val="000000"/>
                <w:sz w:val="20"/>
                <w:szCs w:val="20"/>
                <w:vertAlign w:val="superscript"/>
                <w:lang w:eastAsia="fr-FR"/>
              </w:rPr>
              <w:t>bc</w:t>
            </w:r>
          </w:p>
        </w:tc>
        <w:tc>
          <w:tcPr>
            <w:tcW w:w="1843" w:type="dxa"/>
            <w:tcBorders>
              <w:top w:val="nil"/>
              <w:left w:val="nil"/>
              <w:bottom w:val="nil"/>
              <w:right w:val="nil"/>
            </w:tcBorders>
            <w:noWrap/>
            <w:vAlign w:val="center"/>
            <w:hideMark/>
          </w:tcPr>
          <w:p w14:paraId="63AD5FEE"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80.09 ± 23.08</w:t>
            </w:r>
            <w:r w:rsidRPr="00C91ABC">
              <w:rPr>
                <w:rFonts w:ascii="Times New Roman" w:eastAsia="Times New Roman" w:hAnsi="Times New Roman" w:cs="Times New Roman"/>
                <w:color w:val="000000"/>
                <w:sz w:val="20"/>
                <w:szCs w:val="20"/>
                <w:vertAlign w:val="superscript"/>
                <w:lang w:eastAsia="fr-FR"/>
              </w:rPr>
              <w:t>ab</w:t>
            </w:r>
          </w:p>
        </w:tc>
        <w:tc>
          <w:tcPr>
            <w:tcW w:w="1701" w:type="dxa"/>
            <w:tcBorders>
              <w:top w:val="nil"/>
              <w:left w:val="nil"/>
              <w:bottom w:val="nil"/>
              <w:right w:val="nil"/>
            </w:tcBorders>
            <w:noWrap/>
            <w:vAlign w:val="center"/>
            <w:hideMark/>
          </w:tcPr>
          <w:p w14:paraId="0D461491"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16.57 ± 0.83</w:t>
            </w:r>
            <w:r w:rsidRPr="00C91ABC">
              <w:rPr>
                <w:rFonts w:ascii="Times New Roman" w:eastAsia="Times New Roman" w:hAnsi="Times New Roman" w:cs="Times New Roman"/>
                <w:color w:val="000000"/>
                <w:sz w:val="20"/>
                <w:szCs w:val="20"/>
                <w:vertAlign w:val="superscript"/>
                <w:lang w:eastAsia="fr-FR"/>
              </w:rPr>
              <w:t>a</w:t>
            </w:r>
          </w:p>
        </w:tc>
        <w:tc>
          <w:tcPr>
            <w:tcW w:w="1701" w:type="dxa"/>
            <w:tcBorders>
              <w:top w:val="nil"/>
              <w:left w:val="nil"/>
              <w:bottom w:val="nil"/>
              <w:right w:val="nil"/>
            </w:tcBorders>
            <w:noWrap/>
            <w:vAlign w:val="center"/>
            <w:hideMark/>
          </w:tcPr>
          <w:p w14:paraId="548FAFC1"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30.92 ± 1.61</w:t>
            </w:r>
            <w:r w:rsidRPr="00C91ABC">
              <w:rPr>
                <w:rFonts w:ascii="Times New Roman" w:eastAsia="Times New Roman" w:hAnsi="Times New Roman" w:cs="Times New Roman"/>
                <w:color w:val="000000"/>
                <w:sz w:val="20"/>
                <w:szCs w:val="20"/>
                <w:vertAlign w:val="superscript"/>
                <w:lang w:eastAsia="fr-FR"/>
              </w:rPr>
              <w:t>a</w:t>
            </w:r>
          </w:p>
        </w:tc>
      </w:tr>
      <w:tr w:rsidR="00625CE8" w:rsidRPr="00C91ABC" w14:paraId="13F77238" w14:textId="77777777" w:rsidTr="00625CE8">
        <w:trPr>
          <w:trHeight w:val="194"/>
          <w:jc w:val="center"/>
        </w:trPr>
        <w:tc>
          <w:tcPr>
            <w:tcW w:w="1418" w:type="dxa"/>
            <w:tcBorders>
              <w:top w:val="single" w:sz="4" w:space="0" w:color="auto"/>
              <w:left w:val="nil"/>
              <w:bottom w:val="single" w:sz="4" w:space="0" w:color="auto"/>
              <w:right w:val="nil"/>
            </w:tcBorders>
            <w:noWrap/>
            <w:vAlign w:val="center"/>
            <w:hideMark/>
          </w:tcPr>
          <w:p w14:paraId="3679FBFF"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P-value</w:t>
            </w:r>
          </w:p>
        </w:tc>
        <w:tc>
          <w:tcPr>
            <w:tcW w:w="1701" w:type="dxa"/>
            <w:tcBorders>
              <w:top w:val="single" w:sz="4" w:space="0" w:color="auto"/>
              <w:left w:val="nil"/>
              <w:bottom w:val="single" w:sz="4" w:space="0" w:color="auto"/>
              <w:right w:val="nil"/>
            </w:tcBorders>
            <w:noWrap/>
            <w:vAlign w:val="center"/>
            <w:hideMark/>
          </w:tcPr>
          <w:p w14:paraId="00C527E1"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 0.0001</w:t>
            </w:r>
          </w:p>
        </w:tc>
        <w:tc>
          <w:tcPr>
            <w:tcW w:w="1843" w:type="dxa"/>
            <w:tcBorders>
              <w:top w:val="single" w:sz="4" w:space="0" w:color="auto"/>
              <w:left w:val="nil"/>
              <w:bottom w:val="single" w:sz="4" w:space="0" w:color="auto"/>
              <w:right w:val="nil"/>
            </w:tcBorders>
            <w:noWrap/>
            <w:vAlign w:val="center"/>
            <w:hideMark/>
          </w:tcPr>
          <w:p w14:paraId="269785BB"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0.001</w:t>
            </w:r>
          </w:p>
        </w:tc>
        <w:tc>
          <w:tcPr>
            <w:tcW w:w="1701" w:type="dxa"/>
            <w:tcBorders>
              <w:top w:val="single" w:sz="4" w:space="0" w:color="auto"/>
              <w:left w:val="nil"/>
              <w:bottom w:val="single" w:sz="4" w:space="0" w:color="auto"/>
              <w:right w:val="nil"/>
            </w:tcBorders>
            <w:noWrap/>
            <w:vAlign w:val="center"/>
            <w:hideMark/>
          </w:tcPr>
          <w:p w14:paraId="1DF22A1C"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 0.0001</w:t>
            </w:r>
          </w:p>
        </w:tc>
        <w:tc>
          <w:tcPr>
            <w:tcW w:w="1701" w:type="dxa"/>
            <w:tcBorders>
              <w:top w:val="single" w:sz="4" w:space="0" w:color="auto"/>
              <w:left w:val="nil"/>
              <w:bottom w:val="single" w:sz="4" w:space="0" w:color="auto"/>
              <w:right w:val="nil"/>
            </w:tcBorders>
            <w:noWrap/>
            <w:vAlign w:val="center"/>
            <w:hideMark/>
          </w:tcPr>
          <w:p w14:paraId="6E46249C"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0.39</w:t>
            </w:r>
          </w:p>
        </w:tc>
      </w:tr>
      <w:tr w:rsidR="00625CE8" w:rsidRPr="00C91ABC" w14:paraId="676C57FB" w14:textId="77777777" w:rsidTr="00625CE8">
        <w:trPr>
          <w:trHeight w:val="194"/>
          <w:jc w:val="center"/>
        </w:trPr>
        <w:tc>
          <w:tcPr>
            <w:tcW w:w="1418" w:type="dxa"/>
            <w:tcBorders>
              <w:top w:val="single" w:sz="4" w:space="0" w:color="auto"/>
              <w:left w:val="nil"/>
              <w:bottom w:val="single" w:sz="4" w:space="0" w:color="auto"/>
              <w:right w:val="nil"/>
            </w:tcBorders>
            <w:noWrap/>
            <w:vAlign w:val="center"/>
          </w:tcPr>
          <w:p w14:paraId="16E57BAE"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S</w:t>
            </w:r>
          </w:p>
        </w:tc>
        <w:tc>
          <w:tcPr>
            <w:tcW w:w="1701" w:type="dxa"/>
            <w:tcBorders>
              <w:top w:val="single" w:sz="4" w:space="0" w:color="auto"/>
              <w:left w:val="nil"/>
              <w:bottom w:val="single" w:sz="4" w:space="0" w:color="auto"/>
              <w:right w:val="nil"/>
            </w:tcBorders>
            <w:noWrap/>
            <w:vAlign w:val="center"/>
          </w:tcPr>
          <w:p w14:paraId="7CC67190"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w:t>
            </w:r>
          </w:p>
        </w:tc>
        <w:tc>
          <w:tcPr>
            <w:tcW w:w="1843" w:type="dxa"/>
            <w:tcBorders>
              <w:top w:val="single" w:sz="4" w:space="0" w:color="auto"/>
              <w:left w:val="nil"/>
              <w:bottom w:val="single" w:sz="4" w:space="0" w:color="auto"/>
              <w:right w:val="nil"/>
            </w:tcBorders>
            <w:noWrap/>
            <w:vAlign w:val="center"/>
          </w:tcPr>
          <w:p w14:paraId="63FF99B8"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w:t>
            </w:r>
          </w:p>
        </w:tc>
        <w:tc>
          <w:tcPr>
            <w:tcW w:w="1701" w:type="dxa"/>
            <w:tcBorders>
              <w:top w:val="single" w:sz="4" w:space="0" w:color="auto"/>
              <w:left w:val="nil"/>
              <w:bottom w:val="single" w:sz="4" w:space="0" w:color="auto"/>
              <w:right w:val="nil"/>
            </w:tcBorders>
            <w:noWrap/>
            <w:vAlign w:val="center"/>
          </w:tcPr>
          <w:p w14:paraId="5FB92426"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w:t>
            </w:r>
          </w:p>
        </w:tc>
        <w:tc>
          <w:tcPr>
            <w:tcW w:w="1701" w:type="dxa"/>
            <w:tcBorders>
              <w:top w:val="single" w:sz="4" w:space="0" w:color="auto"/>
              <w:left w:val="nil"/>
              <w:bottom w:val="single" w:sz="4" w:space="0" w:color="auto"/>
              <w:right w:val="nil"/>
            </w:tcBorders>
            <w:noWrap/>
            <w:vAlign w:val="center"/>
          </w:tcPr>
          <w:p w14:paraId="5CACACC1" w14:textId="77777777" w:rsidR="00625CE8" w:rsidRPr="00C91ABC" w:rsidRDefault="00625CE8" w:rsidP="00003B82">
            <w:pPr>
              <w:spacing w:after="0" w:line="240" w:lineRule="auto"/>
              <w:rPr>
                <w:rFonts w:ascii="Times New Roman" w:eastAsia="Times New Roman" w:hAnsi="Times New Roman" w:cs="Times New Roman"/>
                <w:color w:val="000000"/>
                <w:sz w:val="20"/>
                <w:szCs w:val="20"/>
                <w:lang w:eastAsia="fr-FR"/>
              </w:rPr>
            </w:pPr>
            <w:r w:rsidRPr="00C91ABC">
              <w:rPr>
                <w:rFonts w:ascii="Times New Roman" w:eastAsia="Times New Roman" w:hAnsi="Times New Roman" w:cs="Times New Roman"/>
                <w:color w:val="000000"/>
                <w:sz w:val="20"/>
                <w:szCs w:val="20"/>
                <w:lang w:eastAsia="fr-FR"/>
              </w:rPr>
              <w:t>NS</w:t>
            </w:r>
          </w:p>
        </w:tc>
      </w:tr>
    </w:tbl>
    <w:bookmarkEnd w:id="6"/>
    <w:p w14:paraId="50F7B248" w14:textId="19FE51F1" w:rsidR="00625CE8" w:rsidRDefault="00625CE8" w:rsidP="00C778CD">
      <w:pPr>
        <w:spacing w:after="0" w:line="240" w:lineRule="auto"/>
        <w:jc w:val="both"/>
        <w:rPr>
          <w:rFonts w:ascii="Times New Roman" w:hAnsi="Times New Roman" w:cs="Times New Roman"/>
          <w:bCs/>
          <w:sz w:val="20"/>
          <w:szCs w:val="20"/>
          <w:lang w:val="en-US"/>
        </w:rPr>
      </w:pPr>
      <w:r w:rsidRPr="00625CE8">
        <w:rPr>
          <w:rFonts w:ascii="Times New Roman" w:hAnsi="Times New Roman" w:cs="Times New Roman"/>
          <w:bCs/>
          <w:sz w:val="20"/>
          <w:szCs w:val="20"/>
          <w:lang w:val="en-US"/>
        </w:rPr>
        <w:t>S = significant difference, NTP = average number of tubers per plant, PTP (g) = average tuber weight per plant, DMT = tuber diameter, LMT = average tuber length;</w:t>
      </w:r>
      <w:r>
        <w:rPr>
          <w:rFonts w:ascii="Times New Roman" w:hAnsi="Times New Roman" w:cs="Times New Roman"/>
          <w:bCs/>
          <w:sz w:val="20"/>
          <w:szCs w:val="20"/>
          <w:lang w:val="en-US"/>
        </w:rPr>
        <w:t xml:space="preserve"> </w:t>
      </w:r>
      <w:r w:rsidRPr="00AC5893">
        <w:rPr>
          <w:rFonts w:ascii="Times New Roman" w:hAnsi="Times New Roman" w:cs="Times New Roman"/>
          <w:sz w:val="20"/>
          <w:szCs w:val="20"/>
          <w:lang w:val="en-US"/>
        </w:rPr>
        <w:t>S: significant; NS = not significant; *, **, *** = significant</w:t>
      </w:r>
      <w:r w:rsidR="00656351">
        <w:rPr>
          <w:rFonts w:ascii="Times New Roman" w:hAnsi="Times New Roman" w:cs="Times New Roman"/>
          <w:sz w:val="20"/>
          <w:szCs w:val="20"/>
          <w:lang w:val="en-US"/>
        </w:rPr>
        <w:t>.</w:t>
      </w:r>
    </w:p>
    <w:p w14:paraId="46BF465E" w14:textId="77777777" w:rsidR="00B2474B" w:rsidRPr="00B2474B" w:rsidRDefault="00B2474B" w:rsidP="00664F81">
      <w:pPr>
        <w:pStyle w:val="Heading2"/>
        <w:spacing w:line="480" w:lineRule="auto"/>
        <w:ind w:left="1416"/>
        <w:rPr>
          <w:rFonts w:ascii="Times New Roman" w:hAnsi="Times New Roman" w:cs="Times New Roman"/>
          <w:b/>
          <w:color w:val="auto"/>
          <w:sz w:val="24"/>
          <w:szCs w:val="24"/>
          <w:lang w:val="en-US"/>
        </w:rPr>
      </w:pPr>
      <w:r w:rsidRPr="00B2474B">
        <w:rPr>
          <w:rFonts w:ascii="Times New Roman" w:hAnsi="Times New Roman" w:cs="Times New Roman"/>
          <w:b/>
          <w:color w:val="auto"/>
          <w:sz w:val="24"/>
          <w:szCs w:val="24"/>
          <w:lang w:val="en-US"/>
        </w:rPr>
        <w:lastRenderedPageBreak/>
        <w:t xml:space="preserve">Correlation between measured parameters </w:t>
      </w:r>
    </w:p>
    <w:p w14:paraId="417C19D4" w14:textId="14C3EB91" w:rsidR="00625CE8" w:rsidRPr="00003B82" w:rsidRDefault="00B2474B" w:rsidP="001C17BD">
      <w:pPr>
        <w:spacing w:after="0" w:line="480" w:lineRule="auto"/>
        <w:jc w:val="both"/>
        <w:rPr>
          <w:rFonts w:ascii="Times New Roman" w:hAnsi="Times New Roman" w:cs="Times New Roman"/>
          <w:bCs/>
          <w:sz w:val="24"/>
          <w:szCs w:val="24"/>
          <w:lang w:val="en-US"/>
        </w:rPr>
      </w:pPr>
      <w:r w:rsidRPr="00003B82">
        <w:rPr>
          <w:rFonts w:ascii="Times New Roman" w:hAnsi="Times New Roman" w:cs="Times New Roman"/>
          <w:bCs/>
          <w:sz w:val="24"/>
          <w:szCs w:val="24"/>
          <w:lang w:val="en-US"/>
        </w:rPr>
        <w:t xml:space="preserve">The correlation matrix revealed positive correlations among the parameters studied (Figure </w:t>
      </w:r>
      <w:r w:rsidR="00AA4E0A" w:rsidRPr="00003B82">
        <w:rPr>
          <w:rFonts w:ascii="Times New Roman" w:hAnsi="Times New Roman" w:cs="Times New Roman"/>
          <w:bCs/>
          <w:sz w:val="24"/>
          <w:szCs w:val="24"/>
          <w:lang w:val="en-US"/>
        </w:rPr>
        <w:t>5</w:t>
      </w:r>
      <w:r w:rsidRPr="00003B82">
        <w:rPr>
          <w:rFonts w:ascii="Times New Roman" w:hAnsi="Times New Roman" w:cs="Times New Roman"/>
          <w:bCs/>
          <w:sz w:val="24"/>
          <w:szCs w:val="24"/>
          <w:lang w:val="en-US"/>
        </w:rPr>
        <w:t xml:space="preserve">). The seedling recovery rate is positively correlated with plant speed of growth (r = 0.39) (Figure </w:t>
      </w:r>
      <w:r w:rsidR="00656351">
        <w:rPr>
          <w:rFonts w:ascii="Times New Roman" w:hAnsi="Times New Roman" w:cs="Times New Roman"/>
          <w:bCs/>
          <w:sz w:val="24"/>
          <w:szCs w:val="24"/>
          <w:lang w:val="en-US"/>
        </w:rPr>
        <w:t>5</w:t>
      </w:r>
      <w:r w:rsidRPr="00003B82">
        <w:rPr>
          <w:rFonts w:ascii="Times New Roman" w:hAnsi="Times New Roman" w:cs="Times New Roman"/>
          <w:bCs/>
          <w:sz w:val="24"/>
          <w:szCs w:val="24"/>
          <w:lang w:val="en-US"/>
        </w:rPr>
        <w:t xml:space="preserve">). The average tuber weight per plant is positively correlated with the number of tubers per plant (r = 0.73), to tuber diameter (r = 0.42), and to tuber length (r = 0.41), to the number of tillers (r = 0.28), to growth rate (r = 0.28), and to the seedling survival rate (r = 0.28) (Figure </w:t>
      </w:r>
      <w:r w:rsidR="00AA4E0A" w:rsidRPr="00003B82">
        <w:rPr>
          <w:rFonts w:ascii="Times New Roman" w:hAnsi="Times New Roman" w:cs="Times New Roman"/>
          <w:bCs/>
          <w:sz w:val="24"/>
          <w:szCs w:val="24"/>
          <w:lang w:val="en-US"/>
        </w:rPr>
        <w:t>5</w:t>
      </w:r>
      <w:r w:rsidRPr="00003B82">
        <w:rPr>
          <w:rFonts w:ascii="Times New Roman" w:hAnsi="Times New Roman" w:cs="Times New Roman"/>
          <w:bCs/>
          <w:sz w:val="24"/>
          <w:szCs w:val="24"/>
          <w:lang w:val="en-US"/>
        </w:rPr>
        <w:t>).</w:t>
      </w:r>
    </w:p>
    <w:p w14:paraId="5AB71C7B" w14:textId="3DCC8E99" w:rsidR="00B2474B" w:rsidRDefault="00B2474B" w:rsidP="001C17BD">
      <w:pPr>
        <w:spacing w:after="0" w:line="480" w:lineRule="auto"/>
        <w:ind w:left="2124"/>
        <w:jc w:val="both"/>
        <w:rPr>
          <w:rFonts w:ascii="Times New Roman" w:hAnsi="Times New Roman" w:cs="Times New Roman"/>
          <w:bCs/>
          <w:sz w:val="20"/>
          <w:szCs w:val="20"/>
          <w:lang w:val="en-US"/>
        </w:rPr>
      </w:pPr>
      <w:r>
        <w:rPr>
          <w:rFonts w:ascii="Times New Roman" w:hAnsi="Times New Roman"/>
          <w:noProof/>
          <w:sz w:val="24"/>
          <w:szCs w:val="24"/>
        </w:rPr>
        <w:drawing>
          <wp:inline distT="0" distB="0" distL="0" distR="0" wp14:anchorId="6B875D58" wp14:editId="4DA4E632">
            <wp:extent cx="2302329" cy="2050962"/>
            <wp:effectExtent l="0" t="0" r="3175" b="6985"/>
            <wp:docPr id="196189944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149" r="18032"/>
                    <a:stretch>
                      <a:fillRect/>
                    </a:stretch>
                  </pic:blipFill>
                  <pic:spPr bwMode="auto">
                    <a:xfrm>
                      <a:off x="0" y="0"/>
                      <a:ext cx="2322709" cy="2069117"/>
                    </a:xfrm>
                    <a:prstGeom prst="rect">
                      <a:avLst/>
                    </a:prstGeom>
                    <a:noFill/>
                    <a:ln>
                      <a:noFill/>
                    </a:ln>
                    <a:extLst>
                      <a:ext uri="{53640926-AAD7-44D8-BBD7-CCE9431645EC}">
                        <a14:shadowObscured xmlns:a14="http://schemas.microsoft.com/office/drawing/2010/main"/>
                      </a:ext>
                    </a:extLst>
                  </pic:spPr>
                </pic:pic>
              </a:graphicData>
            </a:graphic>
          </wp:inline>
        </w:drawing>
      </w:r>
    </w:p>
    <w:p w14:paraId="75A53F64" w14:textId="77777777" w:rsidR="00656351" w:rsidRDefault="00B2474B" w:rsidP="001C17BD">
      <w:pPr>
        <w:spacing w:after="0" w:line="480" w:lineRule="auto"/>
        <w:jc w:val="both"/>
        <w:rPr>
          <w:rFonts w:ascii="Times New Roman" w:hAnsi="Times New Roman" w:cs="Times New Roman"/>
          <w:sz w:val="18"/>
          <w:szCs w:val="18"/>
          <w:lang w:val="en-US"/>
        </w:rPr>
      </w:pPr>
      <w:r w:rsidRPr="00656351">
        <w:rPr>
          <w:rFonts w:ascii="Times New Roman" w:hAnsi="Times New Roman" w:cs="Times New Roman"/>
          <w:b/>
          <w:bCs/>
          <w:lang w:val="en-US"/>
        </w:rPr>
        <w:t>Fig</w:t>
      </w:r>
      <w:r w:rsidR="00656351" w:rsidRPr="00656351">
        <w:rPr>
          <w:rFonts w:ascii="Times New Roman" w:hAnsi="Times New Roman" w:cs="Times New Roman"/>
          <w:b/>
          <w:bCs/>
          <w:lang w:val="en-US"/>
        </w:rPr>
        <w:t xml:space="preserve">ure </w:t>
      </w:r>
      <w:r w:rsidR="00AA4E0A" w:rsidRPr="00656351">
        <w:rPr>
          <w:rFonts w:ascii="Times New Roman" w:hAnsi="Times New Roman" w:cs="Times New Roman"/>
          <w:b/>
          <w:bCs/>
          <w:lang w:val="en-US"/>
        </w:rPr>
        <w:t>5</w:t>
      </w:r>
      <w:r w:rsidRPr="00656351">
        <w:rPr>
          <w:rFonts w:ascii="Times New Roman" w:hAnsi="Times New Roman" w:cs="Times New Roman"/>
          <w:b/>
          <w:bCs/>
          <w:lang w:val="en-US"/>
        </w:rPr>
        <w:t>:</w:t>
      </w:r>
      <w:r w:rsidRPr="00656351">
        <w:rPr>
          <w:rFonts w:ascii="Times New Roman" w:hAnsi="Times New Roman" w:cs="Times New Roman"/>
          <w:lang w:val="en-US"/>
        </w:rPr>
        <w:t xml:space="preserve"> Correlation between the measured parameters</w:t>
      </w:r>
      <w:r w:rsidRPr="00D2743C">
        <w:rPr>
          <w:rFonts w:ascii="Times New Roman" w:hAnsi="Times New Roman" w:cs="Times New Roman"/>
          <w:sz w:val="18"/>
          <w:szCs w:val="18"/>
          <w:lang w:val="en-US"/>
        </w:rPr>
        <w:t>.</w:t>
      </w:r>
    </w:p>
    <w:p w14:paraId="788C33A9" w14:textId="02D9B945" w:rsidR="00B2474B" w:rsidRDefault="00B2474B" w:rsidP="001C17BD">
      <w:pPr>
        <w:spacing w:after="0" w:line="480" w:lineRule="auto"/>
        <w:jc w:val="both"/>
        <w:rPr>
          <w:rFonts w:ascii="Times New Roman" w:hAnsi="Times New Roman" w:cs="Times New Roman"/>
          <w:sz w:val="18"/>
          <w:szCs w:val="18"/>
          <w:lang w:val="en-US"/>
        </w:rPr>
      </w:pPr>
      <w:r w:rsidRPr="00D2743C">
        <w:rPr>
          <w:rFonts w:ascii="Times New Roman" w:hAnsi="Times New Roman" w:cs="Times New Roman"/>
          <w:sz w:val="18"/>
          <w:szCs w:val="18"/>
          <w:lang w:val="en-US"/>
        </w:rPr>
        <w:t xml:space="preserve"> SRR = Seedling recovery rate; PSG = Plant speed of growth; NS = Number of Shoots; NTP = Number of tubers per plant, WTP = Weight of tubers per plant; LTP = Length of tubers per plant in mm; ATD = Average tuber diameter</w:t>
      </w:r>
    </w:p>
    <w:p w14:paraId="10A5D5B4" w14:textId="77777777" w:rsidR="00C900F8" w:rsidRDefault="00C900F8" w:rsidP="001C17BD">
      <w:pPr>
        <w:pStyle w:val="Heading1"/>
        <w:spacing w:after="0" w:line="480" w:lineRule="auto"/>
        <w:jc w:val="both"/>
        <w:rPr>
          <w:rFonts w:ascii="Times New Roman" w:hAnsi="Times New Roman" w:cs="Times New Roman"/>
          <w:b/>
          <w:bCs/>
          <w:color w:val="auto"/>
          <w:sz w:val="24"/>
          <w:szCs w:val="24"/>
          <w:lang w:val="en-US"/>
        </w:rPr>
      </w:pPr>
      <w:r w:rsidRPr="00C900F8">
        <w:rPr>
          <w:rFonts w:ascii="Times New Roman" w:hAnsi="Times New Roman" w:cs="Times New Roman"/>
          <w:b/>
          <w:bCs/>
          <w:color w:val="auto"/>
          <w:sz w:val="24"/>
          <w:szCs w:val="24"/>
          <w:lang w:val="en-US"/>
        </w:rPr>
        <w:t xml:space="preserve">Discussion </w:t>
      </w:r>
    </w:p>
    <w:p w14:paraId="12548865" w14:textId="7595A736" w:rsidR="00583374" w:rsidRPr="00656351" w:rsidRDefault="00583374" w:rsidP="001C17BD">
      <w:pPr>
        <w:spacing w:after="0" w:line="480" w:lineRule="auto"/>
        <w:jc w:val="both"/>
        <w:rPr>
          <w:rFonts w:ascii="Times New Roman" w:hAnsi="Times New Roman" w:cs="Times New Roman"/>
          <w:sz w:val="24"/>
          <w:szCs w:val="24"/>
        </w:rPr>
      </w:pPr>
      <w:r w:rsidRPr="00656351">
        <w:rPr>
          <w:rFonts w:ascii="Times New Roman" w:hAnsi="Times New Roman" w:cs="Times New Roman"/>
          <w:sz w:val="24"/>
          <w:szCs w:val="24"/>
          <w:lang w:val="en-US"/>
        </w:rPr>
        <w:t>The results of this study show that seedling conservation methods did not significantly affect the germination rate, although some variability was observed among these methods. However, the relatively high values obtained with the “</w:t>
      </w:r>
      <w:proofErr w:type="spellStart"/>
      <w:r w:rsidRPr="00656351">
        <w:rPr>
          <w:rFonts w:ascii="Times New Roman" w:hAnsi="Times New Roman" w:cs="Times New Roman"/>
          <w:sz w:val="24"/>
          <w:szCs w:val="24"/>
          <w:lang w:val="en-US"/>
        </w:rPr>
        <w:t>bitatoré</w:t>
      </w:r>
      <w:proofErr w:type="spellEnd"/>
      <w:r w:rsidRPr="00656351">
        <w:rPr>
          <w:rFonts w:ascii="Times New Roman" w:hAnsi="Times New Roman" w:cs="Times New Roman"/>
          <w:sz w:val="24"/>
          <w:szCs w:val="24"/>
          <w:lang w:val="en-US"/>
        </w:rPr>
        <w:t xml:space="preserve">” storage method using millet glumes as additives (73.33 ± 8.31) suggest that these additives could improve storage conditions and limit quality losses in the seedlings. Indeed, storage conditions, particularly temperature, relative humidity, and CO₂ concentration, directly influence the physiological state of the seedlings. These parameters affect carbohydrate metabolism, determining the utilization of energy reserves and, consequently, germination capacity </w:t>
      </w:r>
      <w:r w:rsidR="00AF18DC" w:rsidRPr="00656351">
        <w:rPr>
          <w:rFonts w:ascii="Times New Roman" w:hAnsi="Times New Roman" w:cs="Times New Roman"/>
          <w:sz w:val="24"/>
          <w:szCs w:val="24"/>
          <w:lang w:val="en-US"/>
        </w:rPr>
        <w:fldChar w:fldCharType="begin"/>
      </w:r>
      <w:r w:rsidR="00195F83" w:rsidRPr="00656351">
        <w:rPr>
          <w:rFonts w:ascii="Times New Roman" w:hAnsi="Times New Roman" w:cs="Times New Roman"/>
          <w:sz w:val="24"/>
          <w:szCs w:val="24"/>
          <w:lang w:val="en-US"/>
        </w:rPr>
        <w:instrText xml:space="preserve"> ADDIN ZOTERO_ITEM CSL_CITATION {"citationID":"KeFi7wt3","properties":{"unsorted":true,"formattedCitation":"(Di {\\i{}et al.}, 2024b; Fernie et Willmitzer, 2001)","plainCitation":"(Di et al., 2024b; Fernie et Willmitzer, 2001)","noteIndex":0},"citationItems":[{"id":602,"uris":["http://zotero.org/users/14754811/items/FUNR3PUC"],"itemData":{"id":602,"type":"article-journal","abstract":"The post-harvest phase of potato tuber dormancy and sprouting are essential in determining the economic value. The intricate transition from dormancy to active growth is influenced by multiple factors, including environmental factors, carbohydrate metabolism, and hormonal regulation. Well-established environmental factors such as temperature, humidity, and light play pivotal roles in these processes. However, recent research has expanded our understanding to encompass other novel influences such as magnetic fields, cold plasma treatment, and UV-C irradiation. Hormones like abscisic acid (ABA), gibberellic acid (GA), cytokinins (CK), auxin, and ethylene (ETH) act as crucial messengers, while brassinosteroids (BRs) have emerged as key modulators of potato tuber sprouting. In addition, jasmonates (JAs), strigolactones (SLs), and salicylic acid (SA) also regulate potato dormancy and sprouting. This review article delves into the intricate study of potato dormancy and sprouting, emphasizing the impact of environmental conditions, carbohydrate metabolism, and hormonal regulation. It explores how various environmental factors affect dormancy and sprouting processes. Additionally, it highlights the role of carbohydrates in potato tuber sprouting and the intricate hormonal interplay, particularly the role of BRs. This review underscores the complexity of these interactions and their importance in optimizing potato dormancy and sprouting for agricultural practices.","container-title":"International Journal of Molecular Sciences","DOI":"10.3390/ijms25105078","ISSN":"1422-0067","issue":"10","language":"en","license":"http://creativecommons.org/licenses/by/3.0/","note":"number: 10","page":"5078","publisher":"Multidisciplinary Digital Publishing Institute","source":"www.mdpi.com","title":"Advances in the Modulation of Potato Tuber Dormancy and Sprouting","volume":"25","author":[{"family":"Di","given":"Xueni"},{"family":"Wang","given":"Qiang"},{"family":"Zhang","given":"Feng"},{"family":"Feng","given":"Haojie"},{"family":"Wang","given":"Xiyao"},{"family":"Cai","given":"Chengcheng"}],"issued":{"date-parts":[["2024",1]]}}},{"id":32,"uris":["http://zotero.org/users/14754811/items/MU833BZ2"],"itemData":{"id":32,"type":"article-journal","abstract":"In the present climate of functional elucidation of entire genomes by technologies comprising mass sequencing, insertional mutagenesis, and RNA expression","language":"fr","source":"academic.oup.com","title":"Molecular and Biochemical Triggers of Potato Tuber Development","URL":"https://dx.doi.org/10.1104/pp.010764","author":[{"family":"Fernie","given":"Alisdair R."},{"family":"Willmitzer","given":"Lothar"}],"accessed":{"date-parts":[["2026",3,14]]},"issued":{"date-parts":[["2001"]]}}}],"schema":"https://github.com/citation-style-language/schema/raw/master/csl-citation.json"} </w:instrText>
      </w:r>
      <w:r w:rsidR="00AF18DC" w:rsidRPr="00656351">
        <w:rPr>
          <w:rFonts w:ascii="Times New Roman" w:hAnsi="Times New Roman" w:cs="Times New Roman"/>
          <w:sz w:val="24"/>
          <w:szCs w:val="24"/>
          <w:lang w:val="en-US"/>
        </w:rPr>
        <w:fldChar w:fldCharType="separate"/>
      </w:r>
      <w:r w:rsidR="00195F83" w:rsidRPr="00656351">
        <w:rPr>
          <w:rFonts w:ascii="Times New Roman" w:hAnsi="Times New Roman" w:cs="Times New Roman"/>
          <w:kern w:val="0"/>
          <w:sz w:val="24"/>
        </w:rPr>
        <w:t xml:space="preserve">(Di </w:t>
      </w:r>
      <w:r w:rsidR="00195F83" w:rsidRPr="00656351">
        <w:rPr>
          <w:rFonts w:ascii="Times New Roman" w:hAnsi="Times New Roman" w:cs="Times New Roman"/>
          <w:i/>
          <w:iCs/>
          <w:kern w:val="0"/>
          <w:sz w:val="24"/>
        </w:rPr>
        <w:t>et al.</w:t>
      </w:r>
      <w:r w:rsidR="00195F83" w:rsidRPr="00656351">
        <w:rPr>
          <w:rFonts w:ascii="Times New Roman" w:hAnsi="Times New Roman" w:cs="Times New Roman"/>
          <w:kern w:val="0"/>
          <w:sz w:val="24"/>
        </w:rPr>
        <w:t>, 2024b; Fernie et Willmitzer, 2001)</w:t>
      </w:r>
      <w:r w:rsidR="00AF18DC" w:rsidRPr="00656351">
        <w:rPr>
          <w:rFonts w:ascii="Times New Roman" w:hAnsi="Times New Roman" w:cs="Times New Roman"/>
          <w:sz w:val="24"/>
          <w:szCs w:val="24"/>
          <w:lang w:val="en-US"/>
        </w:rPr>
        <w:fldChar w:fldCharType="end"/>
      </w:r>
      <w:r w:rsidR="0071684A" w:rsidRPr="00656351">
        <w:rPr>
          <w:rFonts w:ascii="Times New Roman" w:hAnsi="Times New Roman" w:cs="Times New Roman"/>
          <w:sz w:val="24"/>
          <w:szCs w:val="24"/>
          <w:lang w:val="en-US"/>
        </w:rPr>
        <w:t>.</w:t>
      </w:r>
      <w:r w:rsidR="0071684A" w:rsidRPr="00656351">
        <w:rPr>
          <w:rFonts w:ascii="Times New Roman" w:hAnsi="Times New Roman" w:cs="Times New Roman"/>
          <w:sz w:val="24"/>
          <w:szCs w:val="24"/>
        </w:rPr>
        <w:t xml:space="preserve"> </w:t>
      </w:r>
      <w:r w:rsidRPr="00656351">
        <w:rPr>
          <w:rFonts w:ascii="Times New Roman" w:hAnsi="Times New Roman" w:cs="Times New Roman"/>
          <w:sz w:val="24"/>
          <w:szCs w:val="24"/>
          <w:lang w:val="en-US"/>
        </w:rPr>
        <w:lastRenderedPageBreak/>
        <w:t>Studies have shown that regulating temperature, humidity, and gas exchange is essential for maintaining seed quality during storage. The use of additives or appropriate materials (plant matter, desiccants, etc.) helps stabilize these parameters by limiting water and air exchange, thereby reducing seed respiration and deterioration.</w:t>
      </w:r>
      <w:r w:rsidR="00AF18DC" w:rsidRPr="00656351">
        <w:rPr>
          <w:rFonts w:ascii="Times New Roman" w:hAnsi="Times New Roman" w:cs="Times New Roman"/>
          <w:sz w:val="24"/>
          <w:szCs w:val="24"/>
          <w:lang w:val="en-US"/>
        </w:rPr>
        <w:fldChar w:fldCharType="begin"/>
      </w:r>
      <w:r w:rsidR="00AF18DC" w:rsidRPr="00656351">
        <w:rPr>
          <w:rFonts w:ascii="Times New Roman" w:hAnsi="Times New Roman" w:cs="Times New Roman"/>
          <w:sz w:val="24"/>
          <w:szCs w:val="24"/>
          <w:lang w:val="en-US"/>
        </w:rPr>
        <w:instrText xml:space="preserve"> ADDIN ZOTERO_ITEM CSL_CITATION {"citationID":"8Lr7vVD9","properties":{"unsorted":false,"formattedCitation":"(Guzzon {\\i{}et al.}, 2024)","plainCitation":"(Guzzon et al., 2024)","noteIndex":0},"citationItems":[{"id":974,"uris":["http://zotero.org/users/14754811/items/C8RSIX4H"],"itemData":{"id":974,"type":"article-journal","abstract":"Seed storage life in tropical areas is shortened by high humidity and temperature and the general inaccessibility to dehumidifying and refrigeration systems, resulting in rapid decreases in seed viability in storage as well as a high incidence of fungal and insect infestations. The dry chain, based on rapid and deep drying of seeds after harvest followed by packaging in moisture-proof containers, has been proposed as an effective method to maintain seed quality during medium-term storage in humid climates, even without refrigeration. In addition, seed drying with zeolite drying beads can be more effective and economical than sun or heated-air drying under these warm, humid conditions. In this paper, we review recent published literature regarding the dry chain, considering different crop species, storage environments and seed traits. In addition, we provide new original data on the application of dry chain methods and their implementation at larger scales in South Asia, Latin America and Pacific Island Countries. The clear conclusion is that the combination of reusable drying beads and waterproof storage containers enables the implementation of the dry chain in tropical climates, enhancing seed viability and quality in storage of many crop species. The dry chain approach can therefore significantly enhance seed security for farmers in many tropical countries. Finally, we propose actions and strategies that could guide further scaling-up implementation of this technology.","container-title":"PeerJ","DOI":"10.7717/peerj.18146","ISSN":"2167-8359","journalAbbreviation":"PeerJ","page":"e18146","PMID":"39403193","PMCID":"PMC11472788","source":"PubMed Central","title":"Applications of dry chain technology to maintain high seed viability in tropical climates","volume":"12","author":[{"family":"Guzzon","given":"Filippo"},{"family":"Costich","given":"Denise E."},{"family":"Afzal","given":"Irfan"},{"family":"Barboza Barquero","given":"Luis"},{"family":"Monge Vargas","given":"Andrés Antonio"},{"family":"Vargas Ramírez","given":"Ester"},{"family":"Bello","given":"Pedro"},{"family":"Dahal","given":"Peetambar"},{"family":"Sánchez Cano","given":"César"},{"family":"Zavala Espinosa","given":"Cristian"},{"family":"Imran","given":"Shakeel"},{"family":"Patolo","given":"Soane"},{"family":"Tukia","given":"Tevita Ngaloafe"},{"family":"Van Asbrouck","given":"Johan"},{"family":"Nabubuniyaka-Young","given":"Elina"},{"family":"Gianella","given":"Maraeva"},{"family":"Bradford","given":"Kent J."}],"issued":{"date-parts":[["2024",10,11]]}}}],"schema":"https://github.com/citation-style-language/schema/raw/master/csl-citation.json"} </w:instrText>
      </w:r>
      <w:r w:rsidR="00AF18DC" w:rsidRPr="00656351">
        <w:rPr>
          <w:rFonts w:ascii="Times New Roman" w:hAnsi="Times New Roman" w:cs="Times New Roman"/>
          <w:sz w:val="24"/>
          <w:szCs w:val="24"/>
          <w:lang w:val="en-US"/>
        </w:rPr>
        <w:fldChar w:fldCharType="separate"/>
      </w:r>
      <w:r w:rsidR="00AF18DC" w:rsidRPr="00656351">
        <w:rPr>
          <w:rFonts w:ascii="Times New Roman" w:hAnsi="Times New Roman" w:cs="Times New Roman"/>
          <w:kern w:val="0"/>
          <w:sz w:val="24"/>
          <w:szCs w:val="24"/>
        </w:rPr>
        <w:t xml:space="preserve">(Guzzon </w:t>
      </w:r>
      <w:r w:rsidR="00AF18DC" w:rsidRPr="00656351">
        <w:rPr>
          <w:rFonts w:ascii="Times New Roman" w:hAnsi="Times New Roman" w:cs="Times New Roman"/>
          <w:i/>
          <w:iCs/>
          <w:kern w:val="0"/>
          <w:sz w:val="24"/>
          <w:szCs w:val="24"/>
        </w:rPr>
        <w:t>et al.</w:t>
      </w:r>
      <w:r w:rsidR="00AF18DC" w:rsidRPr="00656351">
        <w:rPr>
          <w:rFonts w:ascii="Times New Roman" w:hAnsi="Times New Roman" w:cs="Times New Roman"/>
          <w:kern w:val="0"/>
          <w:sz w:val="24"/>
          <w:szCs w:val="24"/>
        </w:rPr>
        <w:t>, 2024)</w:t>
      </w:r>
      <w:r w:rsidR="00AF18DC" w:rsidRPr="00656351">
        <w:rPr>
          <w:rFonts w:ascii="Times New Roman" w:hAnsi="Times New Roman" w:cs="Times New Roman"/>
          <w:sz w:val="24"/>
          <w:szCs w:val="24"/>
          <w:lang w:val="en-US"/>
        </w:rPr>
        <w:fldChar w:fldCharType="end"/>
      </w:r>
      <w:r w:rsidR="0071684A" w:rsidRPr="00656351">
        <w:rPr>
          <w:rFonts w:ascii="Times New Roman" w:hAnsi="Times New Roman" w:cs="Times New Roman"/>
          <w:sz w:val="24"/>
          <w:szCs w:val="24"/>
          <w:lang w:val="en-US"/>
        </w:rPr>
        <w:t xml:space="preserve">. </w:t>
      </w:r>
      <w:r w:rsidRPr="00656351">
        <w:rPr>
          <w:rFonts w:ascii="Times New Roman" w:hAnsi="Times New Roman" w:cs="Times New Roman"/>
          <w:sz w:val="24"/>
          <w:szCs w:val="24"/>
          <w:lang w:val="en-US"/>
        </w:rPr>
        <w:t xml:space="preserve">Furthermore, conservation conditions modulate the expression of genes involved in starch and sucrose metabolism, thereby influencing the availability of the sugars necessary for the resumption of growth </w:t>
      </w:r>
      <w:r w:rsidRPr="00656351">
        <w:rPr>
          <w:rFonts w:ascii="Times New Roman" w:hAnsi="Times New Roman" w:cs="Times New Roman"/>
          <w:sz w:val="24"/>
          <w:szCs w:val="24"/>
        </w:rPr>
        <w:fldChar w:fldCharType="begin"/>
      </w:r>
      <w:r w:rsidRPr="00656351">
        <w:rPr>
          <w:rFonts w:ascii="Times New Roman" w:hAnsi="Times New Roman" w:cs="Times New Roman"/>
          <w:sz w:val="24"/>
          <w:szCs w:val="24"/>
        </w:rPr>
        <w:instrText xml:space="preserve"> ADDIN ZOTERO_ITEM CSL_CITATION {"citationID":"8zpg67Jo","properties":{"unsorted":false,"formattedCitation":"(Sonnewald et Sonnewald, 2014)","plainCitation":"(Sonnewald et Sonnewald, 2014)","noteIndex":0},"citationItems":[{"id":29,"uris":["http://zotero.org/users/14754811/items/SHWWGX3T"],"itemData":{"id":29,"type":"article-journal","abstract":"Following tuber induction, potato tubers undergo a period of dormancy during which visible bud growth is inhibited. The length of the dormancy period is under environmental, physiological and hormonal control. Sucrose availability is one prerequisite for bud break. In the absence of sucrose, no bud break occurs. Thus, sucrose is likely to serve as nutrient and signal molecule at the same time. The mode of sucrose sensing is only vaguely understood, but most likely involves trehalose-6-phosphate and SnRK1 signalling networks. This conclusion is supported by the observation that ectopically manipulation of trehalose-6-phosphate levels influences the length of the dormancy period. Once physiological competence is achieved, sprouting is controlled by the level of phytohormones. Two phytohormones, ABA and ethylene, are supposed to suppress tuber sprouting; however, the exact role of ethylene remains to be elucidated. Cytokinins and gibberellins are required for bud break and sprout growth, respectively. The fifth classical phytohormone, auxin, seems to play a role in vascular development. During the dormancy period, buds are symplastically isolated, which changes during bud break. In parallel to the establishment of symplastic connectivity, vascular tissue develops below the growing bud most likely to support the outgrowing sprout with assimilates mobilised in parenchyma cells. Sprouting leads to major quality losses of stored potato tubers. Therefore, control of tuber sprouting is a major objective in potato breeding. Although comparative transcriptome analysis revealed a large number of genes differentially expressed in growing versus dormant buds, no master-regulator of potato tuber sprouting has been identified so far.","container-title":"Planta","DOI":"10.1007/s00425-013-1968-z","ISSN":"1432-2048","issue":"1","journalAbbreviation":"Planta","language":"en","page":"27-38","source":"Springer Link","title":"Regulation of potato tuber sprouting","volume":"239","author":[{"family":"Sonnewald","given":"Sophia"},{"family":"Sonnewald","given":"Uwe"}],"issued":{"date-parts":[["2014",1,1]]}}}],"schema":"https://github.com/citation-style-language/schema/raw/master/csl-citation.json"} </w:instrText>
      </w:r>
      <w:r w:rsidRPr="00656351">
        <w:rPr>
          <w:rFonts w:ascii="Times New Roman" w:hAnsi="Times New Roman" w:cs="Times New Roman"/>
          <w:sz w:val="24"/>
          <w:szCs w:val="24"/>
        </w:rPr>
        <w:fldChar w:fldCharType="separate"/>
      </w:r>
      <w:r w:rsidRPr="00656351">
        <w:rPr>
          <w:rFonts w:ascii="Times New Roman" w:hAnsi="Times New Roman" w:cs="Times New Roman"/>
          <w:sz w:val="24"/>
          <w:szCs w:val="24"/>
        </w:rPr>
        <w:t>(Sonnewald et Sonnewald, 2014)</w:t>
      </w:r>
      <w:r w:rsidRPr="00656351">
        <w:rPr>
          <w:rFonts w:ascii="Times New Roman" w:hAnsi="Times New Roman" w:cs="Times New Roman"/>
          <w:sz w:val="24"/>
          <w:szCs w:val="24"/>
        </w:rPr>
        <w:fldChar w:fldCharType="end"/>
      </w:r>
      <w:r w:rsidRPr="00656351">
        <w:rPr>
          <w:rFonts w:ascii="Times New Roman" w:hAnsi="Times New Roman" w:cs="Times New Roman"/>
          <w:sz w:val="24"/>
          <w:szCs w:val="24"/>
        </w:rPr>
        <w:t>.</w:t>
      </w:r>
      <w:r w:rsidRPr="00656351">
        <w:rPr>
          <w:rFonts w:ascii="Times New Roman" w:hAnsi="Times New Roman" w:cs="Times New Roman"/>
          <w:sz w:val="24"/>
          <w:szCs w:val="24"/>
          <w:lang w:val="en-US"/>
        </w:rPr>
        <w:t xml:space="preserve">Thus, controlling storage conditions is a key factor in preserving the physiological quality of the tubers and ensuring vigorous germination </w:t>
      </w:r>
      <w:r w:rsidRPr="00656351">
        <w:rPr>
          <w:rFonts w:ascii="Times New Roman" w:hAnsi="Times New Roman" w:cs="Times New Roman"/>
          <w:sz w:val="24"/>
          <w:szCs w:val="24"/>
        </w:rPr>
        <w:fldChar w:fldCharType="begin"/>
      </w:r>
      <w:r w:rsidR="00195F83" w:rsidRPr="00656351">
        <w:rPr>
          <w:rFonts w:ascii="Times New Roman" w:hAnsi="Times New Roman" w:cs="Times New Roman"/>
          <w:sz w:val="24"/>
          <w:szCs w:val="24"/>
        </w:rPr>
        <w:instrText xml:space="preserve"> ADDIN ZOTERO_ITEM CSL_CITATION {"citationID":"WV4ekVGS","properties":{"unsorted":false,"formattedCitation":"(Di {\\i{}et al.}, 2024b)","plainCitation":"(Di et al., 2024b)","noteIndex":0},"citationItems":[{"id":602,"uris":["http://zotero.org/users/14754811/items/FUNR3PUC"],"itemData":{"id":602,"type":"article-journal","abstract":"The post-harvest phase of potato tuber dormancy and sprouting are essential in determining the economic value. The intricate transition from dormancy to active growth is influenced by multiple factors, including environmental factors, carbohydrate metabolism, and hormonal regulation. Well-established environmental factors such as temperature, humidity, and light play pivotal roles in these processes. However, recent research has expanded our understanding to encompass other novel influences such as magnetic fields, cold plasma treatment, and UV-C irradiation. Hormones like abscisic acid (ABA), gibberellic acid (GA), cytokinins (CK), auxin, and ethylene (ETH) act as crucial messengers, while brassinosteroids (BRs) have emerged as key modulators of potato tuber sprouting. In addition, jasmonates (JAs), strigolactones (SLs), and salicylic acid (SA) also regulate potato dormancy and sprouting. This review article delves into the intricate study of potato dormancy and sprouting, emphasizing the impact of environmental conditions, carbohydrate metabolism, and hormonal regulation. It explores how various environmental factors affect dormancy and sprouting processes. Additionally, it highlights the role of carbohydrates in potato tuber sprouting and the intricate hormonal interplay, particularly the role of BRs. This review underscores the complexity of these interactions and their importance in optimizing potato dormancy and sprouting for agricultural practices.","container-title":"International Journal of Molecular Sciences","DOI":"10.3390/ijms25105078","ISSN":"1422-0067","issue":"10","language":"en","license":"http://creativecommons.org/licenses/by/3.0/","note":"number: 10","page":"5078","publisher":"Multidisciplinary Digital Publishing Institute","source":"www.mdpi.com","title":"Advances in the Modulation of Potato Tuber Dormancy and Sprouting","volume":"25","author":[{"family":"Di","given":"Xueni"},{"family":"Wang","given":"Qiang"},{"family":"Zhang","given":"Feng"},{"family":"Feng","given":"Haojie"},{"family":"Wang","given":"Xiyao"},{"family":"Cai","given":"Chengcheng"}],"issued":{"date-parts":[["2024",1]]}}}],"schema":"https://github.com/citation-style-language/schema/raw/master/csl-citation.json"} </w:instrText>
      </w:r>
      <w:r w:rsidRPr="00656351">
        <w:rPr>
          <w:rFonts w:ascii="Times New Roman" w:hAnsi="Times New Roman" w:cs="Times New Roman"/>
          <w:sz w:val="24"/>
          <w:szCs w:val="24"/>
        </w:rPr>
        <w:fldChar w:fldCharType="separate"/>
      </w:r>
      <w:r w:rsidR="00195F83" w:rsidRPr="00656351">
        <w:rPr>
          <w:rFonts w:ascii="Times New Roman" w:hAnsi="Times New Roman" w:cs="Times New Roman"/>
          <w:kern w:val="0"/>
          <w:sz w:val="24"/>
        </w:rPr>
        <w:t xml:space="preserve">(Di </w:t>
      </w:r>
      <w:r w:rsidR="00195F83" w:rsidRPr="00656351">
        <w:rPr>
          <w:rFonts w:ascii="Times New Roman" w:hAnsi="Times New Roman" w:cs="Times New Roman"/>
          <w:i/>
          <w:iCs/>
          <w:kern w:val="0"/>
          <w:sz w:val="24"/>
        </w:rPr>
        <w:t>et al.</w:t>
      </w:r>
      <w:r w:rsidR="00195F83" w:rsidRPr="00656351">
        <w:rPr>
          <w:rFonts w:ascii="Times New Roman" w:hAnsi="Times New Roman" w:cs="Times New Roman"/>
          <w:kern w:val="0"/>
          <w:sz w:val="24"/>
        </w:rPr>
        <w:t>, 2024b)</w:t>
      </w:r>
      <w:r w:rsidRPr="00656351">
        <w:rPr>
          <w:rFonts w:ascii="Times New Roman" w:hAnsi="Times New Roman" w:cs="Times New Roman"/>
          <w:sz w:val="24"/>
          <w:szCs w:val="24"/>
        </w:rPr>
        <w:fldChar w:fldCharType="end"/>
      </w:r>
      <w:r w:rsidRPr="00656351">
        <w:rPr>
          <w:rFonts w:ascii="Times New Roman" w:hAnsi="Times New Roman" w:cs="Times New Roman"/>
          <w:sz w:val="24"/>
          <w:szCs w:val="24"/>
        </w:rPr>
        <w:t>.</w:t>
      </w:r>
    </w:p>
    <w:p w14:paraId="15C624B6" w14:textId="4C667697" w:rsidR="00583374" w:rsidRPr="00656351" w:rsidRDefault="00583374" w:rsidP="001C17BD">
      <w:pPr>
        <w:spacing w:after="0" w:line="480" w:lineRule="auto"/>
        <w:jc w:val="both"/>
        <w:rPr>
          <w:rFonts w:ascii="Times New Roman" w:hAnsi="Times New Roman" w:cs="Times New Roman"/>
          <w:sz w:val="24"/>
          <w:szCs w:val="24"/>
          <w:lang w:val="en-US"/>
        </w:rPr>
      </w:pPr>
      <w:r w:rsidRPr="00656351">
        <w:rPr>
          <w:rFonts w:ascii="Times New Roman" w:hAnsi="Times New Roman" w:cs="Times New Roman"/>
          <w:sz w:val="24"/>
          <w:szCs w:val="24"/>
          <w:lang w:val="en-US"/>
        </w:rPr>
        <w:t>Yield parameters were strongly influenced by storage methods, particularly the number, weight, and diameter of tubers. Furthermore, seedlings from plants stored in the “</w:t>
      </w:r>
      <w:proofErr w:type="spellStart"/>
      <w:r w:rsidRPr="00656351">
        <w:rPr>
          <w:rFonts w:ascii="Times New Roman" w:hAnsi="Times New Roman" w:cs="Times New Roman"/>
          <w:sz w:val="24"/>
          <w:szCs w:val="24"/>
          <w:lang w:val="en-US"/>
        </w:rPr>
        <w:t>bitatoré</w:t>
      </w:r>
      <w:proofErr w:type="spellEnd"/>
      <w:r w:rsidRPr="00656351">
        <w:rPr>
          <w:rFonts w:ascii="Times New Roman" w:hAnsi="Times New Roman" w:cs="Times New Roman"/>
          <w:sz w:val="24"/>
          <w:szCs w:val="24"/>
          <w:lang w:val="en-US"/>
        </w:rPr>
        <w:t>” with or without additives showed better performance in terms of tuber weight production. The significant effect of storage methods on yield parameters underscores the importance of storage conditions in preserving the productive potential of seed tubers. The superior performance observed with “</w:t>
      </w:r>
      <w:proofErr w:type="spellStart"/>
      <w:r w:rsidRPr="00656351">
        <w:rPr>
          <w:rFonts w:ascii="Times New Roman" w:hAnsi="Times New Roman" w:cs="Times New Roman"/>
          <w:sz w:val="24"/>
          <w:szCs w:val="24"/>
          <w:lang w:val="en-US"/>
        </w:rPr>
        <w:t>bitatoré</w:t>
      </w:r>
      <w:proofErr w:type="spellEnd"/>
      <w:r w:rsidRPr="00656351">
        <w:rPr>
          <w:rFonts w:ascii="Times New Roman" w:hAnsi="Times New Roman" w:cs="Times New Roman"/>
          <w:sz w:val="24"/>
          <w:szCs w:val="24"/>
          <w:lang w:val="en-US"/>
        </w:rPr>
        <w:t xml:space="preserve">” storage methods could be explained by better regulation of environmental conditions (humidity, ventilation, temperature), thereby promoting the maintenance of physiological quality and the efficient mobilization of reserves. Indeed, numerous studies have shown that seed storage conditions and duration can impact tuber production </w:t>
      </w:r>
      <w:r w:rsidRPr="00656351">
        <w:rPr>
          <w:rFonts w:ascii="Times New Roman" w:hAnsi="Times New Roman" w:cs="Times New Roman"/>
          <w:sz w:val="24"/>
          <w:szCs w:val="24"/>
        </w:rPr>
        <w:fldChar w:fldCharType="begin"/>
      </w:r>
      <w:r w:rsidRPr="00656351">
        <w:rPr>
          <w:rFonts w:ascii="Times New Roman" w:hAnsi="Times New Roman" w:cs="Times New Roman"/>
          <w:sz w:val="24"/>
          <w:szCs w:val="24"/>
        </w:rPr>
        <w:instrText xml:space="preserve"> ADDIN ZOTERO_ITEM CSL_CITATION {"citationID":"kZlWqwPR","properties":{"unsorted":false,"formattedCitation":"(Deshi, Obasi et Odiaka, 2021; Gadissa, Kassaye et Abiyu, 2022)","plainCitation":"(Deshi, Obasi et Odiaka, 2021; Gadissa, Kassaye et Abiyu, 2022)","noteIndex":0},"citationItems":[{"id":28,"uris":["http://zotero.org/users/14754811/items/6GBEFWGL"],"itemData":{"id":28,"type":"article-journal","abstract":"This study was carried out in two seasons (2010–2011 and 2012–2013) in Jos, Plateau State, Nigeria to investigate the growth and yield of potato ( Solanum tuberosum L.) seed tubers as affected by storage conditions and storage duration. Five potato varieties (“Nicola,” “Bertita,” “Diamant,” “BR63-18,” and “Roslin-Ruaka”) were stored for three durations (12, 24, and 32 weeks) in three kinds of stores (room temperature store [RTS], diffused light store [DLS], and air-conditioned store [ACS]). The experimental design was a split–split plot in a randomized complete block design with the potato varieties, storage conditions, and storage durations as the main, sub, and sub–sub plots, respectively. All the parameters assessed varied with variety except the plant height. Germination and establishment were significantly higher in ACS than in RTS and DLS. RTS and DLS resulted in more aboveground stems than ACS. Storage in ACS resulted in a significantly higher plant height, leaf number, total number and yield of tubers, and yield of saleable tubers in both seasons. Seed tubers stored for 24 weeks resulted in the highest establishment count and the mean number of aboveground stems in both seasons. Aboveground stems increased from 12 to 24 weeks of storage and declined at 32 weeks. Seed storage for 12 weeks resulted in the highest total number of tubers, whereas 32 weeks had the lowest number of tubers in both seasons. Seed storage for 12 and 32 weeks resulted in the highest yield of tubers in seasons 1 and 2, respectively. In conclusion, potato varieties varied greatly in the rate of physiological aging; hence, every variety required specific storage conditions and duration for optimal growth and yield.","container-title":"Open Agriculture","DOI":"10.1515/opag-2021-0057","ISSN":"2391-9531","issue":"1","language":"en","license":"De Gruyter expressly reserves the right to use all content for commercial text and data mining within the meaning of Section 44b of the German Copyright Act.","page":"779-797","publisher":"De Gruyter Open Access","source":"www.degruyterbrill.com","title":"Growth and yield of potato (Solanum tuberosum L.) as affected by storage conditions and storage duration in Jos, Plateau State, Nigeria","volume":"6","author":[{"family":"Deshi","given":"Kyenpiya E."},{"family":"Obasi","given":"Moses O."},{"family":"Odiaka","given":"Ngozi I."}],"issued":{"date-parts":[["2021",1,1]]}}},{"id":27,"uris":["http://zotero.org/users/14754811/items/GITIUCKE"],"itemData":{"id":27,"type":"article-journal","abstract":"In Ethiopia, faba bean (Vicia faba L.) varieties are important and widely used as a source of food and cash source to large number of subsistence farmers. However, their production and productivity is below the world's average partly because of lack of their sustainable performance in the current scenario of climate change. Therefore, the present study was designed to test the effects of seed storage time and to evaluate the performance of 31 faba bean varieties collected from Holeta, Kulumsa and Sinana agricultural research systems, Ethiopia. The study involved germination test and field experiment that was laid out using randomized complete block design (RCBD) and conducted at multiple test locations. Data were collected on qualitative and quantitative traits and analyzed using SAS version 9.0, and MINITAB® Release 19. Accordingly, most of the varieties showed a promising germination rate regardless of their storage duration suggesting their sustainable performance under suitable storage conditions. Most of the qualitative and quantitative traits showed a wide range of variations revealing their stable performance and better chance for further improvement. Analysis of variance also revealed a highly significant (p &lt; 0.001) variation for several of the traits suggesting maintenance of the original diversity that could be important in further selection breeding. Likewise, high genetic advance coupled with high heritability and genotypic coefficient of variation together with wide range of variations in both PCV and GCV observed in several of the quantitative traits suggest their sustainable performance and significance in further effective selection. Moreover, a promising high yielding varieties such as Dida1, Welki, Hachalu, Ashebeka and Obse have been identified for further use. Clustering grouped the varieties into three clusters implying significant amount of genetic variability among them. Overall, the results generated could be used as a baseline information for improving faba bean production and productivity. However, to exploit more and determine the actual performance of the varieties more markers such as molecular markers (DNA based) are recommended.","container-title":"The Scientific World Journal","DOI":"10.1155/2022/6338939","ISSN":"2356-6140","journalAbbreviation":"ScientificWorldJournal","page":"6338939","PMID":"35571272","PMCID":"PMC9098359","source":"PubMed Central","title":"Assessment of the Effects of Seed Storage Time on Germination Rate and Performance Evaluation of Ethiopian Faba Bean (Vicia faba L.) Varieties for Yield and Related Traits","volume":"2022","author":[{"family":"Gadissa","given":"Fekadu"},{"family":"Kassaye","given":"Zemedkun"},{"family":"Abiyu","given":"Solomon"}],"issued":{"date-parts":[["2022",5,5]]}}}],"schema":"https://github.com/citation-style-language/schema/raw/master/csl-citation.json"} </w:instrText>
      </w:r>
      <w:r w:rsidRPr="00656351">
        <w:rPr>
          <w:rFonts w:ascii="Times New Roman" w:hAnsi="Times New Roman" w:cs="Times New Roman"/>
          <w:sz w:val="24"/>
          <w:szCs w:val="24"/>
        </w:rPr>
        <w:fldChar w:fldCharType="separate"/>
      </w:r>
      <w:r w:rsidRPr="00656351">
        <w:rPr>
          <w:rFonts w:ascii="Times New Roman" w:hAnsi="Times New Roman" w:cs="Times New Roman"/>
          <w:sz w:val="24"/>
          <w:szCs w:val="24"/>
        </w:rPr>
        <w:t>(Deshi, Obasi et Odiaka, 2021; Gadissa, Kassaye et Abiyu, 2022)</w:t>
      </w:r>
      <w:r w:rsidRPr="00656351">
        <w:rPr>
          <w:rFonts w:ascii="Times New Roman" w:hAnsi="Times New Roman" w:cs="Times New Roman"/>
          <w:sz w:val="24"/>
          <w:szCs w:val="24"/>
        </w:rPr>
        <w:fldChar w:fldCharType="end"/>
      </w:r>
      <w:r w:rsidRPr="00656351">
        <w:rPr>
          <w:rFonts w:ascii="Times New Roman" w:hAnsi="Times New Roman" w:cs="Times New Roman"/>
          <w:sz w:val="24"/>
          <w:szCs w:val="24"/>
          <w:lang w:val="en-US"/>
        </w:rPr>
        <w:t>.</w:t>
      </w:r>
    </w:p>
    <w:p w14:paraId="50785809" w14:textId="32BF12BD" w:rsidR="00583374" w:rsidRPr="004377B8" w:rsidRDefault="00583374" w:rsidP="001C17BD">
      <w:pPr>
        <w:spacing w:after="0" w:line="480" w:lineRule="auto"/>
        <w:jc w:val="both"/>
        <w:rPr>
          <w:rFonts w:ascii="Times New Roman" w:hAnsi="Times New Roman" w:cs="Times New Roman"/>
          <w:sz w:val="24"/>
          <w:szCs w:val="24"/>
        </w:rPr>
      </w:pPr>
      <w:r w:rsidRPr="00656351">
        <w:rPr>
          <w:rFonts w:ascii="Times New Roman" w:hAnsi="Times New Roman" w:cs="Times New Roman"/>
          <w:sz w:val="24"/>
          <w:szCs w:val="24"/>
          <w:lang w:val="en-US"/>
        </w:rPr>
        <w:t xml:space="preserve">In fact, proper storage limits deterioration and cellular aging by preserving the integrity of cell membranes and reserve tissues </w:t>
      </w:r>
      <w:r w:rsidRPr="00656351">
        <w:rPr>
          <w:rFonts w:ascii="Times New Roman" w:hAnsi="Times New Roman" w:cs="Times New Roman"/>
          <w:sz w:val="24"/>
          <w:szCs w:val="24"/>
        </w:rPr>
        <w:fldChar w:fldCharType="begin"/>
      </w:r>
      <w:r w:rsidRPr="00656351">
        <w:rPr>
          <w:rFonts w:ascii="Times New Roman" w:hAnsi="Times New Roman" w:cs="Times New Roman"/>
          <w:sz w:val="24"/>
          <w:szCs w:val="24"/>
        </w:rPr>
        <w:instrText xml:space="preserve"> ADDIN ZOTERO_ITEM CSL_CITATION {"citationID":"VigtiVPJ","properties":{"unsorted":true,"formattedCitation":"(Paulikien\\uc0\\u279{} {\\i{}et al.}, 2025; Ranganathan et Groot, 2023)","plainCitation":"(Paulikienė et al., 2025; Ranganathan et Groot, 2023)","noteIndex":0},"citationItems":[{"id":983,"uris":["http://zotero.org/users/14754811/items/ZH9RPEZM"],"itemData":{"id":983,"type":"article-journal","abstract":"Climate change, soil degradation, and the spread of seed-borne pathogens pose serious challenges to global food security and agricultural sustainability. Although chemical seed treatment provides pathogen control, it poses environmental and health risks. This review analyses innovative seed treatment technologies, with particular emphasis on ozonation as an ecologically viable alternative. The mechanisms of action of ozone, its effects on seed germination, reduction of microbial contamination, and crop establishment are discussed. Chemical, physical, and biological treatment methods are comparatively evaluated, analyzing their effectiveness, environmental impact, and application limitations.","container-title":"Agronomy","DOI":"10.3390/agronomy15071689","ISSN":"2073-4395","issue":"7","language":"en","license":"http://creativecommons.org/licenses/by/3.0/","page":"1689","publisher":"Multidisciplinary Digital Publishing Institute","source":"www.mdpi.com","title":"Review—Seed Treatment: Importance, Application, Impact, and Opportunities for Increasing Sustainability","title-short":"Review—Seed Treatment","volume":"15","author":[{"family":"Paulikienė","given":"Simona"},{"family":"Benesevičius","given":"Domas"},{"family":"Benesevičienė","given":"Kristina"},{"family":"Ūksas","given":"Tomas"}],"issued":{"date-parts":[["2025",7]]}}},{"id":987,"uris":["http://zotero.org/users/14754811/items/A7RX7Q3B"],"itemData":{"id":987,"type":"chapter","abstract":"The fundamental deteriorative processes that lead to loss of seed viability contrastingly vary between desiccation insensitive (orthodox) and desiccation sensitive seeds (recalcitrant). Orthodox seeds which undergo maturation drying are bestowed with protective mechanisms which guard the seeds against deterioration. They include the accumulation of antioxidants, non-reducing sugars, protective proteins such as late embryogenesis abundant proteins, heat-shock proteins, lipocalins, hormones and chemical protectants (raffinose family oligosaccharides, flavonoids, lignins, vitamin E). The nuclear DNA is packed denser and chlorophyll is degraded. Besides, the cytoplasm is capable of transitioning between liquid and glassy state depending on the moisture content of the seeds aiding in the maintenance of seed viability potential. In the dry seeds, the glassy state of the cytoplasm ensures the stabilization of cellular components by arresting cell metabolism. However, even with low moisture content and a glassy state of cytoplasm, reactive oxygen species generated due to the presence of oxygen in the storage atmosphere may cause the ageing of seed. As the seed moisture content increases, mitochondrial respiration gets activated, also leading to increased production of reactive oxygen species, owing to inefficient mitochondrial activity. The reactive oxygen species lead to the oxidation of essential molecules such as DNA, RNA, proteins and lipids. Further, mitochondrial membranes also get oxidized, leading to reduced aerobic respiration potential. When the damage is not substantial, orthodox seeds are capable of repairing the molecular damages that accumulate during storage, enabling the seeds to partially overcome the damages and extend their longevity. This includes activation of repair of cell membranes, DNA, RNA, proteins and mitochondria as the seeds imbibe water.","container-title":"Seed Science and Technology: Biology, Production, Quality","DOI":"10.1007/978-981-19-5888-5_5","ISBN":"978-981-19-5888-5","language":"en","page":"91-108","publisher":"Springer Nature","publisher-place":"Singapore","source":"Springer Link","title":"Seed Longevity and Deterioration","URL":"https://doi.org/10.1007/978-981-19-5888-5_5","author":[{"family":"Ranganathan","given":"Umarani"},{"family":"Groot","given":"Steven P. C."}],"editor":[{"family":"Dadlani","given":"Malavika"},{"family":"Yadava","given":"Devendra K."}],"accessed":{"date-parts":[["2026",3,30]]},"issued":{"date-parts":[["2023"]]}}}],"schema":"https://github.com/citation-style-language/schema/raw/master/csl-citation.json"} </w:instrText>
      </w:r>
      <w:r w:rsidRPr="00656351">
        <w:rPr>
          <w:rFonts w:ascii="Times New Roman" w:hAnsi="Times New Roman" w:cs="Times New Roman"/>
          <w:sz w:val="24"/>
          <w:szCs w:val="24"/>
        </w:rPr>
        <w:fldChar w:fldCharType="separate"/>
      </w:r>
      <w:r w:rsidRPr="00656351">
        <w:rPr>
          <w:rFonts w:ascii="Times New Roman" w:hAnsi="Times New Roman" w:cs="Times New Roman"/>
          <w:kern w:val="0"/>
          <w:sz w:val="24"/>
          <w:szCs w:val="24"/>
        </w:rPr>
        <w:t xml:space="preserve">(Paulikienė </w:t>
      </w:r>
      <w:r w:rsidRPr="00656351">
        <w:rPr>
          <w:rFonts w:ascii="Times New Roman" w:hAnsi="Times New Roman" w:cs="Times New Roman"/>
          <w:i/>
          <w:iCs/>
          <w:kern w:val="0"/>
          <w:sz w:val="24"/>
          <w:szCs w:val="24"/>
        </w:rPr>
        <w:t>et al.</w:t>
      </w:r>
      <w:r w:rsidRPr="00656351">
        <w:rPr>
          <w:rFonts w:ascii="Times New Roman" w:hAnsi="Times New Roman" w:cs="Times New Roman"/>
          <w:kern w:val="0"/>
          <w:sz w:val="24"/>
          <w:szCs w:val="24"/>
        </w:rPr>
        <w:t>, 2025; Ranganathan et Groot, 2023)</w:t>
      </w:r>
      <w:r w:rsidRPr="00656351">
        <w:rPr>
          <w:rFonts w:ascii="Times New Roman" w:hAnsi="Times New Roman" w:cs="Times New Roman"/>
          <w:sz w:val="24"/>
          <w:szCs w:val="24"/>
        </w:rPr>
        <w:fldChar w:fldCharType="end"/>
      </w:r>
      <w:r w:rsidRPr="00656351">
        <w:rPr>
          <w:rFonts w:ascii="Times New Roman" w:hAnsi="Times New Roman" w:cs="Times New Roman"/>
          <w:sz w:val="24"/>
          <w:szCs w:val="24"/>
        </w:rPr>
        <w:t>.</w:t>
      </w:r>
      <w:r w:rsidRPr="00656351">
        <w:rPr>
          <w:rFonts w:ascii="Times New Roman" w:hAnsi="Times New Roman" w:cs="Times New Roman"/>
          <w:sz w:val="24"/>
          <w:szCs w:val="24"/>
          <w:lang w:val="en-US"/>
        </w:rPr>
        <w:t xml:space="preserve">It thus ensures vigorous seeds, characterized by rapid and uniform germination, better seedling establishment, and high propagation yield </w:t>
      </w:r>
      <w:proofErr w:type="spellStart"/>
      <w:r w:rsidRPr="00656351">
        <w:rPr>
          <w:rFonts w:ascii="Times New Roman" w:hAnsi="Times New Roman" w:cs="Times New Roman"/>
          <w:sz w:val="24"/>
          <w:szCs w:val="24"/>
        </w:rPr>
        <w:t>yield</w:t>
      </w:r>
      <w:proofErr w:type="spellEnd"/>
      <w:r w:rsidRPr="00656351">
        <w:rPr>
          <w:rFonts w:ascii="Times New Roman" w:hAnsi="Times New Roman" w:cs="Times New Roman"/>
          <w:sz w:val="24"/>
          <w:szCs w:val="24"/>
        </w:rPr>
        <w:t xml:space="preserve"> </w:t>
      </w:r>
      <w:r w:rsidRPr="00656351">
        <w:rPr>
          <w:rFonts w:ascii="Times New Roman" w:hAnsi="Times New Roman" w:cs="Times New Roman"/>
          <w:sz w:val="24"/>
          <w:szCs w:val="24"/>
        </w:rPr>
        <w:fldChar w:fldCharType="begin"/>
      </w:r>
      <w:r w:rsidR="005233A4" w:rsidRPr="00656351">
        <w:rPr>
          <w:rFonts w:ascii="Times New Roman" w:hAnsi="Times New Roman" w:cs="Times New Roman"/>
          <w:sz w:val="24"/>
          <w:szCs w:val="24"/>
        </w:rPr>
        <w:instrText xml:space="preserve"> ADDIN ZOTERO_ITEM CSL_CITATION {"citationID":"EyzyYsLz","properties":{"unsorted":true,"formattedCitation":"(Paulikien\\uc0\\u279{} {\\i{}et al.}, 2025; Ranganathan et Groot, 2023)","plainCitation":"(Paulikienė et al., 2025; Ranganathan et Groot, 2023)","noteIndex":0},"citationItems":[{"id":983,"uris":["http://zotero.org/users/14754811/items/ZH9RPEZM"],"itemData":{"id":983,"type":"article-journal","abstract":"Climate change, soil degradation, and the spread of seed-borne pathogens pose serious challenges to global food security and agricultural sustainability. Although chemical seed treatment provides pathogen control, it poses environmental and health risks. This review analyses innovative seed treatment technologies, with particular emphasis on ozonation as an ecologically viable alternative. The mechanisms of action of ozone, its effects on seed germination, reduction of microbial contamination, and crop establishment are discussed. Chemical, physical, and biological treatment methods are comparatively evaluated, analyzing their effectiveness, environmental impact, and application limitations.","container-title":"Agronomy","DOI":"10.3390/agronomy15071689","ISSN":"2073-4395","issue":"7","language":"en","license":"http://creativecommons.org/licenses/by/3.0/","page":"1689","publisher":"Multidisciplinary Digital Publishing Institute","source":"www.mdpi.com","title":"Review—Seed Treatment: Importance, Application, Impact, and Opportunities for Increasing Sustainability","title-short":"Review—Seed Treatment","volume":"15","author":[{"family":"Paulikienė","given":"Simona"},{"family":"Benesevičius","given":"Domas"},{"family":"Benesevičienė","given":"Kristina"},{"family":"Ūksas","given":"Tomas"}],"issued":{"date-parts":[["2025",7]]}}},{"id":987,"uris":["http://zotero.org/users/14754811/items/A7RX7Q3B"],"itemData":{"id":987,"type":"chapter","abstract":"The fundamental deteriorative processes that lead to loss of seed viability contrastingly vary between desiccation insensitive (orthodox) and desiccation sensitive seeds (recalcitrant). Orthodox seeds which undergo maturation drying are bestowed with protective mechanisms which guard the seeds against deterioration. They include the accumulation of antioxidants, non-reducing sugars, protective proteins such as late embryogenesis abundant proteins, heat-shock proteins, lipocalins, hormones and chemical protectants (raffinose family oligosaccharides, flavonoids, lignins, vitamin E). The nuclear DNA is packed denser and chlorophyll is degraded. Besides, the cytoplasm is capable of transitioning between liquid and glassy state depending on the moisture content of the seeds aiding in the maintenance of seed viability potential. In the dry seeds, the glassy state of the cytoplasm ensures the stabilization of cellular components by arresting cell metabolism. However, even with low moisture content and a glassy state of cytoplasm, reactive oxygen species generated due to the presence of oxygen in the storage atmosphere may cause the ageing of seed. As the seed moisture content increases, mitochondrial respiration gets activated, also leading to increased production of reactive oxygen species, owing to inefficient mitochondrial activity. The reactive oxygen species lead to the oxidation of essential molecules such as DNA, RNA, proteins and lipids. Further, mitochondrial membranes also get oxidized, leading to reduced aerobic respiration potential. When the damage is not substantial, orthodox seeds are capable of repairing the molecular damages that accumulate during storage, enabling the seeds to partially overcome the damages and extend their longevity. This includes activation of repair of cell membranes, DNA, RNA, proteins and mitochondria as the seeds imbibe water.","container-title":"Seed Science and Technology: Biology, Production, Quality","DOI":"10.1007/978-981-19-5888-5_5","ISBN":"978-981-19-5888-5","language":"en","page":"91-108","publisher":"Springer Nature","publisher-place":"Singapore","source":"Springer Link","title":"Seed Longevity and Deterioration","URL":"https://doi.org/10.1007/978-981-19-5888-5_5","author":[{"family":"Ranganathan","given":"Umarani"},{"family":"Groot","given":"Steven P. C."}],"editor":[{"family":"Dadlani","given":"Malavika"},{"family":"Yadava","given":"Devendra K."}],"accessed":{"date-parts":[["2026",3,30]]},"issued":{"date-parts":[["2023"]]}}}],"schema":"https://github.com/citation-style-language/schema/raw/master/csl-citation.json"} </w:instrText>
      </w:r>
      <w:r w:rsidRPr="00656351">
        <w:rPr>
          <w:rFonts w:ascii="Times New Roman" w:hAnsi="Times New Roman" w:cs="Times New Roman"/>
          <w:sz w:val="24"/>
          <w:szCs w:val="24"/>
        </w:rPr>
        <w:fldChar w:fldCharType="separate"/>
      </w:r>
      <w:r w:rsidRPr="00656351">
        <w:rPr>
          <w:rFonts w:ascii="Times New Roman" w:hAnsi="Times New Roman" w:cs="Times New Roman"/>
          <w:kern w:val="0"/>
          <w:sz w:val="24"/>
          <w:szCs w:val="24"/>
        </w:rPr>
        <w:t xml:space="preserve">(Paulikienė </w:t>
      </w:r>
      <w:r w:rsidRPr="00656351">
        <w:rPr>
          <w:rFonts w:ascii="Times New Roman" w:hAnsi="Times New Roman" w:cs="Times New Roman"/>
          <w:i/>
          <w:iCs/>
          <w:kern w:val="0"/>
          <w:sz w:val="24"/>
          <w:szCs w:val="24"/>
        </w:rPr>
        <w:t>et al.</w:t>
      </w:r>
      <w:r w:rsidRPr="00656351">
        <w:rPr>
          <w:rFonts w:ascii="Times New Roman" w:hAnsi="Times New Roman" w:cs="Times New Roman"/>
          <w:kern w:val="0"/>
          <w:sz w:val="24"/>
          <w:szCs w:val="24"/>
        </w:rPr>
        <w:t>, 2025; Ranganathan et Groot, 2023)</w:t>
      </w:r>
      <w:r w:rsidRPr="00656351">
        <w:rPr>
          <w:rFonts w:ascii="Times New Roman" w:hAnsi="Times New Roman" w:cs="Times New Roman"/>
          <w:sz w:val="24"/>
          <w:szCs w:val="24"/>
        </w:rPr>
        <w:fldChar w:fldCharType="end"/>
      </w:r>
      <w:r w:rsidRPr="00656351">
        <w:rPr>
          <w:rFonts w:ascii="Times New Roman" w:hAnsi="Times New Roman" w:cs="Times New Roman"/>
          <w:sz w:val="24"/>
          <w:szCs w:val="24"/>
          <w:lang w:val="en-US"/>
        </w:rPr>
        <w:t xml:space="preserve">. Furthermore, proper moisture management also helps prevent losses due to mold or dehydration, ensuring the maintenance of seed viability and quality </w:t>
      </w:r>
      <w:r w:rsidRPr="00656351">
        <w:rPr>
          <w:rFonts w:ascii="Times New Roman" w:hAnsi="Times New Roman" w:cs="Times New Roman"/>
          <w:sz w:val="24"/>
          <w:szCs w:val="24"/>
        </w:rPr>
        <w:fldChar w:fldCharType="begin"/>
      </w:r>
      <w:r w:rsidRPr="00656351">
        <w:rPr>
          <w:rFonts w:ascii="Times New Roman" w:hAnsi="Times New Roman" w:cs="Times New Roman"/>
          <w:sz w:val="24"/>
          <w:szCs w:val="24"/>
        </w:rPr>
        <w:instrText xml:space="preserve"> ADDIN ZOTERO_ITEM CSL_CITATION {"citationID":"07r4XKAu","properties":{"unsorted":false,"formattedCitation":"(Abamecha, Techane et Adem, 2025)","plainCitation":"(Abamecha, Techane et Adem, 2025)","noteIndex":0},"citationItems":[{"id":989,"uris":["http://zotero.org/users/14754811/items/3EP7WRMY"],"itemData":{"id":989,"type":"article-journal","abstract":"Roots and tubers are essential crops worldwide, face storage challenges in Ethiopia due to perishability and moisture content. This review explores literature on storage methods, their significance, challenges, and opportunities related to Potatoes, Sweet Potatoes, Cassava, Yam, Enset, Taro, Anchote, and Oromo Dinich. These crop producers traditionally use storage methods to reduce losses, facing ongoing technical challenges despite improved techniques. Farmers in Ethiopia and neighboring countries use various storage methods for roots and tubers, including in-house, open-platform, underground, clamp, and barn storage. Additionally, improved techniques like Diffused Light Storage (DLS) and irradiation are increasingly adopted across Africa, including Ethiopia. Researches indicate that storing roots and tubers in sand can greatly extend shelf life. Diffused Light Storage, a cost-effective method using natural light and ventilation, effectively preserves seed tuber quality for 6–8 months, minimizing sprout elongation and aging without major quality loss. In conclusion, to extend the shelf life of different roots and tubers the contribution of traditional and improved storage methods are huge. However, due to limited literature on this topic in Ethiopia, Therefore, the current review highlights different studies conducted in the country on roots and the tubers storage and the significance of employing effective storage methods to address post-harvest issues and maintain product quality.","container-title":"Discover Food","DOI":"10.1007/s44187-025-00587-0","ISSN":"2731-4286","issue":"1","journalAbbreviation":"Discov Food","language":"en","page":"346","source":"Springer Link","title":"Storage solutions for roots and tubers in Ethiopia through traditional and improved methods","volume":"5","author":[{"family":"Abamecha","given":"Nezif"},{"family":"Techane","given":"Tolcha"},{"family":"Adem","given":"Muhammed"}],"issued":{"date-parts":[["2025",10,21]]}}}],"schema":"https://github.com/citation-style-language/schema/raw/master/csl-citation.json"} </w:instrText>
      </w:r>
      <w:r w:rsidRPr="00656351">
        <w:rPr>
          <w:rFonts w:ascii="Times New Roman" w:hAnsi="Times New Roman" w:cs="Times New Roman"/>
          <w:sz w:val="24"/>
          <w:szCs w:val="24"/>
        </w:rPr>
        <w:fldChar w:fldCharType="separate"/>
      </w:r>
      <w:r w:rsidRPr="00656351">
        <w:rPr>
          <w:rFonts w:ascii="Times New Roman" w:hAnsi="Times New Roman" w:cs="Times New Roman"/>
          <w:sz w:val="24"/>
          <w:szCs w:val="24"/>
        </w:rPr>
        <w:t xml:space="preserve">(Abamecha, Techane et </w:t>
      </w:r>
      <w:r w:rsidRPr="00656351">
        <w:rPr>
          <w:rFonts w:ascii="Times New Roman" w:hAnsi="Times New Roman" w:cs="Times New Roman"/>
          <w:sz w:val="24"/>
          <w:szCs w:val="24"/>
        </w:rPr>
        <w:lastRenderedPageBreak/>
        <w:t>Adem, 2025)</w:t>
      </w:r>
      <w:r w:rsidRPr="00656351">
        <w:rPr>
          <w:rFonts w:ascii="Times New Roman" w:hAnsi="Times New Roman" w:cs="Times New Roman"/>
          <w:sz w:val="24"/>
          <w:szCs w:val="24"/>
        </w:rPr>
        <w:fldChar w:fldCharType="end"/>
      </w:r>
      <w:r w:rsidRPr="00656351">
        <w:rPr>
          <w:rFonts w:ascii="Times New Roman" w:hAnsi="Times New Roman" w:cs="Times New Roman"/>
          <w:sz w:val="24"/>
          <w:szCs w:val="24"/>
        </w:rPr>
        <w:t>.</w:t>
      </w:r>
      <w:r w:rsidR="004377B8">
        <w:rPr>
          <w:rFonts w:ascii="Times New Roman" w:hAnsi="Times New Roman" w:cs="Times New Roman"/>
          <w:sz w:val="24"/>
          <w:szCs w:val="24"/>
        </w:rPr>
        <w:t xml:space="preserve"> </w:t>
      </w:r>
      <w:r w:rsidRPr="00656351">
        <w:rPr>
          <w:rFonts w:ascii="Times New Roman" w:hAnsi="Times New Roman" w:cs="Times New Roman"/>
          <w:sz w:val="24"/>
          <w:szCs w:val="24"/>
          <w:lang w:val="en-US"/>
        </w:rPr>
        <w:t xml:space="preserve">The correlation analysis reveals positive relationships among the components of yield (tuber weight, number of tubers, and tuber size). The close link between the number and weight of tubers simply shows that the more tubers a plant produces, the higher the yield </w:t>
      </w:r>
      <w:r w:rsidRPr="00656351">
        <w:rPr>
          <w:rFonts w:ascii="Times New Roman" w:hAnsi="Times New Roman" w:cs="Times New Roman"/>
          <w:bCs/>
          <w:sz w:val="24"/>
          <w:szCs w:val="24"/>
          <w:lang w:val="en-US"/>
        </w:rPr>
        <w:fldChar w:fldCharType="begin"/>
      </w:r>
      <w:r w:rsidRPr="00656351">
        <w:rPr>
          <w:rFonts w:ascii="Times New Roman" w:hAnsi="Times New Roman" w:cs="Times New Roman"/>
          <w:bCs/>
          <w:sz w:val="24"/>
          <w:szCs w:val="24"/>
          <w:lang w:val="en-US"/>
        </w:rPr>
        <w:instrText xml:space="preserve"> ADDIN ZOTERO_ITEM CSL_CITATION {"citationID":"Y5O7jKq3","properties":{"unsorted":false,"formattedCitation":"(Arif {\\i{}et al.}, 2024)","plainCitation":"(Arif et al., 2024)","noteIndex":0},"citationItems":[{"id":998,"uris":["http://zotero.org/users/14754811/items/6WX67V7J"],"itemData":{"id":998,"type":"article-journal","container-title":"Notulae Botanicae Horti Agrobotanici Cluj-Napoca","DOI":"10.15835/nbha52414122","ISSN":"1842-4309","issue":"4","language":"en","page":"14122-14122","source":"www.notulaebotanicae.ro","title":"Impact of different nucleus tuber sizes on growth, yield, and physiology attributes of potato production","volume":"52","author":[{"family":"Arif","given":"Muhammad"},{"family":"Ali","given":"Kazim"},{"family":"Muhammad","given":"Aish"},{"family":"Ali","given":"Haider"},{"family":"Hussain","given":"Iqbal"},{"family":"Safdar","given":"Hassan"},{"family":"Noor","given":"Abdul"},{"family":"Kabir","given":"Rahmat"},{"family":"Ali","given":"Shaukat"},{"family":"Ali","given":"Ghulam M."}],"issued":{"date-parts":[["2024",12,16]]}}}],"schema":"https://github.com/citation-style-language/schema/raw/master/csl-citation.json"} </w:instrText>
      </w:r>
      <w:r w:rsidRPr="00656351">
        <w:rPr>
          <w:rFonts w:ascii="Times New Roman" w:hAnsi="Times New Roman" w:cs="Times New Roman"/>
          <w:bCs/>
          <w:sz w:val="24"/>
          <w:szCs w:val="24"/>
          <w:lang w:val="en-US"/>
        </w:rPr>
        <w:fldChar w:fldCharType="separate"/>
      </w:r>
      <w:r w:rsidRPr="00656351">
        <w:rPr>
          <w:rFonts w:ascii="Times New Roman" w:hAnsi="Times New Roman" w:cs="Times New Roman"/>
          <w:kern w:val="0"/>
          <w:sz w:val="24"/>
          <w:szCs w:val="24"/>
        </w:rPr>
        <w:t xml:space="preserve">(Arif </w:t>
      </w:r>
      <w:r w:rsidRPr="00656351">
        <w:rPr>
          <w:rFonts w:ascii="Times New Roman" w:hAnsi="Times New Roman" w:cs="Times New Roman"/>
          <w:i/>
          <w:iCs/>
          <w:kern w:val="0"/>
          <w:sz w:val="24"/>
          <w:szCs w:val="24"/>
        </w:rPr>
        <w:t>et al.</w:t>
      </w:r>
      <w:r w:rsidRPr="00656351">
        <w:rPr>
          <w:rFonts w:ascii="Times New Roman" w:hAnsi="Times New Roman" w:cs="Times New Roman"/>
          <w:kern w:val="0"/>
          <w:sz w:val="24"/>
          <w:szCs w:val="24"/>
        </w:rPr>
        <w:t>, 2024)</w:t>
      </w:r>
      <w:r w:rsidRPr="00656351">
        <w:rPr>
          <w:rFonts w:ascii="Times New Roman" w:hAnsi="Times New Roman" w:cs="Times New Roman"/>
          <w:bCs/>
          <w:sz w:val="24"/>
          <w:szCs w:val="24"/>
          <w:lang w:val="en-US"/>
        </w:rPr>
        <w:fldChar w:fldCharType="end"/>
      </w:r>
      <w:r w:rsidRPr="00656351">
        <w:rPr>
          <w:rFonts w:ascii="Times New Roman" w:hAnsi="Times New Roman" w:cs="Times New Roman"/>
          <w:bCs/>
          <w:sz w:val="24"/>
          <w:szCs w:val="24"/>
          <w:lang w:val="en-US"/>
        </w:rPr>
        <w:t xml:space="preserve">. </w:t>
      </w:r>
      <w:r w:rsidRPr="00656351">
        <w:rPr>
          <w:rFonts w:ascii="Times New Roman" w:hAnsi="Times New Roman" w:cs="Times New Roman"/>
          <w:sz w:val="24"/>
          <w:szCs w:val="24"/>
          <w:lang w:val="en-US"/>
        </w:rPr>
        <w:t>This makes the number of tubers a key and easily exploitable criterion for selecting the most productive varieties.</w:t>
      </w:r>
      <w:r w:rsidR="004377B8">
        <w:rPr>
          <w:rFonts w:ascii="Times New Roman" w:hAnsi="Times New Roman" w:cs="Times New Roman"/>
          <w:sz w:val="24"/>
          <w:szCs w:val="24"/>
        </w:rPr>
        <w:t xml:space="preserve"> </w:t>
      </w:r>
      <w:r w:rsidRPr="00656351">
        <w:rPr>
          <w:rFonts w:ascii="Times New Roman" w:hAnsi="Times New Roman" w:cs="Times New Roman"/>
          <w:sz w:val="24"/>
          <w:szCs w:val="24"/>
          <w:lang w:val="en-US"/>
        </w:rPr>
        <w:t xml:space="preserve">The yield differences observed among genotypes clearly indicate that genetic factors play a major role. Overall, seedlings from genotypes E165 and E120 performed best, in contrast to those from ‘White’. This superior performance could be explained by more efficient use of reserves and greater plant vigor </w:t>
      </w:r>
      <w:r w:rsidRPr="00656351">
        <w:rPr>
          <w:rFonts w:ascii="Times New Roman" w:hAnsi="Times New Roman" w:cs="Times New Roman"/>
          <w:bCs/>
          <w:sz w:val="24"/>
          <w:szCs w:val="24"/>
          <w:lang w:val="en-US"/>
        </w:rPr>
        <w:fldChar w:fldCharType="begin"/>
      </w:r>
      <w:r w:rsidRPr="00656351">
        <w:rPr>
          <w:rFonts w:ascii="Times New Roman" w:hAnsi="Times New Roman" w:cs="Times New Roman"/>
          <w:bCs/>
          <w:sz w:val="24"/>
          <w:szCs w:val="24"/>
          <w:lang w:val="en-US"/>
        </w:rPr>
        <w:instrText xml:space="preserve"> ADDIN ZOTERO_ITEM CSL_CITATION {"citationID":"CQkQmMin","properties":{"unsorted":false,"formattedCitation":"(Shi {\\i{}et al.}, 2020)","plainCitation":"(Shi et al., 2020)","noteIndex":0},"citationItems":[{"id":991,"uris":["http://zotero.org/users/14754811/items/PXPIWSCK"],"itemData":{"id":991,"type":"article-journal","abstract":"Huanghuazhan (HHZ) and 9,311 are two elite rice cultivars in China. They have achieved high yield through quite different mechanisms. One of the major features that gives high yield capacity to 9,311 is its strong early vigor, i.e., faster establishment of its seedling as well as its better growth in its early stages. To understand the mechanistic basis of early vigor in 9,311, as compared to HHZ the cultivar, we have examined, under controlled environmental conditions, different morphological and physiological traits that may contribute to its early vigor. Our results show that the fresh weight of the seeds, at germination, not only determined the seedling biomass at 10 days after germination (DAG), but was also responsible for ~ 80% of variations in plant biomass between the two cultivars even up to 30 DAG. Furthermore, the 9,311 cultivar had a larger root system, which led to its higher nitrogen uptake capacity. Other noteworthy observations about 9,311 being a better cultivar than HHZ are: (i) Ten out of 15 genes involved in nitrogen metabolism were much more highly expressed in its roots; (ii) it had a higher water uptake rate, promoting better root-to-shoot nitrogen transfer; and (iii) consistent with the above, it had higher leaf photosynthetic rate and stomatal conductance. All of the above identified features explain, to a large extent, why the 9,311, as compared to HHZ, exhibits much more vigorous early growth.","container-title":"Scientific Reports","DOI":"10.1038/s41598-020-71913-y","ISSN":"2045-2322","issue":"1","journalAbbreviation":"Sci Rep","language":"en","license":"2020 The Author(s)","page":"14813","publisher":"Nature Publishing Group","source":"www.nature.com","title":"Morphological and physiological factors contributing to early vigor in the elite rice cultivar 9,311","volume":"10","author":[{"family":"Shi","given":"Zai"},{"family":"Chang","given":"Tian-Gen"},{"family":"Chen","given":"Faming"},{"family":"Zhao","given":"Honglong"},{"family":"Song","given":"Qingfeng"},{"family":"Wang","given":"Mengyao"},{"family":"Wang","given":"Yanjie"},{"family":"Zhou","given":"Zhiwei"},{"family":"Wang","given":"Chongrong"},{"family":"Zhou","given":"Shao-Chuan"},{"family":"Wang","given":"Baoshan"},{"family":"Chen","given":"Genyun"},{"family":"Zhu","given":"Xin-Guang"}],"issued":{"date-parts":[["2020",9,9]]}}}],"schema":"https://github.com/citation-style-language/schema/raw/master/csl-citation.json"} </w:instrText>
      </w:r>
      <w:r w:rsidRPr="00656351">
        <w:rPr>
          <w:rFonts w:ascii="Times New Roman" w:hAnsi="Times New Roman" w:cs="Times New Roman"/>
          <w:bCs/>
          <w:sz w:val="24"/>
          <w:szCs w:val="24"/>
          <w:lang w:val="en-US"/>
        </w:rPr>
        <w:fldChar w:fldCharType="separate"/>
      </w:r>
      <w:r w:rsidRPr="00656351">
        <w:rPr>
          <w:rFonts w:ascii="Times New Roman" w:hAnsi="Times New Roman" w:cs="Times New Roman"/>
          <w:kern w:val="0"/>
          <w:sz w:val="24"/>
          <w:szCs w:val="24"/>
        </w:rPr>
        <w:t xml:space="preserve">(Shi </w:t>
      </w:r>
      <w:r w:rsidRPr="00656351">
        <w:rPr>
          <w:rFonts w:ascii="Times New Roman" w:hAnsi="Times New Roman" w:cs="Times New Roman"/>
          <w:i/>
          <w:iCs/>
          <w:kern w:val="0"/>
          <w:sz w:val="24"/>
          <w:szCs w:val="24"/>
        </w:rPr>
        <w:t>et al.</w:t>
      </w:r>
      <w:r w:rsidRPr="00656351">
        <w:rPr>
          <w:rFonts w:ascii="Times New Roman" w:hAnsi="Times New Roman" w:cs="Times New Roman"/>
          <w:kern w:val="0"/>
          <w:sz w:val="24"/>
          <w:szCs w:val="24"/>
        </w:rPr>
        <w:t>, 2020)</w:t>
      </w:r>
      <w:r w:rsidRPr="00656351">
        <w:rPr>
          <w:rFonts w:ascii="Times New Roman" w:hAnsi="Times New Roman" w:cs="Times New Roman"/>
          <w:bCs/>
          <w:sz w:val="24"/>
          <w:szCs w:val="24"/>
          <w:lang w:val="en-US"/>
        </w:rPr>
        <w:fldChar w:fldCharType="end"/>
      </w:r>
      <w:r w:rsidRPr="00656351">
        <w:rPr>
          <w:rFonts w:ascii="Times New Roman" w:hAnsi="Times New Roman" w:cs="Times New Roman"/>
          <w:bCs/>
          <w:sz w:val="24"/>
          <w:szCs w:val="24"/>
          <w:lang w:val="en-US"/>
        </w:rPr>
        <w:t>.</w:t>
      </w:r>
    </w:p>
    <w:p w14:paraId="728D7150" w14:textId="77777777" w:rsidR="00995928" w:rsidRPr="00066C1B" w:rsidRDefault="00995928" w:rsidP="001C17BD">
      <w:pPr>
        <w:pStyle w:val="Heading1"/>
        <w:spacing w:after="0" w:line="480" w:lineRule="auto"/>
        <w:jc w:val="both"/>
        <w:rPr>
          <w:rFonts w:ascii="Times New Roman" w:hAnsi="Times New Roman" w:cs="Times New Roman"/>
          <w:b/>
          <w:bCs/>
          <w:color w:val="auto"/>
          <w:sz w:val="24"/>
          <w:szCs w:val="24"/>
          <w:lang w:val="en-US"/>
        </w:rPr>
      </w:pPr>
      <w:r w:rsidRPr="00066C1B">
        <w:rPr>
          <w:rFonts w:ascii="Times New Roman" w:hAnsi="Times New Roman" w:cs="Times New Roman"/>
          <w:b/>
          <w:bCs/>
          <w:color w:val="auto"/>
          <w:sz w:val="24"/>
          <w:szCs w:val="24"/>
          <w:lang w:val="en-US"/>
        </w:rPr>
        <w:t xml:space="preserve">Conclusion    </w:t>
      </w:r>
    </w:p>
    <w:p w14:paraId="3740EE64" w14:textId="287BD2DD" w:rsidR="00995928" w:rsidRPr="00995928" w:rsidRDefault="00995928" w:rsidP="001C17BD">
      <w:pPr>
        <w:spacing w:after="0" w:line="480" w:lineRule="auto"/>
        <w:jc w:val="both"/>
        <w:rPr>
          <w:rFonts w:ascii="Times New Roman" w:hAnsi="Times New Roman" w:cs="Times New Roman"/>
          <w:bCs/>
          <w:sz w:val="24"/>
          <w:szCs w:val="24"/>
          <w:lang w:val="en-US"/>
        </w:rPr>
      </w:pPr>
      <w:r w:rsidRPr="00995928">
        <w:rPr>
          <w:rFonts w:ascii="Times New Roman" w:hAnsi="Times New Roman" w:cs="Times New Roman"/>
          <w:bCs/>
          <w:sz w:val="24"/>
          <w:szCs w:val="24"/>
          <w:lang w:val="en-US"/>
        </w:rPr>
        <w:t xml:space="preserve">This study shows that </w:t>
      </w:r>
      <w:r>
        <w:rPr>
          <w:rFonts w:ascii="Times New Roman" w:hAnsi="Times New Roman" w:cs="Times New Roman"/>
          <w:bCs/>
          <w:sz w:val="24"/>
          <w:szCs w:val="24"/>
          <w:lang w:val="en-US"/>
        </w:rPr>
        <w:t>conservation</w:t>
      </w:r>
      <w:r w:rsidRPr="00995928">
        <w:rPr>
          <w:rFonts w:ascii="Times New Roman" w:hAnsi="Times New Roman" w:cs="Times New Roman"/>
          <w:bCs/>
          <w:sz w:val="24"/>
          <w:szCs w:val="24"/>
          <w:lang w:val="en-US"/>
        </w:rPr>
        <w:t xml:space="preserve"> methods significantly influence the average number, diameter, and weight of </w:t>
      </w:r>
      <w:proofErr w:type="spellStart"/>
      <w:r w:rsidRPr="00995928">
        <w:rPr>
          <w:rFonts w:ascii="Times New Roman" w:hAnsi="Times New Roman" w:cs="Times New Roman"/>
          <w:bCs/>
          <w:i/>
          <w:iCs/>
          <w:sz w:val="24"/>
          <w:szCs w:val="24"/>
          <w:lang w:val="en-US"/>
        </w:rPr>
        <w:t>Solenostemon</w:t>
      </w:r>
      <w:proofErr w:type="spellEnd"/>
      <w:r w:rsidRPr="00995928">
        <w:rPr>
          <w:rFonts w:ascii="Times New Roman" w:hAnsi="Times New Roman" w:cs="Times New Roman"/>
          <w:bCs/>
          <w:i/>
          <w:iCs/>
          <w:sz w:val="24"/>
          <w:szCs w:val="24"/>
          <w:lang w:val="en-US"/>
        </w:rPr>
        <w:t xml:space="preserve"> </w:t>
      </w:r>
      <w:proofErr w:type="spellStart"/>
      <w:r w:rsidRPr="00995928">
        <w:rPr>
          <w:rFonts w:ascii="Times New Roman" w:hAnsi="Times New Roman" w:cs="Times New Roman"/>
          <w:bCs/>
          <w:i/>
          <w:iCs/>
          <w:sz w:val="24"/>
          <w:szCs w:val="24"/>
          <w:lang w:val="en-US"/>
        </w:rPr>
        <w:t>rotundifolius</w:t>
      </w:r>
      <w:proofErr w:type="spellEnd"/>
      <w:r w:rsidRPr="00995928">
        <w:rPr>
          <w:rFonts w:ascii="Times New Roman" w:hAnsi="Times New Roman" w:cs="Times New Roman"/>
          <w:bCs/>
          <w:sz w:val="24"/>
          <w:szCs w:val="24"/>
          <w:lang w:val="en-US"/>
        </w:rPr>
        <w:t xml:space="preserve"> tubers. Although the regrowth rate and growth rate did not differ significantly among </w:t>
      </w:r>
      <w:r>
        <w:rPr>
          <w:rFonts w:ascii="Times New Roman" w:hAnsi="Times New Roman" w:cs="Times New Roman"/>
          <w:bCs/>
          <w:sz w:val="24"/>
          <w:szCs w:val="24"/>
          <w:lang w:val="en-US"/>
        </w:rPr>
        <w:t>conservation</w:t>
      </w:r>
      <w:r w:rsidRPr="00995928">
        <w:rPr>
          <w:rFonts w:ascii="Times New Roman" w:hAnsi="Times New Roman" w:cs="Times New Roman"/>
          <w:bCs/>
          <w:sz w:val="24"/>
          <w:szCs w:val="24"/>
          <w:lang w:val="en-US"/>
        </w:rPr>
        <w:t xml:space="preserve"> methods, certain methods</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particulaty</w:t>
      </w:r>
      <w:proofErr w:type="spellEnd"/>
      <w:r>
        <w:rPr>
          <w:rFonts w:ascii="Times New Roman" w:hAnsi="Times New Roman" w:cs="Times New Roman"/>
          <w:bCs/>
          <w:sz w:val="24"/>
          <w:szCs w:val="24"/>
          <w:lang w:val="en-US"/>
        </w:rPr>
        <w:t xml:space="preserve"> the use of</w:t>
      </w:r>
      <w:r w:rsidRPr="00995928">
        <w:rPr>
          <w:rFonts w:ascii="Times New Roman" w:hAnsi="Times New Roman" w:cs="Times New Roman"/>
          <w:bCs/>
          <w:sz w:val="24"/>
          <w:szCs w:val="24"/>
          <w:lang w:val="en-US"/>
        </w:rPr>
        <w:t xml:space="preserve"> “</w:t>
      </w:r>
      <w:proofErr w:type="spellStart"/>
      <w:r w:rsidRPr="00995928">
        <w:rPr>
          <w:rFonts w:ascii="Times New Roman" w:hAnsi="Times New Roman" w:cs="Times New Roman"/>
          <w:bCs/>
          <w:sz w:val="24"/>
          <w:szCs w:val="24"/>
          <w:lang w:val="en-US"/>
        </w:rPr>
        <w:t>bitatoré</w:t>
      </w:r>
      <w:proofErr w:type="spellEnd"/>
      <w:r w:rsidRPr="00995928">
        <w:rPr>
          <w:rFonts w:ascii="Times New Roman" w:hAnsi="Times New Roman" w:cs="Times New Roman"/>
          <w:bCs/>
          <w:sz w:val="24"/>
          <w:szCs w:val="24"/>
          <w:lang w:val="en-US"/>
        </w:rPr>
        <w:t>” with or without additives</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enchanced</w:t>
      </w:r>
      <w:proofErr w:type="spellEnd"/>
      <w:r>
        <w:rPr>
          <w:rFonts w:ascii="Times New Roman" w:hAnsi="Times New Roman" w:cs="Times New Roman"/>
          <w:bCs/>
          <w:sz w:val="24"/>
          <w:szCs w:val="24"/>
          <w:lang w:val="en-US"/>
        </w:rPr>
        <w:t xml:space="preserve"> tiller production and </w:t>
      </w:r>
      <w:r w:rsidRPr="00995928">
        <w:rPr>
          <w:rFonts w:ascii="Times New Roman" w:hAnsi="Times New Roman" w:cs="Times New Roman"/>
          <w:bCs/>
          <w:sz w:val="24"/>
          <w:szCs w:val="24"/>
          <w:lang w:val="en-US"/>
        </w:rPr>
        <w:t xml:space="preserve">improved yield parameters. Furthermore, genotype </w:t>
      </w:r>
      <w:r>
        <w:rPr>
          <w:rFonts w:ascii="Times New Roman" w:hAnsi="Times New Roman" w:cs="Times New Roman"/>
          <w:bCs/>
          <w:sz w:val="24"/>
          <w:szCs w:val="24"/>
          <w:lang w:val="en-US"/>
        </w:rPr>
        <w:t xml:space="preserve">proved </w:t>
      </w:r>
      <w:r w:rsidRPr="00995928">
        <w:rPr>
          <w:rFonts w:ascii="Times New Roman" w:hAnsi="Times New Roman" w:cs="Times New Roman"/>
          <w:bCs/>
          <w:sz w:val="24"/>
          <w:szCs w:val="24"/>
          <w:lang w:val="en-US"/>
        </w:rPr>
        <w:t xml:space="preserve">to be a </w:t>
      </w:r>
      <w:r>
        <w:rPr>
          <w:rFonts w:ascii="Times New Roman" w:hAnsi="Times New Roman" w:cs="Times New Roman"/>
          <w:bCs/>
          <w:sz w:val="24"/>
          <w:szCs w:val="24"/>
          <w:lang w:val="en-US"/>
        </w:rPr>
        <w:t>key determinant of performance,</w:t>
      </w:r>
      <w:r w:rsidR="006E7E74">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with</w:t>
      </w:r>
      <w:r w:rsidRPr="00995928">
        <w:rPr>
          <w:rFonts w:ascii="Times New Roman" w:hAnsi="Times New Roman" w:cs="Times New Roman"/>
          <w:bCs/>
          <w:sz w:val="24"/>
          <w:szCs w:val="24"/>
          <w:lang w:val="en-US"/>
        </w:rPr>
        <w:t xml:space="preserve"> genotypes E165 and E120</w:t>
      </w:r>
      <w:r>
        <w:rPr>
          <w:rFonts w:ascii="Times New Roman" w:hAnsi="Times New Roman" w:cs="Times New Roman"/>
          <w:bCs/>
          <w:sz w:val="24"/>
          <w:szCs w:val="24"/>
          <w:lang w:val="en-US"/>
        </w:rPr>
        <w:t xml:space="preserve"> exhibiting superior results, </w:t>
      </w:r>
      <w:r w:rsidR="00066C1B">
        <w:rPr>
          <w:rFonts w:ascii="Times New Roman" w:hAnsi="Times New Roman" w:cs="Times New Roman"/>
          <w:bCs/>
          <w:sz w:val="24"/>
          <w:szCs w:val="24"/>
          <w:lang w:val="en-US"/>
        </w:rPr>
        <w:t>whereas the</w:t>
      </w:r>
      <w:r w:rsidRPr="00995928">
        <w:rPr>
          <w:rFonts w:ascii="Times New Roman" w:hAnsi="Times New Roman" w:cs="Times New Roman"/>
          <w:bCs/>
          <w:sz w:val="24"/>
          <w:szCs w:val="24"/>
          <w:lang w:val="en-US"/>
        </w:rPr>
        <w:t xml:space="preserve"> ‘White’ genotype</w:t>
      </w:r>
      <w:r w:rsidR="00066C1B">
        <w:rPr>
          <w:rFonts w:ascii="Times New Roman" w:hAnsi="Times New Roman" w:cs="Times New Roman"/>
          <w:bCs/>
          <w:sz w:val="24"/>
          <w:szCs w:val="24"/>
          <w:lang w:val="en-US"/>
        </w:rPr>
        <w:t xml:space="preserve"> remained less </w:t>
      </w:r>
      <w:r w:rsidRPr="00995928">
        <w:rPr>
          <w:rFonts w:ascii="Times New Roman" w:hAnsi="Times New Roman" w:cs="Times New Roman"/>
          <w:bCs/>
          <w:sz w:val="24"/>
          <w:szCs w:val="24"/>
          <w:lang w:val="en-US"/>
        </w:rPr>
        <w:t>productive.</w:t>
      </w:r>
    </w:p>
    <w:p w14:paraId="45CFCF5E" w14:textId="77777777" w:rsidR="00252514" w:rsidRPr="00957565" w:rsidRDefault="00252514" w:rsidP="00F66902">
      <w:pPr>
        <w:spacing w:line="360" w:lineRule="auto"/>
        <w:jc w:val="both"/>
        <w:rPr>
          <w:rFonts w:ascii="Times New Roman" w:hAnsi="Times New Roman" w:cs="Times New Roman"/>
          <w:sz w:val="24"/>
          <w:szCs w:val="24"/>
        </w:rPr>
      </w:pPr>
      <w:proofErr w:type="spellStart"/>
      <w:r w:rsidRPr="00957565">
        <w:rPr>
          <w:rFonts w:ascii="Times New Roman" w:hAnsi="Times New Roman" w:cs="Times New Roman"/>
          <w:b/>
          <w:sz w:val="24"/>
          <w:szCs w:val="24"/>
        </w:rPr>
        <w:t>Conflicts</w:t>
      </w:r>
      <w:proofErr w:type="spellEnd"/>
      <w:r w:rsidRPr="00957565">
        <w:rPr>
          <w:rFonts w:ascii="Times New Roman" w:hAnsi="Times New Roman" w:cs="Times New Roman"/>
          <w:b/>
          <w:sz w:val="24"/>
          <w:szCs w:val="24"/>
        </w:rPr>
        <w:t xml:space="preserve"> of </w:t>
      </w:r>
      <w:proofErr w:type="spellStart"/>
      <w:proofErr w:type="gramStart"/>
      <w:r w:rsidRPr="00957565">
        <w:rPr>
          <w:rFonts w:ascii="Times New Roman" w:hAnsi="Times New Roman" w:cs="Times New Roman"/>
          <w:b/>
          <w:sz w:val="24"/>
          <w:szCs w:val="24"/>
        </w:rPr>
        <w:t>interest</w:t>
      </w:r>
      <w:proofErr w:type="spellEnd"/>
      <w:r w:rsidRPr="00957565">
        <w:rPr>
          <w:rFonts w:ascii="Times New Roman" w:hAnsi="Times New Roman" w:cs="Times New Roman"/>
          <w:sz w:val="24"/>
          <w:szCs w:val="24"/>
        </w:rPr>
        <w:t>:</w:t>
      </w:r>
      <w:proofErr w:type="gramEnd"/>
      <w:r w:rsidRPr="00957565">
        <w:rPr>
          <w:rFonts w:ascii="Times New Roman" w:hAnsi="Times New Roman" w:cs="Times New Roman"/>
          <w:sz w:val="24"/>
          <w:szCs w:val="24"/>
        </w:rPr>
        <w:t xml:space="preserve"> The </w:t>
      </w:r>
      <w:proofErr w:type="spellStart"/>
      <w:r w:rsidRPr="00957565">
        <w:rPr>
          <w:rFonts w:ascii="Times New Roman" w:hAnsi="Times New Roman" w:cs="Times New Roman"/>
          <w:sz w:val="24"/>
          <w:szCs w:val="24"/>
        </w:rPr>
        <w:t>authors</w:t>
      </w:r>
      <w:proofErr w:type="spellEnd"/>
      <w:r w:rsidRPr="00957565">
        <w:rPr>
          <w:rFonts w:ascii="Times New Roman" w:hAnsi="Times New Roman" w:cs="Times New Roman"/>
          <w:sz w:val="24"/>
          <w:szCs w:val="24"/>
        </w:rPr>
        <w:t xml:space="preserve"> </w:t>
      </w:r>
      <w:proofErr w:type="spellStart"/>
      <w:r w:rsidRPr="00957565">
        <w:rPr>
          <w:rFonts w:ascii="Times New Roman" w:hAnsi="Times New Roman" w:cs="Times New Roman"/>
          <w:sz w:val="24"/>
          <w:szCs w:val="24"/>
        </w:rPr>
        <w:t>declare</w:t>
      </w:r>
      <w:proofErr w:type="spellEnd"/>
      <w:r w:rsidRPr="00957565">
        <w:rPr>
          <w:rFonts w:ascii="Times New Roman" w:hAnsi="Times New Roman" w:cs="Times New Roman"/>
          <w:sz w:val="24"/>
          <w:szCs w:val="24"/>
        </w:rPr>
        <w:t xml:space="preserve"> no </w:t>
      </w:r>
      <w:proofErr w:type="spellStart"/>
      <w:r w:rsidRPr="00957565">
        <w:rPr>
          <w:rFonts w:ascii="Times New Roman" w:hAnsi="Times New Roman" w:cs="Times New Roman"/>
          <w:sz w:val="24"/>
          <w:szCs w:val="24"/>
        </w:rPr>
        <w:t>conflicts</w:t>
      </w:r>
      <w:proofErr w:type="spellEnd"/>
      <w:r w:rsidRPr="00957565">
        <w:rPr>
          <w:rFonts w:ascii="Times New Roman" w:hAnsi="Times New Roman" w:cs="Times New Roman"/>
          <w:sz w:val="24"/>
          <w:szCs w:val="24"/>
        </w:rPr>
        <w:t xml:space="preserve"> of </w:t>
      </w:r>
      <w:proofErr w:type="spellStart"/>
      <w:r w:rsidRPr="00957565">
        <w:rPr>
          <w:rFonts w:ascii="Times New Roman" w:hAnsi="Times New Roman" w:cs="Times New Roman"/>
          <w:sz w:val="24"/>
          <w:szCs w:val="24"/>
        </w:rPr>
        <w:t>interest</w:t>
      </w:r>
      <w:proofErr w:type="spellEnd"/>
      <w:r w:rsidRPr="00957565">
        <w:rPr>
          <w:rFonts w:ascii="Times New Roman" w:hAnsi="Times New Roman" w:cs="Times New Roman"/>
          <w:sz w:val="24"/>
          <w:szCs w:val="24"/>
        </w:rPr>
        <w:t>.</w:t>
      </w:r>
    </w:p>
    <w:p w14:paraId="23120B9F" w14:textId="77777777" w:rsidR="006647FD" w:rsidRDefault="006647FD" w:rsidP="001C17BD">
      <w:pPr>
        <w:pStyle w:val="Heading1"/>
        <w:spacing w:line="480" w:lineRule="auto"/>
        <w:rPr>
          <w:rFonts w:ascii="Times New Roman" w:hAnsi="Times New Roman" w:cs="Times New Roman"/>
          <w:b/>
          <w:bCs/>
          <w:color w:val="auto"/>
          <w:sz w:val="24"/>
          <w:szCs w:val="24"/>
        </w:rPr>
      </w:pPr>
      <w:proofErr w:type="spellStart"/>
      <w:r w:rsidRPr="00681740">
        <w:rPr>
          <w:rFonts w:ascii="Times New Roman" w:hAnsi="Times New Roman" w:cs="Times New Roman"/>
          <w:b/>
          <w:bCs/>
          <w:color w:val="auto"/>
          <w:sz w:val="24"/>
          <w:szCs w:val="24"/>
        </w:rPr>
        <w:t>References</w:t>
      </w:r>
      <w:proofErr w:type="spellEnd"/>
    </w:p>
    <w:p w14:paraId="0D6DE46C" w14:textId="446571F9" w:rsidR="003B15D7" w:rsidRPr="00BD7E30" w:rsidRDefault="003B15D7" w:rsidP="00BD7E30">
      <w:pPr>
        <w:pStyle w:val="Bibliography"/>
        <w:spacing w:after="0" w:line="480" w:lineRule="auto"/>
        <w:jc w:val="both"/>
        <w:rPr>
          <w:rFonts w:ascii="Times New Roman" w:hAnsi="Times New Roman" w:cs="Times New Roman"/>
          <w:sz w:val="24"/>
          <w:szCs w:val="24"/>
        </w:rPr>
      </w:pPr>
      <w:proofErr w:type="spellStart"/>
      <w:r w:rsidRPr="00BD7E30">
        <w:rPr>
          <w:rFonts w:ascii="Times New Roman" w:hAnsi="Times New Roman" w:cs="Times New Roman"/>
          <w:sz w:val="24"/>
          <w:szCs w:val="24"/>
        </w:rPr>
        <w:t>Abamecha</w:t>
      </w:r>
      <w:proofErr w:type="spellEnd"/>
      <w:r w:rsidRPr="00BD7E30">
        <w:rPr>
          <w:rFonts w:ascii="Times New Roman" w:hAnsi="Times New Roman" w:cs="Times New Roman"/>
          <w:sz w:val="24"/>
          <w:szCs w:val="24"/>
        </w:rPr>
        <w:t xml:space="preserve">, N., </w:t>
      </w:r>
      <w:proofErr w:type="spellStart"/>
      <w:r w:rsidRPr="00BD7E30">
        <w:rPr>
          <w:rFonts w:ascii="Times New Roman" w:hAnsi="Times New Roman" w:cs="Times New Roman"/>
          <w:sz w:val="24"/>
          <w:szCs w:val="24"/>
        </w:rPr>
        <w:t>Techane</w:t>
      </w:r>
      <w:proofErr w:type="spellEnd"/>
      <w:r w:rsidRPr="00BD7E30">
        <w:rPr>
          <w:rFonts w:ascii="Times New Roman" w:hAnsi="Times New Roman" w:cs="Times New Roman"/>
          <w:sz w:val="24"/>
          <w:szCs w:val="24"/>
        </w:rPr>
        <w:t xml:space="preserve">, T. et Adem, M. (2025) « Storage solutions for </w:t>
      </w:r>
      <w:proofErr w:type="spellStart"/>
      <w:r w:rsidRPr="00BD7E30">
        <w:rPr>
          <w:rFonts w:ascii="Times New Roman" w:hAnsi="Times New Roman" w:cs="Times New Roman"/>
          <w:sz w:val="24"/>
          <w:szCs w:val="24"/>
        </w:rPr>
        <w:t>roots</w:t>
      </w:r>
      <w:proofErr w:type="spellEnd"/>
      <w:r w:rsidRPr="00BD7E30">
        <w:rPr>
          <w:rFonts w:ascii="Times New Roman" w:hAnsi="Times New Roman" w:cs="Times New Roman"/>
          <w:sz w:val="24"/>
          <w:szCs w:val="24"/>
        </w:rPr>
        <w:t xml:space="preserve"> and </w:t>
      </w:r>
      <w:proofErr w:type="spellStart"/>
      <w:r w:rsidRPr="00BD7E30">
        <w:rPr>
          <w:rFonts w:ascii="Times New Roman" w:hAnsi="Times New Roman" w:cs="Times New Roman"/>
          <w:sz w:val="24"/>
          <w:szCs w:val="24"/>
        </w:rPr>
        <w:t>tubers</w:t>
      </w:r>
      <w:proofErr w:type="spellEnd"/>
      <w:r w:rsidRPr="00BD7E30">
        <w:rPr>
          <w:rFonts w:ascii="Times New Roman" w:hAnsi="Times New Roman" w:cs="Times New Roman"/>
          <w:sz w:val="24"/>
          <w:szCs w:val="24"/>
        </w:rPr>
        <w:t xml:space="preserve"> in </w:t>
      </w:r>
      <w:proofErr w:type="spellStart"/>
      <w:r w:rsidRPr="00BD7E30">
        <w:rPr>
          <w:rFonts w:ascii="Times New Roman" w:hAnsi="Times New Roman" w:cs="Times New Roman"/>
          <w:sz w:val="24"/>
          <w:szCs w:val="24"/>
        </w:rPr>
        <w:t>Ethiopia</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through</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traditional</w:t>
      </w:r>
      <w:proofErr w:type="spellEnd"/>
      <w:r w:rsidRPr="00BD7E30">
        <w:rPr>
          <w:rFonts w:ascii="Times New Roman" w:hAnsi="Times New Roman" w:cs="Times New Roman"/>
          <w:sz w:val="24"/>
          <w:szCs w:val="24"/>
        </w:rPr>
        <w:t xml:space="preserve"> and </w:t>
      </w:r>
      <w:proofErr w:type="spellStart"/>
      <w:r w:rsidRPr="00BD7E30">
        <w:rPr>
          <w:rFonts w:ascii="Times New Roman" w:hAnsi="Times New Roman" w:cs="Times New Roman"/>
          <w:sz w:val="24"/>
          <w:szCs w:val="24"/>
        </w:rPr>
        <w:t>improved</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methods</w:t>
      </w:r>
      <w:proofErr w:type="spellEnd"/>
      <w:r w:rsidRPr="00BD7E30">
        <w:rPr>
          <w:rFonts w:ascii="Times New Roman" w:hAnsi="Times New Roman" w:cs="Times New Roman"/>
          <w:sz w:val="24"/>
          <w:szCs w:val="24"/>
        </w:rPr>
        <w:t xml:space="preserve"> », </w:t>
      </w:r>
      <w:r w:rsidRPr="00BD7E30">
        <w:rPr>
          <w:rFonts w:ascii="Times New Roman" w:hAnsi="Times New Roman" w:cs="Times New Roman"/>
          <w:i/>
          <w:iCs/>
          <w:sz w:val="24"/>
          <w:szCs w:val="24"/>
        </w:rPr>
        <w:t>Discover Food</w:t>
      </w:r>
      <w:r w:rsidRPr="00BD7E30">
        <w:rPr>
          <w:rFonts w:ascii="Times New Roman" w:hAnsi="Times New Roman" w:cs="Times New Roman"/>
          <w:sz w:val="24"/>
          <w:szCs w:val="24"/>
        </w:rPr>
        <w:t xml:space="preserve">, 5(1), p. 346. </w:t>
      </w:r>
      <w:hyperlink r:id="rId13" w:history="1">
        <w:r w:rsidRPr="00BD7E30">
          <w:rPr>
            <w:rStyle w:val="Hyperlink"/>
            <w:rFonts w:ascii="Times New Roman" w:hAnsi="Times New Roman" w:cs="Times New Roman"/>
            <w:sz w:val="24"/>
            <w:szCs w:val="24"/>
          </w:rPr>
          <w:t>https://doi.org/10.1007/s44187-025-00587-0</w:t>
        </w:r>
      </w:hyperlink>
      <w:r w:rsidRPr="00BD7E30">
        <w:rPr>
          <w:rFonts w:ascii="Times New Roman" w:hAnsi="Times New Roman" w:cs="Times New Roman"/>
          <w:sz w:val="24"/>
          <w:szCs w:val="24"/>
        </w:rPr>
        <w:t xml:space="preserve">  </w:t>
      </w:r>
    </w:p>
    <w:p w14:paraId="7FB21F39" w14:textId="77777777" w:rsidR="003B15D7" w:rsidRPr="00BD7E30" w:rsidRDefault="003B15D7" w:rsidP="00BD7E30">
      <w:pPr>
        <w:pStyle w:val="Bibliography"/>
        <w:spacing w:after="0" w:line="480" w:lineRule="auto"/>
        <w:jc w:val="both"/>
        <w:rPr>
          <w:rFonts w:ascii="Times New Roman" w:hAnsi="Times New Roman" w:cs="Times New Roman"/>
          <w:sz w:val="24"/>
          <w:szCs w:val="24"/>
        </w:rPr>
      </w:pPr>
      <w:r w:rsidRPr="00BD7E30">
        <w:rPr>
          <w:rFonts w:ascii="Times New Roman" w:hAnsi="Times New Roman" w:cs="Times New Roman"/>
          <w:sz w:val="24"/>
          <w:szCs w:val="24"/>
        </w:rPr>
        <w:t xml:space="preserve"> Arif, </w:t>
      </w:r>
      <w:proofErr w:type="gramStart"/>
      <w:r w:rsidRPr="00BD7E30">
        <w:rPr>
          <w:rFonts w:ascii="Times New Roman" w:hAnsi="Times New Roman" w:cs="Times New Roman"/>
          <w:sz w:val="24"/>
          <w:szCs w:val="24"/>
        </w:rPr>
        <w:t>M. ,</w:t>
      </w:r>
      <w:proofErr w:type="gramEnd"/>
      <w:r w:rsidRPr="00BD7E30">
        <w:rPr>
          <w:rFonts w:ascii="Times New Roman" w:hAnsi="Times New Roman" w:cs="Times New Roman"/>
          <w:sz w:val="24"/>
          <w:szCs w:val="24"/>
        </w:rPr>
        <w:t xml:space="preserve"> Ali K et al. (2024) « Impact of </w:t>
      </w:r>
      <w:proofErr w:type="spellStart"/>
      <w:r w:rsidRPr="00BD7E30">
        <w:rPr>
          <w:rFonts w:ascii="Times New Roman" w:hAnsi="Times New Roman" w:cs="Times New Roman"/>
          <w:sz w:val="24"/>
          <w:szCs w:val="24"/>
        </w:rPr>
        <w:t>different</w:t>
      </w:r>
      <w:proofErr w:type="spellEnd"/>
      <w:r w:rsidRPr="00BD7E30">
        <w:rPr>
          <w:rFonts w:ascii="Times New Roman" w:hAnsi="Times New Roman" w:cs="Times New Roman"/>
          <w:sz w:val="24"/>
          <w:szCs w:val="24"/>
        </w:rPr>
        <w:t xml:space="preserve"> nucleus tuber sizes on </w:t>
      </w:r>
      <w:proofErr w:type="spellStart"/>
      <w:r w:rsidRPr="00BD7E30">
        <w:rPr>
          <w:rFonts w:ascii="Times New Roman" w:hAnsi="Times New Roman" w:cs="Times New Roman"/>
          <w:sz w:val="24"/>
          <w:szCs w:val="24"/>
        </w:rPr>
        <w:t>growth</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yield</w:t>
      </w:r>
      <w:proofErr w:type="spellEnd"/>
      <w:r w:rsidRPr="00BD7E30">
        <w:rPr>
          <w:rFonts w:ascii="Times New Roman" w:hAnsi="Times New Roman" w:cs="Times New Roman"/>
          <w:sz w:val="24"/>
          <w:szCs w:val="24"/>
        </w:rPr>
        <w:t xml:space="preserve">, and </w:t>
      </w:r>
      <w:proofErr w:type="spellStart"/>
      <w:r w:rsidRPr="00BD7E30">
        <w:rPr>
          <w:rFonts w:ascii="Times New Roman" w:hAnsi="Times New Roman" w:cs="Times New Roman"/>
          <w:sz w:val="24"/>
          <w:szCs w:val="24"/>
        </w:rPr>
        <w:t>physiology</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attributes</w:t>
      </w:r>
      <w:proofErr w:type="spellEnd"/>
      <w:r w:rsidRPr="00BD7E30">
        <w:rPr>
          <w:rFonts w:ascii="Times New Roman" w:hAnsi="Times New Roman" w:cs="Times New Roman"/>
          <w:sz w:val="24"/>
          <w:szCs w:val="24"/>
        </w:rPr>
        <w:t xml:space="preserve"> of </w:t>
      </w:r>
      <w:proofErr w:type="spellStart"/>
      <w:r w:rsidRPr="00BD7E30">
        <w:rPr>
          <w:rFonts w:ascii="Times New Roman" w:hAnsi="Times New Roman" w:cs="Times New Roman"/>
          <w:sz w:val="24"/>
          <w:szCs w:val="24"/>
        </w:rPr>
        <w:t>potato</w:t>
      </w:r>
      <w:proofErr w:type="spellEnd"/>
      <w:r w:rsidRPr="00BD7E30">
        <w:rPr>
          <w:rFonts w:ascii="Times New Roman" w:hAnsi="Times New Roman" w:cs="Times New Roman"/>
          <w:sz w:val="24"/>
          <w:szCs w:val="24"/>
        </w:rPr>
        <w:t xml:space="preserve"> production », </w:t>
      </w:r>
      <w:proofErr w:type="spellStart"/>
      <w:r w:rsidRPr="00BD7E30">
        <w:rPr>
          <w:rFonts w:ascii="Times New Roman" w:hAnsi="Times New Roman" w:cs="Times New Roman"/>
          <w:sz w:val="24"/>
          <w:szCs w:val="24"/>
        </w:rPr>
        <w:t>Notulae</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Botanicae</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Horti</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Agrobotanici</w:t>
      </w:r>
      <w:proofErr w:type="spellEnd"/>
      <w:r w:rsidRPr="00BD7E30">
        <w:rPr>
          <w:rFonts w:ascii="Times New Roman" w:hAnsi="Times New Roman" w:cs="Times New Roman"/>
          <w:sz w:val="24"/>
          <w:szCs w:val="24"/>
        </w:rPr>
        <w:t xml:space="preserve"> Cluj-Napoca, 52(4), p. 14122‑14122.  </w:t>
      </w:r>
      <w:hyperlink r:id="rId14" w:history="1">
        <w:r w:rsidRPr="00BD7E30">
          <w:rPr>
            <w:rStyle w:val="Hyperlink"/>
            <w:rFonts w:ascii="Times New Roman" w:hAnsi="Times New Roman" w:cs="Times New Roman"/>
            <w:sz w:val="24"/>
            <w:szCs w:val="24"/>
          </w:rPr>
          <w:t>https://doi.org/10.15835/nbha52414</w:t>
        </w:r>
        <w:bookmarkStart w:id="7" w:name="_GoBack"/>
        <w:bookmarkEnd w:id="7"/>
        <w:r w:rsidRPr="00BD7E30">
          <w:rPr>
            <w:rStyle w:val="Hyperlink"/>
            <w:rFonts w:ascii="Times New Roman" w:hAnsi="Times New Roman" w:cs="Times New Roman"/>
            <w:sz w:val="24"/>
            <w:szCs w:val="24"/>
          </w:rPr>
          <w:t>122</w:t>
        </w:r>
      </w:hyperlink>
      <w:r w:rsidRPr="00BD7E30">
        <w:rPr>
          <w:rFonts w:ascii="Times New Roman" w:hAnsi="Times New Roman" w:cs="Times New Roman"/>
          <w:sz w:val="24"/>
          <w:szCs w:val="24"/>
        </w:rPr>
        <w:t xml:space="preserve">  </w:t>
      </w:r>
    </w:p>
    <w:p w14:paraId="6ABF7B74" w14:textId="77777777" w:rsidR="003B15D7" w:rsidRPr="00BD7E30" w:rsidRDefault="003B15D7" w:rsidP="00BD7E30">
      <w:pPr>
        <w:pStyle w:val="Bibliography"/>
        <w:spacing w:after="0" w:line="480" w:lineRule="auto"/>
        <w:jc w:val="both"/>
        <w:rPr>
          <w:rFonts w:ascii="Times New Roman" w:hAnsi="Times New Roman" w:cs="Times New Roman"/>
          <w:sz w:val="24"/>
          <w:szCs w:val="24"/>
        </w:rPr>
      </w:pPr>
      <w:proofErr w:type="spellStart"/>
      <w:r w:rsidRPr="00BD7E30">
        <w:rPr>
          <w:rFonts w:ascii="Times New Roman" w:hAnsi="Times New Roman" w:cs="Times New Roman"/>
          <w:sz w:val="24"/>
          <w:szCs w:val="24"/>
        </w:rPr>
        <w:lastRenderedPageBreak/>
        <w:t>Deshi</w:t>
      </w:r>
      <w:proofErr w:type="spellEnd"/>
      <w:r w:rsidRPr="00BD7E30">
        <w:rPr>
          <w:rFonts w:ascii="Times New Roman" w:hAnsi="Times New Roman" w:cs="Times New Roman"/>
          <w:sz w:val="24"/>
          <w:szCs w:val="24"/>
        </w:rPr>
        <w:t xml:space="preserve">, K.E., </w:t>
      </w:r>
      <w:proofErr w:type="spellStart"/>
      <w:r w:rsidRPr="00BD7E30">
        <w:rPr>
          <w:rFonts w:ascii="Times New Roman" w:hAnsi="Times New Roman" w:cs="Times New Roman"/>
          <w:sz w:val="24"/>
          <w:szCs w:val="24"/>
        </w:rPr>
        <w:t>Obasi</w:t>
      </w:r>
      <w:proofErr w:type="spellEnd"/>
      <w:r w:rsidRPr="00BD7E30">
        <w:rPr>
          <w:rFonts w:ascii="Times New Roman" w:hAnsi="Times New Roman" w:cs="Times New Roman"/>
          <w:sz w:val="24"/>
          <w:szCs w:val="24"/>
        </w:rPr>
        <w:t xml:space="preserve">, M.O. et </w:t>
      </w:r>
      <w:proofErr w:type="spellStart"/>
      <w:r w:rsidRPr="00BD7E30">
        <w:rPr>
          <w:rFonts w:ascii="Times New Roman" w:hAnsi="Times New Roman" w:cs="Times New Roman"/>
          <w:sz w:val="24"/>
          <w:szCs w:val="24"/>
        </w:rPr>
        <w:t>Odiaka</w:t>
      </w:r>
      <w:proofErr w:type="spellEnd"/>
      <w:r w:rsidRPr="00BD7E30">
        <w:rPr>
          <w:rFonts w:ascii="Times New Roman" w:hAnsi="Times New Roman" w:cs="Times New Roman"/>
          <w:sz w:val="24"/>
          <w:szCs w:val="24"/>
        </w:rPr>
        <w:t>, N.I. (2021) « </w:t>
      </w:r>
      <w:proofErr w:type="spellStart"/>
      <w:r w:rsidRPr="00BD7E30">
        <w:rPr>
          <w:rFonts w:ascii="Times New Roman" w:hAnsi="Times New Roman" w:cs="Times New Roman"/>
          <w:sz w:val="24"/>
          <w:szCs w:val="24"/>
        </w:rPr>
        <w:t>Growth</w:t>
      </w:r>
      <w:proofErr w:type="spellEnd"/>
      <w:r w:rsidRPr="00BD7E30">
        <w:rPr>
          <w:rFonts w:ascii="Times New Roman" w:hAnsi="Times New Roman" w:cs="Times New Roman"/>
          <w:sz w:val="24"/>
          <w:szCs w:val="24"/>
        </w:rPr>
        <w:t xml:space="preserve"> and </w:t>
      </w:r>
      <w:proofErr w:type="spellStart"/>
      <w:r w:rsidRPr="00BD7E30">
        <w:rPr>
          <w:rFonts w:ascii="Times New Roman" w:hAnsi="Times New Roman" w:cs="Times New Roman"/>
          <w:sz w:val="24"/>
          <w:szCs w:val="24"/>
        </w:rPr>
        <w:t>yield</w:t>
      </w:r>
      <w:proofErr w:type="spellEnd"/>
      <w:r w:rsidRPr="00BD7E30">
        <w:rPr>
          <w:rFonts w:ascii="Times New Roman" w:hAnsi="Times New Roman" w:cs="Times New Roman"/>
          <w:sz w:val="24"/>
          <w:szCs w:val="24"/>
        </w:rPr>
        <w:t xml:space="preserve"> of </w:t>
      </w:r>
      <w:proofErr w:type="spellStart"/>
      <w:r w:rsidRPr="00BD7E30">
        <w:rPr>
          <w:rFonts w:ascii="Times New Roman" w:hAnsi="Times New Roman" w:cs="Times New Roman"/>
          <w:sz w:val="24"/>
          <w:szCs w:val="24"/>
        </w:rPr>
        <w:t>potato</w:t>
      </w:r>
      <w:proofErr w:type="spellEnd"/>
      <w:r w:rsidRPr="00BD7E30">
        <w:rPr>
          <w:rFonts w:ascii="Times New Roman" w:hAnsi="Times New Roman" w:cs="Times New Roman"/>
          <w:sz w:val="24"/>
          <w:szCs w:val="24"/>
        </w:rPr>
        <w:t xml:space="preserve"> (Solanum </w:t>
      </w:r>
      <w:proofErr w:type="spellStart"/>
      <w:r w:rsidRPr="00BD7E30">
        <w:rPr>
          <w:rFonts w:ascii="Times New Roman" w:hAnsi="Times New Roman" w:cs="Times New Roman"/>
          <w:sz w:val="24"/>
          <w:szCs w:val="24"/>
        </w:rPr>
        <w:t>tuberosum</w:t>
      </w:r>
      <w:proofErr w:type="spellEnd"/>
      <w:r w:rsidRPr="00BD7E30">
        <w:rPr>
          <w:rFonts w:ascii="Times New Roman" w:hAnsi="Times New Roman" w:cs="Times New Roman"/>
          <w:sz w:val="24"/>
          <w:szCs w:val="24"/>
        </w:rPr>
        <w:t xml:space="preserve"> L.) as </w:t>
      </w:r>
      <w:proofErr w:type="spellStart"/>
      <w:r w:rsidRPr="00BD7E30">
        <w:rPr>
          <w:rFonts w:ascii="Times New Roman" w:hAnsi="Times New Roman" w:cs="Times New Roman"/>
          <w:sz w:val="24"/>
          <w:szCs w:val="24"/>
        </w:rPr>
        <w:t>affected</w:t>
      </w:r>
      <w:proofErr w:type="spellEnd"/>
      <w:r w:rsidRPr="00BD7E30">
        <w:rPr>
          <w:rFonts w:ascii="Times New Roman" w:hAnsi="Times New Roman" w:cs="Times New Roman"/>
          <w:sz w:val="24"/>
          <w:szCs w:val="24"/>
        </w:rPr>
        <w:t xml:space="preserve"> by </w:t>
      </w:r>
      <w:proofErr w:type="spellStart"/>
      <w:r w:rsidRPr="00BD7E30">
        <w:rPr>
          <w:rFonts w:ascii="Times New Roman" w:hAnsi="Times New Roman" w:cs="Times New Roman"/>
          <w:sz w:val="24"/>
          <w:szCs w:val="24"/>
        </w:rPr>
        <w:t>storage</w:t>
      </w:r>
      <w:proofErr w:type="spellEnd"/>
      <w:r w:rsidRPr="00BD7E30">
        <w:rPr>
          <w:rFonts w:ascii="Times New Roman" w:hAnsi="Times New Roman" w:cs="Times New Roman"/>
          <w:sz w:val="24"/>
          <w:szCs w:val="24"/>
        </w:rPr>
        <w:t xml:space="preserve"> conditions and </w:t>
      </w:r>
      <w:proofErr w:type="spellStart"/>
      <w:r w:rsidRPr="00BD7E30">
        <w:rPr>
          <w:rFonts w:ascii="Times New Roman" w:hAnsi="Times New Roman" w:cs="Times New Roman"/>
          <w:sz w:val="24"/>
          <w:szCs w:val="24"/>
        </w:rPr>
        <w:t>storage</w:t>
      </w:r>
      <w:proofErr w:type="spellEnd"/>
      <w:r w:rsidRPr="00BD7E30">
        <w:rPr>
          <w:rFonts w:ascii="Times New Roman" w:hAnsi="Times New Roman" w:cs="Times New Roman"/>
          <w:sz w:val="24"/>
          <w:szCs w:val="24"/>
        </w:rPr>
        <w:t xml:space="preserve"> duration in Jos, Plateau State, Nigeria », </w:t>
      </w:r>
      <w:r w:rsidRPr="00BD7E30">
        <w:rPr>
          <w:rFonts w:ascii="Times New Roman" w:hAnsi="Times New Roman" w:cs="Times New Roman"/>
          <w:i/>
          <w:iCs/>
          <w:sz w:val="24"/>
          <w:szCs w:val="24"/>
        </w:rPr>
        <w:t>Open Agriculture</w:t>
      </w:r>
      <w:r w:rsidRPr="00BD7E30">
        <w:rPr>
          <w:rFonts w:ascii="Times New Roman" w:hAnsi="Times New Roman" w:cs="Times New Roman"/>
          <w:sz w:val="24"/>
          <w:szCs w:val="24"/>
        </w:rPr>
        <w:t xml:space="preserve">, 6(1), p. 779‑797. </w:t>
      </w:r>
      <w:hyperlink r:id="rId15" w:history="1">
        <w:r w:rsidRPr="00BD7E30">
          <w:rPr>
            <w:rStyle w:val="Hyperlink"/>
            <w:rFonts w:ascii="Times New Roman" w:hAnsi="Times New Roman" w:cs="Times New Roman"/>
            <w:sz w:val="24"/>
            <w:szCs w:val="24"/>
          </w:rPr>
          <w:t>https://doi.org/10.1515/opag-2021-0057</w:t>
        </w:r>
      </w:hyperlink>
      <w:r w:rsidRPr="00BD7E30">
        <w:rPr>
          <w:rFonts w:ascii="Times New Roman" w:hAnsi="Times New Roman" w:cs="Times New Roman"/>
          <w:sz w:val="24"/>
          <w:szCs w:val="24"/>
        </w:rPr>
        <w:t xml:space="preserve"> </w:t>
      </w:r>
    </w:p>
    <w:p w14:paraId="799601FC" w14:textId="4A77D59E" w:rsidR="003B15D7" w:rsidRPr="00BD7E30" w:rsidRDefault="003B15D7" w:rsidP="00BD7E30">
      <w:pPr>
        <w:pStyle w:val="Bibliography"/>
        <w:spacing w:after="0" w:line="480" w:lineRule="auto"/>
        <w:jc w:val="both"/>
        <w:rPr>
          <w:rFonts w:ascii="Times New Roman" w:hAnsi="Times New Roman" w:cs="Times New Roman"/>
          <w:sz w:val="24"/>
          <w:szCs w:val="24"/>
        </w:rPr>
      </w:pPr>
      <w:proofErr w:type="spellStart"/>
      <w:r w:rsidRPr="00BD7E30">
        <w:rPr>
          <w:rFonts w:ascii="Times New Roman" w:hAnsi="Times New Roman" w:cs="Times New Roman"/>
          <w:sz w:val="24"/>
          <w:szCs w:val="24"/>
        </w:rPr>
        <w:t>DeSIRA</w:t>
      </w:r>
      <w:proofErr w:type="spellEnd"/>
      <w:r w:rsidRPr="00BD7E30">
        <w:rPr>
          <w:rFonts w:ascii="Times New Roman" w:hAnsi="Times New Roman" w:cs="Times New Roman"/>
          <w:sz w:val="24"/>
          <w:szCs w:val="24"/>
        </w:rPr>
        <w:t xml:space="preserve">, - </w:t>
      </w:r>
      <w:proofErr w:type="spellStart"/>
      <w:r w:rsidRPr="00BD7E30">
        <w:rPr>
          <w:rFonts w:ascii="Times New Roman" w:hAnsi="Times New Roman" w:cs="Times New Roman"/>
          <w:sz w:val="24"/>
          <w:szCs w:val="24"/>
        </w:rPr>
        <w:t>Development</w:t>
      </w:r>
      <w:proofErr w:type="spellEnd"/>
      <w:r w:rsidRPr="00BD7E30">
        <w:rPr>
          <w:rFonts w:ascii="Times New Roman" w:hAnsi="Times New Roman" w:cs="Times New Roman"/>
          <w:sz w:val="24"/>
          <w:szCs w:val="24"/>
        </w:rPr>
        <w:t xml:space="preserve"> Smart Innovation </w:t>
      </w:r>
      <w:proofErr w:type="spellStart"/>
      <w:r w:rsidRPr="00BD7E30">
        <w:rPr>
          <w:rFonts w:ascii="Times New Roman" w:hAnsi="Times New Roman" w:cs="Times New Roman"/>
          <w:sz w:val="24"/>
          <w:szCs w:val="24"/>
        </w:rPr>
        <w:t>through</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Research</w:t>
      </w:r>
      <w:proofErr w:type="spellEnd"/>
      <w:r w:rsidRPr="00BD7E30">
        <w:rPr>
          <w:rFonts w:ascii="Times New Roman" w:hAnsi="Times New Roman" w:cs="Times New Roman"/>
          <w:sz w:val="24"/>
          <w:szCs w:val="24"/>
        </w:rPr>
        <w:t xml:space="preserve"> in Agriculture (2022) « Activité A1.1 Identification des zones cibles et des NUS tolérantes au stress Fiche sur la </w:t>
      </w:r>
      <w:proofErr w:type="spellStart"/>
      <w:r w:rsidRPr="00BD7E30">
        <w:rPr>
          <w:rFonts w:ascii="Times New Roman" w:hAnsi="Times New Roman" w:cs="Times New Roman"/>
          <w:sz w:val="24"/>
          <w:szCs w:val="24"/>
        </w:rPr>
        <w:t>Fabirama</w:t>
      </w:r>
      <w:proofErr w:type="spellEnd"/>
      <w:r w:rsidRPr="00BD7E30">
        <w:rPr>
          <w:rFonts w:ascii="Times New Roman" w:hAnsi="Times New Roman" w:cs="Times New Roman"/>
          <w:sz w:val="24"/>
          <w:szCs w:val="24"/>
        </w:rPr>
        <w:t xml:space="preserve"> ». Disponible </w:t>
      </w:r>
      <w:proofErr w:type="gramStart"/>
      <w:r w:rsidRPr="00BD7E30">
        <w:rPr>
          <w:rFonts w:ascii="Times New Roman" w:hAnsi="Times New Roman" w:cs="Times New Roman"/>
          <w:sz w:val="24"/>
          <w:szCs w:val="24"/>
        </w:rPr>
        <w:t>sur:</w:t>
      </w:r>
      <w:proofErr w:type="gramEnd"/>
      <w:r w:rsidRPr="00BD7E30">
        <w:rPr>
          <w:rFonts w:ascii="Times New Roman" w:hAnsi="Times New Roman" w:cs="Times New Roman"/>
          <w:sz w:val="24"/>
          <w:szCs w:val="24"/>
        </w:rPr>
        <w:t xml:space="preserve"> </w:t>
      </w:r>
      <w:hyperlink r:id="rId16" w:history="1">
        <w:r w:rsidRPr="00BD7E30">
          <w:rPr>
            <w:rStyle w:val="Hyperlink"/>
            <w:rFonts w:ascii="Times New Roman" w:hAnsi="Times New Roman" w:cs="Times New Roman"/>
            <w:sz w:val="24"/>
            <w:szCs w:val="24"/>
          </w:rPr>
          <w:t>https://www.sustlives.eu/wp-content/uploads/2022/05/Fabirama.pdf</w:t>
        </w:r>
      </w:hyperlink>
      <w:r w:rsidRPr="00BD7E30">
        <w:rPr>
          <w:rFonts w:ascii="Times New Roman" w:hAnsi="Times New Roman" w:cs="Times New Roman"/>
          <w:sz w:val="24"/>
          <w:szCs w:val="24"/>
        </w:rPr>
        <w:t xml:space="preserve"> </w:t>
      </w:r>
    </w:p>
    <w:p w14:paraId="6B9C705A" w14:textId="6B8F1585" w:rsidR="003B15D7" w:rsidRPr="00BD7E30" w:rsidRDefault="003B15D7" w:rsidP="00BD7E30">
      <w:pPr>
        <w:spacing w:after="0" w:line="480" w:lineRule="auto"/>
        <w:jc w:val="both"/>
        <w:rPr>
          <w:rFonts w:ascii="Times New Roman" w:hAnsi="Times New Roman" w:cs="Times New Roman"/>
          <w:sz w:val="24"/>
          <w:szCs w:val="24"/>
        </w:rPr>
      </w:pPr>
      <w:r w:rsidRPr="00BD7E30">
        <w:rPr>
          <w:rFonts w:ascii="Times New Roman" w:hAnsi="Times New Roman" w:cs="Times New Roman"/>
          <w:sz w:val="24"/>
          <w:szCs w:val="24"/>
        </w:rPr>
        <w:t xml:space="preserve">Di X, Wang Q, Zhang F, Feng H, Wang X, Cai C. 2024. </w:t>
      </w:r>
      <w:proofErr w:type="spellStart"/>
      <w:r w:rsidRPr="00BD7E30">
        <w:rPr>
          <w:rFonts w:ascii="Times New Roman" w:hAnsi="Times New Roman" w:cs="Times New Roman"/>
          <w:sz w:val="24"/>
          <w:szCs w:val="24"/>
        </w:rPr>
        <w:t>Advances</w:t>
      </w:r>
      <w:proofErr w:type="spellEnd"/>
      <w:r w:rsidRPr="00BD7E30">
        <w:rPr>
          <w:rFonts w:ascii="Times New Roman" w:hAnsi="Times New Roman" w:cs="Times New Roman"/>
          <w:sz w:val="24"/>
          <w:szCs w:val="24"/>
        </w:rPr>
        <w:t xml:space="preserve"> in the Modulation of Potato Tuber </w:t>
      </w:r>
      <w:proofErr w:type="spellStart"/>
      <w:r w:rsidRPr="00BD7E30">
        <w:rPr>
          <w:rFonts w:ascii="Times New Roman" w:hAnsi="Times New Roman" w:cs="Times New Roman"/>
          <w:sz w:val="24"/>
          <w:szCs w:val="24"/>
        </w:rPr>
        <w:t>Dormancy</w:t>
      </w:r>
      <w:proofErr w:type="spellEnd"/>
      <w:r w:rsidRPr="00BD7E30">
        <w:rPr>
          <w:rFonts w:ascii="Times New Roman" w:hAnsi="Times New Roman" w:cs="Times New Roman"/>
          <w:sz w:val="24"/>
          <w:szCs w:val="24"/>
        </w:rPr>
        <w:t xml:space="preserve"> and </w:t>
      </w:r>
      <w:proofErr w:type="spellStart"/>
      <w:r w:rsidRPr="00BD7E30">
        <w:rPr>
          <w:rFonts w:ascii="Times New Roman" w:hAnsi="Times New Roman" w:cs="Times New Roman"/>
          <w:sz w:val="24"/>
          <w:szCs w:val="24"/>
        </w:rPr>
        <w:t>Sprouting</w:t>
      </w:r>
      <w:proofErr w:type="spellEnd"/>
      <w:r w:rsidRPr="00BD7E30">
        <w:rPr>
          <w:rFonts w:ascii="Times New Roman" w:hAnsi="Times New Roman" w:cs="Times New Roman"/>
          <w:sz w:val="24"/>
          <w:szCs w:val="24"/>
        </w:rPr>
        <w:t xml:space="preserve">. Int J Mol </w:t>
      </w:r>
      <w:proofErr w:type="spellStart"/>
      <w:r w:rsidRPr="00BD7E30">
        <w:rPr>
          <w:rFonts w:ascii="Times New Roman" w:hAnsi="Times New Roman" w:cs="Times New Roman"/>
          <w:sz w:val="24"/>
          <w:szCs w:val="24"/>
        </w:rPr>
        <w:t>Sci</w:t>
      </w:r>
      <w:proofErr w:type="spellEnd"/>
      <w:r w:rsidRPr="00BD7E30">
        <w:rPr>
          <w:rFonts w:ascii="Times New Roman" w:hAnsi="Times New Roman" w:cs="Times New Roman"/>
          <w:sz w:val="24"/>
          <w:szCs w:val="24"/>
        </w:rPr>
        <w:t xml:space="preserve"> </w:t>
      </w:r>
      <w:proofErr w:type="gramStart"/>
      <w:r w:rsidRPr="00BD7E30">
        <w:rPr>
          <w:rFonts w:ascii="Times New Roman" w:hAnsi="Times New Roman" w:cs="Times New Roman"/>
          <w:sz w:val="24"/>
          <w:szCs w:val="24"/>
        </w:rPr>
        <w:t>2024;</w:t>
      </w:r>
      <w:proofErr w:type="gramEnd"/>
      <w:r w:rsidRPr="00BD7E30">
        <w:rPr>
          <w:rFonts w:ascii="Times New Roman" w:hAnsi="Times New Roman" w:cs="Times New Roman"/>
          <w:sz w:val="24"/>
          <w:szCs w:val="24"/>
        </w:rPr>
        <w:t xml:space="preserve">25(10):art. 10. </w:t>
      </w:r>
      <w:hyperlink r:id="rId17" w:history="1">
        <w:r w:rsidRPr="00BD7E30">
          <w:rPr>
            <w:rStyle w:val="Hyperlink"/>
            <w:rFonts w:ascii="Times New Roman" w:hAnsi="Times New Roman" w:cs="Times New Roman"/>
            <w:sz w:val="24"/>
            <w:szCs w:val="24"/>
          </w:rPr>
          <w:t>https://doi.org/10.3390/ijms25105078</w:t>
        </w:r>
      </w:hyperlink>
    </w:p>
    <w:p w14:paraId="75ABF837" w14:textId="5B177758" w:rsidR="003B15D7" w:rsidRPr="00BD7E30" w:rsidRDefault="003B15D7" w:rsidP="00BD7E30">
      <w:pPr>
        <w:pStyle w:val="Bibliography"/>
        <w:spacing w:after="0" w:line="480" w:lineRule="auto"/>
        <w:jc w:val="both"/>
        <w:rPr>
          <w:rFonts w:ascii="Times New Roman" w:hAnsi="Times New Roman" w:cs="Times New Roman"/>
          <w:sz w:val="24"/>
          <w:szCs w:val="24"/>
        </w:rPr>
      </w:pPr>
      <w:r w:rsidRPr="00BD7E30">
        <w:rPr>
          <w:rFonts w:ascii="Times New Roman" w:hAnsi="Times New Roman" w:cs="Times New Roman"/>
          <w:sz w:val="24"/>
          <w:szCs w:val="24"/>
        </w:rPr>
        <w:t xml:space="preserve">El </w:t>
      </w:r>
      <w:proofErr w:type="spellStart"/>
      <w:r w:rsidRPr="00BD7E30">
        <w:rPr>
          <w:rFonts w:ascii="Times New Roman" w:hAnsi="Times New Roman" w:cs="Times New Roman"/>
          <w:sz w:val="24"/>
          <w:szCs w:val="24"/>
        </w:rPr>
        <w:t>Bilali</w:t>
      </w:r>
      <w:proofErr w:type="spellEnd"/>
      <w:r w:rsidRPr="00BD7E30">
        <w:rPr>
          <w:rFonts w:ascii="Times New Roman" w:hAnsi="Times New Roman" w:cs="Times New Roman"/>
          <w:sz w:val="24"/>
          <w:szCs w:val="24"/>
        </w:rPr>
        <w:t xml:space="preserve">, H. </w:t>
      </w:r>
      <w:r w:rsidRPr="00BD7E30">
        <w:rPr>
          <w:rFonts w:ascii="Times New Roman" w:hAnsi="Times New Roman" w:cs="Times New Roman"/>
          <w:i/>
          <w:iCs/>
          <w:sz w:val="24"/>
          <w:szCs w:val="24"/>
        </w:rPr>
        <w:t>et al.</w:t>
      </w:r>
      <w:r w:rsidRPr="00BD7E30">
        <w:rPr>
          <w:rFonts w:ascii="Times New Roman" w:hAnsi="Times New Roman" w:cs="Times New Roman"/>
          <w:sz w:val="24"/>
          <w:szCs w:val="24"/>
        </w:rPr>
        <w:t xml:space="preserve"> (2024) Conservation and Promotion of </w:t>
      </w:r>
      <w:proofErr w:type="spellStart"/>
      <w:r w:rsidRPr="00BD7E30">
        <w:rPr>
          <w:rFonts w:ascii="Times New Roman" w:hAnsi="Times New Roman" w:cs="Times New Roman"/>
          <w:sz w:val="24"/>
          <w:szCs w:val="24"/>
        </w:rPr>
        <w:t>Neglected</w:t>
      </w:r>
      <w:proofErr w:type="spellEnd"/>
      <w:r w:rsidRPr="00BD7E30">
        <w:rPr>
          <w:rFonts w:ascii="Times New Roman" w:hAnsi="Times New Roman" w:cs="Times New Roman"/>
          <w:sz w:val="24"/>
          <w:szCs w:val="24"/>
        </w:rPr>
        <w:t xml:space="preserve"> and </w:t>
      </w:r>
      <w:proofErr w:type="spellStart"/>
      <w:r w:rsidRPr="00BD7E30">
        <w:rPr>
          <w:rFonts w:ascii="Times New Roman" w:hAnsi="Times New Roman" w:cs="Times New Roman"/>
          <w:sz w:val="24"/>
          <w:szCs w:val="24"/>
        </w:rPr>
        <w:t>Underutilized</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Crop</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Species</w:t>
      </w:r>
      <w:proofErr w:type="spellEnd"/>
      <w:r w:rsidRPr="00BD7E30">
        <w:rPr>
          <w:rFonts w:ascii="Times New Roman" w:hAnsi="Times New Roman" w:cs="Times New Roman"/>
          <w:sz w:val="24"/>
          <w:szCs w:val="24"/>
        </w:rPr>
        <w:t xml:space="preserve"> in West </w:t>
      </w:r>
      <w:proofErr w:type="spellStart"/>
      <w:proofErr w:type="gramStart"/>
      <w:r w:rsidRPr="00BD7E30">
        <w:rPr>
          <w:rFonts w:ascii="Times New Roman" w:hAnsi="Times New Roman" w:cs="Times New Roman"/>
          <w:sz w:val="24"/>
          <w:szCs w:val="24"/>
        </w:rPr>
        <w:t>Africa</w:t>
      </w:r>
      <w:proofErr w:type="spellEnd"/>
      <w:r w:rsidRPr="00BD7E30">
        <w:rPr>
          <w:rFonts w:ascii="Times New Roman" w:hAnsi="Times New Roman" w:cs="Times New Roman"/>
          <w:sz w:val="24"/>
          <w:szCs w:val="24"/>
        </w:rPr>
        <w:t>:</w:t>
      </w:r>
      <w:proofErr w:type="gramEnd"/>
      <w:r w:rsidRPr="00BD7E30">
        <w:rPr>
          <w:rFonts w:ascii="Times New Roman" w:hAnsi="Times New Roman" w:cs="Times New Roman"/>
          <w:sz w:val="24"/>
          <w:szCs w:val="24"/>
        </w:rPr>
        <w:t xml:space="preserve"> Policy and </w:t>
      </w:r>
      <w:proofErr w:type="spellStart"/>
      <w:r w:rsidRPr="00BD7E30">
        <w:rPr>
          <w:rFonts w:ascii="Times New Roman" w:hAnsi="Times New Roman" w:cs="Times New Roman"/>
          <w:sz w:val="24"/>
          <w:szCs w:val="24"/>
        </w:rPr>
        <w:t>Governance</w:t>
      </w:r>
      <w:proofErr w:type="spellEnd"/>
      <w:r w:rsidRPr="00BD7E30">
        <w:rPr>
          <w:rFonts w:ascii="Times New Roman" w:hAnsi="Times New Roman" w:cs="Times New Roman"/>
          <w:sz w:val="24"/>
          <w:szCs w:val="24"/>
        </w:rPr>
        <w:t xml:space="preserve"> », </w:t>
      </w:r>
      <w:proofErr w:type="spellStart"/>
      <w:r w:rsidRPr="00BD7E30">
        <w:rPr>
          <w:rFonts w:ascii="Times New Roman" w:hAnsi="Times New Roman" w:cs="Times New Roman"/>
          <w:i/>
          <w:iCs/>
          <w:sz w:val="24"/>
          <w:szCs w:val="24"/>
        </w:rPr>
        <w:t>Sustainability</w:t>
      </w:r>
      <w:proofErr w:type="spellEnd"/>
      <w:r w:rsidRPr="00BD7E30">
        <w:rPr>
          <w:rFonts w:ascii="Times New Roman" w:hAnsi="Times New Roman" w:cs="Times New Roman"/>
          <w:sz w:val="24"/>
          <w:szCs w:val="24"/>
        </w:rPr>
        <w:t xml:space="preserve">, 16(14), p. 6194. </w:t>
      </w:r>
      <w:hyperlink r:id="rId18" w:history="1">
        <w:r w:rsidRPr="00BD7E30">
          <w:rPr>
            <w:rStyle w:val="Hyperlink"/>
            <w:rFonts w:ascii="Times New Roman" w:hAnsi="Times New Roman" w:cs="Times New Roman"/>
            <w:sz w:val="24"/>
            <w:szCs w:val="24"/>
          </w:rPr>
          <w:t>https://doi.org/10.3390/su16146194</w:t>
        </w:r>
      </w:hyperlink>
      <w:r w:rsidRPr="00BD7E30">
        <w:rPr>
          <w:rFonts w:ascii="Times New Roman" w:hAnsi="Times New Roman" w:cs="Times New Roman"/>
          <w:sz w:val="24"/>
          <w:szCs w:val="24"/>
        </w:rPr>
        <w:t xml:space="preserve"> </w:t>
      </w:r>
    </w:p>
    <w:p w14:paraId="76251B60" w14:textId="435C1BB2" w:rsidR="003B15D7" w:rsidRPr="00BD7E30" w:rsidRDefault="003B15D7" w:rsidP="00BD7E30">
      <w:pPr>
        <w:pStyle w:val="Bibliography"/>
        <w:spacing w:after="0" w:line="480" w:lineRule="auto"/>
        <w:jc w:val="both"/>
        <w:rPr>
          <w:rFonts w:ascii="Times New Roman" w:hAnsi="Times New Roman" w:cs="Times New Roman"/>
          <w:sz w:val="24"/>
          <w:szCs w:val="24"/>
        </w:rPr>
      </w:pPr>
      <w:r w:rsidRPr="00BD7E30">
        <w:rPr>
          <w:rFonts w:ascii="Times New Roman" w:hAnsi="Times New Roman" w:cs="Times New Roman"/>
          <w:sz w:val="24"/>
          <w:szCs w:val="24"/>
        </w:rPr>
        <w:t xml:space="preserve">Fernie, A.R. et </w:t>
      </w:r>
      <w:proofErr w:type="spellStart"/>
      <w:r w:rsidRPr="00BD7E30">
        <w:rPr>
          <w:rFonts w:ascii="Times New Roman" w:hAnsi="Times New Roman" w:cs="Times New Roman"/>
          <w:sz w:val="24"/>
          <w:szCs w:val="24"/>
        </w:rPr>
        <w:t>Willmitzer</w:t>
      </w:r>
      <w:proofErr w:type="spellEnd"/>
      <w:r w:rsidRPr="00BD7E30">
        <w:rPr>
          <w:rFonts w:ascii="Times New Roman" w:hAnsi="Times New Roman" w:cs="Times New Roman"/>
          <w:sz w:val="24"/>
          <w:szCs w:val="24"/>
        </w:rPr>
        <w:t>, L. (2001) « </w:t>
      </w:r>
      <w:proofErr w:type="spellStart"/>
      <w:r w:rsidRPr="00BD7E30">
        <w:rPr>
          <w:rFonts w:ascii="Times New Roman" w:hAnsi="Times New Roman" w:cs="Times New Roman"/>
          <w:sz w:val="24"/>
          <w:szCs w:val="24"/>
        </w:rPr>
        <w:t>Molecular</w:t>
      </w:r>
      <w:proofErr w:type="spellEnd"/>
      <w:r w:rsidRPr="00BD7E30">
        <w:rPr>
          <w:rFonts w:ascii="Times New Roman" w:hAnsi="Times New Roman" w:cs="Times New Roman"/>
          <w:sz w:val="24"/>
          <w:szCs w:val="24"/>
        </w:rPr>
        <w:t xml:space="preserve"> and </w:t>
      </w:r>
      <w:proofErr w:type="spellStart"/>
      <w:r w:rsidRPr="00BD7E30">
        <w:rPr>
          <w:rFonts w:ascii="Times New Roman" w:hAnsi="Times New Roman" w:cs="Times New Roman"/>
          <w:sz w:val="24"/>
          <w:szCs w:val="24"/>
        </w:rPr>
        <w:t>Biochemical</w:t>
      </w:r>
      <w:proofErr w:type="spellEnd"/>
      <w:r w:rsidRPr="00BD7E30">
        <w:rPr>
          <w:rFonts w:ascii="Times New Roman" w:hAnsi="Times New Roman" w:cs="Times New Roman"/>
          <w:sz w:val="24"/>
          <w:szCs w:val="24"/>
        </w:rPr>
        <w:t xml:space="preserve"> Triggers of Potato Tuber </w:t>
      </w:r>
      <w:proofErr w:type="spellStart"/>
      <w:r w:rsidRPr="00BD7E30">
        <w:rPr>
          <w:rFonts w:ascii="Times New Roman" w:hAnsi="Times New Roman" w:cs="Times New Roman"/>
          <w:sz w:val="24"/>
          <w:szCs w:val="24"/>
        </w:rPr>
        <w:t>Development</w:t>
      </w:r>
      <w:proofErr w:type="spellEnd"/>
      <w:r w:rsidRPr="00BD7E30">
        <w:rPr>
          <w:rFonts w:ascii="Times New Roman" w:hAnsi="Times New Roman" w:cs="Times New Roman"/>
          <w:sz w:val="24"/>
          <w:szCs w:val="24"/>
        </w:rPr>
        <w:t xml:space="preserve"> ». </w:t>
      </w:r>
      <w:hyperlink r:id="rId19" w:history="1">
        <w:r w:rsidRPr="00BD7E30">
          <w:rPr>
            <w:rStyle w:val="Hyperlink"/>
            <w:rFonts w:ascii="Times New Roman" w:hAnsi="Times New Roman" w:cs="Times New Roman"/>
            <w:sz w:val="24"/>
            <w:szCs w:val="24"/>
          </w:rPr>
          <w:t>https://dx.doi.org/10.1104/pp.010764</w:t>
        </w:r>
      </w:hyperlink>
      <w:r w:rsidRPr="00BD7E30">
        <w:rPr>
          <w:rFonts w:ascii="Times New Roman" w:hAnsi="Times New Roman" w:cs="Times New Roman"/>
          <w:sz w:val="24"/>
          <w:szCs w:val="24"/>
        </w:rPr>
        <w:t xml:space="preserve"> </w:t>
      </w:r>
    </w:p>
    <w:p w14:paraId="7D35E375" w14:textId="77777777" w:rsidR="003B15D7" w:rsidRPr="00BD7E30" w:rsidRDefault="003B15D7" w:rsidP="00BD7E30">
      <w:pPr>
        <w:pStyle w:val="Bibliography"/>
        <w:spacing w:after="0" w:line="480" w:lineRule="auto"/>
        <w:jc w:val="both"/>
        <w:rPr>
          <w:rFonts w:ascii="Times New Roman" w:hAnsi="Times New Roman" w:cs="Times New Roman"/>
          <w:sz w:val="24"/>
          <w:szCs w:val="24"/>
        </w:rPr>
      </w:pPr>
      <w:proofErr w:type="spellStart"/>
      <w:r w:rsidRPr="00BD7E30">
        <w:rPr>
          <w:rFonts w:ascii="Times New Roman" w:hAnsi="Times New Roman" w:cs="Times New Roman"/>
          <w:sz w:val="24"/>
          <w:szCs w:val="24"/>
        </w:rPr>
        <w:t>Gadissa</w:t>
      </w:r>
      <w:proofErr w:type="spellEnd"/>
      <w:r w:rsidRPr="00BD7E30">
        <w:rPr>
          <w:rFonts w:ascii="Times New Roman" w:hAnsi="Times New Roman" w:cs="Times New Roman"/>
          <w:sz w:val="24"/>
          <w:szCs w:val="24"/>
        </w:rPr>
        <w:t xml:space="preserve">, F., </w:t>
      </w:r>
      <w:proofErr w:type="spellStart"/>
      <w:r w:rsidRPr="00BD7E30">
        <w:rPr>
          <w:rFonts w:ascii="Times New Roman" w:hAnsi="Times New Roman" w:cs="Times New Roman"/>
          <w:sz w:val="24"/>
          <w:szCs w:val="24"/>
        </w:rPr>
        <w:t>Kassaye</w:t>
      </w:r>
      <w:proofErr w:type="spellEnd"/>
      <w:r w:rsidRPr="00BD7E30">
        <w:rPr>
          <w:rFonts w:ascii="Times New Roman" w:hAnsi="Times New Roman" w:cs="Times New Roman"/>
          <w:sz w:val="24"/>
          <w:szCs w:val="24"/>
        </w:rPr>
        <w:t xml:space="preserve">, Z. et </w:t>
      </w:r>
      <w:proofErr w:type="spellStart"/>
      <w:r w:rsidRPr="00BD7E30">
        <w:rPr>
          <w:rFonts w:ascii="Times New Roman" w:hAnsi="Times New Roman" w:cs="Times New Roman"/>
          <w:sz w:val="24"/>
          <w:szCs w:val="24"/>
        </w:rPr>
        <w:t>Abiyu</w:t>
      </w:r>
      <w:proofErr w:type="spellEnd"/>
      <w:r w:rsidRPr="00BD7E30">
        <w:rPr>
          <w:rFonts w:ascii="Times New Roman" w:hAnsi="Times New Roman" w:cs="Times New Roman"/>
          <w:sz w:val="24"/>
          <w:szCs w:val="24"/>
        </w:rPr>
        <w:t>, S. (2022) « </w:t>
      </w:r>
      <w:proofErr w:type="spellStart"/>
      <w:r w:rsidRPr="00BD7E30">
        <w:rPr>
          <w:rFonts w:ascii="Times New Roman" w:hAnsi="Times New Roman" w:cs="Times New Roman"/>
          <w:sz w:val="24"/>
          <w:szCs w:val="24"/>
        </w:rPr>
        <w:t>Assessment</w:t>
      </w:r>
      <w:proofErr w:type="spellEnd"/>
      <w:r w:rsidRPr="00BD7E30">
        <w:rPr>
          <w:rFonts w:ascii="Times New Roman" w:hAnsi="Times New Roman" w:cs="Times New Roman"/>
          <w:sz w:val="24"/>
          <w:szCs w:val="24"/>
        </w:rPr>
        <w:t xml:space="preserve"> of the </w:t>
      </w:r>
      <w:proofErr w:type="spellStart"/>
      <w:r w:rsidRPr="00BD7E30">
        <w:rPr>
          <w:rFonts w:ascii="Times New Roman" w:hAnsi="Times New Roman" w:cs="Times New Roman"/>
          <w:sz w:val="24"/>
          <w:szCs w:val="24"/>
        </w:rPr>
        <w:t>Effects</w:t>
      </w:r>
      <w:proofErr w:type="spellEnd"/>
      <w:r w:rsidRPr="00BD7E30">
        <w:rPr>
          <w:rFonts w:ascii="Times New Roman" w:hAnsi="Times New Roman" w:cs="Times New Roman"/>
          <w:sz w:val="24"/>
          <w:szCs w:val="24"/>
        </w:rPr>
        <w:t xml:space="preserve"> of </w:t>
      </w:r>
      <w:proofErr w:type="spellStart"/>
      <w:r w:rsidRPr="00BD7E30">
        <w:rPr>
          <w:rFonts w:ascii="Times New Roman" w:hAnsi="Times New Roman" w:cs="Times New Roman"/>
          <w:sz w:val="24"/>
          <w:szCs w:val="24"/>
        </w:rPr>
        <w:t>Seed</w:t>
      </w:r>
      <w:proofErr w:type="spellEnd"/>
      <w:r w:rsidRPr="00BD7E30">
        <w:rPr>
          <w:rFonts w:ascii="Times New Roman" w:hAnsi="Times New Roman" w:cs="Times New Roman"/>
          <w:sz w:val="24"/>
          <w:szCs w:val="24"/>
        </w:rPr>
        <w:t xml:space="preserve"> Storage Time on Germination Rate and Performance Evaluation of Ethiopian </w:t>
      </w:r>
      <w:proofErr w:type="spellStart"/>
      <w:r w:rsidRPr="00BD7E30">
        <w:rPr>
          <w:rFonts w:ascii="Times New Roman" w:hAnsi="Times New Roman" w:cs="Times New Roman"/>
          <w:sz w:val="24"/>
          <w:szCs w:val="24"/>
        </w:rPr>
        <w:t>Faba</w:t>
      </w:r>
      <w:proofErr w:type="spellEnd"/>
      <w:r w:rsidRPr="00BD7E30">
        <w:rPr>
          <w:rFonts w:ascii="Times New Roman" w:hAnsi="Times New Roman" w:cs="Times New Roman"/>
          <w:sz w:val="24"/>
          <w:szCs w:val="24"/>
        </w:rPr>
        <w:t xml:space="preserve"> Bean (Vicia </w:t>
      </w:r>
      <w:proofErr w:type="spellStart"/>
      <w:r w:rsidRPr="00BD7E30">
        <w:rPr>
          <w:rFonts w:ascii="Times New Roman" w:hAnsi="Times New Roman" w:cs="Times New Roman"/>
          <w:sz w:val="24"/>
          <w:szCs w:val="24"/>
        </w:rPr>
        <w:t>faba</w:t>
      </w:r>
      <w:proofErr w:type="spellEnd"/>
      <w:r w:rsidRPr="00BD7E30">
        <w:rPr>
          <w:rFonts w:ascii="Times New Roman" w:hAnsi="Times New Roman" w:cs="Times New Roman"/>
          <w:sz w:val="24"/>
          <w:szCs w:val="24"/>
        </w:rPr>
        <w:t xml:space="preserve"> L.) </w:t>
      </w:r>
      <w:proofErr w:type="spellStart"/>
      <w:r w:rsidRPr="00BD7E30">
        <w:rPr>
          <w:rFonts w:ascii="Times New Roman" w:hAnsi="Times New Roman" w:cs="Times New Roman"/>
          <w:sz w:val="24"/>
          <w:szCs w:val="24"/>
        </w:rPr>
        <w:t>Varieties</w:t>
      </w:r>
      <w:proofErr w:type="spellEnd"/>
      <w:r w:rsidRPr="00BD7E30">
        <w:rPr>
          <w:rFonts w:ascii="Times New Roman" w:hAnsi="Times New Roman" w:cs="Times New Roman"/>
          <w:sz w:val="24"/>
          <w:szCs w:val="24"/>
        </w:rPr>
        <w:t xml:space="preserve"> for </w:t>
      </w:r>
      <w:proofErr w:type="spellStart"/>
      <w:r w:rsidRPr="00BD7E30">
        <w:rPr>
          <w:rFonts w:ascii="Times New Roman" w:hAnsi="Times New Roman" w:cs="Times New Roman"/>
          <w:sz w:val="24"/>
          <w:szCs w:val="24"/>
        </w:rPr>
        <w:t>Yield</w:t>
      </w:r>
      <w:proofErr w:type="spellEnd"/>
      <w:r w:rsidRPr="00BD7E30">
        <w:rPr>
          <w:rFonts w:ascii="Times New Roman" w:hAnsi="Times New Roman" w:cs="Times New Roman"/>
          <w:sz w:val="24"/>
          <w:szCs w:val="24"/>
        </w:rPr>
        <w:t xml:space="preserve"> and </w:t>
      </w:r>
      <w:proofErr w:type="spellStart"/>
      <w:r w:rsidRPr="00BD7E30">
        <w:rPr>
          <w:rFonts w:ascii="Times New Roman" w:hAnsi="Times New Roman" w:cs="Times New Roman"/>
          <w:sz w:val="24"/>
          <w:szCs w:val="24"/>
        </w:rPr>
        <w:t>Related</w:t>
      </w:r>
      <w:proofErr w:type="spellEnd"/>
      <w:r w:rsidRPr="00BD7E30">
        <w:rPr>
          <w:rFonts w:ascii="Times New Roman" w:hAnsi="Times New Roman" w:cs="Times New Roman"/>
          <w:sz w:val="24"/>
          <w:szCs w:val="24"/>
        </w:rPr>
        <w:t xml:space="preserve"> Traits », </w:t>
      </w:r>
      <w:r w:rsidRPr="00BD7E30">
        <w:rPr>
          <w:rFonts w:ascii="Times New Roman" w:hAnsi="Times New Roman" w:cs="Times New Roman"/>
          <w:i/>
          <w:iCs/>
          <w:sz w:val="24"/>
          <w:szCs w:val="24"/>
        </w:rPr>
        <w:t>The Scientific World Journal</w:t>
      </w:r>
      <w:r w:rsidRPr="00BD7E30">
        <w:rPr>
          <w:rFonts w:ascii="Times New Roman" w:hAnsi="Times New Roman" w:cs="Times New Roman"/>
          <w:sz w:val="24"/>
          <w:szCs w:val="24"/>
        </w:rPr>
        <w:t xml:space="preserve">, 2022, p. 6338939. </w:t>
      </w:r>
      <w:hyperlink r:id="rId20" w:history="1">
        <w:r w:rsidRPr="00BD7E30">
          <w:rPr>
            <w:rStyle w:val="Hyperlink"/>
            <w:rFonts w:ascii="Times New Roman" w:hAnsi="Times New Roman" w:cs="Times New Roman"/>
            <w:sz w:val="24"/>
            <w:szCs w:val="24"/>
          </w:rPr>
          <w:t>https://doi.org/10.1155/2022/6338939</w:t>
        </w:r>
      </w:hyperlink>
      <w:r w:rsidRPr="00BD7E30">
        <w:rPr>
          <w:rFonts w:ascii="Times New Roman" w:hAnsi="Times New Roman" w:cs="Times New Roman"/>
          <w:sz w:val="24"/>
          <w:szCs w:val="24"/>
        </w:rPr>
        <w:t xml:space="preserve"> </w:t>
      </w:r>
    </w:p>
    <w:p w14:paraId="1702179E" w14:textId="77777777" w:rsidR="00BD7E30" w:rsidRPr="00BD7E30" w:rsidRDefault="003B15D7" w:rsidP="00BD7E30">
      <w:pPr>
        <w:pStyle w:val="Bibliography"/>
        <w:spacing w:after="0" w:line="480" w:lineRule="auto"/>
        <w:jc w:val="both"/>
        <w:rPr>
          <w:rFonts w:ascii="Times New Roman" w:hAnsi="Times New Roman" w:cs="Times New Roman"/>
          <w:sz w:val="24"/>
          <w:szCs w:val="24"/>
        </w:rPr>
      </w:pPr>
      <w:proofErr w:type="spellStart"/>
      <w:r w:rsidRPr="00BD7E30">
        <w:rPr>
          <w:rFonts w:ascii="Times New Roman" w:hAnsi="Times New Roman" w:cs="Times New Roman"/>
          <w:sz w:val="24"/>
          <w:szCs w:val="24"/>
        </w:rPr>
        <w:t>Guzzon</w:t>
      </w:r>
      <w:proofErr w:type="spellEnd"/>
      <w:r w:rsidRPr="00BD7E30">
        <w:rPr>
          <w:rFonts w:ascii="Times New Roman" w:hAnsi="Times New Roman" w:cs="Times New Roman"/>
          <w:sz w:val="24"/>
          <w:szCs w:val="24"/>
        </w:rPr>
        <w:t xml:space="preserve">, F. </w:t>
      </w:r>
      <w:r w:rsidRPr="00BD7E30">
        <w:rPr>
          <w:rFonts w:ascii="Times New Roman" w:hAnsi="Times New Roman" w:cs="Times New Roman"/>
          <w:i/>
          <w:iCs/>
          <w:sz w:val="24"/>
          <w:szCs w:val="24"/>
        </w:rPr>
        <w:t>et al.</w:t>
      </w:r>
      <w:r w:rsidRPr="00BD7E30">
        <w:rPr>
          <w:rFonts w:ascii="Times New Roman" w:hAnsi="Times New Roman" w:cs="Times New Roman"/>
          <w:sz w:val="24"/>
          <w:szCs w:val="24"/>
        </w:rPr>
        <w:t xml:space="preserve"> (2024) « Applications of dry </w:t>
      </w:r>
      <w:proofErr w:type="spellStart"/>
      <w:r w:rsidRPr="00BD7E30">
        <w:rPr>
          <w:rFonts w:ascii="Times New Roman" w:hAnsi="Times New Roman" w:cs="Times New Roman"/>
          <w:sz w:val="24"/>
          <w:szCs w:val="24"/>
        </w:rPr>
        <w:t>chain</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technology</w:t>
      </w:r>
      <w:proofErr w:type="spellEnd"/>
      <w:r w:rsidRPr="00BD7E30">
        <w:rPr>
          <w:rFonts w:ascii="Times New Roman" w:hAnsi="Times New Roman" w:cs="Times New Roman"/>
          <w:sz w:val="24"/>
          <w:szCs w:val="24"/>
        </w:rPr>
        <w:t xml:space="preserve"> to </w:t>
      </w:r>
      <w:proofErr w:type="spellStart"/>
      <w:r w:rsidRPr="00BD7E30">
        <w:rPr>
          <w:rFonts w:ascii="Times New Roman" w:hAnsi="Times New Roman" w:cs="Times New Roman"/>
          <w:sz w:val="24"/>
          <w:szCs w:val="24"/>
        </w:rPr>
        <w:t>maintain</w:t>
      </w:r>
      <w:proofErr w:type="spellEnd"/>
      <w:r w:rsidRPr="00BD7E30">
        <w:rPr>
          <w:rFonts w:ascii="Times New Roman" w:hAnsi="Times New Roman" w:cs="Times New Roman"/>
          <w:sz w:val="24"/>
          <w:szCs w:val="24"/>
        </w:rPr>
        <w:t xml:space="preserve"> high </w:t>
      </w:r>
      <w:proofErr w:type="spellStart"/>
      <w:r w:rsidRPr="00BD7E30">
        <w:rPr>
          <w:rFonts w:ascii="Times New Roman" w:hAnsi="Times New Roman" w:cs="Times New Roman"/>
          <w:sz w:val="24"/>
          <w:szCs w:val="24"/>
        </w:rPr>
        <w:t>seed</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viability</w:t>
      </w:r>
      <w:proofErr w:type="spellEnd"/>
      <w:r w:rsidRPr="00BD7E30">
        <w:rPr>
          <w:rFonts w:ascii="Times New Roman" w:hAnsi="Times New Roman" w:cs="Times New Roman"/>
          <w:sz w:val="24"/>
          <w:szCs w:val="24"/>
        </w:rPr>
        <w:t xml:space="preserve"> in tropical </w:t>
      </w:r>
      <w:proofErr w:type="spellStart"/>
      <w:r w:rsidRPr="00BD7E30">
        <w:rPr>
          <w:rFonts w:ascii="Times New Roman" w:hAnsi="Times New Roman" w:cs="Times New Roman"/>
          <w:sz w:val="24"/>
          <w:szCs w:val="24"/>
        </w:rPr>
        <w:t>climates</w:t>
      </w:r>
      <w:proofErr w:type="spellEnd"/>
      <w:r w:rsidRPr="00BD7E30">
        <w:rPr>
          <w:rFonts w:ascii="Times New Roman" w:hAnsi="Times New Roman" w:cs="Times New Roman"/>
          <w:sz w:val="24"/>
          <w:szCs w:val="24"/>
        </w:rPr>
        <w:t xml:space="preserve"> », </w:t>
      </w:r>
      <w:proofErr w:type="spellStart"/>
      <w:r w:rsidRPr="00BD7E30">
        <w:rPr>
          <w:rFonts w:ascii="Times New Roman" w:hAnsi="Times New Roman" w:cs="Times New Roman"/>
          <w:i/>
          <w:iCs/>
          <w:sz w:val="24"/>
          <w:szCs w:val="24"/>
        </w:rPr>
        <w:t>PeerJ</w:t>
      </w:r>
      <w:proofErr w:type="spellEnd"/>
      <w:r w:rsidRPr="00BD7E30">
        <w:rPr>
          <w:rFonts w:ascii="Times New Roman" w:hAnsi="Times New Roman" w:cs="Times New Roman"/>
          <w:sz w:val="24"/>
          <w:szCs w:val="24"/>
        </w:rPr>
        <w:t>, 12, p. e18146.</w:t>
      </w:r>
      <w:r w:rsidR="00BD7E30" w:rsidRPr="00BD7E30">
        <w:rPr>
          <w:rFonts w:ascii="Times New Roman" w:hAnsi="Times New Roman" w:cs="Times New Roman"/>
          <w:sz w:val="24"/>
          <w:szCs w:val="24"/>
        </w:rPr>
        <w:t xml:space="preserve"> </w:t>
      </w:r>
      <w:hyperlink r:id="rId21" w:history="1">
        <w:r w:rsidR="00BD7E30" w:rsidRPr="00BD7E30">
          <w:rPr>
            <w:rStyle w:val="Hyperlink"/>
            <w:rFonts w:ascii="Times New Roman" w:hAnsi="Times New Roman" w:cs="Times New Roman"/>
            <w:sz w:val="24"/>
            <w:szCs w:val="24"/>
          </w:rPr>
          <w:t>https://doi.org/10.7717/peerj.18146</w:t>
        </w:r>
      </w:hyperlink>
      <w:r w:rsidR="00BD7E30" w:rsidRPr="00BD7E30">
        <w:rPr>
          <w:rFonts w:ascii="Times New Roman" w:hAnsi="Times New Roman" w:cs="Times New Roman"/>
          <w:sz w:val="24"/>
          <w:szCs w:val="24"/>
        </w:rPr>
        <w:t xml:space="preserve">  </w:t>
      </w:r>
    </w:p>
    <w:p w14:paraId="0BC1502A" w14:textId="75249201" w:rsidR="003B15D7" w:rsidRPr="00BD7E30" w:rsidRDefault="00BD7E30" w:rsidP="00BD7E30">
      <w:pPr>
        <w:pStyle w:val="Bibliography"/>
        <w:spacing w:after="0" w:line="480" w:lineRule="auto"/>
        <w:jc w:val="both"/>
        <w:rPr>
          <w:rFonts w:ascii="Times New Roman" w:hAnsi="Times New Roman" w:cs="Times New Roman"/>
          <w:sz w:val="24"/>
          <w:szCs w:val="24"/>
        </w:rPr>
      </w:pPr>
      <w:r w:rsidRPr="00BD7E30">
        <w:rPr>
          <w:rFonts w:ascii="Times New Roman" w:hAnsi="Times New Roman" w:cs="Times New Roman"/>
          <w:sz w:val="24"/>
          <w:szCs w:val="24"/>
        </w:rPr>
        <w:t>INSD (2023) « CARACTERISTIQUES DES MENAGES AGRICOLES DU BURKINA FASO ».</w:t>
      </w:r>
    </w:p>
    <w:p w14:paraId="19D91F09" w14:textId="377CAE27" w:rsidR="00BD7E30" w:rsidRPr="00BD7E30" w:rsidRDefault="00BD7E30" w:rsidP="00BD7E30">
      <w:pPr>
        <w:pStyle w:val="Bibliography"/>
        <w:spacing w:after="0" w:line="480" w:lineRule="auto"/>
        <w:jc w:val="both"/>
        <w:rPr>
          <w:rFonts w:ascii="Times New Roman" w:hAnsi="Times New Roman" w:cs="Times New Roman"/>
          <w:sz w:val="24"/>
          <w:szCs w:val="24"/>
        </w:rPr>
      </w:pPr>
      <w:proofErr w:type="spellStart"/>
      <w:r w:rsidRPr="00BD7E30">
        <w:rPr>
          <w:rFonts w:ascii="Times New Roman" w:hAnsi="Times New Roman" w:cs="Times New Roman"/>
          <w:sz w:val="24"/>
          <w:szCs w:val="24"/>
        </w:rPr>
        <w:t>Kwarteng</w:t>
      </w:r>
      <w:proofErr w:type="spellEnd"/>
      <w:r w:rsidRPr="00BD7E30">
        <w:rPr>
          <w:rFonts w:ascii="Times New Roman" w:hAnsi="Times New Roman" w:cs="Times New Roman"/>
          <w:sz w:val="24"/>
          <w:szCs w:val="24"/>
        </w:rPr>
        <w:t xml:space="preserve">, A.O. </w:t>
      </w:r>
      <w:r w:rsidRPr="00BD7E30">
        <w:rPr>
          <w:rFonts w:ascii="Times New Roman" w:hAnsi="Times New Roman" w:cs="Times New Roman"/>
          <w:i/>
          <w:iCs/>
          <w:sz w:val="24"/>
          <w:szCs w:val="24"/>
        </w:rPr>
        <w:t>et al.</w:t>
      </w:r>
      <w:r w:rsidRPr="00BD7E30">
        <w:rPr>
          <w:rFonts w:ascii="Times New Roman" w:hAnsi="Times New Roman" w:cs="Times New Roman"/>
          <w:sz w:val="24"/>
          <w:szCs w:val="24"/>
        </w:rPr>
        <w:t xml:space="preserve"> (2018) « </w:t>
      </w:r>
      <w:proofErr w:type="spellStart"/>
      <w:r w:rsidRPr="00BD7E30">
        <w:rPr>
          <w:rFonts w:ascii="Times New Roman" w:hAnsi="Times New Roman" w:cs="Times New Roman"/>
          <w:sz w:val="24"/>
          <w:szCs w:val="24"/>
        </w:rPr>
        <w:t>Current</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knowledge</w:t>
      </w:r>
      <w:proofErr w:type="spellEnd"/>
      <w:r w:rsidRPr="00BD7E30">
        <w:rPr>
          <w:rFonts w:ascii="Times New Roman" w:hAnsi="Times New Roman" w:cs="Times New Roman"/>
          <w:sz w:val="24"/>
          <w:szCs w:val="24"/>
        </w:rPr>
        <w:t xml:space="preserve"> and </w:t>
      </w:r>
      <w:proofErr w:type="spellStart"/>
      <w:r w:rsidRPr="00BD7E30">
        <w:rPr>
          <w:rFonts w:ascii="Times New Roman" w:hAnsi="Times New Roman" w:cs="Times New Roman"/>
          <w:sz w:val="24"/>
          <w:szCs w:val="24"/>
        </w:rPr>
        <w:t>breeding</w:t>
      </w:r>
      <w:proofErr w:type="spellEnd"/>
      <w:r w:rsidRPr="00BD7E30">
        <w:rPr>
          <w:rFonts w:ascii="Times New Roman" w:hAnsi="Times New Roman" w:cs="Times New Roman"/>
          <w:sz w:val="24"/>
          <w:szCs w:val="24"/>
        </w:rPr>
        <w:t xml:space="preserve"> avenues to </w:t>
      </w:r>
      <w:proofErr w:type="spellStart"/>
      <w:r w:rsidRPr="00BD7E30">
        <w:rPr>
          <w:rFonts w:ascii="Times New Roman" w:hAnsi="Times New Roman" w:cs="Times New Roman"/>
          <w:sz w:val="24"/>
          <w:szCs w:val="24"/>
        </w:rPr>
        <w:t>improve</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upon</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Frafra</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potato</w:t>
      </w:r>
      <w:proofErr w:type="spellEnd"/>
      <w:r w:rsidRPr="00BD7E30">
        <w:rPr>
          <w:rFonts w:ascii="Times New Roman" w:hAnsi="Times New Roman" w:cs="Times New Roman"/>
          <w:sz w:val="24"/>
          <w:szCs w:val="24"/>
        </w:rPr>
        <w:t xml:space="preserve"> (</w:t>
      </w:r>
      <w:proofErr w:type="spellStart"/>
      <w:r w:rsidRPr="00105A40">
        <w:rPr>
          <w:rFonts w:ascii="Times New Roman" w:hAnsi="Times New Roman" w:cs="Times New Roman"/>
          <w:i/>
          <w:iCs/>
          <w:sz w:val="24"/>
          <w:szCs w:val="24"/>
        </w:rPr>
        <w:t>Solenostemon</w:t>
      </w:r>
      <w:proofErr w:type="spellEnd"/>
      <w:r w:rsidRPr="00105A40">
        <w:rPr>
          <w:rFonts w:ascii="Times New Roman" w:hAnsi="Times New Roman" w:cs="Times New Roman"/>
          <w:i/>
          <w:iCs/>
          <w:sz w:val="24"/>
          <w:szCs w:val="24"/>
        </w:rPr>
        <w:t xml:space="preserve"> </w:t>
      </w:r>
      <w:proofErr w:type="spellStart"/>
      <w:r w:rsidRPr="00105A40">
        <w:rPr>
          <w:rFonts w:ascii="Times New Roman" w:hAnsi="Times New Roman" w:cs="Times New Roman"/>
          <w:i/>
          <w:iCs/>
          <w:sz w:val="24"/>
          <w:szCs w:val="24"/>
        </w:rPr>
        <w:t>rotundifolius</w:t>
      </w:r>
      <w:proofErr w:type="spellEnd"/>
      <w:r w:rsidRPr="00105A40">
        <w:rPr>
          <w:rFonts w:ascii="Times New Roman" w:hAnsi="Times New Roman" w:cs="Times New Roman"/>
          <w:i/>
          <w:iCs/>
          <w:sz w:val="24"/>
          <w:szCs w:val="24"/>
        </w:rPr>
        <w:t xml:space="preserve"> </w:t>
      </w:r>
      <w:r w:rsidRPr="00BD7E30">
        <w:rPr>
          <w:rFonts w:ascii="Times New Roman" w:hAnsi="Times New Roman" w:cs="Times New Roman"/>
          <w:sz w:val="24"/>
          <w:szCs w:val="24"/>
        </w:rPr>
        <w:t>(</w:t>
      </w:r>
      <w:proofErr w:type="spellStart"/>
      <w:r w:rsidRPr="00BD7E30">
        <w:rPr>
          <w:rFonts w:ascii="Times New Roman" w:hAnsi="Times New Roman" w:cs="Times New Roman"/>
          <w:sz w:val="24"/>
          <w:szCs w:val="24"/>
        </w:rPr>
        <w:t>Poir</w:t>
      </w:r>
      <w:proofErr w:type="spellEnd"/>
      <w:r w:rsidRPr="00BD7E30">
        <w:rPr>
          <w:rFonts w:ascii="Times New Roman" w:hAnsi="Times New Roman" w:cs="Times New Roman"/>
          <w:sz w:val="24"/>
          <w:szCs w:val="24"/>
        </w:rPr>
        <w:t xml:space="preserve">.) J. K. Morton) », </w:t>
      </w:r>
      <w:proofErr w:type="spellStart"/>
      <w:r w:rsidRPr="00BD7E30">
        <w:rPr>
          <w:rFonts w:ascii="Times New Roman" w:hAnsi="Times New Roman" w:cs="Times New Roman"/>
          <w:i/>
          <w:iCs/>
          <w:sz w:val="24"/>
          <w:szCs w:val="24"/>
        </w:rPr>
        <w:t>Genetic</w:t>
      </w:r>
      <w:proofErr w:type="spellEnd"/>
      <w:r w:rsidRPr="00BD7E30">
        <w:rPr>
          <w:rFonts w:ascii="Times New Roman" w:hAnsi="Times New Roman" w:cs="Times New Roman"/>
          <w:i/>
          <w:iCs/>
          <w:sz w:val="24"/>
          <w:szCs w:val="24"/>
        </w:rPr>
        <w:t xml:space="preserve"> </w:t>
      </w:r>
      <w:proofErr w:type="spellStart"/>
      <w:r w:rsidRPr="00BD7E30">
        <w:rPr>
          <w:rFonts w:ascii="Times New Roman" w:hAnsi="Times New Roman" w:cs="Times New Roman"/>
          <w:i/>
          <w:iCs/>
          <w:sz w:val="24"/>
          <w:szCs w:val="24"/>
        </w:rPr>
        <w:t>Resources</w:t>
      </w:r>
      <w:proofErr w:type="spellEnd"/>
      <w:r w:rsidRPr="00BD7E30">
        <w:rPr>
          <w:rFonts w:ascii="Times New Roman" w:hAnsi="Times New Roman" w:cs="Times New Roman"/>
          <w:i/>
          <w:iCs/>
          <w:sz w:val="24"/>
          <w:szCs w:val="24"/>
        </w:rPr>
        <w:t xml:space="preserve"> and </w:t>
      </w:r>
      <w:proofErr w:type="spellStart"/>
      <w:r w:rsidRPr="00BD7E30">
        <w:rPr>
          <w:rFonts w:ascii="Times New Roman" w:hAnsi="Times New Roman" w:cs="Times New Roman"/>
          <w:i/>
          <w:iCs/>
          <w:sz w:val="24"/>
          <w:szCs w:val="24"/>
        </w:rPr>
        <w:t>Crop</w:t>
      </w:r>
      <w:proofErr w:type="spellEnd"/>
      <w:r w:rsidRPr="00BD7E30">
        <w:rPr>
          <w:rFonts w:ascii="Times New Roman" w:hAnsi="Times New Roman" w:cs="Times New Roman"/>
          <w:i/>
          <w:iCs/>
          <w:sz w:val="24"/>
          <w:szCs w:val="24"/>
        </w:rPr>
        <w:t xml:space="preserve"> Evolution</w:t>
      </w:r>
      <w:r w:rsidRPr="00BD7E30">
        <w:rPr>
          <w:rFonts w:ascii="Times New Roman" w:hAnsi="Times New Roman" w:cs="Times New Roman"/>
          <w:sz w:val="24"/>
          <w:szCs w:val="24"/>
        </w:rPr>
        <w:t xml:space="preserve">, 65(2), p. 659‑669. </w:t>
      </w:r>
      <w:hyperlink r:id="rId22" w:history="1">
        <w:r w:rsidRPr="00BD7E30">
          <w:rPr>
            <w:rStyle w:val="Hyperlink"/>
            <w:rFonts w:ascii="Times New Roman" w:hAnsi="Times New Roman" w:cs="Times New Roman"/>
            <w:sz w:val="24"/>
            <w:szCs w:val="24"/>
          </w:rPr>
          <w:t>https://doi.org/10.1007/s10722-017-0581-6</w:t>
        </w:r>
      </w:hyperlink>
      <w:r w:rsidRPr="00BD7E30">
        <w:rPr>
          <w:rFonts w:ascii="Times New Roman" w:hAnsi="Times New Roman" w:cs="Times New Roman"/>
          <w:sz w:val="24"/>
          <w:szCs w:val="24"/>
        </w:rPr>
        <w:t xml:space="preserve"> </w:t>
      </w:r>
    </w:p>
    <w:p w14:paraId="7E931D84" w14:textId="72F18B5F" w:rsidR="00BD7E30" w:rsidRPr="00BD7E30" w:rsidRDefault="00BD7E30" w:rsidP="00BD7E30">
      <w:pPr>
        <w:pStyle w:val="Bibliography"/>
        <w:spacing w:after="0" w:line="480" w:lineRule="auto"/>
        <w:jc w:val="both"/>
        <w:rPr>
          <w:rFonts w:ascii="Times New Roman" w:hAnsi="Times New Roman" w:cs="Times New Roman"/>
          <w:sz w:val="24"/>
          <w:szCs w:val="24"/>
        </w:rPr>
      </w:pPr>
      <w:r w:rsidRPr="00BD7E30">
        <w:rPr>
          <w:rFonts w:ascii="Times New Roman" w:hAnsi="Times New Roman" w:cs="Times New Roman"/>
          <w:sz w:val="24"/>
          <w:szCs w:val="24"/>
        </w:rPr>
        <w:lastRenderedPageBreak/>
        <w:t xml:space="preserve">Meyer, S.E. </w:t>
      </w:r>
      <w:r w:rsidRPr="00BD7E30">
        <w:rPr>
          <w:rFonts w:ascii="Times New Roman" w:hAnsi="Times New Roman" w:cs="Times New Roman"/>
          <w:i/>
          <w:iCs/>
          <w:sz w:val="24"/>
          <w:szCs w:val="24"/>
        </w:rPr>
        <w:t>et al.</w:t>
      </w:r>
      <w:r w:rsidRPr="00BD7E30">
        <w:rPr>
          <w:rFonts w:ascii="Times New Roman" w:hAnsi="Times New Roman" w:cs="Times New Roman"/>
          <w:sz w:val="24"/>
          <w:szCs w:val="24"/>
        </w:rPr>
        <w:t xml:space="preserve"> (2008) « A </w:t>
      </w:r>
      <w:proofErr w:type="spellStart"/>
      <w:r w:rsidRPr="00BD7E30">
        <w:rPr>
          <w:rFonts w:ascii="Times New Roman" w:hAnsi="Times New Roman" w:cs="Times New Roman"/>
          <w:sz w:val="24"/>
          <w:szCs w:val="24"/>
        </w:rPr>
        <w:t>seed</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bank</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pathogen</w:t>
      </w:r>
      <w:proofErr w:type="spellEnd"/>
      <w:r w:rsidRPr="00BD7E30">
        <w:rPr>
          <w:rFonts w:ascii="Times New Roman" w:hAnsi="Times New Roman" w:cs="Times New Roman"/>
          <w:sz w:val="24"/>
          <w:szCs w:val="24"/>
        </w:rPr>
        <w:t xml:space="preserve"> causes </w:t>
      </w:r>
      <w:proofErr w:type="spellStart"/>
      <w:r w:rsidRPr="00BD7E30">
        <w:rPr>
          <w:rFonts w:ascii="Times New Roman" w:hAnsi="Times New Roman" w:cs="Times New Roman"/>
          <w:sz w:val="24"/>
          <w:szCs w:val="24"/>
        </w:rPr>
        <w:t>seedborne</w:t>
      </w:r>
      <w:proofErr w:type="spellEnd"/>
      <w:r w:rsidRPr="00BD7E30">
        <w:rPr>
          <w:rFonts w:ascii="Times New Roman" w:hAnsi="Times New Roman" w:cs="Times New Roman"/>
          <w:sz w:val="24"/>
          <w:szCs w:val="24"/>
        </w:rPr>
        <w:t xml:space="preserve"> </w:t>
      </w:r>
      <w:proofErr w:type="spellStart"/>
      <w:proofErr w:type="gramStart"/>
      <w:r w:rsidRPr="00BD7E30">
        <w:rPr>
          <w:rFonts w:ascii="Times New Roman" w:hAnsi="Times New Roman" w:cs="Times New Roman"/>
          <w:sz w:val="24"/>
          <w:szCs w:val="24"/>
        </w:rPr>
        <w:t>disease</w:t>
      </w:r>
      <w:proofErr w:type="spellEnd"/>
      <w:r w:rsidRPr="00BD7E30">
        <w:rPr>
          <w:rFonts w:ascii="Times New Roman" w:hAnsi="Times New Roman" w:cs="Times New Roman"/>
          <w:sz w:val="24"/>
          <w:szCs w:val="24"/>
        </w:rPr>
        <w:t>:</w:t>
      </w:r>
      <w:proofErr w:type="gram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Pyrenophora</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semeniperda</w:t>
      </w:r>
      <w:proofErr w:type="spellEnd"/>
      <w:r w:rsidRPr="00BD7E30">
        <w:rPr>
          <w:rFonts w:ascii="Times New Roman" w:hAnsi="Times New Roman" w:cs="Times New Roman"/>
          <w:sz w:val="24"/>
          <w:szCs w:val="24"/>
        </w:rPr>
        <w:t xml:space="preserve"> on </w:t>
      </w:r>
      <w:proofErr w:type="spellStart"/>
      <w:r w:rsidRPr="00BD7E30">
        <w:rPr>
          <w:rFonts w:ascii="Times New Roman" w:hAnsi="Times New Roman" w:cs="Times New Roman"/>
          <w:sz w:val="24"/>
          <w:szCs w:val="24"/>
        </w:rPr>
        <w:t>undispersed</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grass</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seeds</w:t>
      </w:r>
      <w:proofErr w:type="spellEnd"/>
      <w:r w:rsidRPr="00BD7E30">
        <w:rPr>
          <w:rFonts w:ascii="Times New Roman" w:hAnsi="Times New Roman" w:cs="Times New Roman"/>
          <w:sz w:val="24"/>
          <w:szCs w:val="24"/>
        </w:rPr>
        <w:t xml:space="preserve"> in western North America », </w:t>
      </w:r>
      <w:r w:rsidRPr="00BD7E30">
        <w:rPr>
          <w:rFonts w:ascii="Times New Roman" w:hAnsi="Times New Roman" w:cs="Times New Roman"/>
          <w:i/>
          <w:iCs/>
          <w:sz w:val="24"/>
          <w:szCs w:val="24"/>
        </w:rPr>
        <w:t xml:space="preserve">Canadian Journal of Plant </w:t>
      </w:r>
      <w:proofErr w:type="spellStart"/>
      <w:r w:rsidRPr="00BD7E30">
        <w:rPr>
          <w:rFonts w:ascii="Times New Roman" w:hAnsi="Times New Roman" w:cs="Times New Roman"/>
          <w:i/>
          <w:iCs/>
          <w:sz w:val="24"/>
          <w:szCs w:val="24"/>
        </w:rPr>
        <w:t>Pathology</w:t>
      </w:r>
      <w:proofErr w:type="spellEnd"/>
      <w:r w:rsidRPr="00BD7E30">
        <w:rPr>
          <w:rFonts w:ascii="Times New Roman" w:hAnsi="Times New Roman" w:cs="Times New Roman"/>
          <w:sz w:val="24"/>
          <w:szCs w:val="24"/>
        </w:rPr>
        <w:t xml:space="preserve">, 30(4), p. 525‑533. </w:t>
      </w:r>
      <w:hyperlink r:id="rId23" w:history="1">
        <w:r w:rsidRPr="00BD7E30">
          <w:rPr>
            <w:rStyle w:val="Hyperlink"/>
            <w:rFonts w:ascii="Times New Roman" w:hAnsi="Times New Roman" w:cs="Times New Roman"/>
            <w:sz w:val="24"/>
            <w:szCs w:val="24"/>
          </w:rPr>
          <w:t>https://doi.org/10.1080/07060660809507552</w:t>
        </w:r>
      </w:hyperlink>
      <w:r w:rsidRPr="00BD7E30">
        <w:rPr>
          <w:rFonts w:ascii="Times New Roman" w:hAnsi="Times New Roman" w:cs="Times New Roman"/>
          <w:sz w:val="24"/>
          <w:szCs w:val="24"/>
        </w:rPr>
        <w:t xml:space="preserve"> </w:t>
      </w:r>
    </w:p>
    <w:p w14:paraId="4A5E9005" w14:textId="1BBE69E7" w:rsidR="00BD7E30" w:rsidRPr="00BD7E30" w:rsidRDefault="00BD7E30" w:rsidP="00BD7E30">
      <w:pPr>
        <w:pStyle w:val="Bibliography"/>
        <w:spacing w:after="0" w:line="480" w:lineRule="auto"/>
        <w:jc w:val="both"/>
        <w:rPr>
          <w:rFonts w:ascii="Times New Roman" w:hAnsi="Times New Roman" w:cs="Times New Roman"/>
          <w:sz w:val="24"/>
          <w:szCs w:val="24"/>
        </w:rPr>
      </w:pPr>
      <w:r w:rsidRPr="00BD7E30">
        <w:rPr>
          <w:rFonts w:ascii="Times New Roman" w:hAnsi="Times New Roman" w:cs="Times New Roman"/>
          <w:sz w:val="24"/>
          <w:szCs w:val="24"/>
        </w:rPr>
        <w:t xml:space="preserve">Meyer, S.E. </w:t>
      </w:r>
      <w:r w:rsidRPr="00BD7E30">
        <w:rPr>
          <w:rFonts w:ascii="Times New Roman" w:hAnsi="Times New Roman" w:cs="Times New Roman"/>
          <w:i/>
          <w:iCs/>
          <w:sz w:val="24"/>
          <w:szCs w:val="24"/>
        </w:rPr>
        <w:t>et al.</w:t>
      </w:r>
      <w:r w:rsidRPr="00BD7E30">
        <w:rPr>
          <w:rFonts w:ascii="Times New Roman" w:hAnsi="Times New Roman" w:cs="Times New Roman"/>
          <w:sz w:val="24"/>
          <w:szCs w:val="24"/>
        </w:rPr>
        <w:t xml:space="preserve"> (2008) « A </w:t>
      </w:r>
      <w:proofErr w:type="spellStart"/>
      <w:r w:rsidRPr="00BD7E30">
        <w:rPr>
          <w:rFonts w:ascii="Times New Roman" w:hAnsi="Times New Roman" w:cs="Times New Roman"/>
          <w:sz w:val="24"/>
          <w:szCs w:val="24"/>
        </w:rPr>
        <w:t>seed</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bank</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pathogen</w:t>
      </w:r>
      <w:proofErr w:type="spellEnd"/>
      <w:r w:rsidRPr="00BD7E30">
        <w:rPr>
          <w:rFonts w:ascii="Times New Roman" w:hAnsi="Times New Roman" w:cs="Times New Roman"/>
          <w:sz w:val="24"/>
          <w:szCs w:val="24"/>
        </w:rPr>
        <w:t xml:space="preserve"> causes </w:t>
      </w:r>
      <w:proofErr w:type="spellStart"/>
      <w:r w:rsidRPr="00BD7E30">
        <w:rPr>
          <w:rFonts w:ascii="Times New Roman" w:hAnsi="Times New Roman" w:cs="Times New Roman"/>
          <w:sz w:val="24"/>
          <w:szCs w:val="24"/>
        </w:rPr>
        <w:t>seedborne</w:t>
      </w:r>
      <w:proofErr w:type="spellEnd"/>
      <w:r w:rsidRPr="00BD7E30">
        <w:rPr>
          <w:rFonts w:ascii="Times New Roman" w:hAnsi="Times New Roman" w:cs="Times New Roman"/>
          <w:sz w:val="24"/>
          <w:szCs w:val="24"/>
        </w:rPr>
        <w:t xml:space="preserve"> </w:t>
      </w:r>
      <w:proofErr w:type="spellStart"/>
      <w:proofErr w:type="gramStart"/>
      <w:r w:rsidRPr="00BD7E30">
        <w:rPr>
          <w:rFonts w:ascii="Times New Roman" w:hAnsi="Times New Roman" w:cs="Times New Roman"/>
          <w:sz w:val="24"/>
          <w:szCs w:val="24"/>
        </w:rPr>
        <w:t>disease</w:t>
      </w:r>
      <w:proofErr w:type="spellEnd"/>
      <w:r w:rsidRPr="00BD7E30">
        <w:rPr>
          <w:rFonts w:ascii="Times New Roman" w:hAnsi="Times New Roman" w:cs="Times New Roman"/>
          <w:sz w:val="24"/>
          <w:szCs w:val="24"/>
        </w:rPr>
        <w:t>:</w:t>
      </w:r>
      <w:proofErr w:type="gram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Pyrenophora</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semeniperda</w:t>
      </w:r>
      <w:proofErr w:type="spellEnd"/>
      <w:r w:rsidRPr="00BD7E30">
        <w:rPr>
          <w:rFonts w:ascii="Times New Roman" w:hAnsi="Times New Roman" w:cs="Times New Roman"/>
          <w:sz w:val="24"/>
          <w:szCs w:val="24"/>
        </w:rPr>
        <w:t xml:space="preserve"> on </w:t>
      </w:r>
      <w:proofErr w:type="spellStart"/>
      <w:r w:rsidRPr="00BD7E30">
        <w:rPr>
          <w:rFonts w:ascii="Times New Roman" w:hAnsi="Times New Roman" w:cs="Times New Roman"/>
          <w:sz w:val="24"/>
          <w:szCs w:val="24"/>
        </w:rPr>
        <w:t>undispersed</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grass</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seeds</w:t>
      </w:r>
      <w:proofErr w:type="spellEnd"/>
      <w:r w:rsidRPr="00BD7E30">
        <w:rPr>
          <w:rFonts w:ascii="Times New Roman" w:hAnsi="Times New Roman" w:cs="Times New Roman"/>
          <w:sz w:val="24"/>
          <w:szCs w:val="24"/>
        </w:rPr>
        <w:t xml:space="preserve"> in western North America », </w:t>
      </w:r>
      <w:r w:rsidRPr="00BD7E30">
        <w:rPr>
          <w:rFonts w:ascii="Times New Roman" w:hAnsi="Times New Roman" w:cs="Times New Roman"/>
          <w:i/>
          <w:iCs/>
          <w:sz w:val="24"/>
          <w:szCs w:val="24"/>
        </w:rPr>
        <w:t xml:space="preserve">Canadian Journal of Plant </w:t>
      </w:r>
      <w:proofErr w:type="spellStart"/>
      <w:r w:rsidRPr="00BD7E30">
        <w:rPr>
          <w:rFonts w:ascii="Times New Roman" w:hAnsi="Times New Roman" w:cs="Times New Roman"/>
          <w:i/>
          <w:iCs/>
          <w:sz w:val="24"/>
          <w:szCs w:val="24"/>
        </w:rPr>
        <w:t>Pathology</w:t>
      </w:r>
      <w:proofErr w:type="spellEnd"/>
      <w:r w:rsidRPr="00BD7E30">
        <w:rPr>
          <w:rFonts w:ascii="Times New Roman" w:hAnsi="Times New Roman" w:cs="Times New Roman"/>
          <w:sz w:val="24"/>
          <w:szCs w:val="24"/>
        </w:rPr>
        <w:t xml:space="preserve">, 30(4), p. 525‑533. </w:t>
      </w:r>
      <w:hyperlink r:id="rId24" w:history="1">
        <w:r w:rsidRPr="00BD7E30">
          <w:rPr>
            <w:rStyle w:val="Hyperlink"/>
            <w:rFonts w:ascii="Times New Roman" w:hAnsi="Times New Roman" w:cs="Times New Roman"/>
            <w:sz w:val="24"/>
            <w:szCs w:val="24"/>
          </w:rPr>
          <w:t>https://doi.org/10.1080/07060660809507552</w:t>
        </w:r>
      </w:hyperlink>
      <w:r w:rsidRPr="00BD7E30">
        <w:rPr>
          <w:rFonts w:ascii="Times New Roman" w:hAnsi="Times New Roman" w:cs="Times New Roman"/>
          <w:sz w:val="24"/>
          <w:szCs w:val="24"/>
        </w:rPr>
        <w:t xml:space="preserve"> </w:t>
      </w:r>
    </w:p>
    <w:p w14:paraId="31105FBF" w14:textId="77777777" w:rsidR="00BD7E30" w:rsidRPr="00BD7E30" w:rsidRDefault="00BD7E30" w:rsidP="00BD7E30">
      <w:pPr>
        <w:pStyle w:val="Bibliography"/>
        <w:spacing w:after="0" w:line="480" w:lineRule="auto"/>
        <w:jc w:val="both"/>
        <w:rPr>
          <w:rFonts w:ascii="Times New Roman" w:hAnsi="Times New Roman" w:cs="Times New Roman"/>
          <w:sz w:val="24"/>
          <w:szCs w:val="24"/>
        </w:rPr>
      </w:pPr>
      <w:r w:rsidRPr="00BD7E30">
        <w:rPr>
          <w:rFonts w:ascii="Times New Roman" w:hAnsi="Times New Roman" w:cs="Times New Roman"/>
          <w:sz w:val="24"/>
          <w:szCs w:val="24"/>
        </w:rPr>
        <w:t xml:space="preserve">Mohammed, A., </w:t>
      </w:r>
      <w:proofErr w:type="spellStart"/>
      <w:r w:rsidRPr="00BD7E30">
        <w:rPr>
          <w:rFonts w:ascii="Times New Roman" w:hAnsi="Times New Roman" w:cs="Times New Roman"/>
          <w:sz w:val="24"/>
          <w:szCs w:val="24"/>
        </w:rPr>
        <w:t>Chimbekujwo</w:t>
      </w:r>
      <w:proofErr w:type="spellEnd"/>
      <w:r w:rsidRPr="00BD7E30">
        <w:rPr>
          <w:rFonts w:ascii="Times New Roman" w:hAnsi="Times New Roman" w:cs="Times New Roman"/>
          <w:sz w:val="24"/>
          <w:szCs w:val="24"/>
        </w:rPr>
        <w:t xml:space="preserve">, I.B. et </w:t>
      </w:r>
      <w:proofErr w:type="spellStart"/>
      <w:r w:rsidRPr="00BD7E30">
        <w:rPr>
          <w:rFonts w:ascii="Times New Roman" w:hAnsi="Times New Roman" w:cs="Times New Roman"/>
          <w:sz w:val="24"/>
          <w:szCs w:val="24"/>
        </w:rPr>
        <w:t>Bristone</w:t>
      </w:r>
      <w:proofErr w:type="spellEnd"/>
      <w:r w:rsidRPr="00BD7E30">
        <w:rPr>
          <w:rFonts w:ascii="Times New Roman" w:hAnsi="Times New Roman" w:cs="Times New Roman"/>
          <w:sz w:val="24"/>
          <w:szCs w:val="24"/>
        </w:rPr>
        <w:t xml:space="preserve">, B. (2013) « Identification and control of Fungi </w:t>
      </w:r>
      <w:proofErr w:type="spellStart"/>
      <w:r w:rsidRPr="00BD7E30">
        <w:rPr>
          <w:rFonts w:ascii="Times New Roman" w:hAnsi="Times New Roman" w:cs="Times New Roman"/>
          <w:sz w:val="24"/>
          <w:szCs w:val="24"/>
        </w:rPr>
        <w:t>associated</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with</w:t>
      </w:r>
      <w:proofErr w:type="spellEnd"/>
      <w:r w:rsidRPr="00BD7E30">
        <w:rPr>
          <w:rFonts w:ascii="Times New Roman" w:hAnsi="Times New Roman" w:cs="Times New Roman"/>
          <w:sz w:val="24"/>
          <w:szCs w:val="24"/>
        </w:rPr>
        <w:t xml:space="preserve"> the post-</w:t>
      </w:r>
      <w:proofErr w:type="spellStart"/>
      <w:r w:rsidRPr="00BD7E30">
        <w:rPr>
          <w:rFonts w:ascii="Times New Roman" w:hAnsi="Times New Roman" w:cs="Times New Roman"/>
          <w:sz w:val="24"/>
          <w:szCs w:val="24"/>
        </w:rPr>
        <w:t>harvest</w:t>
      </w:r>
      <w:proofErr w:type="spellEnd"/>
      <w:r w:rsidRPr="00BD7E30">
        <w:rPr>
          <w:rFonts w:ascii="Times New Roman" w:hAnsi="Times New Roman" w:cs="Times New Roman"/>
          <w:sz w:val="24"/>
          <w:szCs w:val="24"/>
        </w:rPr>
        <w:t xml:space="preserve"> rot of </w:t>
      </w:r>
      <w:proofErr w:type="spellStart"/>
      <w:r w:rsidRPr="00BD7E30">
        <w:rPr>
          <w:rFonts w:ascii="Times New Roman" w:hAnsi="Times New Roman" w:cs="Times New Roman"/>
          <w:sz w:val="24"/>
          <w:szCs w:val="24"/>
        </w:rPr>
        <w:t>Solenostemon</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rotundifolius</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Poir</w:t>
      </w:r>
      <w:proofErr w:type="spellEnd"/>
      <w:r w:rsidRPr="00BD7E30">
        <w:rPr>
          <w:rFonts w:ascii="Times New Roman" w:hAnsi="Times New Roman" w:cs="Times New Roman"/>
          <w:sz w:val="24"/>
          <w:szCs w:val="24"/>
        </w:rPr>
        <w:t xml:space="preserve">)J.K. Morton in Adamawa State of Nigeria. », </w:t>
      </w:r>
      <w:r w:rsidRPr="00BD7E30">
        <w:rPr>
          <w:rFonts w:ascii="Times New Roman" w:hAnsi="Times New Roman" w:cs="Times New Roman"/>
          <w:i/>
          <w:iCs/>
          <w:sz w:val="24"/>
          <w:szCs w:val="24"/>
        </w:rPr>
        <w:t xml:space="preserve">Journal of </w:t>
      </w:r>
      <w:proofErr w:type="spellStart"/>
      <w:r w:rsidRPr="00BD7E30">
        <w:rPr>
          <w:rFonts w:ascii="Times New Roman" w:hAnsi="Times New Roman" w:cs="Times New Roman"/>
          <w:i/>
          <w:iCs/>
          <w:sz w:val="24"/>
          <w:szCs w:val="24"/>
        </w:rPr>
        <w:t>Biology</w:t>
      </w:r>
      <w:proofErr w:type="spellEnd"/>
      <w:r w:rsidRPr="00BD7E30">
        <w:rPr>
          <w:rFonts w:ascii="Times New Roman" w:hAnsi="Times New Roman" w:cs="Times New Roman"/>
          <w:i/>
          <w:iCs/>
          <w:sz w:val="24"/>
          <w:szCs w:val="24"/>
        </w:rPr>
        <w:t>, Agriculture and Healthcare</w:t>
      </w:r>
      <w:r w:rsidRPr="00BD7E30">
        <w:rPr>
          <w:rFonts w:ascii="Times New Roman" w:hAnsi="Times New Roman" w:cs="Times New Roman"/>
          <w:sz w:val="24"/>
          <w:szCs w:val="24"/>
        </w:rPr>
        <w:t>, 3(5), p. 136.</w:t>
      </w:r>
    </w:p>
    <w:p w14:paraId="48C91A7E" w14:textId="77777777" w:rsidR="00BD7E30" w:rsidRPr="00BD7E30" w:rsidRDefault="00BD7E30" w:rsidP="00BD7E30">
      <w:pPr>
        <w:pStyle w:val="Bibliography"/>
        <w:spacing w:after="0" w:line="480" w:lineRule="auto"/>
        <w:jc w:val="both"/>
        <w:rPr>
          <w:rFonts w:ascii="Times New Roman" w:hAnsi="Times New Roman" w:cs="Times New Roman"/>
          <w:sz w:val="24"/>
          <w:szCs w:val="24"/>
        </w:rPr>
      </w:pPr>
      <w:proofErr w:type="spellStart"/>
      <w:r w:rsidRPr="00BD7E30">
        <w:rPr>
          <w:rFonts w:ascii="Times New Roman" w:hAnsi="Times New Roman" w:cs="Times New Roman"/>
          <w:sz w:val="24"/>
          <w:szCs w:val="24"/>
        </w:rPr>
        <w:t>Murthy</w:t>
      </w:r>
      <w:proofErr w:type="spellEnd"/>
      <w:r w:rsidRPr="00BD7E30">
        <w:rPr>
          <w:rFonts w:ascii="Times New Roman" w:hAnsi="Times New Roman" w:cs="Times New Roman"/>
          <w:sz w:val="24"/>
          <w:szCs w:val="24"/>
        </w:rPr>
        <w:t xml:space="preserve">, H.N. </w:t>
      </w:r>
      <w:r w:rsidRPr="00BD7E30">
        <w:rPr>
          <w:rFonts w:ascii="Times New Roman" w:hAnsi="Times New Roman" w:cs="Times New Roman"/>
          <w:i/>
          <w:iCs/>
          <w:sz w:val="24"/>
          <w:szCs w:val="24"/>
        </w:rPr>
        <w:t>et al.</w:t>
      </w:r>
      <w:r w:rsidRPr="00BD7E30">
        <w:rPr>
          <w:rFonts w:ascii="Times New Roman" w:hAnsi="Times New Roman" w:cs="Times New Roman"/>
          <w:sz w:val="24"/>
          <w:szCs w:val="24"/>
        </w:rPr>
        <w:t xml:space="preserve"> (2018) « </w:t>
      </w:r>
      <w:proofErr w:type="spellStart"/>
      <w:r w:rsidRPr="00BD7E30">
        <w:rPr>
          <w:rFonts w:ascii="Times New Roman" w:hAnsi="Times New Roman" w:cs="Times New Roman"/>
          <w:sz w:val="24"/>
          <w:szCs w:val="24"/>
        </w:rPr>
        <w:t>Phenolic</w:t>
      </w:r>
      <w:proofErr w:type="spellEnd"/>
      <w:r w:rsidRPr="00BD7E30">
        <w:rPr>
          <w:rFonts w:ascii="Times New Roman" w:hAnsi="Times New Roman" w:cs="Times New Roman"/>
          <w:sz w:val="24"/>
          <w:szCs w:val="24"/>
        </w:rPr>
        <w:t xml:space="preserve"> content, </w:t>
      </w:r>
      <w:proofErr w:type="spellStart"/>
      <w:r w:rsidRPr="00BD7E30">
        <w:rPr>
          <w:rFonts w:ascii="Times New Roman" w:hAnsi="Times New Roman" w:cs="Times New Roman"/>
          <w:sz w:val="24"/>
          <w:szCs w:val="24"/>
        </w:rPr>
        <w:t>antioxidant</w:t>
      </w:r>
      <w:proofErr w:type="spellEnd"/>
      <w:r w:rsidRPr="00BD7E30">
        <w:rPr>
          <w:rFonts w:ascii="Times New Roman" w:hAnsi="Times New Roman" w:cs="Times New Roman"/>
          <w:sz w:val="24"/>
          <w:szCs w:val="24"/>
        </w:rPr>
        <w:t xml:space="preserve"> and </w:t>
      </w:r>
      <w:proofErr w:type="spellStart"/>
      <w:r w:rsidRPr="00BD7E30">
        <w:rPr>
          <w:rFonts w:ascii="Times New Roman" w:hAnsi="Times New Roman" w:cs="Times New Roman"/>
          <w:sz w:val="24"/>
          <w:szCs w:val="24"/>
        </w:rPr>
        <w:t>antibacterial</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activities</w:t>
      </w:r>
      <w:proofErr w:type="spellEnd"/>
      <w:r w:rsidRPr="00BD7E30">
        <w:rPr>
          <w:rFonts w:ascii="Times New Roman" w:hAnsi="Times New Roman" w:cs="Times New Roman"/>
          <w:sz w:val="24"/>
          <w:szCs w:val="24"/>
        </w:rPr>
        <w:t xml:space="preserve"> of </w:t>
      </w:r>
      <w:proofErr w:type="spellStart"/>
      <w:r w:rsidRPr="00BD7E30">
        <w:rPr>
          <w:rFonts w:ascii="Times New Roman" w:hAnsi="Times New Roman" w:cs="Times New Roman"/>
          <w:i/>
          <w:iCs/>
          <w:sz w:val="24"/>
          <w:szCs w:val="24"/>
        </w:rPr>
        <w:t>Plectranthus</w:t>
      </w:r>
      <w:proofErr w:type="spellEnd"/>
      <w:r w:rsidRPr="00BD7E30">
        <w:rPr>
          <w:rFonts w:ascii="Times New Roman" w:hAnsi="Times New Roman" w:cs="Times New Roman"/>
          <w:i/>
          <w:iCs/>
          <w:sz w:val="24"/>
          <w:szCs w:val="24"/>
        </w:rPr>
        <w:t xml:space="preserve"> </w:t>
      </w:r>
      <w:proofErr w:type="spellStart"/>
      <w:r w:rsidRPr="00BD7E30">
        <w:rPr>
          <w:rFonts w:ascii="Times New Roman" w:hAnsi="Times New Roman" w:cs="Times New Roman"/>
          <w:i/>
          <w:iCs/>
          <w:sz w:val="24"/>
          <w:szCs w:val="24"/>
        </w:rPr>
        <w:t>rotundifolius</w:t>
      </w:r>
      <w:proofErr w:type="spellEnd"/>
      <w:r w:rsidRPr="00BD7E30">
        <w:rPr>
          <w:rFonts w:ascii="Times New Roman" w:hAnsi="Times New Roman" w:cs="Times New Roman"/>
          <w:sz w:val="24"/>
          <w:szCs w:val="24"/>
        </w:rPr>
        <w:t xml:space="preserve"> tuber </w:t>
      </w:r>
      <w:proofErr w:type="spellStart"/>
      <w:r w:rsidRPr="00BD7E30">
        <w:rPr>
          <w:rFonts w:ascii="Times New Roman" w:hAnsi="Times New Roman" w:cs="Times New Roman"/>
          <w:sz w:val="24"/>
          <w:szCs w:val="24"/>
        </w:rPr>
        <w:t>extracts</w:t>
      </w:r>
      <w:proofErr w:type="spellEnd"/>
      <w:r w:rsidRPr="00BD7E30">
        <w:rPr>
          <w:rFonts w:ascii="Times New Roman" w:hAnsi="Times New Roman" w:cs="Times New Roman"/>
          <w:sz w:val="24"/>
          <w:szCs w:val="24"/>
        </w:rPr>
        <w:t xml:space="preserve"> », </w:t>
      </w:r>
      <w:r w:rsidRPr="00BD7E30">
        <w:rPr>
          <w:rFonts w:ascii="Times New Roman" w:hAnsi="Times New Roman" w:cs="Times New Roman"/>
          <w:i/>
          <w:iCs/>
          <w:sz w:val="24"/>
          <w:szCs w:val="24"/>
        </w:rPr>
        <w:t xml:space="preserve">Journal of </w:t>
      </w:r>
      <w:proofErr w:type="spellStart"/>
      <w:r w:rsidRPr="00BD7E30">
        <w:rPr>
          <w:rFonts w:ascii="Times New Roman" w:hAnsi="Times New Roman" w:cs="Times New Roman"/>
          <w:i/>
          <w:iCs/>
          <w:sz w:val="24"/>
          <w:szCs w:val="24"/>
        </w:rPr>
        <w:t>Herbs</w:t>
      </w:r>
      <w:proofErr w:type="spellEnd"/>
      <w:r w:rsidRPr="00BD7E30">
        <w:rPr>
          <w:rFonts w:ascii="Times New Roman" w:hAnsi="Times New Roman" w:cs="Times New Roman"/>
          <w:i/>
          <w:iCs/>
          <w:sz w:val="24"/>
          <w:szCs w:val="24"/>
        </w:rPr>
        <w:t xml:space="preserve">, </w:t>
      </w:r>
      <w:proofErr w:type="spellStart"/>
      <w:r w:rsidRPr="00BD7E30">
        <w:rPr>
          <w:rFonts w:ascii="Times New Roman" w:hAnsi="Times New Roman" w:cs="Times New Roman"/>
          <w:i/>
          <w:iCs/>
          <w:sz w:val="24"/>
          <w:szCs w:val="24"/>
        </w:rPr>
        <w:t>Spices</w:t>
      </w:r>
      <w:proofErr w:type="spellEnd"/>
      <w:r w:rsidRPr="00BD7E30">
        <w:rPr>
          <w:rFonts w:ascii="Times New Roman" w:hAnsi="Times New Roman" w:cs="Times New Roman"/>
          <w:i/>
          <w:iCs/>
          <w:sz w:val="24"/>
          <w:szCs w:val="24"/>
        </w:rPr>
        <w:t xml:space="preserve"> &amp; </w:t>
      </w:r>
      <w:proofErr w:type="spellStart"/>
      <w:r w:rsidRPr="00BD7E30">
        <w:rPr>
          <w:rFonts w:ascii="Times New Roman" w:hAnsi="Times New Roman" w:cs="Times New Roman"/>
          <w:i/>
          <w:iCs/>
          <w:sz w:val="24"/>
          <w:szCs w:val="24"/>
        </w:rPr>
        <w:t>Medicinal</w:t>
      </w:r>
      <w:proofErr w:type="spellEnd"/>
      <w:r w:rsidRPr="00BD7E30">
        <w:rPr>
          <w:rFonts w:ascii="Times New Roman" w:hAnsi="Times New Roman" w:cs="Times New Roman"/>
          <w:i/>
          <w:iCs/>
          <w:sz w:val="24"/>
          <w:szCs w:val="24"/>
        </w:rPr>
        <w:t xml:space="preserve"> Plants</w:t>
      </w:r>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Preprint</w:t>
      </w:r>
      <w:proofErr w:type="spellEnd"/>
      <w:r w:rsidRPr="00BD7E30">
        <w:rPr>
          <w:rFonts w:ascii="Times New Roman" w:hAnsi="Times New Roman" w:cs="Times New Roman"/>
          <w:sz w:val="24"/>
          <w:szCs w:val="24"/>
        </w:rPr>
        <w:t xml:space="preserve">]. </w:t>
      </w:r>
      <w:hyperlink r:id="rId25" w:history="1">
        <w:r w:rsidRPr="00BD7E30">
          <w:rPr>
            <w:rStyle w:val="Hyperlink"/>
            <w:rFonts w:ascii="Times New Roman" w:hAnsi="Times New Roman" w:cs="Times New Roman"/>
            <w:sz w:val="24"/>
            <w:szCs w:val="24"/>
          </w:rPr>
          <w:t>https://www.tandfonline.com/doi/abs/10.1080/10496475.2018.1443188</w:t>
        </w:r>
      </w:hyperlink>
      <w:r w:rsidRPr="00BD7E30">
        <w:rPr>
          <w:rFonts w:ascii="Times New Roman" w:hAnsi="Times New Roman" w:cs="Times New Roman"/>
          <w:sz w:val="24"/>
          <w:szCs w:val="24"/>
        </w:rPr>
        <w:t xml:space="preserve">  </w:t>
      </w:r>
    </w:p>
    <w:p w14:paraId="6024EDA9" w14:textId="7AD6931F" w:rsidR="00BD7E30" w:rsidRPr="00BD7E30" w:rsidRDefault="00BD7E30" w:rsidP="00BD7E30">
      <w:pPr>
        <w:pStyle w:val="Bibliography"/>
        <w:spacing w:after="0" w:line="480" w:lineRule="auto"/>
        <w:jc w:val="both"/>
        <w:rPr>
          <w:rFonts w:ascii="Times New Roman" w:hAnsi="Times New Roman" w:cs="Times New Roman"/>
          <w:sz w:val="24"/>
          <w:szCs w:val="24"/>
        </w:rPr>
      </w:pPr>
      <w:proofErr w:type="spellStart"/>
      <w:r w:rsidRPr="00BD7E30">
        <w:rPr>
          <w:rFonts w:ascii="Times New Roman" w:hAnsi="Times New Roman" w:cs="Times New Roman"/>
          <w:sz w:val="24"/>
          <w:szCs w:val="24"/>
        </w:rPr>
        <w:t>Osei</w:t>
      </w:r>
      <w:proofErr w:type="spellEnd"/>
      <w:r w:rsidRPr="00BD7E30">
        <w:rPr>
          <w:rFonts w:ascii="Times New Roman" w:hAnsi="Times New Roman" w:cs="Times New Roman"/>
          <w:sz w:val="24"/>
          <w:szCs w:val="24"/>
        </w:rPr>
        <w:t xml:space="preserve"> Tutu, C. </w:t>
      </w:r>
      <w:r w:rsidRPr="00BD7E30">
        <w:rPr>
          <w:rFonts w:ascii="Times New Roman" w:hAnsi="Times New Roman" w:cs="Times New Roman"/>
          <w:i/>
          <w:iCs/>
          <w:sz w:val="24"/>
          <w:szCs w:val="24"/>
        </w:rPr>
        <w:t>et al.</w:t>
      </w:r>
      <w:r w:rsidRPr="00BD7E30">
        <w:rPr>
          <w:rFonts w:ascii="Times New Roman" w:hAnsi="Times New Roman" w:cs="Times New Roman"/>
          <w:sz w:val="24"/>
          <w:szCs w:val="24"/>
        </w:rPr>
        <w:t xml:space="preserve"> (2024) Physical, </w:t>
      </w:r>
      <w:proofErr w:type="spellStart"/>
      <w:r w:rsidRPr="00BD7E30">
        <w:rPr>
          <w:rFonts w:ascii="Times New Roman" w:hAnsi="Times New Roman" w:cs="Times New Roman"/>
          <w:sz w:val="24"/>
          <w:szCs w:val="24"/>
        </w:rPr>
        <w:t>chemical</w:t>
      </w:r>
      <w:proofErr w:type="spellEnd"/>
      <w:r w:rsidRPr="00BD7E30">
        <w:rPr>
          <w:rFonts w:ascii="Times New Roman" w:hAnsi="Times New Roman" w:cs="Times New Roman"/>
          <w:sz w:val="24"/>
          <w:szCs w:val="24"/>
        </w:rPr>
        <w:t xml:space="preserve">, and </w:t>
      </w:r>
      <w:proofErr w:type="spellStart"/>
      <w:r w:rsidRPr="00BD7E30">
        <w:rPr>
          <w:rFonts w:ascii="Times New Roman" w:hAnsi="Times New Roman" w:cs="Times New Roman"/>
          <w:sz w:val="24"/>
          <w:szCs w:val="24"/>
        </w:rPr>
        <w:t>rheological</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properties</w:t>
      </w:r>
      <w:proofErr w:type="spellEnd"/>
      <w:r w:rsidRPr="00BD7E30">
        <w:rPr>
          <w:rFonts w:ascii="Times New Roman" w:hAnsi="Times New Roman" w:cs="Times New Roman"/>
          <w:sz w:val="24"/>
          <w:szCs w:val="24"/>
        </w:rPr>
        <w:t xml:space="preserve"> of </w:t>
      </w:r>
      <w:proofErr w:type="spellStart"/>
      <w:r w:rsidRPr="00BD7E30">
        <w:rPr>
          <w:rFonts w:ascii="Times New Roman" w:hAnsi="Times New Roman" w:cs="Times New Roman"/>
          <w:sz w:val="24"/>
          <w:szCs w:val="24"/>
        </w:rPr>
        <w:t>flour</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from</w:t>
      </w:r>
      <w:proofErr w:type="spellEnd"/>
      <w:r w:rsidRPr="00BD7E30">
        <w:rPr>
          <w:rFonts w:ascii="Times New Roman" w:hAnsi="Times New Roman" w:cs="Times New Roman"/>
          <w:sz w:val="24"/>
          <w:szCs w:val="24"/>
        </w:rPr>
        <w:t xml:space="preserve"> accessions of </w:t>
      </w:r>
      <w:proofErr w:type="spellStart"/>
      <w:r w:rsidRPr="00BD7E30">
        <w:rPr>
          <w:rFonts w:ascii="Times New Roman" w:hAnsi="Times New Roman" w:cs="Times New Roman"/>
          <w:sz w:val="24"/>
          <w:szCs w:val="24"/>
        </w:rPr>
        <w:t>Frafra</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potato</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i/>
          <w:iCs/>
          <w:sz w:val="24"/>
          <w:szCs w:val="24"/>
        </w:rPr>
        <w:t>Solenostemon</w:t>
      </w:r>
      <w:proofErr w:type="spellEnd"/>
      <w:r w:rsidRPr="00BD7E30">
        <w:rPr>
          <w:rFonts w:ascii="Times New Roman" w:hAnsi="Times New Roman" w:cs="Times New Roman"/>
          <w:i/>
          <w:iCs/>
          <w:sz w:val="24"/>
          <w:szCs w:val="24"/>
        </w:rPr>
        <w:t xml:space="preserve"> </w:t>
      </w:r>
      <w:proofErr w:type="spellStart"/>
      <w:r w:rsidRPr="00BD7E30">
        <w:rPr>
          <w:rFonts w:ascii="Times New Roman" w:hAnsi="Times New Roman" w:cs="Times New Roman"/>
          <w:i/>
          <w:iCs/>
          <w:sz w:val="24"/>
          <w:szCs w:val="24"/>
        </w:rPr>
        <w:t>rotundifolius</w:t>
      </w:r>
      <w:proofErr w:type="spellEnd"/>
      <w:r w:rsidRPr="00BD7E30">
        <w:rPr>
          <w:rFonts w:ascii="Times New Roman" w:hAnsi="Times New Roman" w:cs="Times New Roman"/>
          <w:sz w:val="24"/>
          <w:szCs w:val="24"/>
        </w:rPr>
        <w:t xml:space="preserve">), </w:t>
      </w:r>
      <w:r w:rsidRPr="00BD7E30">
        <w:rPr>
          <w:rFonts w:ascii="Times New Roman" w:hAnsi="Times New Roman" w:cs="Times New Roman"/>
          <w:i/>
          <w:iCs/>
          <w:sz w:val="24"/>
          <w:szCs w:val="24"/>
        </w:rPr>
        <w:t xml:space="preserve">Journal of Agriculture and Food </w:t>
      </w:r>
      <w:proofErr w:type="spellStart"/>
      <w:r w:rsidRPr="00BD7E30">
        <w:rPr>
          <w:rFonts w:ascii="Times New Roman" w:hAnsi="Times New Roman" w:cs="Times New Roman"/>
          <w:i/>
          <w:iCs/>
          <w:sz w:val="24"/>
          <w:szCs w:val="24"/>
        </w:rPr>
        <w:t>Research</w:t>
      </w:r>
      <w:proofErr w:type="spellEnd"/>
      <w:r w:rsidRPr="00BD7E30">
        <w:rPr>
          <w:rFonts w:ascii="Times New Roman" w:hAnsi="Times New Roman" w:cs="Times New Roman"/>
          <w:sz w:val="24"/>
          <w:szCs w:val="24"/>
        </w:rPr>
        <w:t xml:space="preserve">, 15, p. 100974. </w:t>
      </w:r>
      <w:hyperlink r:id="rId26" w:history="1">
        <w:r w:rsidRPr="00BD7E30">
          <w:rPr>
            <w:rStyle w:val="Hyperlink"/>
            <w:rFonts w:ascii="Times New Roman" w:hAnsi="Times New Roman" w:cs="Times New Roman"/>
            <w:sz w:val="24"/>
            <w:szCs w:val="24"/>
          </w:rPr>
          <w:t>https://doi.org/10.1016/j.jafr.2024.100974</w:t>
        </w:r>
      </w:hyperlink>
      <w:r w:rsidRPr="00BD7E30">
        <w:rPr>
          <w:rFonts w:ascii="Times New Roman" w:hAnsi="Times New Roman" w:cs="Times New Roman"/>
          <w:sz w:val="24"/>
          <w:szCs w:val="24"/>
        </w:rPr>
        <w:t xml:space="preserve"> </w:t>
      </w:r>
    </w:p>
    <w:p w14:paraId="71EEC887" w14:textId="77777777" w:rsidR="00BD7E30" w:rsidRPr="00BD7E30" w:rsidRDefault="00BD7E30" w:rsidP="00BD7E30">
      <w:pPr>
        <w:pStyle w:val="Bibliography"/>
        <w:spacing w:after="0" w:line="480" w:lineRule="auto"/>
        <w:jc w:val="both"/>
        <w:rPr>
          <w:rFonts w:ascii="Times New Roman" w:hAnsi="Times New Roman" w:cs="Times New Roman"/>
          <w:sz w:val="24"/>
          <w:szCs w:val="24"/>
        </w:rPr>
      </w:pPr>
      <w:r w:rsidRPr="00BD7E30">
        <w:rPr>
          <w:rFonts w:ascii="Times New Roman" w:hAnsi="Times New Roman" w:cs="Times New Roman"/>
          <w:sz w:val="24"/>
          <w:szCs w:val="24"/>
        </w:rPr>
        <w:t xml:space="preserve">Ouédraogo, A., Zongo, J.-D. et </w:t>
      </w:r>
      <w:proofErr w:type="spellStart"/>
      <w:r w:rsidRPr="00BD7E30">
        <w:rPr>
          <w:rFonts w:ascii="Times New Roman" w:hAnsi="Times New Roman" w:cs="Times New Roman"/>
          <w:sz w:val="24"/>
          <w:szCs w:val="24"/>
        </w:rPr>
        <w:t>Sedogo</w:t>
      </w:r>
      <w:proofErr w:type="spellEnd"/>
      <w:r w:rsidRPr="00BD7E30">
        <w:rPr>
          <w:rFonts w:ascii="Times New Roman" w:hAnsi="Times New Roman" w:cs="Times New Roman"/>
          <w:sz w:val="24"/>
          <w:szCs w:val="24"/>
        </w:rPr>
        <w:t>, A. (2007) « Perceptions paysannes de la culture et des utilisations du « </w:t>
      </w:r>
      <w:proofErr w:type="spellStart"/>
      <w:r w:rsidRPr="00BD7E30">
        <w:rPr>
          <w:rFonts w:ascii="Times New Roman" w:hAnsi="Times New Roman" w:cs="Times New Roman"/>
          <w:sz w:val="24"/>
          <w:szCs w:val="24"/>
        </w:rPr>
        <w:t>Fabirama</w:t>
      </w:r>
      <w:proofErr w:type="spellEnd"/>
      <w:r w:rsidRPr="00BD7E30">
        <w:rPr>
          <w:rFonts w:ascii="Times New Roman" w:hAnsi="Times New Roman" w:cs="Times New Roman"/>
          <w:sz w:val="24"/>
          <w:szCs w:val="24"/>
        </w:rPr>
        <w:t> » (</w:t>
      </w:r>
      <w:proofErr w:type="spellStart"/>
      <w:r w:rsidRPr="00BD7E30">
        <w:rPr>
          <w:rFonts w:ascii="Times New Roman" w:hAnsi="Times New Roman" w:cs="Times New Roman"/>
          <w:sz w:val="24"/>
          <w:szCs w:val="24"/>
        </w:rPr>
        <w:t>Solenostemon</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rotundifolius</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Poir</w:t>
      </w:r>
      <w:proofErr w:type="spellEnd"/>
      <w:r w:rsidRPr="00BD7E30">
        <w:rPr>
          <w:rFonts w:ascii="Times New Roman" w:hAnsi="Times New Roman" w:cs="Times New Roman"/>
          <w:sz w:val="24"/>
          <w:szCs w:val="24"/>
        </w:rPr>
        <w:t xml:space="preserve">.) J.K. Morton) dans le Plateau Central du Burkina Faso », </w:t>
      </w:r>
      <w:r w:rsidRPr="00BD7E30">
        <w:rPr>
          <w:rFonts w:ascii="Times New Roman" w:hAnsi="Times New Roman" w:cs="Times New Roman"/>
          <w:i/>
          <w:iCs/>
          <w:sz w:val="24"/>
          <w:szCs w:val="24"/>
        </w:rPr>
        <w:t>Annales de Botanique de l’Afrique de l’Ouest</w:t>
      </w:r>
      <w:r w:rsidRPr="00BD7E30">
        <w:rPr>
          <w:rFonts w:ascii="Times New Roman" w:hAnsi="Times New Roman" w:cs="Times New Roman"/>
          <w:sz w:val="24"/>
          <w:szCs w:val="24"/>
        </w:rPr>
        <w:t>, p. 13‑21</w:t>
      </w:r>
    </w:p>
    <w:p w14:paraId="0C20D3B5" w14:textId="6555A9B5" w:rsidR="00BD7E30" w:rsidRPr="00BD7E30" w:rsidRDefault="00BD7E30" w:rsidP="00BD7E30">
      <w:pPr>
        <w:pStyle w:val="Bibliography"/>
        <w:spacing w:after="0" w:line="480" w:lineRule="auto"/>
        <w:jc w:val="both"/>
        <w:rPr>
          <w:rFonts w:ascii="Times New Roman" w:hAnsi="Times New Roman" w:cs="Times New Roman"/>
          <w:sz w:val="24"/>
          <w:szCs w:val="24"/>
        </w:rPr>
      </w:pPr>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Paulikienė</w:t>
      </w:r>
      <w:proofErr w:type="spellEnd"/>
      <w:r w:rsidRPr="00BD7E30">
        <w:rPr>
          <w:rFonts w:ascii="Times New Roman" w:hAnsi="Times New Roman" w:cs="Times New Roman"/>
          <w:sz w:val="24"/>
          <w:szCs w:val="24"/>
        </w:rPr>
        <w:t xml:space="preserve">, S. </w:t>
      </w:r>
      <w:r w:rsidRPr="00BD7E30">
        <w:rPr>
          <w:rFonts w:ascii="Times New Roman" w:hAnsi="Times New Roman" w:cs="Times New Roman"/>
          <w:i/>
          <w:iCs/>
          <w:sz w:val="24"/>
          <w:szCs w:val="24"/>
        </w:rPr>
        <w:t>et al.</w:t>
      </w:r>
      <w:r w:rsidRPr="00BD7E30">
        <w:rPr>
          <w:rFonts w:ascii="Times New Roman" w:hAnsi="Times New Roman" w:cs="Times New Roman"/>
          <w:sz w:val="24"/>
          <w:szCs w:val="24"/>
        </w:rPr>
        <w:t xml:space="preserve"> (2025) « </w:t>
      </w:r>
      <w:proofErr w:type="spellStart"/>
      <w:r w:rsidRPr="00BD7E30">
        <w:rPr>
          <w:rFonts w:ascii="Times New Roman" w:hAnsi="Times New Roman" w:cs="Times New Roman"/>
          <w:sz w:val="24"/>
          <w:szCs w:val="24"/>
        </w:rPr>
        <w:t>Review</w:t>
      </w:r>
      <w:proofErr w:type="spellEnd"/>
      <w:r w:rsidRPr="00BD7E30">
        <w:rPr>
          <w:rFonts w:ascii="Times New Roman" w:hAnsi="Times New Roman" w:cs="Times New Roman"/>
          <w:sz w:val="24"/>
          <w:szCs w:val="24"/>
        </w:rPr>
        <w:t>—</w:t>
      </w:r>
      <w:proofErr w:type="spellStart"/>
      <w:r w:rsidRPr="00BD7E30">
        <w:rPr>
          <w:rFonts w:ascii="Times New Roman" w:hAnsi="Times New Roman" w:cs="Times New Roman"/>
          <w:sz w:val="24"/>
          <w:szCs w:val="24"/>
        </w:rPr>
        <w:t>Seed</w:t>
      </w:r>
      <w:proofErr w:type="spellEnd"/>
      <w:r w:rsidRPr="00BD7E30">
        <w:rPr>
          <w:rFonts w:ascii="Times New Roman" w:hAnsi="Times New Roman" w:cs="Times New Roman"/>
          <w:sz w:val="24"/>
          <w:szCs w:val="24"/>
        </w:rPr>
        <w:t xml:space="preserve"> </w:t>
      </w:r>
      <w:proofErr w:type="spellStart"/>
      <w:proofErr w:type="gramStart"/>
      <w:r w:rsidRPr="00BD7E30">
        <w:rPr>
          <w:rFonts w:ascii="Times New Roman" w:hAnsi="Times New Roman" w:cs="Times New Roman"/>
          <w:sz w:val="24"/>
          <w:szCs w:val="24"/>
        </w:rPr>
        <w:t>Treatment</w:t>
      </w:r>
      <w:proofErr w:type="spellEnd"/>
      <w:r w:rsidRPr="00BD7E30">
        <w:rPr>
          <w:rFonts w:ascii="Times New Roman" w:hAnsi="Times New Roman" w:cs="Times New Roman"/>
          <w:sz w:val="24"/>
          <w:szCs w:val="24"/>
        </w:rPr>
        <w:t>:</w:t>
      </w:r>
      <w:proofErr w:type="gramEnd"/>
      <w:r w:rsidRPr="00BD7E30">
        <w:rPr>
          <w:rFonts w:ascii="Times New Roman" w:hAnsi="Times New Roman" w:cs="Times New Roman"/>
          <w:sz w:val="24"/>
          <w:szCs w:val="24"/>
        </w:rPr>
        <w:t xml:space="preserve"> Importance, Application, Impact, and </w:t>
      </w:r>
      <w:proofErr w:type="spellStart"/>
      <w:r w:rsidRPr="00BD7E30">
        <w:rPr>
          <w:rFonts w:ascii="Times New Roman" w:hAnsi="Times New Roman" w:cs="Times New Roman"/>
          <w:sz w:val="24"/>
          <w:szCs w:val="24"/>
        </w:rPr>
        <w:t>Opportunities</w:t>
      </w:r>
      <w:proofErr w:type="spellEnd"/>
      <w:r w:rsidRPr="00BD7E30">
        <w:rPr>
          <w:rFonts w:ascii="Times New Roman" w:hAnsi="Times New Roman" w:cs="Times New Roman"/>
          <w:sz w:val="24"/>
          <w:szCs w:val="24"/>
        </w:rPr>
        <w:t xml:space="preserve"> for </w:t>
      </w:r>
      <w:proofErr w:type="spellStart"/>
      <w:r w:rsidRPr="00BD7E30">
        <w:rPr>
          <w:rFonts w:ascii="Times New Roman" w:hAnsi="Times New Roman" w:cs="Times New Roman"/>
          <w:sz w:val="24"/>
          <w:szCs w:val="24"/>
        </w:rPr>
        <w:t>Increasing</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Sustainability</w:t>
      </w:r>
      <w:proofErr w:type="spellEnd"/>
      <w:r w:rsidRPr="00BD7E30">
        <w:rPr>
          <w:rFonts w:ascii="Times New Roman" w:hAnsi="Times New Roman" w:cs="Times New Roman"/>
          <w:sz w:val="24"/>
          <w:szCs w:val="24"/>
        </w:rPr>
        <w:t xml:space="preserve"> », </w:t>
      </w:r>
      <w:proofErr w:type="spellStart"/>
      <w:r w:rsidRPr="00BD7E30">
        <w:rPr>
          <w:rFonts w:ascii="Times New Roman" w:hAnsi="Times New Roman" w:cs="Times New Roman"/>
          <w:i/>
          <w:iCs/>
          <w:sz w:val="24"/>
          <w:szCs w:val="24"/>
        </w:rPr>
        <w:t>Agronomy</w:t>
      </w:r>
      <w:proofErr w:type="spellEnd"/>
      <w:r w:rsidRPr="00BD7E30">
        <w:rPr>
          <w:rFonts w:ascii="Times New Roman" w:hAnsi="Times New Roman" w:cs="Times New Roman"/>
          <w:sz w:val="24"/>
          <w:szCs w:val="24"/>
        </w:rPr>
        <w:t xml:space="preserve">, 15(7), p. 1689. </w:t>
      </w:r>
      <w:hyperlink r:id="rId27" w:history="1">
        <w:r w:rsidRPr="00BD7E30">
          <w:rPr>
            <w:rStyle w:val="Hyperlink"/>
            <w:rFonts w:ascii="Times New Roman" w:hAnsi="Times New Roman" w:cs="Times New Roman"/>
            <w:sz w:val="24"/>
            <w:szCs w:val="24"/>
          </w:rPr>
          <w:t>https://doi.org/10.3390/agronomy15071689</w:t>
        </w:r>
      </w:hyperlink>
    </w:p>
    <w:p w14:paraId="234A8473" w14:textId="730A185D" w:rsidR="00BD7E30" w:rsidRPr="00BD7E30" w:rsidRDefault="00BD7E30" w:rsidP="00BD7E30">
      <w:pPr>
        <w:pStyle w:val="Bibliography"/>
        <w:spacing w:after="0" w:line="480" w:lineRule="auto"/>
        <w:jc w:val="both"/>
        <w:rPr>
          <w:rFonts w:ascii="Times New Roman" w:hAnsi="Times New Roman" w:cs="Times New Roman"/>
          <w:sz w:val="24"/>
          <w:szCs w:val="24"/>
        </w:rPr>
      </w:pPr>
      <w:proofErr w:type="spellStart"/>
      <w:r w:rsidRPr="00BD7E30">
        <w:rPr>
          <w:rFonts w:ascii="Times New Roman" w:hAnsi="Times New Roman" w:cs="Times New Roman"/>
          <w:sz w:val="24"/>
          <w:szCs w:val="24"/>
        </w:rPr>
        <w:t>Ranganathan</w:t>
      </w:r>
      <w:proofErr w:type="spellEnd"/>
      <w:r w:rsidRPr="00BD7E30">
        <w:rPr>
          <w:rFonts w:ascii="Times New Roman" w:hAnsi="Times New Roman" w:cs="Times New Roman"/>
          <w:sz w:val="24"/>
          <w:szCs w:val="24"/>
        </w:rPr>
        <w:t>, U. et Groot, S.P.C. (2023) « </w:t>
      </w:r>
      <w:proofErr w:type="spellStart"/>
      <w:r w:rsidRPr="00BD7E30">
        <w:rPr>
          <w:rFonts w:ascii="Times New Roman" w:hAnsi="Times New Roman" w:cs="Times New Roman"/>
          <w:sz w:val="24"/>
          <w:szCs w:val="24"/>
        </w:rPr>
        <w:t>Seed</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Longevity</w:t>
      </w:r>
      <w:proofErr w:type="spellEnd"/>
      <w:r w:rsidRPr="00BD7E30">
        <w:rPr>
          <w:rFonts w:ascii="Times New Roman" w:hAnsi="Times New Roman" w:cs="Times New Roman"/>
          <w:sz w:val="24"/>
          <w:szCs w:val="24"/>
        </w:rPr>
        <w:t xml:space="preserve"> and </w:t>
      </w:r>
      <w:proofErr w:type="spellStart"/>
      <w:r w:rsidRPr="00BD7E30">
        <w:rPr>
          <w:rFonts w:ascii="Times New Roman" w:hAnsi="Times New Roman" w:cs="Times New Roman"/>
          <w:sz w:val="24"/>
          <w:szCs w:val="24"/>
        </w:rPr>
        <w:t>Deterioration</w:t>
      </w:r>
      <w:proofErr w:type="spellEnd"/>
      <w:r w:rsidRPr="00BD7E30">
        <w:rPr>
          <w:rFonts w:ascii="Times New Roman" w:hAnsi="Times New Roman" w:cs="Times New Roman"/>
          <w:sz w:val="24"/>
          <w:szCs w:val="24"/>
        </w:rPr>
        <w:t xml:space="preserve"> », in M. </w:t>
      </w:r>
      <w:proofErr w:type="spellStart"/>
      <w:r w:rsidRPr="00BD7E30">
        <w:rPr>
          <w:rFonts w:ascii="Times New Roman" w:hAnsi="Times New Roman" w:cs="Times New Roman"/>
          <w:sz w:val="24"/>
          <w:szCs w:val="24"/>
        </w:rPr>
        <w:t>Dadlani</w:t>
      </w:r>
      <w:proofErr w:type="spellEnd"/>
      <w:r w:rsidRPr="00BD7E30">
        <w:rPr>
          <w:rFonts w:ascii="Times New Roman" w:hAnsi="Times New Roman" w:cs="Times New Roman"/>
          <w:sz w:val="24"/>
          <w:szCs w:val="24"/>
        </w:rPr>
        <w:t xml:space="preserve"> et D.K. </w:t>
      </w:r>
      <w:proofErr w:type="spellStart"/>
      <w:r w:rsidRPr="00BD7E30">
        <w:rPr>
          <w:rFonts w:ascii="Times New Roman" w:hAnsi="Times New Roman" w:cs="Times New Roman"/>
          <w:sz w:val="24"/>
          <w:szCs w:val="24"/>
        </w:rPr>
        <w:t>Yadava</w:t>
      </w:r>
      <w:proofErr w:type="spellEnd"/>
      <w:r w:rsidRPr="00BD7E30">
        <w:rPr>
          <w:rFonts w:ascii="Times New Roman" w:hAnsi="Times New Roman" w:cs="Times New Roman"/>
          <w:sz w:val="24"/>
          <w:szCs w:val="24"/>
        </w:rPr>
        <w:t xml:space="preserve"> (éd.) </w:t>
      </w:r>
      <w:proofErr w:type="spellStart"/>
      <w:r w:rsidRPr="00BD7E30">
        <w:rPr>
          <w:rFonts w:ascii="Times New Roman" w:hAnsi="Times New Roman" w:cs="Times New Roman"/>
          <w:i/>
          <w:iCs/>
          <w:sz w:val="24"/>
          <w:szCs w:val="24"/>
        </w:rPr>
        <w:t>Seed</w:t>
      </w:r>
      <w:proofErr w:type="spellEnd"/>
      <w:r w:rsidRPr="00BD7E30">
        <w:rPr>
          <w:rFonts w:ascii="Times New Roman" w:hAnsi="Times New Roman" w:cs="Times New Roman"/>
          <w:i/>
          <w:iCs/>
          <w:sz w:val="24"/>
          <w:szCs w:val="24"/>
        </w:rPr>
        <w:t xml:space="preserve"> Science and </w:t>
      </w:r>
      <w:proofErr w:type="spellStart"/>
      <w:proofErr w:type="gramStart"/>
      <w:r w:rsidRPr="00BD7E30">
        <w:rPr>
          <w:rFonts w:ascii="Times New Roman" w:hAnsi="Times New Roman" w:cs="Times New Roman"/>
          <w:i/>
          <w:iCs/>
          <w:sz w:val="24"/>
          <w:szCs w:val="24"/>
        </w:rPr>
        <w:t>Technology</w:t>
      </w:r>
      <w:proofErr w:type="spellEnd"/>
      <w:r w:rsidRPr="00BD7E30">
        <w:rPr>
          <w:rFonts w:ascii="Times New Roman" w:hAnsi="Times New Roman" w:cs="Times New Roman"/>
          <w:i/>
          <w:iCs/>
          <w:sz w:val="24"/>
          <w:szCs w:val="24"/>
        </w:rPr>
        <w:t>:</w:t>
      </w:r>
      <w:proofErr w:type="gramEnd"/>
      <w:r w:rsidRPr="00BD7E30">
        <w:rPr>
          <w:rFonts w:ascii="Times New Roman" w:hAnsi="Times New Roman" w:cs="Times New Roman"/>
          <w:i/>
          <w:iCs/>
          <w:sz w:val="24"/>
          <w:szCs w:val="24"/>
        </w:rPr>
        <w:t xml:space="preserve"> </w:t>
      </w:r>
      <w:proofErr w:type="spellStart"/>
      <w:r w:rsidRPr="00BD7E30">
        <w:rPr>
          <w:rFonts w:ascii="Times New Roman" w:hAnsi="Times New Roman" w:cs="Times New Roman"/>
          <w:i/>
          <w:iCs/>
          <w:sz w:val="24"/>
          <w:szCs w:val="24"/>
        </w:rPr>
        <w:t>Biology</w:t>
      </w:r>
      <w:proofErr w:type="spellEnd"/>
      <w:r w:rsidRPr="00BD7E30">
        <w:rPr>
          <w:rFonts w:ascii="Times New Roman" w:hAnsi="Times New Roman" w:cs="Times New Roman"/>
          <w:i/>
          <w:iCs/>
          <w:sz w:val="24"/>
          <w:szCs w:val="24"/>
        </w:rPr>
        <w:t xml:space="preserve">, Production, </w:t>
      </w:r>
      <w:proofErr w:type="spellStart"/>
      <w:r w:rsidRPr="00BD7E30">
        <w:rPr>
          <w:rFonts w:ascii="Times New Roman" w:hAnsi="Times New Roman" w:cs="Times New Roman"/>
          <w:i/>
          <w:iCs/>
          <w:sz w:val="24"/>
          <w:szCs w:val="24"/>
        </w:rPr>
        <w:t>Quality</w:t>
      </w:r>
      <w:proofErr w:type="spellEnd"/>
      <w:r w:rsidRPr="00BD7E30">
        <w:rPr>
          <w:rFonts w:ascii="Times New Roman" w:hAnsi="Times New Roman" w:cs="Times New Roman"/>
          <w:sz w:val="24"/>
          <w:szCs w:val="24"/>
        </w:rPr>
        <w:t xml:space="preserve">. </w:t>
      </w:r>
      <w:proofErr w:type="gramStart"/>
      <w:r w:rsidRPr="00BD7E30">
        <w:rPr>
          <w:rFonts w:ascii="Times New Roman" w:hAnsi="Times New Roman" w:cs="Times New Roman"/>
          <w:sz w:val="24"/>
          <w:szCs w:val="24"/>
        </w:rPr>
        <w:t>Singapore:</w:t>
      </w:r>
      <w:proofErr w:type="gramEnd"/>
      <w:r w:rsidRPr="00BD7E30">
        <w:rPr>
          <w:rFonts w:ascii="Times New Roman" w:hAnsi="Times New Roman" w:cs="Times New Roman"/>
          <w:sz w:val="24"/>
          <w:szCs w:val="24"/>
        </w:rPr>
        <w:t xml:space="preserve"> Springer Nature, p. 91‑108. </w:t>
      </w:r>
      <w:hyperlink r:id="rId28" w:history="1">
        <w:r w:rsidRPr="00BD7E30">
          <w:rPr>
            <w:rStyle w:val="Hyperlink"/>
            <w:rFonts w:ascii="Times New Roman" w:hAnsi="Times New Roman" w:cs="Times New Roman"/>
            <w:sz w:val="24"/>
            <w:szCs w:val="24"/>
          </w:rPr>
          <w:t>https://doi.org/10.1007/978-981-19-5888-5_5</w:t>
        </w:r>
      </w:hyperlink>
      <w:r w:rsidRPr="00BD7E30">
        <w:rPr>
          <w:rFonts w:ascii="Times New Roman" w:hAnsi="Times New Roman" w:cs="Times New Roman"/>
          <w:sz w:val="24"/>
          <w:szCs w:val="24"/>
        </w:rPr>
        <w:t xml:space="preserve"> </w:t>
      </w:r>
    </w:p>
    <w:p w14:paraId="4FE89F59" w14:textId="769790E5" w:rsidR="00BD7E30" w:rsidRPr="00BD7E30" w:rsidRDefault="00BD7E30" w:rsidP="00BD7E30">
      <w:pPr>
        <w:pStyle w:val="Bibliography"/>
        <w:spacing w:after="0" w:line="480" w:lineRule="auto"/>
        <w:jc w:val="both"/>
        <w:rPr>
          <w:rFonts w:ascii="Times New Roman" w:hAnsi="Times New Roman" w:cs="Times New Roman"/>
          <w:sz w:val="24"/>
          <w:szCs w:val="24"/>
        </w:rPr>
      </w:pPr>
      <w:proofErr w:type="spellStart"/>
      <w:r w:rsidRPr="00BD7E30">
        <w:rPr>
          <w:rFonts w:ascii="Times New Roman" w:hAnsi="Times New Roman" w:cs="Times New Roman"/>
          <w:sz w:val="24"/>
          <w:szCs w:val="24"/>
        </w:rPr>
        <w:lastRenderedPageBreak/>
        <w:t>Ranganathan</w:t>
      </w:r>
      <w:proofErr w:type="spellEnd"/>
      <w:r w:rsidRPr="00BD7E30">
        <w:rPr>
          <w:rFonts w:ascii="Times New Roman" w:hAnsi="Times New Roman" w:cs="Times New Roman"/>
          <w:sz w:val="24"/>
          <w:szCs w:val="24"/>
        </w:rPr>
        <w:t>, U. et Groot, S.P.C. (2023) « </w:t>
      </w:r>
      <w:proofErr w:type="spellStart"/>
      <w:r w:rsidRPr="00BD7E30">
        <w:rPr>
          <w:rFonts w:ascii="Times New Roman" w:hAnsi="Times New Roman" w:cs="Times New Roman"/>
          <w:sz w:val="24"/>
          <w:szCs w:val="24"/>
        </w:rPr>
        <w:t>Seed</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Longevity</w:t>
      </w:r>
      <w:proofErr w:type="spellEnd"/>
      <w:r w:rsidRPr="00BD7E30">
        <w:rPr>
          <w:rFonts w:ascii="Times New Roman" w:hAnsi="Times New Roman" w:cs="Times New Roman"/>
          <w:sz w:val="24"/>
          <w:szCs w:val="24"/>
        </w:rPr>
        <w:t xml:space="preserve"> and </w:t>
      </w:r>
      <w:proofErr w:type="spellStart"/>
      <w:r w:rsidRPr="00BD7E30">
        <w:rPr>
          <w:rFonts w:ascii="Times New Roman" w:hAnsi="Times New Roman" w:cs="Times New Roman"/>
          <w:sz w:val="24"/>
          <w:szCs w:val="24"/>
        </w:rPr>
        <w:t>Deterioration</w:t>
      </w:r>
      <w:proofErr w:type="spellEnd"/>
      <w:r w:rsidRPr="00BD7E30">
        <w:rPr>
          <w:rFonts w:ascii="Times New Roman" w:hAnsi="Times New Roman" w:cs="Times New Roman"/>
          <w:sz w:val="24"/>
          <w:szCs w:val="24"/>
        </w:rPr>
        <w:t xml:space="preserve"> », in M. </w:t>
      </w:r>
      <w:proofErr w:type="spellStart"/>
      <w:r w:rsidRPr="00BD7E30">
        <w:rPr>
          <w:rFonts w:ascii="Times New Roman" w:hAnsi="Times New Roman" w:cs="Times New Roman"/>
          <w:sz w:val="24"/>
          <w:szCs w:val="24"/>
        </w:rPr>
        <w:t>Dadlani</w:t>
      </w:r>
      <w:proofErr w:type="spellEnd"/>
      <w:r w:rsidRPr="00BD7E30">
        <w:rPr>
          <w:rFonts w:ascii="Times New Roman" w:hAnsi="Times New Roman" w:cs="Times New Roman"/>
          <w:sz w:val="24"/>
          <w:szCs w:val="24"/>
        </w:rPr>
        <w:t xml:space="preserve"> et D.K. </w:t>
      </w:r>
      <w:proofErr w:type="spellStart"/>
      <w:r w:rsidRPr="00BD7E30">
        <w:rPr>
          <w:rFonts w:ascii="Times New Roman" w:hAnsi="Times New Roman" w:cs="Times New Roman"/>
          <w:sz w:val="24"/>
          <w:szCs w:val="24"/>
        </w:rPr>
        <w:t>Yadava</w:t>
      </w:r>
      <w:proofErr w:type="spellEnd"/>
      <w:r w:rsidRPr="00BD7E30">
        <w:rPr>
          <w:rFonts w:ascii="Times New Roman" w:hAnsi="Times New Roman" w:cs="Times New Roman"/>
          <w:sz w:val="24"/>
          <w:szCs w:val="24"/>
        </w:rPr>
        <w:t xml:space="preserve"> (éd.) </w:t>
      </w:r>
      <w:proofErr w:type="spellStart"/>
      <w:r w:rsidRPr="00BD7E30">
        <w:rPr>
          <w:rFonts w:ascii="Times New Roman" w:hAnsi="Times New Roman" w:cs="Times New Roman"/>
          <w:i/>
          <w:iCs/>
          <w:sz w:val="24"/>
          <w:szCs w:val="24"/>
        </w:rPr>
        <w:t>Seed</w:t>
      </w:r>
      <w:proofErr w:type="spellEnd"/>
      <w:r w:rsidRPr="00BD7E30">
        <w:rPr>
          <w:rFonts w:ascii="Times New Roman" w:hAnsi="Times New Roman" w:cs="Times New Roman"/>
          <w:i/>
          <w:iCs/>
          <w:sz w:val="24"/>
          <w:szCs w:val="24"/>
        </w:rPr>
        <w:t xml:space="preserve"> Science and </w:t>
      </w:r>
      <w:proofErr w:type="spellStart"/>
      <w:proofErr w:type="gramStart"/>
      <w:r w:rsidRPr="00BD7E30">
        <w:rPr>
          <w:rFonts w:ascii="Times New Roman" w:hAnsi="Times New Roman" w:cs="Times New Roman"/>
          <w:i/>
          <w:iCs/>
          <w:sz w:val="24"/>
          <w:szCs w:val="24"/>
        </w:rPr>
        <w:t>Technology</w:t>
      </w:r>
      <w:proofErr w:type="spellEnd"/>
      <w:r w:rsidRPr="00BD7E30">
        <w:rPr>
          <w:rFonts w:ascii="Times New Roman" w:hAnsi="Times New Roman" w:cs="Times New Roman"/>
          <w:i/>
          <w:iCs/>
          <w:sz w:val="24"/>
          <w:szCs w:val="24"/>
        </w:rPr>
        <w:t>:</w:t>
      </w:r>
      <w:proofErr w:type="gramEnd"/>
      <w:r w:rsidRPr="00BD7E30">
        <w:rPr>
          <w:rFonts w:ascii="Times New Roman" w:hAnsi="Times New Roman" w:cs="Times New Roman"/>
          <w:i/>
          <w:iCs/>
          <w:sz w:val="24"/>
          <w:szCs w:val="24"/>
        </w:rPr>
        <w:t xml:space="preserve"> </w:t>
      </w:r>
      <w:proofErr w:type="spellStart"/>
      <w:r w:rsidRPr="00BD7E30">
        <w:rPr>
          <w:rFonts w:ascii="Times New Roman" w:hAnsi="Times New Roman" w:cs="Times New Roman"/>
          <w:i/>
          <w:iCs/>
          <w:sz w:val="24"/>
          <w:szCs w:val="24"/>
        </w:rPr>
        <w:t>Biology</w:t>
      </w:r>
      <w:proofErr w:type="spellEnd"/>
      <w:r w:rsidRPr="00BD7E30">
        <w:rPr>
          <w:rFonts w:ascii="Times New Roman" w:hAnsi="Times New Roman" w:cs="Times New Roman"/>
          <w:i/>
          <w:iCs/>
          <w:sz w:val="24"/>
          <w:szCs w:val="24"/>
        </w:rPr>
        <w:t xml:space="preserve">, Production, </w:t>
      </w:r>
      <w:proofErr w:type="spellStart"/>
      <w:r w:rsidRPr="00BD7E30">
        <w:rPr>
          <w:rFonts w:ascii="Times New Roman" w:hAnsi="Times New Roman" w:cs="Times New Roman"/>
          <w:i/>
          <w:iCs/>
          <w:sz w:val="24"/>
          <w:szCs w:val="24"/>
        </w:rPr>
        <w:t>Quality</w:t>
      </w:r>
      <w:proofErr w:type="spellEnd"/>
      <w:r w:rsidRPr="00BD7E30">
        <w:rPr>
          <w:rFonts w:ascii="Times New Roman" w:hAnsi="Times New Roman" w:cs="Times New Roman"/>
          <w:sz w:val="24"/>
          <w:szCs w:val="24"/>
        </w:rPr>
        <w:t xml:space="preserve">. </w:t>
      </w:r>
      <w:proofErr w:type="gramStart"/>
      <w:r w:rsidRPr="00BD7E30">
        <w:rPr>
          <w:rFonts w:ascii="Times New Roman" w:hAnsi="Times New Roman" w:cs="Times New Roman"/>
          <w:sz w:val="24"/>
          <w:szCs w:val="24"/>
        </w:rPr>
        <w:t>Singapore:</w:t>
      </w:r>
      <w:proofErr w:type="gramEnd"/>
      <w:r w:rsidRPr="00BD7E30">
        <w:rPr>
          <w:rFonts w:ascii="Times New Roman" w:hAnsi="Times New Roman" w:cs="Times New Roman"/>
          <w:sz w:val="24"/>
          <w:szCs w:val="24"/>
        </w:rPr>
        <w:t xml:space="preserve"> Springer Nature, p. 91‑108. </w:t>
      </w:r>
      <w:hyperlink r:id="rId29" w:history="1">
        <w:r w:rsidRPr="00BD7E30">
          <w:rPr>
            <w:rStyle w:val="Hyperlink"/>
            <w:rFonts w:ascii="Times New Roman" w:hAnsi="Times New Roman" w:cs="Times New Roman"/>
            <w:sz w:val="24"/>
            <w:szCs w:val="24"/>
          </w:rPr>
          <w:t>https://doi.org/10.1007/978-981-19-5888-5_5</w:t>
        </w:r>
      </w:hyperlink>
    </w:p>
    <w:p w14:paraId="3F13E1BC" w14:textId="1BF8CAED" w:rsidR="00BD7E30" w:rsidRPr="00BD7E30" w:rsidRDefault="00BD7E30" w:rsidP="00BD7E30">
      <w:pPr>
        <w:pStyle w:val="Bibliography"/>
        <w:spacing w:after="0" w:line="480" w:lineRule="auto"/>
        <w:jc w:val="both"/>
        <w:rPr>
          <w:rFonts w:ascii="Times New Roman" w:hAnsi="Times New Roman" w:cs="Times New Roman"/>
          <w:sz w:val="24"/>
          <w:szCs w:val="24"/>
        </w:rPr>
      </w:pPr>
      <w:proofErr w:type="spellStart"/>
      <w:r w:rsidRPr="00BD7E30">
        <w:rPr>
          <w:rFonts w:ascii="Times New Roman" w:hAnsi="Times New Roman" w:cs="Times New Roman"/>
          <w:sz w:val="24"/>
          <w:szCs w:val="24"/>
        </w:rPr>
        <w:t>Sonnewald</w:t>
      </w:r>
      <w:proofErr w:type="spellEnd"/>
      <w:r w:rsidRPr="00BD7E30">
        <w:rPr>
          <w:rFonts w:ascii="Times New Roman" w:hAnsi="Times New Roman" w:cs="Times New Roman"/>
          <w:sz w:val="24"/>
          <w:szCs w:val="24"/>
        </w:rPr>
        <w:t xml:space="preserve">, S. et </w:t>
      </w:r>
      <w:proofErr w:type="spellStart"/>
      <w:r w:rsidRPr="00BD7E30">
        <w:rPr>
          <w:rFonts w:ascii="Times New Roman" w:hAnsi="Times New Roman" w:cs="Times New Roman"/>
          <w:sz w:val="24"/>
          <w:szCs w:val="24"/>
        </w:rPr>
        <w:t>Sonnewald</w:t>
      </w:r>
      <w:proofErr w:type="spellEnd"/>
      <w:r w:rsidRPr="00BD7E30">
        <w:rPr>
          <w:rFonts w:ascii="Times New Roman" w:hAnsi="Times New Roman" w:cs="Times New Roman"/>
          <w:sz w:val="24"/>
          <w:szCs w:val="24"/>
        </w:rPr>
        <w:t>, U. (2014) « </w:t>
      </w:r>
      <w:proofErr w:type="spellStart"/>
      <w:r w:rsidRPr="00BD7E30">
        <w:rPr>
          <w:rFonts w:ascii="Times New Roman" w:hAnsi="Times New Roman" w:cs="Times New Roman"/>
          <w:sz w:val="24"/>
          <w:szCs w:val="24"/>
        </w:rPr>
        <w:t>Regulation</w:t>
      </w:r>
      <w:proofErr w:type="spellEnd"/>
      <w:r w:rsidRPr="00BD7E30">
        <w:rPr>
          <w:rFonts w:ascii="Times New Roman" w:hAnsi="Times New Roman" w:cs="Times New Roman"/>
          <w:sz w:val="24"/>
          <w:szCs w:val="24"/>
        </w:rPr>
        <w:t xml:space="preserve"> of </w:t>
      </w:r>
      <w:proofErr w:type="spellStart"/>
      <w:r w:rsidRPr="00BD7E30">
        <w:rPr>
          <w:rFonts w:ascii="Times New Roman" w:hAnsi="Times New Roman" w:cs="Times New Roman"/>
          <w:sz w:val="24"/>
          <w:szCs w:val="24"/>
        </w:rPr>
        <w:t>potato</w:t>
      </w:r>
      <w:proofErr w:type="spellEnd"/>
      <w:r w:rsidRPr="00BD7E30">
        <w:rPr>
          <w:rFonts w:ascii="Times New Roman" w:hAnsi="Times New Roman" w:cs="Times New Roman"/>
          <w:sz w:val="24"/>
          <w:szCs w:val="24"/>
        </w:rPr>
        <w:t xml:space="preserve"> tuber </w:t>
      </w:r>
      <w:proofErr w:type="spellStart"/>
      <w:r w:rsidRPr="00BD7E30">
        <w:rPr>
          <w:rFonts w:ascii="Times New Roman" w:hAnsi="Times New Roman" w:cs="Times New Roman"/>
          <w:sz w:val="24"/>
          <w:szCs w:val="24"/>
        </w:rPr>
        <w:t>sprouting</w:t>
      </w:r>
      <w:proofErr w:type="spellEnd"/>
      <w:r w:rsidRPr="00BD7E30">
        <w:rPr>
          <w:rFonts w:ascii="Times New Roman" w:hAnsi="Times New Roman" w:cs="Times New Roman"/>
          <w:sz w:val="24"/>
          <w:szCs w:val="24"/>
        </w:rPr>
        <w:t xml:space="preserve"> », </w:t>
      </w:r>
      <w:r w:rsidRPr="00BD7E30">
        <w:rPr>
          <w:rFonts w:ascii="Times New Roman" w:hAnsi="Times New Roman" w:cs="Times New Roman"/>
          <w:i/>
          <w:iCs/>
          <w:sz w:val="24"/>
          <w:szCs w:val="24"/>
        </w:rPr>
        <w:t>Planta</w:t>
      </w:r>
      <w:r w:rsidRPr="00BD7E30">
        <w:rPr>
          <w:rFonts w:ascii="Times New Roman" w:hAnsi="Times New Roman" w:cs="Times New Roman"/>
          <w:sz w:val="24"/>
          <w:szCs w:val="24"/>
        </w:rPr>
        <w:t xml:space="preserve">, 239(1), p. 27‑38. Disponible </w:t>
      </w:r>
      <w:proofErr w:type="gramStart"/>
      <w:r w:rsidRPr="00BD7E30">
        <w:rPr>
          <w:rFonts w:ascii="Times New Roman" w:hAnsi="Times New Roman" w:cs="Times New Roman"/>
          <w:sz w:val="24"/>
          <w:szCs w:val="24"/>
        </w:rPr>
        <w:t>sur:</w:t>
      </w:r>
      <w:proofErr w:type="gramEnd"/>
      <w:r w:rsidRPr="00BD7E30">
        <w:rPr>
          <w:rFonts w:ascii="Times New Roman" w:hAnsi="Times New Roman" w:cs="Times New Roman"/>
          <w:sz w:val="24"/>
          <w:szCs w:val="24"/>
        </w:rPr>
        <w:t xml:space="preserve"> </w:t>
      </w:r>
      <w:hyperlink r:id="rId30" w:history="1">
        <w:r w:rsidRPr="00BD7E30">
          <w:rPr>
            <w:rStyle w:val="Hyperlink"/>
            <w:rFonts w:ascii="Times New Roman" w:hAnsi="Times New Roman" w:cs="Times New Roman"/>
            <w:sz w:val="24"/>
            <w:szCs w:val="24"/>
          </w:rPr>
          <w:t>https://doi.org/10.1007/s00425-013-1968-z</w:t>
        </w:r>
      </w:hyperlink>
      <w:r w:rsidRPr="00BD7E30">
        <w:rPr>
          <w:rFonts w:ascii="Times New Roman" w:hAnsi="Times New Roman" w:cs="Times New Roman"/>
          <w:sz w:val="24"/>
          <w:szCs w:val="24"/>
        </w:rPr>
        <w:t xml:space="preserve"> </w:t>
      </w:r>
    </w:p>
    <w:p w14:paraId="50E011B3" w14:textId="77777777" w:rsidR="00BD7E30" w:rsidRPr="00BD7E30" w:rsidRDefault="00BD7E30" w:rsidP="00BD7E30">
      <w:pPr>
        <w:spacing w:after="0" w:line="480" w:lineRule="auto"/>
        <w:jc w:val="both"/>
        <w:rPr>
          <w:rFonts w:ascii="Times New Roman" w:hAnsi="Times New Roman" w:cs="Times New Roman"/>
          <w:sz w:val="24"/>
          <w:szCs w:val="24"/>
        </w:rPr>
      </w:pPr>
    </w:p>
    <w:p w14:paraId="38E6DC38" w14:textId="19BCF5C2" w:rsidR="00BD7E30" w:rsidRPr="00BD7E30" w:rsidRDefault="00BD7E30" w:rsidP="00BD7E30">
      <w:pPr>
        <w:pStyle w:val="Bibliography"/>
        <w:spacing w:after="0" w:line="480" w:lineRule="auto"/>
        <w:jc w:val="both"/>
        <w:rPr>
          <w:rFonts w:ascii="Times New Roman" w:hAnsi="Times New Roman" w:cs="Times New Roman"/>
          <w:sz w:val="24"/>
          <w:szCs w:val="24"/>
        </w:rPr>
      </w:pPr>
      <w:r w:rsidRPr="00BD7E30">
        <w:rPr>
          <w:rFonts w:ascii="Times New Roman" w:hAnsi="Times New Roman" w:cs="Times New Roman"/>
          <w:sz w:val="24"/>
          <w:szCs w:val="24"/>
        </w:rPr>
        <w:t xml:space="preserve">Shi, Z. </w:t>
      </w:r>
      <w:r w:rsidRPr="00BD7E30">
        <w:rPr>
          <w:rFonts w:ascii="Times New Roman" w:hAnsi="Times New Roman" w:cs="Times New Roman"/>
          <w:i/>
          <w:iCs/>
          <w:sz w:val="24"/>
          <w:szCs w:val="24"/>
        </w:rPr>
        <w:t>et al.</w:t>
      </w:r>
      <w:r w:rsidRPr="00BD7E30">
        <w:rPr>
          <w:rFonts w:ascii="Times New Roman" w:hAnsi="Times New Roman" w:cs="Times New Roman"/>
          <w:sz w:val="24"/>
          <w:szCs w:val="24"/>
        </w:rPr>
        <w:t xml:space="preserve"> (2020) « </w:t>
      </w:r>
      <w:proofErr w:type="spellStart"/>
      <w:r w:rsidRPr="00BD7E30">
        <w:rPr>
          <w:rFonts w:ascii="Times New Roman" w:hAnsi="Times New Roman" w:cs="Times New Roman"/>
          <w:sz w:val="24"/>
          <w:szCs w:val="24"/>
        </w:rPr>
        <w:t>Morphological</w:t>
      </w:r>
      <w:proofErr w:type="spellEnd"/>
      <w:r w:rsidRPr="00BD7E30">
        <w:rPr>
          <w:rFonts w:ascii="Times New Roman" w:hAnsi="Times New Roman" w:cs="Times New Roman"/>
          <w:sz w:val="24"/>
          <w:szCs w:val="24"/>
        </w:rPr>
        <w:t xml:space="preserve"> and </w:t>
      </w:r>
      <w:proofErr w:type="spellStart"/>
      <w:r w:rsidRPr="00BD7E30">
        <w:rPr>
          <w:rFonts w:ascii="Times New Roman" w:hAnsi="Times New Roman" w:cs="Times New Roman"/>
          <w:sz w:val="24"/>
          <w:szCs w:val="24"/>
        </w:rPr>
        <w:t>physiological</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factors</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contributing</w:t>
      </w:r>
      <w:proofErr w:type="spellEnd"/>
      <w:r w:rsidRPr="00BD7E30">
        <w:rPr>
          <w:rFonts w:ascii="Times New Roman" w:hAnsi="Times New Roman" w:cs="Times New Roman"/>
          <w:sz w:val="24"/>
          <w:szCs w:val="24"/>
        </w:rPr>
        <w:t xml:space="preserve"> to </w:t>
      </w:r>
      <w:proofErr w:type="spellStart"/>
      <w:r w:rsidRPr="00BD7E30">
        <w:rPr>
          <w:rFonts w:ascii="Times New Roman" w:hAnsi="Times New Roman" w:cs="Times New Roman"/>
          <w:sz w:val="24"/>
          <w:szCs w:val="24"/>
        </w:rPr>
        <w:t>early</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vigor</w:t>
      </w:r>
      <w:proofErr w:type="spellEnd"/>
      <w:r w:rsidRPr="00BD7E30">
        <w:rPr>
          <w:rFonts w:ascii="Times New Roman" w:hAnsi="Times New Roman" w:cs="Times New Roman"/>
          <w:sz w:val="24"/>
          <w:szCs w:val="24"/>
        </w:rPr>
        <w:t xml:space="preserve"> in the </w:t>
      </w:r>
      <w:proofErr w:type="spellStart"/>
      <w:r w:rsidRPr="00BD7E30">
        <w:rPr>
          <w:rFonts w:ascii="Times New Roman" w:hAnsi="Times New Roman" w:cs="Times New Roman"/>
          <w:sz w:val="24"/>
          <w:szCs w:val="24"/>
        </w:rPr>
        <w:t>elite</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rice</w:t>
      </w:r>
      <w:proofErr w:type="spellEnd"/>
      <w:r w:rsidRPr="00BD7E30">
        <w:rPr>
          <w:rFonts w:ascii="Times New Roman" w:hAnsi="Times New Roman" w:cs="Times New Roman"/>
          <w:sz w:val="24"/>
          <w:szCs w:val="24"/>
        </w:rPr>
        <w:t xml:space="preserve"> cultivar 9,311 », </w:t>
      </w:r>
      <w:r w:rsidRPr="00BD7E30">
        <w:rPr>
          <w:rFonts w:ascii="Times New Roman" w:hAnsi="Times New Roman" w:cs="Times New Roman"/>
          <w:i/>
          <w:iCs/>
          <w:sz w:val="24"/>
          <w:szCs w:val="24"/>
        </w:rPr>
        <w:t>Scientific Reports</w:t>
      </w:r>
      <w:r w:rsidRPr="00BD7E30">
        <w:rPr>
          <w:rFonts w:ascii="Times New Roman" w:hAnsi="Times New Roman" w:cs="Times New Roman"/>
          <w:sz w:val="24"/>
          <w:szCs w:val="24"/>
        </w:rPr>
        <w:t xml:space="preserve">, 10(1), p. 14813. </w:t>
      </w:r>
      <w:hyperlink r:id="rId31" w:history="1">
        <w:r w:rsidRPr="00BD7E30">
          <w:rPr>
            <w:rStyle w:val="Hyperlink"/>
            <w:rFonts w:ascii="Times New Roman" w:hAnsi="Times New Roman" w:cs="Times New Roman"/>
            <w:sz w:val="24"/>
            <w:szCs w:val="24"/>
          </w:rPr>
          <w:t>https://doi.org/10.1038/s41598-020-71913-y</w:t>
        </w:r>
      </w:hyperlink>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Sugri</w:t>
      </w:r>
      <w:proofErr w:type="spellEnd"/>
      <w:r w:rsidRPr="00BD7E30">
        <w:rPr>
          <w:rFonts w:ascii="Times New Roman" w:hAnsi="Times New Roman" w:cs="Times New Roman"/>
          <w:sz w:val="24"/>
          <w:szCs w:val="24"/>
        </w:rPr>
        <w:t xml:space="preserve">, I. </w:t>
      </w:r>
      <w:r w:rsidRPr="00BD7E30">
        <w:rPr>
          <w:rFonts w:ascii="Times New Roman" w:hAnsi="Times New Roman" w:cs="Times New Roman"/>
          <w:i/>
          <w:iCs/>
          <w:sz w:val="24"/>
          <w:szCs w:val="24"/>
        </w:rPr>
        <w:t>et al.</w:t>
      </w:r>
      <w:r w:rsidRPr="00BD7E30">
        <w:rPr>
          <w:rFonts w:ascii="Times New Roman" w:hAnsi="Times New Roman" w:cs="Times New Roman"/>
          <w:sz w:val="24"/>
          <w:szCs w:val="24"/>
        </w:rPr>
        <w:t xml:space="preserve"> (2021) « </w:t>
      </w:r>
      <w:proofErr w:type="spellStart"/>
      <w:r w:rsidRPr="00BD7E30">
        <w:rPr>
          <w:rFonts w:ascii="Times New Roman" w:hAnsi="Times New Roman" w:cs="Times New Roman"/>
          <w:sz w:val="24"/>
          <w:szCs w:val="24"/>
        </w:rPr>
        <w:t>Assessment</w:t>
      </w:r>
      <w:proofErr w:type="spellEnd"/>
      <w:r w:rsidRPr="00BD7E30">
        <w:rPr>
          <w:rFonts w:ascii="Times New Roman" w:hAnsi="Times New Roman" w:cs="Times New Roman"/>
          <w:sz w:val="24"/>
          <w:szCs w:val="24"/>
        </w:rPr>
        <w:t xml:space="preserve"> of </w:t>
      </w:r>
      <w:proofErr w:type="spellStart"/>
      <w:r w:rsidRPr="00BD7E30">
        <w:rPr>
          <w:rFonts w:ascii="Times New Roman" w:hAnsi="Times New Roman" w:cs="Times New Roman"/>
          <w:sz w:val="24"/>
          <w:szCs w:val="24"/>
        </w:rPr>
        <w:t>Postharvest</w:t>
      </w:r>
      <w:proofErr w:type="spellEnd"/>
      <w:r w:rsidRPr="00BD7E30">
        <w:rPr>
          <w:rFonts w:ascii="Times New Roman" w:hAnsi="Times New Roman" w:cs="Times New Roman"/>
          <w:sz w:val="24"/>
          <w:szCs w:val="24"/>
        </w:rPr>
        <w:t xml:space="preserve"> Management of </w:t>
      </w:r>
      <w:proofErr w:type="spellStart"/>
      <w:r w:rsidRPr="00BD7E30">
        <w:rPr>
          <w:rFonts w:ascii="Times New Roman" w:hAnsi="Times New Roman" w:cs="Times New Roman"/>
          <w:sz w:val="24"/>
          <w:szCs w:val="24"/>
        </w:rPr>
        <w:t>Frafra</w:t>
      </w:r>
      <w:proofErr w:type="spellEnd"/>
      <w:r w:rsidRPr="00BD7E30">
        <w:rPr>
          <w:rFonts w:ascii="Times New Roman" w:hAnsi="Times New Roman" w:cs="Times New Roman"/>
          <w:sz w:val="24"/>
          <w:szCs w:val="24"/>
        </w:rPr>
        <w:t xml:space="preserve"> Potato (</w:t>
      </w:r>
      <w:proofErr w:type="spellStart"/>
      <w:r w:rsidRPr="00BD7E30">
        <w:rPr>
          <w:rFonts w:ascii="Times New Roman" w:hAnsi="Times New Roman" w:cs="Times New Roman"/>
          <w:sz w:val="24"/>
          <w:szCs w:val="24"/>
        </w:rPr>
        <w:t>Solenostemon</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rotundifolius</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Poir</w:t>
      </w:r>
      <w:proofErr w:type="spellEnd"/>
      <w:r w:rsidRPr="00BD7E30">
        <w:rPr>
          <w:rFonts w:ascii="Times New Roman" w:hAnsi="Times New Roman" w:cs="Times New Roman"/>
          <w:sz w:val="24"/>
          <w:szCs w:val="24"/>
        </w:rPr>
        <w:t xml:space="preserve">.) J. K. Morton) », p. 79‑101. </w:t>
      </w:r>
      <w:hyperlink r:id="rId32" w:history="1">
        <w:r w:rsidRPr="00BD7E30">
          <w:rPr>
            <w:rStyle w:val="Hyperlink"/>
            <w:rFonts w:ascii="Times New Roman" w:hAnsi="Times New Roman" w:cs="Times New Roman"/>
            <w:sz w:val="24"/>
            <w:szCs w:val="24"/>
          </w:rPr>
          <w:t>https://doi.org/10.9734/bpi/ctas/v5/2208C</w:t>
        </w:r>
      </w:hyperlink>
      <w:r w:rsidRPr="00BD7E30">
        <w:rPr>
          <w:rFonts w:ascii="Times New Roman" w:hAnsi="Times New Roman" w:cs="Times New Roman"/>
          <w:sz w:val="24"/>
          <w:szCs w:val="24"/>
        </w:rPr>
        <w:t xml:space="preserve"> </w:t>
      </w:r>
    </w:p>
    <w:p w14:paraId="0B9B2EC2" w14:textId="576F4BBF" w:rsidR="00BD7E30" w:rsidRPr="00BD7E30" w:rsidRDefault="00BD7E30" w:rsidP="00BD7E30">
      <w:pPr>
        <w:pStyle w:val="Bibliography"/>
        <w:spacing w:after="0" w:line="480" w:lineRule="auto"/>
        <w:jc w:val="both"/>
        <w:rPr>
          <w:rFonts w:ascii="Times New Roman" w:hAnsi="Times New Roman" w:cs="Times New Roman"/>
          <w:sz w:val="24"/>
          <w:szCs w:val="24"/>
        </w:rPr>
      </w:pPr>
      <w:proofErr w:type="spellStart"/>
      <w:r w:rsidRPr="00BD7E30">
        <w:rPr>
          <w:rFonts w:ascii="Times New Roman" w:hAnsi="Times New Roman" w:cs="Times New Roman"/>
          <w:sz w:val="24"/>
          <w:szCs w:val="24"/>
        </w:rPr>
        <w:t>Tietiambou</w:t>
      </w:r>
      <w:proofErr w:type="spellEnd"/>
      <w:r w:rsidRPr="00BD7E30">
        <w:rPr>
          <w:rFonts w:ascii="Times New Roman" w:hAnsi="Times New Roman" w:cs="Times New Roman"/>
          <w:sz w:val="24"/>
          <w:szCs w:val="24"/>
        </w:rPr>
        <w:t xml:space="preserve">, F.R. </w:t>
      </w:r>
      <w:r w:rsidRPr="00BD7E30">
        <w:rPr>
          <w:rFonts w:ascii="Times New Roman" w:hAnsi="Times New Roman" w:cs="Times New Roman"/>
          <w:i/>
          <w:iCs/>
          <w:sz w:val="24"/>
          <w:szCs w:val="24"/>
        </w:rPr>
        <w:t>et al.</w:t>
      </w:r>
      <w:r w:rsidRPr="00BD7E30">
        <w:rPr>
          <w:rFonts w:ascii="Times New Roman" w:hAnsi="Times New Roman" w:cs="Times New Roman"/>
          <w:sz w:val="24"/>
          <w:szCs w:val="24"/>
        </w:rPr>
        <w:t xml:space="preserve"> (2023) « Rapport sur les résultats de l’évaluation rapide du marché (ERM) des cultures cibles au Burkina Faso ». </w:t>
      </w:r>
      <w:hyperlink r:id="rId33" w:history="1">
        <w:r w:rsidRPr="00BD7E30">
          <w:rPr>
            <w:rStyle w:val="Hyperlink"/>
            <w:rFonts w:ascii="Times New Roman" w:hAnsi="Times New Roman" w:cs="Times New Roman"/>
            <w:sz w:val="24"/>
            <w:szCs w:val="24"/>
          </w:rPr>
          <w:t>https://hdl.handle.net/10568/135975</w:t>
        </w:r>
      </w:hyperlink>
      <w:r w:rsidRPr="00BD7E30">
        <w:rPr>
          <w:rFonts w:ascii="Times New Roman" w:hAnsi="Times New Roman" w:cs="Times New Roman"/>
          <w:sz w:val="24"/>
          <w:szCs w:val="24"/>
        </w:rPr>
        <w:t xml:space="preserve"> </w:t>
      </w:r>
    </w:p>
    <w:p w14:paraId="660AC9F2" w14:textId="742173D3" w:rsidR="00995928" w:rsidRPr="00E13F58" w:rsidRDefault="00BD7E30" w:rsidP="00E13F58">
      <w:pPr>
        <w:pStyle w:val="Bibliography"/>
        <w:spacing w:after="0" w:line="480" w:lineRule="auto"/>
        <w:jc w:val="both"/>
        <w:rPr>
          <w:rFonts w:ascii="Times New Roman" w:hAnsi="Times New Roman" w:cs="Times New Roman"/>
          <w:sz w:val="24"/>
          <w:szCs w:val="24"/>
        </w:rPr>
      </w:pPr>
      <w:r w:rsidRPr="00BD7E30">
        <w:rPr>
          <w:rFonts w:ascii="Times New Roman" w:hAnsi="Times New Roman" w:cs="Times New Roman"/>
          <w:sz w:val="24"/>
          <w:szCs w:val="24"/>
        </w:rPr>
        <w:t xml:space="preserve">Zongo, A.R. </w:t>
      </w:r>
      <w:r w:rsidRPr="00BD7E30">
        <w:rPr>
          <w:rFonts w:ascii="Times New Roman" w:hAnsi="Times New Roman" w:cs="Times New Roman"/>
          <w:i/>
          <w:iCs/>
          <w:sz w:val="24"/>
          <w:szCs w:val="24"/>
        </w:rPr>
        <w:t>et al.</w:t>
      </w:r>
      <w:r w:rsidRPr="00BD7E30">
        <w:rPr>
          <w:rFonts w:ascii="Times New Roman" w:hAnsi="Times New Roman" w:cs="Times New Roman"/>
          <w:sz w:val="24"/>
          <w:szCs w:val="24"/>
        </w:rPr>
        <w:t xml:space="preserve"> (2024) « Evaluation of the </w:t>
      </w:r>
      <w:proofErr w:type="spellStart"/>
      <w:r w:rsidRPr="00BD7E30">
        <w:rPr>
          <w:rFonts w:ascii="Times New Roman" w:hAnsi="Times New Roman" w:cs="Times New Roman"/>
          <w:sz w:val="24"/>
          <w:szCs w:val="24"/>
        </w:rPr>
        <w:t>effectiveness</w:t>
      </w:r>
      <w:proofErr w:type="spellEnd"/>
      <w:r w:rsidRPr="00BD7E30">
        <w:rPr>
          <w:rFonts w:ascii="Times New Roman" w:hAnsi="Times New Roman" w:cs="Times New Roman"/>
          <w:sz w:val="24"/>
          <w:szCs w:val="24"/>
        </w:rPr>
        <w:t xml:space="preserve"> of post-</w:t>
      </w:r>
      <w:proofErr w:type="spellStart"/>
      <w:r w:rsidRPr="00BD7E30">
        <w:rPr>
          <w:rFonts w:ascii="Times New Roman" w:hAnsi="Times New Roman" w:cs="Times New Roman"/>
          <w:sz w:val="24"/>
          <w:szCs w:val="24"/>
        </w:rPr>
        <w:t>harvest</w:t>
      </w:r>
      <w:proofErr w:type="spellEnd"/>
      <w:r w:rsidRPr="00BD7E30">
        <w:rPr>
          <w:rFonts w:ascii="Times New Roman" w:hAnsi="Times New Roman" w:cs="Times New Roman"/>
          <w:sz w:val="24"/>
          <w:szCs w:val="24"/>
        </w:rPr>
        <w:t xml:space="preserve"> conservation </w:t>
      </w:r>
      <w:proofErr w:type="spellStart"/>
      <w:r w:rsidRPr="00BD7E30">
        <w:rPr>
          <w:rFonts w:ascii="Times New Roman" w:hAnsi="Times New Roman" w:cs="Times New Roman"/>
          <w:sz w:val="24"/>
          <w:szCs w:val="24"/>
        </w:rPr>
        <w:t>methods</w:t>
      </w:r>
      <w:proofErr w:type="spellEnd"/>
      <w:r w:rsidRPr="00BD7E30">
        <w:rPr>
          <w:rFonts w:ascii="Times New Roman" w:hAnsi="Times New Roman" w:cs="Times New Roman"/>
          <w:sz w:val="24"/>
          <w:szCs w:val="24"/>
        </w:rPr>
        <w:t xml:space="preserve"> for </w:t>
      </w:r>
      <w:proofErr w:type="spellStart"/>
      <w:r w:rsidRPr="00BD7E30">
        <w:rPr>
          <w:rFonts w:ascii="Times New Roman" w:hAnsi="Times New Roman" w:cs="Times New Roman"/>
          <w:sz w:val="24"/>
          <w:szCs w:val="24"/>
        </w:rPr>
        <w:t>seedlings</w:t>
      </w:r>
      <w:proofErr w:type="spellEnd"/>
      <w:r w:rsidRPr="00BD7E30">
        <w:rPr>
          <w:rFonts w:ascii="Times New Roman" w:hAnsi="Times New Roman" w:cs="Times New Roman"/>
          <w:sz w:val="24"/>
          <w:szCs w:val="24"/>
        </w:rPr>
        <w:t xml:space="preserve"> of </w:t>
      </w:r>
      <w:proofErr w:type="spellStart"/>
      <w:r w:rsidRPr="00105A40">
        <w:rPr>
          <w:rFonts w:ascii="Times New Roman" w:hAnsi="Times New Roman" w:cs="Times New Roman"/>
          <w:i/>
          <w:iCs/>
          <w:sz w:val="24"/>
          <w:szCs w:val="24"/>
        </w:rPr>
        <w:t>Solenostemon</w:t>
      </w:r>
      <w:proofErr w:type="spellEnd"/>
      <w:r w:rsidRPr="00105A40">
        <w:rPr>
          <w:rFonts w:ascii="Times New Roman" w:hAnsi="Times New Roman" w:cs="Times New Roman"/>
          <w:i/>
          <w:iCs/>
          <w:sz w:val="24"/>
          <w:szCs w:val="24"/>
        </w:rPr>
        <w:t xml:space="preserve"> </w:t>
      </w:r>
      <w:proofErr w:type="spellStart"/>
      <w:r w:rsidRPr="00105A40">
        <w:rPr>
          <w:rFonts w:ascii="Times New Roman" w:hAnsi="Times New Roman" w:cs="Times New Roman"/>
          <w:i/>
          <w:iCs/>
          <w:sz w:val="24"/>
          <w:szCs w:val="24"/>
        </w:rPr>
        <w:t>rotundifolius</w:t>
      </w:r>
      <w:proofErr w:type="spellEnd"/>
      <w:r w:rsidRPr="00BD7E30">
        <w:rPr>
          <w:rFonts w:ascii="Times New Roman" w:hAnsi="Times New Roman" w:cs="Times New Roman"/>
          <w:sz w:val="24"/>
          <w:szCs w:val="24"/>
        </w:rPr>
        <w:t xml:space="preserve"> (</w:t>
      </w:r>
      <w:proofErr w:type="spellStart"/>
      <w:r w:rsidRPr="00BD7E30">
        <w:rPr>
          <w:rFonts w:ascii="Times New Roman" w:hAnsi="Times New Roman" w:cs="Times New Roman"/>
          <w:sz w:val="24"/>
          <w:szCs w:val="24"/>
        </w:rPr>
        <w:t>Poir</w:t>
      </w:r>
      <w:proofErr w:type="spellEnd"/>
      <w:r w:rsidRPr="00BD7E30">
        <w:rPr>
          <w:rFonts w:ascii="Times New Roman" w:hAnsi="Times New Roman" w:cs="Times New Roman"/>
          <w:sz w:val="24"/>
          <w:szCs w:val="24"/>
        </w:rPr>
        <w:t xml:space="preserve">. J. K. Morton) ». </w:t>
      </w:r>
      <w:hyperlink r:id="rId34" w:history="1">
        <w:r w:rsidRPr="00BD7E30">
          <w:rPr>
            <w:rStyle w:val="Hyperlink"/>
            <w:rFonts w:ascii="Times New Roman" w:hAnsi="Times New Roman" w:cs="Times New Roman"/>
            <w:sz w:val="24"/>
            <w:szCs w:val="24"/>
          </w:rPr>
          <w:t>https://doi.org/http://dx.doi.org/10.12692/ijb/24.5.80-95</w:t>
        </w:r>
      </w:hyperlink>
      <w:r w:rsidRPr="00BD7E30">
        <w:rPr>
          <w:rFonts w:ascii="Times New Roman" w:hAnsi="Times New Roman" w:cs="Times New Roman"/>
          <w:sz w:val="24"/>
          <w:szCs w:val="24"/>
        </w:rPr>
        <w:t xml:space="preserve">  </w:t>
      </w:r>
      <w:bookmarkEnd w:id="1"/>
    </w:p>
    <w:sectPr w:rsidR="00995928" w:rsidRPr="00E13F58" w:rsidSect="00020C34">
      <w:headerReference w:type="even" r:id="rId35"/>
      <w:headerReference w:type="default" r:id="rId36"/>
      <w:footerReference w:type="even" r:id="rId37"/>
      <w:footerReference w:type="default" r:id="rId38"/>
      <w:headerReference w:type="first" r:id="rId39"/>
      <w:footerReference w:type="first" r:id="rId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5E39D" w14:textId="77777777" w:rsidR="00B7002C" w:rsidRDefault="00B7002C" w:rsidP="00D37F74">
      <w:pPr>
        <w:spacing w:after="0" w:line="240" w:lineRule="auto"/>
      </w:pPr>
      <w:r>
        <w:separator/>
      </w:r>
    </w:p>
  </w:endnote>
  <w:endnote w:type="continuationSeparator" w:id="0">
    <w:p w14:paraId="303C55B3" w14:textId="77777777" w:rsidR="00B7002C" w:rsidRDefault="00B7002C" w:rsidP="00D37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9C343" w14:textId="77777777" w:rsidR="00192F41" w:rsidRDefault="00192F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7261678"/>
      <w:docPartObj>
        <w:docPartGallery w:val="Page Numbers (Bottom of Page)"/>
        <w:docPartUnique/>
      </w:docPartObj>
    </w:sdtPr>
    <w:sdtEndPr/>
    <w:sdtContent>
      <w:p w14:paraId="096612ED" w14:textId="35C72FAB" w:rsidR="00D37F74" w:rsidRDefault="00D37F74">
        <w:pPr>
          <w:pStyle w:val="Footer"/>
          <w:jc w:val="right"/>
        </w:pPr>
        <w:r>
          <w:fldChar w:fldCharType="begin"/>
        </w:r>
        <w:r>
          <w:instrText>PAGE   \* MERGEFORMAT</w:instrText>
        </w:r>
        <w:r>
          <w:fldChar w:fldCharType="separate"/>
        </w:r>
        <w:r>
          <w:t>2</w:t>
        </w:r>
        <w:r>
          <w:fldChar w:fldCharType="end"/>
        </w:r>
      </w:p>
    </w:sdtContent>
  </w:sdt>
  <w:p w14:paraId="47E10AA0" w14:textId="77777777" w:rsidR="00D37F74" w:rsidRDefault="00D37F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EEF1D" w14:textId="77777777" w:rsidR="00192F41" w:rsidRDefault="00192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08FDE" w14:textId="77777777" w:rsidR="00B7002C" w:rsidRDefault="00B7002C" w:rsidP="00D37F74">
      <w:pPr>
        <w:spacing w:after="0" w:line="240" w:lineRule="auto"/>
      </w:pPr>
      <w:r>
        <w:separator/>
      </w:r>
    </w:p>
  </w:footnote>
  <w:footnote w:type="continuationSeparator" w:id="0">
    <w:p w14:paraId="03F54A06" w14:textId="77777777" w:rsidR="00B7002C" w:rsidRDefault="00B7002C" w:rsidP="00D37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BEC8E" w14:textId="7D866E0B" w:rsidR="00192F41" w:rsidRDefault="00192F41">
    <w:pPr>
      <w:pStyle w:val="Header"/>
    </w:pPr>
    <w:r>
      <w:rPr>
        <w:noProof/>
      </w:rPr>
      <w:pict w14:anchorId="72713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5485"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3152B" w14:textId="172D9C0F" w:rsidR="00192F41" w:rsidRDefault="00192F41">
    <w:pPr>
      <w:pStyle w:val="Header"/>
    </w:pPr>
    <w:r>
      <w:rPr>
        <w:noProof/>
      </w:rPr>
      <w:pict w14:anchorId="25610C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5486"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ABF5C" w14:textId="7E8167DC" w:rsidR="00192F41" w:rsidRDefault="00192F41">
    <w:pPr>
      <w:pStyle w:val="Header"/>
    </w:pPr>
    <w:r>
      <w:rPr>
        <w:noProof/>
      </w:rPr>
      <w:pict w14:anchorId="438272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5484"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3405C"/>
    <w:multiLevelType w:val="hybridMultilevel"/>
    <w:tmpl w:val="7FCC498A"/>
    <w:lvl w:ilvl="0" w:tplc="1554A9D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AB0F19"/>
    <w:multiLevelType w:val="hybridMultilevel"/>
    <w:tmpl w:val="D61EF950"/>
    <w:lvl w:ilvl="0" w:tplc="7C148BA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A1A789F"/>
    <w:multiLevelType w:val="hybridMultilevel"/>
    <w:tmpl w:val="C6B0F5B8"/>
    <w:lvl w:ilvl="0" w:tplc="7C148BA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02"/>
    <w:rsid w:val="000016A2"/>
    <w:rsid w:val="00003B82"/>
    <w:rsid w:val="00020C34"/>
    <w:rsid w:val="0004251C"/>
    <w:rsid w:val="00063350"/>
    <w:rsid w:val="00066C1B"/>
    <w:rsid w:val="00080557"/>
    <w:rsid w:val="000A7E1A"/>
    <w:rsid w:val="000E3E02"/>
    <w:rsid w:val="000F39D7"/>
    <w:rsid w:val="000F4348"/>
    <w:rsid w:val="00105A40"/>
    <w:rsid w:val="00130F81"/>
    <w:rsid w:val="00132D36"/>
    <w:rsid w:val="00182306"/>
    <w:rsid w:val="00192F41"/>
    <w:rsid w:val="00195F83"/>
    <w:rsid w:val="001C17BD"/>
    <w:rsid w:val="001E62EC"/>
    <w:rsid w:val="00224BC8"/>
    <w:rsid w:val="002258F0"/>
    <w:rsid w:val="00252514"/>
    <w:rsid w:val="002643AF"/>
    <w:rsid w:val="00281D1F"/>
    <w:rsid w:val="002A26AD"/>
    <w:rsid w:val="002B252E"/>
    <w:rsid w:val="002D2F2E"/>
    <w:rsid w:val="002D4584"/>
    <w:rsid w:val="00335DB0"/>
    <w:rsid w:val="00346F3F"/>
    <w:rsid w:val="00360E50"/>
    <w:rsid w:val="003650B5"/>
    <w:rsid w:val="003825F7"/>
    <w:rsid w:val="003B15D7"/>
    <w:rsid w:val="003E294A"/>
    <w:rsid w:val="003F3121"/>
    <w:rsid w:val="004028D6"/>
    <w:rsid w:val="00421387"/>
    <w:rsid w:val="004377B8"/>
    <w:rsid w:val="004B7C4E"/>
    <w:rsid w:val="004F0545"/>
    <w:rsid w:val="005233A4"/>
    <w:rsid w:val="00545B80"/>
    <w:rsid w:val="00562DE1"/>
    <w:rsid w:val="00583374"/>
    <w:rsid w:val="005C66E2"/>
    <w:rsid w:val="005D197F"/>
    <w:rsid w:val="00625CE8"/>
    <w:rsid w:val="00651382"/>
    <w:rsid w:val="0065465C"/>
    <w:rsid w:val="00656351"/>
    <w:rsid w:val="006647FD"/>
    <w:rsid w:val="00664F81"/>
    <w:rsid w:val="006B6DB5"/>
    <w:rsid w:val="006B7185"/>
    <w:rsid w:val="006E7E74"/>
    <w:rsid w:val="0071684A"/>
    <w:rsid w:val="00762D02"/>
    <w:rsid w:val="0078237E"/>
    <w:rsid w:val="00787927"/>
    <w:rsid w:val="007E43EF"/>
    <w:rsid w:val="008063FB"/>
    <w:rsid w:val="008A1C81"/>
    <w:rsid w:val="008C7764"/>
    <w:rsid w:val="008D5701"/>
    <w:rsid w:val="008D7456"/>
    <w:rsid w:val="008F7B6D"/>
    <w:rsid w:val="009063A4"/>
    <w:rsid w:val="00906C5F"/>
    <w:rsid w:val="0091216C"/>
    <w:rsid w:val="00913D79"/>
    <w:rsid w:val="00922020"/>
    <w:rsid w:val="0092672F"/>
    <w:rsid w:val="00953D01"/>
    <w:rsid w:val="00954DD9"/>
    <w:rsid w:val="00957565"/>
    <w:rsid w:val="00973A94"/>
    <w:rsid w:val="00995928"/>
    <w:rsid w:val="0099742D"/>
    <w:rsid w:val="009C0B85"/>
    <w:rsid w:val="009C131C"/>
    <w:rsid w:val="00A25D90"/>
    <w:rsid w:val="00A540A3"/>
    <w:rsid w:val="00A677B7"/>
    <w:rsid w:val="00A7490A"/>
    <w:rsid w:val="00AA4E0A"/>
    <w:rsid w:val="00AC5893"/>
    <w:rsid w:val="00AD4CC1"/>
    <w:rsid w:val="00AE038A"/>
    <w:rsid w:val="00AE2C03"/>
    <w:rsid w:val="00AF18DC"/>
    <w:rsid w:val="00B22E9A"/>
    <w:rsid w:val="00B2474B"/>
    <w:rsid w:val="00B27EB1"/>
    <w:rsid w:val="00B57399"/>
    <w:rsid w:val="00B7002C"/>
    <w:rsid w:val="00BB52EE"/>
    <w:rsid w:val="00BD0F09"/>
    <w:rsid w:val="00BD7E30"/>
    <w:rsid w:val="00C13115"/>
    <w:rsid w:val="00C33C19"/>
    <w:rsid w:val="00C360BE"/>
    <w:rsid w:val="00C778CD"/>
    <w:rsid w:val="00C900F8"/>
    <w:rsid w:val="00C91ABC"/>
    <w:rsid w:val="00CB49E4"/>
    <w:rsid w:val="00CD6055"/>
    <w:rsid w:val="00D23347"/>
    <w:rsid w:val="00D250C4"/>
    <w:rsid w:val="00D37F74"/>
    <w:rsid w:val="00D44C27"/>
    <w:rsid w:val="00E13F58"/>
    <w:rsid w:val="00E215F1"/>
    <w:rsid w:val="00E47CF8"/>
    <w:rsid w:val="00E547BA"/>
    <w:rsid w:val="00E653C6"/>
    <w:rsid w:val="00E726F1"/>
    <w:rsid w:val="00E80CDF"/>
    <w:rsid w:val="00F11654"/>
    <w:rsid w:val="00F12E2A"/>
    <w:rsid w:val="00F60504"/>
    <w:rsid w:val="00F66902"/>
    <w:rsid w:val="00F9645E"/>
    <w:rsid w:val="00FD10A9"/>
    <w:rsid w:val="00FE55A1"/>
    <w:rsid w:val="00FE58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16A76C"/>
  <w15:chartTrackingRefBased/>
  <w15:docId w15:val="{BDC18727-C99C-4322-BFD9-C607909B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2D02"/>
  </w:style>
  <w:style w:type="paragraph" w:styleId="Heading1">
    <w:name w:val="heading 1"/>
    <w:basedOn w:val="Normal"/>
    <w:next w:val="Normal"/>
    <w:link w:val="Heading1Char"/>
    <w:uiPriority w:val="9"/>
    <w:qFormat/>
    <w:rsid w:val="00762D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62D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2D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2D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2D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2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D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62D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2D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2D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2D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2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D02"/>
    <w:rPr>
      <w:rFonts w:eastAsiaTheme="majorEastAsia" w:cstheme="majorBidi"/>
      <w:color w:val="272727" w:themeColor="text1" w:themeTint="D8"/>
    </w:rPr>
  </w:style>
  <w:style w:type="paragraph" w:styleId="Title">
    <w:name w:val="Title"/>
    <w:basedOn w:val="Normal"/>
    <w:next w:val="Normal"/>
    <w:link w:val="TitleChar"/>
    <w:uiPriority w:val="10"/>
    <w:qFormat/>
    <w:rsid w:val="00762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D02"/>
    <w:pPr>
      <w:spacing w:before="160"/>
      <w:jc w:val="center"/>
    </w:pPr>
    <w:rPr>
      <w:i/>
      <w:iCs/>
      <w:color w:val="404040" w:themeColor="text1" w:themeTint="BF"/>
    </w:rPr>
  </w:style>
  <w:style w:type="character" w:customStyle="1" w:styleId="QuoteChar">
    <w:name w:val="Quote Char"/>
    <w:basedOn w:val="DefaultParagraphFont"/>
    <w:link w:val="Quote"/>
    <w:uiPriority w:val="29"/>
    <w:rsid w:val="00762D02"/>
    <w:rPr>
      <w:i/>
      <w:iCs/>
      <w:color w:val="404040" w:themeColor="text1" w:themeTint="BF"/>
    </w:rPr>
  </w:style>
  <w:style w:type="paragraph" w:styleId="ListParagraph">
    <w:name w:val="List Paragraph"/>
    <w:basedOn w:val="Normal"/>
    <w:uiPriority w:val="34"/>
    <w:qFormat/>
    <w:rsid w:val="00762D02"/>
    <w:pPr>
      <w:ind w:left="720"/>
      <w:contextualSpacing/>
    </w:pPr>
  </w:style>
  <w:style w:type="character" w:styleId="IntenseEmphasis">
    <w:name w:val="Intense Emphasis"/>
    <w:basedOn w:val="DefaultParagraphFont"/>
    <w:uiPriority w:val="21"/>
    <w:qFormat/>
    <w:rsid w:val="00762D02"/>
    <w:rPr>
      <w:i/>
      <w:iCs/>
      <w:color w:val="2F5496" w:themeColor="accent1" w:themeShade="BF"/>
    </w:rPr>
  </w:style>
  <w:style w:type="paragraph" w:styleId="IntenseQuote">
    <w:name w:val="Intense Quote"/>
    <w:basedOn w:val="Normal"/>
    <w:next w:val="Normal"/>
    <w:link w:val="IntenseQuoteChar"/>
    <w:uiPriority w:val="30"/>
    <w:qFormat/>
    <w:rsid w:val="00762D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2D02"/>
    <w:rPr>
      <w:i/>
      <w:iCs/>
      <w:color w:val="2F5496" w:themeColor="accent1" w:themeShade="BF"/>
    </w:rPr>
  </w:style>
  <w:style w:type="character" w:styleId="IntenseReference">
    <w:name w:val="Intense Reference"/>
    <w:basedOn w:val="DefaultParagraphFont"/>
    <w:uiPriority w:val="32"/>
    <w:qFormat/>
    <w:rsid w:val="00762D02"/>
    <w:rPr>
      <w:b/>
      <w:bCs/>
      <w:smallCaps/>
      <w:color w:val="2F5496" w:themeColor="accent1" w:themeShade="BF"/>
      <w:spacing w:val="5"/>
    </w:rPr>
  </w:style>
  <w:style w:type="character" w:styleId="Hyperlink">
    <w:name w:val="Hyperlink"/>
    <w:basedOn w:val="DefaultParagraphFont"/>
    <w:uiPriority w:val="99"/>
    <w:unhideWhenUsed/>
    <w:rsid w:val="00762D02"/>
    <w:rPr>
      <w:color w:val="0563C1" w:themeColor="hyperlink"/>
      <w:u w:val="single"/>
    </w:rPr>
  </w:style>
  <w:style w:type="paragraph" w:styleId="Caption">
    <w:name w:val="caption"/>
    <w:basedOn w:val="Normal"/>
    <w:next w:val="Normal"/>
    <w:uiPriority w:val="35"/>
    <w:qFormat/>
    <w:rsid w:val="003F3121"/>
    <w:pPr>
      <w:autoSpaceDN w:val="0"/>
      <w:spacing w:after="200" w:line="240" w:lineRule="auto"/>
    </w:pPr>
    <w:rPr>
      <w:rFonts w:ascii="Calibri" w:eastAsia="Calibri" w:hAnsi="Calibri" w:cs="Times New Roman"/>
      <w:i/>
      <w:iCs/>
      <w:color w:val="44546A"/>
      <w:kern w:val="0"/>
      <w:sz w:val="18"/>
      <w:szCs w:val="18"/>
      <w14:ligatures w14:val="none"/>
    </w:rPr>
  </w:style>
  <w:style w:type="paragraph" w:styleId="NormalWeb">
    <w:name w:val="Normal (Web)"/>
    <w:basedOn w:val="Normal"/>
    <w:uiPriority w:val="99"/>
    <w:semiHidden/>
    <w:unhideWhenUsed/>
    <w:rsid w:val="00FE55A1"/>
    <w:rPr>
      <w:rFonts w:ascii="Times New Roman" w:hAnsi="Times New Roman" w:cs="Times New Roman"/>
      <w:sz w:val="24"/>
      <w:szCs w:val="24"/>
    </w:rPr>
  </w:style>
  <w:style w:type="paragraph" w:styleId="BodyText2">
    <w:name w:val="Body Text 2"/>
    <w:basedOn w:val="Normal"/>
    <w:link w:val="BodyText2Char"/>
    <w:uiPriority w:val="99"/>
    <w:unhideWhenUsed/>
    <w:rsid w:val="00252514"/>
    <w:pPr>
      <w:spacing w:line="360" w:lineRule="auto"/>
      <w:jc w:val="both"/>
    </w:pPr>
    <w:rPr>
      <w:rFonts w:ascii="Times New Roman" w:hAnsi="Times New Roman" w:cs="Times New Roman"/>
      <w:kern w:val="0"/>
      <w:sz w:val="24"/>
      <w:szCs w:val="24"/>
      <w14:ligatures w14:val="none"/>
    </w:rPr>
  </w:style>
  <w:style w:type="character" w:customStyle="1" w:styleId="BodyText2Char">
    <w:name w:val="Body Text 2 Char"/>
    <w:basedOn w:val="DefaultParagraphFont"/>
    <w:link w:val="BodyText2"/>
    <w:uiPriority w:val="99"/>
    <w:rsid w:val="00252514"/>
    <w:rPr>
      <w:rFonts w:ascii="Times New Roman" w:hAnsi="Times New Roman" w:cs="Times New Roman"/>
      <w:kern w:val="0"/>
      <w:sz w:val="24"/>
      <w:szCs w:val="24"/>
      <w14:ligatures w14:val="none"/>
    </w:rPr>
  </w:style>
  <w:style w:type="paragraph" w:styleId="Bibliography">
    <w:name w:val="Bibliography"/>
    <w:basedOn w:val="Normal"/>
    <w:next w:val="Normal"/>
    <w:uiPriority w:val="37"/>
    <w:unhideWhenUsed/>
    <w:rsid w:val="006647FD"/>
    <w:pPr>
      <w:spacing w:after="240" w:line="240" w:lineRule="auto"/>
    </w:pPr>
  </w:style>
  <w:style w:type="character" w:styleId="UnresolvedMention">
    <w:name w:val="Unresolved Mention"/>
    <w:basedOn w:val="DefaultParagraphFont"/>
    <w:uiPriority w:val="99"/>
    <w:semiHidden/>
    <w:unhideWhenUsed/>
    <w:rsid w:val="003B15D7"/>
    <w:rPr>
      <w:color w:val="605E5C"/>
      <w:shd w:val="clear" w:color="auto" w:fill="E1DFDD"/>
    </w:rPr>
  </w:style>
  <w:style w:type="character" w:styleId="FollowedHyperlink">
    <w:name w:val="FollowedHyperlink"/>
    <w:basedOn w:val="DefaultParagraphFont"/>
    <w:uiPriority w:val="99"/>
    <w:semiHidden/>
    <w:unhideWhenUsed/>
    <w:rsid w:val="00BD7E30"/>
    <w:rPr>
      <w:color w:val="954F72" w:themeColor="followedHyperlink"/>
      <w:u w:val="single"/>
    </w:rPr>
  </w:style>
  <w:style w:type="paragraph" w:styleId="Header">
    <w:name w:val="header"/>
    <w:basedOn w:val="Normal"/>
    <w:link w:val="HeaderChar"/>
    <w:uiPriority w:val="99"/>
    <w:unhideWhenUsed/>
    <w:rsid w:val="00D37F7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37F74"/>
  </w:style>
  <w:style w:type="paragraph" w:styleId="Footer">
    <w:name w:val="footer"/>
    <w:basedOn w:val="Normal"/>
    <w:link w:val="FooterChar"/>
    <w:uiPriority w:val="99"/>
    <w:unhideWhenUsed/>
    <w:rsid w:val="00D37F7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37F74"/>
  </w:style>
  <w:style w:type="character" w:styleId="LineNumber">
    <w:name w:val="line number"/>
    <w:basedOn w:val="DefaultParagraphFont"/>
    <w:uiPriority w:val="99"/>
    <w:semiHidden/>
    <w:unhideWhenUsed/>
    <w:rsid w:val="00E13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44187-025-00587-0" TargetMode="External"/><Relationship Id="rId18" Type="http://schemas.openxmlformats.org/officeDocument/2006/relationships/hyperlink" Target="https://doi.org/10.3390/su16146194" TargetMode="External"/><Relationship Id="rId26" Type="http://schemas.openxmlformats.org/officeDocument/2006/relationships/hyperlink" Target="https://doi.org/10.1016/j.jafr.2024.100974" TargetMode="External"/><Relationship Id="rId39" Type="http://schemas.openxmlformats.org/officeDocument/2006/relationships/header" Target="header3.xml"/><Relationship Id="rId21" Type="http://schemas.openxmlformats.org/officeDocument/2006/relationships/hyperlink" Target="https://doi.org/10.7717/peerj.18146" TargetMode="External"/><Relationship Id="rId34" Type="http://schemas.openxmlformats.org/officeDocument/2006/relationships/hyperlink" Target="https://doi.org/http://dx.doi.org/10.12692/ijb/24.5.80-95"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ustlives.eu/wp-content/uploads/2022/05/Fabirama.pdf" TargetMode="External"/><Relationship Id="rId20" Type="http://schemas.openxmlformats.org/officeDocument/2006/relationships/hyperlink" Target="https://doi.org/10.1155/2022/6338939" TargetMode="External"/><Relationship Id="rId29" Type="http://schemas.openxmlformats.org/officeDocument/2006/relationships/hyperlink" Target="https://doi.org/10.1007/978-981-19-5888-5_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Relationship Id="rId24" Type="http://schemas.openxmlformats.org/officeDocument/2006/relationships/hyperlink" Target="https://doi.org/10.1080/07060660809507552" TargetMode="External"/><Relationship Id="rId32" Type="http://schemas.openxmlformats.org/officeDocument/2006/relationships/hyperlink" Target="https://doi.org/10.9734/bpi/ctas/v5/2208C"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515/opag-2021-0057" TargetMode="External"/><Relationship Id="rId23" Type="http://schemas.openxmlformats.org/officeDocument/2006/relationships/hyperlink" Target="https://doi.org/10.1080/07060660809507552" TargetMode="External"/><Relationship Id="rId28" Type="http://schemas.openxmlformats.org/officeDocument/2006/relationships/hyperlink" Target="https://doi.org/10.1007/978-981-19-5888-5_5" TargetMode="External"/><Relationship Id="rId36" Type="http://schemas.openxmlformats.org/officeDocument/2006/relationships/header" Target="header2.xml"/><Relationship Id="rId10" Type="http://schemas.openxmlformats.org/officeDocument/2006/relationships/image" Target="media/image3.tif"/><Relationship Id="rId19" Type="http://schemas.openxmlformats.org/officeDocument/2006/relationships/hyperlink" Target="https://dx.doi.org/10.1104/pp.010764" TargetMode="External"/><Relationship Id="rId31" Type="http://schemas.openxmlformats.org/officeDocument/2006/relationships/hyperlink" Target="https://doi.org/10.1038/s41598-020-71913-y"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doi.org/10.15835/nbha52414122" TargetMode="External"/><Relationship Id="rId22" Type="http://schemas.openxmlformats.org/officeDocument/2006/relationships/hyperlink" Target="https://doi.org/10.1007/s10722-017-0581-6" TargetMode="External"/><Relationship Id="rId27" Type="http://schemas.openxmlformats.org/officeDocument/2006/relationships/hyperlink" Target="https://doi.org/10.3390/agronomy15071689" TargetMode="External"/><Relationship Id="rId30" Type="http://schemas.openxmlformats.org/officeDocument/2006/relationships/hyperlink" Target="https://doi.org/10.1007/s00425-013-1968-z" TargetMode="External"/><Relationship Id="rId35"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doi.org/10.3390/ijms25105078" TargetMode="External"/><Relationship Id="rId25" Type="http://schemas.openxmlformats.org/officeDocument/2006/relationships/hyperlink" Target="https://www.tandfonline.com/doi/abs/10.1080/10496475.2018.1443188" TargetMode="External"/><Relationship Id="rId33" Type="http://schemas.openxmlformats.org/officeDocument/2006/relationships/hyperlink" Target="https://hdl.handle.net/10568/135975" TargetMode="External"/><Relationship Id="rId38"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A843F-BA07-41E8-89CD-A1F96ACAC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4294966446</TotalTime>
  <Pages>21</Pages>
  <Words>15819</Words>
  <Characters>90173</Characters>
  <Application>Microsoft Office Word</Application>
  <DocSecurity>0</DocSecurity>
  <Lines>751</Lines>
  <Paragraphs>211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1166</cp:lastModifiedBy>
  <cp:revision>85</cp:revision>
  <dcterms:created xsi:type="dcterms:W3CDTF">2026-03-27T23:10:00Z</dcterms:created>
  <dcterms:modified xsi:type="dcterms:W3CDTF">2026-04-02T10:33:00Z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3439fae6-276a-4a5b-8686-fdc77f8c29b8</vt:lpwstr>
  </property>
  <property fmtid="{D5CDD505-2E9C-101B-9397-08002B2CF9AE}" pid="3" name="ZOTERO_PREF_1">
    <vt:lpwstr>&lt;data data-version="3" zotero-version="8.0.4"&gt;&lt;session id="xqBJjXba"/&gt;&lt;style id="http://www.zotero.org/styles/harvard-cite-them-right" locale="fr-FR" hasBibliography="1" bibliographyStyleHasBeenSet="1"/&gt;&lt;prefs&gt;&lt;pref name="fieldType" value="Field"/&gt;&lt;pref n</vt:lpwstr>
  </property>
  <property fmtid="{D5CDD505-2E9C-101B-9397-08002B2CF9AE}" pid="4" name="ZOTERO_PREF_2">
    <vt:lpwstr>ame="automaticJournalAbbreviations" value="true"/&gt;&lt;/prefs&gt;&lt;/data&gt;</vt:lpwstr>
  </property>
</Properties>
</file>