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56" w:rsidRDefault="00142685">
      <w:pPr>
        <w:spacing w:after="120"/>
        <w:jc w:val="center"/>
      </w:pPr>
      <w:bookmarkStart w:id="0" w:name="_GoBack"/>
      <w:bookmarkEnd w:id="0"/>
      <w:r>
        <w:rPr>
          <w:rFonts w:ascii="Arial" w:eastAsia="Arial" w:hAnsi="Arial" w:cs="Arial"/>
          <w:b/>
          <w:bCs/>
          <w:sz w:val="32"/>
          <w:szCs w:val="32"/>
        </w:rPr>
        <w:t>Artificial Intelligence-Driven Drug Discovery: Transforming the Pharmaceutical Pipeline from Target Identification to Clinical Translation</w:t>
      </w:r>
    </w:p>
    <w:p w:rsidR="00E47856" w:rsidRDefault="00E47856">
      <w:pPr>
        <w:spacing w:after="80"/>
      </w:pPr>
    </w:p>
    <w:p w:rsidR="00E47856" w:rsidRDefault="00142685">
      <w:pPr>
        <w:spacing w:before="240" w:after="160"/>
        <w:jc w:val="center"/>
      </w:pPr>
      <w:r>
        <w:rPr>
          <w:rFonts w:ascii="Arial" w:eastAsia="Arial" w:hAnsi="Arial" w:cs="Arial"/>
          <w:b/>
          <w:bCs/>
          <w:sz w:val="28"/>
          <w:szCs w:val="28"/>
        </w:rPr>
        <w:t>Abstract</w:t>
      </w:r>
    </w:p>
    <w:p w:rsidR="00E47856" w:rsidRDefault="00142685">
      <w:pPr>
        <w:spacing w:after="180" w:line="360" w:lineRule="auto"/>
        <w:jc w:val="both"/>
      </w:pPr>
      <w:r>
        <w:t>The pharmaceutical industry faces profound challenges in its quest to develop novel, safe, and efficacious therapeutics. Traditional drug discovery pipelines are characterised by astronomical costs, protracted timelines, and high attrition rates, with the average cost of bringing a new drug to market exceeding two billion US dollars. Artificial intelligence (AI), encompassing machine learning, deep learning, and natural language processing, has emerged as a transformative force capable of reshaping every stage of the drug discovery and development continuum. This narrative review critically examines the integration of AI technologies across the pharmaceutical pipeline, from target identification and structure-based drug design to de novo molecular generation, absorption–distribution–metabolism–excretion–toxicity (ADMET) property prediction, drug repurposing, and clinical trial optimisation. Landmark advances—including the revolutionary AlphaFold protein structure prediction system, deep learning-enabled antibiotic discovery, generative molecular design platforms, and AI-assisted synthesis planning—are discussed in depth. The review further explores explainability challenges, regulatory implications, and ethical considerations surrounding the deployment of AI in pharmaceutical research. Despite substantial progress, significant hurdles remain, including data quality and availability, model interpretability, and the validation gap between computational predictions and experimental outcomes. This review synthesises current knowledge to provide a comprehensive assessment of the state of the art, highlights critical limitations, and outlines promising future directions for AI-driven drug discovery.</w:t>
      </w:r>
    </w:p>
    <w:p w:rsidR="00E47856" w:rsidRDefault="00E47856">
      <w:pPr>
        <w:spacing w:after="80"/>
      </w:pPr>
    </w:p>
    <w:p w:rsidR="00E47856" w:rsidRDefault="00142685">
      <w:pPr>
        <w:spacing w:after="180" w:line="360" w:lineRule="auto"/>
        <w:jc w:val="both"/>
      </w:pPr>
      <w:r>
        <w:rPr>
          <w:b/>
          <w:bCs/>
        </w:rPr>
        <w:t xml:space="preserve">Keywords: </w:t>
      </w:r>
      <w:r>
        <w:t>artificial intelligence; drug discovery; machine learning; deep learning; de novo molecular design; ADMET prediction; protein structure prediction; drug repurposing; generative models; clinical trial optimisation</w:t>
      </w:r>
    </w:p>
    <w:p w:rsidR="00E47856" w:rsidRDefault="00E47856">
      <w:pPr>
        <w:spacing w:after="80"/>
      </w:pPr>
    </w:p>
    <w:p w:rsidR="00E47856" w:rsidRDefault="00142685">
      <w:pPr>
        <w:pStyle w:val="Heading1"/>
      </w:pPr>
      <w:r>
        <w:lastRenderedPageBreak/>
        <w:t>1. Introduction</w:t>
      </w:r>
    </w:p>
    <w:p w:rsidR="00E47856" w:rsidRDefault="00142685">
      <w:pPr>
        <w:spacing w:after="180" w:line="360" w:lineRule="auto"/>
        <w:jc w:val="both"/>
      </w:pPr>
      <w:r>
        <w:t>The development of novel therapeutic agents constitutes one of the most intellectually demanding and financially burdensome endeavours in modern science. The traditional drug discovery pipeline, spanning target identification, lead discovery, preclinical optimisation, and multi-phase clinical evaluation, is estimated to require between 12 and 15 years and, according to recent analyses, an average capitalised pre-approval cost of approximately $2,558 million (2013 US dollars) per approved drug (DiMasi et al., 2016). Despite these enormous investments, the probability of a compound entering Phase I clinical trials ultimately achieving regulatory approval remains discouragingly low, with overall success rates estimated at approximately 10% (Paul et al., 2010). This systemic inefficiency imposes not only an economic burden on pharmaceutical companies but also a profound societal cost, as patients with unmet medical needs await treatments that never reach market.</w:t>
      </w:r>
    </w:p>
    <w:p w:rsidR="00E47856" w:rsidRDefault="00142685">
      <w:pPr>
        <w:spacing w:after="180" w:line="360" w:lineRule="auto"/>
        <w:jc w:val="both"/>
      </w:pPr>
      <w:r>
        <w:t>The causes of this innovation deficit are multifactorial. High attrition rates in clinical development are frequently attributed to insufficient efficacy, unacceptable toxicity profiles, and pharmacokinetic liabilities that were inadequately characterised during earlier research stages (Paul et al., 2010; Moffat et al., 2017). Furthermore, the vast chemical space of drug-like molecules—estimated to contain upward of 10^60 discrete entities—cannot be meaningfully explored through traditional high-throughput screening approaches alone (Reymond, 2015). The volume of biomedical data generated annually through genomics, proteomics, structural biology, and clinical informatics now far exceeds the capacity of human researchers to interpret manually, creating both a bottleneck and an opportunity of exceptional proportions.</w:t>
      </w:r>
    </w:p>
    <w:p w:rsidR="00E47856" w:rsidRDefault="00142685">
      <w:pPr>
        <w:spacing w:after="180" w:line="360" w:lineRule="auto"/>
        <w:jc w:val="both"/>
      </w:pPr>
      <w:r>
        <w:t>Artificial intelligence (AI), broadly defined as the capacity of computational systems to perform tasks that would ordinarily require human intelligence, has begun to address these challenges with remarkable rapidity. Within the biomedical domain, AI encompasses a spectrum of methodological approaches, principally machine learning (ML) and its most powerful subset, deep learning (DL), as well as natural language processing (NLP) and knowledge graph-based reasoning. These techniques have demonstrated exceptional capability in pattern recognition, predictive modelling, and generative design across a variety of complex, high-dimensional datasets characteristic of pharmaceutical research (Vamathevan et al., 2019; Chen et al., 2018).</w:t>
      </w:r>
    </w:p>
    <w:p w:rsidR="00E47856" w:rsidRDefault="00142685">
      <w:pPr>
        <w:spacing w:after="180" w:line="360" w:lineRule="auto"/>
        <w:jc w:val="both"/>
      </w:pPr>
      <w:r>
        <w:lastRenderedPageBreak/>
        <w:t>The integration of AI into drug discovery has proceeded along multiple fronts. In target identification, AI models mine genomic and transcriptomic databases to nominate biologically relevant targets with greater specificity. In structural biology, the revolutionary AlphaFold system has fundamentally altered the landscape of protein structure prediction, providing near-experimental resolution for proteins whose three-dimensional structures were previously unknown (Jumper et al., 2021). In molecular design, generative AI models traverse chemical space to propose novel compounds with desired pharmacological profiles. In ADMET prediction, deep learning architectures forecast the absorption, distribution, metabolism, excretion, and toxicity properties of candidate molecules before costly synthesis or animal testing (Lusci et al., 2013; Cheng et al., 2012). In the clinical arena, AI is increasingly being applied to patient stratification, trial design optimisation, and the identification of biomarkers predictive of therapeutic response (Harrer et al., 2019). In a landmark demonstration of practical impact, Stokes et al. (2020) employed deep learning to screen more than 100 million chemical compounds, identifying halicin—a structurally novel antibiotic active against a broad spectrum of drug-resistant bacterial pathogens—within a matter of days, illustrating the transformative potential of AI for accelerating the identification of novel therapeutic agents.</w:t>
      </w:r>
    </w:p>
    <w:p w:rsidR="00E47856" w:rsidRDefault="00142685">
      <w:pPr>
        <w:spacing w:after="180" w:line="360" w:lineRule="auto"/>
        <w:jc w:val="both"/>
      </w:pPr>
      <w:r>
        <w:t>This review aims to provide a comprehensive, critical, and up-to-date synthesis of the state of the art in AI-driven drug discovery, addressing the technological foundations, landmark applications, persistent challenges, and future trajectories of this rapidly evolving field.</w:t>
      </w:r>
    </w:p>
    <w:p w:rsidR="00E47856" w:rsidRDefault="00142685">
      <w:pPr>
        <w:pStyle w:val="Heading2"/>
      </w:pPr>
      <w:r>
        <w:t>1.1 Scope and Objectives</w:t>
      </w:r>
    </w:p>
    <w:p w:rsidR="00E47856" w:rsidRDefault="00142685">
      <w:pPr>
        <w:spacing w:after="180" w:line="360" w:lineRule="auto"/>
        <w:jc w:val="both"/>
      </w:pPr>
      <w:r>
        <w:t xml:space="preserve">This review is concerned with the application of artificial intelligence technologies across the entirety of the drug discovery and early development pipeline, from the initial identification and validation of therapeutic targets through to the design and optimisation of clinical trials. The primary objectives are: (i) to provide a structured overview of the principal AI methodologies deployed in pharmaceutical research; (ii) to critically evaluate landmark case studies and illustrative examples demonstrating the utility and limitations of AI across discrete pipeline stages; (iii) to assess challenges related to model interpretability, data quality, regulatory compliance, and translational validity; and (iv) to identify emerging trends and future directions likely to shape the next generation of AI-enabled drug discovery. The review does not address AI applications in post-market surveillance, pharmacovigilance, or clinical practice beyond the </w:t>
      </w:r>
      <w:r>
        <w:lastRenderedPageBreak/>
        <w:t>scope of trial design, nor does it extend to AI-assisted medical imaging or diagnostics outside the drug discovery context.</w:t>
      </w:r>
    </w:p>
    <w:p w:rsidR="00E47856" w:rsidRDefault="00142685">
      <w:pPr>
        <w:pStyle w:val="Heading1"/>
      </w:pPr>
      <w:r>
        <w:t>2. Methods for Literature Selection</w:t>
      </w:r>
    </w:p>
    <w:p w:rsidR="00E47856" w:rsidRDefault="00142685">
      <w:pPr>
        <w:spacing w:after="180" w:line="360" w:lineRule="auto"/>
        <w:jc w:val="both"/>
      </w:pPr>
      <w:r>
        <w:t>This article is presented as a narrative review rather than a systematic review, reflecting the breadth and heterogeneity of the topic. The AI-driven drug discovery field spans highly diverse methodological traditions—ranging from computational chemistry and structural biology to clinical informatics—that do not lend themselves to the rigid inclusion and exclusion criteria, formal quality scoring, or meta-analytic synthesis required of systematic reviews. A narrative approach affords the flexibility needed to synthesise conceptual frameworks, methodological innovations, and illustrative case studies across these disciplines in a coherent and accessible manner. Furthermore, the rapid pace of advancement in this field makes a fixed set of search terms and a predefined scope potentially misleading, as conceptually important contributions frequently appear under evolving or interdisciplinary terminology.</w:t>
      </w:r>
    </w:p>
    <w:p w:rsidR="00E47856" w:rsidRDefault="00142685">
      <w:pPr>
        <w:spacing w:after="180" w:line="360" w:lineRule="auto"/>
        <w:jc w:val="both"/>
      </w:pPr>
      <w:r>
        <w:t>The literature was identified through searches conducted on Web of Science, Scopus, PubMed, and Google Scholar. The primary search terms employed included: "artificial intelligence drug discovery," "machine learning pharmaceutical research," "deep learning molecular design," "generative models drug design," "ADMET prediction machine learning," "protein structure prediction AI," "drug repurposing machine learning," "natural language processing pharmacology," and "clinical trial artificial intelligence," used both individually and in combination with Boolean operators (AND, OR, NOT). The date range for primary literature was set from January 2010 to April 2026, with particular emphasis placed on publications from 2016 onwards to capture the most recent advances in deep learning and generative modelling. Inclusion criteria required that sources be peer-reviewed research articles or review articles published in indexed academic journals. Exclusion criteria encompassed books, book chapters, grey literature, conference proceedings, preprints, and editorials. Classic foundational references published before 2005, where they remain highly influential and have been subject to extensive subsequent validation, were included without date restriction to provide essential mechanistic and historical context.</w:t>
      </w:r>
    </w:p>
    <w:p w:rsidR="00E47856" w:rsidRDefault="00142685">
      <w:pPr>
        <w:pStyle w:val="Heading1"/>
      </w:pPr>
      <w:r>
        <w:lastRenderedPageBreak/>
        <w:t>3. The Traditional Drug Discovery Pipeline and Its Limitations</w:t>
      </w:r>
    </w:p>
    <w:p w:rsidR="00E47856" w:rsidRDefault="00142685">
      <w:pPr>
        <w:spacing w:after="180" w:line="360" w:lineRule="auto"/>
        <w:jc w:val="both"/>
      </w:pPr>
      <w:r>
        <w:t>The conventional pathway from initial target hypothesis to marketed therapeutic has evolved over decades into a sequential, stage-gated process characterised by iterative rounds of experimentation, optimisation, and attrition. The pipeline conventionally begins with target identification and validation, proceeds through hit-finding and lead optimisation, advances to preclinical safety and pharmacokinetic evaluation, and culminates in multi-phase clinical trials followed by regulatory submission. Each stage demands substantial resource investment whilst simultaneously culling a majority of candidate compounds, giving rise to the well-known metaphor of an "innovation funnel" whose output is highly disproportionate to the input.</w:t>
      </w:r>
    </w:p>
    <w:p w:rsidR="00E47856" w:rsidRDefault="00142685">
      <w:pPr>
        <w:spacing w:after="180" w:line="360" w:lineRule="auto"/>
        <w:jc w:val="both"/>
      </w:pPr>
      <w:r>
        <w:t>The financial and temporal costs of this enterprise have been extensively documented. DiMasi et al. (2016) estimated that the average capitalised pre-approval cost of bringing a new molecular entity to market was approximately $2,558 million (2013 US dollars) when accounting for the opportunity cost of capital and the compound cost of successive failures throughout the pipeline; including post-approval R&amp;D costs raises this figure above $2.8 billion. Paul et al. (2010) identified inadequate early prediction of clinical outcomes as the primary driver of attrition, observing that failures attributable to insufficient efficacy represent the single largest cause of clinical attrition at both Phase II and Phase III—a finding consistent with subsequent industry-wide analyses. These figures reveal a systemic deficiency: the tools available at early discovery stages are insufficiently predictive of what will ultimately transpire in patients. The cost consequences are particularly stark given that late-stage clinical failures represent not merely the immediate expenditure on the failing compound, but also the cumulative investment in all earlier-stage compounds that must be charged against each successful approval.</w:t>
      </w:r>
    </w:p>
    <w:p w:rsidR="00E47856" w:rsidRDefault="00142685">
      <w:pPr>
        <w:spacing w:after="180" w:line="360" w:lineRule="auto"/>
        <w:jc w:val="both"/>
      </w:pPr>
      <w:r>
        <w:t xml:space="preserve">Target identification has historically been constrained by the tractability of experimentally characterisable biological targets. Classical pharmacology relied predominantly on serendipitous observation and phenotypic screening, whilst target-based approaches expanded the druggable proteome to receptors, enzymes, and ion channels amenable to biochemical assay (Moffat et al., 2017). However, the emergence of genome-wide association studies, proteomics, and transcriptomics has generated a deluge of putative targets whose biological validity and therapeutic relevance require systematic prioritisation. Computational approaches, long limited </w:t>
      </w:r>
      <w:r>
        <w:lastRenderedPageBreak/>
        <w:t>by modest data volumes and algorithmic performance, are now central to this prioritisation effort.</w:t>
      </w:r>
    </w:p>
    <w:p w:rsidR="00E47856" w:rsidRDefault="00142685">
      <w:pPr>
        <w:spacing w:after="180" w:line="360" w:lineRule="auto"/>
        <w:jc w:val="both"/>
      </w:pPr>
      <w:r>
        <w:t>The lead discovery and optimisation phase faces the dual challenge of navigating the astronomical scale of chemical space whilst simultaneously satisfying the demanding multi-parametric optimisation required of a developable molecule. A candidate compound must simultaneously demonstrate potency, selectivity, metabolic stability, acceptable toxicity, and favourable pharmacokinetic properties—an objective whose complexity far exceeds the capacity of intuition alone to resolve (Schneider &amp; Fechner, 2005). High-throughput screening can evaluate millions of compounds per campaign but is constrained to physical compound libraries and struggles to balance the exploration of novel chemical matter with the exploitation of known pharmacophoric series. In silico approaches have therefore assumed an increasingly central role in lead generation and optimisation, and the advent of AI has dramatically amplified the power of these computational strategies.</w:t>
      </w:r>
    </w:p>
    <w:p w:rsidR="00E47856" w:rsidRDefault="00142685">
      <w:pPr>
        <w:pStyle w:val="Heading1"/>
      </w:pPr>
      <w:r>
        <w:t>4. Foundations of Artificial Intelligence in Drug Discovery</w:t>
      </w:r>
    </w:p>
    <w:p w:rsidR="00E47856" w:rsidRDefault="00142685">
      <w:pPr>
        <w:pStyle w:val="Heading2"/>
      </w:pPr>
      <w:r>
        <w:t>4.1 Machine Learning Approaches</w:t>
      </w:r>
    </w:p>
    <w:p w:rsidR="00E47856" w:rsidRDefault="00142685">
      <w:pPr>
        <w:spacing w:after="180" w:line="360" w:lineRule="auto"/>
        <w:jc w:val="both"/>
      </w:pPr>
      <w:r>
        <w:t>Machine learning, in its broadest sense, denotes computational methods that enable systems to learn predictive or generative models from data without explicit rule-based programming. Within pharmaceutical research, the most widely applied ML paradigms include supervised learning, in which models are trained on labelled datasets of molecular structures and their associated biological or physicochemical properties; unsupervised learning, used for clustering, dimensionality reduction, and pattern discovery in unlabelled data; and reinforcement learning, in which agents optimise molecular structures or synthesis strategies through iterative interaction with a reward-based environment (Lavecchia, 2015; Lo et al., 2018). Classical ML algorithms such as support vector machines, random forests, gradient-boosted trees, and Gaussian processes laid important groundwork and continue to find application in settings where labelled data are limited, interpretability is prioritised, or the feature engineering pipeline is well-characterised.</w:t>
      </w:r>
    </w:p>
    <w:p w:rsidR="00E47856" w:rsidRDefault="00142685">
      <w:pPr>
        <w:spacing w:after="180" w:line="360" w:lineRule="auto"/>
        <w:jc w:val="both"/>
      </w:pPr>
      <w:r>
        <w:t xml:space="preserve">Quantitative structure–activity relationship (QSAR) modelling, one of the oldest traditions in computational drug discovery, has been substantially reinvigorated by modern ML. QSAR models relate molecular structural descriptors to experimentally measured biological activities, </w:t>
      </w:r>
      <w:r>
        <w:lastRenderedPageBreak/>
        <w:t>enabling the prediction of activity for compounds that have not yet been synthesised. The quality of QSAR models depends critically on the quantity and quality of training data, the appropriateness of the descriptor set, and rigorous external validation protocols that test model performance on truly independent datasets (Tropsha, 2010). Modern QSAR applications incorporating large-scale training sets and ensemble ML methods have achieved predictive accuracy across diverse biological endpoints—including receptor binding affinities, enzymatic inhibition constants, and cytotoxicity measures—that substantially surpasses the performance of earlier statistical approaches (Dara et al., 2022).</w:t>
      </w:r>
    </w:p>
    <w:p w:rsidR="00E47856" w:rsidRDefault="00142685">
      <w:pPr>
        <w:pStyle w:val="Heading2"/>
      </w:pPr>
      <w:r>
        <w:t>4.2 Deep Learning Architectures</w:t>
      </w:r>
    </w:p>
    <w:p w:rsidR="00E47856" w:rsidRDefault="00142685">
      <w:pPr>
        <w:spacing w:after="180" w:line="360" w:lineRule="auto"/>
        <w:jc w:val="both"/>
      </w:pPr>
      <w:r>
        <w:t>Deep learning refers to a class of ML methods employing artificial neural networks with multiple hierarchical layers of representation, enabling the automatic learning of features directly from raw data without extensive expert-guided feature engineering (Gawehn et al., 2016; Chen et al., 2018). The dominant deep learning architectures deployed in drug discovery include convolutional neural networks (CNNs), recurrent neural networks (RNNs) and their long short-term memory (LSTM) variants, graph neural networks (GNNs), variational autoencoders (VAEs), and generative adversarial networks (GANs). Each architecture imposes different inductive biases that render it particularly suited to specific data modalities and problem formulations encountered across the pharmaceutical pipeline.</w:t>
      </w:r>
    </w:p>
    <w:p w:rsidR="00E47856" w:rsidRDefault="00142685">
      <w:pPr>
        <w:spacing w:after="180" w:line="360" w:lineRule="auto"/>
        <w:jc w:val="both"/>
      </w:pPr>
      <w:r>
        <w:t xml:space="preserve">Convolutional neural networks excel at learning spatial hierarchies from grid-like data such as two-dimensional pharmacophoric maps, molecular fingerprint matrices, or three-dimensional volumetric representations of binding sites. Recurrent architectures are naturally suited to sequential data such as SMILES (Simplified Molecular Input Line Entry System) strings, the linear textual representations of molecular graphs commonly used in cheminformatics. Graph neural networks, which operate directly on molecular graphs without the need for linearisation, have demonstrated particular promise in capturing topological and electronic features of molecules that determine their biological activities (Yang et al., 2019). Attention-based transformer models, originally developed for natural language processing tasks, have also been adapted to molecular property prediction and generation, leveraging their capacity to model long-range dependencies within molecular sequences and to transfer representations learned </w:t>
      </w:r>
      <w:r>
        <w:lastRenderedPageBreak/>
        <w:t>from large unlabelled molecular corpora to downstream property prediction tasks through fine-tuning.</w:t>
      </w:r>
    </w:p>
    <w:p w:rsidR="00E47856" w:rsidRDefault="00142685">
      <w:pPr>
        <w:pStyle w:val="Heading2"/>
      </w:pPr>
      <w:r>
        <w:t>4.3 Natural Language Processing and Text Mining</w:t>
      </w:r>
    </w:p>
    <w:p w:rsidR="00E47856" w:rsidRDefault="00142685">
      <w:pPr>
        <w:spacing w:after="180" w:line="360" w:lineRule="auto"/>
        <w:jc w:val="both"/>
      </w:pPr>
      <w:r>
        <w:t>The biomedical literature encompasses tens of millions of published articles, and the rate of scientific publication continues to accelerate. Natural language processing techniques enable the automated extraction, structuring, and integration of knowledge from this vast corpus of unstructured text, offering pharmaceutical researchers a systematic means of mining relationships between genes, proteins, diseases, phenotypes, and chemical entities at scale (Rifaioglu et al., 2019). Named entity recognition, relation extraction, and question-answering systems have been applied to curate drug–target interactions, adverse event associations, and mechanism-of-action information from the published literature at a throughput wholly beyond manual curation. The development of large-scale pre-trained biomedical language models, fine-tuned on domain-specific corpora, has substantially enhanced the accuracy of these knowledge extraction pipelines, enabling systematic integration of disparate data sources into unified knowledge graphs that inform target discovery and drug repurposing endeavours.</w:t>
      </w:r>
    </w:p>
    <w:p w:rsidR="00E47856" w:rsidRDefault="00142685">
      <w:pPr>
        <w:pStyle w:val="Heading1"/>
      </w:pPr>
      <w:r>
        <w:t>5. Target Identification and Validation Using Artificial Intelligence</w:t>
      </w:r>
    </w:p>
    <w:p w:rsidR="00E47856" w:rsidRDefault="00142685">
      <w:pPr>
        <w:spacing w:after="180" w:line="360" w:lineRule="auto"/>
        <w:jc w:val="both"/>
      </w:pPr>
      <w:r>
        <w:t>The identification of a therapeutically relevant target—a molecular entity whose modulation produces a desired clinical effect with acceptable safety margins—is widely recognised as the foundational determinant of downstream drug development success. Despite decades of systematic effort, the druggable genome remains incompletely characterised, and many diseases of significant unmet need are associated with targets whose druggability has not been established. AI methods have been applied at multiple levels to nominate, prioritise, and validate targets with greater throughput and confidence than traditional experimental approaches alone (Vamathevan et al., 2019).</w:t>
      </w:r>
    </w:p>
    <w:p w:rsidR="00E47856" w:rsidRDefault="00142685">
      <w:pPr>
        <w:spacing w:after="180" w:line="360" w:lineRule="auto"/>
        <w:jc w:val="both"/>
      </w:pPr>
      <w:r>
        <w:t xml:space="preserve">Genomics and transcriptomics constitute a primary data source for AI-driven target identification. ML algorithms trained on genome-wide association study data, differential gene expression profiles, and somatic mutation catalogues from patient cohorts can identify disease-relevant genes and pathways with statistical rigour (Rifaioglu et al., 2019). Network-based </w:t>
      </w:r>
      <w:r>
        <w:lastRenderedPageBreak/>
        <w:t>approaches, which model the human interactome as a complex graph of protein–protein, gene–gene, and drug–target interactions, enable the identification of central or bridging nodes whose perturbation is predicted to exert a disproportionate influence on disease-related phenotypes. Graph neural networks are particularly well-suited to analysing such biological networks, as they can learn representations of nodes and edges that capture both local structural features and global topological properties relevant to disease biology.</w:t>
      </w:r>
    </w:p>
    <w:p w:rsidR="00E47856" w:rsidRDefault="00142685">
      <w:pPr>
        <w:spacing w:after="180" w:line="360" w:lineRule="auto"/>
        <w:jc w:val="both"/>
      </w:pPr>
      <w:r>
        <w:t>Transcriptomic data have been used to train deep learning models capable of predicting the phenotypic consequences of gene knockdown or pharmacological perturbation. Aliper et al. (2016) demonstrated that deep neural networks could accurately classify oncological compounds by mechanism of action based solely on gene expression signatures, and further applied these models to identify novel repurposing opportunities for approved drugs by matching their transcriptomic fingerprints to disease-associated gene expression patterns. This work illustrated the capacity of AI to exploit high-dimensional omics data for simultaneous target identification and compound annotation in a data-driven fashion that requires minimal prior mechanistic knowledge.</w:t>
      </w:r>
    </w:p>
    <w:p w:rsidR="00E47856" w:rsidRDefault="00142685">
      <w:pPr>
        <w:spacing w:after="180" w:line="360" w:lineRule="auto"/>
        <w:jc w:val="both"/>
      </w:pPr>
      <w:r>
        <w:t>Protein–protein interaction data, chemical–genetic interaction data, and patient stratification information from clinical databases are increasingly being integrated into multi-modal AI frameworks that assign confidence scores to putative targets based on convergent lines of evidence (Vamathevan et al., 2019). Such frameworks are beginning to complement experimental target validation approaches, reducing the burden on in vitro and in vivo validation whilst prioritising those targets most likely to translate successfully into clinical candidates. The integration of AI-derived target scores with existing knowledge bases of genetic associations, pathway memberships, and tissue expression profiles creates a richer and more nuanced prioritisation landscape than any single data type could provide in isolation.</w:t>
      </w:r>
    </w:p>
    <w:p w:rsidR="00E47856" w:rsidRDefault="00142685">
      <w:pPr>
        <w:pStyle w:val="Heading1"/>
      </w:pPr>
      <w:r>
        <w:t>6. Structure-Based Drug Design and AI-Augmented Molecular Docking</w:t>
      </w:r>
    </w:p>
    <w:p w:rsidR="00E47856" w:rsidRDefault="00142685">
      <w:pPr>
        <w:pStyle w:val="Heading2"/>
      </w:pPr>
      <w:r>
        <w:t>6.1 Protein Structure Prediction: The AlphaFold Revolution</w:t>
      </w:r>
    </w:p>
    <w:p w:rsidR="00E47856" w:rsidRDefault="00142685">
      <w:pPr>
        <w:spacing w:after="180" w:line="360" w:lineRule="auto"/>
        <w:jc w:val="both"/>
      </w:pPr>
      <w:r>
        <w:t xml:space="preserve">Structure-based drug design relies on knowledge of the three-dimensional architecture of a therapeutic target to guide the rational design and optimisation of small molecule binders. For </w:t>
      </w:r>
      <w:r>
        <w:lastRenderedPageBreak/>
        <w:t>decades, experimental structure determination methods—principally X-ray crystallography, cryo-electron microscopy, and NMR spectroscopy—provided the structural data underpinning this approach. However, these techniques are laborious, expensive, and not universally applicable to all target classes, leaving a substantial fraction of the proteome structurally uncharacterised. Computational protein structure prediction represents an alternative route to structural information, yet until recently, the accuracy of predictive methods was insufficient for routine application in drug design.</w:t>
      </w:r>
    </w:p>
    <w:p w:rsidR="00E47856" w:rsidRDefault="00142685">
      <w:pPr>
        <w:spacing w:after="180" w:line="360" w:lineRule="auto"/>
        <w:jc w:val="both"/>
      </w:pPr>
      <w:r>
        <w:t>The introduction of AlphaFold2 by DeepMind in 2021 constituted a paradigm shift of historic significance. Jumper et al. (2021) reported that AlphaFold2 achieved median backbone accuracy comparable to experimentally determined structures for targets with sequence homology to known folds, and produced models of unprecedented quality even for challenging cases such as orphan proteins lacking close structural homologues. The system employs a novel end-to-end differentiable architecture incorporating multiple sequence alignment processing, pairwise residue distance prediction, and iterative structure refinement through an equivariant attention mechanism termed the "Evoformer." The subsequent release of the AlphaFold Protein Structure Database, containing predicted structures for the majority of human proteins and dozens of model organism proteomes, has placed structural information within reach for virtually any target of pharmaceutical interest, fundamentally democratising access to structural biology.</w:t>
      </w:r>
    </w:p>
    <w:p w:rsidR="00E47856" w:rsidRDefault="00142685">
      <w:pPr>
        <w:spacing w:after="180" w:line="360" w:lineRule="auto"/>
        <w:jc w:val="both"/>
      </w:pPr>
      <w:r>
        <w:t>Preceding AlphaFold2, the original AlphaFold system demonstrated that the application of deep learning to protein structure prediction could surpass all prior methods in the Critical Assessment of Structure Prediction (CASP13) competition (Senior et al., 2020). Together, these advances have transformed structural biology and opened new avenues for drug design across previously intractable target classes, including intrinsically disordered regions, multiprotein complexes, and membrane proteins that resist conventional crystallographic analysis. The rapid proliferation of AlphaFold-derived structural models into computational drug discovery workflows illustrates the speed with which transformative AI advances can be translated into practical pharmaceutical applications.</w:t>
      </w:r>
    </w:p>
    <w:p w:rsidR="00E47856" w:rsidRDefault="00142685">
      <w:pPr>
        <w:pStyle w:val="Heading2"/>
      </w:pPr>
      <w:r>
        <w:t>6.2 AI in Molecular Docking and Binding Affinity Prediction</w:t>
      </w:r>
    </w:p>
    <w:p w:rsidR="00E47856" w:rsidRDefault="00142685">
      <w:pPr>
        <w:spacing w:after="180" w:line="360" w:lineRule="auto"/>
        <w:jc w:val="both"/>
      </w:pPr>
      <w:r>
        <w:lastRenderedPageBreak/>
        <w:t>Molecular docking computationally simulates the binding of a small molecule ligand within a protein cavity to estimate binding pose and affinity, and has long been a cornerstone of structure-based virtual screening. Traditional docking programmes rely on physics-based scoring functions that, whilst computationally efficient, are frequently insufficiently accurate to rank diverse scaffolds by binding affinity across different target classes. AI-based scoring functions and hybrid approaches that augment traditional docking pipelines with ML or DL components have demonstrated substantial improvements in virtual screening enrichment and binding affinity rank ordering (Dara et al., 2022). These enhanced scoring functions learn from large datasets of experimentally determined protein–ligand binding affinities, capturing subtle contributions of non-covalent interactions that are difficult to parameterise in purely physics-based models.</w:t>
      </w:r>
    </w:p>
    <w:p w:rsidR="00E47856" w:rsidRDefault="00142685">
      <w:pPr>
        <w:spacing w:after="180" w:line="360" w:lineRule="auto"/>
        <w:jc w:val="both"/>
      </w:pPr>
      <w:r>
        <w:t>Drug–target interaction (DTI) prediction, which seeks to identify novel pairings of drugs and target proteins without requiring explicit structural information, has benefited substantially from deep learning methods. Öztürk et al. (2018) proposed DeepDTA, a convolutional neural network framework that encodes both drug SMILES strings and protein sequence data as character-level inputs to predict binding affinity directly from sequence, achieving superior performance compared to earlier interaction prediction methods. This sequence-based approach has particular value for targets whose three-dimensional structures are unavailable, and its relevance extends beyond primary target engagement prediction to off-target liability assessment, since the same framework can be applied across the entire known proteome to identify potential secondary pharmacological interactions that might produce adverse effects in patients.</w:t>
      </w:r>
    </w:p>
    <w:p w:rsidR="00E47856" w:rsidRDefault="00142685">
      <w:pPr>
        <w:pStyle w:val="Heading1"/>
      </w:pPr>
      <w:r>
        <w:t>7. De Novo Molecular Design and Generative Artificial Intelligence</w:t>
      </w:r>
    </w:p>
    <w:p w:rsidR="00E47856" w:rsidRDefault="00142685">
      <w:pPr>
        <w:pStyle w:val="Heading2"/>
      </w:pPr>
      <w:r>
        <w:t>7.1 Variational Autoencoders and Continuous Molecular Representations</w:t>
      </w:r>
    </w:p>
    <w:p w:rsidR="00E47856" w:rsidRDefault="00142685">
      <w:pPr>
        <w:spacing w:after="180" w:line="360" w:lineRule="auto"/>
        <w:jc w:val="both"/>
      </w:pPr>
      <w:r>
        <w:t xml:space="preserve">De novo molecular design, in which entirely novel chemical structures are generated computationally to satisfy specified pharmacological and physicochemical criteria, represents one of the most visionary applications of AI in drug discovery. The fundamental challenge is to navigate the vast, discrete, and non-differentiable chemical space of drug-like molecules in a principled fashion that is amenable to efficient optimisation. Continuous representation learning, </w:t>
      </w:r>
      <w:r>
        <w:lastRenderedPageBreak/>
        <w:t>pioneered for molecular design through the application of variational autoencoders, circumvents this challenge by mapping molecular structures into a continuous latent space in which gradient-based optimisation methods can be applied (Gómez-Bombarelli et al., 2018). The VAE framework, as applied by Gómez-Bombarelli et al. (2018), encodes SMILES strings into continuous latent vector representations and decodes them back to valid molecular strings, whilst simultaneously training a property prediction network on the latent space to enable property-guided Bayesian optimisation across the continuous molecular manifold.</w:t>
      </w:r>
    </w:p>
    <w:p w:rsidR="00E47856" w:rsidRDefault="00142685">
      <w:pPr>
        <w:spacing w:after="180" w:line="360" w:lineRule="auto"/>
        <w:jc w:val="both"/>
      </w:pPr>
      <w:r>
        <w:t>Earlier work by Schneider and Fechner (2005) established important conceptual groundwork for computational de novo design, providing a taxonomy of approaches—from fragment-based assembly to evolutionary algorithms—and identifying interpretability and synthetic accessibility as persistent challenges that any viable design strategy must address. The transition from these earlier combinatorial and rule-based methods to deep generative models represents a qualitative leap in the scale and diversity of chemical space exploration achievable in silico, and in the sophistication with which multi-objective optimisation problems can be formulated and solved. Merk et al. (2018) provided an early validation of AI-based de novo molecular design, demonstrating that recurrent neural networks trained on large SMILES datasets could generate entirely novel, drug-like molecules with desired biological target activity, and experimentally confirming the activity of AI-generated compounds against the G-protein-coupled receptor A2A adenosine receptor—an important therapeutic target in oncology and neurological disease.</w:t>
      </w:r>
    </w:p>
    <w:p w:rsidR="00E47856" w:rsidRDefault="00142685">
      <w:pPr>
        <w:pStyle w:val="Heading2"/>
      </w:pPr>
      <w:r>
        <w:t>7.2 Recurrent Neural Networks and Reinforcement Learning for Molecular Generation</w:t>
      </w:r>
    </w:p>
    <w:p w:rsidR="00E47856" w:rsidRDefault="00142685">
      <w:pPr>
        <w:spacing w:after="180" w:line="360" w:lineRule="auto"/>
        <w:jc w:val="both"/>
      </w:pPr>
      <w:r>
        <w:t xml:space="preserve">Recurrent neural networks, and particularly LSTM architectures, have been extensively employed for molecular generation via sequential character-by-character prediction of SMILES strings (Chen et al., 2018). The combination of generative RNNs with reinforcement learning has proven particularly effective for goal-directed molecular design, wherein the agent is rewarded for generating molecules that satisfy predefined multi-objective criteria such as predicted target activity, synthetic accessibility, and drug-likeness scores. Olivecrona et al. (2017) proposed a SMILES-based molecular de-novo design approach using an RL framework in which the generative model was fine-tuned against a QSAR scoring function, demonstrating that the RL-trained model rapidly focused generation on high-scoring chemical matter whilst maintaining </w:t>
      </w:r>
      <w:r>
        <w:lastRenderedPageBreak/>
        <w:t>structural diversity within the generated compound set. Popova et al. (2018) further extended this paradigm, introducing the ReLeaSE (Reinforcement Learning for Structural Evolution) framework, which simultaneously trained a generative network and a property prediction network, achieving the generation of compound libraries enriched for desired biological activity and favourable physical properties.</w:t>
      </w:r>
    </w:p>
    <w:p w:rsidR="00E47856" w:rsidRDefault="00142685">
      <w:pPr>
        <w:spacing w:after="180" w:line="360" w:lineRule="auto"/>
        <w:jc w:val="both"/>
      </w:pPr>
      <w:r>
        <w:t>The landmark study of Zhavoronkov et al. (2019) provided compelling evidence of the practical impact of AI-driven molecular design under realistic pharmaceutical constraints. Using a generative tensorial reinforcement learning (GENTRL) model, novel small molecule inhibitors of discoidin domain receptor 1 (DDR1)—a receptor tyrosine kinase implicated in fibrosis and potentially in cancer—were generated in 21 days; synthesis was completed by day 35, and pharmacokinetic testing in rodents was finalised by day 46, compressing the full design-to-in-vivo-validation cycle to less than seven weeks. Several compounds demonstrated nanomolar potency in biochemical assays. This work attracted widespread attention as a proof-of-concept demonstration that AI could compress the lead identification and early optimisation timeline from the months or years typical of conventional approaches to a matter of weeks.</w:t>
      </w:r>
    </w:p>
    <w:p w:rsidR="00E47856" w:rsidRDefault="00142685">
      <w:pPr>
        <w:pStyle w:val="Heading2"/>
      </w:pPr>
      <w:r>
        <w:t>7.3 Graph Neural Networks for Molecular Property Prediction and Design</w:t>
      </w:r>
    </w:p>
    <w:p w:rsidR="00E47856" w:rsidRDefault="00142685">
      <w:pPr>
        <w:spacing w:after="180" w:line="360" w:lineRule="auto"/>
        <w:jc w:val="both"/>
      </w:pPr>
      <w:r>
        <w:t>The representation of molecules as graphs—where atoms constitute nodes and covalent bonds constitute edges—provides a natural and information-rich representation for neural network processing. Graph neural networks learn representations by iteratively aggregating and transforming information from atomic neighbourhoods, producing molecular embeddings that capture both local chemical environment and global topological features without the information loss inherent in fixed-size fingerprint representations (Yang et al., 2019). Yang et al. (2019) evaluated several message-passing neural network architectures for molecular property prediction, demonstrating that directed message-passing neural networks achieved state-of-the-art performance across a range of benchmark datasets encompassing quantum mechanical properties, physical properties, and biological activities. GNNs have since become a foundational architecture in molecular property prediction, and their extension to three-dimensional molecular graphs incorporating spatial coordinates has further enhanced predictive performance on targets where conformational geometry is of critical importance.</w:t>
      </w:r>
    </w:p>
    <w:p w:rsidR="00E47856" w:rsidRDefault="00142685">
      <w:pPr>
        <w:pStyle w:val="Heading1"/>
      </w:pPr>
      <w:r>
        <w:lastRenderedPageBreak/>
        <w:t>8. Prediction of Absorption, Distribution, Metabolism, Excretion, and Toxicity Properties</w:t>
      </w:r>
    </w:p>
    <w:p w:rsidR="00E47856" w:rsidRDefault="00142685">
      <w:pPr>
        <w:spacing w:after="180" w:line="360" w:lineRule="auto"/>
        <w:jc w:val="both"/>
      </w:pPr>
      <w:r>
        <w:t>The pharmacokinetic and toxicological profile of a candidate molecule—collectively captured under the ADMET framework—is a primary determinant of clinical success and represents one of the most common causes of both early attrition and late-stage failure in drug development. In silico prediction of ADMET properties offers the opportunity to identify and eliminate liabilities before costly synthesis and animal studies, and to guide structure–activity relationship exploration towards more developable chemical space (Cheng et al., 2012). The foundational Lipinski rule of five, proposed in 2001, established an empirical framework for predicting oral bioavailability based on four simple physicochemical parameters, but this heuristic is insufficient to capture the full complexity of modern drug-like chemical space or the diversity of ADMET liabilities encountered across contemporary therapeutic modalities (Lipinski et al., 2001).</w:t>
      </w:r>
    </w:p>
    <w:p w:rsidR="00E47856" w:rsidRDefault="00142685">
      <w:pPr>
        <w:spacing w:after="180" w:line="360" w:lineRule="auto"/>
        <w:jc w:val="both"/>
      </w:pPr>
      <w:r>
        <w:t>Machine learning and deep learning models have been applied extensively to ADMET endpoint prediction, leveraging large experimental datasets from absorption assays, metabolic stability studies, hERG potassium channel inhibition screens, and in vitro toxicology panels. Cheng et al. (2012) described admetSAR, one of the most comprehensive early platforms for in silico ADMET assessment, providing ML-based models trained on curated experimental data for a wide range of pharmacokinetic and toxicological endpoints. Lusci et al. (2013) demonstrated that deep architectures operating directly on molecular graph representations could outperform classical ML methods for aqueous solubility prediction—a critical ADMET parameter—by learning hierarchical representations that captured long-range structural dependencies relevant to solvation behaviour.</w:t>
      </w:r>
    </w:p>
    <w:p w:rsidR="00E47856" w:rsidRDefault="00142685">
      <w:pPr>
        <w:spacing w:after="180" w:line="360" w:lineRule="auto"/>
        <w:jc w:val="both"/>
      </w:pPr>
      <w:r>
        <w:t xml:space="preserve">More recent developments have seen the application of multi-task learning, in which a single deep neural network is simultaneously trained on multiple related ADMET endpoints, enabling productive information sharing across tasks and improving prediction for endpoints with limited experimental data. Graph-based deep learning models trained jointly on diverse physicochemical and biological endpoints have achieved predictive accuracy across ADMET properties that approaches experimental assay reproducibility for several key endpoints (Vamathevan et al., 2019). The integration of ADMET prediction models into automated molecular design pipelines—such that newly generated molecules are immediately scored for pharmacokinetic and </w:t>
      </w:r>
      <w:r>
        <w:lastRenderedPageBreak/>
        <w:t>toxicological liabilities—has become standard practice in AI-driven discovery programmes, enabling simultaneous optimisation of potency and drug-likeness without the sequential iterations that characterise classical medicinal chemistry campaigns.</w:t>
      </w:r>
    </w:p>
    <w:p w:rsidR="00E47856" w:rsidRDefault="00142685">
      <w:pPr>
        <w:spacing w:after="180" w:line="360" w:lineRule="auto"/>
        <w:jc w:val="both"/>
      </w:pPr>
      <w:r>
        <w:t>Toxicity prediction represents a particularly challenging ADMET domain owing to the mechanistic diversity of adverse effects, the often limited and imbalanced nature of available experimental datasets, and the inherent complexity of translating in vitro signals to in vivo outcomes in whole organisms. Notwithstanding these challenges, deep learning models have demonstrated utility in predicting specific adverse event categories, including drug-induced liver injury, hERG-mediated cardiotoxicity, genotoxicity, and acute lethality (Dara et al., 2022; Rifaioglu et al., 2019). The availability of large public databases of drug-induced toxicity data has provided foundational training resources for these models, though concerns about data quality, endpoint heterogeneity, and the adequacy of mechanistic representation persist across the field.</w:t>
      </w:r>
    </w:p>
    <w:p w:rsidR="00E47856" w:rsidRDefault="00142685">
      <w:pPr>
        <w:pStyle w:val="Heading1"/>
      </w:pPr>
      <w:r>
        <w:t>9. Drug Repurposing and Network Pharmacology</w:t>
      </w:r>
    </w:p>
    <w:p w:rsidR="00E47856" w:rsidRDefault="00142685">
      <w:pPr>
        <w:spacing w:after="180" w:line="360" w:lineRule="auto"/>
        <w:jc w:val="both"/>
      </w:pPr>
      <w:r>
        <w:t>Drug repurposing—the identification of new therapeutic indications for approved or clinical-stage compounds—offers a compelling economic and regulatory rationale, as the safety profile of a repurposed agent has typically already been established in humans, dramatically reducing both the risk and the time to clinical proof-of-concept relative to de novo discovery. AI methods have proven particularly powerful for systematic drug repurposing, as they can integrate heterogeneous data sources—including drug–target interaction networks, gene expression signatures, disease-phenotype associations, and clinical trial outcomes—at a scale that no manual approach could match (Aliper et al., 2016; Vamathevan et al., 2019).</w:t>
      </w:r>
    </w:p>
    <w:p w:rsidR="00E47856" w:rsidRDefault="00142685">
      <w:pPr>
        <w:spacing w:after="180" w:line="360" w:lineRule="auto"/>
        <w:jc w:val="both"/>
      </w:pPr>
      <w:r>
        <w:t xml:space="preserve">Network pharmacology approaches model the pharmacological landscape as a multilayer biological network and identify drugs and targets whose network proximity to disease modules predicts therapeutic efficacy. ML algorithms trained on gene expression profiles have been applied to identify compounds whose transcriptomic effects mirror the reversal of disease-associated signatures, providing a data-driven mechanism-agnostic route to repurposing candidate identification. Aliper et al. (2016) demonstrated that deep neural networks applied to transcriptomic perturbation data could classify drug mechanism of action with high accuracy and </w:t>
      </w:r>
      <w:r>
        <w:lastRenderedPageBreak/>
        <w:t>identify novel repurposing opportunities by matching drug signatures to disease signatures—a paradigm that leverages the growing availability of systematically generated gene expression perturbation data to reveal unexpected mechanistic connections between approved drugs and novel disease indications.</w:t>
      </w:r>
    </w:p>
    <w:p w:rsidR="00E47856" w:rsidRDefault="00142685">
      <w:pPr>
        <w:spacing w:after="180" w:line="360" w:lineRule="auto"/>
        <w:jc w:val="both"/>
      </w:pPr>
      <w:r>
        <w:t>The response to the COVID-19 pandemic demonstrated both the promise and the current limitations of AI-driven repurposing. Multiple groups rapidly deployed ML and network pharmacology methods to prioritise approved drugs for evaluation against SARS-CoV-2, generating extensive lists of candidates within days. Whilst some AI-nominated candidates proceeded to clinical evaluation, the overall rate of clinical validation remained modest, highlighting the persistent challenge of translating computational predictions—necessarily derived from proxy measures of efficacy rather than direct clinical outcomes—into actionable clinical results (Bender &amp; Cortés-Ciriano, 2021). This experience underscores the critical importance of rigorous prospective experimental validation as an indispensable complement to computational prediction, regardless of the sophistication of the underlying AI methodology.</w:t>
      </w:r>
    </w:p>
    <w:p w:rsidR="00E47856" w:rsidRDefault="00142685">
      <w:pPr>
        <w:pStyle w:val="Heading1"/>
      </w:pPr>
      <w:r>
        <w:t>10. Artificial Intelligence in Optimising Clinical Trial Design</w:t>
      </w:r>
    </w:p>
    <w:p w:rsidR="00E47856" w:rsidRDefault="00142685">
      <w:pPr>
        <w:spacing w:after="180" w:line="360" w:lineRule="auto"/>
        <w:jc w:val="both"/>
      </w:pPr>
      <w:r>
        <w:t>The clinical development phase represents by far the greatest financial investment and the stage at which failure is most expensive. Clinical trials are increasingly complex, costly, and difficult to execute, with Phase III trials routinely requiring the recruitment of thousands of patients over several years and expenditure of hundreds of millions of dollars. AI applications in clinical development have focused on multiple aspects of trial design and execution, including patient selection and stratification, adaptive trial design, site selection, endpoint identification, and the prediction of dropout or non-compliance in enrolled populations (Harrer et al., 2019).</w:t>
      </w:r>
    </w:p>
    <w:p w:rsidR="00E47856" w:rsidRDefault="00142685">
      <w:pPr>
        <w:spacing w:after="180" w:line="360" w:lineRule="auto"/>
        <w:jc w:val="both"/>
      </w:pPr>
      <w:r>
        <w:t xml:space="preserve">Patient stratification—the identification of patient subpopulations most likely to respond to a given therapy—is perhaps the most impactful near-term application of AI in clinical development. ML models trained on pre-treatment biomarker data, including genomic, proteomic, and medical imaging data, can identify predictive biomarkers that define responsive patient subsets, enabling the design of enriched trials with higher statistical power and reduced sample size requirements. This approach transforms the traditional broad-inclusion trial design towards precision medicine paradigms in which the right patient receives the right drug at the </w:t>
      </w:r>
      <w:r>
        <w:lastRenderedPageBreak/>
        <w:t>right dose. Harrer et al. (2019) provided a comprehensive review of AI applications in clinical trial design, identifying patient recruitment, adaptive design, and synthetic control arm generation as areas of particular promise for near-term clinical impact.</w:t>
      </w:r>
    </w:p>
    <w:p w:rsidR="00E47856" w:rsidRDefault="00142685">
      <w:pPr>
        <w:spacing w:after="180" w:line="360" w:lineRule="auto"/>
        <w:jc w:val="both"/>
      </w:pPr>
      <w:r>
        <w:t>Electronic health records, encompassing diagnoses, prescriptions, laboratory results, and clinical notes, represent an enormous resource for AI-driven trial design. ML algorithms applied to such data can identify potential trial participants, predict the likelihood of achieving primary endpoints under different treatment protocols, and simulate the impact of protocol amendments on statistical power (Harrer et al., 2019; Vamathevan et al., 2019). NLP methods applied to unstructured clinical notes can extract structured phenotypic information that is not captured in coded diagnostic fields, substantially expanding the informatic depth of electronic health record-based analyses. Synthetic control arm generation, in which a virtual control group is constructed from historical patient data or real-world evidence, represents an emerging AI application with particular relevance for rare diseases, where placebo-controlled trial enrolment may be ethically or practically challenging.</w:t>
      </w:r>
    </w:p>
    <w:p w:rsidR="00E47856" w:rsidRDefault="00142685">
      <w:pPr>
        <w:pStyle w:val="Heading1"/>
      </w:pPr>
      <w:r>
        <w:t>11. Explainability, Interpretability, and Trust in Artificial Intelligence Models</w:t>
      </w:r>
    </w:p>
    <w:p w:rsidR="00E47856" w:rsidRDefault="00142685">
      <w:pPr>
        <w:spacing w:after="180" w:line="360" w:lineRule="auto"/>
        <w:jc w:val="both"/>
      </w:pPr>
      <w:r>
        <w:t>A fundamental concern surrounding the deployment of deep learning in drug discovery is the opacity of neural network decision-making. Complex neural architectures such as deep CNNs and transformer models produce predictions through high-dimensional non-linear transformations that resist straightforward interpretation, making it difficult for researchers to understand why a given molecule was predicted to be active, toxic, or pharmacokinetically acceptable (Jiménez-Luna et al., 2020). This opacity has important practical consequences: without mechanistic insight into AI predictions, it is difficult for medicinal chemists to extract actionable structure–activity relationships, to identify structural alerts responsible for predicted toxicities, or to build the scientific confidence needed to act on AI-generated recommendations that diverge from established chemical intuition.</w:t>
      </w:r>
    </w:p>
    <w:p w:rsidR="00E47856" w:rsidRDefault="00142685">
      <w:pPr>
        <w:spacing w:after="180" w:line="360" w:lineRule="auto"/>
        <w:jc w:val="both"/>
      </w:pPr>
      <w:r>
        <w:t xml:space="preserve">The field of explainable artificial intelligence seeks to address this challenge through the development of methods that produce human-interpretable explanations for AI model predictions. Techniques such as gradient-weighted class activation mapping, attention weight </w:t>
      </w:r>
      <w:r>
        <w:lastRenderedPageBreak/>
        <w:t>visualisation, integrated gradients, and SHAP (SHapley Additive exPlanations) values have been adapted for molecular property prediction, enabling the identification of atomic substructures that drive model predictions (Jiménez-Luna et al., 2020). Such attribution methods can reveal pharmacophoric motifs, structural alerts, and chemical scaffolds that underlie predicted activities, providing a bridge between deep learning outputs and the chemical intuition of expert medicinal chemists. The integration of explainability methods into molecular design workflows thus serves a dual purpose: enabling the extraction of chemical knowledge from AI models and building the human trust necessary for their adoption in practice.</w:t>
      </w:r>
    </w:p>
    <w:p w:rsidR="00E47856" w:rsidRDefault="00142685">
      <w:pPr>
        <w:spacing w:after="180" w:line="360" w:lineRule="auto"/>
        <w:jc w:val="both"/>
      </w:pPr>
      <w:r>
        <w:t>Model applicability domain—the chemical space within which a model's predictions can be considered reliable—is a critical concept for QSAR and AI models in pharmaceutical research that is frequently overlooked or inadequately characterised. A model trained predominantly on kinase inhibitors may produce unreliable predictions when applied to G-protein-coupled receptor agonists that are structurally remote from the training set (Tropsha, 2010). Robust applicability domain estimation methods, which flag predictions for compounds falling outside the training distribution, are essential components of responsible AI deployment in drug discovery. Bender and Cortés-Ciriano (2021) extended this argument, drawing attention to the persistent gap between headline claims and practical utility in pharmaceutical AI, and urging the field to adopt more rigorous standards of prospective validation and critical reporting that acknowledge the limitations of retrospective benchmark performance.</w:t>
      </w:r>
    </w:p>
    <w:p w:rsidR="00E47856" w:rsidRDefault="00142685">
      <w:pPr>
        <w:pStyle w:val="Heading1"/>
      </w:pPr>
      <w:r>
        <w:t>12. Regulatory and Ethical Considerations</w:t>
      </w:r>
    </w:p>
    <w:p w:rsidR="00E47856" w:rsidRDefault="00142685">
      <w:pPr>
        <w:spacing w:after="180" w:line="360" w:lineRule="auto"/>
        <w:jc w:val="both"/>
      </w:pPr>
      <w:r>
        <w:t>The deployment of AI in drug discovery and development intersects with a complex regulatory landscape that is still adapting to the pace of technological change. Regulatory agencies including the European Medicines Agency and the United States Food and Drug Administration have issued guidance documents and discussion papers addressing the use of AI and ML in medical product development, reflecting growing awareness of both the potential benefits and the novel risks associated with these technologies. The central regulatory challenge is to ensure that AI-derived evidence meets standards of scientific validity, reproducibility, and transparency comparable to those applied to conventional experimental approaches, whilst recognising that traditional validation paradigms were not designed with AI-generated data in mind.</w:t>
      </w:r>
    </w:p>
    <w:p w:rsidR="00E47856" w:rsidRDefault="00142685">
      <w:pPr>
        <w:spacing w:after="180" w:line="360" w:lineRule="auto"/>
        <w:jc w:val="both"/>
      </w:pPr>
      <w:r>
        <w:lastRenderedPageBreak/>
        <w:t>In the context of drug discovery, regulatory concern focuses primarily on the use of AI-generated data to support regulatory submissions—for example, the use of in silico ADMET models in lieu of or to supplement traditional in vitro and in vivo studies. Whilst regulators have expressed interest in reducing unnecessary animal testing through qualified in silico approaches, the scientific validation requirements for such models are stringent and standardised frameworks for their evaluation are still being developed (Schneider et al., 2020). The integration of AI into the drug discovery process demands new modes of validation that go beyond retrospective benchmark performance to demonstrate genuine prospective utility in novel chemical series and previously uncharacterised target contexts. The development of shared validation benchmarks, open test sets, and community challenges analogous to those used in structural biology is an important step towards establishing credible standards.</w:t>
      </w:r>
    </w:p>
    <w:p w:rsidR="00E47856" w:rsidRDefault="00142685">
      <w:pPr>
        <w:spacing w:after="180" w:line="360" w:lineRule="auto"/>
        <w:jc w:val="both"/>
      </w:pPr>
      <w:r>
        <w:t>Ethical considerations in AI-driven drug discovery encompass questions of algorithmic bias, data ownership and privacy, equitable access to AI-enabled therapeutics, and the accountability of decision-making systems that influence research priorities and resource allocation. Training datasets for AI models in drug discovery are frequently derived from proprietary pharmaceutical databases or from public datasets that may not adequately represent the diversity of human populations or disease phenotypes of global health relevance. Models trained on such datasets risk perpetuating existing research biases, directing AI-driven discovery disproportionately towards indications with large commercially viable patient populations in high-income settings. Bender and Cortés-Ciriano (2021) drew attention to this gap between headline claims and practical utility, urging the field to adopt more rigorous standards of prospective validation, critical reporting, and explicit acknowledgement of the societal implications of prioritisation decisions embedded in AI research pipelines.</w:t>
      </w:r>
    </w:p>
    <w:p w:rsidR="00E47856" w:rsidRDefault="00142685">
      <w:pPr>
        <w:pStyle w:val="Heading1"/>
      </w:pPr>
      <w:r>
        <w:t>13. Future Directions and Emerging Paradigms</w:t>
      </w:r>
    </w:p>
    <w:p w:rsidR="00E47856" w:rsidRDefault="00142685">
      <w:pPr>
        <w:spacing w:after="180" w:line="360" w:lineRule="auto"/>
        <w:jc w:val="both"/>
      </w:pPr>
      <w:r>
        <w:t xml:space="preserve">The trajectory of AI in drug discovery points towards several convergent developments likely to define the field over the coming decade. The continued expansion of high-quality training datasets, driven by advances in high-throughput experimentation, single-cell profiling, cryo-electron microscopy, and clinical genomics, will provide the fuel for increasingly accurate and generalisable predictive models. The development of foundation models for molecular biology </w:t>
      </w:r>
      <w:r>
        <w:lastRenderedPageBreak/>
        <w:t>and chemistry—large-scale pre-trained models analogous to transformer-based language models—is already underway, with early exemplars demonstrating striking few-shot learning capability for molecular property prediction, protein function annotation, and chemical synthesis planning (Schneider et al., 2020). These foundation models, trained on billions of molecular and biological data points, are expected to generalise across chemical and biological domains in ways that narrow task-specific models cannot.</w:t>
      </w:r>
    </w:p>
    <w:p w:rsidR="00E47856" w:rsidRDefault="00142685">
      <w:pPr>
        <w:spacing w:after="180" w:line="360" w:lineRule="auto"/>
        <w:jc w:val="both"/>
      </w:pPr>
      <w:r>
        <w:t>AI-enabled synthesis planning, which seeks to automate or augment the identification of viable synthetic routes to target compounds, represents a critical bottleneck whose resolution would substantially accelerate the translation of computational design to physical molecules. Segler et al. (2018) demonstrated that a deep learning model trained on millions of reported chemical reactions could propose retrosynthetic pathways for novel compounds with accuracy approaching that of expert chemists, suggesting that AI-assisted synthesis planning is already approaching practical utility in medicinal chemistry workflows. The coupling of AI synthesis planning with automated robotic synthesis platforms creates the prospect of closed-loop, fully autonomous molecular optimisation cycles in which computational design, robotic synthesis, analytical characterisation, and biological testing are integrated without manual intervention—a paradigm that could compress the lead optimisation cycle from months to days.</w:t>
      </w:r>
    </w:p>
    <w:p w:rsidR="00E47856" w:rsidRDefault="00142685">
      <w:pPr>
        <w:spacing w:after="180" w:line="360" w:lineRule="auto"/>
        <w:jc w:val="both"/>
      </w:pPr>
      <w:r>
        <w:t>Multi-scale modelling, which combines quantum mechanical calculations, molecular dynamics simulations, and AI-based property prediction into integrated computational workflows, is likely to improve the accuracy of binding affinity and selectivity predictions, particularly for challenging target classes such as allosteric sites, protein–protein interaction interfaces, and covalent targets. The integration of structural dynamics—the recognition that proteins exist as ensembles of conformational states rather than single static structures—into AI design pipelines is a further frontier, as most current deep learning models operate on single-conformation representations of targets that may inadequately capture the dynamic nature of molecular recognition. AI models capable of reasoning about conformational ensembles and induced-fit binding phenomena will be required to address these challenges.</w:t>
      </w:r>
    </w:p>
    <w:p w:rsidR="00E47856" w:rsidRDefault="00142685">
      <w:pPr>
        <w:spacing w:after="180" w:line="360" w:lineRule="auto"/>
        <w:jc w:val="both"/>
      </w:pPr>
      <w:r>
        <w:t xml:space="preserve">The democratisation of AI tools through open-source software, public data repositories, and cloud-based computational platforms is lowering barriers to entry for academic research groups and smaller biotechnology companies, fostering a more collaborative and diverse innovation </w:t>
      </w:r>
      <w:r>
        <w:lastRenderedPageBreak/>
        <w:t>ecosystem. Landmark initiatives such as the Open Targets platform, the ChEMBL database, and the AlphaFold Protein Structure Database have already demonstrated the transformative impact of open data on the pace of discovery. As AI tools become more accessible and the community develops shared standards for model reporting and validation, the reproducibility and cumulative scientific value of pharmaceutical AI research are likely to improve substantially, delivering benefits that extend well beyond the resources of the major pharmaceutical companies currently leading commercial investment in the field.</w:t>
      </w:r>
    </w:p>
    <w:p w:rsidR="00E47856" w:rsidRDefault="00142685">
      <w:pPr>
        <w:pStyle w:val="Heading1"/>
      </w:pPr>
      <w:r>
        <w:t>14. Conclusions</w:t>
      </w:r>
    </w:p>
    <w:p w:rsidR="00E47856" w:rsidRDefault="00142685">
      <w:pPr>
        <w:spacing w:after="180" w:line="360" w:lineRule="auto"/>
        <w:jc w:val="both"/>
      </w:pPr>
      <w:r>
        <w:t>Artificial intelligence has transitioned from a speculative aspiration to an operational reality in pharmaceutical drug discovery within the span of a decade. The convergence of unprecedented computational power, large-scale biological and chemical datasets, and methodological advances in deep learning has enabled AI applications that were inconceivable only a generation ago. AlphaFold2 has democratised access to protein structural information, removing a longstanding bottleneck in structure-based drug design. Generative AI models are proposing novel chemical matter at a pace and diversity that dwarfs traditional screening approaches. Deep learning ADMET predictors are enabling earlier and more rational elimination of pharmacokinetic and toxicological liabilities. Drug repurposing networks are systematically mining existing knowledge to identify new therapeutic opportunities. Clinical trial AI is beginning to transform patient selection, endpoint definition, and adaptive design in ways that promise to improve the efficiency and success rate of drug development.</w:t>
      </w:r>
    </w:p>
    <w:p w:rsidR="00E47856" w:rsidRDefault="00142685">
      <w:pPr>
        <w:spacing w:after="180" w:line="360" w:lineRule="auto"/>
        <w:jc w:val="both"/>
      </w:pPr>
      <w:r>
        <w:t xml:space="preserve">Notwithstanding these advances, the field must resist the overstatement of current capabilities and maintain a commitment to rigorous scientific standards. The translation of computational predictions to clinical outcomes remains the ultimate arbiter of value, and this translation gap is wide. The challenges of data quality and bias, model interpretability, applicability domain estimation, and regulatory acceptance are not yet resolved, and the community has a collective responsibility to report failures as transparently as successes. The promise of AI-driven drug discovery will only be fully realised through sustained interdisciplinary collaboration between computational scientists, medicinal chemists, pharmacologists, clinicians, regulatory scientists, and ethicists, underpinned by open data sharing, transparent reporting standards, and rigorous </w:t>
      </w:r>
      <w:r>
        <w:lastRenderedPageBreak/>
        <w:t>prospective experimental validation. The potential reward—more effective therapeutics delivered more rapidly and at lower cost to patients worldwide—justifies the continued investment of scientific talent and institutional resources in this remarkable field.</w:t>
      </w:r>
    </w:p>
    <w:p w:rsidR="00E47856" w:rsidRDefault="00142685">
      <w:pPr>
        <w:pStyle w:val="Heading1"/>
      </w:pPr>
      <w:r>
        <w:t>15. Limitations</w:t>
      </w:r>
    </w:p>
    <w:p w:rsidR="00E47856" w:rsidRDefault="00142685">
      <w:pPr>
        <w:spacing w:after="180" w:line="360" w:lineRule="auto"/>
        <w:jc w:val="both"/>
      </w:pPr>
      <w:r>
        <w:t>This review has several important limitations that should be acknowledged by readers. As a narrative rather than systematic review, it is subject to the inherent selectivity of the literature synthesis process, and the coverage of individual topics reflects authorial judgement regarding the most scientifically significant contributions rather than a systematic or exhaustive inventory of the field. The breadth of the subject matter necessitates a degree of compression in the treatment of individual topics that may sacrifice technical nuance in favour of conceptual clarity. The AI-driven drug discovery landscape is evolving at exceptional speed, and developments occurring in the interval between literature search and publication may not be fully captured in the review. Commercial interests, publication bias towards positive results, and the limited availability of prospective validation data for many AI approaches represent limitations of the underlying literature rather than of this review alone, but they nonetheless constrain the conclusions that can be drawn. Finally, whilst every effort has been made to verify reference metadata and digital object identifiers, the possibility of inadvertent errors in citation cannot be entirely excluded given the scope and breadth of the reference list.</w:t>
      </w:r>
    </w:p>
    <w:p w:rsidR="00E47856" w:rsidRDefault="00E47856">
      <w:pPr>
        <w:spacing w:after="80"/>
      </w:pPr>
    </w:p>
    <w:p w:rsidR="00E47856" w:rsidRDefault="00E47856">
      <w:pPr>
        <w:spacing w:after="80"/>
      </w:pPr>
    </w:p>
    <w:p w:rsidR="00E47856" w:rsidRDefault="00142685">
      <w:pPr>
        <w:spacing w:before="400" w:after="240"/>
      </w:pPr>
      <w:r>
        <w:rPr>
          <w:rFonts w:ascii="Arial" w:eastAsia="Arial" w:hAnsi="Arial" w:cs="Arial"/>
          <w:b/>
          <w:bCs/>
          <w:sz w:val="32"/>
          <w:szCs w:val="32"/>
        </w:rPr>
        <w:t>References</w:t>
      </w:r>
    </w:p>
    <w:p w:rsidR="00E47856" w:rsidRDefault="00142685">
      <w:pPr>
        <w:spacing w:after="160" w:line="360" w:lineRule="auto"/>
        <w:ind w:left="720" w:hanging="720"/>
        <w:jc w:val="both"/>
      </w:pPr>
      <w:r>
        <w:rPr>
          <w:sz w:val="22"/>
          <w:szCs w:val="22"/>
        </w:rPr>
        <w:t>Aliper, A., Plis, S., Artemov, A., Ulloa, A., Mamoshina, P., &amp; Zhavoronkov, A. (2016). Deep learning applications for predicting pharmacological properties of drugs and drug repurposing using transcriptomic data. Molecular Pharmaceutics, 13(7), 2524–2530. https://doi.org/10.1021/acs.molpharmaceut.6b00248</w:t>
      </w:r>
    </w:p>
    <w:p w:rsidR="00E47856" w:rsidRDefault="00E47856">
      <w:pPr>
        <w:spacing w:after="80"/>
      </w:pPr>
    </w:p>
    <w:p w:rsidR="00E47856" w:rsidRDefault="00142685">
      <w:pPr>
        <w:spacing w:after="160" w:line="360" w:lineRule="auto"/>
        <w:ind w:left="720" w:hanging="720"/>
        <w:jc w:val="both"/>
      </w:pPr>
      <w:r>
        <w:rPr>
          <w:sz w:val="22"/>
          <w:szCs w:val="22"/>
        </w:rPr>
        <w:t>Bender, A., &amp; Cortés-Ciriano, I. (2021). Artificial intelligence in drug discovery: What is realistic, what are illusions? Part 1: Ways to make an impact, and why we are not there yet. Drug Discovery Today, 26(2), 511–524. https://doi.org/10.1016/j.drudis.2020.12.009</w:t>
      </w:r>
    </w:p>
    <w:p w:rsidR="00E47856" w:rsidRDefault="00E47856">
      <w:pPr>
        <w:spacing w:after="80"/>
      </w:pPr>
    </w:p>
    <w:p w:rsidR="00E47856" w:rsidRDefault="00142685">
      <w:pPr>
        <w:spacing w:after="160" w:line="360" w:lineRule="auto"/>
        <w:ind w:left="720" w:hanging="720"/>
        <w:jc w:val="both"/>
      </w:pPr>
      <w:r>
        <w:rPr>
          <w:sz w:val="22"/>
          <w:szCs w:val="22"/>
        </w:rPr>
        <w:t>Chen, H., Engkvist, O., Wang, Y., Olivecrona, M., &amp; Blaschke, T. (2018). The rise of deep learning in drug discovery. Drug Discovery Today, 23(6), 1241–1250. https://doi.org/10.1016/j.drudis.2018.01.039</w:t>
      </w:r>
    </w:p>
    <w:p w:rsidR="00E47856" w:rsidRDefault="00E47856">
      <w:pPr>
        <w:spacing w:after="80"/>
      </w:pPr>
    </w:p>
    <w:p w:rsidR="00E47856" w:rsidRDefault="00142685">
      <w:pPr>
        <w:spacing w:after="160" w:line="360" w:lineRule="auto"/>
        <w:ind w:left="720" w:hanging="720"/>
        <w:jc w:val="both"/>
      </w:pPr>
      <w:r>
        <w:rPr>
          <w:sz w:val="22"/>
          <w:szCs w:val="22"/>
        </w:rPr>
        <w:t>Cheng, F., Li, W., Zhou, Y., Shen, J., Wu, Z., Liu, G., Lee, P. W., &amp; Tang, Y. (2012). admetSAR: A comprehensive source and free tool for assessment of chemical ADMET properties. Journal of Chemical Information and Modeling, 52(11), 3099–3105. https://doi.org/10.1021/ci300367a</w:t>
      </w:r>
    </w:p>
    <w:p w:rsidR="00E47856" w:rsidRDefault="00E47856">
      <w:pPr>
        <w:spacing w:after="80"/>
      </w:pPr>
    </w:p>
    <w:p w:rsidR="00E47856" w:rsidRDefault="00142685">
      <w:pPr>
        <w:spacing w:after="160" w:line="360" w:lineRule="auto"/>
        <w:ind w:left="720" w:hanging="720"/>
        <w:jc w:val="both"/>
      </w:pPr>
      <w:r>
        <w:rPr>
          <w:sz w:val="22"/>
          <w:szCs w:val="22"/>
        </w:rPr>
        <w:t>Dara, S., Dhamercherla, S., Jadav, S. S., Babu, C. M., &amp; Ahsan, M. J. (2022). Machine learning in drug discovery: A review. Artificial Intelligence Review, 55(3), 1947–1999. https://doi.org/10.1007/s10462-021-10058-4</w:t>
      </w:r>
    </w:p>
    <w:p w:rsidR="00E47856" w:rsidRDefault="00E47856">
      <w:pPr>
        <w:spacing w:after="80"/>
      </w:pPr>
    </w:p>
    <w:p w:rsidR="00E47856" w:rsidRDefault="00142685">
      <w:pPr>
        <w:spacing w:after="160" w:line="360" w:lineRule="auto"/>
        <w:ind w:left="720" w:hanging="720"/>
        <w:jc w:val="both"/>
      </w:pPr>
      <w:r>
        <w:rPr>
          <w:sz w:val="22"/>
          <w:szCs w:val="22"/>
        </w:rPr>
        <w:t>DiMasi, J. A., Grabowski, H. G., &amp; Hansen, R. W. (2016). Innovation in the pharmaceutical industry: New estimates of R&amp;D costs. Journal of Health Economics, 47, 20–33. https://doi.org/10.1016/j.jhealeco.2016.01.012</w:t>
      </w:r>
    </w:p>
    <w:p w:rsidR="00E47856" w:rsidRDefault="00E47856">
      <w:pPr>
        <w:spacing w:after="80"/>
      </w:pPr>
    </w:p>
    <w:p w:rsidR="00E47856" w:rsidRDefault="00142685">
      <w:pPr>
        <w:spacing w:after="160" w:line="360" w:lineRule="auto"/>
        <w:ind w:left="720" w:hanging="720"/>
        <w:jc w:val="both"/>
      </w:pPr>
      <w:r>
        <w:rPr>
          <w:sz w:val="22"/>
          <w:szCs w:val="22"/>
        </w:rPr>
        <w:t>Gawehn, E., Hiss, J. A., &amp; Schneider, G. (2016). Deep learning in drug discovery. Molecular Informatics, 35(1), 3–14. https://doi.org/10.1002/minf.201501008</w:t>
      </w:r>
    </w:p>
    <w:p w:rsidR="00E47856" w:rsidRDefault="00E47856">
      <w:pPr>
        <w:spacing w:after="80"/>
      </w:pPr>
    </w:p>
    <w:p w:rsidR="00E47856" w:rsidRDefault="00142685">
      <w:pPr>
        <w:spacing w:after="160" w:line="360" w:lineRule="auto"/>
        <w:ind w:left="720" w:hanging="720"/>
        <w:jc w:val="both"/>
      </w:pPr>
      <w:r>
        <w:rPr>
          <w:sz w:val="22"/>
          <w:szCs w:val="22"/>
        </w:rPr>
        <w:t>Gómez-Bombarelli, R., Wei, J. N., Duvenaud, D., Hernández-Lobato, J. M., Sánchez-Lengeling, B., Reif, D., Hirzel, A., Adams, R. P., &amp; Aspuru-Guzik, A. (2018). Automatic chemical design using a data-driven continuous representation of molecules. ACS Central Science, 4(2), 268–276. https://doi.org/10.1021/acscentsci.7b00572</w:t>
      </w:r>
    </w:p>
    <w:p w:rsidR="00E47856" w:rsidRDefault="00E47856">
      <w:pPr>
        <w:spacing w:after="80"/>
      </w:pPr>
    </w:p>
    <w:p w:rsidR="00E47856" w:rsidRDefault="00142685">
      <w:pPr>
        <w:spacing w:after="160" w:line="360" w:lineRule="auto"/>
        <w:ind w:left="720" w:hanging="720"/>
        <w:jc w:val="both"/>
      </w:pPr>
      <w:r>
        <w:rPr>
          <w:sz w:val="22"/>
          <w:szCs w:val="22"/>
        </w:rPr>
        <w:t>Harrer, S., Shah, P., Antony, B., &amp; Hu, J. (2019). Artificial intelligence for clinical trial design. Trends in Pharmacological Sciences, 40(8), 577–591. https://doi.org/10.1016/j.tips.2019.05.005</w:t>
      </w:r>
    </w:p>
    <w:p w:rsidR="00E47856" w:rsidRDefault="00E47856">
      <w:pPr>
        <w:spacing w:after="80"/>
      </w:pPr>
    </w:p>
    <w:p w:rsidR="00E47856" w:rsidRDefault="00142685">
      <w:pPr>
        <w:spacing w:after="160" w:line="360" w:lineRule="auto"/>
        <w:ind w:left="720" w:hanging="720"/>
        <w:jc w:val="both"/>
      </w:pPr>
      <w:r>
        <w:rPr>
          <w:sz w:val="22"/>
          <w:szCs w:val="22"/>
        </w:rPr>
        <w:t>Jiménez-Luna, J., Grisoni, F., &amp; Schneider, G. (2020). Drug discovery with explainable artificial intelligence. Nature Machine Intelligence, 2(10), 573–584. https://doi.org/10.1038/s42256-020-00236-4</w:t>
      </w:r>
    </w:p>
    <w:p w:rsidR="00E47856" w:rsidRDefault="00E47856">
      <w:pPr>
        <w:spacing w:after="80"/>
      </w:pPr>
    </w:p>
    <w:p w:rsidR="00E47856" w:rsidRDefault="00142685">
      <w:pPr>
        <w:spacing w:after="160" w:line="360" w:lineRule="auto"/>
        <w:ind w:left="720" w:hanging="720"/>
        <w:jc w:val="both"/>
      </w:pPr>
      <w:r>
        <w:rPr>
          <w:sz w:val="22"/>
          <w:szCs w:val="22"/>
        </w:rPr>
        <w:t>Jumper, J., Evans, R., Pritzel, A., Green, T., Figurnov, M., Ronneberger, O., Tunyasuvunakool, K., Bates, R., Žídek, A., Potapenko, A., Bridgland, A., Meyer, C., Kohl, S. A. A., Ballard, A. J., Cowie, A., Romera-Paredes, B., Nikolov, S., Jain, R., Adler, J., … Hassabis, D. (2021). Highly accurate protein structure prediction with AlphaFold. Nature, 596(7873), 583–589. https://doi.org/10.1038/s41586-021-03819-2</w:t>
      </w:r>
    </w:p>
    <w:p w:rsidR="00E47856" w:rsidRDefault="00E47856">
      <w:pPr>
        <w:spacing w:after="80"/>
      </w:pPr>
    </w:p>
    <w:p w:rsidR="00E47856" w:rsidRDefault="00142685">
      <w:pPr>
        <w:spacing w:after="160" w:line="360" w:lineRule="auto"/>
        <w:ind w:left="720" w:hanging="720"/>
        <w:jc w:val="both"/>
      </w:pPr>
      <w:r>
        <w:rPr>
          <w:sz w:val="22"/>
          <w:szCs w:val="22"/>
        </w:rPr>
        <w:t>Lavecchia, A. (2015). Machine-learning approaches in drug discovery: Methods and applications. Drug Discovery Today, 20(3), 318–331. https://doi.org/10.1016/j.drudis.2014.10.012</w:t>
      </w:r>
    </w:p>
    <w:p w:rsidR="00E47856" w:rsidRDefault="00E47856">
      <w:pPr>
        <w:spacing w:after="80"/>
      </w:pPr>
    </w:p>
    <w:p w:rsidR="00E47856" w:rsidRDefault="00142685">
      <w:pPr>
        <w:spacing w:after="160" w:line="360" w:lineRule="auto"/>
        <w:ind w:left="720" w:hanging="720"/>
        <w:jc w:val="both"/>
      </w:pPr>
      <w:r>
        <w:rPr>
          <w:sz w:val="22"/>
          <w:szCs w:val="22"/>
        </w:rPr>
        <w:t>Lipinski, C. A., Lombardo, F., Dominy, B. W., &amp; Feeney, P. J. (2001). Experimental and computational approaches to estimate solubility and permeability in drug discovery and development settings. Advanced Drug Delivery Reviews, 46(1–3), 3–26. https://doi.org/10.1016/S0169-409X(00)00129-0</w:t>
      </w:r>
    </w:p>
    <w:p w:rsidR="00E47856" w:rsidRDefault="00E47856">
      <w:pPr>
        <w:spacing w:after="80"/>
      </w:pPr>
    </w:p>
    <w:p w:rsidR="00E47856" w:rsidRDefault="00142685">
      <w:pPr>
        <w:spacing w:after="160" w:line="360" w:lineRule="auto"/>
        <w:ind w:left="720" w:hanging="720"/>
        <w:jc w:val="both"/>
      </w:pPr>
      <w:r>
        <w:rPr>
          <w:sz w:val="22"/>
          <w:szCs w:val="22"/>
        </w:rPr>
        <w:t>Lo, Y.-C., Rensi, S. E., Trunk, W., &amp; Altman, R. B. (2018). Machine learning in chemoinformatics and drug discovery. Drug Discovery Today, 23(8), 1538–1546. https://doi.org/10.1016/j.drudis.2018.05.010</w:t>
      </w:r>
    </w:p>
    <w:p w:rsidR="00E47856" w:rsidRDefault="00E47856">
      <w:pPr>
        <w:spacing w:after="80"/>
      </w:pPr>
    </w:p>
    <w:p w:rsidR="00E47856" w:rsidRDefault="00142685">
      <w:pPr>
        <w:spacing w:after="160" w:line="360" w:lineRule="auto"/>
        <w:ind w:left="720" w:hanging="720"/>
        <w:jc w:val="both"/>
      </w:pPr>
      <w:r>
        <w:rPr>
          <w:sz w:val="22"/>
          <w:szCs w:val="22"/>
        </w:rPr>
        <w:t>Lusci, A., Pollastri, G., &amp; Baldi, P. (2013). Deep architectures and deep learning in chemoinformatics: The prediction of aqueous solubility for drug-like molecules. Journal of Chemical Information and Modeling, 53(7), 1563–1575. https://doi.org/10.1021/ci400187y</w:t>
      </w:r>
    </w:p>
    <w:p w:rsidR="00E47856" w:rsidRDefault="00E47856">
      <w:pPr>
        <w:spacing w:after="80"/>
      </w:pPr>
    </w:p>
    <w:p w:rsidR="00E47856" w:rsidRDefault="00142685">
      <w:pPr>
        <w:spacing w:after="160" w:line="360" w:lineRule="auto"/>
        <w:ind w:left="720" w:hanging="720"/>
        <w:jc w:val="both"/>
      </w:pPr>
      <w:r>
        <w:rPr>
          <w:sz w:val="22"/>
          <w:szCs w:val="22"/>
        </w:rPr>
        <w:t>Merk, D., Friedrich, L., Grisoni, F., &amp; Schneider, G. (2018). De novo design of bioactive small molecules by artificial intelligence. Molecular Informatics, 37(1–2), 1700153. https://doi.org/10.1002/minf.201700153</w:t>
      </w:r>
    </w:p>
    <w:p w:rsidR="00E47856" w:rsidRDefault="00E47856">
      <w:pPr>
        <w:spacing w:after="80"/>
      </w:pPr>
    </w:p>
    <w:p w:rsidR="00E47856" w:rsidRDefault="00142685">
      <w:pPr>
        <w:spacing w:after="160" w:line="360" w:lineRule="auto"/>
        <w:ind w:left="720" w:hanging="720"/>
        <w:jc w:val="both"/>
      </w:pPr>
      <w:r>
        <w:rPr>
          <w:sz w:val="22"/>
          <w:szCs w:val="22"/>
        </w:rPr>
        <w:t>Moffat, J. G., Vincent, F., Lee, J. A., Eder, J., &amp; Prunotto, M. (2017). Opportunities and challenges in phenotypic drug discovery: An industry perspective. Nature Reviews Drug Discovery, 16(8), 531–543. https://doi.org/10.1038/nrd.2017.111</w:t>
      </w:r>
    </w:p>
    <w:p w:rsidR="00E47856" w:rsidRDefault="00E47856">
      <w:pPr>
        <w:spacing w:after="80"/>
      </w:pPr>
    </w:p>
    <w:p w:rsidR="00E47856" w:rsidRDefault="00142685">
      <w:pPr>
        <w:spacing w:after="160" w:line="360" w:lineRule="auto"/>
        <w:ind w:left="720" w:hanging="720"/>
        <w:jc w:val="both"/>
      </w:pPr>
      <w:r>
        <w:rPr>
          <w:sz w:val="22"/>
          <w:szCs w:val="22"/>
        </w:rPr>
        <w:lastRenderedPageBreak/>
        <w:t>Olivecrona, M., Blaschke, T., Engkvist, O., &amp; Chen, H. (2017). Molecular de-novo design through deep reinforcement learning. Journal of Cheminformatics, 9(1), 48. https://doi.org/10.1186/s13321-017-0235-x</w:t>
      </w:r>
    </w:p>
    <w:p w:rsidR="00E47856" w:rsidRDefault="00E47856">
      <w:pPr>
        <w:spacing w:after="80"/>
      </w:pPr>
    </w:p>
    <w:p w:rsidR="00E47856" w:rsidRDefault="00142685">
      <w:pPr>
        <w:spacing w:after="160" w:line="360" w:lineRule="auto"/>
        <w:ind w:left="720" w:hanging="720"/>
        <w:jc w:val="both"/>
      </w:pPr>
      <w:r>
        <w:rPr>
          <w:sz w:val="22"/>
          <w:szCs w:val="22"/>
        </w:rPr>
        <w:t>Öztürk, H., Özgür, A., &amp; Ozkirimli, E. (2018). DeepDTA: Deep drug–target binding affinity prediction. Bioinformatics, 34(17), i821–i829. https://doi.org/10.1093/bioinformatics/bty593</w:t>
      </w:r>
    </w:p>
    <w:p w:rsidR="00E47856" w:rsidRDefault="00E47856">
      <w:pPr>
        <w:spacing w:after="80"/>
      </w:pPr>
    </w:p>
    <w:p w:rsidR="00E47856" w:rsidRDefault="00142685">
      <w:pPr>
        <w:spacing w:after="160" w:line="360" w:lineRule="auto"/>
        <w:ind w:left="720" w:hanging="720"/>
        <w:jc w:val="both"/>
      </w:pPr>
      <w:r>
        <w:rPr>
          <w:sz w:val="22"/>
          <w:szCs w:val="22"/>
        </w:rPr>
        <w:t>Paul, S. M., Mytelka, D. S., Dunwiddie, C. T., Persinger, C. C., Munos, B. H., Lindborg, S. R., &amp; Schacht, A. L. (2010). How to improve R&amp;D productivity: The pharmaceutical industry's grand challenge. Nature Reviews Drug Discovery, 9(3), 203–214. https://doi.org/10.1038/nrd3078</w:t>
      </w:r>
    </w:p>
    <w:p w:rsidR="00E47856" w:rsidRDefault="00E47856">
      <w:pPr>
        <w:spacing w:after="80"/>
      </w:pPr>
    </w:p>
    <w:p w:rsidR="00E47856" w:rsidRDefault="00142685">
      <w:pPr>
        <w:spacing w:after="160" w:line="360" w:lineRule="auto"/>
        <w:ind w:left="720" w:hanging="720"/>
        <w:jc w:val="both"/>
      </w:pPr>
      <w:r>
        <w:rPr>
          <w:sz w:val="22"/>
          <w:szCs w:val="22"/>
        </w:rPr>
        <w:t>Popova, M., Isayev, O., &amp; Tropsha, A. (2018). Deep reinforcement learning for de novo drug design. Science Advances, 4(7), eaap7885. https://doi.org/10.1126/sciadv.aap7885</w:t>
      </w:r>
    </w:p>
    <w:p w:rsidR="00E47856" w:rsidRDefault="00E47856">
      <w:pPr>
        <w:spacing w:after="80"/>
      </w:pPr>
    </w:p>
    <w:p w:rsidR="00E47856" w:rsidRDefault="00142685">
      <w:pPr>
        <w:spacing w:after="160" w:line="360" w:lineRule="auto"/>
        <w:ind w:left="720" w:hanging="720"/>
        <w:jc w:val="both"/>
      </w:pPr>
      <w:r>
        <w:rPr>
          <w:sz w:val="22"/>
          <w:szCs w:val="22"/>
        </w:rPr>
        <w:t>Reymond, J.-L. (2015). The chemical space project. Accounts of Chemical Research, 48(3), 722–730. https://doi.org/10.1021/ar500432k</w:t>
      </w:r>
    </w:p>
    <w:p w:rsidR="00E47856" w:rsidRDefault="00E47856">
      <w:pPr>
        <w:spacing w:after="80"/>
      </w:pPr>
    </w:p>
    <w:p w:rsidR="00E47856" w:rsidRDefault="00142685">
      <w:pPr>
        <w:spacing w:after="160" w:line="360" w:lineRule="auto"/>
        <w:ind w:left="720" w:hanging="720"/>
        <w:jc w:val="both"/>
      </w:pPr>
      <w:r>
        <w:rPr>
          <w:sz w:val="22"/>
          <w:szCs w:val="22"/>
        </w:rPr>
        <w:t>Rifaioglu, A. S., Atas, H., Martin, M. J., Cetin-Atalay, R., Doğan, T., &amp; Atalay, V. (2019). Recent applications of deep learning and machine intelligence on in silico drug discovery: Methods, tools and databases. Briefings in Bioinformatics, 20(5), 1878–1912. https://doi.org/10.1093/bib/bby061</w:t>
      </w:r>
    </w:p>
    <w:p w:rsidR="00E47856" w:rsidRDefault="00E47856">
      <w:pPr>
        <w:spacing w:after="80"/>
      </w:pPr>
    </w:p>
    <w:p w:rsidR="00E47856" w:rsidRDefault="00142685">
      <w:pPr>
        <w:spacing w:after="160" w:line="360" w:lineRule="auto"/>
        <w:ind w:left="720" w:hanging="720"/>
        <w:jc w:val="both"/>
      </w:pPr>
      <w:r>
        <w:rPr>
          <w:sz w:val="22"/>
          <w:szCs w:val="22"/>
        </w:rPr>
        <w:t>Schneider, G., &amp; Fechner, U. (2005). Computer-based de novo design of drug-like molecules. Nature Reviews Drug Discovery, 4(8), 649–663. https://doi.org/10.1038/nrd1799</w:t>
      </w:r>
    </w:p>
    <w:p w:rsidR="00E47856" w:rsidRDefault="00E47856">
      <w:pPr>
        <w:spacing w:after="80"/>
      </w:pPr>
    </w:p>
    <w:p w:rsidR="00E47856" w:rsidRDefault="00142685">
      <w:pPr>
        <w:spacing w:after="160" w:line="360" w:lineRule="auto"/>
        <w:ind w:left="720" w:hanging="720"/>
        <w:jc w:val="both"/>
      </w:pPr>
      <w:r>
        <w:rPr>
          <w:sz w:val="22"/>
          <w:szCs w:val="22"/>
        </w:rPr>
        <w:t>Schneider, P., Walters, W. P., Plowright, A. T., Sieroka, N., Listgarten, J., Goodnow, R. A., Jr., Fisher, J., Jansen, J. M., Duca, J. S., Rush, T. S., Zentgraf, M., Hill, J. E., Krutoholow, E., Kohler, M., Blaney, J., Funatsu, K., Luebkemann, C., &amp; Schneider, G. (2020). Rethinking drug design in the artificial intelligence era. Nature Reviews Drug Discovery, 19(5), 353–364. https://doi.org/10.1038/s41573-019-0050-3</w:t>
      </w:r>
    </w:p>
    <w:p w:rsidR="00E47856" w:rsidRDefault="00E47856">
      <w:pPr>
        <w:spacing w:after="80"/>
      </w:pPr>
    </w:p>
    <w:p w:rsidR="00E47856" w:rsidRDefault="00142685">
      <w:pPr>
        <w:spacing w:after="160" w:line="360" w:lineRule="auto"/>
        <w:ind w:left="720" w:hanging="720"/>
        <w:jc w:val="both"/>
      </w:pPr>
      <w:r>
        <w:rPr>
          <w:sz w:val="22"/>
          <w:szCs w:val="22"/>
        </w:rPr>
        <w:lastRenderedPageBreak/>
        <w:t>Segler, M. H. S., Preuss, M., &amp; Waller, M. P. (2018). Planning chemical syntheses with deep neural networks and symbolic AI. Nature, 555(7698), 604–610. https://doi.org/10.1038/nature25978</w:t>
      </w:r>
    </w:p>
    <w:p w:rsidR="00E47856" w:rsidRDefault="00E47856">
      <w:pPr>
        <w:spacing w:after="80"/>
      </w:pPr>
    </w:p>
    <w:p w:rsidR="00E47856" w:rsidRDefault="00142685">
      <w:pPr>
        <w:spacing w:after="160" w:line="360" w:lineRule="auto"/>
        <w:ind w:left="720" w:hanging="720"/>
        <w:jc w:val="both"/>
      </w:pPr>
      <w:r>
        <w:rPr>
          <w:sz w:val="22"/>
          <w:szCs w:val="22"/>
        </w:rPr>
        <w:t>Senior, A. W., Evans, R., Jumper, J., Kirkpatrick, J., Sifre, L., Green, T., Qin, C., Žídek, A., Nelson, A. W. R., Bridgland, A., Penedones, H., Petersen, S., Simonyan, K., Crossan, S., Kohli, P., Jones, D. T., Silver, D., Kavukcuoglu, K., &amp; Hassabis, D. (2020). Improved protein structure prediction using potentials from deep learning. Nature, 577(7792), 706–710. https://doi.org/10.1038/s41586-019-1923-7</w:t>
      </w:r>
    </w:p>
    <w:p w:rsidR="00E47856" w:rsidRDefault="00E47856">
      <w:pPr>
        <w:spacing w:after="80"/>
      </w:pPr>
    </w:p>
    <w:p w:rsidR="00E47856" w:rsidRDefault="00142685">
      <w:pPr>
        <w:spacing w:after="160" w:line="360" w:lineRule="auto"/>
        <w:ind w:left="720" w:hanging="720"/>
        <w:jc w:val="both"/>
      </w:pPr>
      <w:r>
        <w:rPr>
          <w:sz w:val="22"/>
          <w:szCs w:val="22"/>
        </w:rPr>
        <w:t>Stokes, J. M., Yang, K., Swanson, K., Jin, W., Cubillos-Ruiz, A., Donghia, N. M., MacNair, C. R., French, S., Carfrae, L. A., Bloom-Ackermann, Z., Tran, V. M., Chiappino-Pepe, A., Badran, A. H., Andrews, I. W., Chory, E. J., Church, G. M., Brown, E. D., Jaakkola, T. S., Barzilay, R., &amp; Collins, J. J. (2020). A deep learning approach to antibiotic discovery. Cell, 180(4), 688–702.e13. https://doi.org/10.1016/j.cell.2020.01.021</w:t>
      </w:r>
    </w:p>
    <w:p w:rsidR="00E47856" w:rsidRDefault="00E47856">
      <w:pPr>
        <w:spacing w:after="80"/>
      </w:pPr>
    </w:p>
    <w:p w:rsidR="00E47856" w:rsidRDefault="00142685">
      <w:pPr>
        <w:spacing w:after="160" w:line="360" w:lineRule="auto"/>
        <w:ind w:left="720" w:hanging="720"/>
        <w:jc w:val="both"/>
      </w:pPr>
      <w:r>
        <w:rPr>
          <w:sz w:val="22"/>
          <w:szCs w:val="22"/>
        </w:rPr>
        <w:t>Tropsha, A. (2010). Best practices for QSAR model validation. Molecular Informatics, 29(6–7), 476–488. https://doi.org/10.1002/minf.201000061</w:t>
      </w:r>
    </w:p>
    <w:p w:rsidR="00E47856" w:rsidRDefault="00E47856">
      <w:pPr>
        <w:spacing w:after="80"/>
      </w:pPr>
    </w:p>
    <w:p w:rsidR="00E47856" w:rsidRDefault="00142685">
      <w:pPr>
        <w:spacing w:after="160" w:line="360" w:lineRule="auto"/>
        <w:ind w:left="720" w:hanging="720"/>
        <w:jc w:val="both"/>
      </w:pPr>
      <w:r>
        <w:rPr>
          <w:sz w:val="22"/>
          <w:szCs w:val="22"/>
        </w:rPr>
        <w:t>Vamathevan, J., Clark, D., Czodrowski, P., Dunham, I., Ferran, E., Lee, G., Li, B., Madabhushi, A., Shah, P., Spitzer, M., &amp; Zhao, S. (2019). Applications of machine learning in drug discovery and development. Nature Reviews Drug Discovery, 18(6), 463–477. https://doi.org/10.1038/s41573-019-0024-5</w:t>
      </w:r>
    </w:p>
    <w:p w:rsidR="00E47856" w:rsidRDefault="00E47856">
      <w:pPr>
        <w:spacing w:after="80"/>
      </w:pPr>
    </w:p>
    <w:p w:rsidR="00E47856" w:rsidRDefault="00142685">
      <w:pPr>
        <w:spacing w:after="160" w:line="360" w:lineRule="auto"/>
        <w:ind w:left="720" w:hanging="720"/>
        <w:jc w:val="both"/>
      </w:pPr>
      <w:r>
        <w:rPr>
          <w:sz w:val="22"/>
          <w:szCs w:val="22"/>
        </w:rPr>
        <w:t>Yang, K., Swanson, K., Jin, W., Coley, C., Eiden, P., Gao, H., Guzman-Perez, A., Hopper, T., Kelley, B., Mathea, M., Palmer, A., Settels, V., Jaakkola, T., Jensen, K., &amp; Barzilay, R. (2019). Analyzing learned molecular representations for property prediction. Journal of Chemical Information and Modeling, 59(8), 3370–3388. https://doi.org/10.1021/acs.jcim.9b00237</w:t>
      </w:r>
    </w:p>
    <w:p w:rsidR="00E47856" w:rsidRDefault="00E47856">
      <w:pPr>
        <w:spacing w:after="80"/>
      </w:pPr>
    </w:p>
    <w:p w:rsidR="00E47856" w:rsidRDefault="00142685">
      <w:pPr>
        <w:spacing w:after="160" w:line="360" w:lineRule="auto"/>
        <w:ind w:left="720" w:hanging="720"/>
        <w:jc w:val="both"/>
      </w:pPr>
      <w:r>
        <w:rPr>
          <w:sz w:val="22"/>
          <w:szCs w:val="22"/>
        </w:rPr>
        <w:t xml:space="preserve">Zhavoronkov, A., Ivanenkov, Y. A., Aliper, A., Veselov, M. S., Aladinskiy, V. A., Aladinskaya, A. V., Terentiev, V. A., Polykovskiy, D. A., Kuznetsov, M. D., Asadulaev, A., Volkov, Y., Zholus, A., Shayakhmetov, R. R., Zhebrak, A., Minaeva, L. I., Zagribelnyy, B. A., Lee, L. H., Soll, R., Madge, D., … Aspuru-Guzik, A. (2019). Deep learning enables rapid identification of potent </w:t>
      </w:r>
      <w:r>
        <w:rPr>
          <w:sz w:val="22"/>
          <w:szCs w:val="22"/>
        </w:rPr>
        <w:lastRenderedPageBreak/>
        <w:t>DDR1 kinase inhibitors. Nature Biotechnology, 37(9), 1038–1040. https://doi.org/10.1038/s41587-019-0224-x</w:t>
      </w:r>
    </w:p>
    <w:sectPr w:rsidR="00E47856" w:rsidSect="00E478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E06" w:rsidRDefault="00E92E06" w:rsidP="00CE3BA1">
      <w:r>
        <w:separator/>
      </w:r>
    </w:p>
  </w:endnote>
  <w:endnote w:type="continuationSeparator" w:id="0">
    <w:p w:rsidR="00E92E06" w:rsidRDefault="00E92E06" w:rsidP="00CE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BA1" w:rsidRDefault="00CE3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BA1" w:rsidRDefault="00CE3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BA1" w:rsidRDefault="00CE3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E06" w:rsidRDefault="00E92E06" w:rsidP="00CE3BA1">
      <w:r>
        <w:separator/>
      </w:r>
    </w:p>
  </w:footnote>
  <w:footnote w:type="continuationSeparator" w:id="0">
    <w:p w:rsidR="00E92E06" w:rsidRDefault="00E92E06" w:rsidP="00CE3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BA1" w:rsidRDefault="00CE3B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3896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BA1" w:rsidRDefault="00CE3B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3896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BA1" w:rsidRDefault="00CE3B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3896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33A0F"/>
    <w:multiLevelType w:val="hybridMultilevel"/>
    <w:tmpl w:val="202206C2"/>
    <w:lvl w:ilvl="0" w:tplc="A6CEC914">
      <w:start w:val="1"/>
      <w:numFmt w:val="bullet"/>
      <w:lvlText w:val="●"/>
      <w:lvlJc w:val="left"/>
      <w:pPr>
        <w:ind w:left="720" w:hanging="360"/>
      </w:pPr>
    </w:lvl>
    <w:lvl w:ilvl="1" w:tplc="99F4A2B0">
      <w:start w:val="1"/>
      <w:numFmt w:val="bullet"/>
      <w:lvlText w:val="○"/>
      <w:lvlJc w:val="left"/>
      <w:pPr>
        <w:ind w:left="1440" w:hanging="360"/>
      </w:pPr>
    </w:lvl>
    <w:lvl w:ilvl="2" w:tplc="A6D26ED8">
      <w:start w:val="1"/>
      <w:numFmt w:val="bullet"/>
      <w:lvlText w:val="■"/>
      <w:lvlJc w:val="left"/>
      <w:pPr>
        <w:ind w:left="2160" w:hanging="360"/>
      </w:pPr>
    </w:lvl>
    <w:lvl w:ilvl="3" w:tplc="F2D2E9CC">
      <w:start w:val="1"/>
      <w:numFmt w:val="bullet"/>
      <w:lvlText w:val="●"/>
      <w:lvlJc w:val="left"/>
      <w:pPr>
        <w:ind w:left="2880" w:hanging="360"/>
      </w:pPr>
    </w:lvl>
    <w:lvl w:ilvl="4" w:tplc="FB20C456">
      <w:start w:val="1"/>
      <w:numFmt w:val="bullet"/>
      <w:lvlText w:val="○"/>
      <w:lvlJc w:val="left"/>
      <w:pPr>
        <w:ind w:left="3600" w:hanging="360"/>
      </w:pPr>
    </w:lvl>
    <w:lvl w:ilvl="5" w:tplc="A0C88AA4">
      <w:start w:val="1"/>
      <w:numFmt w:val="bullet"/>
      <w:lvlText w:val="■"/>
      <w:lvlJc w:val="left"/>
      <w:pPr>
        <w:ind w:left="4320" w:hanging="360"/>
      </w:pPr>
    </w:lvl>
    <w:lvl w:ilvl="6" w:tplc="42CE5D7A">
      <w:start w:val="1"/>
      <w:numFmt w:val="bullet"/>
      <w:lvlText w:val="●"/>
      <w:lvlJc w:val="left"/>
      <w:pPr>
        <w:ind w:left="5040" w:hanging="360"/>
      </w:pPr>
    </w:lvl>
    <w:lvl w:ilvl="7" w:tplc="8482D9B4">
      <w:start w:val="1"/>
      <w:numFmt w:val="bullet"/>
      <w:lvlText w:val="●"/>
      <w:lvlJc w:val="left"/>
      <w:pPr>
        <w:ind w:left="5760" w:hanging="360"/>
      </w:pPr>
    </w:lvl>
    <w:lvl w:ilvl="8" w:tplc="47CA787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7856"/>
    <w:rsid w:val="00142685"/>
    <w:rsid w:val="00CE3BA1"/>
    <w:rsid w:val="00E47856"/>
    <w:rsid w:val="00E9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89C21D6-A04D-46AD-8FC1-BC295361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E47856"/>
    <w:pPr>
      <w:spacing w:before="400" w:after="200"/>
      <w:outlineLvl w:val="0"/>
    </w:pPr>
    <w:rPr>
      <w:rFonts w:ascii="Arial" w:eastAsia="Arial" w:hAnsi="Arial" w:cs="Arial"/>
      <w:b/>
      <w:bCs/>
      <w:color w:val="000000"/>
      <w:sz w:val="32"/>
      <w:szCs w:val="32"/>
    </w:rPr>
  </w:style>
  <w:style w:type="paragraph" w:styleId="Heading2">
    <w:name w:val="heading 2"/>
    <w:qFormat/>
    <w:rsid w:val="00E47856"/>
    <w:pPr>
      <w:spacing w:before="300" w:after="160"/>
      <w:outlineLvl w:val="1"/>
    </w:pPr>
    <w:rPr>
      <w:rFonts w:ascii="Arial" w:eastAsia="Arial" w:hAnsi="Arial" w:cs="Arial"/>
      <w:b/>
      <w:bCs/>
      <w:color w:val="000000"/>
      <w:sz w:val="28"/>
      <w:szCs w:val="28"/>
    </w:rPr>
  </w:style>
  <w:style w:type="paragraph" w:styleId="Heading3">
    <w:name w:val="heading 3"/>
    <w:qFormat/>
    <w:rsid w:val="00E47856"/>
    <w:pPr>
      <w:outlineLvl w:val="2"/>
    </w:pPr>
    <w:rPr>
      <w:color w:val="1F4D78"/>
    </w:rPr>
  </w:style>
  <w:style w:type="paragraph" w:styleId="Heading4">
    <w:name w:val="heading 4"/>
    <w:qFormat/>
    <w:rsid w:val="00E47856"/>
    <w:pPr>
      <w:outlineLvl w:val="3"/>
    </w:pPr>
    <w:rPr>
      <w:i/>
      <w:iCs/>
      <w:color w:val="2E74B5"/>
    </w:rPr>
  </w:style>
  <w:style w:type="paragraph" w:styleId="Heading5">
    <w:name w:val="heading 5"/>
    <w:qFormat/>
    <w:rsid w:val="00E47856"/>
    <w:pPr>
      <w:outlineLvl w:val="4"/>
    </w:pPr>
    <w:rPr>
      <w:color w:val="2E74B5"/>
    </w:rPr>
  </w:style>
  <w:style w:type="paragraph" w:styleId="Heading6">
    <w:name w:val="heading 6"/>
    <w:qFormat/>
    <w:rsid w:val="00E47856"/>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47856"/>
    <w:rPr>
      <w:sz w:val="56"/>
      <w:szCs w:val="56"/>
    </w:rPr>
  </w:style>
  <w:style w:type="paragraph" w:customStyle="1" w:styleId="Strong1">
    <w:name w:val="Strong1"/>
    <w:qFormat/>
    <w:rsid w:val="00E47856"/>
    <w:rPr>
      <w:b/>
      <w:bCs/>
    </w:rPr>
  </w:style>
  <w:style w:type="paragraph" w:styleId="ListParagraph">
    <w:name w:val="List Paragraph"/>
    <w:qFormat/>
    <w:rsid w:val="00E47856"/>
  </w:style>
  <w:style w:type="character" w:styleId="Hyperlink">
    <w:name w:val="Hyperlink"/>
    <w:uiPriority w:val="99"/>
    <w:unhideWhenUsed/>
    <w:rsid w:val="00E47856"/>
    <w:rPr>
      <w:color w:val="0563C1"/>
      <w:u w:val="single"/>
    </w:rPr>
  </w:style>
  <w:style w:type="character" w:styleId="FootnoteReference">
    <w:name w:val="footnote reference"/>
    <w:uiPriority w:val="99"/>
    <w:semiHidden/>
    <w:unhideWhenUsed/>
    <w:rsid w:val="00E47856"/>
    <w:rPr>
      <w:vertAlign w:val="superscript"/>
    </w:rPr>
  </w:style>
  <w:style w:type="paragraph" w:styleId="FootnoteText">
    <w:name w:val="footnote text"/>
    <w:link w:val="FootnoteTextChar"/>
    <w:uiPriority w:val="99"/>
    <w:semiHidden/>
    <w:unhideWhenUsed/>
    <w:rsid w:val="00E47856"/>
    <w:rPr>
      <w:sz w:val="20"/>
      <w:szCs w:val="20"/>
    </w:rPr>
  </w:style>
  <w:style w:type="character" w:customStyle="1" w:styleId="FootnoteTextChar">
    <w:name w:val="Footnote Text Char"/>
    <w:link w:val="FootnoteText"/>
    <w:uiPriority w:val="99"/>
    <w:semiHidden/>
    <w:unhideWhenUsed/>
    <w:rsid w:val="00E47856"/>
    <w:rPr>
      <w:sz w:val="20"/>
      <w:szCs w:val="20"/>
    </w:rPr>
  </w:style>
  <w:style w:type="character" w:styleId="EndnoteReference">
    <w:name w:val="endnote reference"/>
    <w:uiPriority w:val="99"/>
    <w:semiHidden/>
    <w:unhideWhenUsed/>
    <w:rsid w:val="00E47856"/>
    <w:rPr>
      <w:vertAlign w:val="superscript"/>
    </w:rPr>
  </w:style>
  <w:style w:type="paragraph" w:styleId="EndnoteText">
    <w:name w:val="endnote text"/>
    <w:link w:val="EndnoteTextChar"/>
    <w:uiPriority w:val="99"/>
    <w:semiHidden/>
    <w:unhideWhenUsed/>
    <w:rsid w:val="00E47856"/>
    <w:rPr>
      <w:sz w:val="20"/>
      <w:szCs w:val="20"/>
    </w:rPr>
  </w:style>
  <w:style w:type="character" w:customStyle="1" w:styleId="EndnoteTextChar">
    <w:name w:val="Endnote Text Char"/>
    <w:link w:val="EndnoteText"/>
    <w:uiPriority w:val="99"/>
    <w:semiHidden/>
    <w:unhideWhenUsed/>
    <w:rsid w:val="00E47856"/>
    <w:rPr>
      <w:sz w:val="20"/>
      <w:szCs w:val="20"/>
    </w:rPr>
  </w:style>
  <w:style w:type="paragraph" w:styleId="Header">
    <w:name w:val="header"/>
    <w:basedOn w:val="Normal"/>
    <w:link w:val="HeaderChar"/>
    <w:uiPriority w:val="99"/>
    <w:unhideWhenUsed/>
    <w:rsid w:val="00CE3BA1"/>
    <w:pPr>
      <w:tabs>
        <w:tab w:val="center" w:pos="4680"/>
        <w:tab w:val="right" w:pos="9360"/>
      </w:tabs>
    </w:pPr>
  </w:style>
  <w:style w:type="character" w:customStyle="1" w:styleId="HeaderChar">
    <w:name w:val="Header Char"/>
    <w:basedOn w:val="DefaultParagraphFont"/>
    <w:link w:val="Header"/>
    <w:uiPriority w:val="99"/>
    <w:rsid w:val="00CE3BA1"/>
  </w:style>
  <w:style w:type="paragraph" w:styleId="Footer">
    <w:name w:val="footer"/>
    <w:basedOn w:val="Normal"/>
    <w:link w:val="FooterChar"/>
    <w:uiPriority w:val="99"/>
    <w:unhideWhenUsed/>
    <w:rsid w:val="00CE3BA1"/>
    <w:pPr>
      <w:tabs>
        <w:tab w:val="center" w:pos="4680"/>
        <w:tab w:val="right" w:pos="9360"/>
      </w:tabs>
    </w:pPr>
  </w:style>
  <w:style w:type="character" w:customStyle="1" w:styleId="FooterChar">
    <w:name w:val="Footer Char"/>
    <w:basedOn w:val="DefaultParagraphFont"/>
    <w:link w:val="Footer"/>
    <w:uiPriority w:val="99"/>
    <w:rsid w:val="00CE3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9385</Words>
  <Characters>53501</Characters>
  <Application>Microsoft Office Word</Application>
  <DocSecurity>0</DocSecurity>
  <Lines>445</Lines>
  <Paragraphs>125</Paragraphs>
  <ScaleCrop>false</ScaleCrop>
  <Company>HP</Company>
  <LinksUpToDate>false</LinksUpToDate>
  <CharactersWithSpaces>62761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3</cp:revision>
  <dcterms:created xsi:type="dcterms:W3CDTF">2026-04-02T18:54:00Z</dcterms:created>
  <dcterms:modified xsi:type="dcterms:W3CDTF">2026-04-03T11:01:00Z</dcterms:modified>
</cp:coreProperties>
</file>