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A646C" w14:textId="7BBCC0C5" w:rsidR="00505CF3" w:rsidRPr="00360A96" w:rsidRDefault="00EB669A" w:rsidP="00505CF3">
      <w:pPr>
        <w:spacing w:before="100" w:beforeAutospacing="1" w:after="100" w:afterAutospacing="1" w:line="276" w:lineRule="auto"/>
        <w:jc w:val="both"/>
        <w:outlineLvl w:val="2"/>
        <w:rPr>
          <w:rFonts w:ascii="Times New Roman" w:eastAsia="Times New Roman" w:hAnsi="Times New Roman" w:cs="Times New Roman"/>
          <w:b/>
          <w:bCs/>
          <w:color w:val="000000" w:themeColor="text1"/>
          <w:kern w:val="0"/>
          <w:sz w:val="32"/>
          <w:szCs w:val="32"/>
          <w:lang w:val="tr-TR"/>
          <w14:ligatures w14:val="none"/>
        </w:rPr>
      </w:pPr>
      <w:r w:rsidRPr="00360A96">
        <w:rPr>
          <w:rFonts w:ascii="Times New Roman" w:eastAsia="Times New Roman" w:hAnsi="Times New Roman" w:cs="Times New Roman"/>
          <w:b/>
          <w:bCs/>
          <w:color w:val="000000" w:themeColor="text1"/>
          <w:kern w:val="0"/>
          <w:sz w:val="32"/>
          <w:szCs w:val="32"/>
          <w:lang w:val="tr-TR"/>
          <w14:ligatures w14:val="none"/>
        </w:rPr>
        <w:t>Review Article</w:t>
      </w:r>
    </w:p>
    <w:p w14:paraId="0A0E2B29" w14:textId="77777777" w:rsidR="00EB669A" w:rsidRPr="00360A96" w:rsidRDefault="00EB669A" w:rsidP="00505CF3">
      <w:pPr>
        <w:spacing w:before="100" w:beforeAutospacing="1" w:after="100" w:afterAutospacing="1" w:line="276" w:lineRule="auto"/>
        <w:jc w:val="both"/>
        <w:outlineLvl w:val="2"/>
        <w:rPr>
          <w:rFonts w:ascii="Times New Roman" w:eastAsia="Times New Roman" w:hAnsi="Times New Roman" w:cs="Times New Roman"/>
          <w:b/>
          <w:bCs/>
          <w:color w:val="000000" w:themeColor="text1"/>
          <w:kern w:val="0"/>
          <w:sz w:val="32"/>
          <w:szCs w:val="32"/>
          <w:lang w:val="tr-TR"/>
          <w14:ligatures w14:val="none"/>
        </w:rPr>
      </w:pPr>
    </w:p>
    <w:p w14:paraId="325176F0" w14:textId="77777777" w:rsidR="00640A39" w:rsidRPr="00360A96" w:rsidRDefault="00640A39" w:rsidP="00640A39">
      <w:pPr>
        <w:spacing w:before="100" w:beforeAutospacing="1" w:after="100" w:afterAutospacing="1" w:line="276" w:lineRule="auto"/>
        <w:ind w:left="284" w:right="283"/>
        <w:jc w:val="both"/>
        <w:outlineLvl w:val="2"/>
        <w:rPr>
          <w:rFonts w:ascii="Arial" w:hAnsi="Arial" w:cs="Arial"/>
          <w:b/>
          <w:bCs/>
          <w:sz w:val="32"/>
          <w:szCs w:val="32"/>
        </w:rPr>
      </w:pPr>
      <w:r w:rsidRPr="00360A96">
        <w:rPr>
          <w:rFonts w:ascii="Arial" w:hAnsi="Arial" w:cs="Arial"/>
          <w:b/>
          <w:bCs/>
          <w:sz w:val="32"/>
          <w:szCs w:val="32"/>
        </w:rPr>
        <w:t xml:space="preserve">Integrating the Microbiome, </w:t>
      </w:r>
      <w:proofErr w:type="spellStart"/>
      <w:r w:rsidRPr="00360A96">
        <w:rPr>
          <w:rFonts w:ascii="Arial" w:hAnsi="Arial" w:cs="Arial"/>
          <w:b/>
          <w:bCs/>
          <w:sz w:val="32"/>
          <w:szCs w:val="32"/>
        </w:rPr>
        <w:t>Tumor</w:t>
      </w:r>
      <w:proofErr w:type="spellEnd"/>
      <w:r w:rsidRPr="00360A96">
        <w:rPr>
          <w:rFonts w:ascii="Arial" w:hAnsi="Arial" w:cs="Arial"/>
          <w:b/>
          <w:bCs/>
          <w:sz w:val="32"/>
          <w:szCs w:val="32"/>
        </w:rPr>
        <w:t xml:space="preserve"> Microenvironment, and miRNA in PDAC — Toward Precision Therapies</w:t>
      </w:r>
    </w:p>
    <w:p w14:paraId="713D3AFF" w14:textId="77777777" w:rsidR="009A5DE9" w:rsidRPr="00360A96" w:rsidRDefault="009A5DE9" w:rsidP="00581324">
      <w:pPr>
        <w:spacing w:before="100" w:beforeAutospacing="1" w:after="100" w:afterAutospacing="1" w:line="480" w:lineRule="auto"/>
        <w:ind w:left="567" w:right="283"/>
        <w:jc w:val="both"/>
        <w:rPr>
          <w:rFonts w:ascii="Times New Roman" w:eastAsia="Times New Roman" w:hAnsi="Times New Roman" w:cs="Times New Roman"/>
          <w:b/>
          <w:bCs/>
          <w:color w:val="000000" w:themeColor="text1"/>
          <w:kern w:val="0"/>
          <w:sz w:val="22"/>
          <w:szCs w:val="22"/>
          <w:lang w:val="tr-TR"/>
          <w14:ligatures w14:val="none"/>
        </w:rPr>
      </w:pPr>
    </w:p>
    <w:p w14:paraId="550D4312" w14:textId="77777777" w:rsidR="00D7215D" w:rsidRPr="00360A96" w:rsidRDefault="00D7215D" w:rsidP="00581324">
      <w:pPr>
        <w:spacing w:before="100" w:beforeAutospacing="1" w:after="100" w:afterAutospacing="1" w:line="480" w:lineRule="auto"/>
        <w:ind w:left="567" w:right="283"/>
        <w:jc w:val="both"/>
        <w:rPr>
          <w:rFonts w:ascii="Times New Roman" w:eastAsia="Times New Roman" w:hAnsi="Times New Roman" w:cs="Times New Roman"/>
          <w:b/>
          <w:bCs/>
          <w:color w:val="000000" w:themeColor="text1"/>
          <w:kern w:val="0"/>
          <w:sz w:val="22"/>
          <w:szCs w:val="22"/>
          <w:lang w:val="tr-TR"/>
          <w14:ligatures w14:val="none"/>
        </w:rPr>
      </w:pPr>
      <w:r w:rsidRPr="00360A96">
        <w:rPr>
          <w:rFonts w:ascii="Times New Roman" w:eastAsia="Times New Roman" w:hAnsi="Times New Roman" w:cs="Times New Roman"/>
          <w:b/>
          <w:bCs/>
          <w:color w:val="000000" w:themeColor="text1"/>
          <w:kern w:val="0"/>
          <w:sz w:val="22"/>
          <w:szCs w:val="22"/>
          <w:lang w:val="tr-TR"/>
          <w14:ligatures w14:val="none"/>
        </w:rPr>
        <w:t>A</w:t>
      </w:r>
      <w:r w:rsidR="009A5DE9" w:rsidRPr="00360A96">
        <w:rPr>
          <w:rFonts w:ascii="Times New Roman" w:eastAsia="Times New Roman" w:hAnsi="Times New Roman" w:cs="Times New Roman"/>
          <w:b/>
          <w:bCs/>
          <w:color w:val="000000" w:themeColor="text1"/>
          <w:kern w:val="0"/>
          <w:sz w:val="22"/>
          <w:szCs w:val="22"/>
          <w:lang w:val="tr-TR"/>
          <w14:ligatures w14:val="none"/>
        </w:rPr>
        <w:t>BSTRACT</w:t>
      </w:r>
    </w:p>
    <w:p w14:paraId="78D2DBE2" w14:textId="77777777" w:rsidR="00FC6288" w:rsidRPr="00360A96" w:rsidRDefault="00FC6288" w:rsidP="00AA5034">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Pancreatic cancer (PC), particularly pancreatic ductal adenocarcinoma (PDAC), is an aggressive malignancy characterized by rapid progression, late diagnosis, and poor survival. Although its incidence is highest in older men, rates are increasing among younger individuals. The etiology remains incompletely understood, underscoring the need for deeper investigation into its molecular mechanisms, risk factors, and therapeutic targets. Early detection in high-risk populations is crucial but hampered by the lack of reliable biomarkers.</w:t>
      </w:r>
    </w:p>
    <w:p w14:paraId="4C4A5ED8" w14:textId="77777777" w:rsidR="00FC6288" w:rsidRPr="00360A96" w:rsidRDefault="00FC6288" w:rsidP="00AA5034">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Surgical resection offers the only curative option and the best chance for long-term survival; however, fewer than 20% of patients present with resectable disease. Standard therapy relies on chemotherapy, alone or in combination with radiotherapy or surgery. Recent advances include promising studies of immunotherapy, microbial therapy, and microRNA (miRNA)-based approaches. Targeting the tumor microenvironment (TME) holds particular promise for overcoming immunotherapy resistance.</w:t>
      </w:r>
    </w:p>
    <w:p w14:paraId="5C25541E" w14:textId="77777777" w:rsidR="00FC6288" w:rsidRPr="00360A96" w:rsidRDefault="00FC6288" w:rsidP="00AA5034">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Emerging evidence highlights the influence of the human microbiome—modulated by diet, obesity, and smoking—on disease progression and therapeutic response. Integrating microbiome science with immunogenomics may yield novel treatment strategies, although donor selection and optimization of microbiota transplantation remain major challenges. Future approaches such as microbiome biobanking and drug repurposing could further enhance outcomes.</w:t>
      </w:r>
    </w:p>
    <w:p w14:paraId="1F18DFF6" w14:textId="77777777" w:rsidR="00FC6288" w:rsidRPr="00360A96" w:rsidRDefault="00FC6288" w:rsidP="00AA5034">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Comprehensive strategies that integrate TME modulation, cancer stem cell targeting, microbiome-based interventions, and miRNA therapies within adaptive clinical trial frameworks are essential to advance precision medicine and improve survival in PDAC.</w:t>
      </w:r>
    </w:p>
    <w:p w14:paraId="7B5C2088" w14:textId="77777777" w:rsidR="00EB669A" w:rsidRPr="00360A96" w:rsidRDefault="00EB669A" w:rsidP="00AA5034">
      <w:pPr>
        <w:spacing w:before="100" w:beforeAutospacing="1" w:after="100" w:afterAutospacing="1"/>
        <w:ind w:left="567" w:right="283"/>
        <w:jc w:val="both"/>
        <w:rPr>
          <w:rFonts w:ascii="Arial" w:eastAsia="Times New Roman" w:hAnsi="Arial" w:cs="Arial"/>
          <w:kern w:val="0"/>
          <w:sz w:val="20"/>
          <w:szCs w:val="20"/>
          <w14:ligatures w14:val="none"/>
        </w:rPr>
      </w:pPr>
    </w:p>
    <w:p w14:paraId="0C10D4B4" w14:textId="77777777" w:rsidR="00EB669A" w:rsidRPr="00360A96" w:rsidRDefault="00EB669A" w:rsidP="00EB669A">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Graphical abstract</w:t>
      </w:r>
    </w:p>
    <w:p w14:paraId="271E8C2F" w14:textId="7CBCC26E" w:rsidR="00EB669A" w:rsidRPr="00360A96" w:rsidRDefault="00EB669A" w:rsidP="00EB669A">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kern w:val="0"/>
          <w:sz w:val="20"/>
          <w:szCs w:val="20"/>
          <w14:ligatures w14:val="none"/>
        </w:rPr>
        <w:t xml:space="preserve">Challenges, emerging </w:t>
      </w:r>
      <w:proofErr w:type="spellStart"/>
      <w:r w:rsidRPr="00360A96">
        <w:rPr>
          <w:rFonts w:ascii="Arial" w:eastAsia="Times New Roman" w:hAnsi="Arial" w:cs="Arial"/>
          <w:kern w:val="0"/>
          <w:sz w:val="20"/>
          <w:szCs w:val="20"/>
          <w14:ligatures w14:val="none"/>
        </w:rPr>
        <w:t>opporrtunities</w:t>
      </w:r>
      <w:proofErr w:type="spellEnd"/>
      <w:r w:rsidRPr="00360A96">
        <w:rPr>
          <w:rFonts w:ascii="Arial" w:eastAsia="Times New Roman" w:hAnsi="Arial" w:cs="Arial"/>
          <w:kern w:val="0"/>
          <w:sz w:val="20"/>
          <w:szCs w:val="20"/>
          <w14:ligatures w14:val="none"/>
        </w:rPr>
        <w:t xml:space="preserve">, and comprehensive therapeutic </w:t>
      </w:r>
      <w:proofErr w:type="spellStart"/>
      <w:r w:rsidRPr="00360A96">
        <w:rPr>
          <w:rFonts w:ascii="Arial" w:eastAsia="Times New Roman" w:hAnsi="Arial" w:cs="Arial"/>
          <w:kern w:val="0"/>
          <w:sz w:val="20"/>
          <w:szCs w:val="20"/>
          <w14:ligatures w14:val="none"/>
        </w:rPr>
        <w:t>approches</w:t>
      </w:r>
      <w:proofErr w:type="spellEnd"/>
      <w:r w:rsidRPr="00360A96">
        <w:rPr>
          <w:rFonts w:ascii="Arial" w:eastAsia="Times New Roman" w:hAnsi="Arial" w:cs="Arial"/>
          <w:kern w:val="0"/>
          <w:sz w:val="20"/>
          <w:szCs w:val="20"/>
          <w14:ligatures w14:val="none"/>
        </w:rPr>
        <w:t xml:space="preserve"> in pancreatic ductal adenocarcinoma (PDAC)</w:t>
      </w:r>
    </w:p>
    <w:p w14:paraId="2A559299" w14:textId="013D649B" w:rsidR="00EB669A" w:rsidRPr="00360A96" w:rsidRDefault="00EB669A" w:rsidP="00EB669A">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Times New Roman" w:hAnsi="Times New Roman" w:cs="Times New Roman"/>
          <w:b/>
          <w:bCs/>
          <w:noProof/>
          <w:sz w:val="22"/>
          <w:szCs w:val="22"/>
          <w:lang w:val="tr-TR"/>
        </w:rPr>
        <w:lastRenderedPageBreak/>
        <w:drawing>
          <wp:inline distT="0" distB="0" distL="0" distR="0" wp14:anchorId="2B494502" wp14:editId="48D44761">
            <wp:extent cx="6120765" cy="4398645"/>
            <wp:effectExtent l="0" t="0" r="0" b="1905"/>
            <wp:docPr id="42389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90511" name=""/>
                    <pic:cNvPicPr/>
                  </pic:nvPicPr>
                  <pic:blipFill>
                    <a:blip r:embed="rId7"/>
                    <a:stretch>
                      <a:fillRect/>
                    </a:stretch>
                  </pic:blipFill>
                  <pic:spPr>
                    <a:xfrm>
                      <a:off x="0" y="0"/>
                      <a:ext cx="6120765" cy="4398645"/>
                    </a:xfrm>
                    <a:prstGeom prst="rect">
                      <a:avLst/>
                    </a:prstGeom>
                  </pic:spPr>
                </pic:pic>
              </a:graphicData>
            </a:graphic>
          </wp:inline>
        </w:drawing>
      </w:r>
    </w:p>
    <w:p w14:paraId="1854AAC6" w14:textId="77777777" w:rsidR="00505CF3" w:rsidRPr="00360A96" w:rsidRDefault="00FC6288" w:rsidP="00AA5034">
      <w:pPr>
        <w:spacing w:before="100" w:beforeAutospacing="1" w:after="100" w:afterAutospacing="1"/>
        <w:ind w:left="567" w:right="283"/>
        <w:jc w:val="both"/>
        <w:rPr>
          <w:rFonts w:ascii="Arial" w:eastAsia="Times New Roman" w:hAnsi="Arial" w:cs="Arial"/>
          <w:kern w:val="0"/>
          <w:sz w:val="20"/>
          <w:szCs w:val="20"/>
          <w14:ligatures w14:val="none"/>
        </w:rPr>
      </w:pPr>
      <w:r w:rsidRPr="00360A96">
        <w:rPr>
          <w:rFonts w:ascii="Arial" w:eastAsia="Times New Roman" w:hAnsi="Arial" w:cs="Arial"/>
          <w:b/>
          <w:bCs/>
          <w:kern w:val="0"/>
          <w:sz w:val="20"/>
          <w:szCs w:val="20"/>
          <w14:ligatures w14:val="none"/>
        </w:rPr>
        <w:t>Keywords:</w:t>
      </w:r>
      <w:r w:rsidRPr="00360A96">
        <w:rPr>
          <w:rFonts w:ascii="Arial" w:eastAsia="Times New Roman" w:hAnsi="Arial" w:cs="Arial"/>
          <w:kern w:val="0"/>
          <w:sz w:val="20"/>
          <w:szCs w:val="20"/>
          <w14:ligatures w14:val="none"/>
        </w:rPr>
        <w:t xml:space="preserve"> </w:t>
      </w:r>
      <w:r w:rsidR="00002031" w:rsidRPr="00360A96">
        <w:rPr>
          <w:rFonts w:ascii="Arial" w:eastAsia="Times New Roman" w:hAnsi="Arial" w:cs="Arial"/>
          <w:kern w:val="0"/>
          <w:sz w:val="20"/>
          <w:szCs w:val="20"/>
          <w14:ligatures w14:val="none"/>
        </w:rPr>
        <w:t>Pancreatic cancer</w:t>
      </w:r>
      <w:r w:rsidR="00805E2F" w:rsidRPr="00360A96">
        <w:rPr>
          <w:rFonts w:ascii="Arial" w:eastAsia="Times New Roman" w:hAnsi="Arial" w:cs="Arial"/>
          <w:kern w:val="0"/>
          <w:sz w:val="20"/>
          <w:szCs w:val="20"/>
          <w:lang w:val="tr-TR"/>
          <w14:ligatures w14:val="none"/>
        </w:rPr>
        <w:t xml:space="preserve"> (PC)</w:t>
      </w:r>
      <w:r w:rsidR="00002031" w:rsidRPr="00360A96">
        <w:rPr>
          <w:rFonts w:ascii="Arial" w:eastAsia="Times New Roman" w:hAnsi="Arial" w:cs="Arial"/>
          <w:kern w:val="0"/>
          <w:sz w:val="20"/>
          <w:szCs w:val="20"/>
          <w14:ligatures w14:val="none"/>
        </w:rPr>
        <w:t>; Pancreatic ductal adenocarcinoma</w:t>
      </w:r>
      <w:r w:rsidR="00805E2F" w:rsidRPr="00360A96">
        <w:rPr>
          <w:rFonts w:ascii="Arial" w:eastAsia="Times New Roman" w:hAnsi="Arial" w:cs="Arial"/>
          <w:kern w:val="0"/>
          <w:sz w:val="20"/>
          <w:szCs w:val="20"/>
          <w:lang w:val="tr-TR"/>
          <w14:ligatures w14:val="none"/>
        </w:rPr>
        <w:t xml:space="preserve"> (PDAC)</w:t>
      </w:r>
      <w:r w:rsidR="00002031" w:rsidRPr="00360A96">
        <w:rPr>
          <w:rFonts w:ascii="Arial" w:eastAsia="Times New Roman" w:hAnsi="Arial" w:cs="Arial"/>
          <w:kern w:val="0"/>
          <w:sz w:val="20"/>
          <w:szCs w:val="20"/>
          <w14:ligatures w14:val="none"/>
        </w:rPr>
        <w:t xml:space="preserve">; </w:t>
      </w:r>
      <w:r w:rsidR="00805E2F" w:rsidRPr="00360A96">
        <w:rPr>
          <w:rFonts w:ascii="Arial" w:eastAsia="Times New Roman" w:hAnsi="Arial" w:cs="Arial"/>
          <w:kern w:val="0"/>
          <w:sz w:val="20"/>
          <w:szCs w:val="20"/>
          <w14:ligatures w14:val="none"/>
        </w:rPr>
        <w:t xml:space="preserve">High-risk </w:t>
      </w:r>
      <w:proofErr w:type="gramStart"/>
      <w:r w:rsidR="00805E2F" w:rsidRPr="00360A96">
        <w:rPr>
          <w:rFonts w:ascii="Arial" w:eastAsia="Times New Roman" w:hAnsi="Arial" w:cs="Arial"/>
          <w:kern w:val="0"/>
          <w:sz w:val="20"/>
          <w:szCs w:val="20"/>
          <w14:ligatures w14:val="none"/>
        </w:rPr>
        <w:t>factors</w:t>
      </w:r>
      <w:r w:rsidR="00805E2F" w:rsidRPr="00360A96">
        <w:rPr>
          <w:rFonts w:ascii="Arial" w:eastAsia="Times New Roman" w:hAnsi="Arial" w:cs="Arial"/>
          <w:kern w:val="0"/>
          <w:sz w:val="20"/>
          <w:szCs w:val="20"/>
          <w:lang w:val="tr-TR"/>
          <w14:ligatures w14:val="none"/>
        </w:rPr>
        <w:t xml:space="preserve">; </w:t>
      </w:r>
      <w:r w:rsidR="00805E2F" w:rsidRPr="00360A96">
        <w:rPr>
          <w:rFonts w:ascii="Arial" w:eastAsia="Times New Roman" w:hAnsi="Arial" w:cs="Arial"/>
          <w:kern w:val="0"/>
          <w:sz w:val="20"/>
          <w:szCs w:val="20"/>
          <w14:ligatures w14:val="none"/>
        </w:rPr>
        <w:t xml:space="preserve"> </w:t>
      </w:r>
      <w:r w:rsidR="00002031" w:rsidRPr="00360A96">
        <w:rPr>
          <w:rFonts w:ascii="Arial" w:eastAsia="Times New Roman" w:hAnsi="Arial" w:cs="Arial"/>
          <w:kern w:val="0"/>
          <w:sz w:val="20"/>
          <w:szCs w:val="20"/>
          <w14:ligatures w14:val="none"/>
        </w:rPr>
        <w:t>Immunotherapy</w:t>
      </w:r>
      <w:proofErr w:type="gramEnd"/>
      <w:r w:rsidR="00002031" w:rsidRPr="00360A96">
        <w:rPr>
          <w:rFonts w:ascii="Arial" w:eastAsia="Times New Roman" w:hAnsi="Arial" w:cs="Arial"/>
          <w:kern w:val="0"/>
          <w:sz w:val="20"/>
          <w:szCs w:val="20"/>
          <w14:ligatures w14:val="none"/>
        </w:rPr>
        <w:t>; Fecal microbiota transplantation</w:t>
      </w:r>
      <w:r w:rsidR="00805E2F" w:rsidRPr="00360A96">
        <w:rPr>
          <w:rFonts w:ascii="Arial" w:eastAsia="Times New Roman" w:hAnsi="Arial" w:cs="Arial"/>
          <w:kern w:val="0"/>
          <w:sz w:val="20"/>
          <w:szCs w:val="20"/>
          <w:lang w:val="tr-TR"/>
          <w14:ligatures w14:val="none"/>
        </w:rPr>
        <w:t xml:space="preserve"> (FMT)</w:t>
      </w:r>
      <w:r w:rsidR="00002031" w:rsidRPr="00360A96">
        <w:rPr>
          <w:rFonts w:ascii="Arial" w:eastAsia="Times New Roman" w:hAnsi="Arial" w:cs="Arial"/>
          <w:kern w:val="0"/>
          <w:sz w:val="20"/>
          <w:szCs w:val="20"/>
          <w14:ligatures w14:val="none"/>
        </w:rPr>
        <w:t xml:space="preserve">; </w:t>
      </w:r>
      <w:r w:rsidR="00805E2F" w:rsidRPr="00360A96">
        <w:rPr>
          <w:rFonts w:ascii="Arial" w:eastAsia="Times New Roman" w:hAnsi="Arial" w:cs="Arial"/>
          <w:kern w:val="0"/>
          <w:sz w:val="20"/>
          <w:szCs w:val="20"/>
          <w:lang w:val="tr-TR"/>
          <w14:ligatures w14:val="none"/>
        </w:rPr>
        <w:t>m</w:t>
      </w:r>
      <w:r w:rsidR="00002031" w:rsidRPr="00360A96">
        <w:rPr>
          <w:rFonts w:ascii="Arial" w:eastAsia="Times New Roman" w:hAnsi="Arial" w:cs="Arial"/>
          <w:kern w:val="0"/>
          <w:sz w:val="20"/>
          <w:szCs w:val="20"/>
          <w14:ligatures w14:val="none"/>
        </w:rPr>
        <w:t xml:space="preserve">iRNA therapy </w:t>
      </w:r>
    </w:p>
    <w:p w14:paraId="37FEF3B0" w14:textId="77777777" w:rsidR="009B6DD9" w:rsidRPr="00360A96" w:rsidRDefault="009B6DD9" w:rsidP="00505CF3">
      <w:pPr>
        <w:spacing w:before="100" w:beforeAutospacing="1" w:after="100" w:afterAutospacing="1" w:line="480" w:lineRule="auto"/>
        <w:ind w:left="851" w:right="283" w:hanging="851"/>
        <w:jc w:val="both"/>
        <w:rPr>
          <w:rFonts w:ascii="Times New Roman" w:eastAsia="Times New Roman" w:hAnsi="Times New Roman" w:cs="Times New Roman"/>
          <w:kern w:val="0"/>
          <w14:ligatures w14:val="none"/>
        </w:rPr>
      </w:pPr>
    </w:p>
    <w:p w14:paraId="4AD76AE6" w14:textId="77777777" w:rsidR="00FC6288" w:rsidRPr="00360A96" w:rsidRDefault="00FC6288" w:rsidP="00AA5034">
      <w:pPr>
        <w:spacing w:before="100" w:beforeAutospacing="1" w:after="100" w:afterAutospacing="1"/>
        <w:ind w:left="567" w:right="283"/>
        <w:jc w:val="both"/>
        <w:outlineLvl w:val="1"/>
        <w:rPr>
          <w:rFonts w:ascii="Arial" w:eastAsia="Times New Roman" w:hAnsi="Arial" w:cs="Arial"/>
          <w:b/>
          <w:bCs/>
          <w:color w:val="000000" w:themeColor="text1"/>
          <w:kern w:val="0"/>
          <w:sz w:val="22"/>
          <w:szCs w:val="22"/>
          <w:lang w:val="tr-TR"/>
          <w14:ligatures w14:val="none"/>
        </w:rPr>
      </w:pPr>
      <w:r w:rsidRPr="00360A96">
        <w:rPr>
          <w:rFonts w:ascii="Arial" w:eastAsia="Times New Roman" w:hAnsi="Arial" w:cs="Arial"/>
          <w:b/>
          <w:bCs/>
          <w:color w:val="000000" w:themeColor="text1"/>
          <w:kern w:val="0"/>
          <w:sz w:val="22"/>
          <w:szCs w:val="22"/>
          <w14:ligatures w14:val="none"/>
        </w:rPr>
        <w:t>I</w:t>
      </w:r>
      <w:r w:rsidR="009A5DE9" w:rsidRPr="00360A96">
        <w:rPr>
          <w:rFonts w:ascii="Arial" w:eastAsia="Times New Roman" w:hAnsi="Arial" w:cs="Arial"/>
          <w:b/>
          <w:bCs/>
          <w:color w:val="000000" w:themeColor="text1"/>
          <w:kern w:val="0"/>
          <w:sz w:val="22"/>
          <w:szCs w:val="22"/>
          <w:lang w:val="tr-TR"/>
          <w14:ligatures w14:val="none"/>
        </w:rPr>
        <w:t>NTRODUCTION</w:t>
      </w:r>
    </w:p>
    <w:p w14:paraId="452CC9BA" w14:textId="77777777" w:rsidR="00D23B74" w:rsidRPr="00360A96" w:rsidRDefault="00D23B74" w:rsidP="0019493F">
      <w:pPr>
        <w:ind w:left="567"/>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Pancreatic cancer</w:t>
      </w:r>
      <w:r w:rsidRPr="00360A96">
        <w:rPr>
          <w:rFonts w:ascii="Arial" w:eastAsia="Times New Roman" w:hAnsi="Arial" w:cs="Arial"/>
          <w:color w:val="000000" w:themeColor="text1"/>
          <w:kern w:val="0"/>
          <w:sz w:val="20"/>
          <w:szCs w:val="20"/>
          <w:lang w:val="tr-TR"/>
          <w14:ligatures w14:val="none"/>
        </w:rPr>
        <w:t xml:space="preserve">, </w:t>
      </w:r>
      <w:r w:rsidRPr="00360A96">
        <w:rPr>
          <w:rFonts w:ascii="Arial" w:eastAsia="Times New Roman" w:hAnsi="Arial" w:cs="Arial"/>
          <w:color w:val="000000" w:themeColor="text1"/>
          <w:kern w:val="0"/>
          <w:sz w:val="20"/>
          <w:szCs w:val="20"/>
          <w14:ligatures w14:val="none"/>
        </w:rPr>
        <w:t>a major global health burden,</w:t>
      </w:r>
      <w:r w:rsidRPr="00360A96">
        <w:rPr>
          <w:rFonts w:ascii="Arial" w:eastAsia="Times New Roman" w:hAnsi="Arial" w:cs="Arial"/>
          <w:color w:val="000000" w:themeColor="text1"/>
          <w:kern w:val="0"/>
          <w:sz w:val="20"/>
          <w:szCs w:val="20"/>
          <w:lang w:val="tr-TR"/>
          <w14:ligatures w14:val="none"/>
        </w:rPr>
        <w:t xml:space="preserve"> its</w:t>
      </w:r>
      <w:r w:rsidRPr="00360A96">
        <w:rPr>
          <w:rFonts w:ascii="Arial" w:eastAsia="Times New Roman" w:hAnsi="Arial" w:cs="Arial"/>
          <w:color w:val="000000" w:themeColor="text1"/>
          <w:kern w:val="0"/>
          <w:sz w:val="20"/>
          <w:szCs w:val="20"/>
          <w14:ligatures w14:val="none"/>
        </w:rPr>
        <w:t xml:space="preserve"> </w:t>
      </w:r>
      <w:r w:rsidRPr="00360A96">
        <w:rPr>
          <w:rFonts w:ascii="Arial" w:eastAsia="Times New Roman" w:hAnsi="Arial" w:cs="Arial"/>
          <w:color w:val="000000" w:themeColor="text1"/>
          <w:kern w:val="0"/>
          <w:sz w:val="20"/>
          <w:szCs w:val="20"/>
          <w:lang w:val="tr-TR"/>
          <w14:ligatures w14:val="none"/>
        </w:rPr>
        <w:t>incidence ranks 12th in all cancers,</w:t>
      </w:r>
      <w:r w:rsidRPr="00360A96">
        <w:rPr>
          <w:rFonts w:ascii="Arial" w:eastAsia="Times New Roman" w:hAnsi="Arial" w:cs="Arial"/>
          <w:color w:val="000000" w:themeColor="text1"/>
          <w:kern w:val="0"/>
          <w:sz w:val="20"/>
          <w:szCs w:val="20"/>
          <w14:ligatures w14:val="none"/>
        </w:rPr>
        <w:t xml:space="preserve"> with mortality rates nearly equal to incidence</w:t>
      </w:r>
      <w:r w:rsidRPr="00360A96">
        <w:rPr>
          <w:rFonts w:ascii="Arial" w:eastAsia="Times New Roman" w:hAnsi="Arial" w:cs="Arial"/>
          <w:color w:val="000000" w:themeColor="text1"/>
          <w:kern w:val="0"/>
          <w:sz w:val="20"/>
          <w:szCs w:val="20"/>
          <w:lang w:val="tr-TR"/>
          <w14:ligatures w14:val="none"/>
        </w:rPr>
        <w:t xml:space="preserve"> and although </w:t>
      </w:r>
      <w:r w:rsidRPr="00360A96">
        <w:rPr>
          <w:rFonts w:ascii="Arial" w:hAnsi="Arial" w:cs="Arial"/>
          <w:color w:val="000000" w:themeColor="text1"/>
          <w:sz w:val="20"/>
          <w:szCs w:val="20"/>
        </w:rPr>
        <w:t>it accounts for a relatively small proportion of total cancer diagnoses, pancreatic cancer contributes disproportionately to cancer</w:t>
      </w:r>
      <w:r w:rsidRPr="00360A96">
        <w:rPr>
          <w:rFonts w:ascii="Cambria Math" w:hAnsi="Cambria Math" w:cs="Cambria Math"/>
          <w:color w:val="000000" w:themeColor="text1"/>
          <w:sz w:val="20"/>
          <w:szCs w:val="20"/>
        </w:rPr>
        <w:t>‑</w:t>
      </w:r>
      <w:r w:rsidRPr="00360A96">
        <w:rPr>
          <w:rFonts w:ascii="Arial" w:hAnsi="Arial" w:cs="Arial"/>
          <w:color w:val="000000" w:themeColor="text1"/>
          <w:sz w:val="20"/>
          <w:szCs w:val="20"/>
        </w:rPr>
        <w:t>related mortality</w:t>
      </w:r>
      <w:r w:rsidRPr="00360A96">
        <w:rPr>
          <w:rFonts w:ascii="Arial" w:hAnsi="Arial" w:cs="Arial"/>
          <w:color w:val="000000" w:themeColor="text1"/>
          <w:sz w:val="20"/>
          <w:szCs w:val="20"/>
          <w:lang w:val="tr-TR"/>
        </w:rPr>
        <w:t xml:space="preserve"> </w:t>
      </w:r>
      <w:r w:rsidR="00812BD2" w:rsidRPr="00360A96">
        <w:rPr>
          <w:rFonts w:ascii="Arial" w:hAnsi="Arial" w:cs="Arial"/>
          <w:color w:val="000000" w:themeColor="text1"/>
          <w:sz w:val="20"/>
          <w:szCs w:val="20"/>
          <w:lang w:val="tr-TR"/>
        </w:rPr>
        <w:t>(</w:t>
      </w:r>
      <w:r w:rsidRPr="00360A96">
        <w:rPr>
          <w:rFonts w:ascii="Arial" w:hAnsi="Arial" w:cs="Arial"/>
          <w:color w:val="000000" w:themeColor="text1"/>
          <w:sz w:val="20"/>
          <w:szCs w:val="20"/>
          <w:lang w:val="tr-TR"/>
        </w:rPr>
        <w:t>Bray et al., 2024; Leiphrakpam et al., 2025</w:t>
      </w:r>
      <w:r w:rsidR="00812BD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w:t>
      </w:r>
      <w:r w:rsidRPr="00360A96">
        <w:rPr>
          <w:rFonts w:ascii="Arial" w:eastAsia="Times New Roman" w:hAnsi="Arial" w:cs="Arial"/>
          <w:color w:val="000000" w:themeColor="text1"/>
          <w:kern w:val="0"/>
          <w:sz w:val="20"/>
          <w:szCs w:val="20"/>
          <w14:ligatures w14:val="none"/>
        </w:rPr>
        <w:t xml:space="preserve">The global </w:t>
      </w:r>
      <w:r w:rsidR="00812BD2" w:rsidRPr="00360A96">
        <w:rPr>
          <w:rFonts w:ascii="Arial" w:eastAsia="Times New Roman" w:hAnsi="Arial" w:cs="Arial"/>
          <w:color w:val="000000" w:themeColor="text1"/>
          <w:kern w:val="0"/>
          <w:sz w:val="20"/>
          <w:szCs w:val="20"/>
          <w:lang w:val="tr-TR"/>
          <w14:ligatures w14:val="none"/>
        </w:rPr>
        <w:t>(</w:t>
      </w:r>
      <w:r w:rsidR="006855FF" w:rsidRPr="00360A96">
        <w:rPr>
          <w:rFonts w:ascii="Arial" w:hAnsi="Arial" w:cs="Arial"/>
          <w:color w:val="000000" w:themeColor="text1"/>
          <w:sz w:val="20"/>
          <w:szCs w:val="20"/>
          <w:lang w:val="tr-TR"/>
        </w:rPr>
        <w:t>Leiphrakpam et al., 2025</w:t>
      </w:r>
      <w:r w:rsidR="006855FF" w:rsidRPr="00360A96">
        <w:rPr>
          <w:rFonts w:ascii="Arial" w:eastAsia="Times New Roman" w:hAnsi="Arial" w:cs="Arial"/>
          <w:color w:val="000000" w:themeColor="text1"/>
          <w:kern w:val="0"/>
          <w:sz w:val="20"/>
          <w:szCs w:val="20"/>
          <w:lang w:val="tr-TR"/>
          <w14:ligatures w14:val="none"/>
        </w:rPr>
        <w:t xml:space="preserve">; </w:t>
      </w:r>
      <w:r w:rsidR="006855FF" w:rsidRPr="00360A96">
        <w:rPr>
          <w:rFonts w:ascii="Arial" w:eastAsia="Times New Roman" w:hAnsi="Arial" w:cs="Arial"/>
          <w:color w:val="000000" w:themeColor="text1"/>
          <w:kern w:val="0"/>
          <w:sz w:val="20"/>
          <w:szCs w:val="20"/>
          <w:lang w:val="en"/>
          <w14:ligatures w14:val="none"/>
        </w:rPr>
        <w:t>Huang et al., 2021</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w:t>
      </w:r>
      <w:r w:rsidRPr="00360A96">
        <w:rPr>
          <w:rFonts w:ascii="Arial" w:eastAsia="Times New Roman" w:hAnsi="Arial" w:cs="Arial"/>
          <w:color w:val="000000" w:themeColor="text1"/>
          <w:kern w:val="0"/>
          <w:sz w:val="20"/>
          <w:szCs w:val="20"/>
          <w:lang w:val="tr-TR"/>
          <w14:ligatures w14:val="none"/>
        </w:rPr>
        <w:t>USA</w:t>
      </w:r>
      <w:r w:rsidRPr="00360A96">
        <w:rPr>
          <w:rFonts w:ascii="Arial" w:eastAsia="Times New Roman" w:hAnsi="Arial" w:cs="Arial"/>
          <w:color w:val="000000" w:themeColor="text1"/>
          <w:kern w:val="0"/>
          <w:sz w:val="20"/>
          <w:szCs w:val="20"/>
          <w14:ligatures w14:val="none"/>
        </w:rPr>
        <w:t xml:space="preserve"> </w:t>
      </w:r>
      <w:r w:rsidR="00812BD2"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en"/>
          <w14:ligatures w14:val="none"/>
        </w:rPr>
        <w:t>Siegel et al., 2025</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and Europe </w:t>
      </w:r>
      <w:r w:rsidR="00812BD2"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Partyka et al., 2023; Carioli et al., 2021</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lang w:val="tr-TR"/>
          <w14:ligatures w14:val="none"/>
        </w:rPr>
        <w:t xml:space="preserve">, </w:t>
      </w:r>
      <w:r w:rsidRPr="00360A96">
        <w:rPr>
          <w:rFonts w:ascii="Arial" w:eastAsia="Times New Roman" w:hAnsi="Arial" w:cs="Arial"/>
          <w:color w:val="000000" w:themeColor="text1"/>
          <w:kern w:val="0"/>
          <w:sz w:val="20"/>
          <w:szCs w:val="20"/>
          <w14:ligatures w14:val="none"/>
        </w:rPr>
        <w:t xml:space="preserve">the incidence and mortality of pancreatic cancer </w:t>
      </w:r>
      <w:r w:rsidRPr="00360A96">
        <w:rPr>
          <w:rFonts w:ascii="Arial" w:eastAsia="Times New Roman" w:hAnsi="Arial" w:cs="Arial"/>
          <w:color w:val="000000" w:themeColor="text1"/>
          <w:kern w:val="0"/>
          <w:sz w:val="20"/>
          <w:szCs w:val="20"/>
          <w:lang w:val="tr-TR"/>
          <w14:ligatures w14:val="none"/>
        </w:rPr>
        <w:t xml:space="preserve">(PC) </w:t>
      </w:r>
      <w:r w:rsidRPr="00360A96">
        <w:rPr>
          <w:rFonts w:ascii="Arial" w:eastAsia="Times New Roman" w:hAnsi="Arial" w:cs="Arial"/>
          <w:color w:val="000000" w:themeColor="text1"/>
          <w:kern w:val="0"/>
          <w:sz w:val="20"/>
          <w:szCs w:val="20"/>
          <w14:ligatures w14:val="none"/>
        </w:rPr>
        <w:t>have been increasing.</w:t>
      </w:r>
      <w:r w:rsidRPr="00360A96">
        <w:rPr>
          <w:rFonts w:ascii="Arial" w:eastAsia="Times New Roman" w:hAnsi="Arial" w:cs="Arial"/>
          <w:color w:val="000000" w:themeColor="text1"/>
          <w:kern w:val="0"/>
          <w:sz w:val="20"/>
          <w:szCs w:val="20"/>
          <w:lang w:val="tr-TR"/>
          <w14:ligatures w14:val="none"/>
        </w:rPr>
        <w:t xml:space="preserve"> </w:t>
      </w:r>
      <w:r w:rsidRPr="00360A96">
        <w:rPr>
          <w:rFonts w:ascii="Arial" w:hAnsi="Arial" w:cs="Arial"/>
          <w:color w:val="000000" w:themeColor="text1"/>
          <w:sz w:val="20"/>
          <w:szCs w:val="20"/>
        </w:rPr>
        <w:t>The aggressive biology of the disease, combined with the absence of reliable early detection methods, results in poor survival outcomes for most patients.</w:t>
      </w:r>
      <w:r w:rsidRPr="00360A96">
        <w:rPr>
          <w:rFonts w:ascii="Arial" w:hAnsi="Arial" w:cs="Arial"/>
          <w:color w:val="000000" w:themeColor="text1"/>
          <w:sz w:val="20"/>
          <w:szCs w:val="20"/>
          <w:lang w:val="tr-TR"/>
        </w:rPr>
        <w:t xml:space="preserve"> </w:t>
      </w:r>
      <w:r w:rsidRPr="00360A96">
        <w:rPr>
          <w:rFonts w:ascii="Arial" w:eastAsia="Times New Roman" w:hAnsi="Arial" w:cs="Arial"/>
          <w:color w:val="000000" w:themeColor="text1"/>
          <w:kern w:val="0"/>
          <w:sz w:val="20"/>
          <w:szCs w:val="20"/>
          <w:lang w:val="tr-TR"/>
          <w14:ligatures w14:val="none"/>
        </w:rPr>
        <w:t>It</w:t>
      </w:r>
      <w:r w:rsidRPr="00360A96">
        <w:rPr>
          <w:rFonts w:ascii="Arial" w:eastAsia="Times New Roman" w:hAnsi="Arial" w:cs="Arial"/>
          <w:color w:val="000000" w:themeColor="text1"/>
          <w:kern w:val="0"/>
          <w:sz w:val="20"/>
          <w:szCs w:val="20"/>
          <w:lang w:val="en"/>
          <w14:ligatures w14:val="none"/>
        </w:rPr>
        <w:t xml:space="preserve"> mostly affects men aged 65 to 85 but its incidence is rising among younger and women </w:t>
      </w:r>
      <w:r w:rsidR="00812BD2" w:rsidRPr="00360A96">
        <w:rPr>
          <w:rFonts w:ascii="Arial" w:eastAsia="Times New Roman" w:hAnsi="Arial" w:cs="Arial"/>
          <w:color w:val="000000" w:themeColor="text1"/>
          <w:kern w:val="0"/>
          <w:sz w:val="20"/>
          <w:szCs w:val="20"/>
          <w:lang w:val="en"/>
          <w14:ligatures w14:val="none"/>
        </w:rPr>
        <w:t>(</w:t>
      </w:r>
      <w:r w:rsidRPr="00360A96">
        <w:rPr>
          <w:rFonts w:ascii="Arial" w:eastAsia="Times New Roman" w:hAnsi="Arial" w:cs="Arial"/>
          <w:color w:val="000000" w:themeColor="text1"/>
          <w:kern w:val="0"/>
          <w:sz w:val="20"/>
          <w:szCs w:val="20"/>
          <w:lang w:val="en"/>
          <w14:ligatures w14:val="none"/>
        </w:rPr>
        <w:t>Huang et al., 2021; Siegel et al., 2025</w:t>
      </w:r>
      <w:r w:rsidR="00812BD2" w:rsidRPr="00360A96">
        <w:rPr>
          <w:rFonts w:ascii="Arial" w:eastAsia="Times New Roman" w:hAnsi="Arial" w:cs="Arial"/>
          <w:color w:val="000000" w:themeColor="text1"/>
          <w:kern w:val="0"/>
          <w:sz w:val="20"/>
          <w:szCs w:val="20"/>
          <w:lang w:val="en"/>
          <w14:ligatures w14:val="none"/>
        </w:rPr>
        <w:t>)</w:t>
      </w:r>
      <w:r w:rsidRPr="00360A96">
        <w:rPr>
          <w:rFonts w:ascii="Arial" w:eastAsia="Times New Roman" w:hAnsi="Arial" w:cs="Arial"/>
          <w:color w:val="000000" w:themeColor="text1"/>
          <w:kern w:val="0"/>
          <w:sz w:val="20"/>
          <w:szCs w:val="20"/>
          <w:lang w:val="en"/>
          <w14:ligatures w14:val="none"/>
        </w:rPr>
        <w:t xml:space="preserve">. </w:t>
      </w:r>
      <w:r w:rsidRPr="00360A96">
        <w:rPr>
          <w:rFonts w:ascii="Arial" w:eastAsia="Times New Roman" w:hAnsi="Arial" w:cs="Arial"/>
          <w:color w:val="000000" w:themeColor="text1"/>
          <w:kern w:val="0"/>
          <w:sz w:val="20"/>
          <w:szCs w:val="20"/>
          <w14:ligatures w14:val="none"/>
        </w:rPr>
        <w:t xml:space="preserve">Due to </w:t>
      </w:r>
      <w:r w:rsidRPr="00360A96">
        <w:rPr>
          <w:rFonts w:ascii="Arial" w:eastAsia="Times New Roman" w:hAnsi="Arial" w:cs="Arial"/>
          <w:color w:val="000000" w:themeColor="text1"/>
          <w:kern w:val="0"/>
          <w:sz w:val="20"/>
          <w:szCs w:val="20"/>
          <w:lang w:val="tr-TR"/>
          <w14:ligatures w14:val="none"/>
        </w:rPr>
        <w:t xml:space="preserve">its insidious nature, </w:t>
      </w:r>
      <w:r w:rsidRPr="00360A96">
        <w:rPr>
          <w:rFonts w:ascii="Arial" w:eastAsia="Times New Roman" w:hAnsi="Arial" w:cs="Arial"/>
          <w:color w:val="000000" w:themeColor="text1"/>
          <w:kern w:val="0"/>
          <w:sz w:val="20"/>
          <w:szCs w:val="20"/>
          <w14:ligatures w14:val="none"/>
        </w:rPr>
        <w:t>the absence of early symptoms</w:t>
      </w:r>
      <w:r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its rapid invasion of adjacent tissues and organs, pancreatic cancer is considered one of the deadliest forms of cancer</w:t>
      </w:r>
      <w:r w:rsidRPr="00360A96">
        <w:rPr>
          <w:rFonts w:ascii="Arial" w:eastAsia="Times New Roman" w:hAnsi="Arial" w:cs="Arial"/>
          <w:color w:val="000000" w:themeColor="text1"/>
          <w:kern w:val="0"/>
          <w:sz w:val="20"/>
          <w:szCs w:val="20"/>
          <w:lang w:val="tr-TR"/>
          <w14:ligatures w14:val="none"/>
        </w:rPr>
        <w:t xml:space="preserve">. It takes first place among the asemptomatic cancers, it accounts 2.6% of all cancers and 4.8% of cancer-related deaths </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lang w:val="tr-TR"/>
          <w14:ligatures w14:val="none"/>
        </w:rPr>
        <w:t>Bray et al., 2024</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Its lethality stems from its silent progression, lack of early symptoms, and rapid invasion of adjacent tissues and organs.</w:t>
      </w:r>
    </w:p>
    <w:p w14:paraId="6243CC0B"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 xml:space="preserve">Risk factors for PC are generally divided into non-modifiable and modifiable categories </w:t>
      </w:r>
      <w:r w:rsidR="00812BD2"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Midha et al., 2016</w:t>
      </w:r>
      <w:r w:rsidR="00812BD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Non-modifiable factors include sex, age, geography, blood type, genetic predisposition, family history, and diabetes </w:t>
      </w:r>
      <w:r w:rsidR="00812BD2"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Midha et al., 2016; Bailey et al., 2016</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Modifiable </w:t>
      </w:r>
      <w:r w:rsidR="00735107" w:rsidRPr="00360A96">
        <w:rPr>
          <w:rFonts w:ascii="Arial" w:eastAsia="Times New Roman" w:hAnsi="Arial" w:cs="Arial"/>
          <w:color w:val="000000" w:themeColor="text1"/>
          <w:kern w:val="0"/>
          <w:sz w:val="20"/>
          <w:szCs w:val="20"/>
          <w:lang w:val="tr-TR"/>
          <w14:ligatures w14:val="none"/>
        </w:rPr>
        <w:t xml:space="preserve">risk </w:t>
      </w:r>
      <w:r w:rsidRPr="00360A96">
        <w:rPr>
          <w:rFonts w:ascii="Arial" w:eastAsia="Times New Roman" w:hAnsi="Arial" w:cs="Arial"/>
          <w:color w:val="000000" w:themeColor="text1"/>
          <w:kern w:val="0"/>
          <w:sz w:val="20"/>
          <w:szCs w:val="20"/>
          <w14:ligatures w14:val="none"/>
        </w:rPr>
        <w:t xml:space="preserve">factors encompass gut </w:t>
      </w:r>
      <w:r w:rsidRPr="00360A96">
        <w:rPr>
          <w:rFonts w:ascii="Arial" w:eastAsia="Times New Roman" w:hAnsi="Arial" w:cs="Arial"/>
          <w:color w:val="000000" w:themeColor="text1"/>
          <w:kern w:val="0"/>
          <w:sz w:val="20"/>
          <w:szCs w:val="20"/>
          <w14:ligatures w14:val="none"/>
        </w:rPr>
        <w:lastRenderedPageBreak/>
        <w:t xml:space="preserve">microbiota dysbiosis, alcohol consumption </w:t>
      </w:r>
      <w:r w:rsidR="00E223BE"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Naudin et al., 2025</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smoking </w:t>
      </w:r>
      <w:r w:rsidR="00E223BE"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Naudin et al., 2025; Korc et al., 2017; Lin et al., 2002</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lifestyle </w:t>
      </w:r>
      <w:r w:rsidR="00E223BE"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Subramanian et al., 2024; Klein 2021</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dietary patterns </w:t>
      </w:r>
      <w:r w:rsidR="00E223BE" w:rsidRPr="00360A96">
        <w:rPr>
          <w:rFonts w:ascii="Arial" w:eastAsia="Times New Roman" w:hAnsi="Arial" w:cs="Arial"/>
          <w:color w:val="000000" w:themeColor="text1"/>
          <w:kern w:val="0"/>
          <w:sz w:val="20"/>
          <w:szCs w:val="20"/>
          <w:lang w:val="tr-TR"/>
          <w14:ligatures w14:val="none"/>
        </w:rPr>
        <w:t>(</w:t>
      </w:r>
      <w:r w:rsidR="006855FF" w:rsidRPr="00360A96">
        <w:rPr>
          <w:rFonts w:ascii="Arial" w:eastAsia="Times New Roman" w:hAnsi="Arial" w:cs="Arial"/>
          <w:color w:val="000000" w:themeColor="text1"/>
          <w:kern w:val="0"/>
          <w:sz w:val="20"/>
          <w:szCs w:val="20"/>
          <w:lang w:val="tr-TR"/>
          <w14:ligatures w14:val="none"/>
        </w:rPr>
        <w:t>Noe et al., 20</w:t>
      </w:r>
      <w:r w:rsidR="00A51E25" w:rsidRPr="00360A96">
        <w:rPr>
          <w:rFonts w:ascii="Arial" w:eastAsia="Times New Roman" w:hAnsi="Arial" w:cs="Arial"/>
          <w:color w:val="000000" w:themeColor="text1"/>
          <w:kern w:val="0"/>
          <w:sz w:val="20"/>
          <w:szCs w:val="20"/>
          <w:lang w:val="tr-TR"/>
          <w14:ligatures w14:val="none"/>
        </w:rPr>
        <w:t>24;Aune et al., 2012</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and excessive intake of fructose-rich foods or high-fructose corn syrup (HFCS), which are linked to metabolic syndrome, obesity, insulin resistance, chronic pancreatitis, and eventually pancreatic cancer </w:t>
      </w:r>
      <w:r w:rsidR="00E223BE" w:rsidRPr="00360A96">
        <w:rPr>
          <w:rFonts w:ascii="Arial" w:eastAsia="Times New Roman" w:hAnsi="Arial" w:cs="Arial"/>
          <w:color w:val="000000" w:themeColor="text1"/>
          <w:kern w:val="0"/>
          <w:sz w:val="20"/>
          <w:szCs w:val="20"/>
          <w:lang w:val="tr-TR"/>
          <w14:ligatures w14:val="none"/>
        </w:rPr>
        <w:t>(</w:t>
      </w:r>
      <w:r w:rsidR="00A51E25" w:rsidRPr="00360A96">
        <w:rPr>
          <w:rFonts w:ascii="Arial" w:eastAsia="Times New Roman" w:hAnsi="Arial" w:cs="Arial"/>
          <w:color w:val="000000" w:themeColor="text1"/>
          <w:kern w:val="0"/>
          <w:sz w:val="20"/>
          <w:szCs w:val="20"/>
          <w:lang w:val="tr-TR"/>
          <w14:ligatures w14:val="none"/>
        </w:rPr>
        <w:t>Aune et al., 2012; Laguna et al., 2021; Port et al., 2012; Navarrete-Munoz et al., 2016; Bantle, 2009; Taskinen et al., 2019; Balakumar et al., 2016; Softic et al., 2020; X</w:t>
      </w:r>
      <w:r w:rsidR="00E223BE" w:rsidRPr="00360A96">
        <w:rPr>
          <w:rFonts w:ascii="Arial" w:eastAsia="Times New Roman" w:hAnsi="Arial" w:cs="Arial"/>
          <w:color w:val="000000" w:themeColor="text1"/>
          <w:kern w:val="0"/>
          <w:sz w:val="20"/>
          <w:szCs w:val="20"/>
          <w:lang w:val="tr-TR"/>
          <w14:ligatures w14:val="none"/>
        </w:rPr>
        <w:t>u</w:t>
      </w:r>
      <w:r w:rsidR="00A51E25" w:rsidRPr="00360A96">
        <w:rPr>
          <w:rFonts w:ascii="Arial" w:eastAsia="Times New Roman" w:hAnsi="Arial" w:cs="Arial"/>
          <w:color w:val="000000" w:themeColor="text1"/>
          <w:kern w:val="0"/>
          <w:sz w:val="20"/>
          <w:szCs w:val="20"/>
          <w:lang w:val="tr-TR"/>
          <w14:ligatures w14:val="none"/>
        </w:rPr>
        <w:t xml:space="preserve"> et al., 2018; Zhao et al., 2022; Nakagawa et al., 2020; Ting, 2024</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w:t>
      </w:r>
    </w:p>
    <w:p w14:paraId="5DF7BC47"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 xml:space="preserve">In the United States, pancreatic cancer is currently the fourth leading cause of cancer-related deaths and is projected to become the second by 2030 </w:t>
      </w:r>
      <w:r w:rsidR="00E223BE" w:rsidRPr="00360A96">
        <w:rPr>
          <w:rFonts w:ascii="Arial" w:eastAsia="Times New Roman" w:hAnsi="Arial" w:cs="Arial"/>
          <w:color w:val="000000" w:themeColor="text1"/>
          <w:kern w:val="0"/>
          <w:sz w:val="20"/>
          <w:szCs w:val="20"/>
          <w:lang w:val="tr-TR"/>
          <w14:ligatures w14:val="none"/>
        </w:rPr>
        <w:t>(</w:t>
      </w:r>
      <w:r w:rsidR="00A51E25" w:rsidRPr="00360A96">
        <w:rPr>
          <w:rFonts w:ascii="Arial" w:eastAsia="Times New Roman" w:hAnsi="Arial" w:cs="Arial"/>
          <w:color w:val="000000" w:themeColor="text1"/>
          <w:kern w:val="0"/>
          <w:sz w:val="20"/>
          <w:szCs w:val="20"/>
          <w:lang w:val="tr-TR"/>
          <w14:ligatures w14:val="none"/>
        </w:rPr>
        <w:t>Rahib et al., 2014</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Pancreatic ductal adenocarcinoma (PDAC)—the predominant histological subtype—accounts for approximately 85% of all pancreatic malignancies and remains the principal contributor to pancreatic cancer mortality </w:t>
      </w:r>
      <w:r w:rsidR="00E223BE" w:rsidRPr="00360A96">
        <w:rPr>
          <w:rFonts w:ascii="Arial" w:eastAsia="Times New Roman" w:hAnsi="Arial" w:cs="Arial"/>
          <w:color w:val="000000" w:themeColor="text1"/>
          <w:kern w:val="0"/>
          <w:sz w:val="20"/>
          <w:szCs w:val="20"/>
          <w:lang w:val="tr-TR"/>
          <w14:ligatures w14:val="none"/>
        </w:rPr>
        <w:t>(</w:t>
      </w:r>
      <w:r w:rsidR="006D67CB" w:rsidRPr="00360A96">
        <w:rPr>
          <w:rFonts w:ascii="Arial" w:eastAsia="Times New Roman" w:hAnsi="Arial" w:cs="Arial"/>
          <w:color w:val="000000" w:themeColor="text1"/>
          <w:kern w:val="0"/>
          <w:sz w:val="20"/>
          <w:szCs w:val="20"/>
          <w:lang w:val="tr-TR"/>
          <w14:ligatures w14:val="none"/>
        </w:rPr>
        <w:t>Li et al., 2019;</w:t>
      </w:r>
      <w:r w:rsidR="00E0251D" w:rsidRPr="00360A96">
        <w:rPr>
          <w:rFonts w:ascii="Arial" w:eastAsia="Times New Roman" w:hAnsi="Arial" w:cs="Arial"/>
          <w:color w:val="000000" w:themeColor="text1"/>
          <w:kern w:val="0"/>
          <w:sz w:val="20"/>
          <w:szCs w:val="20"/>
          <w:lang w:val="tr-TR"/>
          <w14:ligatures w14:val="none"/>
        </w:rPr>
        <w:t xml:space="preserve"> Garrido-Laguna et al., 2015</w:t>
      </w:r>
      <w:r w:rsidR="00E223BE"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w:t>
      </w:r>
    </w:p>
    <w:p w14:paraId="03FEDA6B"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Incidence and mortality continue to rise globally, with 2025 estimates indicating approximately 510,992 new cases and 467,409 deaths worldwide, 67,440/51,980 in the USA, and 140,116/132,134 in the European Union, respectively (Table 1).</w:t>
      </w:r>
    </w:p>
    <w:p w14:paraId="630E008D" w14:textId="77777777" w:rsidR="009B6DD9" w:rsidRPr="00360A96" w:rsidRDefault="009B6DD9" w:rsidP="0019493F">
      <w:pPr>
        <w:pStyle w:val="NormalWeb"/>
        <w:ind w:left="567" w:right="283"/>
        <w:jc w:val="both"/>
        <w:rPr>
          <w:rFonts w:ascii="Arial" w:hAnsi="Arial" w:cs="Arial"/>
          <w:color w:val="000000" w:themeColor="text1"/>
          <w:sz w:val="20"/>
          <w:szCs w:val="20"/>
        </w:rPr>
      </w:pPr>
      <w:r w:rsidRPr="00360A96">
        <w:rPr>
          <w:rFonts w:ascii="Arial" w:hAnsi="Arial" w:cs="Arial"/>
          <w:b/>
          <w:bCs/>
          <w:color w:val="000000" w:themeColor="text1"/>
          <w:sz w:val="20"/>
          <w:szCs w:val="20"/>
        </w:rPr>
        <w:t xml:space="preserve">Table 1. </w:t>
      </w:r>
      <w:r w:rsidRPr="00360A96">
        <w:rPr>
          <w:rFonts w:ascii="Arial" w:hAnsi="Arial" w:cs="Arial"/>
          <w:color w:val="000000" w:themeColor="text1"/>
          <w:sz w:val="20"/>
          <w:szCs w:val="20"/>
        </w:rPr>
        <w:t>Incidence and mortality of pancreatic cancer in the world</w:t>
      </w:r>
      <w:r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w:t>
      </w:r>
      <w:r w:rsidRPr="00360A96">
        <w:rPr>
          <w:rFonts w:ascii="Arial" w:hAnsi="Arial" w:cs="Arial"/>
          <w:color w:val="000000" w:themeColor="text1"/>
          <w:sz w:val="20"/>
          <w:szCs w:val="20"/>
          <w:lang w:val="tr-TR"/>
        </w:rPr>
        <w:t>USA</w:t>
      </w:r>
      <w:r w:rsidR="007D521D" w:rsidRPr="00360A96">
        <w:rPr>
          <w:rFonts w:ascii="Arial" w:hAnsi="Arial" w:cs="Arial"/>
          <w:color w:val="000000" w:themeColor="text1"/>
          <w:sz w:val="20"/>
          <w:szCs w:val="20"/>
          <w:lang w:val="tr-TR"/>
        </w:rPr>
        <w:t>,</w:t>
      </w:r>
      <w:r w:rsidRPr="00360A96">
        <w:rPr>
          <w:rFonts w:ascii="Arial" w:hAnsi="Arial" w:cs="Arial"/>
          <w:color w:val="000000" w:themeColor="text1"/>
          <w:sz w:val="20"/>
          <w:szCs w:val="20"/>
          <w:lang w:val="tr-TR"/>
        </w:rPr>
        <w:t xml:space="preserve"> and </w:t>
      </w:r>
      <w:r w:rsidRPr="00360A96">
        <w:rPr>
          <w:rFonts w:ascii="Arial" w:hAnsi="Arial" w:cs="Arial"/>
          <w:color w:val="000000" w:themeColor="text1"/>
          <w:sz w:val="20"/>
          <w:szCs w:val="20"/>
        </w:rPr>
        <w:t>Europe.</w:t>
      </w:r>
    </w:p>
    <w:tbl>
      <w:tblPr>
        <w:tblStyle w:val="TableGrid"/>
        <w:tblW w:w="8789" w:type="dxa"/>
        <w:tblInd w:w="562" w:type="dxa"/>
        <w:tblLook w:val="04A0" w:firstRow="1" w:lastRow="0" w:firstColumn="1" w:lastColumn="0" w:noHBand="0" w:noVBand="1"/>
      </w:tblPr>
      <w:tblGrid>
        <w:gridCol w:w="3261"/>
        <w:gridCol w:w="1984"/>
        <w:gridCol w:w="1843"/>
        <w:gridCol w:w="1701"/>
      </w:tblGrid>
      <w:tr w:rsidR="00022560" w:rsidRPr="00360A96" w14:paraId="1EDA7BAB" w14:textId="77777777" w:rsidTr="004557D8">
        <w:tc>
          <w:tcPr>
            <w:tcW w:w="3261" w:type="dxa"/>
          </w:tcPr>
          <w:p w14:paraId="2B381E94"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Pancreatic cancer</w:t>
            </w:r>
          </w:p>
        </w:tc>
        <w:tc>
          <w:tcPr>
            <w:tcW w:w="1984" w:type="dxa"/>
          </w:tcPr>
          <w:p w14:paraId="22F9E930"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World</w:t>
            </w:r>
            <w:r w:rsidRPr="00360A96">
              <w:rPr>
                <w:rFonts w:ascii="Arial" w:hAnsi="Arial" w:cs="Arial"/>
                <w:color w:val="000000" w:themeColor="text1"/>
                <w:sz w:val="20"/>
                <w:szCs w:val="20"/>
                <w:vertAlign w:val="superscript"/>
                <w:lang w:val="tr-TR"/>
              </w:rPr>
              <w:t>a</w:t>
            </w:r>
          </w:p>
        </w:tc>
        <w:tc>
          <w:tcPr>
            <w:tcW w:w="1843" w:type="dxa"/>
          </w:tcPr>
          <w:p w14:paraId="68738C9C"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USA</w:t>
            </w:r>
            <w:r w:rsidRPr="00360A96">
              <w:rPr>
                <w:rFonts w:ascii="Arial" w:hAnsi="Arial" w:cs="Arial"/>
                <w:color w:val="000000" w:themeColor="text1"/>
                <w:sz w:val="20"/>
                <w:szCs w:val="20"/>
                <w:vertAlign w:val="superscript"/>
                <w:lang w:val="tr-TR"/>
              </w:rPr>
              <w:t>b</w:t>
            </w:r>
          </w:p>
        </w:tc>
        <w:tc>
          <w:tcPr>
            <w:tcW w:w="1701" w:type="dxa"/>
          </w:tcPr>
          <w:p w14:paraId="33E62306"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Europe</w:t>
            </w:r>
          </w:p>
        </w:tc>
      </w:tr>
      <w:tr w:rsidR="00022560" w:rsidRPr="00360A96" w14:paraId="1033C494" w14:textId="77777777" w:rsidTr="004557D8">
        <w:tc>
          <w:tcPr>
            <w:tcW w:w="3261" w:type="dxa"/>
          </w:tcPr>
          <w:p w14:paraId="3EC70478"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Total number of cases</w:t>
            </w:r>
          </w:p>
        </w:tc>
        <w:tc>
          <w:tcPr>
            <w:tcW w:w="1984" w:type="dxa"/>
          </w:tcPr>
          <w:p w14:paraId="74035605"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510992</w:t>
            </w:r>
            <w:r w:rsidRPr="00360A96">
              <w:rPr>
                <w:rFonts w:ascii="Arial" w:hAnsi="Arial" w:cs="Arial"/>
                <w:color w:val="000000" w:themeColor="text1"/>
                <w:sz w:val="20"/>
                <w:szCs w:val="20"/>
                <w:vertAlign w:val="superscript"/>
                <w:lang w:val="tr-TR"/>
              </w:rPr>
              <w:t>a</w:t>
            </w:r>
          </w:p>
        </w:tc>
        <w:tc>
          <w:tcPr>
            <w:tcW w:w="1843" w:type="dxa"/>
          </w:tcPr>
          <w:p w14:paraId="3F07E345"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67440</w:t>
            </w:r>
            <w:r w:rsidRPr="00360A96">
              <w:rPr>
                <w:rFonts w:ascii="Arial" w:hAnsi="Arial" w:cs="Arial"/>
                <w:color w:val="000000" w:themeColor="text1"/>
                <w:sz w:val="20"/>
                <w:szCs w:val="20"/>
                <w:vertAlign w:val="superscript"/>
                <w:lang w:val="tr-TR"/>
              </w:rPr>
              <w:t>b</w:t>
            </w:r>
          </w:p>
        </w:tc>
        <w:tc>
          <w:tcPr>
            <w:tcW w:w="1701" w:type="dxa"/>
          </w:tcPr>
          <w:p w14:paraId="2CA6A5CF"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140116</w:t>
            </w:r>
            <w:r w:rsidRPr="00360A96">
              <w:rPr>
                <w:rFonts w:ascii="Arial" w:hAnsi="Arial" w:cs="Arial"/>
                <w:color w:val="000000" w:themeColor="text1"/>
                <w:sz w:val="20"/>
                <w:szCs w:val="20"/>
                <w:vertAlign w:val="superscript"/>
                <w:lang w:val="tr-TR"/>
              </w:rPr>
              <w:t>c</w:t>
            </w:r>
          </w:p>
        </w:tc>
      </w:tr>
      <w:tr w:rsidR="00022560" w:rsidRPr="00360A96" w14:paraId="15C8E994" w14:textId="77777777" w:rsidTr="004557D8">
        <w:tc>
          <w:tcPr>
            <w:tcW w:w="3261" w:type="dxa"/>
          </w:tcPr>
          <w:p w14:paraId="2D091518"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Number of men with PC</w:t>
            </w:r>
          </w:p>
        </w:tc>
        <w:tc>
          <w:tcPr>
            <w:tcW w:w="1984" w:type="dxa"/>
          </w:tcPr>
          <w:p w14:paraId="507AFD74"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269709</w:t>
            </w:r>
            <w:r w:rsidRPr="00360A96">
              <w:rPr>
                <w:rFonts w:ascii="Arial" w:hAnsi="Arial" w:cs="Arial"/>
                <w:color w:val="000000" w:themeColor="text1"/>
                <w:sz w:val="20"/>
                <w:szCs w:val="20"/>
                <w:vertAlign w:val="superscript"/>
                <w:lang w:val="tr-TR"/>
              </w:rPr>
              <w:t>a</w:t>
            </w:r>
          </w:p>
        </w:tc>
        <w:tc>
          <w:tcPr>
            <w:tcW w:w="1843" w:type="dxa"/>
          </w:tcPr>
          <w:p w14:paraId="195A2CC6"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34950</w:t>
            </w:r>
            <w:r w:rsidRPr="00360A96">
              <w:rPr>
                <w:rFonts w:ascii="Arial" w:hAnsi="Arial" w:cs="Arial"/>
                <w:color w:val="000000" w:themeColor="text1"/>
                <w:sz w:val="20"/>
                <w:szCs w:val="20"/>
                <w:vertAlign w:val="superscript"/>
                <w:lang w:val="tr-TR"/>
              </w:rPr>
              <w:t>b</w:t>
            </w:r>
          </w:p>
        </w:tc>
        <w:tc>
          <w:tcPr>
            <w:tcW w:w="1701" w:type="dxa"/>
          </w:tcPr>
          <w:p w14:paraId="33747568"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w:t>
            </w:r>
          </w:p>
        </w:tc>
      </w:tr>
      <w:tr w:rsidR="00022560" w:rsidRPr="00360A96" w14:paraId="6EA2AABD" w14:textId="77777777" w:rsidTr="004557D8">
        <w:tc>
          <w:tcPr>
            <w:tcW w:w="3261" w:type="dxa"/>
          </w:tcPr>
          <w:p w14:paraId="57B5A197"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Number of women with PC</w:t>
            </w:r>
          </w:p>
        </w:tc>
        <w:tc>
          <w:tcPr>
            <w:tcW w:w="1984" w:type="dxa"/>
          </w:tcPr>
          <w:p w14:paraId="6E04FAFD"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241283</w:t>
            </w:r>
            <w:r w:rsidRPr="00360A96">
              <w:rPr>
                <w:rFonts w:ascii="Arial" w:hAnsi="Arial" w:cs="Arial"/>
                <w:color w:val="000000" w:themeColor="text1"/>
                <w:sz w:val="20"/>
                <w:szCs w:val="20"/>
                <w:vertAlign w:val="superscript"/>
                <w:lang w:val="tr-TR"/>
              </w:rPr>
              <w:t>a</w:t>
            </w:r>
          </w:p>
        </w:tc>
        <w:tc>
          <w:tcPr>
            <w:tcW w:w="1843" w:type="dxa"/>
          </w:tcPr>
          <w:p w14:paraId="501DB3A5"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32490</w:t>
            </w:r>
            <w:r w:rsidRPr="00360A96">
              <w:rPr>
                <w:rFonts w:ascii="Arial" w:hAnsi="Arial" w:cs="Arial"/>
                <w:color w:val="000000" w:themeColor="text1"/>
                <w:sz w:val="20"/>
                <w:szCs w:val="20"/>
                <w:vertAlign w:val="superscript"/>
                <w:lang w:val="tr-TR"/>
              </w:rPr>
              <w:t>b</w:t>
            </w:r>
          </w:p>
        </w:tc>
        <w:tc>
          <w:tcPr>
            <w:tcW w:w="1701" w:type="dxa"/>
          </w:tcPr>
          <w:p w14:paraId="1E81A4F9"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w:t>
            </w:r>
          </w:p>
        </w:tc>
      </w:tr>
      <w:tr w:rsidR="00022560" w:rsidRPr="00360A96" w14:paraId="12BE74E1" w14:textId="77777777" w:rsidTr="004557D8">
        <w:trPr>
          <w:trHeight w:val="51"/>
        </w:trPr>
        <w:tc>
          <w:tcPr>
            <w:tcW w:w="3261" w:type="dxa"/>
          </w:tcPr>
          <w:p w14:paraId="717CFD08"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Total number of deaths</w:t>
            </w:r>
          </w:p>
        </w:tc>
        <w:tc>
          <w:tcPr>
            <w:tcW w:w="1984" w:type="dxa"/>
          </w:tcPr>
          <w:p w14:paraId="63041D28" w14:textId="77777777" w:rsidR="009B6DD9" w:rsidRPr="00360A96" w:rsidRDefault="009B6DD9" w:rsidP="0019493F">
            <w:pPr>
              <w:spacing w:before="120"/>
              <w:ind w:left="851" w:right="284" w:hanging="851"/>
              <w:jc w:val="center"/>
              <w:rPr>
                <w:rFonts w:ascii="Arial" w:hAnsi="Arial" w:cs="Arial"/>
                <w:color w:val="000000" w:themeColor="text1"/>
                <w:sz w:val="20"/>
                <w:szCs w:val="20"/>
              </w:rPr>
            </w:pPr>
            <w:r w:rsidRPr="00360A96">
              <w:rPr>
                <w:rFonts w:ascii="Arial" w:hAnsi="Arial" w:cs="Arial"/>
                <w:color w:val="000000" w:themeColor="text1"/>
                <w:sz w:val="20"/>
                <w:szCs w:val="20"/>
                <w:lang w:val="tr-TR"/>
              </w:rPr>
              <w:t>467409</w:t>
            </w:r>
            <w:r w:rsidRPr="00360A96">
              <w:rPr>
                <w:rFonts w:ascii="Arial" w:hAnsi="Arial" w:cs="Arial"/>
                <w:color w:val="000000" w:themeColor="text1"/>
                <w:sz w:val="20"/>
                <w:szCs w:val="20"/>
                <w:vertAlign w:val="superscript"/>
                <w:lang w:val="tr-TR"/>
              </w:rPr>
              <w:t>a</w:t>
            </w:r>
          </w:p>
        </w:tc>
        <w:tc>
          <w:tcPr>
            <w:tcW w:w="1843" w:type="dxa"/>
          </w:tcPr>
          <w:p w14:paraId="2FDF6E1C"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51980</w:t>
            </w:r>
            <w:r w:rsidRPr="00360A96">
              <w:rPr>
                <w:rFonts w:ascii="Arial" w:hAnsi="Arial" w:cs="Arial"/>
                <w:color w:val="000000" w:themeColor="text1"/>
                <w:sz w:val="20"/>
                <w:szCs w:val="20"/>
                <w:vertAlign w:val="superscript"/>
                <w:lang w:val="tr-TR"/>
              </w:rPr>
              <w:t>b</w:t>
            </w:r>
          </w:p>
        </w:tc>
        <w:tc>
          <w:tcPr>
            <w:tcW w:w="1701" w:type="dxa"/>
          </w:tcPr>
          <w:p w14:paraId="298FF533"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132134</w:t>
            </w:r>
            <w:r w:rsidRPr="00360A96">
              <w:rPr>
                <w:rFonts w:ascii="Arial" w:hAnsi="Arial" w:cs="Arial"/>
                <w:color w:val="000000" w:themeColor="text1"/>
                <w:sz w:val="20"/>
                <w:szCs w:val="20"/>
                <w:vertAlign w:val="superscript"/>
                <w:lang w:val="tr-TR"/>
              </w:rPr>
              <w:t>c</w:t>
            </w:r>
          </w:p>
        </w:tc>
      </w:tr>
      <w:tr w:rsidR="00022560" w:rsidRPr="00360A96" w14:paraId="75385020" w14:textId="77777777" w:rsidTr="004557D8">
        <w:tc>
          <w:tcPr>
            <w:tcW w:w="3261" w:type="dxa"/>
          </w:tcPr>
          <w:p w14:paraId="2F969CED" w14:textId="77777777" w:rsidR="009B6DD9" w:rsidRPr="00360A96" w:rsidRDefault="009B6DD9" w:rsidP="0019493F">
            <w:pPr>
              <w:spacing w:before="120"/>
              <w:ind w:left="851" w:right="284" w:hanging="851"/>
              <w:rPr>
                <w:rFonts w:ascii="Arial" w:hAnsi="Arial" w:cs="Arial"/>
                <w:color w:val="000000" w:themeColor="text1"/>
                <w:sz w:val="20"/>
                <w:szCs w:val="20"/>
                <w:lang w:val="tr-TR"/>
              </w:rPr>
            </w:pPr>
            <w:r w:rsidRPr="00360A96">
              <w:rPr>
                <w:rFonts w:ascii="Arial" w:hAnsi="Arial" w:cs="Arial"/>
                <w:color w:val="000000" w:themeColor="text1"/>
                <w:sz w:val="20"/>
                <w:szCs w:val="20"/>
                <w:lang w:val="tr-TR"/>
              </w:rPr>
              <w:t>Men died due to PC</w:t>
            </w:r>
          </w:p>
        </w:tc>
        <w:tc>
          <w:tcPr>
            <w:tcW w:w="1984" w:type="dxa"/>
          </w:tcPr>
          <w:p w14:paraId="400F0AFC"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247589</w:t>
            </w:r>
            <w:r w:rsidRPr="00360A96">
              <w:rPr>
                <w:rFonts w:ascii="Arial" w:hAnsi="Arial" w:cs="Arial"/>
                <w:color w:val="000000" w:themeColor="text1"/>
                <w:sz w:val="20"/>
                <w:szCs w:val="20"/>
                <w:vertAlign w:val="superscript"/>
                <w:lang w:val="tr-TR"/>
              </w:rPr>
              <w:t>a</w:t>
            </w:r>
          </w:p>
        </w:tc>
        <w:tc>
          <w:tcPr>
            <w:tcW w:w="1843" w:type="dxa"/>
          </w:tcPr>
          <w:p w14:paraId="1C254C0D"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27050</w:t>
            </w:r>
            <w:r w:rsidRPr="00360A96">
              <w:rPr>
                <w:rFonts w:ascii="Arial" w:hAnsi="Arial" w:cs="Arial"/>
                <w:color w:val="000000" w:themeColor="text1"/>
                <w:sz w:val="20"/>
                <w:szCs w:val="20"/>
                <w:vertAlign w:val="superscript"/>
                <w:lang w:val="tr-TR"/>
              </w:rPr>
              <w:t>b</w:t>
            </w:r>
          </w:p>
        </w:tc>
        <w:tc>
          <w:tcPr>
            <w:tcW w:w="1701" w:type="dxa"/>
          </w:tcPr>
          <w:p w14:paraId="5DE354C7"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42300</w:t>
            </w:r>
            <w:r w:rsidRPr="00360A96">
              <w:rPr>
                <w:rFonts w:ascii="Arial" w:hAnsi="Arial" w:cs="Arial"/>
                <w:color w:val="000000" w:themeColor="text1"/>
                <w:sz w:val="20"/>
                <w:szCs w:val="20"/>
                <w:vertAlign w:val="superscript"/>
                <w:lang w:val="tr-TR"/>
              </w:rPr>
              <w:t>d</w:t>
            </w:r>
          </w:p>
        </w:tc>
      </w:tr>
      <w:tr w:rsidR="00022560" w:rsidRPr="00360A96" w14:paraId="44B365BC" w14:textId="77777777" w:rsidTr="004557D8">
        <w:tc>
          <w:tcPr>
            <w:tcW w:w="3261" w:type="dxa"/>
          </w:tcPr>
          <w:p w14:paraId="0C66C2CE" w14:textId="77777777" w:rsidR="009B6DD9" w:rsidRPr="00360A96" w:rsidRDefault="009B6DD9" w:rsidP="0019493F">
            <w:pPr>
              <w:spacing w:before="120"/>
              <w:ind w:left="851" w:right="284" w:hanging="851"/>
              <w:rPr>
                <w:rFonts w:ascii="Arial" w:hAnsi="Arial" w:cs="Arial"/>
                <w:color w:val="000000" w:themeColor="text1"/>
                <w:sz w:val="20"/>
                <w:szCs w:val="20"/>
              </w:rPr>
            </w:pPr>
            <w:r w:rsidRPr="00360A96">
              <w:rPr>
                <w:rFonts w:ascii="Arial" w:hAnsi="Arial" w:cs="Arial"/>
                <w:color w:val="000000" w:themeColor="text1"/>
                <w:sz w:val="20"/>
                <w:szCs w:val="20"/>
                <w:lang w:val="tr-TR"/>
              </w:rPr>
              <w:t>Women died due to PC</w:t>
            </w:r>
          </w:p>
        </w:tc>
        <w:tc>
          <w:tcPr>
            <w:tcW w:w="1984" w:type="dxa"/>
          </w:tcPr>
          <w:p w14:paraId="5D4C10F5"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219820</w:t>
            </w:r>
            <w:r w:rsidRPr="00360A96">
              <w:rPr>
                <w:rFonts w:ascii="Arial" w:hAnsi="Arial" w:cs="Arial"/>
                <w:color w:val="000000" w:themeColor="text1"/>
                <w:sz w:val="20"/>
                <w:szCs w:val="20"/>
                <w:vertAlign w:val="superscript"/>
                <w:lang w:val="tr-TR"/>
              </w:rPr>
              <w:t>a</w:t>
            </w:r>
          </w:p>
        </w:tc>
        <w:tc>
          <w:tcPr>
            <w:tcW w:w="1843" w:type="dxa"/>
          </w:tcPr>
          <w:p w14:paraId="4A3362B7"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24930</w:t>
            </w:r>
            <w:r w:rsidRPr="00360A96">
              <w:rPr>
                <w:rFonts w:ascii="Arial" w:hAnsi="Arial" w:cs="Arial"/>
                <w:color w:val="000000" w:themeColor="text1"/>
                <w:sz w:val="20"/>
                <w:szCs w:val="20"/>
                <w:vertAlign w:val="superscript"/>
                <w:lang w:val="tr-TR"/>
              </w:rPr>
              <w:t>b</w:t>
            </w:r>
          </w:p>
        </w:tc>
        <w:tc>
          <w:tcPr>
            <w:tcW w:w="1701" w:type="dxa"/>
          </w:tcPr>
          <w:p w14:paraId="305EECE9" w14:textId="77777777" w:rsidR="009B6DD9" w:rsidRPr="00360A96" w:rsidRDefault="009B6DD9" w:rsidP="0019493F">
            <w:pPr>
              <w:spacing w:before="120"/>
              <w:ind w:left="851" w:right="284" w:hanging="851"/>
              <w:jc w:val="center"/>
              <w:rPr>
                <w:rFonts w:ascii="Arial" w:hAnsi="Arial" w:cs="Arial"/>
                <w:color w:val="000000" w:themeColor="text1"/>
                <w:sz w:val="20"/>
                <w:szCs w:val="20"/>
                <w:lang w:val="tr-TR"/>
              </w:rPr>
            </w:pPr>
            <w:r w:rsidRPr="00360A96">
              <w:rPr>
                <w:rFonts w:ascii="Arial" w:hAnsi="Arial" w:cs="Arial"/>
                <w:color w:val="000000" w:themeColor="text1"/>
                <w:sz w:val="20"/>
                <w:szCs w:val="20"/>
                <w:lang w:val="tr-TR"/>
              </w:rPr>
              <w:t>41900</w:t>
            </w:r>
            <w:r w:rsidRPr="00360A96">
              <w:rPr>
                <w:rFonts w:ascii="Arial" w:hAnsi="Arial" w:cs="Arial"/>
                <w:color w:val="000000" w:themeColor="text1"/>
                <w:sz w:val="20"/>
                <w:szCs w:val="20"/>
                <w:vertAlign w:val="superscript"/>
                <w:lang w:val="tr-TR"/>
              </w:rPr>
              <w:t>d</w:t>
            </w:r>
          </w:p>
        </w:tc>
      </w:tr>
    </w:tbl>
    <w:p w14:paraId="3152B4E4" w14:textId="77777777" w:rsidR="009B6DD9" w:rsidRPr="00360A96" w:rsidRDefault="009B6DD9" w:rsidP="0019493F">
      <w:pPr>
        <w:ind w:left="567" w:right="283"/>
        <w:rPr>
          <w:rFonts w:ascii="Times New Roman" w:hAnsi="Times New Roman" w:cs="Times New Roman"/>
          <w:color w:val="000000" w:themeColor="text1"/>
          <w:lang w:val="tr-TR"/>
        </w:rPr>
      </w:pPr>
      <w:r w:rsidRPr="00360A96">
        <w:rPr>
          <w:rFonts w:ascii="Arial" w:hAnsi="Arial" w:cs="Arial"/>
          <w:color w:val="000000" w:themeColor="text1"/>
          <w:sz w:val="20"/>
          <w:szCs w:val="20"/>
          <w:vertAlign w:val="superscript"/>
          <w:lang w:val="tr-TR"/>
        </w:rPr>
        <w:t>a</w:t>
      </w:r>
      <w:r w:rsidR="00B049FC" w:rsidRPr="00360A96">
        <w:rPr>
          <w:rFonts w:ascii="Arial" w:hAnsi="Arial" w:cs="Arial"/>
          <w:color w:val="000000" w:themeColor="text1"/>
          <w:sz w:val="20"/>
          <w:szCs w:val="20"/>
          <w:lang w:val="tr-TR"/>
        </w:rPr>
        <w:t>(</w:t>
      </w:r>
      <w:r w:rsidR="007D521D" w:rsidRPr="00360A96">
        <w:rPr>
          <w:rFonts w:ascii="Arial" w:hAnsi="Arial" w:cs="Arial"/>
          <w:color w:val="000000" w:themeColor="text1"/>
          <w:sz w:val="20"/>
          <w:szCs w:val="20"/>
          <w:lang w:val="tr-TR"/>
        </w:rPr>
        <w:t>Bray et al., 2024; Leiphrakpam et al., 2025; Huang et al., 2021</w:t>
      </w:r>
      <w:r w:rsidR="00B049FC" w:rsidRPr="00360A96">
        <w:rPr>
          <w:rFonts w:ascii="Arial" w:hAnsi="Arial" w:cs="Arial"/>
          <w:color w:val="000000" w:themeColor="text1"/>
          <w:sz w:val="20"/>
          <w:szCs w:val="20"/>
          <w:lang w:val="tr-TR"/>
        </w:rPr>
        <w:t>)</w:t>
      </w:r>
      <w:r w:rsidRPr="00360A96">
        <w:rPr>
          <w:rFonts w:ascii="Arial" w:hAnsi="Arial" w:cs="Arial"/>
          <w:color w:val="000000" w:themeColor="text1"/>
          <w:sz w:val="20"/>
          <w:szCs w:val="20"/>
          <w:lang w:val="tr-TR"/>
        </w:rPr>
        <w:t xml:space="preserve">; </w:t>
      </w:r>
      <w:r w:rsidRPr="00360A96">
        <w:rPr>
          <w:rFonts w:ascii="Arial" w:hAnsi="Arial" w:cs="Arial"/>
          <w:color w:val="000000" w:themeColor="text1"/>
          <w:sz w:val="20"/>
          <w:szCs w:val="20"/>
          <w:vertAlign w:val="superscript"/>
          <w:lang w:val="tr-TR"/>
        </w:rPr>
        <w:t>b</w:t>
      </w:r>
      <w:r w:rsidR="00B049FC" w:rsidRPr="00360A96">
        <w:rPr>
          <w:rFonts w:ascii="Arial" w:hAnsi="Arial" w:cs="Arial"/>
          <w:color w:val="000000" w:themeColor="text1"/>
          <w:sz w:val="20"/>
          <w:szCs w:val="20"/>
          <w:lang w:val="tr-TR"/>
        </w:rPr>
        <w:t>(</w:t>
      </w:r>
      <w:r w:rsidR="007D521D" w:rsidRPr="00360A96">
        <w:rPr>
          <w:rFonts w:ascii="Arial" w:hAnsi="Arial" w:cs="Arial"/>
          <w:color w:val="000000" w:themeColor="text1"/>
          <w:sz w:val="20"/>
          <w:szCs w:val="20"/>
          <w:lang w:val="tr-TR"/>
        </w:rPr>
        <w:t>Siegel et al., 2025</w:t>
      </w:r>
      <w:r w:rsidR="00B049FC" w:rsidRPr="00360A96">
        <w:rPr>
          <w:rFonts w:ascii="Arial" w:hAnsi="Arial" w:cs="Arial"/>
          <w:color w:val="000000" w:themeColor="text1"/>
          <w:sz w:val="20"/>
          <w:szCs w:val="20"/>
          <w:lang w:val="tr-TR"/>
        </w:rPr>
        <w:t>;</w:t>
      </w:r>
      <w:r w:rsidR="007D521D" w:rsidRPr="00360A96">
        <w:rPr>
          <w:rFonts w:ascii="Arial" w:hAnsi="Arial" w:cs="Arial"/>
          <w:color w:val="000000" w:themeColor="text1"/>
          <w:sz w:val="20"/>
          <w:szCs w:val="20"/>
          <w:lang w:val="tr-TR"/>
        </w:rPr>
        <w:t xml:space="preserve"> </w:t>
      </w:r>
      <w:r w:rsidR="007D521D" w:rsidRPr="00360A96">
        <w:rPr>
          <w:rFonts w:ascii="Arial" w:eastAsia="Times New Roman" w:hAnsi="Arial" w:cs="Arial"/>
          <w:color w:val="000000" w:themeColor="text1"/>
          <w:kern w:val="0"/>
          <w:sz w:val="20"/>
          <w:szCs w:val="20"/>
          <w:lang w:val="tr-TR"/>
          <w14:ligatures w14:val="none"/>
        </w:rPr>
        <w:t>Rahib et al., 2014</w:t>
      </w:r>
      <w:r w:rsidR="00B049FC" w:rsidRPr="00360A96">
        <w:rPr>
          <w:rFonts w:ascii="Arial" w:hAnsi="Arial" w:cs="Arial"/>
          <w:color w:val="000000" w:themeColor="text1"/>
          <w:sz w:val="20"/>
          <w:szCs w:val="20"/>
          <w:lang w:val="tr-TR"/>
        </w:rPr>
        <w:t>)</w:t>
      </w:r>
      <w:r w:rsidRPr="00360A96">
        <w:rPr>
          <w:rFonts w:ascii="Arial" w:hAnsi="Arial" w:cs="Arial"/>
          <w:color w:val="000000" w:themeColor="text1"/>
          <w:sz w:val="20"/>
          <w:szCs w:val="20"/>
          <w:lang w:val="tr-TR"/>
        </w:rPr>
        <w:t xml:space="preserve">; </w:t>
      </w:r>
      <w:r w:rsidRPr="00360A96">
        <w:rPr>
          <w:rFonts w:ascii="Arial" w:hAnsi="Arial" w:cs="Arial"/>
          <w:color w:val="000000" w:themeColor="text1"/>
          <w:sz w:val="20"/>
          <w:szCs w:val="20"/>
          <w:vertAlign w:val="superscript"/>
          <w:lang w:val="tr-TR"/>
        </w:rPr>
        <w:t>c</w:t>
      </w:r>
      <w:r w:rsidR="00B049FC" w:rsidRPr="00360A96">
        <w:rPr>
          <w:rFonts w:ascii="Arial" w:hAnsi="Arial" w:cs="Arial"/>
          <w:color w:val="000000" w:themeColor="text1"/>
          <w:sz w:val="20"/>
          <w:szCs w:val="20"/>
          <w:lang w:val="tr-TR"/>
        </w:rPr>
        <w:t>(</w:t>
      </w:r>
      <w:r w:rsidR="007D521D" w:rsidRPr="00360A96">
        <w:rPr>
          <w:rFonts w:ascii="Arial" w:eastAsia="Times New Roman" w:hAnsi="Arial" w:cs="Arial"/>
          <w:color w:val="000000" w:themeColor="text1"/>
          <w:kern w:val="0"/>
          <w:sz w:val="20"/>
          <w:szCs w:val="20"/>
          <w:lang w:val="tr-TR"/>
          <w14:ligatures w14:val="none"/>
        </w:rPr>
        <w:t>Partyka et al., 2023</w:t>
      </w:r>
      <w:r w:rsidR="00B049FC" w:rsidRPr="00360A96">
        <w:rPr>
          <w:rFonts w:ascii="Arial" w:hAnsi="Arial" w:cs="Arial"/>
          <w:color w:val="000000" w:themeColor="text1"/>
          <w:sz w:val="20"/>
          <w:szCs w:val="20"/>
          <w:lang w:val="tr-TR"/>
        </w:rPr>
        <w:t>)</w:t>
      </w:r>
      <w:r w:rsidRPr="00360A96">
        <w:rPr>
          <w:rFonts w:ascii="Arial" w:hAnsi="Arial" w:cs="Arial"/>
          <w:color w:val="000000" w:themeColor="text1"/>
          <w:sz w:val="20"/>
          <w:szCs w:val="20"/>
          <w:lang w:val="tr-TR"/>
        </w:rPr>
        <w:t xml:space="preserve">; </w:t>
      </w:r>
      <w:r w:rsidRPr="00360A96">
        <w:rPr>
          <w:rFonts w:ascii="Arial" w:hAnsi="Arial" w:cs="Arial"/>
          <w:color w:val="000000" w:themeColor="text1"/>
          <w:sz w:val="20"/>
          <w:szCs w:val="20"/>
          <w:vertAlign w:val="superscript"/>
          <w:lang w:val="tr-TR"/>
        </w:rPr>
        <w:t>d</w:t>
      </w:r>
      <w:r w:rsidR="00B049FC" w:rsidRPr="00360A96">
        <w:rPr>
          <w:rFonts w:ascii="Arial" w:hAnsi="Arial" w:cs="Arial"/>
          <w:color w:val="000000" w:themeColor="text1"/>
          <w:sz w:val="20"/>
          <w:szCs w:val="20"/>
          <w:lang w:val="tr-TR"/>
        </w:rPr>
        <w:t>(</w:t>
      </w:r>
      <w:r w:rsidR="007D521D" w:rsidRPr="00360A96">
        <w:rPr>
          <w:rFonts w:ascii="Arial" w:eastAsia="Times New Roman" w:hAnsi="Arial" w:cs="Arial"/>
          <w:color w:val="000000" w:themeColor="text1"/>
          <w:kern w:val="0"/>
          <w:sz w:val="20"/>
          <w:szCs w:val="20"/>
          <w:lang w:val="tr-TR"/>
          <w14:ligatures w14:val="none"/>
        </w:rPr>
        <w:t>Carioli et al., 2021</w:t>
      </w:r>
      <w:r w:rsidR="00B049FC" w:rsidRPr="00360A96">
        <w:rPr>
          <w:rFonts w:ascii="Times New Roman" w:hAnsi="Times New Roman" w:cs="Times New Roman"/>
          <w:color w:val="000000" w:themeColor="text1"/>
          <w:lang w:val="tr-TR"/>
        </w:rPr>
        <w:t>)</w:t>
      </w:r>
      <w:r w:rsidRPr="00360A96">
        <w:rPr>
          <w:rFonts w:ascii="Times New Roman" w:hAnsi="Times New Roman" w:cs="Times New Roman"/>
          <w:color w:val="000000" w:themeColor="text1"/>
          <w:lang w:val="tr-TR"/>
        </w:rPr>
        <w:t xml:space="preserve">. </w:t>
      </w:r>
    </w:p>
    <w:p w14:paraId="4CF24F44"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 xml:space="preserve">Multiple factors contribute to PDAC’s dismal prognosis, including the absence of early diagnostic biomarkers, intrinsic drug resistance, and high recurrence rates </w:t>
      </w:r>
      <w:r w:rsidR="00B137F8" w:rsidRPr="00360A96">
        <w:rPr>
          <w:rFonts w:ascii="Arial" w:eastAsia="Times New Roman" w:hAnsi="Arial" w:cs="Arial"/>
          <w:color w:val="000000" w:themeColor="text1"/>
          <w:kern w:val="0"/>
          <w:sz w:val="20"/>
          <w:szCs w:val="20"/>
          <w:lang w:val="tr-TR"/>
          <w14:ligatures w14:val="none"/>
        </w:rPr>
        <w:t>(</w:t>
      </w:r>
      <w:r w:rsidR="00E8204F" w:rsidRPr="00360A96">
        <w:rPr>
          <w:rFonts w:ascii="Arial" w:hAnsi="Arial" w:cs="Arial"/>
          <w:color w:val="000000" w:themeColor="text1"/>
          <w:sz w:val="20"/>
          <w:szCs w:val="20"/>
          <w:lang w:val="tr-TR"/>
        </w:rPr>
        <w:t>Bray et al., 2024; Leiphrakpam et al., 2025</w:t>
      </w:r>
      <w:r w:rsidR="00682CAC" w:rsidRPr="00360A96">
        <w:rPr>
          <w:rFonts w:ascii="Arial" w:hAnsi="Arial" w:cs="Arial"/>
          <w:color w:val="000000" w:themeColor="text1"/>
          <w:sz w:val="20"/>
          <w:szCs w:val="20"/>
          <w:lang w:val="tr-TR"/>
        </w:rPr>
        <w:t>;</w:t>
      </w:r>
      <w:r w:rsidR="00682CAC" w:rsidRPr="00360A96">
        <w:rPr>
          <w:rFonts w:ascii="Arial" w:eastAsia="Times New Roman" w:hAnsi="Arial" w:cs="Arial"/>
          <w:color w:val="000000" w:themeColor="text1"/>
          <w:kern w:val="0"/>
          <w:sz w:val="20"/>
          <w:szCs w:val="20"/>
          <w14:ligatures w14:val="none"/>
        </w:rPr>
        <w:t xml:space="preserve"> </w:t>
      </w:r>
      <w:r w:rsidR="00682CAC" w:rsidRPr="00360A96">
        <w:rPr>
          <w:rFonts w:ascii="Arial" w:eastAsia="Times New Roman" w:hAnsi="Arial" w:cs="Arial"/>
          <w:color w:val="000000" w:themeColor="text1"/>
          <w:kern w:val="0"/>
          <w:sz w:val="20"/>
          <w:szCs w:val="20"/>
          <w:lang w:val="en"/>
          <w14:ligatures w14:val="none"/>
        </w:rPr>
        <w:t xml:space="preserve">Huang et al., 2021; Siegel et al., 2025; </w:t>
      </w:r>
      <w:r w:rsidR="00682CAC" w:rsidRPr="00360A96">
        <w:rPr>
          <w:rFonts w:ascii="Arial" w:eastAsia="Times New Roman" w:hAnsi="Arial" w:cs="Arial"/>
          <w:color w:val="000000" w:themeColor="text1"/>
          <w:kern w:val="0"/>
          <w:sz w:val="20"/>
          <w:szCs w:val="20"/>
          <w:lang w:val="tr-TR"/>
          <w14:ligatures w14:val="none"/>
        </w:rPr>
        <w:t>Partyka et al., 2023; Carioli et al., 2021; Rahib et al., 2014; Li et al., 2019; Garrido-Laguna et al., 2015; Zhu et al., 2018</w:t>
      </w:r>
      <w:r w:rsidR="00B137F8"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The overall five-year</w:t>
      </w:r>
      <w:r w:rsidRPr="00360A96">
        <w:rPr>
          <w:rFonts w:ascii="Arial" w:eastAsia="Times New Roman" w:hAnsi="Arial" w:cs="Arial"/>
          <w:b/>
          <w:bCs/>
          <w:color w:val="000000" w:themeColor="text1"/>
          <w:kern w:val="0"/>
          <w:sz w:val="20"/>
          <w:szCs w:val="20"/>
          <w14:ligatures w14:val="none"/>
        </w:rPr>
        <w:t xml:space="preserve"> </w:t>
      </w:r>
      <w:r w:rsidRPr="00360A96">
        <w:rPr>
          <w:rFonts w:ascii="Arial" w:eastAsia="Times New Roman" w:hAnsi="Arial" w:cs="Arial"/>
          <w:color w:val="000000" w:themeColor="text1"/>
          <w:kern w:val="0"/>
          <w:sz w:val="20"/>
          <w:szCs w:val="20"/>
          <w14:ligatures w14:val="none"/>
        </w:rPr>
        <w:t xml:space="preserve">survival rate remains 5–7%, and more than half of patients present with metastatic disease at diagnosis, with median survival ranging from 7 to 11 months </w:t>
      </w:r>
      <w:r w:rsidR="00941035" w:rsidRPr="00360A96">
        <w:rPr>
          <w:rFonts w:ascii="Arial" w:eastAsia="Times New Roman" w:hAnsi="Arial" w:cs="Arial"/>
          <w:color w:val="000000" w:themeColor="text1"/>
          <w:kern w:val="0"/>
          <w:sz w:val="20"/>
          <w:szCs w:val="20"/>
          <w:lang w:val="tr-TR"/>
          <w14:ligatures w14:val="none"/>
        </w:rPr>
        <w:t>(</w:t>
      </w:r>
      <w:r w:rsidR="00682CAC" w:rsidRPr="00360A96">
        <w:rPr>
          <w:rFonts w:ascii="Arial" w:eastAsia="Times New Roman" w:hAnsi="Arial" w:cs="Arial"/>
          <w:color w:val="000000" w:themeColor="text1"/>
          <w:kern w:val="0"/>
          <w:sz w:val="20"/>
          <w:szCs w:val="20"/>
          <w:lang w:val="tr-TR"/>
          <w14:ligatures w14:val="none"/>
        </w:rPr>
        <w:t xml:space="preserve">Garrido-Laguna et al., 2015; Zhu et al., 2018; </w:t>
      </w:r>
      <w:r w:rsidR="003D37A4" w:rsidRPr="00360A96">
        <w:rPr>
          <w:rFonts w:ascii="Arial" w:eastAsia="Times New Roman" w:hAnsi="Arial" w:cs="Arial"/>
          <w:color w:val="000000" w:themeColor="text1"/>
          <w:kern w:val="0"/>
          <w:sz w:val="20"/>
          <w:szCs w:val="20"/>
          <w:lang w:val="tr-TR"/>
          <w14:ligatures w14:val="none"/>
        </w:rPr>
        <w:t>Ferlay et al., 2019</w:t>
      </w:r>
      <w:r w:rsidR="00941035"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w:t>
      </w:r>
    </w:p>
    <w:p w14:paraId="06D7C5A3"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 xml:space="preserve">Molecularly, PDAC is driven by key genetic alterations—such as activating mutations in KRAS and inactivating mutations in CDKN2A, TP53, and SMAD4—which collectively promote tumor initiation and progression </w:t>
      </w:r>
      <w:r w:rsidR="00FF1930" w:rsidRPr="00360A96">
        <w:rPr>
          <w:rFonts w:ascii="Arial" w:eastAsia="Times New Roman" w:hAnsi="Arial" w:cs="Arial"/>
          <w:color w:val="000000" w:themeColor="text1"/>
          <w:kern w:val="0"/>
          <w:sz w:val="20"/>
          <w:szCs w:val="20"/>
          <w:lang w:val="tr-TR"/>
          <w14:ligatures w14:val="none"/>
        </w:rPr>
        <w:t>(</w:t>
      </w:r>
      <w:r w:rsidR="003D37A4" w:rsidRPr="00360A96">
        <w:rPr>
          <w:rFonts w:ascii="Arial" w:eastAsia="Times New Roman" w:hAnsi="Arial" w:cs="Arial"/>
          <w:color w:val="000000" w:themeColor="text1"/>
          <w:kern w:val="0"/>
          <w:sz w:val="20"/>
          <w:szCs w:val="20"/>
          <w:lang w:val="tr-TR"/>
          <w14:ligatures w14:val="none"/>
        </w:rPr>
        <w:t>Saiki et al., 2021</w:t>
      </w:r>
      <w:r w:rsidR="00FF1930"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 xml:space="preserve">. Despite progress in screening and therapy, the ratio of new cases to deaths has remained essentially unchanged, reflecting minimal improvement in long-term outcomes </w:t>
      </w:r>
      <w:r w:rsidR="00FF1930" w:rsidRPr="00360A96">
        <w:rPr>
          <w:rFonts w:ascii="Arial" w:eastAsia="Times New Roman" w:hAnsi="Arial" w:cs="Arial"/>
          <w:color w:val="000000" w:themeColor="text1"/>
          <w:kern w:val="0"/>
          <w:sz w:val="20"/>
          <w:szCs w:val="20"/>
          <w:lang w:val="tr-TR"/>
          <w14:ligatures w14:val="none"/>
        </w:rPr>
        <w:t>(</w:t>
      </w:r>
      <w:r w:rsidR="003D37A4" w:rsidRPr="00360A96">
        <w:rPr>
          <w:rFonts w:ascii="Arial" w:eastAsia="Times New Roman" w:hAnsi="Arial" w:cs="Arial"/>
          <w:color w:val="000000" w:themeColor="text1"/>
          <w:kern w:val="0"/>
          <w:sz w:val="20"/>
          <w:szCs w:val="20"/>
          <w:lang w:val="tr-TR"/>
          <w14:ligatures w14:val="none"/>
        </w:rPr>
        <w:t xml:space="preserve">Zhu et al., 2018; Ferlay et al., 2019; Saiki et al., 2021; </w:t>
      </w:r>
      <w:r w:rsidR="00FE4AA7" w:rsidRPr="00360A96">
        <w:rPr>
          <w:rFonts w:ascii="Arial" w:eastAsia="Times New Roman" w:hAnsi="Arial" w:cs="Arial"/>
          <w:color w:val="000000" w:themeColor="text1"/>
          <w:kern w:val="0"/>
          <w:sz w:val="20"/>
          <w:szCs w:val="20"/>
          <w:lang w:val="tr-TR"/>
          <w14:ligatures w14:val="none"/>
        </w:rPr>
        <w:t>Klein, 2021</w:t>
      </w:r>
      <w:r w:rsidR="00FF1930"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w:t>
      </w:r>
    </w:p>
    <w:p w14:paraId="1EC5C134" w14:textId="77777777" w:rsidR="00FC6288" w:rsidRPr="00360A96" w:rsidRDefault="00FC6288" w:rsidP="0019493F">
      <w:pPr>
        <w:spacing w:before="100" w:beforeAutospacing="1" w:after="100" w:afterAutospacing="1"/>
        <w:ind w:left="567" w:right="283"/>
        <w:jc w:val="both"/>
        <w:rPr>
          <w:rFonts w:ascii="Arial" w:eastAsia="Times New Roman" w:hAnsi="Arial" w:cs="Arial"/>
          <w:color w:val="000000" w:themeColor="text1"/>
          <w:kern w:val="0"/>
          <w:sz w:val="20"/>
          <w:szCs w:val="20"/>
          <w14:ligatures w14:val="none"/>
        </w:rPr>
      </w:pPr>
      <w:r w:rsidRPr="00360A96">
        <w:rPr>
          <w:rFonts w:ascii="Arial" w:eastAsia="Times New Roman" w:hAnsi="Arial" w:cs="Arial"/>
          <w:color w:val="000000" w:themeColor="text1"/>
          <w:kern w:val="0"/>
          <w:sz w:val="20"/>
          <w:szCs w:val="20"/>
          <w14:ligatures w14:val="none"/>
        </w:rPr>
        <w:t xml:space="preserve">The aggressive nature of PDAC is compounded by its heterogeneity, tumor plasticity, and dense fibrotic stroma (desmoplasia), which impedes drug delivery and fosters therapeutic resistance. These features highlight the urgent need for new diagnostic markers and therapeutic strategies aimed at modulating the tumor microenvironment and overcoming resistance mechanisms </w:t>
      </w:r>
      <w:r w:rsidR="007522F2" w:rsidRPr="00360A96">
        <w:rPr>
          <w:rFonts w:ascii="Arial" w:eastAsia="Times New Roman" w:hAnsi="Arial" w:cs="Arial"/>
          <w:color w:val="000000" w:themeColor="text1"/>
          <w:kern w:val="0"/>
          <w:sz w:val="20"/>
          <w:szCs w:val="20"/>
          <w:lang w:val="tr-TR"/>
          <w14:ligatures w14:val="none"/>
        </w:rPr>
        <w:t>(</w:t>
      </w:r>
      <w:r w:rsidR="00FE4AA7" w:rsidRPr="00360A96">
        <w:rPr>
          <w:rFonts w:ascii="Arial" w:eastAsia="Times New Roman" w:hAnsi="Arial" w:cs="Arial"/>
          <w:color w:val="000000" w:themeColor="text1"/>
          <w:kern w:val="0"/>
          <w:sz w:val="20"/>
          <w:szCs w:val="20"/>
          <w:lang w:val="tr-TR"/>
          <w14:ligatures w14:val="none"/>
        </w:rPr>
        <w:t>Bailey et al., 2016</w:t>
      </w:r>
      <w:r w:rsidR="007522F2" w:rsidRPr="00360A96">
        <w:rPr>
          <w:rFonts w:ascii="Arial" w:eastAsia="Times New Roman" w:hAnsi="Arial" w:cs="Arial"/>
          <w:color w:val="000000" w:themeColor="text1"/>
          <w:kern w:val="0"/>
          <w:sz w:val="20"/>
          <w:szCs w:val="20"/>
          <w:lang w:val="tr-TR"/>
          <w14:ligatures w14:val="none"/>
        </w:rPr>
        <w:t>)</w:t>
      </w:r>
      <w:r w:rsidRPr="00360A96">
        <w:rPr>
          <w:rFonts w:ascii="Arial" w:eastAsia="Times New Roman" w:hAnsi="Arial" w:cs="Arial"/>
          <w:color w:val="000000" w:themeColor="text1"/>
          <w:kern w:val="0"/>
          <w:sz w:val="20"/>
          <w:szCs w:val="20"/>
          <w14:ligatures w14:val="none"/>
        </w:rPr>
        <w:t>.</w:t>
      </w:r>
    </w:p>
    <w:p w14:paraId="2391AA34" w14:textId="77777777" w:rsidR="00FC6288" w:rsidRPr="00360A96" w:rsidRDefault="00FC6288" w:rsidP="004557D8">
      <w:pPr>
        <w:pStyle w:val="Heading2"/>
        <w:spacing w:line="480" w:lineRule="auto"/>
        <w:ind w:left="567" w:right="283"/>
        <w:jc w:val="both"/>
        <w:rPr>
          <w:rFonts w:ascii="Arial" w:hAnsi="Arial" w:cs="Arial"/>
          <w:b w:val="0"/>
          <w:bCs w:val="0"/>
          <w:color w:val="000000" w:themeColor="text1"/>
          <w:sz w:val="22"/>
          <w:szCs w:val="22"/>
        </w:rPr>
      </w:pPr>
      <w:r w:rsidRPr="00360A96">
        <w:rPr>
          <w:rStyle w:val="Strong"/>
          <w:rFonts w:ascii="Arial" w:hAnsi="Arial" w:cs="Arial"/>
          <w:b/>
          <w:bCs/>
          <w:color w:val="000000" w:themeColor="text1"/>
          <w:sz w:val="22"/>
          <w:szCs w:val="22"/>
        </w:rPr>
        <w:t xml:space="preserve">Diagnosis and </w:t>
      </w:r>
      <w:r w:rsidR="009A5DE9" w:rsidRPr="00360A96">
        <w:rPr>
          <w:rStyle w:val="Strong"/>
          <w:rFonts w:ascii="Arial" w:hAnsi="Arial" w:cs="Arial"/>
          <w:b/>
          <w:bCs/>
          <w:color w:val="000000" w:themeColor="text1"/>
          <w:sz w:val="22"/>
          <w:szCs w:val="22"/>
          <w:lang w:val="tr-TR"/>
        </w:rPr>
        <w:t>S</w:t>
      </w:r>
      <w:r w:rsidRPr="00360A96">
        <w:rPr>
          <w:rStyle w:val="Strong"/>
          <w:rFonts w:ascii="Arial" w:hAnsi="Arial" w:cs="Arial"/>
          <w:b/>
          <w:bCs/>
          <w:color w:val="000000" w:themeColor="text1"/>
          <w:sz w:val="22"/>
          <w:szCs w:val="22"/>
        </w:rPr>
        <w:t>taging of PDAC</w:t>
      </w:r>
    </w:p>
    <w:p w14:paraId="263B5D3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Accurate diagnosis and staging of pancreatic ductal adenocarcinoma (PDAC) are essential for determining prognosis and guiding optimal therapeutic strategies. The management of PDAC remains particularly challenging due to the disease’s anatomical complexity, rapid progression, and the frequent absence of early symptoms.</w:t>
      </w:r>
    </w:p>
    <w:p w14:paraId="4E73D60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Clinically, PDAC is classified into four major categories based on resectability: </w:t>
      </w:r>
      <w:r w:rsidRPr="00360A96">
        <w:rPr>
          <w:rStyle w:val="Strong"/>
          <w:rFonts w:ascii="Arial" w:hAnsi="Arial" w:cs="Arial"/>
          <w:b w:val="0"/>
          <w:bCs w:val="0"/>
          <w:color w:val="000000" w:themeColor="text1"/>
          <w:sz w:val="20"/>
          <w:szCs w:val="20"/>
        </w:rPr>
        <w:t>resectable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t>
      </w:r>
      <w:r w:rsidRPr="00360A96">
        <w:rPr>
          <w:rStyle w:val="Strong"/>
          <w:rFonts w:ascii="Arial" w:hAnsi="Arial" w:cs="Arial"/>
          <w:b w:val="0"/>
          <w:bCs w:val="0"/>
          <w:color w:val="000000" w:themeColor="text1"/>
          <w:sz w:val="20"/>
          <w:szCs w:val="20"/>
        </w:rPr>
        <w:t>borderline resectable</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locally advanced/unresectable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metastatic</w:t>
      </w:r>
      <w:r w:rsidRPr="00360A96">
        <w:rPr>
          <w:rFonts w:ascii="Arial" w:hAnsi="Arial" w:cs="Arial"/>
          <w:color w:val="000000" w:themeColor="text1"/>
          <w:sz w:val="20"/>
          <w:szCs w:val="20"/>
        </w:rPr>
        <w:t xml:space="preserve"> disease </w:t>
      </w:r>
      <w:r w:rsidR="007522F2" w:rsidRPr="00360A96">
        <w:rPr>
          <w:rFonts w:ascii="Arial" w:hAnsi="Arial" w:cs="Arial"/>
          <w:color w:val="000000" w:themeColor="text1"/>
          <w:sz w:val="20"/>
          <w:szCs w:val="20"/>
          <w:lang w:val="tr-TR"/>
        </w:rPr>
        <w:t>(</w:t>
      </w:r>
      <w:r w:rsidR="008D54E7" w:rsidRPr="00360A96">
        <w:rPr>
          <w:rFonts w:ascii="Arial" w:hAnsi="Arial" w:cs="Arial"/>
          <w:color w:val="000000" w:themeColor="text1"/>
          <w:sz w:val="20"/>
          <w:szCs w:val="20"/>
          <w:lang w:val="tr-TR"/>
        </w:rPr>
        <w:t>Boggi et al., 2024</w:t>
      </w:r>
      <w:r w:rsidR="007522F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This classification is primarily guided by the </w:t>
      </w:r>
      <w:r w:rsidRPr="00360A96">
        <w:rPr>
          <w:rStyle w:val="Strong"/>
          <w:rFonts w:ascii="Arial" w:hAnsi="Arial" w:cs="Arial"/>
          <w:b w:val="0"/>
          <w:bCs w:val="0"/>
          <w:color w:val="000000" w:themeColor="text1"/>
          <w:sz w:val="20"/>
          <w:szCs w:val="20"/>
        </w:rPr>
        <w:t>TNM system</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evaluates tumor size (T), lymph node involvement (N), and the presence of distant metastases (M).</w:t>
      </w:r>
    </w:p>
    <w:p w14:paraId="4CE6BC95"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Imaging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odalities</w:t>
      </w:r>
    </w:p>
    <w:p w14:paraId="4ADD8B80"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Modern imaging plays a central role in both diagnosis and staging. </w:t>
      </w:r>
      <w:r w:rsidRPr="00360A96">
        <w:rPr>
          <w:rStyle w:val="Strong"/>
          <w:rFonts w:ascii="Arial" w:hAnsi="Arial" w:cs="Arial"/>
          <w:b w:val="0"/>
          <w:bCs w:val="0"/>
          <w:color w:val="000000" w:themeColor="text1"/>
          <w:sz w:val="20"/>
          <w:szCs w:val="20"/>
        </w:rPr>
        <w:t>Multidetector computed tomography (CT)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360A96">
        <w:rPr>
          <w:rStyle w:val="Strong"/>
          <w:rFonts w:ascii="Arial" w:hAnsi="Arial" w:cs="Arial"/>
          <w:b w:val="0"/>
          <w:bCs w:val="0"/>
          <w:color w:val="000000" w:themeColor="text1"/>
          <w:sz w:val="20"/>
          <w:szCs w:val="20"/>
        </w:rPr>
        <w:t>magnetic resonance imaging (MRI)</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often combined with </w:t>
      </w:r>
      <w:r w:rsidRPr="00360A96">
        <w:rPr>
          <w:rStyle w:val="Strong"/>
          <w:rFonts w:ascii="Arial" w:hAnsi="Arial" w:cs="Arial"/>
          <w:b w:val="0"/>
          <w:bCs w:val="0"/>
          <w:color w:val="000000" w:themeColor="text1"/>
          <w:sz w:val="20"/>
          <w:szCs w:val="20"/>
        </w:rPr>
        <w:t>magnetic resonance cholangiopancreatography (MRCP)</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are the current standards of care </w:t>
      </w:r>
      <w:r w:rsidR="00433AB2" w:rsidRPr="00360A96">
        <w:rPr>
          <w:rFonts w:ascii="Arial" w:hAnsi="Arial" w:cs="Arial"/>
          <w:color w:val="000000" w:themeColor="text1"/>
          <w:sz w:val="20"/>
          <w:szCs w:val="20"/>
          <w:lang w:val="tr-TR"/>
        </w:rPr>
        <w:t>(</w:t>
      </w:r>
      <w:r w:rsidR="008D54E7" w:rsidRPr="00360A96">
        <w:rPr>
          <w:rFonts w:ascii="Arial" w:hAnsi="Arial" w:cs="Arial"/>
          <w:color w:val="000000" w:themeColor="text1"/>
          <w:sz w:val="20"/>
          <w:szCs w:val="20"/>
          <w:lang w:val="tr-TR"/>
        </w:rPr>
        <w:t>Shionoya et al., 2024; Boekestijn et al 2024</w:t>
      </w:r>
      <w:r w:rsidR="00433AB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w:t>
      </w:r>
      <w:r w:rsidRPr="00360A96">
        <w:rPr>
          <w:rStyle w:val="Strong"/>
          <w:rFonts w:ascii="Arial" w:hAnsi="Arial" w:cs="Arial"/>
          <w:b w:val="0"/>
          <w:bCs w:val="0"/>
          <w:color w:val="000000" w:themeColor="text1"/>
          <w:sz w:val="20"/>
          <w:szCs w:val="20"/>
        </w:rPr>
        <w:t>Endoscopic ultrasound (EUS)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frequently coupled with fine-needle aspiration or biopsy, provides high-resolution imaging and tissue confirmation, particularly for small or indeterminate lesions.</w:t>
      </w:r>
    </w:p>
    <w:p w14:paraId="303D9281"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CT has limitations in detecting </w:t>
      </w:r>
      <w:r w:rsidRPr="00360A96">
        <w:rPr>
          <w:rStyle w:val="Strong"/>
          <w:rFonts w:ascii="Arial" w:hAnsi="Arial" w:cs="Arial"/>
          <w:b w:val="0"/>
          <w:bCs w:val="0"/>
          <w:color w:val="000000" w:themeColor="text1"/>
          <w:sz w:val="20"/>
          <w:szCs w:val="20"/>
        </w:rPr>
        <w:t>peritoneal carcinomatosis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360A96">
        <w:rPr>
          <w:rStyle w:val="Strong"/>
          <w:rFonts w:ascii="Arial" w:hAnsi="Arial" w:cs="Arial"/>
          <w:b w:val="0"/>
          <w:bCs w:val="0"/>
          <w:color w:val="000000" w:themeColor="text1"/>
          <w:sz w:val="20"/>
          <w:szCs w:val="20"/>
        </w:rPr>
        <w:t>micrometastases in the liver</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leading to underestimation of disease stage. Approximately </w:t>
      </w:r>
      <w:r w:rsidRPr="00360A96">
        <w:rPr>
          <w:rStyle w:val="Strong"/>
          <w:rFonts w:ascii="Arial" w:hAnsi="Arial" w:cs="Arial"/>
          <w:b w:val="0"/>
          <w:bCs w:val="0"/>
          <w:color w:val="000000" w:themeColor="text1"/>
          <w:sz w:val="20"/>
          <w:szCs w:val="20"/>
        </w:rPr>
        <w:t>40% of pancreatic tumors smaller than 2 cm</w:t>
      </w:r>
      <w:r w:rsidRPr="00360A96">
        <w:rPr>
          <w:rFonts w:ascii="Arial" w:hAnsi="Arial" w:cs="Arial"/>
          <w:color w:val="000000" w:themeColor="text1"/>
          <w:sz w:val="20"/>
          <w:szCs w:val="20"/>
        </w:rPr>
        <w:t xml:space="preserve"> are missed on standard abdominal CT </w:t>
      </w:r>
      <w:r w:rsidR="00433AB2" w:rsidRPr="00360A96">
        <w:rPr>
          <w:rFonts w:ascii="Arial" w:hAnsi="Arial" w:cs="Arial"/>
          <w:color w:val="000000" w:themeColor="text1"/>
          <w:sz w:val="20"/>
          <w:szCs w:val="20"/>
          <w:lang w:val="tr-TR"/>
        </w:rPr>
        <w:t>(</w:t>
      </w:r>
      <w:r w:rsidR="008D54E7" w:rsidRPr="00360A96">
        <w:rPr>
          <w:rFonts w:ascii="Arial" w:hAnsi="Arial" w:cs="Arial"/>
          <w:color w:val="000000" w:themeColor="text1"/>
          <w:sz w:val="20"/>
          <w:szCs w:val="20"/>
          <w:lang w:val="tr-TR"/>
        </w:rPr>
        <w:t>Kang et al., 2021</w:t>
      </w:r>
      <w:r w:rsidR="00433AB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To overcome these limitations, MRI offers superior soft-tissue contrast and sensitivity for small hepatic and peritoneal lesions.</w:t>
      </w:r>
    </w:p>
    <w:p w14:paraId="452A330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Emerging technologies such as </w:t>
      </w:r>
      <w:r w:rsidRPr="00360A96">
        <w:rPr>
          <w:rStyle w:val="Strong"/>
          <w:rFonts w:ascii="Arial" w:hAnsi="Arial" w:cs="Arial"/>
          <w:b w:val="0"/>
          <w:bCs w:val="0"/>
          <w:color w:val="000000" w:themeColor="text1"/>
          <w:sz w:val="20"/>
          <w:szCs w:val="20"/>
        </w:rPr>
        <w:t>deep learning (DL)-based image analysis</w:t>
      </w:r>
      <w:r w:rsidRPr="00360A96">
        <w:rPr>
          <w:rFonts w:ascii="Arial" w:hAnsi="Arial" w:cs="Arial"/>
          <w:color w:val="000000" w:themeColor="text1"/>
          <w:sz w:val="20"/>
          <w:szCs w:val="20"/>
        </w:rPr>
        <w:t xml:space="preserve"> are enhancing diagnostic accuracy. Artificial intelligence–assisted algorithms have demonstrated improved sensitivity for detecting early-stage tumors (&lt;2 cm) and differentiating benign from malignant lesions, while also aiding in the identification of occult intraperitoneal metastases </w:t>
      </w:r>
      <w:r w:rsidR="00535554" w:rsidRPr="00360A96">
        <w:rPr>
          <w:rFonts w:ascii="Arial" w:hAnsi="Arial" w:cs="Arial"/>
          <w:color w:val="000000" w:themeColor="text1"/>
          <w:sz w:val="20"/>
          <w:szCs w:val="20"/>
          <w:lang w:val="tr-TR"/>
        </w:rPr>
        <w:t>(</w:t>
      </w:r>
      <w:r w:rsidR="008D54E7" w:rsidRPr="00360A96">
        <w:rPr>
          <w:rFonts w:ascii="Arial" w:hAnsi="Arial" w:cs="Arial"/>
          <w:color w:val="000000" w:themeColor="text1"/>
          <w:sz w:val="20"/>
          <w:szCs w:val="20"/>
          <w:lang w:val="tr-TR"/>
        </w:rPr>
        <w:t>Chen et al., 2023; Kikuyama, 2023; Manafi-Farid et al., 2022</w:t>
      </w:r>
      <w:r w:rsidR="00535554"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These approaches represent promising tools for earlier detection and more precise surgical planning.</w:t>
      </w:r>
    </w:p>
    <w:p w14:paraId="7EF3ACE3"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Biochemical and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olecular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arkers</w:t>
      </w:r>
    </w:p>
    <w:p w14:paraId="653C868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Among biochemical markers, </w:t>
      </w:r>
      <w:r w:rsidRPr="00360A96">
        <w:rPr>
          <w:rStyle w:val="Strong"/>
          <w:rFonts w:ascii="Arial" w:hAnsi="Arial" w:cs="Arial"/>
          <w:b w:val="0"/>
          <w:bCs w:val="0"/>
          <w:color w:val="000000" w:themeColor="text1"/>
          <w:sz w:val="20"/>
          <w:szCs w:val="20"/>
        </w:rPr>
        <w:t>carbohydrate antigen 19-9 (CA19-9)</w:t>
      </w:r>
      <w:r w:rsidRPr="00360A96">
        <w:rPr>
          <w:rFonts w:ascii="Arial" w:hAnsi="Arial" w:cs="Arial"/>
          <w:color w:val="000000" w:themeColor="text1"/>
          <w:sz w:val="20"/>
          <w:szCs w:val="20"/>
        </w:rPr>
        <w:t xml:space="preserve"> remains the most widely used and clinically validated biomarker for pancreatic cancer </w:t>
      </w:r>
      <w:r w:rsidR="007C76BC" w:rsidRPr="00360A96">
        <w:rPr>
          <w:rFonts w:ascii="Arial" w:hAnsi="Arial" w:cs="Arial"/>
          <w:color w:val="000000" w:themeColor="text1"/>
          <w:sz w:val="20"/>
          <w:szCs w:val="20"/>
          <w:lang w:val="tr-TR"/>
        </w:rPr>
        <w:t>(</w:t>
      </w:r>
      <w:r w:rsidR="00201D90" w:rsidRPr="00360A96">
        <w:rPr>
          <w:rFonts w:ascii="Arial" w:hAnsi="Arial" w:cs="Arial"/>
          <w:color w:val="000000" w:themeColor="text1"/>
          <w:sz w:val="20"/>
          <w:szCs w:val="20"/>
          <w:lang w:val="tr-TR"/>
        </w:rPr>
        <w:t>Luo et al., 2021</w:t>
      </w:r>
      <w:r w:rsidR="007C76BC"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Elevated CA19-9 levels are associated with disease progression, tumor burden, and postoperative recurrence. However, its diagnostic sensitivity and specificity are limited, particularly in patients with Lewis antigen-negative phenotypes or obstructive jaundice.</w:t>
      </w:r>
    </w:p>
    <w:p w14:paraId="5E0127C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Efforts are ongoing to identify novel serum and tissue-based biomarkers, including </w:t>
      </w:r>
      <w:r w:rsidRPr="00360A96">
        <w:rPr>
          <w:rStyle w:val="Strong"/>
          <w:rFonts w:ascii="Arial" w:hAnsi="Arial" w:cs="Arial"/>
          <w:b w:val="0"/>
          <w:bCs w:val="0"/>
          <w:color w:val="000000" w:themeColor="text1"/>
          <w:sz w:val="20"/>
          <w:szCs w:val="20"/>
        </w:rPr>
        <w:t>circulating tumor DNA (ctDNA)</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exosomal proteins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microRNAs (miRNAs)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may enhance early detection and real-time disease monitoring</w:t>
      </w:r>
      <w:r w:rsidR="003B4629" w:rsidRPr="00360A96">
        <w:rPr>
          <w:rFonts w:ascii="Arial" w:hAnsi="Arial" w:cs="Arial"/>
          <w:color w:val="000000" w:themeColor="text1"/>
          <w:sz w:val="20"/>
          <w:szCs w:val="20"/>
          <w:lang w:val="tr-TR"/>
        </w:rPr>
        <w:t xml:space="preserve"> </w:t>
      </w:r>
      <w:r w:rsidR="003A0A66" w:rsidRPr="00360A96">
        <w:rPr>
          <w:rFonts w:ascii="Arial" w:hAnsi="Arial" w:cs="Arial"/>
          <w:color w:val="000000" w:themeColor="text1"/>
          <w:sz w:val="20"/>
          <w:szCs w:val="20"/>
          <w:lang w:val="tr-TR"/>
        </w:rPr>
        <w:t>(</w:t>
      </w:r>
      <w:r w:rsidR="00201D90" w:rsidRPr="00360A96">
        <w:rPr>
          <w:rFonts w:ascii="Arial" w:hAnsi="Arial" w:cs="Arial"/>
          <w:color w:val="000000" w:themeColor="text1"/>
          <w:sz w:val="20"/>
          <w:szCs w:val="20"/>
          <w:lang w:val="tr-TR"/>
        </w:rPr>
        <w:t xml:space="preserve">Kim et al., </w:t>
      </w:r>
      <w:r w:rsidR="0048001F" w:rsidRPr="00360A96">
        <w:rPr>
          <w:rFonts w:ascii="Arial" w:hAnsi="Arial" w:cs="Arial"/>
          <w:color w:val="000000" w:themeColor="text1"/>
          <w:sz w:val="20"/>
          <w:szCs w:val="20"/>
          <w:lang w:val="tr-TR"/>
        </w:rPr>
        <w:t>2024</w:t>
      </w:r>
      <w:r w:rsidR="003A0A66"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Integrating these molecular tools with imaging and clinical parameters could significantly improve diagnostic precision and facilitate individualized treatment planning.</w:t>
      </w:r>
    </w:p>
    <w:p w14:paraId="6D5FF57A"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Clinical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mplications</w:t>
      </w:r>
    </w:p>
    <w:p w14:paraId="155930A6"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aggressive nature of PDAC, accurate staging at the time of diagnosis is critical for selecting appropriate therapeutic strategies. Patients with resectable tumors may benefit from upfront surgery, whereas those with borderline resectable or locally advanced disease often require </w:t>
      </w:r>
      <w:r w:rsidRPr="00360A96">
        <w:rPr>
          <w:rStyle w:val="Strong"/>
          <w:rFonts w:ascii="Arial" w:hAnsi="Arial" w:cs="Arial"/>
          <w:b w:val="0"/>
          <w:bCs w:val="0"/>
          <w:color w:val="000000" w:themeColor="text1"/>
          <w:sz w:val="20"/>
          <w:szCs w:val="20"/>
        </w:rPr>
        <w:t>neoadjuvant chemotherapy or chemoradiation</w:t>
      </w:r>
      <w:r w:rsidRPr="00360A96">
        <w:rPr>
          <w:rFonts w:ascii="Arial" w:hAnsi="Arial" w:cs="Arial"/>
          <w:color w:val="000000" w:themeColor="text1"/>
          <w:sz w:val="20"/>
          <w:szCs w:val="20"/>
        </w:rPr>
        <w:t xml:space="preserve"> to improve resectability rates. For patients with metastatic disease, </w:t>
      </w:r>
      <w:r w:rsidRPr="00360A96">
        <w:rPr>
          <w:rFonts w:ascii="Arial" w:hAnsi="Arial" w:cs="Arial"/>
          <w:color w:val="000000" w:themeColor="text1"/>
          <w:sz w:val="20"/>
          <w:szCs w:val="20"/>
        </w:rPr>
        <w:lastRenderedPageBreak/>
        <w:t>systemic therapy remains the mainstay, emphasizing the importance of precise staging to avoid unnecessary surgical interventions.</w:t>
      </w:r>
    </w:p>
    <w:p w14:paraId="19AC165E"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r w:rsidRPr="00360A96">
        <w:rPr>
          <w:rStyle w:val="Strong"/>
          <w:rFonts w:ascii="Arial" w:hAnsi="Arial" w:cs="Arial"/>
          <w:b/>
          <w:bCs/>
          <w:color w:val="000000" w:themeColor="text1"/>
          <w:sz w:val="22"/>
          <w:szCs w:val="22"/>
        </w:rPr>
        <w:t xml:space="preserve">Treatment </w:t>
      </w:r>
      <w:r w:rsidR="009A5DE9" w:rsidRPr="00360A96">
        <w:rPr>
          <w:rStyle w:val="Strong"/>
          <w:rFonts w:ascii="Arial" w:hAnsi="Arial" w:cs="Arial"/>
          <w:b/>
          <w:bCs/>
          <w:color w:val="000000" w:themeColor="text1"/>
          <w:sz w:val="22"/>
          <w:szCs w:val="22"/>
          <w:lang w:val="tr-TR"/>
        </w:rPr>
        <w:t>M</w:t>
      </w:r>
      <w:r w:rsidRPr="00360A96">
        <w:rPr>
          <w:rStyle w:val="Strong"/>
          <w:rFonts w:ascii="Arial" w:hAnsi="Arial" w:cs="Arial"/>
          <w:b/>
          <w:bCs/>
          <w:color w:val="000000" w:themeColor="text1"/>
          <w:sz w:val="22"/>
          <w:szCs w:val="22"/>
        </w:rPr>
        <w:t>ethods</w:t>
      </w:r>
    </w:p>
    <w:p w14:paraId="79E2C141"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therapeutic management of pancreatic ductal adenocarcinoma (PDAC) remains complex due to its late presentation, aggressive biology, and intrinsic resistance to most conventional therapies. Current treatment modalities include </w:t>
      </w:r>
      <w:r w:rsidRPr="00360A96">
        <w:rPr>
          <w:rStyle w:val="Strong"/>
          <w:rFonts w:ascii="Arial" w:hAnsi="Arial" w:cs="Arial"/>
          <w:b w:val="0"/>
          <w:bCs w:val="0"/>
          <w:color w:val="000000" w:themeColor="text1"/>
          <w:sz w:val="20"/>
          <w:szCs w:val="20"/>
        </w:rPr>
        <w:t>surgical resection</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chemotherapy</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chemoradiotherapy</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targeted therapy</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immunotherapy</w:t>
      </w:r>
      <w:r w:rsidRPr="00360A96">
        <w:rPr>
          <w:rFonts w:ascii="Arial" w:hAnsi="Arial" w:cs="Arial"/>
          <w:color w:val="000000" w:themeColor="text1"/>
          <w:sz w:val="20"/>
          <w:szCs w:val="20"/>
        </w:rPr>
        <w:t xml:space="preserve"> </w:t>
      </w:r>
      <w:r w:rsidR="002D3F84" w:rsidRPr="00360A96">
        <w:rPr>
          <w:rFonts w:ascii="Arial" w:hAnsi="Arial" w:cs="Arial"/>
          <w:color w:val="000000" w:themeColor="text1"/>
          <w:sz w:val="20"/>
          <w:szCs w:val="20"/>
          <w:lang w:val="tr-TR"/>
        </w:rPr>
        <w:t>(</w:t>
      </w:r>
      <w:r w:rsidR="0048001F" w:rsidRPr="00360A96">
        <w:rPr>
          <w:rFonts w:ascii="Arial" w:hAnsi="Arial" w:cs="Arial"/>
          <w:color w:val="000000" w:themeColor="text1"/>
          <w:sz w:val="20"/>
          <w:szCs w:val="20"/>
          <w:lang w:val="tr-TR"/>
        </w:rPr>
        <w:t>Luo et al., 2021; Kim et al., 2024; Quero et al., 2024: Han et al., 2021; Wei et al., 2021; Springfield et al., 2019; Chin et al., 2018; Kimura et al., 2019; Eser et al., 2014; Jones et al., 2008; Singh et al., 2015; Wang et al., 2024; Wojtukieicz et al., 2021; Tran et al., 2023; Henriksen et al., 2019; Andersson et al., 2024; Huang et al., 2021; Thoidingiam et al</w:t>
      </w:r>
      <w:r w:rsidR="00950964" w:rsidRPr="00360A96">
        <w:rPr>
          <w:rFonts w:ascii="Arial" w:hAnsi="Arial" w:cs="Arial"/>
          <w:color w:val="000000" w:themeColor="text1"/>
          <w:sz w:val="20"/>
          <w:szCs w:val="20"/>
          <w:lang w:val="tr-TR"/>
        </w:rPr>
        <w:t>., 2024; Ye et al., 2024; Pourali et al., 2024; Jiang et al., 2022; De Castilhos et al., 2024</w:t>
      </w:r>
      <w:r w:rsidR="002D3F84"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While each offers specific benefits, their overall impact on long-term survival remains limited, particularly for patients with advanced disease.</w:t>
      </w:r>
    </w:p>
    <w:p w14:paraId="0B1CC1CB"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Surgical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herapy</w:t>
      </w:r>
    </w:p>
    <w:p w14:paraId="694340DD" w14:textId="77777777" w:rsidR="0019493F"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Surgical resection remains the only potentially curative option for PDAC, offering the best chance for prolonged survival when performed in carefully selected patients. However, due to the disease’s typically asymptomatic progression, fewer than </w:t>
      </w:r>
      <w:r w:rsidRPr="00360A96">
        <w:rPr>
          <w:rStyle w:val="Strong"/>
          <w:rFonts w:ascii="Arial" w:hAnsi="Arial" w:cs="Arial"/>
          <w:b w:val="0"/>
          <w:bCs w:val="0"/>
          <w:color w:val="000000" w:themeColor="text1"/>
          <w:sz w:val="20"/>
          <w:szCs w:val="20"/>
        </w:rPr>
        <w:t>20% of patients</w:t>
      </w:r>
      <w:r w:rsidRPr="00360A96">
        <w:rPr>
          <w:rFonts w:ascii="Arial" w:hAnsi="Arial" w:cs="Arial"/>
          <w:color w:val="000000" w:themeColor="text1"/>
          <w:sz w:val="20"/>
          <w:szCs w:val="20"/>
        </w:rPr>
        <w:t xml:space="preserve"> present with </w:t>
      </w:r>
      <w:r w:rsidRPr="00360A96">
        <w:rPr>
          <w:rStyle w:val="Strong"/>
          <w:rFonts w:ascii="Arial" w:hAnsi="Arial" w:cs="Arial"/>
          <w:b w:val="0"/>
          <w:bCs w:val="0"/>
          <w:color w:val="000000" w:themeColor="text1"/>
          <w:sz w:val="20"/>
          <w:szCs w:val="20"/>
        </w:rPr>
        <w:t>resectable tumors</w:t>
      </w:r>
      <w:r w:rsidRPr="00360A96">
        <w:rPr>
          <w:rFonts w:ascii="Arial" w:hAnsi="Arial" w:cs="Arial"/>
          <w:color w:val="000000" w:themeColor="text1"/>
          <w:sz w:val="20"/>
          <w:szCs w:val="20"/>
        </w:rPr>
        <w:t xml:space="preserve"> at diagnosis </w:t>
      </w:r>
      <w:r w:rsidR="00AE3B27" w:rsidRPr="00360A96">
        <w:rPr>
          <w:rFonts w:ascii="Arial" w:hAnsi="Arial" w:cs="Arial"/>
          <w:color w:val="000000" w:themeColor="text1"/>
          <w:sz w:val="20"/>
          <w:szCs w:val="20"/>
          <w:lang w:val="tr-TR"/>
        </w:rPr>
        <w:t>(</w:t>
      </w:r>
      <w:r w:rsidR="00B87FEA" w:rsidRPr="00360A96">
        <w:rPr>
          <w:rFonts w:ascii="Arial" w:hAnsi="Arial" w:cs="Arial"/>
          <w:color w:val="000000" w:themeColor="text1"/>
          <w:sz w:val="20"/>
          <w:szCs w:val="20"/>
          <w:lang w:val="tr-TR"/>
        </w:rPr>
        <w:t>Luo et al., 2021; Kim et al., 2024; Quero et al., 2024: Han et al., 2021; Wei et al., 2021</w:t>
      </w:r>
      <w:r w:rsidR="00AE3B27"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41C605C" w14:textId="77777777" w:rsidR="00FC6288" w:rsidRPr="00360A96" w:rsidRDefault="00FC6288" w:rsidP="0019493F">
      <w:pPr>
        <w:pStyle w:val="NormalWeb"/>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Staging and </w:t>
      </w:r>
      <w:r w:rsidR="009A5DE9"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 xml:space="preserve">urgical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ndications</w:t>
      </w:r>
    </w:p>
    <w:p w14:paraId="5FA98FD9"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Surgical eligibility is determined based on </w:t>
      </w:r>
      <w:r w:rsidRPr="00360A96">
        <w:rPr>
          <w:rStyle w:val="Strong"/>
          <w:rFonts w:ascii="Arial" w:hAnsi="Arial" w:cs="Arial"/>
          <w:b w:val="0"/>
          <w:bCs w:val="0"/>
          <w:color w:val="000000" w:themeColor="text1"/>
          <w:sz w:val="20"/>
          <w:szCs w:val="20"/>
        </w:rPr>
        <w:t>tumor size, vascular involvement, anatomical location, and patient performance status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PDAC staging follows the </w:t>
      </w:r>
      <w:r w:rsidRPr="00360A96">
        <w:rPr>
          <w:rStyle w:val="Strong"/>
          <w:rFonts w:ascii="Arial" w:hAnsi="Arial" w:cs="Arial"/>
          <w:b w:val="0"/>
          <w:bCs w:val="0"/>
          <w:color w:val="000000" w:themeColor="text1"/>
          <w:sz w:val="20"/>
          <w:szCs w:val="20"/>
        </w:rPr>
        <w:t>TNM classification system</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stratifies tumors into four categories:</w:t>
      </w:r>
    </w:p>
    <w:p w14:paraId="07005D4A" w14:textId="77777777" w:rsidR="00FC6288" w:rsidRPr="00360A96" w:rsidRDefault="00FC6288" w:rsidP="0019493F">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Resectable</w:t>
      </w:r>
      <w:r w:rsidRPr="00360A96">
        <w:rPr>
          <w:rFonts w:ascii="Arial" w:hAnsi="Arial" w:cs="Arial"/>
          <w:color w:val="000000" w:themeColor="text1"/>
          <w:sz w:val="20"/>
          <w:szCs w:val="20"/>
        </w:rPr>
        <w:t>,</w:t>
      </w:r>
    </w:p>
    <w:p w14:paraId="3407911D" w14:textId="77777777" w:rsidR="00FC6288" w:rsidRPr="00360A96" w:rsidRDefault="00FC6288" w:rsidP="0019493F">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Borderline resectable</w:t>
      </w:r>
      <w:r w:rsidRPr="00360A96">
        <w:rPr>
          <w:rFonts w:ascii="Arial" w:hAnsi="Arial" w:cs="Arial"/>
          <w:color w:val="000000" w:themeColor="text1"/>
          <w:sz w:val="20"/>
          <w:szCs w:val="20"/>
        </w:rPr>
        <w:t>,</w:t>
      </w:r>
    </w:p>
    <w:p w14:paraId="2156C5FA" w14:textId="77777777" w:rsidR="00FC6288" w:rsidRPr="00360A96" w:rsidRDefault="00FC6288" w:rsidP="0019493F">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Locally advanced/unresectable</w:t>
      </w:r>
      <w:r w:rsidRPr="00360A96">
        <w:rPr>
          <w:rFonts w:ascii="Arial" w:hAnsi="Arial" w:cs="Arial"/>
          <w:color w:val="000000" w:themeColor="text1"/>
          <w:sz w:val="20"/>
          <w:szCs w:val="20"/>
        </w:rPr>
        <w:t>, and</w:t>
      </w:r>
    </w:p>
    <w:p w14:paraId="18F5C364" w14:textId="77777777" w:rsidR="00FC6288" w:rsidRPr="00360A96" w:rsidRDefault="00FC6288" w:rsidP="0019493F">
      <w:pPr>
        <w:pStyle w:val="NormalWeb"/>
        <w:numPr>
          <w:ilvl w:val="0"/>
          <w:numId w:val="2"/>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Metastatic</w:t>
      </w:r>
      <w:r w:rsidRPr="00360A96">
        <w:rPr>
          <w:rFonts w:ascii="Arial" w:hAnsi="Arial" w:cs="Arial"/>
          <w:color w:val="000000" w:themeColor="text1"/>
          <w:sz w:val="20"/>
          <w:szCs w:val="20"/>
        </w:rPr>
        <w:t xml:space="preserve"> </w:t>
      </w:r>
      <w:r w:rsidR="002041D8" w:rsidRPr="00360A96">
        <w:rPr>
          <w:rFonts w:ascii="Arial" w:hAnsi="Arial" w:cs="Arial"/>
          <w:color w:val="000000" w:themeColor="text1"/>
          <w:sz w:val="20"/>
          <w:szCs w:val="20"/>
          <w:lang w:val="tr-TR"/>
        </w:rPr>
        <w:t>(</w:t>
      </w:r>
      <w:r w:rsidR="00B87FEA" w:rsidRPr="00360A96">
        <w:rPr>
          <w:rFonts w:ascii="Arial" w:hAnsi="Arial" w:cs="Arial"/>
          <w:color w:val="000000" w:themeColor="text1"/>
          <w:sz w:val="20"/>
          <w:szCs w:val="20"/>
          <w:lang w:val="tr-TR"/>
        </w:rPr>
        <w:t>Boggi et al., 2024</w:t>
      </w:r>
      <w:r w:rsidR="002041D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27559651"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Tumors confined to the pancreas and without major vascular invasion are considered resectable, whereas borderline resectable and locally advanced tumors often require </w:t>
      </w:r>
      <w:r w:rsidRPr="00360A96">
        <w:rPr>
          <w:rStyle w:val="Strong"/>
          <w:rFonts w:ascii="Arial" w:hAnsi="Arial" w:cs="Arial"/>
          <w:b w:val="0"/>
          <w:bCs w:val="0"/>
          <w:color w:val="000000" w:themeColor="text1"/>
          <w:sz w:val="20"/>
          <w:szCs w:val="20"/>
        </w:rPr>
        <w:t>neoadjuvant therapy</w:t>
      </w:r>
      <w:r w:rsidRPr="00360A96">
        <w:rPr>
          <w:rFonts w:ascii="Arial" w:hAnsi="Arial" w:cs="Arial"/>
          <w:color w:val="000000" w:themeColor="text1"/>
          <w:sz w:val="20"/>
          <w:szCs w:val="20"/>
        </w:rPr>
        <w:t xml:space="preserve"> to achieve operability.</w:t>
      </w:r>
    </w:p>
    <w:p w14:paraId="197463BD" w14:textId="77777777" w:rsidR="00FC6288" w:rsidRPr="00360A96" w:rsidRDefault="00FC6288" w:rsidP="004557D8">
      <w:pPr>
        <w:pStyle w:val="Heading4"/>
        <w:spacing w:line="480" w:lineRule="auto"/>
        <w:ind w:left="567" w:right="283"/>
        <w:jc w:val="both"/>
        <w:rPr>
          <w:rFonts w:ascii="Arial" w:hAnsi="Arial" w:cs="Arial"/>
          <w:i w:val="0"/>
          <w:iCs w:val="0"/>
          <w:color w:val="000000" w:themeColor="text1"/>
          <w:sz w:val="22"/>
          <w:szCs w:val="22"/>
        </w:rPr>
      </w:pPr>
      <w:r w:rsidRPr="00360A96">
        <w:rPr>
          <w:rStyle w:val="Strong"/>
          <w:rFonts w:ascii="Arial" w:hAnsi="Arial" w:cs="Arial"/>
          <w:i w:val="0"/>
          <w:iCs w:val="0"/>
          <w:color w:val="000000" w:themeColor="text1"/>
          <w:sz w:val="22"/>
          <w:szCs w:val="22"/>
        </w:rPr>
        <w:t xml:space="preserve">Surgical </w:t>
      </w:r>
      <w:r w:rsidR="009A5DE9" w:rsidRPr="00360A96">
        <w:rPr>
          <w:rStyle w:val="Strong"/>
          <w:rFonts w:ascii="Arial" w:hAnsi="Arial" w:cs="Arial"/>
          <w:i w:val="0"/>
          <w:iCs w:val="0"/>
          <w:color w:val="000000" w:themeColor="text1"/>
          <w:sz w:val="22"/>
          <w:szCs w:val="22"/>
          <w:lang w:val="tr-TR"/>
        </w:rPr>
        <w:t>P</w:t>
      </w:r>
      <w:r w:rsidRPr="00360A96">
        <w:rPr>
          <w:rStyle w:val="Strong"/>
          <w:rFonts w:ascii="Arial" w:hAnsi="Arial" w:cs="Arial"/>
          <w:i w:val="0"/>
          <w:iCs w:val="0"/>
          <w:color w:val="000000" w:themeColor="text1"/>
          <w:sz w:val="22"/>
          <w:szCs w:val="22"/>
        </w:rPr>
        <w:t>rocedures</w:t>
      </w:r>
    </w:p>
    <w:p w14:paraId="212319FC"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 choice of surgical technique depends primarily on the tumor’s anatomical location:</w:t>
      </w:r>
    </w:p>
    <w:p w14:paraId="5AA8A798" w14:textId="77777777" w:rsidR="00FC6288" w:rsidRPr="00360A96" w:rsidRDefault="00FC6288" w:rsidP="0019493F">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Pancreaticoduodenectomy (Whipple procedure)</w:t>
      </w:r>
      <w:r w:rsidRPr="00360A96">
        <w:rPr>
          <w:rFonts w:ascii="Arial" w:hAnsi="Arial" w:cs="Arial"/>
          <w:color w:val="000000" w:themeColor="text1"/>
          <w:sz w:val="20"/>
          <w:szCs w:val="20"/>
        </w:rPr>
        <w:t xml:space="preserve"> is the standard for tumors located in the pancreatic head. It has become increasingly safe in high-volume centers, with low operative mortality and acceptable morbidity rates.</w:t>
      </w:r>
    </w:p>
    <w:p w14:paraId="13326443" w14:textId="77777777" w:rsidR="00FC6288" w:rsidRPr="00360A96" w:rsidRDefault="00FC6288" w:rsidP="0019493F">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Distal pancreatectomy</w:t>
      </w:r>
      <w:r w:rsidRPr="00360A96">
        <w:rPr>
          <w:rFonts w:ascii="Arial" w:hAnsi="Arial" w:cs="Arial"/>
          <w:color w:val="000000" w:themeColor="text1"/>
          <w:sz w:val="20"/>
          <w:szCs w:val="20"/>
        </w:rPr>
        <w:t xml:space="preserve"> is indicated for lesions in the body or tail of the pancreas.</w:t>
      </w:r>
    </w:p>
    <w:p w14:paraId="0F3D235A" w14:textId="77777777" w:rsidR="00FC6288" w:rsidRPr="00360A96" w:rsidRDefault="00FC6288" w:rsidP="0019493F">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Total pancreatectomy</w:t>
      </w:r>
      <w:r w:rsidRPr="00360A96">
        <w:rPr>
          <w:rFonts w:ascii="Arial" w:hAnsi="Arial" w:cs="Arial"/>
          <w:color w:val="000000" w:themeColor="text1"/>
          <w:sz w:val="20"/>
          <w:szCs w:val="20"/>
        </w:rPr>
        <w:t xml:space="preserve"> is reserved for extensive or multifocal disease but is rarely performed due to the high risk of metabolic complications, including insulin-dependent diabetes and exocrine insufficiency </w:t>
      </w:r>
      <w:r w:rsidR="002041D8" w:rsidRPr="00360A96">
        <w:rPr>
          <w:rFonts w:ascii="Arial" w:hAnsi="Arial" w:cs="Arial"/>
          <w:color w:val="000000" w:themeColor="text1"/>
          <w:sz w:val="20"/>
          <w:szCs w:val="20"/>
          <w:lang w:val="tr-TR"/>
        </w:rPr>
        <w:t>(</w:t>
      </w:r>
      <w:r w:rsidR="00B87FEA" w:rsidRPr="00360A96">
        <w:rPr>
          <w:rFonts w:ascii="Arial" w:hAnsi="Arial" w:cs="Arial"/>
          <w:color w:val="000000" w:themeColor="text1"/>
          <w:sz w:val="20"/>
          <w:szCs w:val="20"/>
          <w:lang w:val="tr-TR"/>
        </w:rPr>
        <w:t>Quero et al., 2024</w:t>
      </w:r>
      <w:r w:rsidR="002041D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3781F256" w14:textId="77777777" w:rsidR="00FC6288" w:rsidRPr="00360A96" w:rsidRDefault="00FC6288" w:rsidP="0019493F">
      <w:pPr>
        <w:pStyle w:val="NormalWeb"/>
        <w:numPr>
          <w:ilvl w:val="0"/>
          <w:numId w:val="3"/>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Palliative surgery</w:t>
      </w:r>
      <w:r w:rsidRPr="00360A96">
        <w:rPr>
          <w:rFonts w:ascii="Arial" w:hAnsi="Arial" w:cs="Arial"/>
          <w:color w:val="000000" w:themeColor="text1"/>
          <w:sz w:val="20"/>
          <w:szCs w:val="20"/>
        </w:rPr>
        <w:t xml:space="preserve"> may be performed in cases of unresectable disease to relieve biliary or duodenal obstruction, improving quality of life</w:t>
      </w:r>
      <w:r w:rsidR="00CA6556" w:rsidRPr="00360A96">
        <w:rPr>
          <w:rFonts w:ascii="Arial" w:hAnsi="Arial" w:cs="Arial"/>
          <w:color w:val="000000" w:themeColor="text1"/>
          <w:sz w:val="20"/>
          <w:szCs w:val="20"/>
          <w:lang w:val="tr-TR"/>
        </w:rPr>
        <w:t xml:space="preserve"> (Wu et al., 2025)</w:t>
      </w:r>
      <w:r w:rsidRPr="00360A96">
        <w:rPr>
          <w:rFonts w:ascii="Arial" w:hAnsi="Arial" w:cs="Arial"/>
          <w:color w:val="000000" w:themeColor="text1"/>
          <w:sz w:val="20"/>
          <w:szCs w:val="20"/>
        </w:rPr>
        <w:t>.</w:t>
      </w:r>
    </w:p>
    <w:p w14:paraId="0F3AA164"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Despite improvements in surgical techniques and perioperative care, recurrence rates remain high, and long-term survival is achieved only in a minority of patients. Consequently, </w:t>
      </w:r>
      <w:r w:rsidRPr="00360A96">
        <w:rPr>
          <w:rStyle w:val="Strong"/>
          <w:rFonts w:ascii="Arial" w:hAnsi="Arial" w:cs="Arial"/>
          <w:b w:val="0"/>
          <w:bCs w:val="0"/>
          <w:color w:val="000000" w:themeColor="text1"/>
          <w:sz w:val="20"/>
          <w:szCs w:val="20"/>
        </w:rPr>
        <w:t>multimodal therapy</w:t>
      </w:r>
      <w:r w:rsidRPr="00360A96">
        <w:rPr>
          <w:rFonts w:ascii="Arial" w:hAnsi="Arial" w:cs="Arial"/>
          <w:color w:val="000000" w:themeColor="text1"/>
          <w:sz w:val="20"/>
          <w:szCs w:val="20"/>
        </w:rPr>
        <w:t>, incorporating adjuvant or neoadjuvant treatment, has become standard in most clinical settings.</w:t>
      </w:r>
    </w:p>
    <w:p w14:paraId="574E2C21"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Chemotherapy and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hemoradiotherapy</w:t>
      </w:r>
    </w:p>
    <w:p w14:paraId="6CFFCDAB"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Chemotherapy remains the cornerstone of non-surgical management for both localized and metastatic PDAC. Standard first-line regimens include </w:t>
      </w:r>
      <w:r w:rsidRPr="00360A96">
        <w:rPr>
          <w:rStyle w:val="Strong"/>
          <w:rFonts w:ascii="Arial" w:hAnsi="Arial" w:cs="Arial"/>
          <w:b w:val="0"/>
          <w:bCs w:val="0"/>
          <w:color w:val="000000" w:themeColor="text1"/>
          <w:sz w:val="20"/>
          <w:szCs w:val="20"/>
        </w:rPr>
        <w:t>FOLFIRINOX</w:t>
      </w:r>
      <w:r w:rsidRPr="00360A96">
        <w:rPr>
          <w:rFonts w:ascii="Arial" w:hAnsi="Arial" w:cs="Arial"/>
          <w:color w:val="000000" w:themeColor="text1"/>
          <w:sz w:val="20"/>
          <w:szCs w:val="20"/>
        </w:rPr>
        <w:t xml:space="preserve"> (a combination of 5-fluorouracil, leucovorin, irinotecan, and oxaliplatin) or </w:t>
      </w:r>
      <w:r w:rsidRPr="00360A96">
        <w:rPr>
          <w:rStyle w:val="Strong"/>
          <w:rFonts w:ascii="Arial" w:hAnsi="Arial" w:cs="Arial"/>
          <w:b w:val="0"/>
          <w:bCs w:val="0"/>
          <w:color w:val="000000" w:themeColor="text1"/>
          <w:sz w:val="20"/>
          <w:szCs w:val="20"/>
        </w:rPr>
        <w:t>gemcitabine-based combinations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offer modest survival benefits </w:t>
      </w:r>
      <w:r w:rsidR="002041D8"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Springfield et al., 2019; Chin et al., 2018</w:t>
      </w:r>
      <w:r w:rsidR="002041D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2C82179A"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Adjuvant chemotherapy following curative resection has been shown to significantly improve overall survival compared with surgery alone. Neoadjuvant chemotherapy, often combined with radiotherapy, is increasingly employed for borderline resectable or locally advanced tumors to downstage disease and increase resectability.</w:t>
      </w:r>
    </w:p>
    <w:p w14:paraId="15D039CD"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intrinsic chemoresistance and the dense desmoplastic stroma surrounding PDAC tumors limit drug delivery and efficacy. Radiotherapy may be used concurrently with chemotherapy to enhance local control, but its role remains controversial, with mixed evidence regarding its effect on survival outcomes </w:t>
      </w:r>
      <w:r w:rsidR="002041D8"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Chin et al., 2018</w:t>
      </w:r>
      <w:r w:rsidR="002041D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046328E"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Targeted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herapy and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mmunotherapy</w:t>
      </w:r>
    </w:p>
    <w:p w14:paraId="500E5D8F"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Targeted therapies have produced limited success in PDAC due to the tumor’s molecular heterogeneity and lack of actionable mutations. Trials investigating inhibitors of </w:t>
      </w:r>
      <w:r w:rsidRPr="00360A96">
        <w:rPr>
          <w:rStyle w:val="Strong"/>
          <w:rFonts w:ascii="Arial" w:hAnsi="Arial" w:cs="Arial"/>
          <w:b w:val="0"/>
          <w:bCs w:val="0"/>
          <w:color w:val="000000" w:themeColor="text1"/>
          <w:sz w:val="20"/>
          <w:szCs w:val="20"/>
        </w:rPr>
        <w:t>EGFR</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VEGF</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KRAS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have yielded only marginal benefits </w:t>
      </w:r>
      <w:r w:rsidR="002041D8"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Kimura et al., 2019; Eser et al., 2014; Jones et al., 2008</w:t>
      </w:r>
      <w:r w:rsidR="002041D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228070C"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In contrast, </w:t>
      </w:r>
      <w:r w:rsidRPr="00360A96">
        <w:rPr>
          <w:rStyle w:val="Strong"/>
          <w:rFonts w:ascii="Arial" w:hAnsi="Arial" w:cs="Arial"/>
          <w:b w:val="0"/>
          <w:bCs w:val="0"/>
          <w:color w:val="000000" w:themeColor="text1"/>
          <w:sz w:val="20"/>
          <w:szCs w:val="20"/>
        </w:rPr>
        <w:t>immunotherapy</w:t>
      </w:r>
      <w:r w:rsidRPr="00360A96">
        <w:rPr>
          <w:rFonts w:ascii="Arial" w:hAnsi="Arial" w:cs="Arial"/>
          <w:color w:val="000000" w:themeColor="text1"/>
          <w:sz w:val="20"/>
          <w:szCs w:val="20"/>
        </w:rPr>
        <w:t xml:space="preserve">—a transformative approach in other malignancies—has shown minimal efficacy in PDAC because of the tumor’s </w:t>
      </w:r>
      <w:r w:rsidRPr="00360A96">
        <w:rPr>
          <w:rStyle w:val="Strong"/>
          <w:rFonts w:ascii="Arial" w:hAnsi="Arial" w:cs="Arial"/>
          <w:b w:val="0"/>
          <w:bCs w:val="0"/>
          <w:color w:val="000000" w:themeColor="text1"/>
          <w:sz w:val="20"/>
          <w:szCs w:val="20"/>
        </w:rPr>
        <w:t>profoundly immunosuppressive microenvironment</w:t>
      </w:r>
      <w:r w:rsidRPr="00360A96">
        <w:rPr>
          <w:rFonts w:ascii="Arial" w:hAnsi="Arial" w:cs="Arial"/>
          <w:color w:val="000000" w:themeColor="text1"/>
          <w:sz w:val="20"/>
          <w:szCs w:val="20"/>
        </w:rPr>
        <w:t xml:space="preserve"> </w:t>
      </w:r>
      <w:r w:rsidR="00C2601E"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00C2601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Monotherapies employing immune checkpoint inhibitors (e.g., anti–PD-1, anti–CTLA-4),</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CD40 agonists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tumor vaccines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adoptive cell transfer</w:t>
      </w:r>
      <w:r w:rsidRPr="00360A96">
        <w:rPr>
          <w:rFonts w:ascii="Arial" w:hAnsi="Arial" w:cs="Arial"/>
          <w:color w:val="000000" w:themeColor="text1"/>
          <w:sz w:val="20"/>
          <w:szCs w:val="20"/>
        </w:rPr>
        <w:t xml:space="preserve"> have not yet achieved meaningful clinical benefit.</w:t>
      </w:r>
    </w:p>
    <w:p w14:paraId="64A337DD"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strategies aim to </w:t>
      </w:r>
      <w:r w:rsidRPr="00360A96">
        <w:rPr>
          <w:rStyle w:val="Strong"/>
          <w:rFonts w:ascii="Arial" w:hAnsi="Arial" w:cs="Arial"/>
          <w:b w:val="0"/>
          <w:bCs w:val="0"/>
          <w:color w:val="000000" w:themeColor="text1"/>
          <w:sz w:val="20"/>
          <w:szCs w:val="20"/>
        </w:rPr>
        <w:t>modulate the tumor microenvironment (TME)</w:t>
      </w:r>
      <w:r w:rsidRPr="00360A96">
        <w:rPr>
          <w:rFonts w:ascii="Arial" w:hAnsi="Arial" w:cs="Arial"/>
          <w:color w:val="000000" w:themeColor="text1"/>
          <w:sz w:val="20"/>
          <w:szCs w:val="20"/>
        </w:rPr>
        <w:t xml:space="preserve"> to enhance immunotherapeutic responses. Approaches under investigation include </w:t>
      </w:r>
      <w:r w:rsidRPr="00360A96">
        <w:rPr>
          <w:rStyle w:val="Strong"/>
          <w:rFonts w:ascii="Arial" w:hAnsi="Arial" w:cs="Arial"/>
          <w:b w:val="0"/>
          <w:bCs w:val="0"/>
          <w:color w:val="000000" w:themeColor="text1"/>
          <w:sz w:val="20"/>
          <w:szCs w:val="20"/>
        </w:rPr>
        <w:t>CD40 signaling activation</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stromal remodeling</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combination therapies integrating </w:t>
      </w:r>
      <w:r w:rsidRPr="00360A96">
        <w:rPr>
          <w:rStyle w:val="Strong"/>
          <w:rFonts w:ascii="Arial" w:hAnsi="Arial" w:cs="Arial"/>
          <w:b w:val="0"/>
          <w:bCs w:val="0"/>
          <w:color w:val="000000" w:themeColor="text1"/>
          <w:sz w:val="20"/>
          <w:szCs w:val="20"/>
        </w:rPr>
        <w:t>chemotherapy, radiotherapy, and immunotherapy</w:t>
      </w:r>
      <w:r w:rsidRPr="00360A96">
        <w:rPr>
          <w:rFonts w:ascii="Arial" w:hAnsi="Arial" w:cs="Arial"/>
          <w:b/>
          <w:bCs/>
          <w:color w:val="000000" w:themeColor="text1"/>
          <w:sz w:val="20"/>
          <w:szCs w:val="20"/>
        </w:rPr>
        <w:t xml:space="preserve"> </w:t>
      </w:r>
      <w:r w:rsidR="00C2601E"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Andersson et al., 2024; De Castilhos et al., 2024</w:t>
      </w:r>
      <w:r w:rsidR="00C2601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4A317B0"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Emerging and </w:t>
      </w:r>
      <w:r w:rsidR="009A5DE9" w:rsidRPr="00360A96">
        <w:rPr>
          <w:rStyle w:val="Strong"/>
          <w:rFonts w:ascii="Arial" w:hAnsi="Arial" w:cs="Arial"/>
          <w:color w:val="000000" w:themeColor="text1"/>
          <w:sz w:val="22"/>
          <w:szCs w:val="22"/>
          <w:lang w:val="tr-TR"/>
        </w:rPr>
        <w:t>E</w:t>
      </w:r>
      <w:r w:rsidRPr="00360A96">
        <w:rPr>
          <w:rStyle w:val="Strong"/>
          <w:rFonts w:ascii="Arial" w:hAnsi="Arial" w:cs="Arial"/>
          <w:color w:val="000000" w:themeColor="text1"/>
          <w:sz w:val="22"/>
          <w:szCs w:val="22"/>
        </w:rPr>
        <w:t xml:space="preserve">xperimental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herapies</w:t>
      </w:r>
    </w:p>
    <w:p w14:paraId="5FD0A52F"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Beyond conventional and immune-based strategies, novel treatment modalities are being explored:</w:t>
      </w:r>
    </w:p>
    <w:p w14:paraId="625DEBA4" w14:textId="77777777" w:rsidR="00FC6288" w:rsidRPr="00360A96" w:rsidRDefault="00FC6288" w:rsidP="0019493F">
      <w:pPr>
        <w:pStyle w:val="NormalWeb"/>
        <w:numPr>
          <w:ilvl w:val="0"/>
          <w:numId w:val="4"/>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Microbial-based therapies</w:t>
      </w:r>
      <w:r w:rsidRPr="00360A96">
        <w:rPr>
          <w:rFonts w:ascii="Arial" w:hAnsi="Arial" w:cs="Arial"/>
          <w:color w:val="000000" w:themeColor="text1"/>
          <w:sz w:val="20"/>
          <w:szCs w:val="20"/>
        </w:rPr>
        <w:t xml:space="preserve"> exploit the gut–tumor axis by modifying the microbiome through fecal microbiota transplantation (FMT), dietary interventions, or targeted antibiotics </w:t>
      </w:r>
      <w:r w:rsidR="0042011E" w:rsidRPr="00360A96">
        <w:rPr>
          <w:rFonts w:ascii="Arial" w:hAnsi="Arial" w:cs="Arial"/>
          <w:color w:val="000000" w:themeColor="text1"/>
          <w:sz w:val="20"/>
          <w:szCs w:val="20"/>
          <w:lang w:val="tr-TR"/>
        </w:rPr>
        <w:t>(</w:t>
      </w:r>
      <w:r w:rsidR="00973FD0" w:rsidRPr="00360A96">
        <w:rPr>
          <w:rFonts w:ascii="Arial" w:hAnsi="Arial" w:cs="Arial"/>
          <w:color w:val="000000" w:themeColor="text1"/>
          <w:sz w:val="20"/>
          <w:szCs w:val="20"/>
          <w:lang w:val="tr-TR"/>
        </w:rPr>
        <w:t xml:space="preserve">Henderson et al., 2023; Zhang et al., 2018; Thomas, 2017; Vrieze et al., 2012; Yamamura et al., 2025; Zhao et al., 2023; </w:t>
      </w:r>
      <w:r w:rsidR="00731F8C" w:rsidRPr="00360A96">
        <w:rPr>
          <w:rFonts w:ascii="Arial" w:hAnsi="Arial" w:cs="Arial"/>
          <w:color w:val="000000" w:themeColor="text1"/>
          <w:sz w:val="20"/>
          <w:szCs w:val="20"/>
          <w:lang w:val="tr-TR"/>
        </w:rPr>
        <w:t>He et al., 2017; Pushalkar et al., 2018; Tano</w:t>
      </w:r>
      <w:r w:rsidR="00ED7578" w:rsidRPr="00360A96">
        <w:rPr>
          <w:rFonts w:ascii="Arial" w:hAnsi="Arial" w:cs="Arial"/>
          <w:color w:val="000000" w:themeColor="text1"/>
          <w:sz w:val="20"/>
          <w:szCs w:val="20"/>
          <w:lang w:val="tr-TR"/>
        </w:rPr>
        <w:t>ue et al., 2019; Klement et al., 2019; Panebianco et al., 2018; Zhang et al., 2020; Riquelme et al., 2018; Li et al., 2016</w:t>
      </w:r>
      <w:r w:rsidR="0042011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These approaches aim to restore immune responsiveness and sensitize tumors to immunotherapy.</w:t>
      </w:r>
    </w:p>
    <w:p w14:paraId="4825DE2D" w14:textId="77777777" w:rsidR="00FC6288" w:rsidRPr="00360A96" w:rsidRDefault="00FC6288" w:rsidP="0019493F">
      <w:pPr>
        <w:pStyle w:val="NormalWeb"/>
        <w:numPr>
          <w:ilvl w:val="0"/>
          <w:numId w:val="4"/>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lastRenderedPageBreak/>
        <w:t>MicroRNA (miRNA)-based therapies</w:t>
      </w:r>
      <w:r w:rsidRPr="00360A96">
        <w:rPr>
          <w:rFonts w:ascii="Arial" w:hAnsi="Arial" w:cs="Arial"/>
          <w:color w:val="000000" w:themeColor="text1"/>
          <w:sz w:val="20"/>
          <w:szCs w:val="20"/>
        </w:rPr>
        <w:t xml:space="preserve"> represent another promising avenue. Dysregulated miRNAs influence oncogenic signaling, metastasis, and treatment resistance. Therapeutic modulation of miRNA expression through synthetic mimics or inhibitors offers potential to overcome chemoresistance and improve outcomes </w:t>
      </w:r>
      <w:r w:rsidR="00AC492D" w:rsidRPr="00360A96">
        <w:rPr>
          <w:rFonts w:ascii="Arial" w:hAnsi="Arial" w:cs="Arial"/>
          <w:color w:val="000000" w:themeColor="text1"/>
          <w:sz w:val="20"/>
          <w:szCs w:val="20"/>
          <w:lang w:val="tr-TR"/>
        </w:rPr>
        <w:t>(</w:t>
      </w:r>
      <w:r w:rsidR="00547BB0" w:rsidRPr="00360A96">
        <w:rPr>
          <w:rFonts w:ascii="Arial" w:hAnsi="Arial" w:cs="Arial"/>
          <w:color w:val="000000" w:themeColor="text1"/>
          <w:sz w:val="20"/>
          <w:szCs w:val="20"/>
          <w:lang w:val="tr-TR"/>
        </w:rPr>
        <w:t xml:space="preserve">Rachagani et al., 2016; Slotwinski et al., 2018; Fesler et al., 2020; Dong et al., 2025; Chu et al., 2022; Vahabi et al., 2023; Moriyama et al., 2009; </w:t>
      </w:r>
      <w:r w:rsidR="00024672" w:rsidRPr="00360A96">
        <w:rPr>
          <w:rFonts w:ascii="Arial" w:hAnsi="Arial" w:cs="Arial"/>
          <w:color w:val="000000" w:themeColor="text1"/>
          <w:sz w:val="20"/>
          <w:szCs w:val="20"/>
          <w:lang w:val="tr-TR"/>
        </w:rPr>
        <w:t>Nalls et al., 2011; Hu et al., 2013; Liu et al., 2013; Wang et al., 2013; Tesfaye et al., 2019</w:t>
      </w:r>
      <w:r w:rsidR="00AC492D"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FC937E4" w14:textId="77777777" w:rsidR="00FC6288" w:rsidRPr="00360A96" w:rsidRDefault="00FC6288" w:rsidP="00430BA3">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Summary</w:t>
      </w:r>
    </w:p>
    <w:p w14:paraId="157213FA"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In summary, while surgical resection remains the gold standard and only potentially curative option for PDAC, its applicability is restricted by the disease’s typically late presentation. Chemotherapy and chemoradiotherapy provide limited benefits, underscoring the urgent need for novel, mechanism-driven therapies. Recent advances in immunotherapy, microbial modulation, and miRNA-targeted strategies hold promise for improving patient outcomes. Ultimately, treatment selection must be guided by disease stage, molecular characteristics, and patient-specific factors, emphasizing the importance of a multidisciplinary and precision-based approach.</w:t>
      </w:r>
    </w:p>
    <w:p w14:paraId="547511E5"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bookmarkStart w:id="0" w:name="_Hlk227169486"/>
      <w:r w:rsidRPr="00360A96">
        <w:rPr>
          <w:rStyle w:val="Strong"/>
          <w:rFonts w:ascii="Arial" w:hAnsi="Arial" w:cs="Arial"/>
          <w:b/>
          <w:bCs/>
          <w:color w:val="000000" w:themeColor="text1"/>
          <w:sz w:val="22"/>
          <w:szCs w:val="22"/>
        </w:rPr>
        <w:t xml:space="preserve">Promising </w:t>
      </w:r>
      <w:r w:rsidR="009A5DE9" w:rsidRPr="00360A96">
        <w:rPr>
          <w:rStyle w:val="Strong"/>
          <w:rFonts w:ascii="Arial" w:hAnsi="Arial" w:cs="Arial"/>
          <w:b/>
          <w:bCs/>
          <w:color w:val="000000" w:themeColor="text1"/>
          <w:sz w:val="22"/>
          <w:szCs w:val="22"/>
          <w:lang w:val="tr-TR"/>
        </w:rPr>
        <w:t>T</w:t>
      </w:r>
      <w:r w:rsidRPr="00360A96">
        <w:rPr>
          <w:rStyle w:val="Strong"/>
          <w:rFonts w:ascii="Arial" w:hAnsi="Arial" w:cs="Arial"/>
          <w:b/>
          <w:bCs/>
          <w:color w:val="000000" w:themeColor="text1"/>
          <w:sz w:val="22"/>
          <w:szCs w:val="22"/>
        </w:rPr>
        <w:t xml:space="preserve">herapeutic </w:t>
      </w:r>
      <w:r w:rsidR="009A5DE9" w:rsidRPr="00360A96">
        <w:rPr>
          <w:rStyle w:val="Strong"/>
          <w:rFonts w:ascii="Arial" w:hAnsi="Arial" w:cs="Arial"/>
          <w:b/>
          <w:bCs/>
          <w:color w:val="000000" w:themeColor="text1"/>
          <w:sz w:val="22"/>
          <w:szCs w:val="22"/>
          <w:lang w:val="tr-TR"/>
        </w:rPr>
        <w:t>S</w:t>
      </w:r>
      <w:r w:rsidRPr="00360A96">
        <w:rPr>
          <w:rStyle w:val="Strong"/>
          <w:rFonts w:ascii="Arial" w:hAnsi="Arial" w:cs="Arial"/>
          <w:b/>
          <w:bCs/>
          <w:color w:val="000000" w:themeColor="text1"/>
          <w:sz w:val="22"/>
          <w:szCs w:val="22"/>
        </w:rPr>
        <w:t xml:space="preserve">trategies for </w:t>
      </w:r>
      <w:r w:rsidR="009A5DE9" w:rsidRPr="00360A96">
        <w:rPr>
          <w:rStyle w:val="Strong"/>
          <w:rFonts w:ascii="Arial" w:hAnsi="Arial" w:cs="Arial"/>
          <w:b/>
          <w:bCs/>
          <w:color w:val="000000" w:themeColor="text1"/>
          <w:sz w:val="22"/>
          <w:szCs w:val="22"/>
          <w:lang w:val="tr-TR"/>
        </w:rPr>
        <w:t>P</w:t>
      </w:r>
      <w:r w:rsidRPr="00360A96">
        <w:rPr>
          <w:rStyle w:val="Strong"/>
          <w:rFonts w:ascii="Arial" w:hAnsi="Arial" w:cs="Arial"/>
          <w:b/>
          <w:bCs/>
          <w:color w:val="000000" w:themeColor="text1"/>
          <w:sz w:val="22"/>
          <w:szCs w:val="22"/>
        </w:rPr>
        <w:t xml:space="preserve">ancreatic </w:t>
      </w:r>
      <w:r w:rsidR="009A5DE9" w:rsidRPr="00360A96">
        <w:rPr>
          <w:rStyle w:val="Strong"/>
          <w:rFonts w:ascii="Arial" w:hAnsi="Arial" w:cs="Arial"/>
          <w:b/>
          <w:bCs/>
          <w:color w:val="000000" w:themeColor="text1"/>
          <w:sz w:val="22"/>
          <w:szCs w:val="22"/>
          <w:lang w:val="tr-TR"/>
        </w:rPr>
        <w:t>C</w:t>
      </w:r>
      <w:r w:rsidRPr="00360A96">
        <w:rPr>
          <w:rStyle w:val="Strong"/>
          <w:rFonts w:ascii="Arial" w:hAnsi="Arial" w:cs="Arial"/>
          <w:b/>
          <w:bCs/>
          <w:color w:val="000000" w:themeColor="text1"/>
          <w:sz w:val="22"/>
          <w:szCs w:val="22"/>
        </w:rPr>
        <w:t>ancer</w:t>
      </w:r>
    </w:p>
    <w:bookmarkEnd w:id="0"/>
    <w:p w14:paraId="2A3C6140" w14:textId="5989CC5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Despite decades of research, pancreatic ductal adenocarcinoma (PDAC) continues to pose one of the greatest therapeutic challenges in oncology. Surgical resection remains the most effective treatment modality; however, because PDAC is typically asymptomatic in its early stages, </w:t>
      </w:r>
      <w:r w:rsidRPr="00360A96">
        <w:rPr>
          <w:rStyle w:val="Strong"/>
          <w:rFonts w:ascii="Arial" w:hAnsi="Arial" w:cs="Arial"/>
          <w:b w:val="0"/>
          <w:bCs w:val="0"/>
          <w:color w:val="000000" w:themeColor="text1"/>
          <w:sz w:val="20"/>
          <w:szCs w:val="20"/>
        </w:rPr>
        <w:t>fewer than 20% of patients</w:t>
      </w:r>
      <w:r w:rsidRPr="00360A96">
        <w:rPr>
          <w:rFonts w:ascii="Arial" w:hAnsi="Arial" w:cs="Arial"/>
          <w:color w:val="000000" w:themeColor="text1"/>
          <w:sz w:val="20"/>
          <w:szCs w:val="20"/>
        </w:rPr>
        <w:t xml:space="preserve"> are candidates for curative surgery at diagnosis </w:t>
      </w:r>
      <w:r w:rsidR="00AC492D" w:rsidRPr="00360A96">
        <w:rPr>
          <w:rFonts w:ascii="Arial" w:hAnsi="Arial" w:cs="Arial"/>
          <w:color w:val="000000" w:themeColor="text1"/>
          <w:sz w:val="20"/>
          <w:szCs w:val="20"/>
          <w:lang w:val="tr-TR"/>
        </w:rPr>
        <w:t>(</w:t>
      </w:r>
      <w:r w:rsidR="00A610A9" w:rsidRPr="00360A96">
        <w:rPr>
          <w:rFonts w:ascii="Arial" w:hAnsi="Arial" w:cs="Arial"/>
          <w:color w:val="000000" w:themeColor="text1"/>
          <w:sz w:val="20"/>
          <w:szCs w:val="20"/>
          <w:lang w:val="tr-TR"/>
        </w:rPr>
        <w:t>Luo et al., 2021; Kim et al., 2024; Quero et al., 2024: Han et al., 2021; Wei et al., 2021</w:t>
      </w:r>
      <w:r w:rsidR="00AC492D"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The vast majority present with locally advanced or metastatic disease, where curative intent is no longer feasible and systemic therapies yield only modest survival benefits.</w:t>
      </w:r>
    </w:p>
    <w:p w14:paraId="696B8CAB"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advances in molecular biology, tumor immunology, and microbiome science have reshaped our understanding of PDAC pathogenesis, revealing new therapeutic vulnerabilities. These insights have fueled the development of </w:t>
      </w:r>
      <w:r w:rsidRPr="00360A96">
        <w:rPr>
          <w:rStyle w:val="Strong"/>
          <w:rFonts w:ascii="Arial" w:hAnsi="Arial" w:cs="Arial"/>
          <w:b w:val="0"/>
          <w:bCs w:val="0"/>
          <w:color w:val="000000" w:themeColor="text1"/>
          <w:sz w:val="20"/>
          <w:szCs w:val="20"/>
        </w:rPr>
        <w:t>novel multimodal strategies</w:t>
      </w:r>
      <w:r w:rsidRPr="00360A96">
        <w:rPr>
          <w:rFonts w:ascii="Arial" w:hAnsi="Arial" w:cs="Arial"/>
          <w:color w:val="000000" w:themeColor="text1"/>
          <w:sz w:val="20"/>
          <w:szCs w:val="20"/>
        </w:rPr>
        <w:t xml:space="preserve"> that combine immunotherapy, microbial modulation, and nucleic acid–based approaches—particularly </w:t>
      </w:r>
      <w:r w:rsidRPr="00360A96">
        <w:rPr>
          <w:rStyle w:val="Strong"/>
          <w:rFonts w:ascii="Arial" w:hAnsi="Arial" w:cs="Arial"/>
          <w:b w:val="0"/>
          <w:bCs w:val="0"/>
          <w:color w:val="000000" w:themeColor="text1"/>
          <w:sz w:val="20"/>
          <w:szCs w:val="20"/>
        </w:rPr>
        <w:t>microRNA (miRNA) therapeutics</w:t>
      </w:r>
      <w:r w:rsidRPr="00360A96">
        <w:rPr>
          <w:rFonts w:ascii="Arial" w:hAnsi="Arial" w:cs="Arial"/>
          <w:color w:val="000000" w:themeColor="text1"/>
          <w:sz w:val="20"/>
          <w:szCs w:val="20"/>
        </w:rPr>
        <w:t>—aimed at overcoming the intrinsic resistance of PDAC to conventional treatments.</w:t>
      </w:r>
    </w:p>
    <w:p w14:paraId="5E0073B5"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Rationale for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 xml:space="preserve">nnovative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herapeutic </w:t>
      </w:r>
      <w:r w:rsidR="009A5DE9" w:rsidRPr="00360A96">
        <w:rPr>
          <w:rStyle w:val="Strong"/>
          <w:rFonts w:ascii="Arial" w:hAnsi="Arial" w:cs="Arial"/>
          <w:color w:val="000000" w:themeColor="text1"/>
          <w:sz w:val="22"/>
          <w:szCs w:val="22"/>
          <w:lang w:val="tr-TR"/>
        </w:rPr>
        <w:t>A</w:t>
      </w:r>
      <w:r w:rsidRPr="00360A96">
        <w:rPr>
          <w:rStyle w:val="Strong"/>
          <w:rFonts w:ascii="Arial" w:hAnsi="Arial" w:cs="Arial"/>
          <w:color w:val="000000" w:themeColor="text1"/>
          <w:sz w:val="22"/>
          <w:szCs w:val="22"/>
        </w:rPr>
        <w:t>pproaches</w:t>
      </w:r>
    </w:p>
    <w:p w14:paraId="5263BCB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biological features that make PDAC so lethal—its dense desmoplastic stroma, aberrant signaling pathways, and highly immunosuppressive tumor microenvironment (TME)—also offer opportunities for targeted intervention. Strategies directed at </w:t>
      </w:r>
      <w:r w:rsidRPr="00360A96">
        <w:rPr>
          <w:rStyle w:val="Strong"/>
          <w:rFonts w:ascii="Arial" w:hAnsi="Arial" w:cs="Arial"/>
          <w:b w:val="0"/>
          <w:bCs w:val="0"/>
          <w:color w:val="000000" w:themeColor="text1"/>
          <w:sz w:val="20"/>
          <w:szCs w:val="20"/>
        </w:rPr>
        <w:t>modulating the TME</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reprogramming immune cell infiltration</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targeting cancer stem cells (CSCs)</w:t>
      </w:r>
      <w:r w:rsidRPr="00360A96">
        <w:rPr>
          <w:rFonts w:ascii="Arial" w:hAnsi="Arial" w:cs="Arial"/>
          <w:color w:val="000000" w:themeColor="text1"/>
          <w:sz w:val="20"/>
          <w:szCs w:val="20"/>
        </w:rPr>
        <w:t xml:space="preserve"> have shown encouraging preclinical results. CSCs are believed to drive tumor recurrence and therapeutic resistance through activation of developmental signaling pathways such as </w:t>
      </w:r>
      <w:r w:rsidRPr="00360A96">
        <w:rPr>
          <w:rStyle w:val="Strong"/>
          <w:rFonts w:ascii="Arial" w:hAnsi="Arial" w:cs="Arial"/>
          <w:b w:val="0"/>
          <w:bCs w:val="0"/>
          <w:color w:val="000000" w:themeColor="text1"/>
          <w:sz w:val="20"/>
          <w:szCs w:val="20"/>
        </w:rPr>
        <w:t>Hedgehog</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Wnt</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Notch</w:t>
      </w:r>
      <w:r w:rsidR="00925906" w:rsidRPr="00360A96">
        <w:rPr>
          <w:rStyle w:val="Strong"/>
          <w:rFonts w:ascii="Arial" w:hAnsi="Arial" w:cs="Arial"/>
          <w:b w:val="0"/>
          <w:bCs w:val="0"/>
          <w:color w:val="000000" w:themeColor="text1"/>
          <w:sz w:val="20"/>
          <w:szCs w:val="20"/>
          <w:lang w:val="tr-TR"/>
        </w:rPr>
        <w:t xml:space="preserve"> (Yu et al., 2025)</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Therapeutic blockade of these pathways, particularly in combination with immunotherapy or chemotherapy, represents a promising avenue for durable disease control </w:t>
      </w:r>
      <w:r w:rsidR="00AC492D" w:rsidRPr="00360A96">
        <w:rPr>
          <w:rFonts w:ascii="Arial" w:hAnsi="Arial" w:cs="Arial"/>
          <w:color w:val="000000" w:themeColor="text1"/>
          <w:sz w:val="20"/>
          <w:szCs w:val="20"/>
          <w:lang w:val="tr-TR"/>
        </w:rPr>
        <w:t>(</w:t>
      </w:r>
      <w:r w:rsidR="00925906" w:rsidRPr="00360A96">
        <w:rPr>
          <w:rStyle w:val="Strong"/>
          <w:rFonts w:ascii="Arial" w:hAnsi="Arial" w:cs="Arial"/>
          <w:b w:val="0"/>
          <w:bCs w:val="0"/>
          <w:color w:val="000000" w:themeColor="text1"/>
          <w:sz w:val="20"/>
          <w:szCs w:val="20"/>
          <w:lang w:val="tr-TR"/>
        </w:rPr>
        <w:t xml:space="preserve">Yu et al., 2025; </w:t>
      </w:r>
      <w:r w:rsidR="00A610A9" w:rsidRPr="00360A96">
        <w:rPr>
          <w:rFonts w:ascii="Arial" w:hAnsi="Arial" w:cs="Arial"/>
          <w:color w:val="000000" w:themeColor="text1"/>
          <w:sz w:val="20"/>
          <w:szCs w:val="20"/>
          <w:lang w:val="tr-TR"/>
        </w:rPr>
        <w:t>Singh et al., 2015</w:t>
      </w:r>
      <w:r w:rsidR="00AC492D"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74ADF9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Integration of </w:t>
      </w:r>
      <w:r w:rsidR="009A5DE9" w:rsidRPr="00360A96">
        <w:rPr>
          <w:rStyle w:val="Strong"/>
          <w:rFonts w:ascii="Arial" w:hAnsi="Arial" w:cs="Arial"/>
          <w:color w:val="000000" w:themeColor="text1"/>
          <w:sz w:val="22"/>
          <w:szCs w:val="22"/>
          <w:lang w:val="tr-TR"/>
        </w:rPr>
        <w:t>N</w:t>
      </w:r>
      <w:r w:rsidRPr="00360A96">
        <w:rPr>
          <w:rStyle w:val="Strong"/>
          <w:rFonts w:ascii="Arial" w:hAnsi="Arial" w:cs="Arial"/>
          <w:color w:val="000000" w:themeColor="text1"/>
          <w:sz w:val="22"/>
          <w:szCs w:val="22"/>
        </w:rPr>
        <w:t xml:space="preserve">ovel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odalities</w:t>
      </w:r>
    </w:p>
    <w:p w14:paraId="6E7179E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Emerging therapies—including </w:t>
      </w:r>
      <w:r w:rsidRPr="00360A96">
        <w:rPr>
          <w:rStyle w:val="Strong"/>
          <w:rFonts w:ascii="Arial" w:hAnsi="Arial" w:cs="Arial"/>
          <w:b w:val="0"/>
          <w:bCs w:val="0"/>
          <w:color w:val="000000" w:themeColor="text1"/>
          <w:sz w:val="20"/>
          <w:szCs w:val="20"/>
        </w:rPr>
        <w:t>immunotherapeutic agents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microbiome-based interventions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miRNA-targeted treatments</w:t>
      </w:r>
      <w:r w:rsidRPr="00360A96">
        <w:rPr>
          <w:rFonts w:ascii="Arial" w:hAnsi="Arial" w:cs="Arial"/>
          <w:color w:val="000000" w:themeColor="text1"/>
          <w:sz w:val="20"/>
          <w:szCs w:val="20"/>
        </w:rPr>
        <w:t>—are being evaluated for their ability to enhance or complement standard treatment regimens.</w:t>
      </w:r>
    </w:p>
    <w:p w14:paraId="125E7407" w14:textId="77777777" w:rsidR="00FC6288" w:rsidRPr="00360A96" w:rsidRDefault="00FC6288" w:rsidP="0019493F">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lastRenderedPageBreak/>
        <w:t>Immunotherapy</w:t>
      </w:r>
      <w:r w:rsidRPr="00360A96">
        <w:rPr>
          <w:rFonts w:ascii="Arial" w:hAnsi="Arial" w:cs="Arial"/>
          <w:color w:val="000000" w:themeColor="text1"/>
          <w:sz w:val="20"/>
          <w:szCs w:val="20"/>
        </w:rPr>
        <w:t xml:space="preserve"> seeks to overcome immune evasion and restore T-cell–mediated cytotoxicity against tumor cells. Despite limited efficacy as monotherapy, combination strategies that remodel the TME or activate CD40 signaling pathways are showing promise </w:t>
      </w:r>
      <w:r w:rsidR="00336AFF" w:rsidRPr="00360A96">
        <w:rPr>
          <w:rFonts w:ascii="Arial" w:hAnsi="Arial" w:cs="Arial"/>
          <w:color w:val="000000" w:themeColor="text1"/>
          <w:sz w:val="20"/>
          <w:szCs w:val="20"/>
          <w:lang w:val="tr-TR"/>
        </w:rPr>
        <w:t>(</w:t>
      </w:r>
      <w:r w:rsidR="00A610A9"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00336AF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4C95F39A" w14:textId="77777777" w:rsidR="00FC6288" w:rsidRPr="00360A96" w:rsidRDefault="00FC6288" w:rsidP="0019493F">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Microbial therapy</w:t>
      </w:r>
      <w:r w:rsidRPr="00360A96">
        <w:rPr>
          <w:rFonts w:ascii="Arial" w:hAnsi="Arial" w:cs="Arial"/>
          <w:color w:val="000000" w:themeColor="text1"/>
          <w:sz w:val="20"/>
          <w:szCs w:val="20"/>
        </w:rPr>
        <w:t xml:space="preserve"> exploits the intricate crosstalk between the gut microbiota and the immune system. The gut–pancreas axis is increasingly recognized as a determinant of both tumor development and therapeutic responsiveness. Interventions such as </w:t>
      </w:r>
      <w:r w:rsidRPr="00360A96">
        <w:rPr>
          <w:rStyle w:val="Strong"/>
          <w:rFonts w:ascii="Arial" w:hAnsi="Arial" w:cs="Arial"/>
          <w:b w:val="0"/>
          <w:bCs w:val="0"/>
          <w:color w:val="000000" w:themeColor="text1"/>
          <w:sz w:val="20"/>
          <w:szCs w:val="20"/>
        </w:rPr>
        <w:t>fecal microbiota transplantation (FMT)</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dietary modulation</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selective antibiotic administration</w:t>
      </w:r>
      <w:r w:rsidRPr="00360A96">
        <w:rPr>
          <w:rFonts w:ascii="Arial" w:hAnsi="Arial" w:cs="Arial"/>
          <w:color w:val="000000" w:themeColor="text1"/>
          <w:sz w:val="20"/>
          <w:szCs w:val="20"/>
        </w:rPr>
        <w:t xml:space="preserve"> are being explored to enhance immunotherapy efficacy and limit recurrence </w:t>
      </w:r>
      <w:r w:rsidR="00336AFF" w:rsidRPr="00360A96">
        <w:rPr>
          <w:rFonts w:ascii="Arial" w:hAnsi="Arial" w:cs="Arial"/>
          <w:color w:val="000000" w:themeColor="text1"/>
          <w:sz w:val="20"/>
          <w:szCs w:val="20"/>
          <w:lang w:val="tr-TR"/>
        </w:rPr>
        <w:t>(</w:t>
      </w:r>
      <w:r w:rsidR="00A610A9" w:rsidRPr="00360A96">
        <w:rPr>
          <w:rFonts w:ascii="Arial" w:hAnsi="Arial" w:cs="Arial"/>
          <w:color w:val="000000" w:themeColor="text1"/>
          <w:sz w:val="20"/>
          <w:szCs w:val="20"/>
          <w:lang w:val="tr-TR"/>
        </w:rPr>
        <w:t>Henderson et al., 2023; Zhang et al., 2018; Thomas, 2017; Vrieze et al., 2012; Yamamura et al., 2025; Zhao et al., 2023; He et al., 2017; Pushalkar et al., 2018; Tanoue et al., 2019; Klement et al., 2019; Panebianco et al., 2018; Zhang et al., 2020; Riquelme et al., 2018; Li et al., 2016</w:t>
      </w:r>
      <w:r w:rsidR="00336AF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2FAF4A97" w14:textId="77777777" w:rsidR="00FC6288" w:rsidRPr="00360A96" w:rsidRDefault="00FC6288" w:rsidP="0019493F">
      <w:pPr>
        <w:pStyle w:val="NormalWeb"/>
        <w:numPr>
          <w:ilvl w:val="0"/>
          <w:numId w:val="5"/>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miRNA-based therapeutics</w:t>
      </w:r>
      <w:r w:rsidRPr="00360A96">
        <w:rPr>
          <w:rFonts w:ascii="Arial" w:hAnsi="Arial" w:cs="Arial"/>
          <w:color w:val="000000" w:themeColor="text1"/>
          <w:sz w:val="20"/>
          <w:szCs w:val="20"/>
        </w:rPr>
        <w:t xml:space="preserve"> aim to restore normal gene regulatory networks disrupted in PDAC. Aberrantly expressed miRNAs (e.g., miR-21, miR-155, miR-221) drive tumor proliferation, invasion, and chemoresistance. Manipulating miRNA expression—either through synthetic inhibitors of oncogenic miRNAs or mimics of tumor-suppressive ones—offers a potent, multitargeted approach to therapy </w:t>
      </w:r>
      <w:r w:rsidR="00581B92" w:rsidRPr="00360A96">
        <w:rPr>
          <w:rFonts w:ascii="Arial" w:hAnsi="Arial" w:cs="Arial"/>
          <w:color w:val="000000" w:themeColor="text1"/>
          <w:sz w:val="20"/>
          <w:szCs w:val="20"/>
          <w:lang w:val="tr-TR"/>
        </w:rPr>
        <w:t>(</w:t>
      </w:r>
      <w:r w:rsidR="00A610A9" w:rsidRPr="00360A96">
        <w:rPr>
          <w:rFonts w:ascii="Arial" w:hAnsi="Arial" w:cs="Arial"/>
          <w:color w:val="000000" w:themeColor="text1"/>
          <w:sz w:val="20"/>
          <w:szCs w:val="20"/>
          <w:lang w:val="tr-TR"/>
        </w:rPr>
        <w:t>Rachagani et al., 2016; Slotwinski et al., 2018; Fesler et al., 2020; Dong et al., 2025; Chu et al., 2022; Vahabi et al., 2023; Moriyama et al., 2009; Nalls et al., 2011; Hu et al., 2013; Liu et al., 2013; Wang et al., 2013; Tesfaye et al., 2019</w:t>
      </w:r>
      <w:r w:rsidR="00581B9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2CD4F0E"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Toward </w:t>
      </w:r>
      <w:r w:rsidR="009A5DE9" w:rsidRPr="00360A96">
        <w:rPr>
          <w:rStyle w:val="Strong"/>
          <w:rFonts w:ascii="Arial" w:hAnsi="Arial" w:cs="Arial"/>
          <w:color w:val="000000" w:themeColor="text1"/>
          <w:sz w:val="22"/>
          <w:szCs w:val="22"/>
          <w:lang w:val="tr-TR"/>
        </w:rPr>
        <w:t>P</w:t>
      </w:r>
      <w:r w:rsidRPr="00360A96">
        <w:rPr>
          <w:rStyle w:val="Strong"/>
          <w:rFonts w:ascii="Arial" w:hAnsi="Arial" w:cs="Arial"/>
          <w:color w:val="000000" w:themeColor="text1"/>
          <w:sz w:val="22"/>
          <w:szCs w:val="22"/>
        </w:rPr>
        <w:t xml:space="preserve">recision and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ombination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herapy</w:t>
      </w:r>
    </w:p>
    <w:p w14:paraId="495EC1DF"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heterogeneity of PDAC underscores the necessity for </w:t>
      </w:r>
      <w:r w:rsidRPr="00360A96">
        <w:rPr>
          <w:rStyle w:val="Strong"/>
          <w:rFonts w:ascii="Arial" w:hAnsi="Arial" w:cs="Arial"/>
          <w:b w:val="0"/>
          <w:bCs w:val="0"/>
          <w:color w:val="000000" w:themeColor="text1"/>
          <w:sz w:val="20"/>
          <w:szCs w:val="20"/>
        </w:rPr>
        <w:t>personalized, adaptive treatment frameworks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Combination therapies integrating immune modulation, microbiome reconstitution, and miRNA targeting may synergistically overcome the multifactorial resistance that defines this malignancy.</w:t>
      </w:r>
    </w:p>
    <w:p w14:paraId="53407688"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ultimate goal of current research is to translate these experimental approaches into clinically effective regimens. This requires robust preclinical validation, biomarker-driven patient selection, and innovative </w:t>
      </w:r>
      <w:r w:rsidRPr="00360A96">
        <w:rPr>
          <w:rStyle w:val="Strong"/>
          <w:rFonts w:ascii="Arial" w:hAnsi="Arial" w:cs="Arial"/>
          <w:b w:val="0"/>
          <w:bCs w:val="0"/>
          <w:color w:val="000000" w:themeColor="text1"/>
          <w:sz w:val="20"/>
          <w:szCs w:val="20"/>
        </w:rPr>
        <w:t>adaptive clinical trial designs</w:t>
      </w:r>
      <w:r w:rsidRPr="00360A96">
        <w:rPr>
          <w:rFonts w:ascii="Arial" w:hAnsi="Arial" w:cs="Arial"/>
          <w:color w:val="000000" w:themeColor="text1"/>
          <w:sz w:val="20"/>
          <w:szCs w:val="20"/>
        </w:rPr>
        <w:t xml:space="preserve"> that can dynamically assess biological responses to therapy.</w:t>
      </w:r>
    </w:p>
    <w:p w14:paraId="6B10162C"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Aim of the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urrent </w:t>
      </w:r>
      <w:r w:rsidR="009A5DE9" w:rsidRPr="00360A96">
        <w:rPr>
          <w:rStyle w:val="Strong"/>
          <w:rFonts w:ascii="Arial" w:hAnsi="Arial" w:cs="Arial"/>
          <w:color w:val="000000" w:themeColor="text1"/>
          <w:sz w:val="22"/>
          <w:szCs w:val="22"/>
          <w:lang w:val="tr-TR"/>
        </w:rPr>
        <w:t>R</w:t>
      </w:r>
      <w:r w:rsidRPr="00360A96">
        <w:rPr>
          <w:rStyle w:val="Strong"/>
          <w:rFonts w:ascii="Arial" w:hAnsi="Arial" w:cs="Arial"/>
          <w:color w:val="000000" w:themeColor="text1"/>
          <w:sz w:val="22"/>
          <w:szCs w:val="22"/>
        </w:rPr>
        <w:t>eview</w:t>
      </w:r>
    </w:p>
    <w:p w14:paraId="632F7CDC"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This</w:t>
      </w:r>
      <w:r w:rsidR="00984C90" w:rsidRPr="00360A96">
        <w:rPr>
          <w:rFonts w:ascii="Arial" w:hAnsi="Arial" w:cs="Arial"/>
          <w:color w:val="000000" w:themeColor="text1"/>
          <w:sz w:val="20"/>
          <w:szCs w:val="20"/>
          <w:lang w:val="tr-TR"/>
        </w:rPr>
        <w:t xml:space="preserve"> r</w:t>
      </w:r>
      <w:r w:rsidRPr="00360A96">
        <w:rPr>
          <w:rFonts w:ascii="Arial" w:hAnsi="Arial" w:cs="Arial"/>
          <w:color w:val="000000" w:themeColor="text1"/>
          <w:sz w:val="20"/>
          <w:szCs w:val="20"/>
        </w:rPr>
        <w:t>eview synthesizes and critically evaluates the latest scientific evidence on emerging therapies for PDAC. Specifically, it examines advances in:</w:t>
      </w:r>
    </w:p>
    <w:p w14:paraId="2FD5ECE6" w14:textId="77777777" w:rsidR="00FC6288" w:rsidRPr="00360A96" w:rsidRDefault="00FC6288" w:rsidP="0019493F">
      <w:pPr>
        <w:pStyle w:val="NormalWeb"/>
        <w:numPr>
          <w:ilvl w:val="0"/>
          <w:numId w:val="6"/>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Immunotherapeutic strategies</w:t>
      </w:r>
      <w:r w:rsidRPr="00360A96">
        <w:rPr>
          <w:rFonts w:ascii="Arial" w:hAnsi="Arial" w:cs="Arial"/>
          <w:color w:val="000000" w:themeColor="text1"/>
          <w:sz w:val="20"/>
          <w:szCs w:val="20"/>
        </w:rPr>
        <w:t xml:space="preserve"> and TME modulation </w:t>
      </w:r>
      <w:r w:rsidR="00DF7CB1" w:rsidRPr="00360A96">
        <w:rPr>
          <w:rFonts w:ascii="Arial" w:hAnsi="Arial" w:cs="Arial"/>
          <w:color w:val="000000" w:themeColor="text1"/>
          <w:sz w:val="20"/>
          <w:szCs w:val="20"/>
          <w:lang w:val="tr-TR"/>
        </w:rPr>
        <w:t>(</w:t>
      </w:r>
      <w:r w:rsidR="00A610A9"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00DF7CB1"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3CEDF963" w14:textId="77777777" w:rsidR="00FC6288" w:rsidRPr="00360A96" w:rsidRDefault="00FC6288" w:rsidP="0019493F">
      <w:pPr>
        <w:pStyle w:val="NormalWeb"/>
        <w:numPr>
          <w:ilvl w:val="0"/>
          <w:numId w:val="6"/>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Microbial-based interventions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including fecal microbiota transplantation and dietary manipulation </w:t>
      </w:r>
      <w:r w:rsidR="0009187F" w:rsidRPr="00360A96">
        <w:rPr>
          <w:rFonts w:ascii="Arial" w:hAnsi="Arial" w:cs="Arial"/>
          <w:color w:val="000000" w:themeColor="text1"/>
          <w:sz w:val="20"/>
          <w:szCs w:val="20"/>
          <w:lang w:val="tr-TR"/>
        </w:rPr>
        <w:t>(</w:t>
      </w:r>
      <w:r w:rsidR="00FD0CD9" w:rsidRPr="00360A96">
        <w:rPr>
          <w:rFonts w:ascii="Arial" w:hAnsi="Arial" w:cs="Arial"/>
          <w:color w:val="000000" w:themeColor="text1"/>
          <w:sz w:val="20"/>
          <w:szCs w:val="20"/>
          <w:lang w:val="tr-TR"/>
        </w:rPr>
        <w:t>Henderson et al., 2023; Zhang et al., 2018; Thomas, 2017; Vrieze et al., 2012; Yamamura et al., 2025; Zhao et al., 2023; He et al., 2017; Pushalkar et al., 2018; Tanoue et al., 2019; Klement et al., 2019; Panebianco et al., 2018; Zhang et al., 2020; Riquelme et al., 2018; Li et al., 2016</w:t>
      </w:r>
      <w:r w:rsidR="0009187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and</w:t>
      </w:r>
    </w:p>
    <w:p w14:paraId="10852FE5" w14:textId="77777777" w:rsidR="00FC6288" w:rsidRPr="00360A96" w:rsidRDefault="00FC6288" w:rsidP="0019493F">
      <w:pPr>
        <w:pStyle w:val="NormalWeb"/>
        <w:numPr>
          <w:ilvl w:val="0"/>
          <w:numId w:val="6"/>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MicroRNA-targeted therapeutics</w:t>
      </w:r>
      <w:r w:rsidRPr="00360A96">
        <w:rPr>
          <w:rFonts w:ascii="Arial" w:hAnsi="Arial" w:cs="Arial"/>
          <w:color w:val="000000" w:themeColor="text1"/>
          <w:sz w:val="20"/>
          <w:szCs w:val="20"/>
        </w:rPr>
        <w:t xml:space="preserve">, encompassing both diagnostic and therapeutic applications </w:t>
      </w:r>
      <w:r w:rsidR="0009187F" w:rsidRPr="00360A96">
        <w:rPr>
          <w:rFonts w:ascii="Arial" w:hAnsi="Arial" w:cs="Arial"/>
          <w:color w:val="000000" w:themeColor="text1"/>
          <w:sz w:val="20"/>
          <w:szCs w:val="20"/>
          <w:lang w:val="tr-TR"/>
        </w:rPr>
        <w:t>(</w:t>
      </w:r>
      <w:r w:rsidR="00FD0CD9" w:rsidRPr="00360A96">
        <w:rPr>
          <w:rFonts w:ascii="Arial" w:hAnsi="Arial" w:cs="Arial"/>
          <w:color w:val="000000" w:themeColor="text1"/>
          <w:sz w:val="20"/>
          <w:szCs w:val="20"/>
          <w:lang w:val="tr-TR"/>
        </w:rPr>
        <w:t>Rachagani et al., 2016; Slotwinski et al., 2018; Fesler et al., 2020; Dong et al., 2025; Chu et al., 2022; Vahabi et al., 2023; Moriyama et al., 2009; Nalls et al., 2011; Hu et al., 2013; Liu et al., 2013; Wang et al., 2013; Tesfaye et al., 2019</w:t>
      </w:r>
      <w:r w:rsidR="0009187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08B315E"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By integrating insights from these domains, the review aims to highlight mechanistic interconnections, assess translational feasibility, and propose rational frameworks for future clinical development.</w:t>
      </w:r>
    </w:p>
    <w:p w14:paraId="56F1C06F"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r w:rsidRPr="00360A96">
        <w:rPr>
          <w:rStyle w:val="Strong"/>
          <w:rFonts w:ascii="Arial" w:hAnsi="Arial" w:cs="Arial"/>
          <w:b/>
          <w:bCs/>
          <w:color w:val="000000" w:themeColor="text1"/>
          <w:sz w:val="22"/>
          <w:szCs w:val="22"/>
        </w:rPr>
        <w:t>Immunotherapy</w:t>
      </w:r>
    </w:p>
    <w:p w14:paraId="137041A3"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Pancreatic ductal adenocarcinoma (PDAC) is characterized by profound immune evasion and a highly immunosuppressive tumor microenvironment (TME), making it one of the most refractory malignancies to current immunotherapeutic interventions. Unlike immunogenic tumors such as melanoma or non–small-cell lung cancer, PDAC exhibits low mutational burden, poor antigenicity, and extensive stromal desmoplasia—all of which collectively dampen immune recognition and cytotoxic T-cell infiltration </w:t>
      </w:r>
      <w:r w:rsidR="0009187F" w:rsidRPr="00360A96">
        <w:rPr>
          <w:rFonts w:ascii="Arial" w:hAnsi="Arial" w:cs="Arial"/>
          <w:color w:val="000000" w:themeColor="text1"/>
          <w:sz w:val="20"/>
          <w:szCs w:val="20"/>
          <w:lang w:val="tr-TR"/>
        </w:rPr>
        <w:t>(</w:t>
      </w:r>
      <w:r w:rsidR="00FD0CD9" w:rsidRPr="00360A96">
        <w:rPr>
          <w:rFonts w:ascii="Arial" w:hAnsi="Arial" w:cs="Arial"/>
          <w:color w:val="000000" w:themeColor="text1"/>
          <w:sz w:val="20"/>
          <w:szCs w:val="20"/>
          <w:lang w:val="tr-TR"/>
        </w:rPr>
        <w:t>Singh et al., 2015; Wang et al., 2024; Wojtukieicz et al., 202</w:t>
      </w:r>
      <w:r w:rsidR="0009187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492BF7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Tumor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 xml:space="preserve">mmune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icroenvironment and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echanisms of </w:t>
      </w:r>
      <w:r w:rsidR="009A5DE9"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 xml:space="preserve">mmune </w:t>
      </w:r>
      <w:r w:rsidR="009A5DE9" w:rsidRPr="00360A96">
        <w:rPr>
          <w:rStyle w:val="Strong"/>
          <w:rFonts w:ascii="Arial" w:hAnsi="Arial" w:cs="Arial"/>
          <w:color w:val="000000" w:themeColor="text1"/>
          <w:sz w:val="22"/>
          <w:szCs w:val="22"/>
          <w:lang w:val="tr-TR"/>
        </w:rPr>
        <w:t>E</w:t>
      </w:r>
      <w:r w:rsidRPr="00360A96">
        <w:rPr>
          <w:rStyle w:val="Strong"/>
          <w:rFonts w:ascii="Arial" w:hAnsi="Arial" w:cs="Arial"/>
          <w:color w:val="000000" w:themeColor="text1"/>
          <w:sz w:val="22"/>
          <w:szCs w:val="22"/>
        </w:rPr>
        <w:t>vasion</w:t>
      </w:r>
    </w:p>
    <w:p w14:paraId="1CC8FDDF"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PDAC microenvironment is dominated by dense extracellular matrix components (e.g., collagen, hyaluronan) and an abundance of immunosuppressive cells, including </w:t>
      </w:r>
      <w:r w:rsidRPr="00360A96">
        <w:rPr>
          <w:rStyle w:val="Strong"/>
          <w:rFonts w:ascii="Arial" w:hAnsi="Arial" w:cs="Arial"/>
          <w:b w:val="0"/>
          <w:bCs w:val="0"/>
          <w:color w:val="000000" w:themeColor="text1"/>
          <w:sz w:val="20"/>
          <w:szCs w:val="20"/>
        </w:rPr>
        <w:t>tumor-associated macrophages (TAMs)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regulatory T cells (Tregs)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360A96">
        <w:rPr>
          <w:rStyle w:val="Strong"/>
          <w:rFonts w:ascii="Arial" w:hAnsi="Arial" w:cs="Arial"/>
          <w:b w:val="0"/>
          <w:bCs w:val="0"/>
          <w:color w:val="000000" w:themeColor="text1"/>
          <w:sz w:val="20"/>
          <w:szCs w:val="20"/>
        </w:rPr>
        <w:t>myeloid-derived suppressor cells (MDSCs)</w:t>
      </w:r>
      <w:r w:rsidRPr="00360A96">
        <w:rPr>
          <w:rFonts w:ascii="Arial" w:hAnsi="Arial" w:cs="Arial"/>
          <w:color w:val="000000" w:themeColor="text1"/>
          <w:sz w:val="20"/>
          <w:szCs w:val="20"/>
        </w:rPr>
        <w:t xml:space="preserve"> </w:t>
      </w:r>
      <w:r w:rsidR="0009187F"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Tran et al., 2023; Henriksen et al., 2019</w:t>
      </w:r>
      <w:r w:rsidR="0009187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These cellular elements secrete cytokines such as </w:t>
      </w:r>
      <w:r w:rsidRPr="00360A96">
        <w:rPr>
          <w:rStyle w:val="Strong"/>
          <w:rFonts w:ascii="Arial" w:hAnsi="Arial" w:cs="Arial"/>
          <w:b w:val="0"/>
          <w:bCs w:val="0"/>
          <w:color w:val="000000" w:themeColor="text1"/>
          <w:sz w:val="20"/>
          <w:szCs w:val="20"/>
        </w:rPr>
        <w:t>TGF-β</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IL-10</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VEGF</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further inhibit effector T-cell activation and promote immune tolerance.</w:t>
      </w:r>
    </w:p>
    <w:p w14:paraId="65C01738"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Cancer-associated fibroblasts (CAFs), a major stromal component, create a physical and biochemical barrier that hinders immune cell trafficking and therapeutic drug delivery. The result is a “cold” tumor phenotype—one that is poorly infiltrated by cytotoxic lymphocytes and unresponsive to standard immune checkpoint blockade (ICB).</w:t>
      </w:r>
    </w:p>
    <w:p w14:paraId="1547BCE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Immune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heckpoint </w:t>
      </w:r>
      <w:r w:rsidR="009A5DE9" w:rsidRPr="00360A96">
        <w:rPr>
          <w:rStyle w:val="Strong"/>
          <w:rFonts w:ascii="Arial" w:hAnsi="Arial" w:cs="Arial"/>
          <w:color w:val="000000" w:themeColor="text1"/>
          <w:sz w:val="22"/>
          <w:szCs w:val="22"/>
          <w:lang w:val="tr-TR"/>
        </w:rPr>
        <w:t>B</w:t>
      </w:r>
      <w:r w:rsidRPr="00360A96">
        <w:rPr>
          <w:rStyle w:val="Strong"/>
          <w:rFonts w:ascii="Arial" w:hAnsi="Arial" w:cs="Arial"/>
          <w:color w:val="000000" w:themeColor="text1"/>
          <w:sz w:val="22"/>
          <w:szCs w:val="22"/>
        </w:rPr>
        <w:t>lockade (ICB)</w:t>
      </w:r>
    </w:p>
    <w:p w14:paraId="7C27940E"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Checkpoint inhibitors targeting </w:t>
      </w:r>
      <w:r w:rsidRPr="00360A96">
        <w:rPr>
          <w:rStyle w:val="Strong"/>
          <w:rFonts w:ascii="Arial" w:hAnsi="Arial" w:cs="Arial"/>
          <w:b w:val="0"/>
          <w:bCs w:val="0"/>
          <w:color w:val="000000" w:themeColor="text1"/>
          <w:sz w:val="20"/>
          <w:szCs w:val="20"/>
        </w:rPr>
        <w:t>PD-1/PD-L1</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CTLA-4</w:t>
      </w:r>
      <w:r w:rsidRPr="00360A96">
        <w:rPr>
          <w:rFonts w:ascii="Arial" w:hAnsi="Arial" w:cs="Arial"/>
          <w:color w:val="000000" w:themeColor="text1"/>
          <w:sz w:val="20"/>
          <w:szCs w:val="20"/>
        </w:rPr>
        <w:t xml:space="preserve"> have revolutionized the management of several malignancies but have shown minimal efficacy in unselected PDAC populations. Objective response rates remain below 5%, with most patients exhibiting primary resistance </w:t>
      </w:r>
      <w:r w:rsidR="00F878BE"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Andersson et al., 2024</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1567D3A0"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certain molecular subsets demonstrate sensitivity to ICB. Tumors with </w:t>
      </w:r>
      <w:r w:rsidRPr="00360A96">
        <w:rPr>
          <w:rStyle w:val="Strong"/>
          <w:rFonts w:ascii="Arial" w:hAnsi="Arial" w:cs="Arial"/>
          <w:b w:val="0"/>
          <w:bCs w:val="0"/>
          <w:color w:val="000000" w:themeColor="text1"/>
          <w:sz w:val="20"/>
          <w:szCs w:val="20"/>
        </w:rPr>
        <w:t>deficient mismatch repair (dMMR)</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or</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high microsatellite instability (MSI-H)</w:t>
      </w:r>
      <w:r w:rsidRPr="00360A96">
        <w:rPr>
          <w:rFonts w:ascii="Arial" w:hAnsi="Arial" w:cs="Arial"/>
          <w:color w:val="000000" w:themeColor="text1"/>
          <w:sz w:val="20"/>
          <w:szCs w:val="20"/>
        </w:rPr>
        <w:t xml:space="preserve"> exhibit higher neoantigen loads and may respond to PD-1 blockade, as shown in small subsets of PDAC patients </w:t>
      </w:r>
      <w:r w:rsidR="00F878BE"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Huang et al., 2021</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Unfortunately, such cases represent fewer than 2% of all PDACs, underscoring the urgent need to expand immunotherapeutic efficacy beyond this rare subgroup.</w:t>
      </w:r>
    </w:p>
    <w:p w14:paraId="4B2E6263"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CD40 </w:t>
      </w:r>
      <w:r w:rsidR="009A5DE9"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 xml:space="preserve">ignaling and </w:t>
      </w:r>
      <w:r w:rsidR="009A5DE9"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yeloid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ell </w:t>
      </w:r>
      <w:r w:rsidR="009A5DE9" w:rsidRPr="00360A96">
        <w:rPr>
          <w:rStyle w:val="Strong"/>
          <w:rFonts w:ascii="Arial" w:hAnsi="Arial" w:cs="Arial"/>
          <w:color w:val="000000" w:themeColor="text1"/>
          <w:sz w:val="22"/>
          <w:szCs w:val="22"/>
          <w:lang w:val="tr-TR"/>
        </w:rPr>
        <w:t>R</w:t>
      </w:r>
      <w:r w:rsidRPr="00360A96">
        <w:rPr>
          <w:rStyle w:val="Strong"/>
          <w:rFonts w:ascii="Arial" w:hAnsi="Arial" w:cs="Arial"/>
          <w:color w:val="000000" w:themeColor="text1"/>
          <w:sz w:val="22"/>
          <w:szCs w:val="22"/>
        </w:rPr>
        <w:t>eprogramming</w:t>
      </w:r>
    </w:p>
    <w:p w14:paraId="4D8151D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One of the most promising strategies to convert PDAC from an immune-“cold” to immune-“hot” tumor involves activation of </w:t>
      </w:r>
      <w:r w:rsidRPr="00360A96">
        <w:rPr>
          <w:rStyle w:val="Strong"/>
          <w:rFonts w:ascii="Arial" w:hAnsi="Arial" w:cs="Arial"/>
          <w:b w:val="0"/>
          <w:bCs w:val="0"/>
          <w:color w:val="000000" w:themeColor="text1"/>
          <w:sz w:val="20"/>
          <w:szCs w:val="20"/>
        </w:rPr>
        <w:t>CD40 signaling</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 pathway that bridges innate and adaptive immunity. </w:t>
      </w:r>
      <w:r w:rsidRPr="00360A96">
        <w:rPr>
          <w:rStyle w:val="Strong"/>
          <w:rFonts w:ascii="Arial" w:hAnsi="Arial" w:cs="Arial"/>
          <w:b w:val="0"/>
          <w:bCs w:val="0"/>
          <w:color w:val="000000" w:themeColor="text1"/>
          <w:sz w:val="20"/>
          <w:szCs w:val="20"/>
        </w:rPr>
        <w:t>CD40 agonists</w:t>
      </w:r>
      <w:r w:rsidRPr="00360A96">
        <w:rPr>
          <w:rFonts w:ascii="Arial" w:hAnsi="Arial" w:cs="Arial"/>
          <w:color w:val="000000" w:themeColor="text1"/>
          <w:sz w:val="20"/>
          <w:szCs w:val="20"/>
        </w:rPr>
        <w:t xml:space="preserve"> can reprogram tumor-associated macrophages, enhance antigen presentation, and stimulate cytotoxic T-cell infiltration </w:t>
      </w:r>
      <w:r w:rsidR="00F878BE"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Thoidingiam et al., 2024</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52CC7AB"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Preclinical models and early-phase clinical trials combining </w:t>
      </w:r>
      <w:r w:rsidRPr="00360A96">
        <w:rPr>
          <w:rStyle w:val="Strong"/>
          <w:rFonts w:ascii="Arial" w:hAnsi="Arial" w:cs="Arial"/>
          <w:b w:val="0"/>
          <w:bCs w:val="0"/>
          <w:color w:val="000000" w:themeColor="text1"/>
          <w:sz w:val="20"/>
          <w:szCs w:val="20"/>
        </w:rPr>
        <w:t>CD40 agonists</w:t>
      </w:r>
      <w:r w:rsidRPr="00360A96">
        <w:rPr>
          <w:rFonts w:ascii="Arial" w:hAnsi="Arial" w:cs="Arial"/>
          <w:color w:val="000000" w:themeColor="text1"/>
          <w:sz w:val="20"/>
          <w:szCs w:val="20"/>
        </w:rPr>
        <w:t xml:space="preserve"> with chemotherapy or ICB have demonstrated enhanced antitumor responses, suggesting that immune priming through myeloid activation may overcome PDAC’s immune resistance. Ongoing studies are exploring CD40 activation in combination with </w:t>
      </w:r>
      <w:r w:rsidRPr="00360A96">
        <w:rPr>
          <w:rStyle w:val="Strong"/>
          <w:rFonts w:ascii="Arial" w:hAnsi="Arial" w:cs="Arial"/>
          <w:b w:val="0"/>
          <w:bCs w:val="0"/>
          <w:color w:val="000000" w:themeColor="text1"/>
          <w:sz w:val="20"/>
          <w:szCs w:val="20"/>
        </w:rPr>
        <w:t>gemcitabine/nab-paclitaxel</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FOLFIRINOX</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anti–PD-1 agents</w:t>
      </w:r>
      <w:r w:rsidRPr="00360A96">
        <w:rPr>
          <w:rFonts w:ascii="Arial" w:hAnsi="Arial" w:cs="Arial"/>
          <w:color w:val="000000" w:themeColor="text1"/>
          <w:sz w:val="20"/>
          <w:szCs w:val="20"/>
        </w:rPr>
        <w:t xml:space="preserve"> </w:t>
      </w:r>
      <w:r w:rsidR="00F878BE"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Ye et al., 2024</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1F4D7EB"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lastRenderedPageBreak/>
        <w:t xml:space="preserve">Vaccination </w:t>
      </w:r>
      <w:r w:rsidR="009A5DE9"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trategies</w:t>
      </w:r>
    </w:p>
    <w:p w14:paraId="390C2252" w14:textId="77777777" w:rsidR="00FC6288" w:rsidRPr="00360A96" w:rsidRDefault="00FC6288" w:rsidP="0019493F">
      <w:pPr>
        <w:pStyle w:val="NormalWeb"/>
        <w:ind w:left="567" w:right="283"/>
        <w:jc w:val="both"/>
        <w:rPr>
          <w:rFonts w:ascii="Arial" w:hAnsi="Arial" w:cs="Arial"/>
          <w:color w:val="000000" w:themeColor="text1"/>
          <w:sz w:val="20"/>
          <w:szCs w:val="20"/>
        </w:rPr>
      </w:pPr>
      <w:bookmarkStart w:id="1" w:name="_Hlk227169524"/>
      <w:r w:rsidRPr="00360A96">
        <w:rPr>
          <w:rFonts w:ascii="Arial" w:hAnsi="Arial" w:cs="Arial"/>
          <w:color w:val="000000" w:themeColor="text1"/>
          <w:sz w:val="20"/>
          <w:szCs w:val="20"/>
        </w:rPr>
        <w:t xml:space="preserve">Therapeutic cancer vaccines aim to induce tumor-specific immunity through presentation of PDAC-associated antigens such as </w:t>
      </w:r>
      <w:r w:rsidRPr="00360A96">
        <w:rPr>
          <w:rStyle w:val="Strong"/>
          <w:rFonts w:ascii="Arial" w:hAnsi="Arial" w:cs="Arial"/>
          <w:b w:val="0"/>
          <w:bCs w:val="0"/>
          <w:color w:val="000000" w:themeColor="text1"/>
          <w:sz w:val="20"/>
          <w:szCs w:val="20"/>
        </w:rPr>
        <w:t>mutant KRAS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MUC1</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mesothelin</w:t>
      </w:r>
      <w:r w:rsidRPr="00360A96">
        <w:rPr>
          <w:rFonts w:ascii="Arial" w:hAnsi="Arial" w:cs="Arial"/>
          <w:color w:val="000000" w:themeColor="text1"/>
          <w:sz w:val="20"/>
          <w:szCs w:val="20"/>
        </w:rPr>
        <w:t xml:space="preserve">. Platforms under investigation include </w:t>
      </w:r>
      <w:r w:rsidRPr="00360A96">
        <w:rPr>
          <w:rStyle w:val="Strong"/>
          <w:rFonts w:ascii="Arial" w:hAnsi="Arial" w:cs="Arial"/>
          <w:b w:val="0"/>
          <w:bCs w:val="0"/>
          <w:color w:val="000000" w:themeColor="text1"/>
          <w:sz w:val="20"/>
          <w:szCs w:val="20"/>
        </w:rPr>
        <w:t>peptide-based</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DNA/RNA-based</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dendritic cell (DC)–based vaccines</w:t>
      </w:r>
      <w:r w:rsidRPr="00360A96">
        <w:rPr>
          <w:rFonts w:ascii="Arial" w:hAnsi="Arial" w:cs="Arial"/>
          <w:b/>
          <w:bCs/>
          <w:color w:val="000000" w:themeColor="text1"/>
          <w:sz w:val="20"/>
          <w:szCs w:val="20"/>
        </w:rPr>
        <w:t>.</w:t>
      </w:r>
    </w:p>
    <w:p w14:paraId="218D765D"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Although vaccine monotherapy has yielded limited clinical benefit, combination regimens incorporating vaccines with ICB, chemotherapy, or adjuvants (e.g., </w:t>
      </w:r>
      <w:r w:rsidRPr="00360A96">
        <w:rPr>
          <w:rStyle w:val="Strong"/>
          <w:rFonts w:ascii="Arial" w:hAnsi="Arial" w:cs="Arial"/>
          <w:b w:val="0"/>
          <w:bCs w:val="0"/>
          <w:color w:val="000000" w:themeColor="text1"/>
          <w:sz w:val="20"/>
          <w:szCs w:val="20"/>
        </w:rPr>
        <w:t>GM-CSF</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TLR agonists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have shown signs of enhanced immune activation and delayed tumor progression in preclinical and early clinical studies </w:t>
      </w:r>
      <w:r w:rsidR="00F878BE" w:rsidRPr="00360A96">
        <w:rPr>
          <w:rFonts w:ascii="Arial" w:hAnsi="Arial" w:cs="Arial"/>
          <w:color w:val="000000" w:themeColor="text1"/>
          <w:sz w:val="20"/>
          <w:szCs w:val="20"/>
          <w:lang w:val="tr-TR"/>
        </w:rPr>
        <w:t>(</w:t>
      </w:r>
      <w:r w:rsidR="001468AC" w:rsidRPr="00360A96">
        <w:rPr>
          <w:rFonts w:ascii="Arial" w:hAnsi="Arial" w:cs="Arial"/>
          <w:color w:val="000000" w:themeColor="text1"/>
          <w:sz w:val="20"/>
          <w:szCs w:val="20"/>
          <w:lang w:val="tr-TR"/>
        </w:rPr>
        <w:t>Pourali et al., 2024</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bookmarkEnd w:id="1"/>
    <w:p w14:paraId="4B0287B4"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Adoptive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ell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ransfer (ACT) </w:t>
      </w:r>
      <w:r w:rsidR="009A5DE9"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herapies</w:t>
      </w:r>
    </w:p>
    <w:p w14:paraId="3B1CEDE4"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Adoptive cell transfer—including </w:t>
      </w:r>
      <w:r w:rsidRPr="00360A96">
        <w:rPr>
          <w:rStyle w:val="Strong"/>
          <w:rFonts w:ascii="Arial" w:hAnsi="Arial" w:cs="Arial"/>
          <w:b w:val="0"/>
          <w:bCs w:val="0"/>
          <w:color w:val="000000" w:themeColor="text1"/>
          <w:sz w:val="20"/>
          <w:szCs w:val="20"/>
        </w:rPr>
        <w:t>chimeric antigen receptor (CAR) T-cell</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tumor-infiltrating lymphocyte (TIL)</w:t>
      </w:r>
      <w:r w:rsidRPr="00360A96">
        <w:rPr>
          <w:rFonts w:ascii="Arial" w:hAnsi="Arial" w:cs="Arial"/>
          <w:color w:val="000000" w:themeColor="text1"/>
          <w:sz w:val="20"/>
          <w:szCs w:val="20"/>
        </w:rPr>
        <w:t xml:space="preserve"> therapies—represents another frontier in PDAC immunotherapy. While CAR-T cells targeting </w:t>
      </w:r>
      <w:r w:rsidRPr="00360A96">
        <w:rPr>
          <w:rStyle w:val="Strong"/>
          <w:rFonts w:ascii="Arial" w:hAnsi="Arial" w:cs="Arial"/>
          <w:b w:val="0"/>
          <w:bCs w:val="0"/>
          <w:color w:val="000000" w:themeColor="text1"/>
          <w:sz w:val="20"/>
          <w:szCs w:val="20"/>
        </w:rPr>
        <w:t>mesothelin</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CEA</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or </w:t>
      </w:r>
      <w:r w:rsidRPr="00360A96">
        <w:rPr>
          <w:rStyle w:val="Strong"/>
          <w:rFonts w:ascii="Arial" w:hAnsi="Arial" w:cs="Arial"/>
          <w:b w:val="0"/>
          <w:bCs w:val="0"/>
          <w:color w:val="000000" w:themeColor="text1"/>
          <w:sz w:val="20"/>
          <w:szCs w:val="20"/>
        </w:rPr>
        <w:t>MUC1</w:t>
      </w:r>
      <w:r w:rsidRPr="00360A96">
        <w:rPr>
          <w:rFonts w:ascii="Arial" w:hAnsi="Arial" w:cs="Arial"/>
          <w:color w:val="000000" w:themeColor="text1"/>
          <w:sz w:val="20"/>
          <w:szCs w:val="20"/>
        </w:rPr>
        <w:t xml:space="preserve"> have demonstrated safety and feasibility, their antitumor efficacy has been modest due to restricted T-cell infiltration, antigen heterogeneity, and on-target/off-tumor toxicity </w:t>
      </w:r>
      <w:r w:rsidR="00F878BE" w:rsidRPr="00360A96">
        <w:rPr>
          <w:rFonts w:ascii="Arial" w:hAnsi="Arial" w:cs="Arial"/>
          <w:color w:val="000000" w:themeColor="text1"/>
          <w:sz w:val="20"/>
          <w:szCs w:val="20"/>
          <w:lang w:val="tr-TR"/>
        </w:rPr>
        <w:t>(</w:t>
      </w:r>
      <w:r w:rsidR="001A71A7" w:rsidRPr="00360A96">
        <w:rPr>
          <w:rFonts w:ascii="Arial" w:hAnsi="Arial" w:cs="Arial"/>
          <w:color w:val="000000" w:themeColor="text1"/>
          <w:sz w:val="20"/>
          <w:szCs w:val="20"/>
          <w:lang w:val="tr-TR"/>
        </w:rPr>
        <w:t>Jiang et al., 2022</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FDF1413"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Novel strategies such as </w:t>
      </w:r>
      <w:r w:rsidRPr="00360A96">
        <w:rPr>
          <w:rStyle w:val="Strong"/>
          <w:rFonts w:ascii="Arial" w:hAnsi="Arial" w:cs="Arial"/>
          <w:b w:val="0"/>
          <w:bCs w:val="0"/>
          <w:color w:val="000000" w:themeColor="text1"/>
          <w:sz w:val="20"/>
          <w:szCs w:val="20"/>
        </w:rPr>
        <w:t>regional delivery</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combination with stroma-modulating agents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engineering of CAR-T cells resistant to immunosuppressive signaling</w:t>
      </w:r>
      <w:r w:rsidRPr="00360A96">
        <w:rPr>
          <w:rFonts w:ascii="Arial" w:hAnsi="Arial" w:cs="Arial"/>
          <w:color w:val="000000" w:themeColor="text1"/>
          <w:sz w:val="20"/>
          <w:szCs w:val="20"/>
        </w:rPr>
        <w:t xml:space="preserve"> are under active development to enhance persistence and efficacy in PDAC </w:t>
      </w:r>
      <w:r w:rsidR="00F878BE" w:rsidRPr="00360A96">
        <w:rPr>
          <w:rFonts w:ascii="Arial" w:hAnsi="Arial" w:cs="Arial"/>
          <w:color w:val="000000" w:themeColor="text1"/>
          <w:sz w:val="20"/>
          <w:szCs w:val="20"/>
          <w:lang w:val="tr-TR"/>
        </w:rPr>
        <w:t>(</w:t>
      </w:r>
      <w:r w:rsidR="001A71A7" w:rsidRPr="00360A96">
        <w:rPr>
          <w:rFonts w:ascii="Arial" w:hAnsi="Arial" w:cs="Arial"/>
          <w:color w:val="000000" w:themeColor="text1"/>
          <w:sz w:val="20"/>
          <w:szCs w:val="20"/>
          <w:lang w:val="tr-TR"/>
        </w:rPr>
        <w:t>De Castilhos et al., 2024</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0C120B5A"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Combination and </w:t>
      </w:r>
      <w:r w:rsidR="009A5DE9" w:rsidRPr="00360A96">
        <w:rPr>
          <w:rStyle w:val="Strong"/>
          <w:rFonts w:ascii="Arial" w:hAnsi="Arial" w:cs="Arial"/>
          <w:color w:val="000000" w:themeColor="text1"/>
          <w:sz w:val="22"/>
          <w:szCs w:val="22"/>
          <w:lang w:val="tr-TR"/>
        </w:rPr>
        <w:t>F</w:t>
      </w:r>
      <w:r w:rsidRPr="00360A96">
        <w:rPr>
          <w:rStyle w:val="Strong"/>
          <w:rFonts w:ascii="Arial" w:hAnsi="Arial" w:cs="Arial"/>
          <w:color w:val="000000" w:themeColor="text1"/>
          <w:sz w:val="22"/>
          <w:szCs w:val="22"/>
        </w:rPr>
        <w:t xml:space="preserve">uture </w:t>
      </w:r>
      <w:r w:rsidR="009A5DE9"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trategies</w:t>
      </w:r>
    </w:p>
    <w:p w14:paraId="2B4A252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multifaceted immune resistance of PDAC, single-agent immunotherapy is unlikely to yield substantial benefit. Future success will depend on </w:t>
      </w:r>
      <w:r w:rsidRPr="00360A96">
        <w:rPr>
          <w:rStyle w:val="Strong"/>
          <w:rFonts w:ascii="Arial" w:hAnsi="Arial" w:cs="Arial"/>
          <w:b w:val="0"/>
          <w:bCs w:val="0"/>
          <w:color w:val="000000" w:themeColor="text1"/>
          <w:sz w:val="20"/>
          <w:szCs w:val="20"/>
        </w:rPr>
        <w:t>rational combination regimens</w:t>
      </w:r>
      <w:r w:rsidRPr="00360A96">
        <w:rPr>
          <w:rFonts w:ascii="Arial" w:hAnsi="Arial" w:cs="Arial"/>
          <w:color w:val="000000" w:themeColor="text1"/>
          <w:sz w:val="20"/>
          <w:szCs w:val="20"/>
        </w:rPr>
        <w:t xml:space="preserve"> that integrate immune modulation with conventional and emerging therapies.</w:t>
      </w:r>
    </w:p>
    <w:p w14:paraId="567F4DFC" w14:textId="77777777" w:rsidR="00FC6288" w:rsidRPr="00360A96" w:rsidRDefault="00FC6288" w:rsidP="004557D8">
      <w:pPr>
        <w:pStyle w:val="NormalWeb"/>
        <w:spacing w:line="480" w:lineRule="auto"/>
        <w:ind w:left="567" w:right="283"/>
        <w:jc w:val="both"/>
        <w:rPr>
          <w:rFonts w:ascii="Arial" w:hAnsi="Arial" w:cs="Arial"/>
          <w:b/>
          <w:bCs/>
          <w:color w:val="000000" w:themeColor="text1"/>
          <w:sz w:val="22"/>
          <w:szCs w:val="22"/>
        </w:rPr>
      </w:pPr>
      <w:r w:rsidRPr="00360A96">
        <w:rPr>
          <w:rFonts w:ascii="Arial" w:hAnsi="Arial" w:cs="Arial"/>
          <w:b/>
          <w:bCs/>
          <w:color w:val="000000" w:themeColor="text1"/>
          <w:sz w:val="22"/>
          <w:szCs w:val="22"/>
        </w:rPr>
        <w:t>Key investigational directions include:</w:t>
      </w:r>
    </w:p>
    <w:p w14:paraId="6CDFA512" w14:textId="77777777" w:rsidR="00FC6288" w:rsidRPr="00360A96" w:rsidRDefault="00FC6288" w:rsidP="0019493F">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Combination of ICB with chemotherapy or radiotherapy</w:t>
      </w:r>
      <w:r w:rsidRPr="00360A96">
        <w:rPr>
          <w:rFonts w:ascii="Arial" w:hAnsi="Arial" w:cs="Arial"/>
          <w:color w:val="000000" w:themeColor="text1"/>
          <w:sz w:val="20"/>
          <w:szCs w:val="20"/>
        </w:rPr>
        <w:t xml:space="preserve"> to induce immunogenic cell death;</w:t>
      </w:r>
    </w:p>
    <w:p w14:paraId="5ACC8C4A" w14:textId="77777777" w:rsidR="00FC6288" w:rsidRPr="00360A96" w:rsidRDefault="00FC6288" w:rsidP="0019493F">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Integration of CD40 agonists</w:t>
      </w:r>
      <w:r w:rsidRPr="00360A96">
        <w:rPr>
          <w:rFonts w:ascii="Arial" w:hAnsi="Arial" w:cs="Arial"/>
          <w:color w:val="000000" w:themeColor="text1"/>
          <w:sz w:val="20"/>
          <w:szCs w:val="20"/>
        </w:rPr>
        <w:t xml:space="preserve"> to reprogram suppressive myeloid populations;</w:t>
      </w:r>
    </w:p>
    <w:p w14:paraId="742ECA52" w14:textId="77777777" w:rsidR="00FC6288" w:rsidRPr="00360A96" w:rsidRDefault="00FC6288" w:rsidP="0019493F">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Use of stromal-targeting agents</w:t>
      </w:r>
      <w:r w:rsidRPr="00360A96">
        <w:rPr>
          <w:rFonts w:ascii="Arial" w:hAnsi="Arial" w:cs="Arial"/>
          <w:color w:val="000000" w:themeColor="text1"/>
          <w:sz w:val="20"/>
          <w:szCs w:val="20"/>
        </w:rPr>
        <w:t xml:space="preserve"> (e.g., hyaluronidase, Hedgehog inhibitors) to enhance T-cell infiltration; and</w:t>
      </w:r>
    </w:p>
    <w:p w14:paraId="4214AB04" w14:textId="77777777" w:rsidR="00FC6288" w:rsidRPr="00360A96" w:rsidRDefault="00FC6288" w:rsidP="0019493F">
      <w:pPr>
        <w:pStyle w:val="NormalWeb"/>
        <w:numPr>
          <w:ilvl w:val="0"/>
          <w:numId w:val="7"/>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Microbiome modulation</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which has shown promise in improving systemic immune responses.</w:t>
      </w:r>
    </w:p>
    <w:p w14:paraId="2DF1A2C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By simultaneously targeting the tumor, its microenvironment, and systemic immune regulation, these multimodal strategies aim to transform PDAC from an immunologically “silent” disease into one responsive to immunotherapeutic intervention.</w:t>
      </w:r>
    </w:p>
    <w:p w14:paraId="29FE7C78"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r w:rsidRPr="00360A96">
        <w:rPr>
          <w:rStyle w:val="Strong"/>
          <w:rFonts w:ascii="Arial" w:hAnsi="Arial" w:cs="Arial"/>
          <w:b/>
          <w:bCs/>
          <w:color w:val="000000" w:themeColor="text1"/>
          <w:sz w:val="22"/>
          <w:szCs w:val="22"/>
        </w:rPr>
        <w:t xml:space="preserve">Microbial </w:t>
      </w:r>
      <w:r w:rsidR="009A5DE9" w:rsidRPr="00360A96">
        <w:rPr>
          <w:rStyle w:val="Strong"/>
          <w:rFonts w:ascii="Arial" w:hAnsi="Arial" w:cs="Arial"/>
          <w:b/>
          <w:bCs/>
          <w:color w:val="000000" w:themeColor="text1"/>
          <w:sz w:val="22"/>
          <w:szCs w:val="22"/>
          <w:lang w:val="tr-TR"/>
        </w:rPr>
        <w:t>T</w:t>
      </w:r>
      <w:r w:rsidRPr="00360A96">
        <w:rPr>
          <w:rStyle w:val="Strong"/>
          <w:rFonts w:ascii="Arial" w:hAnsi="Arial" w:cs="Arial"/>
          <w:b/>
          <w:bCs/>
          <w:color w:val="000000" w:themeColor="text1"/>
          <w:sz w:val="22"/>
          <w:szCs w:val="22"/>
        </w:rPr>
        <w:t>herapy</w:t>
      </w:r>
    </w:p>
    <w:p w14:paraId="22F9C8B5"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advances in microbiome research have unveiled a pivotal role of the </w:t>
      </w:r>
      <w:r w:rsidRPr="00360A96">
        <w:rPr>
          <w:rStyle w:val="Strong"/>
          <w:rFonts w:ascii="Arial" w:hAnsi="Arial" w:cs="Arial"/>
          <w:b w:val="0"/>
          <w:bCs w:val="0"/>
          <w:color w:val="000000" w:themeColor="text1"/>
          <w:sz w:val="20"/>
          <w:szCs w:val="20"/>
        </w:rPr>
        <w:t>gut and tumor microbiota</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in modulating the development, progression, and therapeutic response of pancreatic ductal adenocarcinoma (PDAC). The pancreas, once thought to be sterile, is now known to harbor a distinct microbial community that interacts dynamically with the tumor microenvironment (TME) and systemic immune system </w:t>
      </w:r>
      <w:r w:rsidR="00F878BE" w:rsidRPr="00360A96">
        <w:rPr>
          <w:rFonts w:ascii="Arial" w:hAnsi="Arial" w:cs="Arial"/>
          <w:color w:val="000000" w:themeColor="text1"/>
          <w:sz w:val="20"/>
          <w:szCs w:val="20"/>
          <w:lang w:val="tr-TR"/>
        </w:rPr>
        <w:t>(</w:t>
      </w:r>
      <w:r w:rsidR="001A71A7" w:rsidRPr="00360A96">
        <w:rPr>
          <w:rFonts w:ascii="Arial" w:hAnsi="Arial" w:cs="Arial"/>
          <w:color w:val="000000" w:themeColor="text1"/>
          <w:sz w:val="20"/>
          <w:szCs w:val="20"/>
          <w:lang w:val="tr-TR"/>
        </w:rPr>
        <w:t>Henderson et al., 2023; Zhang et al., 2018; Thomas, 2017</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xml:space="preserve">. Dysbiosis—an imbalance in the composition and function of the microbiome—has emerged as both a </w:t>
      </w:r>
      <w:r w:rsidRPr="00360A96">
        <w:rPr>
          <w:rStyle w:val="Strong"/>
          <w:rFonts w:ascii="Arial" w:hAnsi="Arial" w:cs="Arial"/>
          <w:b w:val="0"/>
          <w:bCs w:val="0"/>
          <w:color w:val="000000" w:themeColor="text1"/>
          <w:sz w:val="20"/>
          <w:szCs w:val="20"/>
        </w:rPr>
        <w:t xml:space="preserve">driver and </w:t>
      </w:r>
      <w:r w:rsidRPr="00360A96">
        <w:rPr>
          <w:rStyle w:val="Strong"/>
          <w:rFonts w:ascii="Arial" w:hAnsi="Arial" w:cs="Arial"/>
          <w:b w:val="0"/>
          <w:bCs w:val="0"/>
          <w:color w:val="000000" w:themeColor="text1"/>
          <w:sz w:val="20"/>
          <w:szCs w:val="20"/>
        </w:rPr>
        <w:lastRenderedPageBreak/>
        <w:t>modulator</w:t>
      </w:r>
      <w:r w:rsidRPr="00360A96">
        <w:rPr>
          <w:rFonts w:ascii="Arial" w:hAnsi="Arial" w:cs="Arial"/>
          <w:color w:val="000000" w:themeColor="text1"/>
          <w:sz w:val="20"/>
          <w:szCs w:val="20"/>
        </w:rPr>
        <w:t xml:space="preserve"> of pancreatic carcinogenesis, influencing inflammation, oncogenic signaling, and immune evasion </w:t>
      </w:r>
      <w:r w:rsidR="00F878BE"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Vrieze et al., 2012; Yamamura et al., 2025</w:t>
      </w:r>
      <w:r w:rsidR="00F878BE"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3959BAC"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The </w:t>
      </w:r>
      <w:r w:rsidR="002F3752" w:rsidRPr="00360A96">
        <w:rPr>
          <w:rStyle w:val="Strong"/>
          <w:rFonts w:ascii="Arial" w:hAnsi="Arial" w:cs="Arial"/>
          <w:color w:val="000000" w:themeColor="text1"/>
          <w:sz w:val="22"/>
          <w:szCs w:val="22"/>
          <w:lang w:val="tr-TR"/>
        </w:rPr>
        <w:t>g</w:t>
      </w:r>
      <w:r w:rsidRPr="00360A96">
        <w:rPr>
          <w:rStyle w:val="Strong"/>
          <w:rFonts w:ascii="Arial" w:hAnsi="Arial" w:cs="Arial"/>
          <w:color w:val="000000" w:themeColor="text1"/>
          <w:sz w:val="22"/>
          <w:szCs w:val="22"/>
        </w:rPr>
        <w:t>ut–</w:t>
      </w:r>
      <w:r w:rsidR="002F3752" w:rsidRPr="00360A96">
        <w:rPr>
          <w:rStyle w:val="Strong"/>
          <w:rFonts w:ascii="Arial" w:hAnsi="Arial" w:cs="Arial"/>
          <w:color w:val="000000" w:themeColor="text1"/>
          <w:sz w:val="22"/>
          <w:szCs w:val="22"/>
          <w:lang w:val="tr-TR"/>
        </w:rPr>
        <w:t>p</w:t>
      </w:r>
      <w:r w:rsidRPr="00360A96">
        <w:rPr>
          <w:rStyle w:val="Strong"/>
          <w:rFonts w:ascii="Arial" w:hAnsi="Arial" w:cs="Arial"/>
          <w:color w:val="000000" w:themeColor="text1"/>
          <w:sz w:val="22"/>
          <w:szCs w:val="22"/>
        </w:rPr>
        <w:t xml:space="preserve">ancreas </w:t>
      </w:r>
      <w:r w:rsidR="002F3752" w:rsidRPr="00360A96">
        <w:rPr>
          <w:rStyle w:val="Strong"/>
          <w:rFonts w:ascii="Arial" w:hAnsi="Arial" w:cs="Arial"/>
          <w:color w:val="000000" w:themeColor="text1"/>
          <w:sz w:val="22"/>
          <w:szCs w:val="22"/>
          <w:lang w:val="tr-TR"/>
        </w:rPr>
        <w:t>a</w:t>
      </w:r>
      <w:r w:rsidRPr="00360A96">
        <w:rPr>
          <w:rStyle w:val="Strong"/>
          <w:rFonts w:ascii="Arial" w:hAnsi="Arial" w:cs="Arial"/>
          <w:color w:val="000000" w:themeColor="text1"/>
          <w:sz w:val="22"/>
          <w:szCs w:val="22"/>
        </w:rPr>
        <w:t xml:space="preserve">xis in </w:t>
      </w:r>
      <w:r w:rsidR="002F3752"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umorigenesis</w:t>
      </w:r>
    </w:p>
    <w:p w14:paraId="7D82001B"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w:t>
      </w:r>
      <w:r w:rsidRPr="00360A96">
        <w:rPr>
          <w:rStyle w:val="Strong"/>
          <w:rFonts w:ascii="Arial" w:hAnsi="Arial" w:cs="Arial"/>
          <w:b w:val="0"/>
          <w:bCs w:val="0"/>
          <w:color w:val="000000" w:themeColor="text1"/>
          <w:sz w:val="20"/>
          <w:szCs w:val="20"/>
        </w:rPr>
        <w:t>gut–pancreas axis</w:t>
      </w:r>
      <w:r w:rsidRPr="00360A96">
        <w:rPr>
          <w:rFonts w:ascii="Arial" w:hAnsi="Arial" w:cs="Arial"/>
          <w:color w:val="000000" w:themeColor="text1"/>
          <w:sz w:val="20"/>
          <w:szCs w:val="20"/>
        </w:rPr>
        <w:t xml:space="preserve"> represents a bidirectional communication network mediated by microbial metabolites, immune signaling molecules, and neural pathways. Alterations in the gut microbiota can influence pancreatic inflammation, fibrosis, and tumor initiation. For instance, enrichment of bacterial taxa such as </w:t>
      </w:r>
      <w:r w:rsidRPr="00360A96">
        <w:rPr>
          <w:rStyle w:val="Emphasis"/>
          <w:rFonts w:ascii="Arial" w:hAnsi="Arial" w:cs="Arial"/>
          <w:color w:val="000000" w:themeColor="text1"/>
          <w:sz w:val="20"/>
          <w:szCs w:val="20"/>
        </w:rPr>
        <w:t>Proteobacteria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Fusobacterium</w:t>
      </w:r>
      <w:r w:rsidRPr="00360A96">
        <w:rPr>
          <w:rFonts w:ascii="Arial" w:hAnsi="Arial" w:cs="Arial"/>
          <w:color w:val="000000" w:themeColor="text1"/>
          <w:sz w:val="20"/>
          <w:szCs w:val="20"/>
        </w:rPr>
        <w:t xml:space="preserve"> has been associated with </w:t>
      </w:r>
      <w:r w:rsidRPr="00360A96">
        <w:rPr>
          <w:rStyle w:val="Strong"/>
          <w:rFonts w:ascii="Arial" w:hAnsi="Arial" w:cs="Arial"/>
          <w:b w:val="0"/>
          <w:bCs w:val="0"/>
          <w:color w:val="000000" w:themeColor="text1"/>
          <w:sz w:val="20"/>
          <w:szCs w:val="20"/>
        </w:rPr>
        <w:t>chronic pancreatitis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 known risk factor for PDAC, whereas commensals such as </w:t>
      </w:r>
      <w:r w:rsidRPr="00360A96">
        <w:rPr>
          <w:rStyle w:val="Emphasis"/>
          <w:rFonts w:ascii="Arial" w:hAnsi="Arial" w:cs="Arial"/>
          <w:color w:val="000000" w:themeColor="text1"/>
          <w:sz w:val="20"/>
          <w:szCs w:val="20"/>
        </w:rPr>
        <w:t>Bifidobacterium</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Lactobacillus</w:t>
      </w:r>
      <w:r w:rsidRPr="00360A96">
        <w:rPr>
          <w:rFonts w:ascii="Arial" w:hAnsi="Arial" w:cs="Arial"/>
          <w:color w:val="000000" w:themeColor="text1"/>
          <w:sz w:val="20"/>
          <w:szCs w:val="20"/>
        </w:rPr>
        <w:t xml:space="preserve"> appear to exert protective, anti-inflammatory effects </w:t>
      </w:r>
      <w:r w:rsidR="006C0878"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He et al., 2017</w:t>
      </w:r>
      <w:r w:rsidR="006C0878"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F4AF7DA"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Microbial metabolites—particularly </w:t>
      </w:r>
      <w:r w:rsidRPr="00360A96">
        <w:rPr>
          <w:rStyle w:val="Strong"/>
          <w:rFonts w:ascii="Arial" w:hAnsi="Arial" w:cs="Arial"/>
          <w:b w:val="0"/>
          <w:bCs w:val="0"/>
          <w:color w:val="000000" w:themeColor="text1"/>
          <w:sz w:val="20"/>
          <w:szCs w:val="20"/>
        </w:rPr>
        <w:t>short-chain fatty acids (SCFAs)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secondary bile acids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lipopolysaccharides (LPS</w:t>
      </w:r>
      <w:r w:rsidRPr="00360A96">
        <w:rPr>
          <w:rStyle w:val="Strong"/>
          <w:rFonts w:ascii="Arial" w:hAnsi="Arial" w:cs="Arial"/>
          <w:color w:val="000000" w:themeColor="text1"/>
          <w:sz w:val="20"/>
          <w:szCs w:val="20"/>
        </w:rPr>
        <w:t>)</w:t>
      </w:r>
      <w:r w:rsidRPr="00360A96">
        <w:rPr>
          <w:rFonts w:ascii="Arial" w:hAnsi="Arial" w:cs="Arial"/>
          <w:color w:val="000000" w:themeColor="text1"/>
          <w:sz w:val="20"/>
          <w:szCs w:val="20"/>
        </w:rPr>
        <w:t xml:space="preserve">—can modulate immune and epithelial signaling pathways. SCFAs generally support epithelial integrity and anti-inflammatory responses, while LPS triggers </w:t>
      </w:r>
      <w:r w:rsidRPr="00360A96">
        <w:rPr>
          <w:rStyle w:val="Strong"/>
          <w:rFonts w:ascii="Arial" w:hAnsi="Arial" w:cs="Arial"/>
          <w:b w:val="0"/>
          <w:bCs w:val="0"/>
          <w:color w:val="000000" w:themeColor="text1"/>
          <w:sz w:val="20"/>
          <w:szCs w:val="20"/>
        </w:rPr>
        <w:t>TLR4-mediated activation</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of NF-κB and proinflammatory cytokines, fostering a tumor-promoting environment</w:t>
      </w:r>
      <w:r w:rsidR="00A21DEF" w:rsidRPr="00360A96">
        <w:rPr>
          <w:rFonts w:ascii="Arial" w:hAnsi="Arial" w:cs="Arial"/>
          <w:color w:val="000000" w:themeColor="text1"/>
          <w:sz w:val="20"/>
          <w:szCs w:val="20"/>
          <w:lang w:val="tr-TR"/>
        </w:rPr>
        <w:t xml:space="preserve"> (Zeng et al., 2025)</w:t>
      </w:r>
      <w:r w:rsidRPr="00360A96">
        <w:rPr>
          <w:rFonts w:ascii="Arial" w:hAnsi="Arial" w:cs="Arial"/>
          <w:color w:val="000000" w:themeColor="text1"/>
          <w:sz w:val="20"/>
          <w:szCs w:val="20"/>
        </w:rPr>
        <w:t>.</w:t>
      </w:r>
    </w:p>
    <w:p w14:paraId="7A1363B2"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Furthermore, bacterial translocation from the gut to the pancreas, possibly facilitated by increased intestinal permeability (“leaky gut”), introduces microbial components into the pancreatic tissue, leading to chronic immune activation and stromal remodeling conducive to tumor growth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He et al., 2017; Pushalkar et al., 2018</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4E4AD75"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The </w:t>
      </w:r>
      <w:r w:rsidR="002F3752"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umor </w:t>
      </w:r>
      <w:r w:rsidR="002F3752"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icrobiome and </w:t>
      </w:r>
      <w:r w:rsidR="002F3752"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 xml:space="preserve">mmune </w:t>
      </w:r>
      <w:r w:rsidR="002F3752" w:rsidRPr="00360A96">
        <w:rPr>
          <w:rStyle w:val="Strong"/>
          <w:rFonts w:ascii="Arial" w:hAnsi="Arial" w:cs="Arial"/>
          <w:color w:val="000000" w:themeColor="text1"/>
          <w:sz w:val="22"/>
          <w:szCs w:val="22"/>
          <w:lang w:val="tr-TR"/>
        </w:rPr>
        <w:t>r</w:t>
      </w:r>
      <w:r w:rsidRPr="00360A96">
        <w:rPr>
          <w:rStyle w:val="Strong"/>
          <w:rFonts w:ascii="Arial" w:hAnsi="Arial" w:cs="Arial"/>
          <w:color w:val="000000" w:themeColor="text1"/>
          <w:sz w:val="22"/>
          <w:szCs w:val="22"/>
        </w:rPr>
        <w:t>egulation</w:t>
      </w:r>
    </w:p>
    <w:p w14:paraId="63DF3CD7"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Beyond the gut, PDAC tumors themselves harbor an </w:t>
      </w:r>
      <w:r w:rsidRPr="00360A96">
        <w:rPr>
          <w:rStyle w:val="Strong"/>
          <w:rFonts w:ascii="Arial" w:hAnsi="Arial" w:cs="Arial"/>
          <w:b w:val="0"/>
          <w:bCs w:val="0"/>
          <w:color w:val="000000" w:themeColor="text1"/>
          <w:sz w:val="20"/>
          <w:szCs w:val="20"/>
        </w:rPr>
        <w:t>intratumoral microbiome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composed of bacteria, fungi, and archaea that directly influence disease biology. Recent studies have identified </w:t>
      </w:r>
      <w:r w:rsidRPr="00360A96">
        <w:rPr>
          <w:rStyle w:val="Strong"/>
          <w:rFonts w:ascii="Arial" w:hAnsi="Arial" w:cs="Arial"/>
          <w:b w:val="0"/>
          <w:bCs w:val="0"/>
          <w:color w:val="000000" w:themeColor="text1"/>
          <w:sz w:val="20"/>
          <w:szCs w:val="20"/>
        </w:rPr>
        <w:t>intratumoral bacterial DNA and RNA signatures</w:t>
      </w:r>
      <w:r w:rsidRPr="00360A96">
        <w:rPr>
          <w:rFonts w:ascii="Arial" w:hAnsi="Arial" w:cs="Arial"/>
          <w:color w:val="000000" w:themeColor="text1"/>
          <w:sz w:val="20"/>
          <w:szCs w:val="20"/>
        </w:rPr>
        <w:t xml:space="preserve"> that correlate with patient prognosis and therapeutic outcomes</w:t>
      </w:r>
      <w:r w:rsidR="00815167" w:rsidRPr="00360A96">
        <w:rPr>
          <w:rFonts w:ascii="Arial" w:hAnsi="Arial" w:cs="Arial"/>
          <w:color w:val="000000" w:themeColor="text1"/>
          <w:sz w:val="20"/>
          <w:szCs w:val="20"/>
          <w:lang w:val="tr-TR"/>
        </w:rPr>
        <w:t xml:space="preserve"> (</w:t>
      </w:r>
      <w:r w:rsidR="00815167" w:rsidRPr="00360A96">
        <w:rPr>
          <w:rFonts w:ascii="Arial" w:hAnsi="Arial" w:cs="Arial"/>
          <w:color w:val="000000" w:themeColor="text1"/>
          <w:sz w:val="20"/>
          <w:szCs w:val="20"/>
          <w:shd w:val="clear" w:color="auto" w:fill="FFFFFF"/>
        </w:rPr>
        <w:t>Asgharzadeh</w:t>
      </w:r>
      <w:r w:rsidR="00815167" w:rsidRPr="00360A96">
        <w:rPr>
          <w:rFonts w:ascii="Arial" w:hAnsi="Arial" w:cs="Arial"/>
          <w:color w:val="000000" w:themeColor="text1"/>
          <w:sz w:val="20"/>
          <w:szCs w:val="20"/>
          <w:shd w:val="clear" w:color="auto" w:fill="FFFFFF"/>
          <w:lang w:val="tr-TR"/>
        </w:rPr>
        <w:t xml:space="preserve"> et al., 2025)</w:t>
      </w:r>
      <w:r w:rsidRPr="00360A96">
        <w:rPr>
          <w:rFonts w:ascii="Arial" w:hAnsi="Arial" w:cs="Arial"/>
          <w:color w:val="000000" w:themeColor="text1"/>
          <w:sz w:val="20"/>
          <w:szCs w:val="20"/>
        </w:rPr>
        <w:t xml:space="preserve">. Notably, enrichment of </w:t>
      </w:r>
      <w:r w:rsidRPr="00360A96">
        <w:rPr>
          <w:rStyle w:val="Emphasis"/>
          <w:rFonts w:ascii="Arial" w:hAnsi="Arial" w:cs="Arial"/>
          <w:color w:val="000000" w:themeColor="text1"/>
          <w:sz w:val="20"/>
          <w:szCs w:val="20"/>
        </w:rPr>
        <w:t>Gammaproteobacteria</w:t>
      </w:r>
      <w:r w:rsidRPr="00360A96">
        <w:rPr>
          <w:rFonts w:ascii="Arial" w:hAnsi="Arial" w:cs="Arial"/>
          <w:color w:val="000000" w:themeColor="text1"/>
          <w:sz w:val="20"/>
          <w:szCs w:val="20"/>
        </w:rPr>
        <w:t xml:space="preserve"> within tumors has been linked to </w:t>
      </w:r>
      <w:r w:rsidRPr="00360A96">
        <w:rPr>
          <w:rStyle w:val="Strong"/>
          <w:rFonts w:ascii="Arial" w:hAnsi="Arial" w:cs="Arial"/>
          <w:b w:val="0"/>
          <w:bCs w:val="0"/>
          <w:color w:val="000000" w:themeColor="text1"/>
          <w:sz w:val="20"/>
          <w:szCs w:val="20"/>
        </w:rPr>
        <w:t>gemcitabine resistance</w:t>
      </w:r>
      <w:r w:rsidRPr="00360A96">
        <w:rPr>
          <w:rFonts w:ascii="Arial" w:hAnsi="Arial" w:cs="Arial"/>
          <w:color w:val="000000" w:themeColor="text1"/>
          <w:sz w:val="20"/>
          <w:szCs w:val="20"/>
        </w:rPr>
        <w:t xml:space="preserve">, as these bacteria express cytidine deaminase enzymes that inactivate the drug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Tanoue et al., 2019</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062DEE0F" w14:textId="77777777" w:rsidR="00FC6288" w:rsidRPr="00360A96" w:rsidRDefault="00FC6288" w:rsidP="0019493F">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Conversely, specific microbial consortia appear to enhance </w:t>
      </w:r>
      <w:r w:rsidRPr="00360A96">
        <w:rPr>
          <w:rStyle w:val="Strong"/>
          <w:rFonts w:ascii="Arial" w:hAnsi="Arial" w:cs="Arial"/>
          <w:b w:val="0"/>
          <w:bCs w:val="0"/>
          <w:color w:val="000000" w:themeColor="text1"/>
          <w:sz w:val="20"/>
          <w:szCs w:val="20"/>
        </w:rPr>
        <w:t>antitumor immunity</w:t>
      </w:r>
      <w:r w:rsidRPr="00360A96">
        <w:rPr>
          <w:rFonts w:ascii="Arial" w:hAnsi="Arial" w:cs="Arial"/>
          <w:color w:val="000000" w:themeColor="text1"/>
          <w:sz w:val="20"/>
          <w:szCs w:val="20"/>
        </w:rPr>
        <w:t>. A diverse and immunogenic tumor microbiome has been associated with increased infiltration of CD8</w:t>
      </w:r>
      <w:r w:rsidRPr="00360A96">
        <w:rPr>
          <w:rFonts w:ascii="Cambria Math" w:hAnsi="Cambria Math" w:cs="Cambria Math"/>
          <w:color w:val="000000" w:themeColor="text1"/>
          <w:sz w:val="20"/>
          <w:szCs w:val="20"/>
        </w:rPr>
        <w:t>⁺</w:t>
      </w:r>
      <w:r w:rsidRPr="00360A96">
        <w:rPr>
          <w:rFonts w:ascii="Arial" w:hAnsi="Arial" w:cs="Arial"/>
          <w:color w:val="000000" w:themeColor="text1"/>
          <w:sz w:val="20"/>
          <w:szCs w:val="20"/>
        </w:rPr>
        <w:t xml:space="preserve"> T cells and improved survival, suggesting that modulating microbial composition may potentiate immune-mediated tumor control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Klement et al., 2019</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2B1262C8"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Microbiome </w:t>
      </w:r>
      <w:r w:rsidR="002F3752"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 xml:space="preserve">odulation as a </w:t>
      </w:r>
      <w:r w:rsidR="002F3752"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herapeutic </w:t>
      </w:r>
      <w:r w:rsidR="002F3752"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trategy</w:t>
      </w:r>
    </w:p>
    <w:p w14:paraId="7B64685F" w14:textId="77777777" w:rsidR="00FC6288" w:rsidRPr="00360A96" w:rsidRDefault="00FC6288" w:rsidP="00BC386D">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Therapeutic manipulation of the microbiome has emerged as a promising adjunct to standard cancer therapy. Interventions include:</w:t>
      </w:r>
    </w:p>
    <w:p w14:paraId="5604FCEC" w14:textId="77777777" w:rsidR="00FC6288" w:rsidRPr="00360A96" w:rsidRDefault="00FC6288" w:rsidP="00BC386D">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Fecal Microbiota Transplantation (FMT)</w:t>
      </w:r>
      <w:r w:rsidRPr="00360A96">
        <w:rPr>
          <w:rFonts w:ascii="Arial" w:hAnsi="Arial" w:cs="Arial"/>
          <w:color w:val="000000" w:themeColor="text1"/>
          <w:sz w:val="20"/>
          <w:szCs w:val="20"/>
        </w:rPr>
        <w:t xml:space="preserve"> — Transfer of fecal material from healthy donors or responsive patients to those with PDAC can restore microbial diversity and immunologic balance. Preclinical data indicate that FMT enhances responsiveness to immune checkpoint inhibitors by promoting T-cell infiltration and reducing immunosuppressive myeloid populations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Panebianco et al., 2018; Zhang et al., 2020</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1867BFAE" w14:textId="77777777" w:rsidR="00FC6288" w:rsidRPr="00360A96" w:rsidRDefault="00FC6288" w:rsidP="00BC386D">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Probiotics and Prebiotics</w:t>
      </w:r>
      <w:r w:rsidRPr="00360A96">
        <w:rPr>
          <w:rFonts w:ascii="Arial" w:hAnsi="Arial" w:cs="Arial"/>
          <w:color w:val="000000" w:themeColor="text1"/>
          <w:sz w:val="20"/>
          <w:szCs w:val="20"/>
        </w:rPr>
        <w:t xml:space="preserve"> — Supplementation with beneficial microbes or substrates that favor their growth can modulate inflammation and epithelial barrier integrity. Specific strains such as </w:t>
      </w:r>
      <w:r w:rsidRPr="00360A96">
        <w:rPr>
          <w:rStyle w:val="Emphasis"/>
          <w:rFonts w:ascii="Arial" w:hAnsi="Arial" w:cs="Arial"/>
          <w:color w:val="000000" w:themeColor="text1"/>
          <w:sz w:val="20"/>
          <w:szCs w:val="20"/>
        </w:rPr>
        <w:t>Lactobacillus rhamnosus GG</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Bifidobacterium longum</w:t>
      </w:r>
      <w:r w:rsidRPr="00360A96">
        <w:rPr>
          <w:rFonts w:ascii="Arial" w:hAnsi="Arial" w:cs="Arial"/>
          <w:color w:val="000000" w:themeColor="text1"/>
          <w:sz w:val="20"/>
          <w:szCs w:val="20"/>
        </w:rPr>
        <w:t xml:space="preserve"> have shown anti-inflammatory and antitumor effects in experimental PDAC models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Riquelme et al., 2018</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F3136CC" w14:textId="77777777" w:rsidR="00FC6288" w:rsidRPr="00360A96" w:rsidRDefault="00FC6288" w:rsidP="00BC386D">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lastRenderedPageBreak/>
        <w:t>Antibiotic Modulation</w:t>
      </w:r>
      <w:r w:rsidRPr="00360A96">
        <w:rPr>
          <w:rFonts w:ascii="Arial" w:hAnsi="Arial" w:cs="Arial"/>
          <w:color w:val="000000" w:themeColor="text1"/>
          <w:sz w:val="20"/>
          <w:szCs w:val="20"/>
        </w:rPr>
        <w:t xml:space="preserve"> — Targeted antibiotics may eliminate deleterious or drug-metabolizing bacteria within the tumor, thereby restoring chemotherapy sensitivity. However, broad-spectrum antibiotic use can also impair immune surveillance and disrupt beneficial microbial taxa, highlighting the need for precision microbiome modulation </w:t>
      </w:r>
      <w:r w:rsidR="00EE75CF" w:rsidRPr="00360A96">
        <w:rPr>
          <w:rFonts w:ascii="Arial" w:hAnsi="Arial" w:cs="Arial"/>
          <w:color w:val="000000" w:themeColor="text1"/>
          <w:sz w:val="20"/>
          <w:szCs w:val="20"/>
          <w:lang w:val="tr-TR"/>
        </w:rPr>
        <w:t>(</w:t>
      </w:r>
      <w:r w:rsidR="000C487B" w:rsidRPr="00360A96">
        <w:rPr>
          <w:rFonts w:ascii="Arial" w:hAnsi="Arial" w:cs="Arial"/>
          <w:color w:val="000000" w:themeColor="text1"/>
          <w:sz w:val="20"/>
          <w:szCs w:val="20"/>
          <w:lang w:val="tr-TR"/>
        </w:rPr>
        <w:t>Li et al., 2016</w:t>
      </w:r>
      <w:r w:rsidR="00EE75CF"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E101FF9" w14:textId="77777777" w:rsidR="00FC6288" w:rsidRPr="00360A96" w:rsidRDefault="00FC6288" w:rsidP="00BC386D">
      <w:pPr>
        <w:pStyle w:val="NormalWeb"/>
        <w:numPr>
          <w:ilvl w:val="0"/>
          <w:numId w:val="8"/>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Dietary and Metabolic Interventions</w:t>
      </w:r>
      <w:r w:rsidRPr="00360A96">
        <w:rPr>
          <w:rFonts w:ascii="Arial" w:hAnsi="Arial" w:cs="Arial"/>
          <w:color w:val="000000" w:themeColor="text1"/>
          <w:sz w:val="20"/>
          <w:szCs w:val="20"/>
        </w:rPr>
        <w:t xml:space="preserve"> — Diet profoundly shapes the gut microbiome and may indirectly influence PDAC progression. High-fiber and polyphenol-rich diets promote the production of SCFAs and beneficial bacterial species, potentially enhancing systemic immune tone and mitigating tumor-promoting inflammation</w:t>
      </w:r>
      <w:r w:rsidR="00EE75CF" w:rsidRPr="00360A96">
        <w:rPr>
          <w:rFonts w:ascii="Arial" w:hAnsi="Arial" w:cs="Arial"/>
          <w:color w:val="000000" w:themeColor="text1"/>
          <w:sz w:val="20"/>
          <w:szCs w:val="20"/>
          <w:lang w:val="tr-TR"/>
        </w:rPr>
        <w:t xml:space="preserve"> (Chen et al., 2026; Zeng et al., 2025)</w:t>
      </w:r>
      <w:r w:rsidRPr="00360A96">
        <w:rPr>
          <w:rFonts w:ascii="Arial" w:hAnsi="Arial" w:cs="Arial"/>
          <w:color w:val="000000" w:themeColor="text1"/>
          <w:sz w:val="20"/>
          <w:szCs w:val="20"/>
        </w:rPr>
        <w:t>.</w:t>
      </w:r>
    </w:p>
    <w:p w14:paraId="4BA79AE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Microbiome–</w:t>
      </w:r>
      <w:r w:rsidR="002F3752" w:rsidRPr="00360A96">
        <w:rPr>
          <w:rStyle w:val="Strong"/>
          <w:rFonts w:ascii="Arial" w:hAnsi="Arial" w:cs="Arial"/>
          <w:color w:val="000000" w:themeColor="text1"/>
          <w:sz w:val="22"/>
          <w:szCs w:val="22"/>
          <w:lang w:val="tr-TR"/>
        </w:rPr>
        <w:t>i</w:t>
      </w:r>
      <w:r w:rsidRPr="00360A96">
        <w:rPr>
          <w:rStyle w:val="Strong"/>
          <w:rFonts w:ascii="Arial" w:hAnsi="Arial" w:cs="Arial"/>
          <w:color w:val="000000" w:themeColor="text1"/>
          <w:sz w:val="22"/>
          <w:szCs w:val="22"/>
        </w:rPr>
        <w:t xml:space="preserve">mmune </w:t>
      </w:r>
      <w:r w:rsidR="002F3752"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 xml:space="preserve">rosstalk and </w:t>
      </w:r>
      <w:r w:rsidR="002F3752"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 xml:space="preserve">herapeutic </w:t>
      </w:r>
      <w:r w:rsidR="002F3752"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ynergy</w:t>
      </w:r>
    </w:p>
    <w:p w14:paraId="77EF5F85" w14:textId="77777777" w:rsidR="002018D0" w:rsidRPr="00360A96" w:rsidRDefault="00FC6288" w:rsidP="00BC386D">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interaction between the microbiome and host immunity is increasingly recognized as a </w:t>
      </w:r>
      <w:r w:rsidRPr="00360A96">
        <w:rPr>
          <w:rStyle w:val="Strong"/>
          <w:rFonts w:ascii="Arial" w:hAnsi="Arial" w:cs="Arial"/>
          <w:b w:val="0"/>
          <w:bCs w:val="0"/>
          <w:color w:val="000000" w:themeColor="text1"/>
          <w:sz w:val="20"/>
          <w:szCs w:val="20"/>
        </w:rPr>
        <w:t>critical determinant of immunotherapy response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Certain commensal bacteria, such as </w:t>
      </w:r>
      <w:r w:rsidRPr="00360A96">
        <w:rPr>
          <w:rStyle w:val="Emphasis"/>
          <w:rFonts w:ascii="Arial" w:hAnsi="Arial" w:cs="Arial"/>
          <w:color w:val="000000" w:themeColor="text1"/>
          <w:sz w:val="20"/>
          <w:szCs w:val="20"/>
        </w:rPr>
        <w:t>Akkermansia muciniphila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Bacteroides fragilis</w:t>
      </w:r>
      <w:r w:rsidRPr="00360A96">
        <w:rPr>
          <w:rFonts w:ascii="Arial" w:hAnsi="Arial" w:cs="Arial"/>
          <w:color w:val="000000" w:themeColor="text1"/>
          <w:sz w:val="20"/>
          <w:szCs w:val="20"/>
        </w:rPr>
        <w:t xml:space="preserve">, have been shown to augment the efficacy of PD-1 blockade by enhancing dendritic cell activation and T-cell priming. Translational studies suggest that restoring beneficial microbial diversity can </w:t>
      </w:r>
      <w:r w:rsidRPr="00360A96">
        <w:rPr>
          <w:rStyle w:val="Strong"/>
          <w:rFonts w:ascii="Arial" w:hAnsi="Arial" w:cs="Arial"/>
          <w:b w:val="0"/>
          <w:bCs w:val="0"/>
          <w:color w:val="000000" w:themeColor="text1"/>
          <w:sz w:val="20"/>
          <w:szCs w:val="20"/>
        </w:rPr>
        <w:t>convert PDAC from an immunologically “cold” to a “hot” tumor</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thereby improving response to immune checkpoint inhibitors and other immunotherapies</w:t>
      </w:r>
      <w:r w:rsidR="00F52F65" w:rsidRPr="00360A96">
        <w:rPr>
          <w:rFonts w:ascii="Arial" w:hAnsi="Arial" w:cs="Arial"/>
          <w:color w:val="000000" w:themeColor="text1"/>
          <w:sz w:val="20"/>
          <w:szCs w:val="20"/>
          <w:lang w:val="tr-TR"/>
        </w:rPr>
        <w:t xml:space="preserve"> (</w:t>
      </w:r>
      <w:r w:rsidR="00DB41BF" w:rsidRPr="00360A96">
        <w:rPr>
          <w:rFonts w:ascii="Arial" w:hAnsi="Arial" w:cs="Arial"/>
          <w:color w:val="000000" w:themeColor="text1"/>
          <w:sz w:val="20"/>
          <w:szCs w:val="20"/>
          <w:lang w:val="tr-TR"/>
        </w:rPr>
        <w:t>Panebianco et al., 2018; Riquelme et al., 2018</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353060F6" w14:textId="77777777" w:rsidR="00FC6288" w:rsidRPr="00360A96" w:rsidRDefault="00FC6288" w:rsidP="00BC386D">
      <w:pPr>
        <w:pStyle w:val="NormalWeb"/>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Future </w:t>
      </w:r>
      <w:r w:rsidR="009A5DE9" w:rsidRPr="00360A96">
        <w:rPr>
          <w:rStyle w:val="Strong"/>
          <w:rFonts w:ascii="Arial" w:hAnsi="Arial" w:cs="Arial"/>
          <w:color w:val="000000" w:themeColor="text1"/>
          <w:sz w:val="22"/>
          <w:szCs w:val="22"/>
          <w:lang w:val="tr-TR"/>
        </w:rPr>
        <w:t>D</w:t>
      </w:r>
      <w:r w:rsidRPr="00360A96">
        <w:rPr>
          <w:rStyle w:val="Strong"/>
          <w:rFonts w:ascii="Arial" w:hAnsi="Arial" w:cs="Arial"/>
          <w:color w:val="000000" w:themeColor="text1"/>
          <w:sz w:val="22"/>
          <w:szCs w:val="22"/>
        </w:rPr>
        <w:t xml:space="preserve">irections and </w:t>
      </w:r>
      <w:r w:rsidR="009A5DE9" w:rsidRPr="00360A96">
        <w:rPr>
          <w:rStyle w:val="Strong"/>
          <w:rFonts w:ascii="Arial" w:hAnsi="Arial" w:cs="Arial"/>
          <w:color w:val="000000" w:themeColor="text1"/>
          <w:sz w:val="22"/>
          <w:szCs w:val="22"/>
          <w:lang w:val="tr-TR"/>
        </w:rPr>
        <w:t>C</w:t>
      </w:r>
      <w:r w:rsidRPr="00360A96">
        <w:rPr>
          <w:rStyle w:val="Strong"/>
          <w:rFonts w:ascii="Arial" w:hAnsi="Arial" w:cs="Arial"/>
          <w:color w:val="000000" w:themeColor="text1"/>
          <w:sz w:val="22"/>
          <w:szCs w:val="22"/>
        </w:rPr>
        <w:t>hallenges</w:t>
      </w:r>
    </w:p>
    <w:p w14:paraId="1C0489B9"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Although preclinical findings are compelling, clinical translation of microbial therapy faces several challenges. These include </w:t>
      </w:r>
      <w:r w:rsidRPr="00360A96">
        <w:rPr>
          <w:rStyle w:val="Strong"/>
          <w:rFonts w:ascii="Arial" w:hAnsi="Arial" w:cs="Arial"/>
          <w:b w:val="0"/>
          <w:bCs w:val="0"/>
          <w:color w:val="000000" w:themeColor="text1"/>
          <w:sz w:val="20"/>
          <w:szCs w:val="20"/>
        </w:rPr>
        <w:t>individual variability</w:t>
      </w:r>
      <w:r w:rsidRPr="00360A96">
        <w:rPr>
          <w:rFonts w:ascii="Arial" w:hAnsi="Arial" w:cs="Arial"/>
          <w:color w:val="000000" w:themeColor="text1"/>
          <w:sz w:val="20"/>
          <w:szCs w:val="20"/>
        </w:rPr>
        <w:t xml:space="preserve"> in microbial composition, </w:t>
      </w:r>
      <w:r w:rsidRPr="00360A96">
        <w:rPr>
          <w:rStyle w:val="Strong"/>
          <w:rFonts w:ascii="Arial" w:hAnsi="Arial" w:cs="Arial"/>
          <w:b w:val="0"/>
          <w:bCs w:val="0"/>
          <w:color w:val="000000" w:themeColor="text1"/>
          <w:sz w:val="20"/>
          <w:szCs w:val="20"/>
        </w:rPr>
        <w:t>standardization of FMT protocols</w:t>
      </w:r>
      <w:r w:rsidRPr="00360A96">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and potential risks of infection or dysbiosis following microbial manipulation. Moreover, the causal relationship between microbiome alterations and therapeutic response remains to be fully elucidated.</w:t>
      </w:r>
    </w:p>
    <w:p w14:paraId="75243534"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Future clinical trials should incorporate </w:t>
      </w:r>
      <w:r w:rsidRPr="00360A96">
        <w:rPr>
          <w:rStyle w:val="Strong"/>
          <w:rFonts w:ascii="Arial" w:hAnsi="Arial" w:cs="Arial"/>
          <w:b w:val="0"/>
          <w:bCs w:val="0"/>
          <w:color w:val="000000" w:themeColor="text1"/>
          <w:sz w:val="20"/>
          <w:szCs w:val="20"/>
        </w:rPr>
        <w:t>metagenomic and metabolomic profiling</w:t>
      </w:r>
      <w:r w:rsidRPr="00360A96">
        <w:rPr>
          <w:rFonts w:ascii="Arial" w:hAnsi="Arial" w:cs="Arial"/>
          <w:color w:val="000000" w:themeColor="text1"/>
          <w:sz w:val="20"/>
          <w:szCs w:val="20"/>
        </w:rPr>
        <w:t xml:space="preserve"> to identify predictive microbial signatures and personalize interventions. Integrating microbiome modulation with </w:t>
      </w:r>
      <w:r w:rsidRPr="00360A96">
        <w:rPr>
          <w:rStyle w:val="Strong"/>
          <w:rFonts w:ascii="Arial" w:hAnsi="Arial" w:cs="Arial"/>
          <w:b w:val="0"/>
          <w:bCs w:val="0"/>
          <w:color w:val="000000" w:themeColor="text1"/>
          <w:sz w:val="20"/>
          <w:szCs w:val="20"/>
        </w:rPr>
        <w:t>immunotherapy</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chemotherapy</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miRNA-based treatments</w:t>
      </w:r>
      <w:r w:rsidRPr="00360A96">
        <w:rPr>
          <w:rFonts w:ascii="Arial" w:hAnsi="Arial" w:cs="Arial"/>
          <w:color w:val="000000" w:themeColor="text1"/>
          <w:sz w:val="20"/>
          <w:szCs w:val="20"/>
        </w:rPr>
        <w:t xml:space="preserve"> may yield synergistic benefits, transforming the microbiome into a therapeutic ally in PDAC management.</w:t>
      </w:r>
    </w:p>
    <w:p w14:paraId="0919F22C"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r w:rsidRPr="00360A96">
        <w:rPr>
          <w:rStyle w:val="Strong"/>
          <w:rFonts w:ascii="Arial" w:hAnsi="Arial" w:cs="Arial"/>
          <w:b/>
          <w:bCs/>
          <w:color w:val="000000" w:themeColor="text1"/>
          <w:sz w:val="22"/>
          <w:szCs w:val="22"/>
        </w:rPr>
        <w:t>MicroRNA-</w:t>
      </w:r>
      <w:r w:rsidR="002F3752" w:rsidRPr="00360A96">
        <w:rPr>
          <w:rStyle w:val="Strong"/>
          <w:rFonts w:ascii="Arial" w:hAnsi="Arial" w:cs="Arial"/>
          <w:b/>
          <w:bCs/>
          <w:color w:val="000000" w:themeColor="text1"/>
          <w:sz w:val="22"/>
          <w:szCs w:val="22"/>
          <w:lang w:val="tr-TR"/>
        </w:rPr>
        <w:t>b</w:t>
      </w:r>
      <w:r w:rsidRPr="00360A96">
        <w:rPr>
          <w:rStyle w:val="Strong"/>
          <w:rFonts w:ascii="Arial" w:hAnsi="Arial" w:cs="Arial"/>
          <w:b/>
          <w:bCs/>
          <w:color w:val="000000" w:themeColor="text1"/>
          <w:sz w:val="22"/>
          <w:szCs w:val="22"/>
        </w:rPr>
        <w:t xml:space="preserve">ased </w:t>
      </w:r>
      <w:r w:rsidR="002F3752" w:rsidRPr="00360A96">
        <w:rPr>
          <w:rStyle w:val="Strong"/>
          <w:rFonts w:ascii="Arial" w:hAnsi="Arial" w:cs="Arial"/>
          <w:b/>
          <w:bCs/>
          <w:color w:val="000000" w:themeColor="text1"/>
          <w:sz w:val="22"/>
          <w:szCs w:val="22"/>
          <w:lang w:val="tr-TR"/>
        </w:rPr>
        <w:t>t</w:t>
      </w:r>
      <w:r w:rsidRPr="00360A96">
        <w:rPr>
          <w:rStyle w:val="Strong"/>
          <w:rFonts w:ascii="Arial" w:hAnsi="Arial" w:cs="Arial"/>
          <w:b/>
          <w:bCs/>
          <w:color w:val="000000" w:themeColor="text1"/>
          <w:sz w:val="22"/>
          <w:szCs w:val="22"/>
        </w:rPr>
        <w:t>herapy</w:t>
      </w:r>
    </w:p>
    <w:p w14:paraId="436C3336"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MicroRNAs (miRNAs) are small, non-coding RNAs—approximately 20–24 nucleotides in length—that regulate gene expression post-transcriptionally through mRNA degradation or translational repression. These molecules serve as master regulators of oncogenic signaling, apoptosis, invasion, and metastasis, rendering them both </w:t>
      </w:r>
      <w:r w:rsidRPr="00360A96">
        <w:rPr>
          <w:rStyle w:val="Strong"/>
          <w:rFonts w:ascii="Arial" w:hAnsi="Arial" w:cs="Arial"/>
          <w:b w:val="0"/>
          <w:bCs w:val="0"/>
          <w:color w:val="000000" w:themeColor="text1"/>
          <w:sz w:val="20"/>
          <w:szCs w:val="20"/>
        </w:rPr>
        <w:t>biomarkers and therapeutic targets</w:t>
      </w:r>
      <w:r w:rsidRPr="00360A96">
        <w:rPr>
          <w:rFonts w:ascii="Arial" w:hAnsi="Arial" w:cs="Arial"/>
          <w:color w:val="000000" w:themeColor="text1"/>
          <w:sz w:val="20"/>
          <w:szCs w:val="20"/>
        </w:rPr>
        <w:t xml:space="preserve"> in pancreatic ductal adenocarcinoma (PDAC) </w:t>
      </w:r>
      <w:r w:rsidR="00F52F65" w:rsidRPr="00360A96">
        <w:rPr>
          <w:rFonts w:ascii="Arial" w:hAnsi="Arial" w:cs="Arial"/>
          <w:color w:val="000000" w:themeColor="text1"/>
          <w:sz w:val="20"/>
          <w:szCs w:val="20"/>
          <w:lang w:val="tr-TR"/>
        </w:rPr>
        <w:t>(</w:t>
      </w:r>
      <w:r w:rsidR="00DB41BF" w:rsidRPr="00360A96">
        <w:rPr>
          <w:rFonts w:ascii="Arial" w:hAnsi="Arial" w:cs="Arial"/>
          <w:color w:val="000000" w:themeColor="text1"/>
          <w:sz w:val="20"/>
          <w:szCs w:val="20"/>
          <w:lang w:val="tr-TR"/>
        </w:rPr>
        <w:t>Rachagani et al., 2016; Slotwinski et al., 2018; Fesler et al., 2020</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28F5856C"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Aberrant miRNA expression profiles have been consistently observed in PDAC, reflecting the disease’s complex genetic and epigenetic landscape. Distinct patterns of </w:t>
      </w:r>
      <w:r w:rsidRPr="00360A96">
        <w:rPr>
          <w:rStyle w:val="Strong"/>
          <w:rFonts w:ascii="Arial" w:hAnsi="Arial" w:cs="Arial"/>
          <w:b w:val="0"/>
          <w:bCs w:val="0"/>
          <w:color w:val="000000" w:themeColor="text1"/>
          <w:sz w:val="20"/>
          <w:szCs w:val="20"/>
        </w:rPr>
        <w:t>oncogenic (oncomiR)</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tumor-suppressive</w:t>
      </w:r>
      <w:r w:rsidRPr="00360A96">
        <w:rPr>
          <w:rFonts w:ascii="Arial" w:hAnsi="Arial" w:cs="Arial"/>
          <w:color w:val="000000" w:themeColor="text1"/>
          <w:sz w:val="20"/>
          <w:szCs w:val="20"/>
        </w:rPr>
        <w:t xml:space="preserve"> miRNAs not only contribute to tumor initiation and progression but also influence chemoresistance and patient prognosis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Dong et al., 2025</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E0C3BC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Dysregulated miRNAs in PDAC</w:t>
      </w:r>
    </w:p>
    <w:p w14:paraId="665F10D2"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Several key miRNAs are recurrently dysregulated in PDAC:</w:t>
      </w:r>
    </w:p>
    <w:p w14:paraId="6815311D" w14:textId="77777777" w:rsidR="00FC6288" w:rsidRPr="00360A96" w:rsidRDefault="00FC6288" w:rsidP="002018D0">
      <w:pPr>
        <w:pStyle w:val="NormalWeb"/>
        <w:numPr>
          <w:ilvl w:val="0"/>
          <w:numId w:val="9"/>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OncomiRs</w:t>
      </w:r>
      <w:r w:rsidRPr="00360A96">
        <w:rPr>
          <w:rStyle w:val="Strong"/>
          <w:rFonts w:ascii="Arial" w:hAnsi="Arial" w:cs="Arial"/>
          <w:color w:val="000000" w:themeColor="text1"/>
          <w:sz w:val="20"/>
          <w:szCs w:val="20"/>
        </w:rPr>
        <w:t>:</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miR-155</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miR-196a</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miR-221/222</w:t>
      </w:r>
      <w:r w:rsidRPr="00360A96">
        <w:rPr>
          <w:rFonts w:ascii="Arial" w:hAnsi="Arial" w:cs="Arial"/>
          <w:color w:val="000000" w:themeColor="text1"/>
          <w:sz w:val="20"/>
          <w:szCs w:val="20"/>
        </w:rPr>
        <w:t xml:space="preserve"> are frequently upregulated and promote cell proliferation, invasion, and resistance to apoptosis by targeting tumor suppressor genes such as </w:t>
      </w:r>
      <w:r w:rsidRPr="00360A96">
        <w:rPr>
          <w:rStyle w:val="Strong"/>
          <w:rFonts w:ascii="Arial" w:hAnsi="Arial" w:cs="Arial"/>
          <w:b w:val="0"/>
          <w:bCs w:val="0"/>
          <w:color w:val="000000" w:themeColor="text1"/>
          <w:sz w:val="20"/>
          <w:szCs w:val="20"/>
        </w:rPr>
        <w:t>PTEN</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PDCD4</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SMAD4</w:t>
      </w:r>
      <w:r w:rsidRPr="00360A96">
        <w:rPr>
          <w:rFonts w:ascii="Arial" w:hAnsi="Arial" w:cs="Arial"/>
          <w:color w:val="000000" w:themeColor="text1"/>
          <w:sz w:val="20"/>
          <w:szCs w:val="20"/>
        </w:rPr>
        <w:t xml:space="preserve">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Chu et al., 2022; Vahabi et al., 2023</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100A03CC" w14:textId="77777777" w:rsidR="00FC6288" w:rsidRPr="00360A96" w:rsidRDefault="00FC6288" w:rsidP="002018D0">
      <w:pPr>
        <w:pStyle w:val="NormalWeb"/>
        <w:numPr>
          <w:ilvl w:val="0"/>
          <w:numId w:val="9"/>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lastRenderedPageBreak/>
        <w:t>Tumor-suppressive miRNAs:</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miR-143</w:t>
      </w:r>
      <w:r w:rsidRPr="00360A96">
        <w:rPr>
          <w:rFonts w:ascii="Arial" w:hAnsi="Arial" w:cs="Arial"/>
          <w:color w:val="000000" w:themeColor="text1"/>
          <w:sz w:val="20"/>
          <w:szCs w:val="20"/>
        </w:rPr>
        <w:t xml:space="preserve">, </w:t>
      </w:r>
      <w:r w:rsidRPr="00360A96">
        <w:rPr>
          <w:rStyle w:val="Emphasis"/>
          <w:rFonts w:ascii="Arial" w:hAnsi="Arial" w:cs="Arial"/>
          <w:color w:val="000000" w:themeColor="text1"/>
          <w:sz w:val="20"/>
          <w:szCs w:val="20"/>
        </w:rPr>
        <w:t>miR-145</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let-7</w:t>
      </w:r>
      <w:r w:rsidRPr="00360A96">
        <w:rPr>
          <w:rFonts w:ascii="Arial" w:hAnsi="Arial" w:cs="Arial"/>
          <w:color w:val="000000" w:themeColor="text1"/>
          <w:sz w:val="20"/>
          <w:szCs w:val="20"/>
        </w:rPr>
        <w:t xml:space="preserve"> family members are often downregulated, leading to dysregulation of oncogenic pathways including </w:t>
      </w:r>
      <w:r w:rsidRPr="00360A96">
        <w:rPr>
          <w:rStyle w:val="Strong"/>
          <w:rFonts w:ascii="Arial" w:hAnsi="Arial" w:cs="Arial"/>
          <w:b w:val="0"/>
          <w:bCs w:val="0"/>
          <w:color w:val="000000" w:themeColor="text1"/>
          <w:sz w:val="20"/>
          <w:szCs w:val="20"/>
        </w:rPr>
        <w:t>KRAS</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Notch</w:t>
      </w:r>
      <w:r w:rsidRPr="00360A96">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360A96">
        <w:rPr>
          <w:rStyle w:val="Strong"/>
          <w:rFonts w:ascii="Arial" w:hAnsi="Arial" w:cs="Arial"/>
          <w:b w:val="0"/>
          <w:bCs w:val="0"/>
          <w:color w:val="000000" w:themeColor="text1"/>
          <w:sz w:val="20"/>
          <w:szCs w:val="20"/>
        </w:rPr>
        <w:t>NF-κB</w:t>
      </w:r>
      <w:r w:rsidRPr="00360A96">
        <w:rPr>
          <w:rFonts w:ascii="Arial" w:hAnsi="Arial" w:cs="Arial"/>
          <w:color w:val="000000" w:themeColor="text1"/>
          <w:sz w:val="20"/>
          <w:szCs w:val="20"/>
        </w:rPr>
        <w:t xml:space="preserve"> signaling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Moriyama et al., 200</w:t>
      </w:r>
      <w:r w:rsidR="00F52F65" w:rsidRPr="00360A96">
        <w:rPr>
          <w:rFonts w:ascii="Arial" w:hAnsi="Arial" w:cs="Arial"/>
          <w:color w:val="000000" w:themeColor="text1"/>
          <w:sz w:val="20"/>
          <w:szCs w:val="20"/>
          <w:lang w:val="tr-TR"/>
        </w:rPr>
        <w:t>9)</w:t>
      </w:r>
      <w:r w:rsidRPr="00360A96">
        <w:rPr>
          <w:rFonts w:ascii="Arial" w:hAnsi="Arial" w:cs="Arial"/>
          <w:color w:val="000000" w:themeColor="text1"/>
          <w:sz w:val="20"/>
          <w:szCs w:val="20"/>
        </w:rPr>
        <w:t>.</w:t>
      </w:r>
    </w:p>
    <w:p w14:paraId="6B406FEA"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These miRNAs form part of a highly interconnected regulatory network that coordinates multiple hallmarks of cancer, including sustained proliferation, evasion of apoptosis, and metastatic competence.</w:t>
      </w:r>
    </w:p>
    <w:p w14:paraId="221256CD"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miRNAs as </w:t>
      </w:r>
      <w:r w:rsidR="002F3752" w:rsidRPr="00360A96">
        <w:rPr>
          <w:rStyle w:val="Strong"/>
          <w:rFonts w:ascii="Arial" w:hAnsi="Arial" w:cs="Arial"/>
          <w:color w:val="000000" w:themeColor="text1"/>
          <w:sz w:val="22"/>
          <w:szCs w:val="22"/>
          <w:lang w:val="tr-TR"/>
        </w:rPr>
        <w:t>d</w:t>
      </w:r>
      <w:r w:rsidRPr="00360A96">
        <w:rPr>
          <w:rStyle w:val="Strong"/>
          <w:rFonts w:ascii="Arial" w:hAnsi="Arial" w:cs="Arial"/>
          <w:color w:val="000000" w:themeColor="text1"/>
          <w:sz w:val="22"/>
          <w:szCs w:val="22"/>
        </w:rPr>
        <w:t xml:space="preserve">iagnostic and </w:t>
      </w:r>
      <w:r w:rsidR="002F3752" w:rsidRPr="00360A96">
        <w:rPr>
          <w:rStyle w:val="Strong"/>
          <w:rFonts w:ascii="Arial" w:hAnsi="Arial" w:cs="Arial"/>
          <w:color w:val="000000" w:themeColor="text1"/>
          <w:sz w:val="22"/>
          <w:szCs w:val="22"/>
          <w:lang w:val="tr-TR"/>
        </w:rPr>
        <w:t>p</w:t>
      </w:r>
      <w:r w:rsidRPr="00360A96">
        <w:rPr>
          <w:rStyle w:val="Strong"/>
          <w:rFonts w:ascii="Arial" w:hAnsi="Arial" w:cs="Arial"/>
          <w:color w:val="000000" w:themeColor="text1"/>
          <w:sz w:val="22"/>
          <w:szCs w:val="22"/>
        </w:rPr>
        <w:t xml:space="preserve">rognostic </w:t>
      </w:r>
      <w:r w:rsidR="002F3752" w:rsidRPr="00360A96">
        <w:rPr>
          <w:rStyle w:val="Strong"/>
          <w:rFonts w:ascii="Arial" w:hAnsi="Arial" w:cs="Arial"/>
          <w:color w:val="000000" w:themeColor="text1"/>
          <w:sz w:val="22"/>
          <w:szCs w:val="22"/>
          <w:lang w:val="tr-TR"/>
        </w:rPr>
        <w:t>b</w:t>
      </w:r>
      <w:r w:rsidRPr="00360A96">
        <w:rPr>
          <w:rStyle w:val="Strong"/>
          <w:rFonts w:ascii="Arial" w:hAnsi="Arial" w:cs="Arial"/>
          <w:color w:val="000000" w:themeColor="text1"/>
          <w:sz w:val="22"/>
          <w:szCs w:val="22"/>
        </w:rPr>
        <w:t>iomarkers</w:t>
      </w:r>
    </w:p>
    <w:p w14:paraId="3498B470"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stability of miRNAs in biological fluids—such as serum, plasma, saliva, and exosomes—makes them ideal </w:t>
      </w:r>
      <w:r w:rsidRPr="00360A96">
        <w:rPr>
          <w:rStyle w:val="Strong"/>
          <w:rFonts w:ascii="Arial" w:hAnsi="Arial" w:cs="Arial"/>
          <w:b w:val="0"/>
          <w:bCs w:val="0"/>
          <w:color w:val="000000" w:themeColor="text1"/>
          <w:sz w:val="20"/>
          <w:szCs w:val="20"/>
        </w:rPr>
        <w:t>noninvasive biomarkers</w:t>
      </w:r>
      <w:r w:rsidRPr="00360A96">
        <w:rPr>
          <w:rFonts w:ascii="Arial" w:hAnsi="Arial" w:cs="Arial"/>
          <w:color w:val="000000" w:themeColor="text1"/>
          <w:sz w:val="20"/>
          <w:szCs w:val="20"/>
        </w:rPr>
        <w:t xml:space="preserve"> for early detection and disease monitoring. Circulating miRNA panels have shown diagnostic accuracy in distinguishing PDAC from benign pancreatic disease and chronic pancreatitis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Nalls et al., 2011</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14F0ED8"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For example, elevated serum levels of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and </w:t>
      </w:r>
      <w:r w:rsidRPr="00360A96">
        <w:rPr>
          <w:rStyle w:val="Emphasis"/>
          <w:rFonts w:ascii="Arial" w:hAnsi="Arial" w:cs="Arial"/>
          <w:color w:val="000000" w:themeColor="text1"/>
          <w:sz w:val="20"/>
          <w:szCs w:val="20"/>
        </w:rPr>
        <w:t>miR-155</w:t>
      </w:r>
      <w:r w:rsidRPr="00360A96">
        <w:rPr>
          <w:rFonts w:ascii="Arial" w:hAnsi="Arial" w:cs="Arial"/>
          <w:color w:val="000000" w:themeColor="text1"/>
          <w:sz w:val="20"/>
          <w:szCs w:val="20"/>
        </w:rPr>
        <w:t xml:space="preserve"> correlate with advanced tumor stage and poor prognosis, whereas reduced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expression has been linked to chemoresistance and shortened overall survival. Integration of miRNA signatures with established biomarkers such as CA19-9 may further enhance diagnostic sensitivity and specificity</w:t>
      </w:r>
      <w:r w:rsidR="0065588F" w:rsidRPr="00360A96">
        <w:rPr>
          <w:rFonts w:ascii="Arial" w:hAnsi="Arial" w:cs="Arial"/>
          <w:color w:val="000000" w:themeColor="text1"/>
          <w:sz w:val="20"/>
          <w:szCs w:val="20"/>
          <w:lang w:val="tr-TR"/>
        </w:rPr>
        <w:t xml:space="preserve">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Luo et al., 2021</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30F94C5C"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Therapeutic </w:t>
      </w:r>
      <w:r w:rsidR="002F3752" w:rsidRPr="00360A96">
        <w:rPr>
          <w:rStyle w:val="Strong"/>
          <w:rFonts w:ascii="Arial" w:hAnsi="Arial" w:cs="Arial"/>
          <w:color w:val="000000" w:themeColor="text1"/>
          <w:sz w:val="22"/>
          <w:szCs w:val="22"/>
          <w:lang w:val="tr-TR"/>
        </w:rPr>
        <w:t>m</w:t>
      </w:r>
      <w:r w:rsidRPr="00360A96">
        <w:rPr>
          <w:rStyle w:val="Strong"/>
          <w:rFonts w:ascii="Arial" w:hAnsi="Arial" w:cs="Arial"/>
          <w:color w:val="000000" w:themeColor="text1"/>
          <w:sz w:val="22"/>
          <w:szCs w:val="22"/>
        </w:rPr>
        <w:t>odulation of miRNAs</w:t>
      </w:r>
    </w:p>
    <w:p w14:paraId="66F341BB"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miRNA-based therapeutics aim to restore normal regulatory networks by either </w:t>
      </w:r>
      <w:r w:rsidRPr="00360A96">
        <w:rPr>
          <w:rStyle w:val="Strong"/>
          <w:rFonts w:ascii="Arial" w:hAnsi="Arial" w:cs="Arial"/>
          <w:b w:val="0"/>
          <w:bCs w:val="0"/>
          <w:color w:val="000000" w:themeColor="text1"/>
          <w:sz w:val="20"/>
          <w:szCs w:val="20"/>
        </w:rPr>
        <w:t>inhibiting oncogenic miRNAs</w:t>
      </w:r>
      <w:r w:rsidRPr="00360A96">
        <w:rPr>
          <w:rFonts w:ascii="Arial" w:hAnsi="Arial" w:cs="Arial"/>
          <w:color w:val="000000" w:themeColor="text1"/>
          <w:sz w:val="20"/>
          <w:szCs w:val="20"/>
        </w:rPr>
        <w:t xml:space="preserve"> or </w:t>
      </w:r>
      <w:r w:rsidRPr="00360A96">
        <w:rPr>
          <w:rStyle w:val="Strong"/>
          <w:rFonts w:ascii="Arial" w:hAnsi="Arial" w:cs="Arial"/>
          <w:b w:val="0"/>
          <w:bCs w:val="0"/>
          <w:color w:val="000000" w:themeColor="text1"/>
          <w:sz w:val="20"/>
          <w:szCs w:val="20"/>
        </w:rPr>
        <w:t>reintroducing tumor-suppressive ones</w:t>
      </w:r>
      <w:r w:rsidRPr="00360A96">
        <w:rPr>
          <w:rFonts w:ascii="Arial" w:hAnsi="Arial" w:cs="Arial"/>
          <w:color w:val="000000" w:themeColor="text1"/>
          <w:sz w:val="20"/>
          <w:szCs w:val="20"/>
        </w:rPr>
        <w:t>. Two principal strategies have been developed:</w:t>
      </w:r>
    </w:p>
    <w:p w14:paraId="1D2D9ABF" w14:textId="77777777" w:rsidR="00FC6288" w:rsidRPr="00360A96" w:rsidRDefault="00FC6288" w:rsidP="002018D0">
      <w:pPr>
        <w:pStyle w:val="NormalWeb"/>
        <w:numPr>
          <w:ilvl w:val="0"/>
          <w:numId w:val="10"/>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miRNA Inhibitors (AntagomiRs):</w:t>
      </w:r>
      <w:r w:rsidR="00E72008" w:rsidRPr="00360A96">
        <w:rPr>
          <w:rStyle w:val="Strong"/>
          <w:rFonts w:ascii="Arial" w:hAnsi="Arial" w:cs="Arial"/>
          <w:b w:val="0"/>
          <w:bCs w:val="0"/>
          <w:color w:val="000000" w:themeColor="text1"/>
          <w:sz w:val="20"/>
          <w:szCs w:val="20"/>
        </w:rPr>
        <w:tab/>
      </w:r>
      <w:r w:rsidRPr="00360A96">
        <w:rPr>
          <w:rFonts w:ascii="Arial" w:hAnsi="Arial" w:cs="Arial"/>
          <w:color w:val="000000" w:themeColor="text1"/>
          <w:sz w:val="20"/>
          <w:szCs w:val="20"/>
        </w:rPr>
        <w:br/>
        <w:t xml:space="preserve">Synthetic antisense oligonucleotides designed to bind and inactivate oncomiRs. For instance, inhibition of </w:t>
      </w:r>
      <w:r w:rsidRPr="00360A96">
        <w:rPr>
          <w:rStyle w:val="Emphasis"/>
          <w:rFonts w:ascii="Arial" w:hAnsi="Arial" w:cs="Arial"/>
          <w:color w:val="000000" w:themeColor="text1"/>
          <w:sz w:val="20"/>
          <w:szCs w:val="20"/>
        </w:rPr>
        <w:t>miR-21</w:t>
      </w:r>
      <w:r w:rsidRPr="00360A96">
        <w:rPr>
          <w:rFonts w:ascii="Arial" w:hAnsi="Arial" w:cs="Arial"/>
          <w:color w:val="000000" w:themeColor="text1"/>
          <w:sz w:val="20"/>
          <w:szCs w:val="20"/>
        </w:rPr>
        <w:t xml:space="preserve"> or </w:t>
      </w:r>
      <w:r w:rsidRPr="00360A96">
        <w:rPr>
          <w:rStyle w:val="Emphasis"/>
          <w:rFonts w:ascii="Arial" w:hAnsi="Arial" w:cs="Arial"/>
          <w:color w:val="000000" w:themeColor="text1"/>
          <w:sz w:val="20"/>
          <w:szCs w:val="20"/>
        </w:rPr>
        <w:t>miR-221</w:t>
      </w:r>
      <w:r w:rsidRPr="00360A96">
        <w:rPr>
          <w:rFonts w:ascii="Arial" w:hAnsi="Arial" w:cs="Arial"/>
          <w:color w:val="000000" w:themeColor="text1"/>
          <w:sz w:val="20"/>
          <w:szCs w:val="20"/>
        </w:rPr>
        <w:t xml:space="preserve"> has been shown to suppress tumor growth, enhance apoptosis, and restore chemosensitivity in PDAC cell lines and xenograft models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Hu et al., 2013</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799655DE" w14:textId="77777777" w:rsidR="00FC6288" w:rsidRPr="00360A96" w:rsidRDefault="00FC6288" w:rsidP="002018D0">
      <w:pPr>
        <w:pStyle w:val="NormalWeb"/>
        <w:numPr>
          <w:ilvl w:val="0"/>
          <w:numId w:val="10"/>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miRNA Mimics:</w:t>
      </w:r>
      <w:r w:rsidR="00A72624" w:rsidRPr="00360A96">
        <w:rPr>
          <w:rStyle w:val="Strong"/>
          <w:rFonts w:ascii="Arial" w:hAnsi="Arial" w:cs="Arial"/>
          <w:color w:val="000000" w:themeColor="text1"/>
          <w:sz w:val="20"/>
          <w:szCs w:val="20"/>
        </w:rPr>
        <w:tab/>
      </w:r>
      <w:r w:rsidRPr="00360A96">
        <w:rPr>
          <w:rFonts w:ascii="Arial" w:hAnsi="Arial" w:cs="Arial"/>
          <w:color w:val="000000" w:themeColor="text1"/>
          <w:sz w:val="20"/>
          <w:szCs w:val="20"/>
        </w:rPr>
        <w:br/>
        <w:t xml:space="preserve">Synthetic double-stranded RNAs that mimic the function of downregulated tumor-suppressive miRNAs. Reintroduction of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or </w:t>
      </w:r>
      <w:r w:rsidRPr="00360A96">
        <w:rPr>
          <w:rStyle w:val="Emphasis"/>
          <w:rFonts w:ascii="Arial" w:hAnsi="Arial" w:cs="Arial"/>
          <w:color w:val="000000" w:themeColor="text1"/>
          <w:sz w:val="20"/>
          <w:szCs w:val="20"/>
        </w:rPr>
        <w:t>let-7</w:t>
      </w:r>
      <w:r w:rsidRPr="00360A96">
        <w:rPr>
          <w:rFonts w:ascii="Arial" w:hAnsi="Arial" w:cs="Arial"/>
          <w:color w:val="000000" w:themeColor="text1"/>
          <w:sz w:val="20"/>
          <w:szCs w:val="20"/>
        </w:rPr>
        <w:t xml:space="preserve"> mimics induces cell cycle arrest, reduces metastasis, and sensitizes PDAC cells to chemotherapy and radiotherapy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Liu et al., 2013</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1769269A"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Delivery </w:t>
      </w:r>
      <w:r w:rsidR="002F3752"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 xml:space="preserve">ystems for miRNA </w:t>
      </w:r>
      <w:r w:rsidR="002F3752" w:rsidRPr="00360A96">
        <w:rPr>
          <w:rStyle w:val="Strong"/>
          <w:rFonts w:ascii="Arial" w:hAnsi="Arial" w:cs="Arial"/>
          <w:color w:val="000000" w:themeColor="text1"/>
          <w:sz w:val="22"/>
          <w:szCs w:val="22"/>
          <w:lang w:val="tr-TR"/>
        </w:rPr>
        <w:t>t</w:t>
      </w:r>
      <w:r w:rsidRPr="00360A96">
        <w:rPr>
          <w:rStyle w:val="Strong"/>
          <w:rFonts w:ascii="Arial" w:hAnsi="Arial" w:cs="Arial"/>
          <w:color w:val="000000" w:themeColor="text1"/>
          <w:sz w:val="22"/>
          <w:szCs w:val="22"/>
        </w:rPr>
        <w:t>herapeutics</w:t>
      </w:r>
    </w:p>
    <w:p w14:paraId="37FAACA6"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A major challenge in translating miRNA-based therapy lies in </w:t>
      </w:r>
      <w:r w:rsidRPr="00360A96">
        <w:rPr>
          <w:rStyle w:val="Strong"/>
          <w:rFonts w:ascii="Arial" w:hAnsi="Arial" w:cs="Arial"/>
          <w:b w:val="0"/>
          <w:bCs w:val="0"/>
          <w:color w:val="000000" w:themeColor="text1"/>
          <w:sz w:val="20"/>
          <w:szCs w:val="20"/>
        </w:rPr>
        <w:t>efficient and targeted delivery</w:t>
      </w:r>
      <w:r w:rsidRPr="00360A96">
        <w:rPr>
          <w:rFonts w:ascii="Arial" w:hAnsi="Arial" w:cs="Arial"/>
          <w:color w:val="000000" w:themeColor="text1"/>
          <w:sz w:val="20"/>
          <w:szCs w:val="20"/>
        </w:rPr>
        <w:t>. Naked oligonucleotides are prone to rapid degradation and exhibit limited cellular uptake. To overcome these obstacles, several delivery platforms have been developed, including</w:t>
      </w:r>
      <w:r w:rsidR="00296687" w:rsidRPr="00360A96">
        <w:rPr>
          <w:rFonts w:ascii="Arial" w:hAnsi="Arial" w:cs="Arial"/>
          <w:color w:val="000000" w:themeColor="text1"/>
          <w:sz w:val="20"/>
          <w:szCs w:val="20"/>
          <w:lang w:val="tr-TR"/>
        </w:rPr>
        <w:t xml:space="preserve"> (Maziec et al., 2025)</w:t>
      </w:r>
      <w:r w:rsidRPr="00360A96">
        <w:rPr>
          <w:rFonts w:ascii="Arial" w:hAnsi="Arial" w:cs="Arial"/>
          <w:color w:val="000000" w:themeColor="text1"/>
          <w:sz w:val="20"/>
          <w:szCs w:val="20"/>
        </w:rPr>
        <w:t>:</w:t>
      </w:r>
    </w:p>
    <w:p w14:paraId="26BE39D1" w14:textId="77777777" w:rsidR="00FC6288" w:rsidRPr="00360A96" w:rsidRDefault="00FC6288" w:rsidP="002018D0">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Lipid-based nanoparticles (LNPs)</w:t>
      </w:r>
      <w:r w:rsidRPr="00360A96">
        <w:rPr>
          <w:rFonts w:ascii="Arial" w:hAnsi="Arial" w:cs="Arial"/>
          <w:color w:val="000000" w:themeColor="text1"/>
          <w:sz w:val="20"/>
          <w:szCs w:val="20"/>
        </w:rPr>
        <w:t xml:space="preserve"> – enabling encapsulation, protection, and controlled release of miRNA cargo;</w:t>
      </w:r>
    </w:p>
    <w:p w14:paraId="6ABCD4C6" w14:textId="77777777" w:rsidR="00FC6288" w:rsidRPr="00360A96" w:rsidRDefault="00FC6288" w:rsidP="002018D0">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Polymeric carriers</w:t>
      </w:r>
      <w:r w:rsidRPr="00360A96">
        <w:rPr>
          <w:rFonts w:ascii="Arial" w:hAnsi="Arial" w:cs="Arial"/>
          <w:color w:val="000000" w:themeColor="text1"/>
          <w:sz w:val="20"/>
          <w:szCs w:val="20"/>
        </w:rPr>
        <w:t xml:space="preserve"> – such as polyethyleneimine (PEI) or dendrimers that facilitate endosomal escape;</w:t>
      </w:r>
    </w:p>
    <w:p w14:paraId="693BA591" w14:textId="77777777" w:rsidR="00FC6288" w:rsidRPr="00360A96" w:rsidRDefault="00FC6288" w:rsidP="002018D0">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Exosome-based delivery</w:t>
      </w:r>
      <w:r w:rsidRPr="00360A96">
        <w:rPr>
          <w:rFonts w:ascii="Arial" w:hAnsi="Arial" w:cs="Arial"/>
          <w:color w:val="000000" w:themeColor="text1"/>
          <w:sz w:val="20"/>
          <w:szCs w:val="20"/>
        </w:rPr>
        <w:t xml:space="preserve"> – leveraging endogenous vesicles for targeted and biocompatible transport; and</w:t>
      </w:r>
    </w:p>
    <w:p w14:paraId="304B8C42" w14:textId="77777777" w:rsidR="00FC6288" w:rsidRPr="00360A96" w:rsidRDefault="00FC6288" w:rsidP="002018D0">
      <w:pPr>
        <w:pStyle w:val="NormalWeb"/>
        <w:numPr>
          <w:ilvl w:val="0"/>
          <w:numId w:val="11"/>
        </w:numPr>
        <w:tabs>
          <w:tab w:val="clear" w:pos="720"/>
        </w:tabs>
        <w:ind w:left="1134" w:right="283" w:hanging="567"/>
        <w:jc w:val="both"/>
        <w:rPr>
          <w:rFonts w:ascii="Arial" w:hAnsi="Arial" w:cs="Arial"/>
          <w:color w:val="000000" w:themeColor="text1"/>
          <w:sz w:val="20"/>
          <w:szCs w:val="20"/>
        </w:rPr>
      </w:pPr>
      <w:r w:rsidRPr="00360A96">
        <w:rPr>
          <w:rStyle w:val="Strong"/>
          <w:rFonts w:ascii="Arial" w:hAnsi="Arial" w:cs="Arial"/>
          <w:b w:val="0"/>
          <w:bCs w:val="0"/>
          <w:color w:val="000000" w:themeColor="text1"/>
          <w:sz w:val="20"/>
          <w:szCs w:val="20"/>
        </w:rPr>
        <w:t>Viral vectors</w:t>
      </w:r>
      <w:r w:rsidRPr="00360A96">
        <w:rPr>
          <w:rFonts w:ascii="Arial" w:hAnsi="Arial" w:cs="Arial"/>
          <w:color w:val="000000" w:themeColor="text1"/>
          <w:sz w:val="20"/>
          <w:szCs w:val="20"/>
        </w:rPr>
        <w:t xml:space="preserve"> – including lentiviral and adeno-associated viral (AAV) systems, allowing stable expression of therapeutic miRNAs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Wang et al., 2013</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5D509EFC"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Among these, </w:t>
      </w:r>
      <w:r w:rsidRPr="00360A96">
        <w:rPr>
          <w:rStyle w:val="Strong"/>
          <w:rFonts w:ascii="Arial" w:hAnsi="Arial" w:cs="Arial"/>
          <w:b w:val="0"/>
          <w:bCs w:val="0"/>
          <w:color w:val="000000" w:themeColor="text1"/>
          <w:sz w:val="20"/>
          <w:szCs w:val="20"/>
        </w:rPr>
        <w:t>exosome-mediated delivery</w:t>
      </w:r>
      <w:r w:rsidRPr="00360A96">
        <w:rPr>
          <w:rFonts w:ascii="Arial" w:hAnsi="Arial" w:cs="Arial"/>
          <w:color w:val="000000" w:themeColor="text1"/>
          <w:sz w:val="20"/>
          <w:szCs w:val="20"/>
        </w:rPr>
        <w:t xml:space="preserve"> is particularly promising, as exosomes derived from immune or stromal cells can be engineered to selectively deliver miRNAs to tumor sites while minimizing off-target effects and immune activation.</w:t>
      </w:r>
    </w:p>
    <w:p w14:paraId="78F00FAC"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Combination </w:t>
      </w:r>
      <w:r w:rsidR="002F3752" w:rsidRPr="00360A96">
        <w:rPr>
          <w:rStyle w:val="Strong"/>
          <w:rFonts w:ascii="Arial" w:hAnsi="Arial" w:cs="Arial"/>
          <w:color w:val="000000" w:themeColor="text1"/>
          <w:sz w:val="22"/>
          <w:szCs w:val="22"/>
          <w:lang w:val="tr-TR"/>
        </w:rPr>
        <w:t>s</w:t>
      </w:r>
      <w:r w:rsidRPr="00360A96">
        <w:rPr>
          <w:rStyle w:val="Strong"/>
          <w:rFonts w:ascii="Arial" w:hAnsi="Arial" w:cs="Arial"/>
          <w:color w:val="000000" w:themeColor="text1"/>
          <w:sz w:val="22"/>
          <w:szCs w:val="22"/>
        </w:rPr>
        <w:t xml:space="preserve">trategies and </w:t>
      </w:r>
      <w:r w:rsidR="002F3752" w:rsidRPr="00360A96">
        <w:rPr>
          <w:rStyle w:val="Strong"/>
          <w:rFonts w:ascii="Arial" w:hAnsi="Arial" w:cs="Arial"/>
          <w:color w:val="000000" w:themeColor="text1"/>
          <w:sz w:val="22"/>
          <w:szCs w:val="22"/>
          <w:lang w:val="tr-TR"/>
        </w:rPr>
        <w:t>f</w:t>
      </w:r>
      <w:r w:rsidRPr="00360A96">
        <w:rPr>
          <w:rStyle w:val="Strong"/>
          <w:rFonts w:ascii="Arial" w:hAnsi="Arial" w:cs="Arial"/>
          <w:color w:val="000000" w:themeColor="text1"/>
          <w:sz w:val="22"/>
          <w:szCs w:val="22"/>
        </w:rPr>
        <w:t xml:space="preserve">uture </w:t>
      </w:r>
      <w:r w:rsidR="002F3752" w:rsidRPr="00360A96">
        <w:rPr>
          <w:rStyle w:val="Strong"/>
          <w:rFonts w:ascii="Arial" w:hAnsi="Arial" w:cs="Arial"/>
          <w:color w:val="000000" w:themeColor="text1"/>
          <w:sz w:val="22"/>
          <w:szCs w:val="22"/>
          <w:lang w:val="tr-TR"/>
        </w:rPr>
        <w:t>d</w:t>
      </w:r>
      <w:r w:rsidRPr="00360A96">
        <w:rPr>
          <w:rStyle w:val="Strong"/>
          <w:rFonts w:ascii="Arial" w:hAnsi="Arial" w:cs="Arial"/>
          <w:color w:val="000000" w:themeColor="text1"/>
          <w:sz w:val="22"/>
          <w:szCs w:val="22"/>
        </w:rPr>
        <w:t>irections</w:t>
      </w:r>
    </w:p>
    <w:p w14:paraId="2C96296E"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Given the multifactorial nature of PDAC, miRNA therapeutics are increasingly being explored in </w:t>
      </w:r>
      <w:r w:rsidRPr="00360A96">
        <w:rPr>
          <w:rStyle w:val="Strong"/>
          <w:rFonts w:ascii="Arial" w:hAnsi="Arial" w:cs="Arial"/>
          <w:b w:val="0"/>
          <w:bCs w:val="0"/>
          <w:color w:val="000000" w:themeColor="text1"/>
          <w:sz w:val="20"/>
          <w:szCs w:val="20"/>
        </w:rPr>
        <w:t>combination regimens</w:t>
      </w:r>
      <w:r w:rsidRPr="00360A96">
        <w:rPr>
          <w:rFonts w:ascii="Arial" w:hAnsi="Arial" w:cs="Arial"/>
          <w:color w:val="000000" w:themeColor="text1"/>
          <w:sz w:val="20"/>
          <w:szCs w:val="20"/>
        </w:rPr>
        <w:t xml:space="preserve"> with chemotherapy, immunotherapy, and microbial modulation. For example,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mimics have been shown to enhance sensitivity to gemcitabine and modulate immune checkpoint expression, suggesting potential synergy with immune checkpoint blockade. Similarly, modulation of the microbiome may influence miRNA biogenesis and expression through metabolic and inflammatory signaling pathways, providing a rationale for </w:t>
      </w:r>
      <w:r w:rsidRPr="00360A96">
        <w:rPr>
          <w:rStyle w:val="Strong"/>
          <w:rFonts w:ascii="Arial" w:hAnsi="Arial" w:cs="Arial"/>
          <w:b w:val="0"/>
          <w:bCs w:val="0"/>
          <w:color w:val="000000" w:themeColor="text1"/>
          <w:sz w:val="20"/>
          <w:szCs w:val="20"/>
        </w:rPr>
        <w:t>integrated microbiome–miRNA–immune therapies</w:t>
      </w:r>
      <w:r w:rsidRPr="00360A96">
        <w:rPr>
          <w:rFonts w:ascii="Arial" w:hAnsi="Arial" w:cs="Arial"/>
          <w:color w:val="000000" w:themeColor="text1"/>
          <w:sz w:val="20"/>
          <w:szCs w:val="20"/>
        </w:rPr>
        <w:t xml:space="preserve"> </w:t>
      </w:r>
      <w:r w:rsidR="00F52F65" w:rsidRPr="00360A96">
        <w:rPr>
          <w:rFonts w:ascii="Arial" w:hAnsi="Arial" w:cs="Arial"/>
          <w:color w:val="000000" w:themeColor="text1"/>
          <w:sz w:val="20"/>
          <w:szCs w:val="20"/>
          <w:lang w:val="tr-TR"/>
        </w:rPr>
        <w:t>(</w:t>
      </w:r>
      <w:r w:rsidR="00251ADA" w:rsidRPr="00360A96">
        <w:rPr>
          <w:rFonts w:ascii="Arial" w:hAnsi="Arial" w:cs="Arial"/>
          <w:color w:val="000000" w:themeColor="text1"/>
          <w:sz w:val="20"/>
          <w:szCs w:val="20"/>
          <w:lang w:val="tr-TR"/>
        </w:rPr>
        <w:t>Tesfaye et al., 2019</w:t>
      </w:r>
      <w:r w:rsidR="00F52F65"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17C022D3"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However, clinical translation remains in early stages. The first-in-human phase I trial of </w:t>
      </w:r>
      <w:r w:rsidRPr="00360A96">
        <w:rPr>
          <w:rStyle w:val="Emphasis"/>
          <w:rFonts w:ascii="Arial" w:hAnsi="Arial" w:cs="Arial"/>
          <w:color w:val="000000" w:themeColor="text1"/>
          <w:sz w:val="20"/>
          <w:szCs w:val="20"/>
        </w:rPr>
        <w:t>MRX34</w:t>
      </w:r>
      <w:r w:rsidRPr="00360A96">
        <w:rPr>
          <w:rFonts w:ascii="Arial" w:hAnsi="Arial" w:cs="Arial"/>
          <w:color w:val="000000" w:themeColor="text1"/>
          <w:sz w:val="20"/>
          <w:szCs w:val="20"/>
        </w:rPr>
        <w:t xml:space="preserve">, a liposomal </w:t>
      </w:r>
      <w:r w:rsidRPr="00360A96">
        <w:rPr>
          <w:rStyle w:val="Emphasis"/>
          <w:rFonts w:ascii="Arial" w:hAnsi="Arial" w:cs="Arial"/>
          <w:color w:val="000000" w:themeColor="text1"/>
          <w:sz w:val="20"/>
          <w:szCs w:val="20"/>
        </w:rPr>
        <w:t>miR-34a</w:t>
      </w:r>
      <w:r w:rsidRPr="00360A96">
        <w:rPr>
          <w:rFonts w:ascii="Arial" w:hAnsi="Arial" w:cs="Arial"/>
          <w:color w:val="000000" w:themeColor="text1"/>
          <w:sz w:val="20"/>
          <w:szCs w:val="20"/>
        </w:rPr>
        <w:t xml:space="preserve"> mimic, demonstrated proof of concept but was halted due to immune-related toxicities, underscoring the need for improved delivery safety and specificity</w:t>
      </w:r>
      <w:r w:rsidR="00F52F65" w:rsidRPr="00360A96">
        <w:rPr>
          <w:rFonts w:ascii="Arial" w:hAnsi="Arial" w:cs="Arial"/>
          <w:color w:val="000000" w:themeColor="text1"/>
          <w:sz w:val="20"/>
          <w:szCs w:val="20"/>
          <w:lang w:val="tr-TR"/>
        </w:rPr>
        <w:t xml:space="preserve"> (Hong et al., 2020)</w:t>
      </w:r>
      <w:r w:rsidRPr="00360A96">
        <w:rPr>
          <w:rFonts w:ascii="Arial" w:hAnsi="Arial" w:cs="Arial"/>
          <w:color w:val="000000" w:themeColor="text1"/>
          <w:sz w:val="20"/>
          <w:szCs w:val="20"/>
        </w:rPr>
        <w:t xml:space="preserve">. Future research must focus on </w:t>
      </w:r>
      <w:r w:rsidRPr="00360A96">
        <w:rPr>
          <w:rStyle w:val="Strong"/>
          <w:rFonts w:ascii="Arial" w:hAnsi="Arial" w:cs="Arial"/>
          <w:b w:val="0"/>
          <w:bCs w:val="0"/>
          <w:color w:val="000000" w:themeColor="text1"/>
          <w:sz w:val="20"/>
          <w:szCs w:val="20"/>
        </w:rPr>
        <w:t>biomarker-guided patient selection</w:t>
      </w:r>
      <w:r w:rsidRPr="00360A96">
        <w:rPr>
          <w:rFonts w:ascii="Arial" w:hAnsi="Arial" w:cs="Arial"/>
          <w:color w:val="000000" w:themeColor="text1"/>
          <w:sz w:val="20"/>
          <w:szCs w:val="20"/>
        </w:rPr>
        <w:t>,</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nanocarrier optimization</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combinatorial treatment design</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to fully realize the therapeutic potential of miRNAs in PDAC.</w:t>
      </w:r>
    </w:p>
    <w:p w14:paraId="4104C587" w14:textId="77777777" w:rsidR="00FC6288" w:rsidRPr="00360A96" w:rsidRDefault="00FC6288" w:rsidP="004557D8">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Summary</w:t>
      </w:r>
    </w:p>
    <w:p w14:paraId="6F1AB3D1"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In summary, miRNAs represent a powerful class of </w:t>
      </w:r>
      <w:r w:rsidRPr="00360A96">
        <w:rPr>
          <w:rStyle w:val="Strong"/>
          <w:rFonts w:ascii="Arial" w:hAnsi="Arial" w:cs="Arial"/>
          <w:b w:val="0"/>
          <w:bCs w:val="0"/>
          <w:color w:val="000000" w:themeColor="text1"/>
          <w:sz w:val="20"/>
          <w:szCs w:val="20"/>
        </w:rPr>
        <w:t>regulatory molecules</w:t>
      </w:r>
      <w:r w:rsidRPr="00360A96">
        <w:rPr>
          <w:rFonts w:ascii="Arial" w:hAnsi="Arial" w:cs="Arial"/>
          <w:color w:val="000000" w:themeColor="text1"/>
          <w:sz w:val="20"/>
          <w:szCs w:val="20"/>
        </w:rPr>
        <w:t xml:space="preserve"> at the intersection of cancer biology and precision medicine. Their dual role as </w:t>
      </w:r>
      <w:r w:rsidRPr="00360A96">
        <w:rPr>
          <w:rStyle w:val="Strong"/>
          <w:rFonts w:ascii="Arial" w:hAnsi="Arial" w:cs="Arial"/>
          <w:b w:val="0"/>
          <w:bCs w:val="0"/>
          <w:color w:val="000000" w:themeColor="text1"/>
          <w:sz w:val="20"/>
          <w:szCs w:val="20"/>
        </w:rPr>
        <w:t>biomarkers and therapeutic agents</w:t>
      </w:r>
      <w:r w:rsidRPr="00360A96">
        <w:rPr>
          <w:rFonts w:ascii="Arial" w:hAnsi="Arial" w:cs="Arial"/>
          <w:color w:val="000000" w:themeColor="text1"/>
          <w:sz w:val="20"/>
          <w:szCs w:val="20"/>
        </w:rPr>
        <w:t xml:space="preserve"> offers unprecedented opportunities for early detection, prognostication, and targeted treatment of PDAC. Continued progress in understanding miRNA–gene regulatory networks, optimizing delivery systems, and integrating miRNA therapy with immunologic and microbial interventions may ultimately enable a paradigm shift in the management of this otherwise intractable malignancy.</w:t>
      </w:r>
    </w:p>
    <w:p w14:paraId="6E7148B7" w14:textId="77777777" w:rsidR="00FC6288" w:rsidRPr="00360A96" w:rsidRDefault="00FC6288" w:rsidP="004557D8">
      <w:pPr>
        <w:pStyle w:val="Heading2"/>
        <w:spacing w:line="480" w:lineRule="auto"/>
        <w:ind w:left="567" w:right="283"/>
        <w:jc w:val="both"/>
        <w:rPr>
          <w:rFonts w:ascii="Arial" w:hAnsi="Arial" w:cs="Arial"/>
          <w:color w:val="000000" w:themeColor="text1"/>
          <w:sz w:val="22"/>
          <w:szCs w:val="22"/>
        </w:rPr>
      </w:pPr>
      <w:r w:rsidRPr="00360A96">
        <w:rPr>
          <w:rStyle w:val="Strong"/>
          <w:rFonts w:ascii="Arial" w:hAnsi="Arial" w:cs="Arial"/>
          <w:b/>
          <w:bCs/>
          <w:color w:val="000000" w:themeColor="text1"/>
          <w:sz w:val="22"/>
          <w:szCs w:val="22"/>
        </w:rPr>
        <w:t xml:space="preserve">Conclusions and </w:t>
      </w:r>
      <w:r w:rsidR="002F3752" w:rsidRPr="00360A96">
        <w:rPr>
          <w:rStyle w:val="Strong"/>
          <w:rFonts w:ascii="Arial" w:hAnsi="Arial" w:cs="Arial"/>
          <w:b/>
          <w:bCs/>
          <w:color w:val="000000" w:themeColor="text1"/>
          <w:sz w:val="22"/>
          <w:szCs w:val="22"/>
          <w:lang w:val="tr-TR"/>
        </w:rPr>
        <w:t>f</w:t>
      </w:r>
      <w:r w:rsidRPr="00360A96">
        <w:rPr>
          <w:rStyle w:val="Strong"/>
          <w:rFonts w:ascii="Arial" w:hAnsi="Arial" w:cs="Arial"/>
          <w:b/>
          <w:bCs/>
          <w:color w:val="000000" w:themeColor="text1"/>
          <w:sz w:val="22"/>
          <w:szCs w:val="22"/>
        </w:rPr>
        <w:t xml:space="preserve">uture </w:t>
      </w:r>
      <w:r w:rsidR="002F3752" w:rsidRPr="00360A96">
        <w:rPr>
          <w:rStyle w:val="Strong"/>
          <w:rFonts w:ascii="Arial" w:hAnsi="Arial" w:cs="Arial"/>
          <w:b/>
          <w:bCs/>
          <w:color w:val="000000" w:themeColor="text1"/>
          <w:sz w:val="22"/>
          <w:szCs w:val="22"/>
          <w:lang w:val="tr-TR"/>
        </w:rPr>
        <w:t>p</w:t>
      </w:r>
      <w:r w:rsidRPr="00360A96">
        <w:rPr>
          <w:rStyle w:val="Strong"/>
          <w:rFonts w:ascii="Arial" w:hAnsi="Arial" w:cs="Arial"/>
          <w:b/>
          <w:bCs/>
          <w:color w:val="000000" w:themeColor="text1"/>
          <w:sz w:val="22"/>
          <w:szCs w:val="22"/>
        </w:rPr>
        <w:t>erspectives</w:t>
      </w:r>
    </w:p>
    <w:p w14:paraId="0AFF94FC"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Pancreatic ductal adenocarcinoma (PDAC) remains one of the most formidable malignancies, characterized by its late diagnosis, aggressive biology, and profound resistance to conventional therapies. Despite incremental improvements in surgical techniques and systemic treatments, overall survival remains dismal, underscoring the urgent need for </w:t>
      </w:r>
      <w:r w:rsidRPr="00360A96">
        <w:rPr>
          <w:rStyle w:val="Strong"/>
          <w:rFonts w:ascii="Arial" w:hAnsi="Arial" w:cs="Arial"/>
          <w:b w:val="0"/>
          <w:bCs w:val="0"/>
          <w:color w:val="000000" w:themeColor="text1"/>
          <w:sz w:val="20"/>
          <w:szCs w:val="20"/>
        </w:rPr>
        <w:t>transformative therapeutic strategies</w:t>
      </w:r>
      <w:r w:rsidRPr="00360A96">
        <w:rPr>
          <w:rFonts w:ascii="Arial" w:hAnsi="Arial" w:cs="Arial"/>
          <w:color w:val="000000" w:themeColor="text1"/>
          <w:sz w:val="20"/>
          <w:szCs w:val="20"/>
        </w:rPr>
        <w:t>.</w:t>
      </w:r>
    </w:p>
    <w:p w14:paraId="0A034ECF"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Recent advances in tumor immunology, stromal biology, and molecular medicine have begun to illuminate new paths forward. However, the </w:t>
      </w:r>
      <w:r w:rsidRPr="00360A96">
        <w:rPr>
          <w:rStyle w:val="Strong"/>
          <w:rFonts w:ascii="Arial" w:hAnsi="Arial" w:cs="Arial"/>
          <w:b w:val="0"/>
          <w:bCs w:val="0"/>
          <w:color w:val="000000" w:themeColor="text1"/>
          <w:sz w:val="20"/>
          <w:szCs w:val="20"/>
        </w:rPr>
        <w:t>immunosuppressive tumor microenvironment (TME)</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defined by desmoplastic fibrosis, aberrant cytokine signaling, and the exclusion of effector immune cells—continues to impede effective antitumor immunity. Consequently, current immunotherapies, including immune checkpoint inhibitors, CD40 agonists, tumor vaccines, adoptive cell transfer, and viral vectors, have yielded only modest clinical benefit in PDAC </w:t>
      </w:r>
      <w:r w:rsidR="00D54E62" w:rsidRPr="00360A96">
        <w:rPr>
          <w:rFonts w:ascii="Arial" w:hAnsi="Arial" w:cs="Arial"/>
          <w:color w:val="000000" w:themeColor="text1"/>
          <w:sz w:val="20"/>
          <w:szCs w:val="20"/>
          <w:lang w:val="tr-TR"/>
        </w:rPr>
        <w:t>(</w:t>
      </w:r>
      <w:r w:rsidR="00751654" w:rsidRPr="00360A96">
        <w:rPr>
          <w:rFonts w:ascii="Arial" w:hAnsi="Arial" w:cs="Arial"/>
          <w:color w:val="000000" w:themeColor="text1"/>
          <w:sz w:val="20"/>
          <w:szCs w:val="20"/>
          <w:lang w:val="tr-TR"/>
        </w:rPr>
        <w:t>Singh et al., 2015; Wang et al., 2024; Wojtukieicz et al., 2021; Tran et al., 2023; Henriksen et al., 2019; Andersson et al., 2024; Huang et al., 2021; Thoidingiam et al., 2024; Ye et al., 2024; Pourali et al., 2024; Jiang et al., 2022; De Castilhos et al., 2024</w:t>
      </w:r>
      <w:r w:rsidR="00D54E62"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3BF304B6"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Overcoming this barrier requires integrated approaches that </w:t>
      </w:r>
      <w:r w:rsidRPr="00360A96">
        <w:rPr>
          <w:rStyle w:val="Strong"/>
          <w:rFonts w:ascii="Arial" w:hAnsi="Arial" w:cs="Arial"/>
          <w:b w:val="0"/>
          <w:bCs w:val="0"/>
          <w:color w:val="000000" w:themeColor="text1"/>
          <w:sz w:val="20"/>
          <w:szCs w:val="20"/>
        </w:rPr>
        <w:t>modulate the TME</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target cancer stem cells (CSCs)</w:t>
      </w:r>
      <w:r w:rsidRPr="00360A96">
        <w:rPr>
          <w:rFonts w:ascii="Arial" w:hAnsi="Arial" w:cs="Arial"/>
          <w:b/>
          <w:bCs/>
          <w:color w:val="000000" w:themeColor="text1"/>
          <w:sz w:val="20"/>
          <w:szCs w:val="20"/>
        </w:rPr>
        <w:t>,</w:t>
      </w:r>
      <w:r w:rsidRPr="00360A96">
        <w:rPr>
          <w:rFonts w:ascii="Arial" w:hAnsi="Arial" w:cs="Arial"/>
          <w:color w:val="000000" w:themeColor="text1"/>
          <w:sz w:val="20"/>
          <w:szCs w:val="20"/>
        </w:rPr>
        <w:t xml:space="preserve"> and </w:t>
      </w:r>
      <w:r w:rsidRPr="00360A96">
        <w:rPr>
          <w:rStyle w:val="Strong"/>
          <w:rFonts w:ascii="Arial" w:hAnsi="Arial" w:cs="Arial"/>
          <w:b w:val="0"/>
          <w:bCs w:val="0"/>
          <w:color w:val="000000" w:themeColor="text1"/>
          <w:sz w:val="20"/>
          <w:szCs w:val="20"/>
        </w:rPr>
        <w:t>restore immune surveillance</w:t>
      </w:r>
      <w:r w:rsidRPr="00360A96">
        <w:rPr>
          <w:rFonts w:ascii="Arial" w:hAnsi="Arial" w:cs="Arial"/>
          <w:color w:val="000000" w:themeColor="text1"/>
          <w:sz w:val="20"/>
          <w:szCs w:val="20"/>
        </w:rPr>
        <w:t>. Preclinical and early clinical studies targeting developmental pathways such as Hedgehog, Wnt, and Notch—central to CSC self-renewal—have shown encouraging results when combined with chemotherapy or immunotherapy</w:t>
      </w:r>
      <w:r w:rsidR="00D54E62" w:rsidRPr="00360A96">
        <w:rPr>
          <w:rFonts w:ascii="Arial" w:hAnsi="Arial" w:cs="Arial"/>
          <w:color w:val="000000" w:themeColor="text1"/>
          <w:sz w:val="20"/>
          <w:szCs w:val="20"/>
          <w:lang w:val="tr-TR"/>
        </w:rPr>
        <w:t xml:space="preserve"> (Lee et al., 2025)</w:t>
      </w:r>
      <w:r w:rsidRPr="00360A96">
        <w:rPr>
          <w:rFonts w:ascii="Arial" w:hAnsi="Arial" w:cs="Arial"/>
          <w:color w:val="000000" w:themeColor="text1"/>
          <w:sz w:val="20"/>
          <w:szCs w:val="20"/>
        </w:rPr>
        <w:t>. Moreover, interventions that activate CD40 signaling or enhance T-cell priming may help reprogram the immunologically “cold” PDAC microenvironment into a “hot,” treatment-responsive state.</w:t>
      </w:r>
    </w:p>
    <w:p w14:paraId="750885B8"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 xml:space="preserve">Emerging evidence also implicates the </w:t>
      </w:r>
      <w:r w:rsidRPr="00360A96">
        <w:rPr>
          <w:rStyle w:val="Strong"/>
          <w:rFonts w:ascii="Arial" w:hAnsi="Arial" w:cs="Arial"/>
          <w:b w:val="0"/>
          <w:bCs w:val="0"/>
          <w:color w:val="000000" w:themeColor="text1"/>
          <w:sz w:val="20"/>
          <w:szCs w:val="20"/>
        </w:rPr>
        <w:t>human microbiome</w:t>
      </w:r>
      <w:r w:rsidRPr="00360A96">
        <w:rPr>
          <w:rFonts w:ascii="Arial" w:hAnsi="Arial" w:cs="Arial"/>
          <w:color w:val="000000" w:themeColor="text1"/>
          <w:sz w:val="20"/>
          <w:szCs w:val="20"/>
        </w:rPr>
        <w:t xml:space="preserve"> as a crucial determinant of pancreatic tumorigenesis and therapeutic response. Gut and intratumoral microbial communities can modulate immune tone, influence drug metabolism, and shape clinical outcomes. Strategies such as </w:t>
      </w:r>
      <w:r w:rsidRPr="00360A96">
        <w:rPr>
          <w:rStyle w:val="Strong"/>
          <w:rFonts w:ascii="Arial" w:hAnsi="Arial" w:cs="Arial"/>
          <w:b w:val="0"/>
          <w:bCs w:val="0"/>
          <w:color w:val="000000" w:themeColor="text1"/>
          <w:sz w:val="20"/>
          <w:szCs w:val="20"/>
        </w:rPr>
        <w:t>fecal microbiota transplantation (FMT)</w:t>
      </w:r>
      <w:r w:rsidRPr="00360A96">
        <w:rPr>
          <w:rFonts w:ascii="Arial" w:hAnsi="Arial" w:cs="Arial"/>
          <w:b/>
          <w:bCs/>
          <w:color w:val="000000" w:themeColor="text1"/>
          <w:sz w:val="20"/>
          <w:szCs w:val="20"/>
        </w:rPr>
        <w:t xml:space="preserve">, </w:t>
      </w:r>
      <w:r w:rsidRPr="00360A96">
        <w:rPr>
          <w:rStyle w:val="Strong"/>
          <w:rFonts w:ascii="Arial" w:hAnsi="Arial" w:cs="Arial"/>
          <w:b w:val="0"/>
          <w:bCs w:val="0"/>
          <w:color w:val="000000" w:themeColor="text1"/>
          <w:sz w:val="20"/>
          <w:szCs w:val="20"/>
        </w:rPr>
        <w:t>dietary modulation</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 xml:space="preserve">and </w:t>
      </w:r>
      <w:r w:rsidRPr="00360A96">
        <w:rPr>
          <w:rStyle w:val="Strong"/>
          <w:rFonts w:ascii="Arial" w:hAnsi="Arial" w:cs="Arial"/>
          <w:b w:val="0"/>
          <w:bCs w:val="0"/>
          <w:color w:val="000000" w:themeColor="text1"/>
          <w:sz w:val="20"/>
          <w:szCs w:val="20"/>
        </w:rPr>
        <w:t>selective antibiotic use</w:t>
      </w:r>
      <w:r w:rsidRPr="00360A96">
        <w:rPr>
          <w:rFonts w:ascii="Arial" w:hAnsi="Arial" w:cs="Arial"/>
          <w:color w:val="000000" w:themeColor="text1"/>
          <w:sz w:val="20"/>
          <w:szCs w:val="20"/>
        </w:rPr>
        <w:t xml:space="preserve"> have demonstrated potential to improve immunotherapy efficacy, mitigate toxicity, and reduce recurrence</w:t>
      </w:r>
      <w:r w:rsidR="003C0646" w:rsidRPr="00360A96">
        <w:rPr>
          <w:rFonts w:ascii="Arial" w:hAnsi="Arial" w:cs="Arial"/>
          <w:color w:val="000000" w:themeColor="text1"/>
          <w:sz w:val="20"/>
          <w:szCs w:val="20"/>
          <w:lang w:val="tr-TR"/>
        </w:rPr>
        <w:t xml:space="preserve"> (</w:t>
      </w:r>
      <w:r w:rsidR="00751654" w:rsidRPr="00360A96">
        <w:rPr>
          <w:rFonts w:ascii="Arial" w:hAnsi="Arial" w:cs="Arial"/>
          <w:color w:val="000000" w:themeColor="text1"/>
          <w:sz w:val="20"/>
          <w:szCs w:val="20"/>
          <w:lang w:val="tr-TR"/>
        </w:rPr>
        <w:t>Henderson et al., 2023; Zhang et al., 2018; Thomas, 2017; Vrieze et al., 2012; Yamamura et al., 2025; Zhao et al., 2023; He et al., 2017; Pushalkar et al., 2018; Tanoue et al., 2019; Klement et al., 2019; Panebianco et al., 2018; Zhang et al., 2020; Riquelme et al., 2018; Li et al., 2016</w:t>
      </w:r>
      <w:r w:rsidR="003C0646"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 However, significant challenges remain, including donor selection, standardization of microbial consortia, and the mechanistic elucidation of microbial–immune crosstalk.</w:t>
      </w:r>
    </w:p>
    <w:p w14:paraId="62FEC83F"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Parallel to these developments, </w:t>
      </w:r>
      <w:r w:rsidRPr="00360A96">
        <w:rPr>
          <w:rStyle w:val="Strong"/>
          <w:rFonts w:ascii="Arial" w:hAnsi="Arial" w:cs="Arial"/>
          <w:b w:val="0"/>
          <w:bCs w:val="0"/>
          <w:color w:val="000000" w:themeColor="text1"/>
          <w:sz w:val="20"/>
          <w:szCs w:val="20"/>
        </w:rPr>
        <w:t>microRNAs (miRNAs)</w:t>
      </w:r>
      <w:r w:rsidRPr="00360A96">
        <w:rPr>
          <w:rFonts w:ascii="Arial" w:hAnsi="Arial" w:cs="Arial"/>
          <w:color w:val="000000" w:themeColor="text1"/>
          <w:sz w:val="20"/>
          <w:szCs w:val="20"/>
        </w:rPr>
        <w:t xml:space="preserve"> have emerged as potent diagnostic and therapeutic tools. Dysregulated miRNAs such as </w:t>
      </w:r>
      <w:r w:rsidRPr="00360A96">
        <w:rPr>
          <w:rStyle w:val="Emphasis"/>
          <w:rFonts w:ascii="Arial" w:eastAsiaTheme="majorEastAsia" w:hAnsi="Arial" w:cs="Arial"/>
          <w:color w:val="000000" w:themeColor="text1"/>
          <w:sz w:val="20"/>
          <w:szCs w:val="20"/>
        </w:rPr>
        <w:t>miR-21</w:t>
      </w:r>
      <w:r w:rsidRPr="00360A96">
        <w:rPr>
          <w:rFonts w:ascii="Arial" w:hAnsi="Arial" w:cs="Arial"/>
          <w:color w:val="000000" w:themeColor="text1"/>
          <w:sz w:val="20"/>
          <w:szCs w:val="20"/>
        </w:rPr>
        <w:t xml:space="preserve">, </w:t>
      </w:r>
      <w:r w:rsidRPr="00360A96">
        <w:rPr>
          <w:rStyle w:val="Emphasis"/>
          <w:rFonts w:ascii="Arial" w:eastAsiaTheme="majorEastAsia" w:hAnsi="Arial" w:cs="Arial"/>
          <w:color w:val="000000" w:themeColor="text1"/>
          <w:sz w:val="20"/>
          <w:szCs w:val="20"/>
        </w:rPr>
        <w:t>miR-155</w:t>
      </w:r>
      <w:r w:rsidRPr="00360A96">
        <w:rPr>
          <w:rFonts w:ascii="Arial" w:hAnsi="Arial" w:cs="Arial"/>
          <w:color w:val="000000" w:themeColor="text1"/>
          <w:sz w:val="20"/>
          <w:szCs w:val="20"/>
        </w:rPr>
        <w:t xml:space="preserve">, and </w:t>
      </w:r>
      <w:r w:rsidRPr="00360A96">
        <w:rPr>
          <w:rStyle w:val="Emphasis"/>
          <w:rFonts w:ascii="Arial" w:eastAsiaTheme="majorEastAsia" w:hAnsi="Arial" w:cs="Arial"/>
          <w:color w:val="000000" w:themeColor="text1"/>
          <w:sz w:val="20"/>
          <w:szCs w:val="20"/>
        </w:rPr>
        <w:t>miR-221</w:t>
      </w:r>
      <w:r w:rsidRPr="00360A96">
        <w:rPr>
          <w:rFonts w:ascii="Arial" w:hAnsi="Arial" w:cs="Arial"/>
          <w:color w:val="000000" w:themeColor="text1"/>
          <w:sz w:val="20"/>
          <w:szCs w:val="20"/>
        </w:rPr>
        <w:t xml:space="preserve"> orchestrate oncogenic signaling and confer resistance to chemotherapy and radiotherapy, whereas tumor-suppressive miRNAs (e.g., </w:t>
      </w:r>
      <w:r w:rsidRPr="00360A96">
        <w:rPr>
          <w:rStyle w:val="Emphasis"/>
          <w:rFonts w:ascii="Arial" w:eastAsiaTheme="majorEastAsia" w:hAnsi="Arial" w:cs="Arial"/>
          <w:color w:val="000000" w:themeColor="text1"/>
          <w:sz w:val="20"/>
          <w:szCs w:val="20"/>
        </w:rPr>
        <w:t>miR-34a</w:t>
      </w:r>
      <w:r w:rsidRPr="00360A96">
        <w:rPr>
          <w:rFonts w:ascii="Arial" w:hAnsi="Arial" w:cs="Arial"/>
          <w:color w:val="000000" w:themeColor="text1"/>
          <w:sz w:val="20"/>
          <w:szCs w:val="20"/>
        </w:rPr>
        <w:t xml:space="preserve">, </w:t>
      </w:r>
      <w:r w:rsidRPr="00360A96">
        <w:rPr>
          <w:rStyle w:val="Emphasis"/>
          <w:rFonts w:ascii="Arial" w:eastAsiaTheme="majorEastAsia" w:hAnsi="Arial" w:cs="Arial"/>
          <w:color w:val="000000" w:themeColor="text1"/>
          <w:sz w:val="20"/>
          <w:szCs w:val="20"/>
        </w:rPr>
        <w:t>let-7</w:t>
      </w:r>
      <w:r w:rsidRPr="00360A96">
        <w:rPr>
          <w:rFonts w:ascii="Arial" w:hAnsi="Arial" w:cs="Arial"/>
          <w:color w:val="000000" w:themeColor="text1"/>
          <w:sz w:val="20"/>
          <w:szCs w:val="20"/>
        </w:rPr>
        <w:t xml:space="preserve">) inhibit tumor growth and sensitize cancer cells to treatment. Advances in nanoparticle, exosome, and viral delivery systems are gradually overcoming earlier translational barriers, opening the door to </w:t>
      </w:r>
      <w:r w:rsidRPr="00360A96">
        <w:rPr>
          <w:rStyle w:val="Strong"/>
          <w:rFonts w:ascii="Arial" w:hAnsi="Arial" w:cs="Arial"/>
          <w:b w:val="0"/>
          <w:bCs w:val="0"/>
          <w:color w:val="000000" w:themeColor="text1"/>
          <w:sz w:val="20"/>
          <w:szCs w:val="20"/>
        </w:rPr>
        <w:t>miRNA-guided precision therapies</w:t>
      </w:r>
      <w:r w:rsidRPr="00360A96">
        <w:rPr>
          <w:rFonts w:ascii="Arial" w:hAnsi="Arial" w:cs="Arial"/>
          <w:color w:val="000000" w:themeColor="text1"/>
          <w:sz w:val="20"/>
          <w:szCs w:val="20"/>
        </w:rPr>
        <w:t xml:space="preserve"> that complement immuno- and microbiome-based interventions </w:t>
      </w:r>
      <w:r w:rsidR="003C0646" w:rsidRPr="00360A96">
        <w:rPr>
          <w:rFonts w:ascii="Arial" w:hAnsi="Arial" w:cs="Arial"/>
          <w:color w:val="000000" w:themeColor="text1"/>
          <w:sz w:val="20"/>
          <w:szCs w:val="20"/>
          <w:lang w:val="tr-TR"/>
        </w:rPr>
        <w:t>(</w:t>
      </w:r>
      <w:r w:rsidR="00751654" w:rsidRPr="00360A96">
        <w:rPr>
          <w:rFonts w:ascii="Arial" w:hAnsi="Arial" w:cs="Arial"/>
          <w:color w:val="000000" w:themeColor="text1"/>
          <w:sz w:val="20"/>
          <w:szCs w:val="20"/>
          <w:lang w:val="tr-TR"/>
        </w:rPr>
        <w:t>Rachagani et al., 2016; Slotwinski et al., 2018; Fesler et al., 2020; Dong et al., 2025; Chu et al., 2022; Vahabi et al., 2023; Moriyama et al., 2009; Nalls et al., 2011; Hu et al., 2013; Liu et al., 2013; Wang et al., 2013; Tesfaye et al., 2019</w:t>
      </w:r>
      <w:r w:rsidR="003C0646" w:rsidRPr="00360A96">
        <w:rPr>
          <w:rFonts w:ascii="Arial" w:hAnsi="Arial" w:cs="Arial"/>
          <w:color w:val="000000" w:themeColor="text1"/>
          <w:sz w:val="20"/>
          <w:szCs w:val="20"/>
          <w:lang w:val="tr-TR"/>
        </w:rPr>
        <w:t>)</w:t>
      </w:r>
      <w:r w:rsidRPr="00360A96">
        <w:rPr>
          <w:rFonts w:ascii="Arial" w:hAnsi="Arial" w:cs="Arial"/>
          <w:color w:val="000000" w:themeColor="text1"/>
          <w:sz w:val="20"/>
          <w:szCs w:val="20"/>
        </w:rPr>
        <w:t>.</w:t>
      </w:r>
    </w:p>
    <w:p w14:paraId="63550202"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Taken together, these converging research trajectories underscore that </w:t>
      </w:r>
      <w:r w:rsidRPr="00360A96">
        <w:rPr>
          <w:rStyle w:val="Strong"/>
          <w:rFonts w:ascii="Arial" w:hAnsi="Arial" w:cs="Arial"/>
          <w:b w:val="0"/>
          <w:bCs w:val="0"/>
          <w:color w:val="000000" w:themeColor="text1"/>
          <w:sz w:val="20"/>
          <w:szCs w:val="20"/>
        </w:rPr>
        <w:t>monotherapy approaches are unlikely to succeed in PDAC</w:t>
      </w:r>
      <w:r w:rsidRPr="00360A96">
        <w:rPr>
          <w:rFonts w:ascii="Arial" w:hAnsi="Arial" w:cs="Arial"/>
          <w:color w:val="000000" w:themeColor="text1"/>
          <w:sz w:val="20"/>
          <w:szCs w:val="20"/>
        </w:rPr>
        <w:t xml:space="preserve">. Future progress will depend on rationally designed </w:t>
      </w:r>
      <w:r w:rsidRPr="00360A96">
        <w:rPr>
          <w:rStyle w:val="Strong"/>
          <w:rFonts w:ascii="Arial" w:hAnsi="Arial" w:cs="Arial"/>
          <w:b w:val="0"/>
          <w:bCs w:val="0"/>
          <w:color w:val="000000" w:themeColor="text1"/>
          <w:sz w:val="20"/>
          <w:szCs w:val="20"/>
        </w:rPr>
        <w:t>combination and adaptive trial strategies</w:t>
      </w:r>
      <w:r w:rsidRPr="00360A96">
        <w:rPr>
          <w:rFonts w:ascii="Arial" w:hAnsi="Arial" w:cs="Arial"/>
          <w:b/>
          <w:bCs/>
          <w:color w:val="000000" w:themeColor="text1"/>
          <w:sz w:val="20"/>
          <w:szCs w:val="20"/>
        </w:rPr>
        <w:t xml:space="preserve"> </w:t>
      </w:r>
      <w:r w:rsidRPr="00360A96">
        <w:rPr>
          <w:rFonts w:ascii="Arial" w:hAnsi="Arial" w:cs="Arial"/>
          <w:color w:val="000000" w:themeColor="text1"/>
          <w:sz w:val="20"/>
          <w:szCs w:val="20"/>
        </w:rPr>
        <w:t>that integrate immunomodulation, microbiome engineering, and miRNA therapeutics within a systems biology framework. Biomarker-driven patient selection and real-time molecular profiling will be essential to identify subgroups most likely to benefit from such interventions.</w:t>
      </w:r>
    </w:p>
    <w:p w14:paraId="4F3B00DC" w14:textId="77777777" w:rsidR="00FC6288" w:rsidRPr="00360A96" w:rsidRDefault="00FC6288" w:rsidP="00B07D53">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Future </w:t>
      </w:r>
      <w:r w:rsidR="0008245F" w:rsidRPr="00360A96">
        <w:rPr>
          <w:rStyle w:val="Strong"/>
          <w:rFonts w:ascii="Arial" w:hAnsi="Arial" w:cs="Arial"/>
          <w:color w:val="000000" w:themeColor="text1"/>
          <w:sz w:val="22"/>
          <w:szCs w:val="22"/>
          <w:lang w:val="tr-TR"/>
        </w:rPr>
        <w:t>D</w:t>
      </w:r>
      <w:r w:rsidRPr="00360A96">
        <w:rPr>
          <w:rStyle w:val="Strong"/>
          <w:rFonts w:ascii="Arial" w:hAnsi="Arial" w:cs="Arial"/>
          <w:color w:val="000000" w:themeColor="text1"/>
          <w:sz w:val="22"/>
          <w:szCs w:val="22"/>
        </w:rPr>
        <w:t xml:space="preserve">irections and </w:t>
      </w:r>
      <w:r w:rsidR="0008245F" w:rsidRPr="00360A96">
        <w:rPr>
          <w:rStyle w:val="Strong"/>
          <w:rFonts w:ascii="Arial" w:hAnsi="Arial" w:cs="Arial"/>
          <w:color w:val="000000" w:themeColor="text1"/>
          <w:sz w:val="22"/>
          <w:szCs w:val="22"/>
          <w:lang w:val="tr-TR"/>
        </w:rPr>
        <w:t>R</w:t>
      </w:r>
      <w:r w:rsidRPr="00360A96">
        <w:rPr>
          <w:rStyle w:val="Strong"/>
          <w:rFonts w:ascii="Arial" w:hAnsi="Arial" w:cs="Arial"/>
          <w:color w:val="000000" w:themeColor="text1"/>
          <w:sz w:val="22"/>
          <w:szCs w:val="22"/>
        </w:rPr>
        <w:t>ecommendations</w:t>
      </w:r>
    </w:p>
    <w:p w14:paraId="259CD49C"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Tumor Microenvironment Modulation</w:t>
      </w:r>
    </w:p>
    <w:p w14:paraId="0C95329A"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Develop therapies that normalize the desmoplastic stroma and enhance immune cell infiltration.</w:t>
      </w:r>
    </w:p>
    <w:p w14:paraId="52C2EDD3"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Explore CD40 agonists, fibroblast reprogramming, and stromal-targeted nanotherapies to facilitate drug delivery and immune activation.</w:t>
      </w:r>
    </w:p>
    <w:p w14:paraId="1B2A941E"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Cancer Stem Cell (CSC) Targeting</w:t>
      </w:r>
    </w:p>
    <w:p w14:paraId="4B80FBEB"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Integrate inhibitors of Hedgehog, Wnt, and Notch pathways with cytotoxic or immune-based treatments to eradicate CSC populations and prevent relapse.</w:t>
      </w:r>
    </w:p>
    <w:p w14:paraId="2E4D48FA"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Microbiome-Based Therapeutics</w:t>
      </w:r>
    </w:p>
    <w:p w14:paraId="65F57A28"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Conduct controlled clinical trials of FMT, defined microbial consortia, and prebiotic interventions to determine safety, efficacy, and optimal donor selection criteria.</w:t>
      </w:r>
    </w:p>
    <w:p w14:paraId="155C3A7C"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Establish </w:t>
      </w:r>
      <w:r w:rsidRPr="00360A96">
        <w:rPr>
          <w:rStyle w:val="Strong"/>
          <w:rFonts w:ascii="Arial" w:hAnsi="Arial" w:cs="Arial"/>
          <w:b w:val="0"/>
          <w:bCs w:val="0"/>
          <w:color w:val="000000" w:themeColor="text1"/>
          <w:sz w:val="20"/>
          <w:szCs w:val="20"/>
        </w:rPr>
        <w:t>microbiome biobanks</w:t>
      </w:r>
      <w:r w:rsidRPr="00360A96">
        <w:rPr>
          <w:rFonts w:ascii="Arial" w:hAnsi="Arial" w:cs="Arial"/>
          <w:color w:val="000000" w:themeColor="text1"/>
          <w:sz w:val="20"/>
          <w:szCs w:val="20"/>
        </w:rPr>
        <w:t xml:space="preserve"> for mechanistic and translational research.</w:t>
      </w:r>
    </w:p>
    <w:p w14:paraId="0E3C5462"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MicroRNA Therapeutics and Biomarkers</w:t>
      </w:r>
    </w:p>
    <w:p w14:paraId="3B7DE2F5"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Advance miRNA mimic and inhibitor technologies for clinical use, emphasizing targeted delivery and safety.</w:t>
      </w:r>
    </w:p>
    <w:p w14:paraId="6778A30C"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Incorporate </w:t>
      </w:r>
      <w:r w:rsidRPr="00360A96">
        <w:rPr>
          <w:rStyle w:val="Strong"/>
          <w:rFonts w:ascii="Arial" w:hAnsi="Arial" w:cs="Arial"/>
          <w:b w:val="0"/>
          <w:bCs w:val="0"/>
          <w:color w:val="000000" w:themeColor="text1"/>
          <w:sz w:val="20"/>
          <w:szCs w:val="20"/>
        </w:rPr>
        <w:t>liquid biopsy–based miRNA panels</w:t>
      </w:r>
      <w:r w:rsidRPr="00360A96">
        <w:rPr>
          <w:rFonts w:ascii="Arial" w:hAnsi="Arial" w:cs="Arial"/>
          <w:color w:val="000000" w:themeColor="text1"/>
          <w:sz w:val="20"/>
          <w:szCs w:val="20"/>
        </w:rPr>
        <w:t xml:space="preserve"> for early detection, treatment stratification, and response monitoring.</w:t>
      </w:r>
    </w:p>
    <w:p w14:paraId="1A13FF98"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Integrated and Adaptive Clinical Trial Design</w:t>
      </w:r>
    </w:p>
    <w:p w14:paraId="0C4123D8"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Adopt </w:t>
      </w:r>
      <w:r w:rsidRPr="00360A96">
        <w:rPr>
          <w:rStyle w:val="Strong"/>
          <w:rFonts w:ascii="Arial" w:hAnsi="Arial" w:cs="Arial"/>
          <w:b w:val="0"/>
          <w:bCs w:val="0"/>
          <w:color w:val="000000" w:themeColor="text1"/>
          <w:sz w:val="20"/>
          <w:szCs w:val="20"/>
        </w:rPr>
        <w:t>multi-omics–driven, biomarker-adaptive trial models</w:t>
      </w:r>
      <w:r w:rsidRPr="00360A96">
        <w:rPr>
          <w:rFonts w:ascii="Arial" w:hAnsi="Arial" w:cs="Arial"/>
          <w:color w:val="000000" w:themeColor="text1"/>
          <w:sz w:val="20"/>
          <w:szCs w:val="20"/>
        </w:rPr>
        <w:t xml:space="preserve"> that evaluate the dynamic interplay among immune, microbial, and miRNA pathways.</w:t>
      </w:r>
    </w:p>
    <w:p w14:paraId="3A08BCBB"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Include correlative endpoints assessing immune infiltration, microbiome shifts, and molecular signaling changes.</w:t>
      </w:r>
    </w:p>
    <w:p w14:paraId="7C3D32AA" w14:textId="77777777" w:rsidR="00FC6288" w:rsidRPr="00360A96" w:rsidRDefault="00FC6288" w:rsidP="002018D0">
      <w:pPr>
        <w:pStyle w:val="NormalWeb"/>
        <w:numPr>
          <w:ilvl w:val="0"/>
          <w:numId w:val="12"/>
        </w:numPr>
        <w:ind w:left="1134" w:right="283" w:hanging="567"/>
        <w:jc w:val="both"/>
        <w:rPr>
          <w:rFonts w:ascii="Arial" w:hAnsi="Arial" w:cs="Arial"/>
          <w:b/>
          <w:bCs/>
          <w:color w:val="000000" w:themeColor="text1"/>
          <w:sz w:val="20"/>
          <w:szCs w:val="20"/>
        </w:rPr>
      </w:pPr>
      <w:r w:rsidRPr="00360A96">
        <w:rPr>
          <w:rStyle w:val="Strong"/>
          <w:rFonts w:ascii="Arial" w:hAnsi="Arial" w:cs="Arial"/>
          <w:b w:val="0"/>
          <w:bCs w:val="0"/>
          <w:color w:val="000000" w:themeColor="text1"/>
          <w:sz w:val="20"/>
          <w:szCs w:val="20"/>
        </w:rPr>
        <w:t>Translational Infrastructure and Collaboration</w:t>
      </w:r>
    </w:p>
    <w:p w14:paraId="52CD90B4"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Promote cross-disciplinary collaboration among oncologists, immunologists, microbiologists, and molecular biologists.</w:t>
      </w:r>
    </w:p>
    <w:p w14:paraId="3335276D" w14:textId="77777777" w:rsidR="00FC6288" w:rsidRPr="00360A96" w:rsidRDefault="00FC6288" w:rsidP="002018D0">
      <w:pPr>
        <w:pStyle w:val="NormalWeb"/>
        <w:numPr>
          <w:ilvl w:val="1"/>
          <w:numId w:val="12"/>
        </w:numPr>
        <w:tabs>
          <w:tab w:val="clear" w:pos="1440"/>
        </w:tabs>
        <w:ind w:left="1701"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lastRenderedPageBreak/>
        <w:t>Expand patient-derived organoid and humanized mouse models to improve preclinical predictability.</w:t>
      </w:r>
    </w:p>
    <w:p w14:paraId="193658DE" w14:textId="77777777" w:rsidR="00FC6288" w:rsidRPr="00360A96" w:rsidRDefault="00FC6288" w:rsidP="007B665B">
      <w:pPr>
        <w:pStyle w:val="Heading3"/>
        <w:spacing w:line="480" w:lineRule="auto"/>
        <w:ind w:left="567" w:right="283"/>
        <w:jc w:val="both"/>
        <w:rPr>
          <w:rFonts w:ascii="Arial" w:hAnsi="Arial" w:cs="Arial"/>
          <w:color w:val="000000" w:themeColor="text1"/>
          <w:sz w:val="22"/>
          <w:szCs w:val="22"/>
        </w:rPr>
      </w:pPr>
      <w:r w:rsidRPr="00360A96">
        <w:rPr>
          <w:rStyle w:val="Strong"/>
          <w:rFonts w:ascii="Arial" w:hAnsi="Arial" w:cs="Arial"/>
          <w:color w:val="000000" w:themeColor="text1"/>
          <w:sz w:val="22"/>
          <w:szCs w:val="22"/>
        </w:rPr>
        <w:t xml:space="preserve">Final </w:t>
      </w:r>
      <w:r w:rsidR="0008245F" w:rsidRPr="00360A96">
        <w:rPr>
          <w:rStyle w:val="Strong"/>
          <w:rFonts w:ascii="Arial" w:hAnsi="Arial" w:cs="Arial"/>
          <w:color w:val="000000" w:themeColor="text1"/>
          <w:sz w:val="22"/>
          <w:szCs w:val="22"/>
          <w:lang w:val="tr-TR"/>
        </w:rPr>
        <w:t>R</w:t>
      </w:r>
      <w:r w:rsidRPr="00360A96">
        <w:rPr>
          <w:rStyle w:val="Strong"/>
          <w:rFonts w:ascii="Arial" w:hAnsi="Arial" w:cs="Arial"/>
          <w:color w:val="000000" w:themeColor="text1"/>
          <w:sz w:val="22"/>
          <w:szCs w:val="22"/>
        </w:rPr>
        <w:t>emarks</w:t>
      </w:r>
    </w:p>
    <w:p w14:paraId="54FBEF13" w14:textId="77777777" w:rsidR="00FC6288" w:rsidRPr="00360A96" w:rsidRDefault="00FC6288" w:rsidP="002018D0">
      <w:pPr>
        <w:pStyle w:val="NormalWeb"/>
        <w:ind w:left="567" w:right="283"/>
        <w:jc w:val="both"/>
        <w:rPr>
          <w:rFonts w:ascii="Arial" w:hAnsi="Arial" w:cs="Arial"/>
          <w:color w:val="000000" w:themeColor="text1"/>
          <w:sz w:val="20"/>
          <w:szCs w:val="20"/>
        </w:rPr>
      </w:pPr>
      <w:r w:rsidRPr="00360A96">
        <w:rPr>
          <w:rFonts w:ascii="Arial" w:hAnsi="Arial" w:cs="Arial"/>
          <w:color w:val="000000" w:themeColor="text1"/>
          <w:sz w:val="20"/>
          <w:szCs w:val="20"/>
        </w:rPr>
        <w:t xml:space="preserve">The future of PDAC therapy lies in </w:t>
      </w:r>
      <w:r w:rsidRPr="00360A96">
        <w:rPr>
          <w:rStyle w:val="Strong"/>
          <w:rFonts w:ascii="Arial" w:hAnsi="Arial" w:cs="Arial"/>
          <w:b w:val="0"/>
          <w:bCs w:val="0"/>
          <w:color w:val="000000" w:themeColor="text1"/>
          <w:sz w:val="20"/>
          <w:szCs w:val="20"/>
        </w:rPr>
        <w:t>precision integration</w:t>
      </w:r>
      <w:r w:rsidRPr="00360A96">
        <w:rPr>
          <w:rFonts w:ascii="Arial" w:hAnsi="Arial" w:cs="Arial"/>
          <w:color w:val="000000" w:themeColor="text1"/>
          <w:sz w:val="20"/>
          <w:szCs w:val="20"/>
        </w:rPr>
        <w:t>—the convergence of immunotherapy, microbiome modulation, and miRNA-based regulation within adaptive, personalized frameworks. By addressing the multifactorial resistance mechanisms that define this malignancy, these synergistic strategies offer the most promising route to durable responses and improved survival. Sustained collaboration between basic scientists and clinicians will be critical to translating these innovations into tangible clinical benefit, transforming PDAC from a uniformly fatal disease into a manageable, treatable condition.</w:t>
      </w:r>
    </w:p>
    <w:p w14:paraId="600F8F1B" w14:textId="77777777" w:rsidR="00051148" w:rsidRPr="00360A96" w:rsidRDefault="00051148" w:rsidP="007B665B">
      <w:pPr>
        <w:spacing w:line="480" w:lineRule="auto"/>
        <w:ind w:left="567" w:right="283"/>
        <w:rPr>
          <w:rFonts w:ascii="Times New Roman" w:hAnsi="Times New Roman" w:cs="Times New Roman"/>
          <w:b/>
          <w:bCs/>
          <w:lang w:val="tr-TR"/>
        </w:rPr>
      </w:pPr>
    </w:p>
    <w:p w14:paraId="4FF1EB87" w14:textId="77777777" w:rsidR="002018D0" w:rsidRPr="00360A96" w:rsidRDefault="002018D0" w:rsidP="007B665B">
      <w:pPr>
        <w:spacing w:line="480" w:lineRule="auto"/>
        <w:ind w:left="567" w:right="283"/>
        <w:rPr>
          <w:rFonts w:ascii="Times New Roman" w:hAnsi="Times New Roman" w:cs="Times New Roman"/>
          <w:b/>
          <w:bCs/>
          <w:lang w:val="tr-TR"/>
        </w:rPr>
      </w:pPr>
    </w:p>
    <w:p w14:paraId="0EE58964" w14:textId="77777777" w:rsidR="002018D0" w:rsidRPr="00360A96" w:rsidRDefault="002018D0" w:rsidP="007B665B">
      <w:pPr>
        <w:spacing w:line="480" w:lineRule="auto"/>
        <w:ind w:left="567" w:right="283"/>
        <w:rPr>
          <w:rFonts w:ascii="Times New Roman" w:hAnsi="Times New Roman" w:cs="Times New Roman"/>
          <w:b/>
          <w:bCs/>
          <w:lang w:val="tr-TR"/>
        </w:rPr>
      </w:pPr>
    </w:p>
    <w:p w14:paraId="16D471A9" w14:textId="77777777" w:rsidR="00505CF3" w:rsidRPr="00360A96" w:rsidRDefault="00505CF3" w:rsidP="007B665B">
      <w:pPr>
        <w:spacing w:line="480" w:lineRule="auto"/>
        <w:ind w:left="567" w:right="283"/>
        <w:rPr>
          <w:rFonts w:ascii="Arial" w:hAnsi="Arial" w:cs="Arial"/>
          <w:b/>
          <w:bCs/>
          <w:sz w:val="22"/>
          <w:szCs w:val="22"/>
          <w:lang w:val="tr-TR"/>
        </w:rPr>
      </w:pPr>
      <w:r w:rsidRPr="00360A96">
        <w:rPr>
          <w:rFonts w:ascii="Arial" w:hAnsi="Arial" w:cs="Arial"/>
          <w:b/>
          <w:bCs/>
          <w:sz w:val="22"/>
          <w:szCs w:val="22"/>
          <w:lang w:val="tr-TR"/>
        </w:rPr>
        <w:t>Abbreviations</w:t>
      </w:r>
    </w:p>
    <w:p w14:paraId="6F1919F0" w14:textId="77777777" w:rsidR="005C72E5" w:rsidRPr="00360A96" w:rsidRDefault="005C72E5" w:rsidP="002018D0">
      <w:pPr>
        <w:ind w:left="567"/>
        <w:jc w:val="both"/>
        <w:rPr>
          <w:rFonts w:ascii="Arial" w:hAnsi="Arial" w:cs="Arial"/>
          <w:sz w:val="20"/>
          <w:szCs w:val="20"/>
          <w:lang w:val="tr-TR"/>
        </w:rPr>
      </w:pPr>
      <w:r w:rsidRPr="00360A96">
        <w:rPr>
          <w:rFonts w:ascii="Arial" w:hAnsi="Arial" w:cs="Arial"/>
          <w:color w:val="000000" w:themeColor="text1"/>
          <w:sz w:val="20"/>
          <w:szCs w:val="20"/>
          <w:lang w:val="tr-TR"/>
        </w:rPr>
        <w:t xml:space="preserve">CA19-9, Carbohydrate antigen; CAR, Chimeric antigen receptor; </w:t>
      </w:r>
      <w:r w:rsidRPr="00360A96">
        <w:rPr>
          <w:rFonts w:ascii="Arial" w:hAnsi="Arial" w:cs="Arial"/>
          <w:color w:val="000000" w:themeColor="text1"/>
          <w:sz w:val="20"/>
          <w:szCs w:val="20"/>
          <w:shd w:val="clear" w:color="auto" w:fill="FFFFFF"/>
        </w:rPr>
        <w:t>CD8</w:t>
      </w:r>
      <w:r w:rsidRPr="00360A96">
        <w:rPr>
          <w:rFonts w:ascii="Arial" w:hAnsi="Arial" w:cs="Arial"/>
          <w:color w:val="000000" w:themeColor="text1"/>
          <w:sz w:val="20"/>
          <w:szCs w:val="20"/>
          <w:shd w:val="clear" w:color="auto" w:fill="FFFFFF"/>
          <w:lang w:val="tr-TR"/>
        </w:rPr>
        <w:t>,</w:t>
      </w:r>
      <w:r w:rsidRPr="00360A96">
        <w:rPr>
          <w:rFonts w:ascii="Arial" w:hAnsi="Arial" w:cs="Arial"/>
          <w:color w:val="000000" w:themeColor="text1"/>
          <w:sz w:val="20"/>
          <w:szCs w:val="20"/>
          <w:shd w:val="clear" w:color="auto" w:fill="FFFFFF"/>
        </w:rPr>
        <w:t xml:space="preserve"> Transmembrane glycoproteins</w:t>
      </w:r>
      <w:r w:rsidRPr="00360A96">
        <w:rPr>
          <w:rFonts w:ascii="Arial" w:hAnsi="Arial" w:cs="Arial"/>
          <w:color w:val="000000" w:themeColor="text1"/>
          <w:sz w:val="20"/>
          <w:szCs w:val="20"/>
          <w:shd w:val="clear" w:color="auto" w:fill="FFFFFF"/>
          <w:lang w:val="tr-TR"/>
        </w:rPr>
        <w:t xml:space="preserve"> of T cells</w:t>
      </w:r>
      <w:r w:rsidRPr="00360A96">
        <w:rPr>
          <w:rFonts w:ascii="Arial" w:hAnsi="Arial" w:cs="Arial"/>
          <w:color w:val="000000" w:themeColor="text1"/>
          <w:sz w:val="20"/>
          <w:szCs w:val="20"/>
          <w:shd w:val="clear" w:color="auto" w:fill="FFFFFF"/>
        </w:rPr>
        <w:t>;</w:t>
      </w:r>
      <w:r w:rsidRPr="00360A96">
        <w:rPr>
          <w:rFonts w:ascii="Arial" w:hAnsi="Arial" w:cs="Arial"/>
          <w:color w:val="000000" w:themeColor="text1"/>
          <w:sz w:val="20"/>
          <w:szCs w:val="20"/>
          <w:lang w:val="tr-TR"/>
        </w:rPr>
        <w:t xml:space="preserve"> CP, Cancer patient; CSCs, Cancer stem cells; CT-Computed tomography; DL, Deeplearning; EU, Uuropean union; EUS, Endoscopic ultrasound; FMT, Fecal microbiota transplantation; HFCS, High fructose corn syrup; ICB, Immune checkpoint blockade; ICIs, Immune checkpoint inhibitors; IFN-g, Interferongamma; LPS, Lipopolysaccharides; PC, Pancreatic cancer; </w:t>
      </w:r>
      <w:r w:rsidR="0079170F" w:rsidRPr="00360A96">
        <w:rPr>
          <w:rFonts w:ascii="Arial" w:hAnsi="Arial" w:cs="Arial"/>
          <w:color w:val="000000" w:themeColor="text1"/>
          <w:sz w:val="20"/>
          <w:szCs w:val="20"/>
          <w:lang w:val="tr-TR"/>
        </w:rPr>
        <w:t xml:space="preserve">PD-1, Programmed cell death protein-1; </w:t>
      </w:r>
      <w:r w:rsidRPr="00360A96">
        <w:rPr>
          <w:rFonts w:ascii="Arial" w:hAnsi="Arial" w:cs="Arial"/>
          <w:color w:val="000000" w:themeColor="text1"/>
          <w:sz w:val="20"/>
          <w:szCs w:val="20"/>
          <w:lang w:val="tr-TR"/>
        </w:rPr>
        <w:t>PDAC, Pancreatic ductal adenocarcinoma; SCFAs, Short chain fatty acids; TME, Tumor microenvironment; TNM, Tumor size-nodal involement-metastatic spread</w:t>
      </w:r>
      <w:r w:rsidRPr="00360A96">
        <w:rPr>
          <w:rFonts w:ascii="Arial" w:hAnsi="Arial" w:cs="Arial"/>
          <w:sz w:val="20"/>
          <w:szCs w:val="20"/>
          <w:lang w:val="tr-TR"/>
        </w:rPr>
        <w:t xml:space="preserve">. </w:t>
      </w:r>
    </w:p>
    <w:p w14:paraId="3104F936" w14:textId="77777777" w:rsidR="00505CF3" w:rsidRPr="00360A96" w:rsidRDefault="00505CF3" w:rsidP="002018D0">
      <w:pPr>
        <w:ind w:left="567" w:right="283"/>
        <w:rPr>
          <w:rFonts w:ascii="Times New Roman" w:hAnsi="Times New Roman" w:cs="Times New Roman"/>
          <w:b/>
          <w:bCs/>
          <w:lang w:val="en-AU"/>
        </w:rPr>
      </w:pPr>
    </w:p>
    <w:p w14:paraId="26D94B2F" w14:textId="77777777" w:rsidR="00505CF3" w:rsidRPr="00360A96" w:rsidRDefault="00505CF3" w:rsidP="002018D0">
      <w:pPr>
        <w:ind w:left="567" w:right="283"/>
        <w:rPr>
          <w:rFonts w:ascii="Arial" w:hAnsi="Arial" w:cs="Arial"/>
          <w:b/>
          <w:bCs/>
          <w:sz w:val="22"/>
          <w:szCs w:val="22"/>
          <w:lang w:val="en-AU"/>
        </w:rPr>
      </w:pPr>
      <w:r w:rsidRPr="00360A96">
        <w:rPr>
          <w:rFonts w:ascii="Arial" w:hAnsi="Arial" w:cs="Arial"/>
          <w:b/>
          <w:bCs/>
          <w:sz w:val="22"/>
          <w:szCs w:val="22"/>
          <w:lang w:val="en-AU"/>
        </w:rPr>
        <w:t>Declarations and statements</w:t>
      </w:r>
    </w:p>
    <w:p w14:paraId="7926173F" w14:textId="77777777" w:rsidR="002018D0" w:rsidRPr="00360A96" w:rsidRDefault="002018D0" w:rsidP="002018D0">
      <w:pPr>
        <w:ind w:left="567" w:right="283"/>
        <w:rPr>
          <w:rFonts w:ascii="Arial" w:hAnsi="Arial" w:cs="Arial"/>
          <w:b/>
          <w:bCs/>
          <w:sz w:val="22"/>
          <w:szCs w:val="22"/>
          <w:lang w:val="en-AU"/>
        </w:rPr>
      </w:pPr>
    </w:p>
    <w:p w14:paraId="4556CF89" w14:textId="77777777" w:rsidR="00505CF3" w:rsidRPr="00360A96" w:rsidRDefault="00505CF3" w:rsidP="002018D0">
      <w:pPr>
        <w:ind w:left="567" w:right="283"/>
        <w:jc w:val="both"/>
        <w:rPr>
          <w:rFonts w:ascii="Arial" w:hAnsi="Arial" w:cs="Arial"/>
          <w:sz w:val="20"/>
          <w:szCs w:val="20"/>
        </w:rPr>
      </w:pPr>
      <w:r w:rsidRPr="00360A96">
        <w:rPr>
          <w:rFonts w:ascii="Arial" w:hAnsi="Arial" w:cs="Arial"/>
          <w:sz w:val="20"/>
          <w:szCs w:val="20"/>
        </w:rPr>
        <w:t>This study did not involve human or animal subjects; therefore, institutional review board (IRB) approval and informed consent were not required.</w:t>
      </w:r>
    </w:p>
    <w:p w14:paraId="2E649A28" w14:textId="77777777" w:rsidR="00505CF3" w:rsidRPr="00360A96" w:rsidRDefault="00505CF3" w:rsidP="002018D0">
      <w:pPr>
        <w:pStyle w:val="NormalWeb"/>
        <w:ind w:left="567" w:right="283"/>
        <w:rPr>
          <w:rFonts w:ascii="Arial" w:hAnsi="Arial" w:cs="Arial"/>
          <w:b/>
          <w:bCs/>
          <w:sz w:val="22"/>
          <w:szCs w:val="22"/>
        </w:rPr>
      </w:pPr>
      <w:r w:rsidRPr="00360A96">
        <w:rPr>
          <w:rFonts w:ascii="Arial" w:hAnsi="Arial" w:cs="Arial"/>
          <w:b/>
          <w:bCs/>
          <w:sz w:val="22"/>
          <w:szCs w:val="22"/>
        </w:rPr>
        <w:t xml:space="preserve">Ethics </w:t>
      </w:r>
    </w:p>
    <w:p w14:paraId="647AACC6" w14:textId="77777777" w:rsidR="00505CF3" w:rsidRPr="00360A96" w:rsidRDefault="00505CF3" w:rsidP="002018D0">
      <w:pPr>
        <w:pStyle w:val="NormalWeb"/>
        <w:ind w:left="567" w:right="283"/>
      </w:pPr>
      <w:r w:rsidRPr="00360A96">
        <w:t xml:space="preserve">A review article does not require ethics committee approval. </w:t>
      </w:r>
    </w:p>
    <w:p w14:paraId="51430344" w14:textId="77777777" w:rsidR="00505CF3" w:rsidRPr="00360A96" w:rsidRDefault="00505CF3" w:rsidP="002018D0">
      <w:pPr>
        <w:ind w:left="567" w:right="283"/>
        <w:rPr>
          <w:rFonts w:ascii="Arial" w:hAnsi="Arial" w:cs="Arial"/>
          <w:b/>
          <w:bCs/>
          <w:sz w:val="22"/>
          <w:szCs w:val="22"/>
          <w:lang w:val="tr-TR"/>
        </w:rPr>
      </w:pPr>
      <w:r w:rsidRPr="00360A96">
        <w:rPr>
          <w:rFonts w:ascii="Arial" w:hAnsi="Arial" w:cs="Arial"/>
          <w:b/>
          <w:bCs/>
          <w:sz w:val="22"/>
          <w:szCs w:val="22"/>
          <w:lang w:val="tr-TR"/>
        </w:rPr>
        <w:t xml:space="preserve">Conflict of </w:t>
      </w:r>
      <w:r w:rsidR="002F3752" w:rsidRPr="00360A96">
        <w:rPr>
          <w:rFonts w:ascii="Arial" w:hAnsi="Arial" w:cs="Arial"/>
          <w:b/>
          <w:bCs/>
          <w:sz w:val="22"/>
          <w:szCs w:val="22"/>
          <w:lang w:val="tr-TR"/>
        </w:rPr>
        <w:t>i</w:t>
      </w:r>
      <w:r w:rsidRPr="00360A96">
        <w:rPr>
          <w:rFonts w:ascii="Arial" w:hAnsi="Arial" w:cs="Arial"/>
          <w:b/>
          <w:bCs/>
          <w:sz w:val="22"/>
          <w:szCs w:val="22"/>
          <w:lang w:val="tr-TR"/>
        </w:rPr>
        <w:t>nterest</w:t>
      </w:r>
    </w:p>
    <w:p w14:paraId="12E131A8" w14:textId="77777777" w:rsidR="002018D0" w:rsidRPr="00360A96" w:rsidRDefault="002018D0" w:rsidP="002018D0">
      <w:pPr>
        <w:ind w:left="567" w:right="283"/>
        <w:rPr>
          <w:rFonts w:ascii="Arial" w:hAnsi="Arial" w:cs="Arial"/>
          <w:sz w:val="22"/>
          <w:szCs w:val="22"/>
          <w:lang w:val="tr-TR"/>
        </w:rPr>
      </w:pPr>
    </w:p>
    <w:p w14:paraId="643AA75C" w14:textId="77777777" w:rsidR="00505CF3" w:rsidRPr="00360A96" w:rsidRDefault="00505CF3" w:rsidP="002018D0">
      <w:pPr>
        <w:ind w:left="567" w:right="283"/>
        <w:jc w:val="both"/>
        <w:rPr>
          <w:rFonts w:ascii="Arial" w:eastAsia="Calibri" w:hAnsi="Arial" w:cs="Arial"/>
          <w:sz w:val="20"/>
          <w:szCs w:val="20"/>
        </w:rPr>
      </w:pPr>
      <w:r w:rsidRPr="00360A96">
        <w:rPr>
          <w:rFonts w:ascii="Arial" w:hAnsi="Arial" w:cs="Arial"/>
          <w:sz w:val="20"/>
          <w:szCs w:val="20"/>
        </w:rPr>
        <w:t xml:space="preserve">The authors declare no conflict of interest related to this work. No financial support, services, or third-party payments were received for any aspect of the submitted manuscript. Furthermore, the authors report no relevant financial activities, patents, or relationships outside </w:t>
      </w:r>
      <w:r w:rsidRPr="00360A96">
        <w:rPr>
          <w:rFonts w:ascii="Arial" w:eastAsia="Calibri" w:hAnsi="Arial" w:cs="Arial"/>
          <w:sz w:val="20"/>
          <w:szCs w:val="20"/>
        </w:rPr>
        <w:t>of this work that could be broadly construed as pertinent to the manuscript.</w:t>
      </w:r>
    </w:p>
    <w:p w14:paraId="39337081" w14:textId="77777777" w:rsidR="00505CF3" w:rsidRPr="00360A96" w:rsidRDefault="00505CF3" w:rsidP="002018D0">
      <w:pPr>
        <w:ind w:left="567" w:right="283"/>
        <w:jc w:val="both"/>
        <w:rPr>
          <w:rFonts w:ascii="Times New Roman" w:hAnsi="Times New Roman" w:cs="Times New Roman"/>
          <w:lang w:val="tr-TR"/>
        </w:rPr>
      </w:pPr>
    </w:p>
    <w:p w14:paraId="056FD6EA" w14:textId="77777777" w:rsidR="00505CF3" w:rsidRPr="00360A96" w:rsidRDefault="00505CF3" w:rsidP="002018D0">
      <w:pPr>
        <w:pStyle w:val="OrtaKlavuz21"/>
        <w:tabs>
          <w:tab w:val="left" w:pos="7662"/>
        </w:tabs>
        <w:ind w:left="567" w:right="283"/>
        <w:jc w:val="both"/>
        <w:rPr>
          <w:rFonts w:ascii="Arial" w:hAnsi="Arial" w:cs="Arial"/>
          <w:b/>
          <w:bCs/>
        </w:rPr>
      </w:pPr>
      <w:r w:rsidRPr="00360A96">
        <w:rPr>
          <w:rFonts w:ascii="Arial" w:hAnsi="Arial" w:cs="Arial"/>
          <w:b/>
          <w:bCs/>
        </w:rPr>
        <w:t xml:space="preserve">Concent </w:t>
      </w:r>
      <w:r w:rsidR="002F3752" w:rsidRPr="00360A96">
        <w:rPr>
          <w:rFonts w:ascii="Arial" w:hAnsi="Arial" w:cs="Arial"/>
          <w:b/>
          <w:bCs/>
        </w:rPr>
        <w:t>f</w:t>
      </w:r>
      <w:r w:rsidRPr="00360A96">
        <w:rPr>
          <w:rFonts w:ascii="Arial" w:hAnsi="Arial" w:cs="Arial"/>
          <w:b/>
          <w:bCs/>
        </w:rPr>
        <w:t xml:space="preserve">or </w:t>
      </w:r>
      <w:r w:rsidR="002F3752" w:rsidRPr="00360A96">
        <w:rPr>
          <w:rFonts w:ascii="Arial" w:hAnsi="Arial" w:cs="Arial"/>
          <w:b/>
          <w:bCs/>
        </w:rPr>
        <w:t>p</w:t>
      </w:r>
      <w:r w:rsidRPr="00360A96">
        <w:rPr>
          <w:rFonts w:ascii="Arial" w:hAnsi="Arial" w:cs="Arial"/>
          <w:b/>
          <w:bCs/>
        </w:rPr>
        <w:t>ublication</w:t>
      </w:r>
    </w:p>
    <w:p w14:paraId="2E947E84" w14:textId="77777777" w:rsidR="002018D0" w:rsidRPr="00360A96" w:rsidRDefault="002018D0" w:rsidP="002018D0">
      <w:pPr>
        <w:pStyle w:val="OrtaKlavuz21"/>
        <w:tabs>
          <w:tab w:val="left" w:pos="7662"/>
        </w:tabs>
        <w:ind w:left="567" w:right="283"/>
        <w:jc w:val="both"/>
        <w:rPr>
          <w:rFonts w:ascii="Arial" w:hAnsi="Arial" w:cs="Arial"/>
          <w:sz w:val="20"/>
          <w:szCs w:val="20"/>
        </w:rPr>
      </w:pPr>
    </w:p>
    <w:p w14:paraId="11C64793" w14:textId="77777777" w:rsidR="00505CF3" w:rsidRPr="00360A96" w:rsidRDefault="00505CF3" w:rsidP="002018D0">
      <w:pPr>
        <w:pStyle w:val="OrtaKlavuz21"/>
        <w:tabs>
          <w:tab w:val="left" w:pos="7662"/>
        </w:tabs>
        <w:ind w:left="567" w:right="283"/>
        <w:jc w:val="both"/>
        <w:rPr>
          <w:rFonts w:ascii="Arial" w:hAnsi="Arial" w:cs="Arial"/>
          <w:sz w:val="20"/>
          <w:szCs w:val="20"/>
        </w:rPr>
      </w:pPr>
      <w:r w:rsidRPr="00360A96">
        <w:rPr>
          <w:rFonts w:ascii="Arial" w:hAnsi="Arial" w:cs="Arial"/>
          <w:sz w:val="20"/>
          <w:szCs w:val="20"/>
        </w:rPr>
        <w:t>Not applicable</w:t>
      </w:r>
    </w:p>
    <w:p w14:paraId="7EB4A006" w14:textId="77777777" w:rsidR="00505CF3" w:rsidRPr="00360A96" w:rsidRDefault="00505CF3" w:rsidP="002018D0">
      <w:pPr>
        <w:pStyle w:val="OrtaKlavuz21"/>
        <w:tabs>
          <w:tab w:val="left" w:pos="7662"/>
        </w:tabs>
        <w:ind w:left="567" w:right="283"/>
        <w:jc w:val="both"/>
        <w:rPr>
          <w:rFonts w:ascii="Times New Roman" w:hAnsi="Times New Roman"/>
          <w:b/>
          <w:bCs/>
          <w:sz w:val="24"/>
          <w:szCs w:val="24"/>
        </w:rPr>
      </w:pPr>
    </w:p>
    <w:p w14:paraId="726C0D46" w14:textId="77777777" w:rsidR="00505CF3" w:rsidRPr="00360A96" w:rsidRDefault="00505CF3" w:rsidP="002018D0">
      <w:pPr>
        <w:pStyle w:val="OrtaKlavuz21"/>
        <w:tabs>
          <w:tab w:val="left" w:pos="7662"/>
        </w:tabs>
        <w:ind w:left="567" w:right="283"/>
        <w:jc w:val="both"/>
        <w:rPr>
          <w:rFonts w:ascii="Arial" w:hAnsi="Arial" w:cs="Arial"/>
          <w:b/>
          <w:bCs/>
        </w:rPr>
      </w:pPr>
      <w:r w:rsidRPr="00360A96">
        <w:rPr>
          <w:rFonts w:ascii="Arial" w:hAnsi="Arial" w:cs="Arial"/>
          <w:b/>
          <w:bCs/>
        </w:rPr>
        <w:t xml:space="preserve">Availability of </w:t>
      </w:r>
      <w:r w:rsidR="002F3752" w:rsidRPr="00360A96">
        <w:rPr>
          <w:rFonts w:ascii="Arial" w:hAnsi="Arial" w:cs="Arial"/>
          <w:b/>
          <w:bCs/>
        </w:rPr>
        <w:t>d</w:t>
      </w:r>
      <w:r w:rsidRPr="00360A96">
        <w:rPr>
          <w:rFonts w:ascii="Arial" w:hAnsi="Arial" w:cs="Arial"/>
          <w:b/>
          <w:bCs/>
        </w:rPr>
        <w:t xml:space="preserve">ata and </w:t>
      </w:r>
      <w:r w:rsidR="002F3752" w:rsidRPr="00360A96">
        <w:rPr>
          <w:rFonts w:ascii="Arial" w:hAnsi="Arial" w:cs="Arial"/>
          <w:b/>
          <w:bCs/>
        </w:rPr>
        <w:t>m</w:t>
      </w:r>
      <w:r w:rsidRPr="00360A96">
        <w:rPr>
          <w:rFonts w:ascii="Arial" w:hAnsi="Arial" w:cs="Arial"/>
          <w:b/>
          <w:bCs/>
        </w:rPr>
        <w:t>aterials</w:t>
      </w:r>
    </w:p>
    <w:p w14:paraId="36462374" w14:textId="77777777" w:rsidR="00505CF3" w:rsidRPr="00360A96" w:rsidRDefault="00505CF3" w:rsidP="002018D0">
      <w:pPr>
        <w:pStyle w:val="NormalWeb"/>
        <w:ind w:left="567" w:right="283"/>
        <w:jc w:val="both"/>
        <w:rPr>
          <w:rFonts w:ascii="Arial" w:hAnsi="Arial" w:cs="Arial"/>
          <w:sz w:val="20"/>
          <w:szCs w:val="20"/>
        </w:rPr>
      </w:pPr>
      <w:r w:rsidRPr="00360A96">
        <w:rPr>
          <w:rFonts w:ascii="Arial" w:hAnsi="Arial" w:cs="Arial"/>
          <w:sz w:val="20"/>
          <w:szCs w:val="20"/>
        </w:rPr>
        <w:lastRenderedPageBreak/>
        <w:t>This article is based entirely on previously published data and literature, all of which have been properly cited in the manuscript. No new datasets were generated or analyzed during the course of this study.</w:t>
      </w:r>
    </w:p>
    <w:p w14:paraId="307259D6" w14:textId="77777777" w:rsidR="000A79AD" w:rsidRDefault="000A79AD" w:rsidP="007B665B">
      <w:pPr>
        <w:spacing w:line="480" w:lineRule="auto"/>
        <w:ind w:left="567" w:right="283"/>
        <w:rPr>
          <w:rFonts w:ascii="Arial" w:hAnsi="Arial" w:cs="Arial"/>
          <w:b/>
          <w:bCs/>
          <w:sz w:val="22"/>
          <w:szCs w:val="22"/>
          <w:lang w:val="tr-TR"/>
        </w:rPr>
      </w:pPr>
    </w:p>
    <w:p w14:paraId="2DB54309" w14:textId="18BD47A6" w:rsidR="00505CF3" w:rsidRPr="00360A96" w:rsidRDefault="00505CF3" w:rsidP="007B665B">
      <w:pPr>
        <w:spacing w:line="480" w:lineRule="auto"/>
        <w:ind w:left="567" w:right="283"/>
        <w:rPr>
          <w:rFonts w:ascii="Arial" w:hAnsi="Arial" w:cs="Arial"/>
          <w:b/>
          <w:bCs/>
          <w:sz w:val="22"/>
          <w:szCs w:val="22"/>
          <w:lang w:val="tr-TR"/>
        </w:rPr>
      </w:pPr>
      <w:bookmarkStart w:id="2" w:name="_GoBack"/>
      <w:bookmarkEnd w:id="2"/>
      <w:r w:rsidRPr="00360A96">
        <w:rPr>
          <w:rFonts w:ascii="Arial" w:hAnsi="Arial" w:cs="Arial"/>
          <w:b/>
          <w:bCs/>
          <w:sz w:val="22"/>
          <w:szCs w:val="22"/>
          <w:lang w:val="tr-TR"/>
        </w:rPr>
        <w:t xml:space="preserve">Data </w:t>
      </w:r>
      <w:r w:rsidR="002F3752" w:rsidRPr="00360A96">
        <w:rPr>
          <w:rFonts w:ascii="Arial" w:hAnsi="Arial" w:cs="Arial"/>
          <w:b/>
          <w:bCs/>
          <w:sz w:val="22"/>
          <w:szCs w:val="22"/>
          <w:lang w:val="tr-TR"/>
        </w:rPr>
        <w:t>a</w:t>
      </w:r>
      <w:r w:rsidRPr="00360A96">
        <w:rPr>
          <w:rFonts w:ascii="Arial" w:hAnsi="Arial" w:cs="Arial"/>
          <w:b/>
          <w:bCs/>
          <w:sz w:val="22"/>
          <w:szCs w:val="22"/>
          <w:lang w:val="tr-TR"/>
        </w:rPr>
        <w:t xml:space="preserve">ccess </w:t>
      </w:r>
      <w:r w:rsidR="002F3752" w:rsidRPr="00360A96">
        <w:rPr>
          <w:rFonts w:ascii="Arial" w:hAnsi="Arial" w:cs="Arial"/>
          <w:b/>
          <w:bCs/>
          <w:sz w:val="22"/>
          <w:szCs w:val="22"/>
          <w:lang w:val="tr-TR"/>
        </w:rPr>
        <w:t>s</w:t>
      </w:r>
      <w:r w:rsidRPr="00360A96">
        <w:rPr>
          <w:rFonts w:ascii="Arial" w:hAnsi="Arial" w:cs="Arial"/>
          <w:b/>
          <w:bCs/>
          <w:sz w:val="22"/>
          <w:szCs w:val="22"/>
          <w:lang w:val="tr-TR"/>
        </w:rPr>
        <w:t>tatement</w:t>
      </w:r>
    </w:p>
    <w:p w14:paraId="1DD984CB" w14:textId="77777777" w:rsidR="00505CF3" w:rsidRPr="00360A96" w:rsidRDefault="00505CF3" w:rsidP="002018D0">
      <w:pPr>
        <w:ind w:left="567" w:right="283"/>
        <w:jc w:val="both"/>
        <w:rPr>
          <w:rFonts w:ascii="Arial" w:hAnsi="Arial" w:cs="Arial"/>
          <w:b/>
          <w:bCs/>
          <w:sz w:val="20"/>
          <w:szCs w:val="20"/>
          <w:lang w:val="tr-TR"/>
        </w:rPr>
      </w:pPr>
      <w:r w:rsidRPr="00360A96">
        <w:rPr>
          <w:rFonts w:ascii="Arial" w:hAnsi="Arial" w:cs="Arial"/>
          <w:sz w:val="20"/>
          <w:szCs w:val="20"/>
        </w:rPr>
        <w:t>No new data were generated or analyzed in this study. Because this article is a literature review, data sharing is not applicable.</w:t>
      </w:r>
    </w:p>
    <w:p w14:paraId="3CC80F07" w14:textId="77777777" w:rsidR="002018D0" w:rsidRPr="00360A96" w:rsidRDefault="002018D0" w:rsidP="002018D0">
      <w:pPr>
        <w:ind w:left="567" w:right="283"/>
        <w:jc w:val="both"/>
        <w:rPr>
          <w:rFonts w:ascii="Arial" w:hAnsi="Arial" w:cs="Arial"/>
          <w:b/>
          <w:bCs/>
          <w:sz w:val="20"/>
          <w:szCs w:val="20"/>
          <w:lang w:val="tr-TR"/>
        </w:rPr>
      </w:pPr>
    </w:p>
    <w:p w14:paraId="27D8D292" w14:textId="77777777" w:rsidR="00505CF3" w:rsidRPr="00360A96" w:rsidRDefault="00505CF3" w:rsidP="002018D0">
      <w:pPr>
        <w:ind w:left="567" w:right="283"/>
        <w:rPr>
          <w:rFonts w:ascii="Times New Roman" w:hAnsi="Times New Roman" w:cs="Times New Roman"/>
          <w:lang w:val="tr-TR"/>
        </w:rPr>
      </w:pPr>
    </w:p>
    <w:p w14:paraId="4412FA03" w14:textId="77777777" w:rsidR="00505CF3" w:rsidRPr="00360A96" w:rsidRDefault="00505CF3" w:rsidP="002018D0">
      <w:pPr>
        <w:ind w:left="1134" w:right="283" w:hanging="567"/>
        <w:rPr>
          <w:rFonts w:ascii="Arial" w:hAnsi="Arial" w:cs="Arial"/>
          <w:b/>
          <w:bCs/>
          <w:sz w:val="22"/>
          <w:szCs w:val="22"/>
          <w:lang w:val="tr-TR"/>
        </w:rPr>
      </w:pPr>
      <w:r w:rsidRPr="00360A96">
        <w:rPr>
          <w:rFonts w:ascii="Arial" w:hAnsi="Arial" w:cs="Arial"/>
          <w:b/>
          <w:bCs/>
          <w:sz w:val="22"/>
          <w:szCs w:val="22"/>
          <w:lang w:val="tr-TR"/>
        </w:rPr>
        <w:t xml:space="preserve">Decleration of </w:t>
      </w:r>
      <w:r w:rsidR="002F3752" w:rsidRPr="00360A96">
        <w:rPr>
          <w:rFonts w:ascii="Arial" w:hAnsi="Arial" w:cs="Arial"/>
          <w:b/>
          <w:bCs/>
          <w:sz w:val="22"/>
          <w:szCs w:val="22"/>
          <w:lang w:val="tr-TR"/>
        </w:rPr>
        <w:t>i</w:t>
      </w:r>
      <w:r w:rsidRPr="00360A96">
        <w:rPr>
          <w:rFonts w:ascii="Arial" w:hAnsi="Arial" w:cs="Arial"/>
          <w:b/>
          <w:bCs/>
          <w:sz w:val="22"/>
          <w:szCs w:val="22"/>
          <w:lang w:val="tr-TR"/>
        </w:rPr>
        <w:t>nterests</w:t>
      </w:r>
    </w:p>
    <w:p w14:paraId="270E302A" w14:textId="77777777" w:rsidR="002018D0" w:rsidRPr="00360A96" w:rsidRDefault="002018D0" w:rsidP="002018D0">
      <w:pPr>
        <w:ind w:left="1134" w:right="283" w:hanging="567"/>
        <w:rPr>
          <w:rFonts w:ascii="Arial" w:hAnsi="Arial" w:cs="Arial"/>
          <w:sz w:val="22"/>
          <w:szCs w:val="22"/>
          <w:lang w:val="tr-TR"/>
        </w:rPr>
      </w:pPr>
    </w:p>
    <w:p w14:paraId="665A8463" w14:textId="77777777" w:rsidR="00505CF3" w:rsidRPr="00360A96" w:rsidRDefault="00505CF3" w:rsidP="002018D0">
      <w:pPr>
        <w:ind w:left="1134" w:right="283" w:hanging="567"/>
        <w:rPr>
          <w:rFonts w:ascii="Arial" w:hAnsi="Arial" w:cs="Arial"/>
          <w:sz w:val="20"/>
          <w:szCs w:val="20"/>
          <w:lang w:val="tr-TR"/>
        </w:rPr>
      </w:pPr>
      <w:r w:rsidRPr="00360A96">
        <w:rPr>
          <w:rFonts w:ascii="Arial" w:hAnsi="Arial" w:cs="Arial"/>
          <w:sz w:val="20"/>
          <w:szCs w:val="20"/>
          <w:lang w:val="tr-TR"/>
        </w:rPr>
        <w:t>The authors have no competing interests.</w:t>
      </w:r>
    </w:p>
    <w:p w14:paraId="113859A0" w14:textId="77777777" w:rsidR="00BF1632" w:rsidRPr="00360A96" w:rsidRDefault="00BF1632" w:rsidP="002018D0">
      <w:pPr>
        <w:ind w:left="1134" w:right="283" w:hanging="567"/>
        <w:rPr>
          <w:rFonts w:ascii="Arial" w:hAnsi="Arial" w:cs="Arial"/>
          <w:sz w:val="20"/>
          <w:szCs w:val="20"/>
          <w:lang w:val="tr-TR"/>
        </w:rPr>
      </w:pPr>
    </w:p>
    <w:p w14:paraId="602A58D8" w14:textId="77777777" w:rsidR="00BF1632" w:rsidRPr="00360A96" w:rsidRDefault="00BF1632" w:rsidP="00BF1632">
      <w:pPr>
        <w:spacing w:before="100" w:beforeAutospacing="1" w:after="100" w:afterAutospacing="1" w:line="480" w:lineRule="auto"/>
        <w:ind w:left="851" w:right="283" w:hanging="284"/>
        <w:jc w:val="both"/>
        <w:outlineLvl w:val="1"/>
        <w:rPr>
          <w:rFonts w:ascii="Arial" w:eastAsia="Times New Roman" w:hAnsi="Arial" w:cs="Arial"/>
          <w:b/>
          <w:bCs/>
          <w:color w:val="000000" w:themeColor="text1"/>
          <w:kern w:val="0"/>
          <w:sz w:val="22"/>
          <w:szCs w:val="22"/>
          <w:lang w:val="tr-TR"/>
          <w14:ligatures w14:val="none"/>
        </w:rPr>
      </w:pPr>
      <w:r w:rsidRPr="00360A96">
        <w:rPr>
          <w:rFonts w:ascii="Arial" w:eastAsia="Times New Roman" w:hAnsi="Arial" w:cs="Arial"/>
          <w:b/>
          <w:bCs/>
          <w:color w:val="000000" w:themeColor="text1"/>
          <w:kern w:val="0"/>
          <w:sz w:val="22"/>
          <w:szCs w:val="22"/>
          <w:lang w:val="tr-TR"/>
          <w14:ligatures w14:val="none"/>
        </w:rPr>
        <w:t>HIGHLIGHTS</w:t>
      </w:r>
    </w:p>
    <w:p w14:paraId="539F41FD"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Surgical resection offers the only curative option for pancreatic cancer (PC); however, fewer than 20% of patients are eligible for surgery at diagnosis due to the disease’s insidious progression.</w:t>
      </w:r>
    </w:p>
    <w:p w14:paraId="1FB379DA"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Chemotherapy remains the cornerstone of conventional treatment, administered alone or in combination with surgery or radiotherapy, yet its efficacy remains limited.</w:t>
      </w:r>
    </w:p>
    <w:p w14:paraId="43566C19"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Pancreatic ductal adenocarcinoma (PDAC) is highly lethal, with minimal benefit from current immunotherapies due to a profoundly immunosuppressive microenvironment and cancer stem cell–mediated resistance.</w:t>
      </w:r>
    </w:p>
    <w:p w14:paraId="657DD4FE"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Targeting key signaling pathways—such as Hedgehog, Wnt, and Notch—alongside enhancement of CD40 signaling and T-cell activation shows considerable therapeutic promise.</w:t>
      </w:r>
    </w:p>
    <w:p w14:paraId="27611347"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The gut microbiota acts as a critical regulator of antitumor immunity. Interventions such as fecal microbiota transplantation (FMT), dietary modulation, and selective antibiotic therapy may improve immunotherapy responsiveness and reduce recurrence.</w:t>
      </w:r>
    </w:p>
    <w:p w14:paraId="522D6010" w14:textId="77777777" w:rsidR="00BF1632" w:rsidRPr="00360A96" w:rsidRDefault="00BF1632" w:rsidP="00BF1632">
      <w:pPr>
        <w:numPr>
          <w:ilvl w:val="0"/>
          <w:numId w:val="1"/>
        </w:numPr>
        <w:tabs>
          <w:tab w:val="clear" w:pos="720"/>
        </w:tabs>
        <w:spacing w:before="100" w:beforeAutospacing="1" w:after="100" w:afterAutospacing="1"/>
        <w:ind w:left="851" w:right="283" w:hanging="284"/>
        <w:jc w:val="both"/>
        <w:rPr>
          <w:rFonts w:ascii="Arial" w:eastAsia="Times New Roman" w:hAnsi="Arial" w:cs="Arial"/>
          <w:kern w:val="0"/>
          <w:sz w:val="22"/>
          <w:szCs w:val="22"/>
          <w14:ligatures w14:val="none"/>
        </w:rPr>
      </w:pPr>
      <w:r w:rsidRPr="00360A96">
        <w:rPr>
          <w:rFonts w:ascii="Arial" w:eastAsia="Times New Roman" w:hAnsi="Arial" w:cs="Arial"/>
          <w:kern w:val="0"/>
          <w:sz w:val="22"/>
          <w:szCs w:val="22"/>
          <w14:ligatures w14:val="none"/>
        </w:rPr>
        <w:t>Dysregulated microRNAs (e.g., miR-21, miR-155, miR-221) represent potent diagnostic biomarkers and therapeutic targets to overcome chemo- and radioresistance. Integrating immunotherapy, microbiota modulation, and miRNA-based therapies could enable more effective, personalized treatment of PDAC through closer collaboration between researchers and clinicians.</w:t>
      </w:r>
    </w:p>
    <w:p w14:paraId="72451B04" w14:textId="77777777" w:rsidR="00BF1632" w:rsidRPr="00360A96" w:rsidRDefault="00BF1632" w:rsidP="002018D0">
      <w:pPr>
        <w:ind w:left="1134" w:right="283" w:hanging="567"/>
        <w:rPr>
          <w:rFonts w:ascii="Arial" w:hAnsi="Arial" w:cs="Arial"/>
          <w:sz w:val="20"/>
          <w:szCs w:val="20"/>
          <w:lang w:val="tr-TR"/>
        </w:rPr>
      </w:pPr>
    </w:p>
    <w:p w14:paraId="3995AE98" w14:textId="77777777" w:rsidR="00095149" w:rsidRPr="00360A96" w:rsidRDefault="00095149" w:rsidP="00332628">
      <w:pPr>
        <w:spacing w:line="480" w:lineRule="auto"/>
        <w:ind w:right="283"/>
        <w:jc w:val="both"/>
        <w:rPr>
          <w:rFonts w:ascii="Times New Roman" w:hAnsi="Times New Roman" w:cs="Times New Roman"/>
          <w:b/>
        </w:rPr>
      </w:pPr>
    </w:p>
    <w:p w14:paraId="3E57D4E3" w14:textId="77777777" w:rsidR="00095149" w:rsidRPr="00360A96" w:rsidRDefault="00095149" w:rsidP="002018D0">
      <w:pPr>
        <w:spacing w:line="480" w:lineRule="auto"/>
        <w:ind w:right="283"/>
        <w:jc w:val="both"/>
        <w:rPr>
          <w:rFonts w:ascii="Times New Roman" w:hAnsi="Times New Roman" w:cs="Times New Roman"/>
          <w:b/>
        </w:rPr>
      </w:pPr>
    </w:p>
    <w:p w14:paraId="4A8ECFDF" w14:textId="77777777" w:rsidR="00E04B8F" w:rsidRPr="00360A96" w:rsidRDefault="00E04B8F" w:rsidP="00283E31">
      <w:pPr>
        <w:spacing w:line="480" w:lineRule="auto"/>
        <w:ind w:left="1134" w:right="283" w:hanging="567"/>
        <w:jc w:val="both"/>
        <w:rPr>
          <w:rFonts w:ascii="Arial" w:hAnsi="Arial" w:cs="Arial"/>
          <w:b/>
          <w:sz w:val="22"/>
          <w:szCs w:val="22"/>
        </w:rPr>
      </w:pPr>
      <w:r w:rsidRPr="00360A96">
        <w:rPr>
          <w:rFonts w:ascii="Arial" w:hAnsi="Arial" w:cs="Arial"/>
          <w:b/>
          <w:sz w:val="22"/>
          <w:szCs w:val="22"/>
        </w:rPr>
        <w:t>R</w:t>
      </w:r>
      <w:r w:rsidRPr="00360A96">
        <w:rPr>
          <w:rFonts w:ascii="Arial" w:hAnsi="Arial" w:cs="Arial"/>
          <w:b/>
          <w:sz w:val="22"/>
          <w:szCs w:val="22"/>
          <w:lang w:val="tr-TR"/>
        </w:rPr>
        <w:t>EFERENCES</w:t>
      </w:r>
      <w:r w:rsidRPr="00360A96">
        <w:rPr>
          <w:rFonts w:ascii="Arial" w:hAnsi="Arial" w:cs="Arial"/>
          <w:b/>
          <w:sz w:val="22"/>
          <w:szCs w:val="22"/>
        </w:rPr>
        <w:t xml:space="preserve">  </w:t>
      </w:r>
    </w:p>
    <w:p w14:paraId="63C97BD2" w14:textId="77777777" w:rsidR="00E04B8F" w:rsidRPr="00360A96" w:rsidRDefault="00E04B8F" w:rsidP="002018D0">
      <w:pPr>
        <w:pStyle w:val="ListParagraph"/>
        <w:spacing w:after="0" w:line="240" w:lineRule="auto"/>
        <w:ind w:left="1134" w:right="283" w:hanging="567"/>
        <w:jc w:val="both"/>
        <w:rPr>
          <w:rFonts w:ascii="Arial" w:hAnsi="Arial" w:cs="Arial"/>
          <w:bCs/>
          <w:color w:val="0070C0"/>
          <w:sz w:val="20"/>
          <w:szCs w:val="20"/>
        </w:rPr>
      </w:pPr>
      <w:r w:rsidRPr="00360A96">
        <w:rPr>
          <w:rFonts w:ascii="Arial" w:hAnsi="Arial" w:cs="Arial"/>
          <w:color w:val="000000" w:themeColor="text1"/>
          <w:sz w:val="20"/>
          <w:szCs w:val="20"/>
        </w:rPr>
        <w:t xml:space="preserve">Andersson H, Nyesiga B, Hermodsson T, Smith KE, </w:t>
      </w:r>
      <w:proofErr w:type="spellStart"/>
      <w:r w:rsidRPr="00360A96">
        <w:rPr>
          <w:rFonts w:ascii="Arial" w:hAnsi="Arial" w:cs="Arial"/>
          <w:color w:val="000000" w:themeColor="text1"/>
          <w:sz w:val="20"/>
          <w:szCs w:val="20"/>
        </w:rPr>
        <w:t>Hagerbrand</w:t>
      </w:r>
      <w:proofErr w:type="spellEnd"/>
      <w:r w:rsidRPr="00360A96">
        <w:rPr>
          <w:rFonts w:ascii="Arial" w:hAnsi="Arial" w:cs="Arial"/>
          <w:color w:val="000000" w:themeColor="text1"/>
          <w:sz w:val="20"/>
          <w:szCs w:val="20"/>
        </w:rPr>
        <w:t xml:space="preserve"> K, </w:t>
      </w:r>
      <w:proofErr w:type="spellStart"/>
      <w:r w:rsidRPr="00360A96">
        <w:rPr>
          <w:rFonts w:ascii="Arial" w:hAnsi="Arial" w:cs="Arial"/>
          <w:color w:val="000000" w:themeColor="text1"/>
          <w:sz w:val="20"/>
          <w:szCs w:val="20"/>
        </w:rPr>
        <w:t>Lindstedt</w:t>
      </w:r>
      <w:proofErr w:type="spellEnd"/>
      <w:r w:rsidRPr="00360A96">
        <w:rPr>
          <w:rFonts w:ascii="Arial" w:hAnsi="Arial" w:cs="Arial"/>
          <w:color w:val="000000" w:themeColor="text1"/>
          <w:sz w:val="20"/>
          <w:szCs w:val="20"/>
        </w:rPr>
        <w:t xml:space="preserve">, M, et al. (2024). Next-generation CD40 agonists for cancer immunotherapy. </w:t>
      </w:r>
      <w:r w:rsidRPr="00360A96">
        <w:rPr>
          <w:rFonts w:ascii="Arial" w:hAnsi="Arial" w:cs="Arial"/>
          <w:i/>
          <w:iCs/>
          <w:color w:val="000000" w:themeColor="text1"/>
          <w:sz w:val="20"/>
          <w:szCs w:val="20"/>
        </w:rPr>
        <w:t xml:space="preserve">Exp </w:t>
      </w:r>
      <w:proofErr w:type="spellStart"/>
      <w:r w:rsidRPr="00360A96">
        <w:rPr>
          <w:rFonts w:ascii="Arial" w:hAnsi="Arial" w:cs="Arial"/>
          <w:i/>
          <w:iCs/>
          <w:color w:val="000000" w:themeColor="text1"/>
          <w:sz w:val="20"/>
          <w:szCs w:val="20"/>
        </w:rPr>
        <w:t>opin</w:t>
      </w:r>
      <w:proofErr w:type="spellEnd"/>
      <w:r w:rsidRPr="00360A96">
        <w:rPr>
          <w:rFonts w:ascii="Arial" w:hAnsi="Arial" w:cs="Arial"/>
          <w:i/>
          <w:iCs/>
          <w:color w:val="000000" w:themeColor="text1"/>
          <w:sz w:val="20"/>
          <w:szCs w:val="20"/>
        </w:rPr>
        <w:t xml:space="preserve"> Biol </w:t>
      </w:r>
      <w:proofErr w:type="spellStart"/>
      <w:r w:rsidRPr="00360A96">
        <w:rPr>
          <w:rFonts w:ascii="Arial" w:hAnsi="Arial" w:cs="Arial"/>
          <w:i/>
          <w:iCs/>
          <w:color w:val="000000" w:themeColor="text1"/>
          <w:sz w:val="20"/>
          <w:szCs w:val="20"/>
        </w:rPr>
        <w:t>Ther</w:t>
      </w:r>
      <w:proofErr w:type="spellEnd"/>
      <w:r w:rsidRPr="00360A96">
        <w:rPr>
          <w:rFonts w:ascii="Arial" w:hAnsi="Arial" w:cs="Arial"/>
          <w:color w:val="000000" w:themeColor="text1"/>
          <w:sz w:val="20"/>
          <w:szCs w:val="20"/>
        </w:rPr>
        <w:t xml:space="preserve">. 24(5):351-363. </w:t>
      </w:r>
      <w:r w:rsidRPr="00360A96">
        <w:rPr>
          <w:rFonts w:ascii="Arial" w:hAnsi="Arial" w:cs="Arial"/>
          <w:color w:val="0070C0"/>
          <w:sz w:val="20"/>
          <w:szCs w:val="20"/>
        </w:rPr>
        <w:t>https://doi.org/10.1080/14712598.2024.2357714</w:t>
      </w:r>
    </w:p>
    <w:p w14:paraId="43A01103" w14:textId="77777777" w:rsidR="0063036D" w:rsidRPr="00360A96" w:rsidRDefault="0063036D" w:rsidP="002018D0">
      <w:pPr>
        <w:pStyle w:val="NormalWeb"/>
        <w:ind w:left="1134" w:right="283" w:hanging="567"/>
        <w:jc w:val="both"/>
        <w:rPr>
          <w:rFonts w:ascii="Arial" w:hAnsi="Arial" w:cs="Arial"/>
          <w:sz w:val="20"/>
          <w:szCs w:val="20"/>
        </w:rPr>
      </w:pPr>
      <w:r w:rsidRPr="00360A96">
        <w:rPr>
          <w:rFonts w:ascii="Arial" w:hAnsi="Arial" w:cs="Arial"/>
          <w:color w:val="1B1B1B"/>
          <w:sz w:val="20"/>
          <w:szCs w:val="20"/>
          <w:shd w:val="clear" w:color="auto" w:fill="FFFFFF"/>
        </w:rPr>
        <w:t xml:space="preserve">Asgharzadeh S, Pourhajibagher M, Bahador A. </w:t>
      </w:r>
      <w:r w:rsidRPr="00360A96">
        <w:rPr>
          <w:rFonts w:ascii="Arial" w:hAnsi="Arial" w:cs="Arial"/>
          <w:color w:val="1B1B1B"/>
          <w:sz w:val="20"/>
          <w:szCs w:val="20"/>
          <w:shd w:val="clear" w:color="auto" w:fill="FFFFFF"/>
          <w:lang w:val="tr-TR"/>
        </w:rPr>
        <w:t xml:space="preserve">(2025). </w:t>
      </w:r>
      <w:r w:rsidRPr="00360A96">
        <w:rPr>
          <w:rFonts w:ascii="Arial" w:hAnsi="Arial" w:cs="Arial"/>
          <w:color w:val="1B1B1B"/>
          <w:sz w:val="20"/>
          <w:szCs w:val="20"/>
          <w:shd w:val="clear" w:color="auto" w:fill="FFFFFF"/>
        </w:rPr>
        <w:t xml:space="preserve">The microbial landscape of tumors: a deep dive into intratumoral microbiota. </w:t>
      </w:r>
      <w:r w:rsidRPr="00360A96">
        <w:rPr>
          <w:rFonts w:ascii="Arial" w:hAnsi="Arial" w:cs="Arial"/>
          <w:i/>
          <w:iCs/>
          <w:color w:val="1B1B1B"/>
          <w:sz w:val="20"/>
          <w:szCs w:val="20"/>
          <w:shd w:val="clear" w:color="auto" w:fill="FFFFFF"/>
        </w:rPr>
        <w:t>Front Microbiol.</w:t>
      </w:r>
      <w:r w:rsidRPr="00360A96">
        <w:rPr>
          <w:rFonts w:ascii="Arial" w:hAnsi="Arial" w:cs="Arial"/>
          <w:color w:val="1B1B1B"/>
          <w:sz w:val="20"/>
          <w:szCs w:val="20"/>
          <w:shd w:val="clear" w:color="auto" w:fill="FFFFFF"/>
        </w:rPr>
        <w:t xml:space="preserve"> 16:1542142.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oi: 10.3389/fmicb.2025</w:t>
      </w:r>
    </w:p>
    <w:p w14:paraId="6EB9853E"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000000" w:themeColor="text1"/>
          <w:sz w:val="20"/>
          <w:szCs w:val="20"/>
        </w:rPr>
        <w:lastRenderedPageBreak/>
        <w:t>Aune D, Chan DSM, Vieira AR, Rosenblatt DAN, Vieira R, Greenwood DC, et al.</w:t>
      </w:r>
      <w:r w:rsidRPr="00360A96">
        <w:rPr>
          <w:rFonts w:ascii="Arial" w:hAnsi="Arial" w:cs="Arial"/>
          <w:sz w:val="20"/>
          <w:szCs w:val="20"/>
        </w:rPr>
        <w:t xml:space="preserve"> (2012). Dietary fructose, carbohydrates, glycemic indices and pancreatic cancer risk: a systematic review and meta analysis of cohort studies. </w:t>
      </w:r>
      <w:r w:rsidRPr="00360A96">
        <w:rPr>
          <w:rFonts w:ascii="Arial" w:hAnsi="Arial" w:cs="Arial"/>
          <w:i/>
          <w:iCs/>
          <w:sz w:val="20"/>
          <w:szCs w:val="20"/>
        </w:rPr>
        <w:t>Ann Oncol.</w:t>
      </w:r>
      <w:r w:rsidRPr="00360A96">
        <w:rPr>
          <w:rFonts w:ascii="Arial" w:hAnsi="Arial" w:cs="Arial"/>
          <w:sz w:val="20"/>
          <w:szCs w:val="20"/>
        </w:rPr>
        <w:t xml:space="preserve"> 23:2536-2546. </w:t>
      </w:r>
      <w:r w:rsidRPr="00360A96">
        <w:rPr>
          <w:rFonts w:ascii="Arial" w:hAnsi="Arial" w:cs="Arial"/>
          <w:color w:val="0070C0"/>
          <w:sz w:val="20"/>
          <w:szCs w:val="20"/>
        </w:rPr>
        <w:t>Doi: 10.1093/annonc/mds076</w:t>
      </w:r>
    </w:p>
    <w:p w14:paraId="5E397D9A"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bCs/>
          <w:color w:val="000000" w:themeColor="text1"/>
          <w:sz w:val="20"/>
          <w:szCs w:val="20"/>
        </w:rPr>
        <w:t xml:space="preserve">Bailey PJ, Chang DK, Nones K, Johns AL, Patch A-M, Gingras M-C, et al. (2016). Genomic analyses identify molecular subtypes of pancreatic cancer. </w:t>
      </w:r>
      <w:r w:rsidRPr="00360A96">
        <w:rPr>
          <w:rFonts w:ascii="Arial" w:hAnsi="Arial" w:cs="Arial"/>
          <w:bCs/>
          <w:i/>
          <w:iCs/>
          <w:color w:val="000000" w:themeColor="text1"/>
          <w:sz w:val="20"/>
          <w:szCs w:val="20"/>
        </w:rPr>
        <w:t>Nature.</w:t>
      </w:r>
      <w:r w:rsidRPr="00360A96">
        <w:rPr>
          <w:rFonts w:ascii="Arial" w:hAnsi="Arial" w:cs="Arial"/>
          <w:bCs/>
          <w:color w:val="000000" w:themeColor="text1"/>
          <w:sz w:val="20"/>
          <w:szCs w:val="20"/>
        </w:rPr>
        <w:t xml:space="preserve"> 531(7592):47-52.</w:t>
      </w:r>
      <w:r w:rsidR="00533C0F" w:rsidRPr="00360A96">
        <w:rPr>
          <w:rFonts w:ascii="Arial" w:hAnsi="Arial" w:cs="Arial"/>
          <w:bCs/>
          <w:color w:val="000000" w:themeColor="text1"/>
          <w:sz w:val="20"/>
          <w:szCs w:val="20"/>
        </w:rPr>
        <w:tab/>
      </w:r>
      <w:r w:rsidRPr="00360A96">
        <w:rPr>
          <w:rFonts w:ascii="Arial" w:hAnsi="Arial" w:cs="Arial"/>
          <w:bCs/>
          <w:color w:val="000000" w:themeColor="text1"/>
          <w:sz w:val="20"/>
          <w:szCs w:val="20"/>
        </w:rPr>
        <w:t xml:space="preserve"> </w:t>
      </w:r>
      <w:r w:rsidR="00533C0F" w:rsidRPr="00360A96">
        <w:rPr>
          <w:rFonts w:ascii="Arial" w:hAnsi="Arial" w:cs="Arial"/>
          <w:bCs/>
          <w:color w:val="000000" w:themeColor="text1"/>
          <w:sz w:val="20"/>
          <w:szCs w:val="20"/>
        </w:rPr>
        <w:t xml:space="preserve">                                </w:t>
      </w:r>
      <w:r w:rsidRPr="00360A96">
        <w:rPr>
          <w:rFonts w:ascii="Arial" w:hAnsi="Arial" w:cs="Arial"/>
          <w:bCs/>
          <w:color w:val="0070C0"/>
          <w:sz w:val="20"/>
          <w:szCs w:val="20"/>
        </w:rPr>
        <w:t>Doi: 10.1038/nature16965</w:t>
      </w:r>
    </w:p>
    <w:p w14:paraId="5E94744E"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0F0F0F"/>
          <w:sz w:val="20"/>
          <w:szCs w:val="20"/>
        </w:rPr>
        <w:t xml:space="preserve">Balakumar, M., Raji, L., Prabhu, D., Sathishkumar, C., Prabu, P., Mohan, V., et al. (2016). High-fructose diet is as detrimental as high-fat diet in the induction of insulin resistance and diabetes mediated by hepatic/pancreatic endoplasmic reticulun (ER) stress. </w:t>
      </w:r>
      <w:r w:rsidRPr="00360A96">
        <w:rPr>
          <w:rFonts w:ascii="Arial" w:hAnsi="Arial" w:cs="Arial"/>
          <w:i/>
          <w:iCs/>
          <w:color w:val="0F0F0F"/>
          <w:sz w:val="20"/>
          <w:szCs w:val="20"/>
        </w:rPr>
        <w:t>Mol Cell Biochem</w:t>
      </w:r>
      <w:r w:rsidRPr="00360A96">
        <w:rPr>
          <w:rFonts w:ascii="Arial" w:hAnsi="Arial" w:cs="Arial"/>
          <w:color w:val="0F0F0F"/>
          <w:sz w:val="20"/>
          <w:szCs w:val="20"/>
        </w:rPr>
        <w:t xml:space="preserve">. 423:93-104. </w:t>
      </w:r>
      <w:r w:rsidRPr="00360A96">
        <w:rPr>
          <w:rStyle w:val="id-label"/>
          <w:rFonts w:ascii="Arial" w:hAnsi="Arial" w:cs="Arial"/>
          <w:color w:val="0070C0"/>
          <w:sz w:val="20"/>
          <w:szCs w:val="20"/>
        </w:rPr>
        <w:t>Doi: </w:t>
      </w:r>
      <w:hyperlink r:id="rId8" w:tgtFrame="_blank" w:history="1">
        <w:r w:rsidRPr="00360A96">
          <w:rPr>
            <w:rStyle w:val="Hyperlink"/>
            <w:rFonts w:ascii="Arial" w:eastAsiaTheme="majorEastAsia" w:hAnsi="Arial" w:cs="Arial"/>
            <w:color w:val="0070C0"/>
            <w:sz w:val="20"/>
            <w:szCs w:val="20"/>
            <w:u w:val="none"/>
          </w:rPr>
          <w:t>10.1007/s11010-016-2828-5</w:t>
        </w:r>
      </w:hyperlink>
    </w:p>
    <w:p w14:paraId="003EBBBE" w14:textId="77777777" w:rsidR="00E04B8F" w:rsidRPr="00360A96" w:rsidRDefault="00E04B8F"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1B1B1B"/>
          <w:sz w:val="20"/>
          <w:szCs w:val="20"/>
          <w:shd w:val="clear" w:color="auto" w:fill="FFFFFF"/>
        </w:rPr>
        <w:t xml:space="preserve">Bantle JP. (2009). Dietary fructose and metabolic syndrome and diabetes. </w:t>
      </w:r>
      <w:r w:rsidRPr="00360A96">
        <w:rPr>
          <w:rFonts w:ascii="Arial" w:hAnsi="Arial" w:cs="Arial"/>
          <w:i/>
          <w:iCs/>
          <w:color w:val="1B1B1B"/>
          <w:sz w:val="20"/>
          <w:szCs w:val="20"/>
          <w:shd w:val="clear" w:color="auto" w:fill="FFFFFF"/>
        </w:rPr>
        <w:t>J Nutr.</w:t>
      </w:r>
      <w:r w:rsidRPr="00360A96">
        <w:rPr>
          <w:rFonts w:ascii="Arial" w:hAnsi="Arial" w:cs="Arial"/>
          <w:color w:val="1B1B1B"/>
          <w:sz w:val="20"/>
          <w:szCs w:val="20"/>
          <w:shd w:val="clear" w:color="auto" w:fill="FFFFFF"/>
        </w:rPr>
        <w:t xml:space="preserve"> 139(6):1263S-1268S. </w:t>
      </w:r>
      <w:r w:rsidRPr="00360A96">
        <w:rPr>
          <w:rFonts w:ascii="Arial" w:hAnsi="Arial" w:cs="Arial"/>
          <w:color w:val="0070C0"/>
          <w:sz w:val="20"/>
          <w:szCs w:val="20"/>
          <w:shd w:val="clear" w:color="auto" w:fill="FFFFFF"/>
        </w:rPr>
        <w:t>Doi: 10.3945/jn.108.098020.</w:t>
      </w:r>
    </w:p>
    <w:p w14:paraId="01B50E9E"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proofErr w:type="spellStart"/>
      <w:r w:rsidRPr="00360A96">
        <w:rPr>
          <w:rFonts w:ascii="Arial" w:hAnsi="Arial" w:cs="Arial"/>
          <w:bCs/>
          <w:color w:val="000000" w:themeColor="text1"/>
          <w:sz w:val="20"/>
          <w:szCs w:val="20"/>
        </w:rPr>
        <w:t>Boekestijn</w:t>
      </w:r>
      <w:proofErr w:type="spellEnd"/>
      <w:r w:rsidRPr="00360A96">
        <w:rPr>
          <w:rFonts w:ascii="Arial" w:hAnsi="Arial" w:cs="Arial"/>
          <w:bCs/>
          <w:color w:val="000000" w:themeColor="text1"/>
          <w:sz w:val="20"/>
          <w:szCs w:val="20"/>
        </w:rPr>
        <w:t xml:space="preserve"> B, </w:t>
      </w:r>
      <w:proofErr w:type="spellStart"/>
      <w:r w:rsidRPr="00360A96">
        <w:rPr>
          <w:rFonts w:ascii="Arial" w:hAnsi="Arial" w:cs="Arial"/>
          <w:bCs/>
          <w:color w:val="000000" w:themeColor="text1"/>
          <w:sz w:val="20"/>
          <w:szCs w:val="20"/>
        </w:rPr>
        <w:t>Feshtali</w:t>
      </w:r>
      <w:proofErr w:type="spellEnd"/>
      <w:r w:rsidRPr="00360A96">
        <w:rPr>
          <w:rFonts w:ascii="Arial" w:hAnsi="Arial" w:cs="Arial"/>
          <w:bCs/>
          <w:color w:val="000000" w:themeColor="text1"/>
          <w:sz w:val="20"/>
          <w:szCs w:val="20"/>
        </w:rPr>
        <w:t xml:space="preserve"> S, </w:t>
      </w:r>
      <w:proofErr w:type="spellStart"/>
      <w:r w:rsidRPr="00360A96">
        <w:rPr>
          <w:rFonts w:ascii="Arial" w:hAnsi="Arial" w:cs="Arial"/>
          <w:bCs/>
          <w:color w:val="000000" w:themeColor="text1"/>
          <w:sz w:val="20"/>
          <w:szCs w:val="20"/>
        </w:rPr>
        <w:t>Vasen</w:t>
      </w:r>
      <w:proofErr w:type="spellEnd"/>
      <w:r w:rsidRPr="00360A96">
        <w:rPr>
          <w:rFonts w:ascii="Arial" w:hAnsi="Arial" w:cs="Arial"/>
          <w:bCs/>
          <w:color w:val="000000" w:themeColor="text1"/>
          <w:sz w:val="20"/>
          <w:szCs w:val="20"/>
        </w:rPr>
        <w:t xml:space="preserve"> H, van </w:t>
      </w:r>
      <w:proofErr w:type="spellStart"/>
      <w:r w:rsidRPr="00360A96">
        <w:rPr>
          <w:rFonts w:ascii="Arial" w:hAnsi="Arial" w:cs="Arial"/>
          <w:bCs/>
          <w:color w:val="000000" w:themeColor="text1"/>
          <w:sz w:val="20"/>
          <w:szCs w:val="20"/>
        </w:rPr>
        <w:t>Leerdam</w:t>
      </w:r>
      <w:proofErr w:type="spellEnd"/>
      <w:r w:rsidRPr="00360A96">
        <w:rPr>
          <w:rFonts w:ascii="Arial" w:hAnsi="Arial" w:cs="Arial"/>
          <w:bCs/>
          <w:color w:val="000000" w:themeColor="text1"/>
          <w:sz w:val="20"/>
          <w:szCs w:val="20"/>
        </w:rPr>
        <w:t xml:space="preserve"> ME, </w:t>
      </w:r>
      <w:proofErr w:type="spellStart"/>
      <w:r w:rsidRPr="00360A96">
        <w:rPr>
          <w:rFonts w:ascii="Arial" w:hAnsi="Arial" w:cs="Arial"/>
          <w:bCs/>
          <w:color w:val="000000" w:themeColor="text1"/>
          <w:sz w:val="20"/>
          <w:szCs w:val="20"/>
        </w:rPr>
        <w:t>Bonsing</w:t>
      </w:r>
      <w:proofErr w:type="spellEnd"/>
      <w:r w:rsidRPr="00360A96">
        <w:rPr>
          <w:rFonts w:ascii="Arial" w:hAnsi="Arial" w:cs="Arial"/>
          <w:bCs/>
          <w:color w:val="000000" w:themeColor="text1"/>
          <w:sz w:val="20"/>
          <w:szCs w:val="20"/>
        </w:rPr>
        <w:t xml:space="preserve"> BA, </w:t>
      </w:r>
      <w:proofErr w:type="spellStart"/>
      <w:r w:rsidRPr="00360A96">
        <w:rPr>
          <w:rFonts w:ascii="Arial" w:hAnsi="Arial" w:cs="Arial"/>
          <w:bCs/>
          <w:color w:val="000000" w:themeColor="text1"/>
          <w:sz w:val="20"/>
          <w:szCs w:val="20"/>
        </w:rPr>
        <w:t>Mieog</w:t>
      </w:r>
      <w:proofErr w:type="spellEnd"/>
      <w:r w:rsidRPr="00360A96">
        <w:rPr>
          <w:rFonts w:ascii="Arial" w:hAnsi="Arial" w:cs="Arial"/>
          <w:bCs/>
          <w:color w:val="000000" w:themeColor="text1"/>
          <w:sz w:val="20"/>
          <w:szCs w:val="20"/>
        </w:rPr>
        <w:t xml:space="preserve"> JSD, et al. (2024). Screening for pancreatic cancer in high-risk individuals using MRI: optimization of scan techniques to detect small lesions. </w:t>
      </w:r>
      <w:r w:rsidRPr="00360A96">
        <w:rPr>
          <w:rFonts w:ascii="Arial" w:hAnsi="Arial" w:cs="Arial"/>
          <w:bCs/>
          <w:i/>
          <w:iCs/>
          <w:color w:val="000000" w:themeColor="text1"/>
          <w:sz w:val="20"/>
          <w:szCs w:val="20"/>
        </w:rPr>
        <w:t>Familial Cancer.</w:t>
      </w:r>
      <w:r w:rsidRPr="00360A96">
        <w:rPr>
          <w:rFonts w:ascii="Arial" w:hAnsi="Arial" w:cs="Arial"/>
          <w:bCs/>
          <w:color w:val="000000" w:themeColor="text1"/>
          <w:sz w:val="20"/>
          <w:szCs w:val="20"/>
        </w:rPr>
        <w:t xml:space="preserve"> 23:295-308.</w:t>
      </w:r>
      <w:r w:rsidR="00533C0F" w:rsidRPr="00360A96">
        <w:rPr>
          <w:rFonts w:ascii="Arial" w:hAnsi="Arial" w:cs="Arial"/>
          <w:bCs/>
          <w:color w:val="000000" w:themeColor="text1"/>
          <w:sz w:val="20"/>
          <w:szCs w:val="20"/>
        </w:rPr>
        <w:tab/>
      </w:r>
      <w:r w:rsidRPr="00360A96">
        <w:rPr>
          <w:rFonts w:ascii="Arial" w:hAnsi="Arial" w:cs="Arial"/>
          <w:bCs/>
          <w:color w:val="000000" w:themeColor="text1"/>
          <w:sz w:val="20"/>
          <w:szCs w:val="20"/>
        </w:rPr>
        <w:t xml:space="preserve"> </w:t>
      </w:r>
      <w:r w:rsidRPr="00360A96">
        <w:rPr>
          <w:rFonts w:ascii="Arial" w:hAnsi="Arial" w:cs="Arial"/>
          <w:bCs/>
          <w:color w:val="0070C0"/>
          <w:sz w:val="20"/>
          <w:szCs w:val="20"/>
        </w:rPr>
        <w:t>https://doi.org/10.1007/s10689-024-00394-z</w:t>
      </w:r>
    </w:p>
    <w:p w14:paraId="19FE656C" w14:textId="77777777" w:rsidR="00533C0F" w:rsidRPr="00360A96" w:rsidRDefault="00533C0F"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4F858D8E"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Boggi U, Kauffmann EF, Napoli N, Barreto SG, </w:t>
      </w:r>
      <w:proofErr w:type="spellStart"/>
      <w:r w:rsidRPr="00360A96">
        <w:rPr>
          <w:rFonts w:ascii="Arial" w:hAnsi="Arial" w:cs="Arial"/>
          <w:color w:val="212121"/>
          <w:sz w:val="20"/>
          <w:szCs w:val="20"/>
          <w:shd w:val="clear" w:color="auto" w:fill="FFFFFF"/>
        </w:rPr>
        <w:t>Besselink</w:t>
      </w:r>
      <w:proofErr w:type="spellEnd"/>
      <w:r w:rsidRPr="00360A96">
        <w:rPr>
          <w:rFonts w:ascii="Arial" w:hAnsi="Arial" w:cs="Arial"/>
          <w:color w:val="212121"/>
          <w:sz w:val="20"/>
          <w:szCs w:val="20"/>
          <w:shd w:val="clear" w:color="auto" w:fill="FFFFFF"/>
        </w:rPr>
        <w:t xml:space="preserve"> MG, </w:t>
      </w:r>
      <w:proofErr w:type="spellStart"/>
      <w:r w:rsidRPr="00360A96">
        <w:rPr>
          <w:rFonts w:ascii="Arial" w:hAnsi="Arial" w:cs="Arial"/>
          <w:color w:val="212121"/>
          <w:sz w:val="20"/>
          <w:szCs w:val="20"/>
          <w:shd w:val="clear" w:color="auto" w:fill="FFFFFF"/>
        </w:rPr>
        <w:t>Fusai</w:t>
      </w:r>
      <w:proofErr w:type="spellEnd"/>
      <w:r w:rsidRPr="00360A96">
        <w:rPr>
          <w:rFonts w:ascii="Arial" w:hAnsi="Arial" w:cs="Arial"/>
          <w:color w:val="212121"/>
          <w:sz w:val="20"/>
          <w:szCs w:val="20"/>
          <w:shd w:val="clear" w:color="auto" w:fill="FFFFFF"/>
        </w:rPr>
        <w:t xml:space="preserve"> GK, et al. (2024). REDISCOVER guidelines for borderline-</w:t>
      </w:r>
      <w:proofErr w:type="spellStart"/>
      <w:r w:rsidRPr="00360A96">
        <w:rPr>
          <w:rFonts w:ascii="Arial" w:hAnsi="Arial" w:cs="Arial"/>
          <w:color w:val="212121"/>
          <w:sz w:val="20"/>
          <w:szCs w:val="20"/>
          <w:shd w:val="clear" w:color="auto" w:fill="FFFFFF"/>
        </w:rPr>
        <w:t>resectable</w:t>
      </w:r>
      <w:proofErr w:type="spellEnd"/>
      <w:r w:rsidRPr="00360A96">
        <w:rPr>
          <w:rFonts w:ascii="Arial" w:hAnsi="Arial" w:cs="Arial"/>
          <w:color w:val="212121"/>
          <w:sz w:val="20"/>
          <w:szCs w:val="20"/>
          <w:shd w:val="clear" w:color="auto" w:fill="FFFFFF"/>
        </w:rPr>
        <w:t xml:space="preserve"> and locally advanced pancreatic cancer: management algorithm, unanswered questions, and future perspectives. </w:t>
      </w:r>
      <w:r w:rsidRPr="00360A96">
        <w:rPr>
          <w:rFonts w:ascii="Arial" w:hAnsi="Arial" w:cs="Arial"/>
          <w:i/>
          <w:iCs/>
          <w:color w:val="212121"/>
          <w:sz w:val="20"/>
          <w:szCs w:val="20"/>
          <w:shd w:val="clear" w:color="auto" w:fill="FFFFFF"/>
        </w:rPr>
        <w:t>Updates Surg.</w:t>
      </w:r>
      <w:r w:rsidRPr="00360A96">
        <w:rPr>
          <w:rFonts w:ascii="Arial" w:hAnsi="Arial" w:cs="Arial"/>
          <w:color w:val="212121"/>
          <w:sz w:val="20"/>
          <w:szCs w:val="20"/>
          <w:shd w:val="clear" w:color="auto" w:fill="FFFFFF"/>
        </w:rPr>
        <w:t xml:space="preserve"> 76(5):1573-1591. </w:t>
      </w:r>
      <w:r w:rsidRPr="00360A96">
        <w:rPr>
          <w:rFonts w:ascii="Arial" w:hAnsi="Arial" w:cs="Arial"/>
          <w:color w:val="0070C0"/>
          <w:sz w:val="20"/>
          <w:szCs w:val="20"/>
          <w:shd w:val="clear" w:color="auto" w:fill="FFFFFF"/>
        </w:rPr>
        <w:t xml:space="preserve">Doi: 10.1007/s13304-024-01860-0. </w:t>
      </w:r>
    </w:p>
    <w:p w14:paraId="5194566A" w14:textId="77777777" w:rsidR="00533C0F" w:rsidRPr="00360A96" w:rsidRDefault="00533C0F" w:rsidP="002018D0">
      <w:pPr>
        <w:pStyle w:val="HTMLPreformatted"/>
        <w:tabs>
          <w:tab w:val="clear" w:pos="916"/>
          <w:tab w:val="clear" w:pos="1832"/>
          <w:tab w:val="clear" w:pos="2748"/>
        </w:tabs>
        <w:ind w:left="1134" w:right="283" w:hanging="567"/>
        <w:jc w:val="both"/>
        <w:rPr>
          <w:rFonts w:ascii="Arial" w:hAnsi="Arial" w:cs="Arial"/>
          <w:color w:val="212121"/>
          <w:shd w:val="clear" w:color="auto" w:fill="FFFFFF"/>
        </w:rPr>
      </w:pPr>
    </w:p>
    <w:p w14:paraId="42C41027" w14:textId="77777777" w:rsidR="00E04B8F" w:rsidRPr="00360A96" w:rsidRDefault="00E04B8F" w:rsidP="002018D0">
      <w:pPr>
        <w:pStyle w:val="HTMLPreformatted"/>
        <w:tabs>
          <w:tab w:val="clear" w:pos="916"/>
          <w:tab w:val="clear" w:pos="1832"/>
          <w:tab w:val="clear" w:pos="2748"/>
        </w:tabs>
        <w:ind w:left="1134" w:right="283" w:hanging="567"/>
        <w:jc w:val="both"/>
        <w:rPr>
          <w:rFonts w:ascii="Arial" w:hAnsi="Arial" w:cs="Arial"/>
          <w:color w:val="1F1F1F"/>
        </w:rPr>
      </w:pPr>
      <w:r w:rsidRPr="00360A96">
        <w:rPr>
          <w:rFonts w:ascii="Arial" w:hAnsi="Arial" w:cs="Arial"/>
          <w:color w:val="212121"/>
          <w:shd w:val="clear" w:color="auto" w:fill="FFFFFF"/>
        </w:rPr>
        <w:t xml:space="preserve">Bray F, Laversanne M, Sung H, Ferlay J, Siegel RL, Soerjomataram I, et al. (2024). Global cancer statistics 2022: GLOBOCAN estimates of incidence and mortality worldwide for 36 cancers in 185 countries. </w:t>
      </w:r>
      <w:r w:rsidRPr="00360A96">
        <w:rPr>
          <w:rFonts w:ascii="Arial" w:hAnsi="Arial" w:cs="Arial"/>
          <w:i/>
          <w:iCs/>
          <w:color w:val="212121"/>
          <w:shd w:val="clear" w:color="auto" w:fill="FFFFFF"/>
        </w:rPr>
        <w:t>CA Cancer J Clin.</w:t>
      </w:r>
      <w:r w:rsidRPr="00360A96">
        <w:rPr>
          <w:rFonts w:ascii="Arial" w:hAnsi="Arial" w:cs="Arial"/>
          <w:color w:val="212121"/>
          <w:shd w:val="clear" w:color="auto" w:fill="FFFFFF"/>
        </w:rPr>
        <w:t xml:space="preserve"> 74(3):229-263.</w:t>
      </w:r>
      <w:r w:rsidR="00533C0F" w:rsidRPr="00360A96">
        <w:rPr>
          <w:rFonts w:ascii="Arial" w:hAnsi="Arial" w:cs="Arial"/>
          <w:color w:val="212121"/>
          <w:shd w:val="clear" w:color="auto" w:fill="FFFFFF"/>
        </w:rPr>
        <w:t xml:space="preserve"> </w:t>
      </w:r>
      <w:r w:rsidRPr="00360A96">
        <w:rPr>
          <w:rFonts w:ascii="Arial" w:hAnsi="Arial" w:cs="Arial"/>
          <w:color w:val="0070C0"/>
          <w:shd w:val="clear" w:color="auto" w:fill="FFFFFF"/>
        </w:rPr>
        <w:t xml:space="preserve">Doi: 10.3322/caac.21834. </w:t>
      </w:r>
    </w:p>
    <w:p w14:paraId="76AC745E" w14:textId="77777777" w:rsidR="00533C0F" w:rsidRPr="00360A96" w:rsidRDefault="00533C0F" w:rsidP="002018D0">
      <w:pPr>
        <w:pStyle w:val="ListParagraph"/>
        <w:spacing w:after="0" w:line="240" w:lineRule="auto"/>
        <w:ind w:left="1134" w:right="283" w:hanging="567"/>
        <w:jc w:val="both"/>
        <w:rPr>
          <w:rFonts w:ascii="Arial" w:hAnsi="Arial" w:cs="Arial"/>
          <w:bCs/>
          <w:color w:val="000000" w:themeColor="text1"/>
          <w:sz w:val="20"/>
          <w:szCs w:val="20"/>
        </w:rPr>
      </w:pPr>
    </w:p>
    <w:p w14:paraId="50F92FEF"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Carioli G, Malvezzi M, </w:t>
      </w:r>
      <w:proofErr w:type="spellStart"/>
      <w:r w:rsidRPr="00360A96">
        <w:rPr>
          <w:rFonts w:ascii="Arial" w:hAnsi="Arial" w:cs="Arial"/>
          <w:bCs/>
          <w:color w:val="000000" w:themeColor="text1"/>
          <w:sz w:val="20"/>
          <w:szCs w:val="20"/>
        </w:rPr>
        <w:t>Bertuccio</w:t>
      </w:r>
      <w:proofErr w:type="spellEnd"/>
      <w:r w:rsidRPr="00360A96">
        <w:rPr>
          <w:rFonts w:ascii="Arial" w:hAnsi="Arial" w:cs="Arial"/>
          <w:bCs/>
          <w:color w:val="000000" w:themeColor="text1"/>
          <w:sz w:val="20"/>
          <w:szCs w:val="20"/>
        </w:rPr>
        <w:t xml:space="preserve"> P, </w:t>
      </w:r>
      <w:proofErr w:type="spellStart"/>
      <w:r w:rsidRPr="00360A96">
        <w:rPr>
          <w:rFonts w:ascii="Arial" w:hAnsi="Arial" w:cs="Arial"/>
          <w:bCs/>
          <w:color w:val="000000" w:themeColor="text1"/>
          <w:sz w:val="20"/>
          <w:szCs w:val="20"/>
        </w:rPr>
        <w:t>Boffetta</w:t>
      </w:r>
      <w:proofErr w:type="spellEnd"/>
      <w:r w:rsidRPr="00360A96">
        <w:rPr>
          <w:rFonts w:ascii="Arial" w:hAnsi="Arial" w:cs="Arial"/>
          <w:bCs/>
          <w:color w:val="000000" w:themeColor="text1"/>
          <w:sz w:val="20"/>
          <w:szCs w:val="20"/>
        </w:rPr>
        <w:t xml:space="preserve"> P, Levi F, La </w:t>
      </w:r>
      <w:proofErr w:type="spellStart"/>
      <w:r w:rsidRPr="00360A96">
        <w:rPr>
          <w:rFonts w:ascii="Arial" w:hAnsi="Arial" w:cs="Arial"/>
          <w:bCs/>
          <w:color w:val="000000" w:themeColor="text1"/>
          <w:sz w:val="20"/>
          <w:szCs w:val="20"/>
        </w:rPr>
        <w:t>Vecchhia</w:t>
      </w:r>
      <w:proofErr w:type="spellEnd"/>
      <w:r w:rsidRPr="00360A96">
        <w:rPr>
          <w:rFonts w:ascii="Arial" w:hAnsi="Arial" w:cs="Arial"/>
          <w:bCs/>
          <w:color w:val="000000" w:themeColor="text1"/>
          <w:sz w:val="20"/>
          <w:szCs w:val="20"/>
        </w:rPr>
        <w:t xml:space="preserve"> C, et al. (2021). European cancer mortality predictions for the year 2021 with focus on pancreatic and female lung cancer. </w:t>
      </w:r>
      <w:r w:rsidRPr="00360A96">
        <w:rPr>
          <w:rFonts w:ascii="Arial" w:hAnsi="Arial" w:cs="Arial"/>
          <w:bCs/>
          <w:i/>
          <w:iCs/>
          <w:color w:val="000000" w:themeColor="text1"/>
          <w:sz w:val="20"/>
          <w:szCs w:val="20"/>
        </w:rPr>
        <w:t>Ann Oncol.</w:t>
      </w:r>
      <w:r w:rsidRPr="00360A96">
        <w:rPr>
          <w:rFonts w:ascii="Arial" w:hAnsi="Arial" w:cs="Arial"/>
          <w:bCs/>
          <w:color w:val="000000" w:themeColor="text1"/>
          <w:sz w:val="20"/>
          <w:szCs w:val="20"/>
        </w:rPr>
        <w:t xml:space="preserve"> 32(4):478-487.</w:t>
      </w:r>
      <w:r w:rsidR="00533C0F" w:rsidRPr="00360A96">
        <w:rPr>
          <w:rFonts w:ascii="Arial" w:hAnsi="Arial" w:cs="Arial"/>
          <w:bCs/>
          <w:color w:val="000000" w:themeColor="text1"/>
          <w:sz w:val="20"/>
          <w:szCs w:val="20"/>
        </w:rPr>
        <w:t xml:space="preserve"> </w:t>
      </w:r>
      <w:r w:rsidRPr="00360A96">
        <w:rPr>
          <w:rFonts w:ascii="Arial" w:hAnsi="Arial" w:cs="Arial"/>
          <w:bCs/>
          <w:color w:val="0070C0"/>
          <w:sz w:val="20"/>
          <w:szCs w:val="20"/>
        </w:rPr>
        <w:t>https://doi.org/10.1016/j.annoc.2021.01.006</w:t>
      </w:r>
    </w:p>
    <w:p w14:paraId="02B0D259" w14:textId="77777777" w:rsidR="00533C0F" w:rsidRPr="00360A96" w:rsidRDefault="00533C0F"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548250BC" w14:textId="77777777" w:rsidR="005C26DD" w:rsidRPr="00360A96" w:rsidRDefault="005C26DD"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Chen N, Chan CK, Khan FU, Makhijani P, Valentino TR, Winer S, et al. (2026). Gut microbiota-derived metabolites as immune modulators in aging and age-related chronic inflammatory diseases. </w:t>
      </w:r>
      <w:r w:rsidRPr="00360A96">
        <w:rPr>
          <w:rFonts w:ascii="Arial" w:hAnsi="Arial" w:cs="Arial"/>
          <w:i/>
          <w:iCs/>
          <w:color w:val="212121"/>
          <w:sz w:val="20"/>
          <w:szCs w:val="20"/>
          <w:shd w:val="clear" w:color="auto" w:fill="FFFFFF"/>
        </w:rPr>
        <w:t>Ageing Res Rev.</w:t>
      </w:r>
      <w:r w:rsidRPr="00360A96">
        <w:rPr>
          <w:rFonts w:ascii="Arial" w:hAnsi="Arial" w:cs="Arial"/>
          <w:color w:val="212121"/>
          <w:sz w:val="20"/>
          <w:szCs w:val="20"/>
          <w:shd w:val="clear" w:color="auto" w:fill="FFFFFF"/>
        </w:rPr>
        <w:t xml:space="preserve"> 116:103036.</w:t>
      </w:r>
      <w:r w:rsidR="00533C0F" w:rsidRPr="00360A96">
        <w:rPr>
          <w:rFonts w:ascii="Arial" w:hAnsi="Arial" w:cs="Arial"/>
          <w:color w:val="212121"/>
          <w:sz w:val="20"/>
          <w:szCs w:val="20"/>
          <w:shd w:val="clear" w:color="auto" w:fill="FFFFFF"/>
        </w:rPr>
        <w:t xml:space="preserve"> </w:t>
      </w:r>
      <w:r w:rsidRPr="00360A96">
        <w:rPr>
          <w:rFonts w:ascii="Arial" w:hAnsi="Arial" w:cs="Arial"/>
          <w:color w:val="0070C0"/>
          <w:sz w:val="20"/>
          <w:szCs w:val="20"/>
          <w:shd w:val="clear" w:color="auto" w:fill="FFFFFF"/>
        </w:rPr>
        <w:t>Doi: 10.1016/j.arr.2026.103036</w:t>
      </w:r>
    </w:p>
    <w:p w14:paraId="2660232D"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Chen P-T, Wu T, Wang P, Chang D, Liu K-L, Wu M-S, et al. (2023). Pancreatic cancer detection on CT scans with deep learning: A nationwide population-based study. Radiology. 306(1):172-182. </w:t>
      </w:r>
      <w:hyperlink r:id="rId9" w:history="1">
        <w:r w:rsidRPr="00360A96">
          <w:rPr>
            <w:rStyle w:val="Hyperlink"/>
            <w:rFonts w:ascii="Arial" w:hAnsi="Arial" w:cs="Arial"/>
            <w:color w:val="0070C0"/>
            <w:sz w:val="20"/>
            <w:szCs w:val="20"/>
            <w:u w:val="none"/>
          </w:rPr>
          <w:t>https://doi.org/10.1148/radiol.220152</w:t>
        </w:r>
      </w:hyperlink>
      <w:r w:rsidRPr="00360A96">
        <w:rPr>
          <w:rFonts w:ascii="Arial" w:hAnsi="Arial" w:cs="Arial"/>
          <w:bCs/>
          <w:color w:val="0070C0"/>
          <w:sz w:val="20"/>
          <w:szCs w:val="20"/>
        </w:rPr>
        <w:t xml:space="preserve"> </w:t>
      </w:r>
    </w:p>
    <w:p w14:paraId="51324EE3"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120936A1" w14:textId="77777777" w:rsidR="00E04B8F" w:rsidRPr="00360A96" w:rsidRDefault="00E04B8F" w:rsidP="002018D0">
      <w:pPr>
        <w:pStyle w:val="ListParagraph"/>
        <w:spacing w:after="0" w:line="240" w:lineRule="auto"/>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Chin V, </w:t>
      </w:r>
      <w:proofErr w:type="spellStart"/>
      <w:r w:rsidRPr="00360A96">
        <w:rPr>
          <w:rFonts w:ascii="Arial" w:hAnsi="Arial" w:cs="Arial"/>
          <w:bCs/>
          <w:color w:val="000000" w:themeColor="text1"/>
          <w:sz w:val="20"/>
          <w:szCs w:val="20"/>
        </w:rPr>
        <w:t>Nagrial</w:t>
      </w:r>
      <w:proofErr w:type="spellEnd"/>
      <w:r w:rsidRPr="00360A96">
        <w:rPr>
          <w:rFonts w:ascii="Arial" w:hAnsi="Arial" w:cs="Arial"/>
          <w:bCs/>
          <w:color w:val="000000" w:themeColor="text1"/>
          <w:sz w:val="20"/>
          <w:szCs w:val="20"/>
        </w:rPr>
        <w:t xml:space="preserve"> A, </w:t>
      </w:r>
      <w:proofErr w:type="spellStart"/>
      <w:r w:rsidRPr="00360A96">
        <w:rPr>
          <w:rFonts w:ascii="Arial" w:hAnsi="Arial" w:cs="Arial"/>
          <w:bCs/>
          <w:color w:val="000000" w:themeColor="text1"/>
          <w:sz w:val="20"/>
          <w:szCs w:val="20"/>
        </w:rPr>
        <w:t>Sjoquist</w:t>
      </w:r>
      <w:proofErr w:type="spellEnd"/>
      <w:r w:rsidRPr="00360A96">
        <w:rPr>
          <w:rFonts w:ascii="Arial" w:hAnsi="Arial" w:cs="Arial"/>
          <w:bCs/>
          <w:color w:val="000000" w:themeColor="text1"/>
          <w:sz w:val="20"/>
          <w:szCs w:val="20"/>
        </w:rPr>
        <w:t xml:space="preserve"> K, O’Connor CA, </w:t>
      </w:r>
      <w:proofErr w:type="spellStart"/>
      <w:r w:rsidRPr="00360A96">
        <w:rPr>
          <w:rFonts w:ascii="Arial" w:hAnsi="Arial" w:cs="Arial"/>
          <w:bCs/>
          <w:color w:val="000000" w:themeColor="text1"/>
          <w:sz w:val="20"/>
          <w:szCs w:val="20"/>
        </w:rPr>
        <w:t>Chantrill</w:t>
      </w:r>
      <w:proofErr w:type="spellEnd"/>
      <w:r w:rsidRPr="00360A96">
        <w:rPr>
          <w:rFonts w:ascii="Arial" w:hAnsi="Arial" w:cs="Arial"/>
          <w:bCs/>
          <w:color w:val="000000" w:themeColor="text1"/>
          <w:sz w:val="20"/>
          <w:szCs w:val="20"/>
        </w:rPr>
        <w:t xml:space="preserve"> L, </w:t>
      </w:r>
      <w:proofErr w:type="spellStart"/>
      <w:r w:rsidRPr="00360A96">
        <w:rPr>
          <w:rFonts w:ascii="Arial" w:hAnsi="Arial" w:cs="Arial"/>
          <w:bCs/>
          <w:color w:val="000000" w:themeColor="text1"/>
          <w:sz w:val="20"/>
          <w:szCs w:val="20"/>
        </w:rPr>
        <w:t>Biankin</w:t>
      </w:r>
      <w:proofErr w:type="spellEnd"/>
      <w:r w:rsidRPr="00360A96">
        <w:rPr>
          <w:rFonts w:ascii="Arial" w:hAnsi="Arial" w:cs="Arial"/>
          <w:bCs/>
          <w:color w:val="000000" w:themeColor="text1"/>
          <w:sz w:val="20"/>
          <w:szCs w:val="20"/>
        </w:rPr>
        <w:t xml:space="preserve"> AV, et al. (2018). Chemotherapy and radiotherapy for advanced pancreatic cancer. </w:t>
      </w:r>
      <w:r w:rsidRPr="00360A96">
        <w:rPr>
          <w:rFonts w:ascii="Arial" w:hAnsi="Arial" w:cs="Arial"/>
          <w:bCs/>
          <w:i/>
          <w:iCs/>
          <w:color w:val="000000" w:themeColor="text1"/>
          <w:sz w:val="20"/>
          <w:szCs w:val="20"/>
        </w:rPr>
        <w:t>Cochrane Database Syst Rev</w:t>
      </w:r>
      <w:r w:rsidRPr="00360A96">
        <w:rPr>
          <w:rFonts w:ascii="Arial" w:hAnsi="Arial" w:cs="Arial"/>
          <w:bCs/>
          <w:color w:val="000000" w:themeColor="text1"/>
          <w:sz w:val="20"/>
          <w:szCs w:val="20"/>
        </w:rPr>
        <w:t xml:space="preserve">. </w:t>
      </w:r>
      <w:r w:rsidRPr="00360A96">
        <w:rPr>
          <w:rFonts w:ascii="Arial" w:hAnsi="Arial" w:cs="Arial"/>
          <w:bCs/>
          <w:sz w:val="20"/>
          <w:szCs w:val="20"/>
        </w:rPr>
        <w:t xml:space="preserve">3(3):CD011044. </w:t>
      </w:r>
      <w:r w:rsidRPr="00360A96">
        <w:rPr>
          <w:rFonts w:ascii="Arial" w:hAnsi="Arial" w:cs="Arial"/>
          <w:bCs/>
          <w:color w:val="0070C0"/>
          <w:sz w:val="20"/>
          <w:szCs w:val="20"/>
        </w:rPr>
        <w:t>Doi:10.1002/14651858.CD01 1044.pub2</w:t>
      </w:r>
    </w:p>
    <w:p w14:paraId="06818201" w14:textId="77777777" w:rsidR="00D4504A" w:rsidRPr="00360A96" w:rsidRDefault="00D4504A" w:rsidP="002018D0">
      <w:pPr>
        <w:pStyle w:val="NormalWeb"/>
        <w:spacing w:before="0" w:beforeAutospacing="0" w:after="0" w:afterAutospacing="0"/>
        <w:ind w:left="1134" w:right="283" w:hanging="567"/>
        <w:jc w:val="both"/>
        <w:rPr>
          <w:rFonts w:ascii="Arial" w:hAnsi="Arial" w:cs="Arial"/>
          <w:color w:val="212121"/>
          <w:sz w:val="20"/>
          <w:szCs w:val="20"/>
          <w:shd w:val="clear" w:color="auto" w:fill="FFFFFF"/>
        </w:rPr>
      </w:pPr>
    </w:p>
    <w:p w14:paraId="316506BA"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Chu X, Wei D, Liu X, Long D, Tian X, Yang Y. </w:t>
      </w:r>
      <w:r w:rsidRPr="00360A96">
        <w:rPr>
          <w:rFonts w:ascii="Arial" w:hAnsi="Arial" w:cs="Arial"/>
          <w:color w:val="212121"/>
          <w:sz w:val="20"/>
          <w:szCs w:val="20"/>
          <w:shd w:val="clear" w:color="auto" w:fill="FFFFFF"/>
          <w:lang w:val="tr-TR"/>
        </w:rPr>
        <w:t xml:space="preserve">(2022). </w:t>
      </w:r>
      <w:r w:rsidRPr="00360A96">
        <w:rPr>
          <w:rFonts w:ascii="Arial" w:hAnsi="Arial" w:cs="Arial"/>
          <w:color w:val="212121"/>
          <w:sz w:val="20"/>
          <w:szCs w:val="20"/>
          <w:shd w:val="clear" w:color="auto" w:fill="FFFFFF"/>
        </w:rPr>
        <w:t xml:space="preserve">MicroRNAs as potential therapeutic targets for pancreatic cancer. </w:t>
      </w:r>
      <w:r w:rsidRPr="00360A96">
        <w:rPr>
          <w:rFonts w:ascii="Arial" w:hAnsi="Arial" w:cs="Arial"/>
          <w:i/>
          <w:iCs/>
          <w:color w:val="212121"/>
          <w:sz w:val="20"/>
          <w:szCs w:val="20"/>
          <w:shd w:val="clear" w:color="auto" w:fill="FFFFFF"/>
        </w:rPr>
        <w:t>Chin Med J</w:t>
      </w:r>
      <w:r w:rsidRPr="00360A96">
        <w:rPr>
          <w:rFonts w:ascii="Arial" w:hAnsi="Arial" w:cs="Arial"/>
          <w:color w:val="212121"/>
          <w:sz w:val="20"/>
          <w:szCs w:val="20"/>
          <w:shd w:val="clear" w:color="auto" w:fill="FFFFFF"/>
        </w:rPr>
        <w:t xml:space="preserve"> (Engl). 135(1):4-10. </w:t>
      </w:r>
      <w:r w:rsidRPr="00360A96">
        <w:rPr>
          <w:rFonts w:ascii="Arial" w:hAnsi="Arial" w:cs="Arial"/>
          <w:color w:val="0070C0"/>
          <w:sz w:val="20"/>
          <w:szCs w:val="20"/>
          <w:shd w:val="clear" w:color="auto" w:fill="FFFFFF"/>
        </w:rPr>
        <w:t>Doi:10.1097/CM9.0000000000001826</w:t>
      </w:r>
      <w:r w:rsidRPr="00360A96">
        <w:rPr>
          <w:rFonts w:ascii="Arial" w:hAnsi="Arial" w:cs="Arial"/>
          <w:color w:val="212121"/>
          <w:sz w:val="20"/>
          <w:szCs w:val="20"/>
          <w:shd w:val="clear" w:color="auto" w:fill="FFFFFF"/>
        </w:rPr>
        <w:t xml:space="preserve">. </w:t>
      </w:r>
    </w:p>
    <w:p w14:paraId="0BBFE76A"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211E1E"/>
          <w:sz w:val="20"/>
          <w:szCs w:val="20"/>
        </w:rPr>
        <w:t xml:space="preserve">De Castilhos J, Tillmanns K, Blessing J, Larano A, Borisov V, Stein-Thoeringer CK (2024). Microbiome and pancreatic cancer: Time to think about chemotherapy. </w:t>
      </w:r>
      <w:r w:rsidRPr="00360A96">
        <w:rPr>
          <w:rFonts w:ascii="Arial" w:hAnsi="Arial" w:cs="Arial"/>
          <w:i/>
          <w:iCs/>
          <w:color w:val="211E1E"/>
          <w:sz w:val="20"/>
          <w:szCs w:val="20"/>
        </w:rPr>
        <w:t>Gut Microbiomes</w:t>
      </w:r>
      <w:r w:rsidRPr="00360A96">
        <w:rPr>
          <w:rFonts w:ascii="Arial" w:hAnsi="Arial" w:cs="Arial"/>
          <w:color w:val="211E1E"/>
          <w:sz w:val="20"/>
          <w:szCs w:val="20"/>
        </w:rPr>
        <w:t>. 16(1):2374596.</w:t>
      </w:r>
      <w:r w:rsidRPr="00360A96">
        <w:rPr>
          <w:rFonts w:ascii="Arial" w:hAnsi="Arial" w:cs="Arial"/>
          <w:color w:val="0070C0"/>
          <w:sz w:val="20"/>
          <w:szCs w:val="20"/>
        </w:rPr>
        <w:t>https://doi.org/10.1080/19490976.2024.2374596</w:t>
      </w:r>
    </w:p>
    <w:p w14:paraId="5C1D78D1"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Dong F, Zhou J, Wu Y, Gao Z, Li W, Song Z (2025). MicroRNAs in pancreatic cancer drug resistance: Mechanisms and therapeutic potential. </w:t>
      </w:r>
      <w:r w:rsidRPr="00360A96">
        <w:rPr>
          <w:rFonts w:ascii="Arial" w:hAnsi="Arial" w:cs="Arial"/>
          <w:i/>
          <w:iCs/>
          <w:sz w:val="20"/>
          <w:szCs w:val="20"/>
        </w:rPr>
        <w:t>Front Cell Dev Biol.</w:t>
      </w:r>
      <w:r w:rsidRPr="00360A96">
        <w:rPr>
          <w:rFonts w:ascii="Arial" w:hAnsi="Arial" w:cs="Arial"/>
          <w:sz w:val="20"/>
          <w:szCs w:val="20"/>
        </w:rPr>
        <w:t xml:space="preserve"> 12:1499111.</w:t>
      </w:r>
      <w:r w:rsidR="0079698F" w:rsidRPr="00360A96">
        <w:rPr>
          <w:rFonts w:ascii="Arial" w:hAnsi="Arial" w:cs="Arial"/>
          <w:sz w:val="20"/>
          <w:szCs w:val="20"/>
        </w:rPr>
        <w:tab/>
      </w:r>
      <w:r w:rsidRPr="00360A96">
        <w:rPr>
          <w:rFonts w:ascii="Arial" w:hAnsi="Arial" w:cs="Arial"/>
          <w:sz w:val="20"/>
          <w:szCs w:val="20"/>
        </w:rPr>
        <w:t xml:space="preserve"> </w:t>
      </w:r>
      <w:r w:rsidR="0079698F" w:rsidRPr="00360A96">
        <w:rPr>
          <w:rFonts w:ascii="Arial" w:hAnsi="Arial" w:cs="Arial"/>
          <w:sz w:val="20"/>
          <w:szCs w:val="20"/>
          <w:lang w:val="tr-TR"/>
        </w:rPr>
        <w:t xml:space="preserve">                                        </w:t>
      </w:r>
      <w:r w:rsidRPr="00360A96">
        <w:rPr>
          <w:rFonts w:ascii="Arial" w:hAnsi="Arial" w:cs="Arial"/>
          <w:color w:val="0070C0"/>
          <w:sz w:val="20"/>
          <w:szCs w:val="20"/>
        </w:rPr>
        <w:t>Doi: 10.3389/fcell.2024.1499111</w:t>
      </w:r>
    </w:p>
    <w:p w14:paraId="71B0C350" w14:textId="77777777" w:rsidR="00D4504A" w:rsidRPr="00360A96" w:rsidRDefault="00D4504A" w:rsidP="002018D0">
      <w:pPr>
        <w:pStyle w:val="ListParagraph"/>
        <w:spacing w:after="0" w:line="240" w:lineRule="auto"/>
        <w:ind w:left="1134" w:right="283" w:hanging="567"/>
        <w:jc w:val="both"/>
        <w:rPr>
          <w:rFonts w:ascii="Arial" w:hAnsi="Arial" w:cs="Arial"/>
          <w:color w:val="000000" w:themeColor="text1"/>
          <w:sz w:val="20"/>
          <w:szCs w:val="20"/>
        </w:rPr>
      </w:pPr>
    </w:p>
    <w:p w14:paraId="2541C8A7" w14:textId="77777777" w:rsidR="00E04B8F" w:rsidRPr="00360A96" w:rsidRDefault="00E04B8F" w:rsidP="002018D0">
      <w:pPr>
        <w:pStyle w:val="ListParagraph"/>
        <w:spacing w:after="0" w:line="240" w:lineRule="auto"/>
        <w:ind w:left="1134" w:right="283" w:hanging="567"/>
        <w:jc w:val="both"/>
        <w:rPr>
          <w:rFonts w:ascii="Arial" w:hAnsi="Arial" w:cs="Arial"/>
          <w:color w:val="000000" w:themeColor="text1"/>
          <w:sz w:val="20"/>
          <w:szCs w:val="20"/>
          <w:u w:val="single"/>
        </w:rPr>
      </w:pPr>
      <w:proofErr w:type="spellStart"/>
      <w:r w:rsidRPr="00360A96">
        <w:rPr>
          <w:rFonts w:ascii="Arial" w:hAnsi="Arial" w:cs="Arial"/>
          <w:color w:val="000000" w:themeColor="text1"/>
          <w:sz w:val="20"/>
          <w:szCs w:val="20"/>
        </w:rPr>
        <w:lastRenderedPageBreak/>
        <w:t>Eser</w:t>
      </w:r>
      <w:proofErr w:type="spellEnd"/>
      <w:r w:rsidRPr="00360A96">
        <w:rPr>
          <w:rFonts w:ascii="Arial" w:hAnsi="Arial" w:cs="Arial"/>
          <w:color w:val="000000" w:themeColor="text1"/>
          <w:sz w:val="20"/>
          <w:szCs w:val="20"/>
        </w:rPr>
        <w:t xml:space="preserve"> S, </w:t>
      </w:r>
      <w:proofErr w:type="spellStart"/>
      <w:r w:rsidRPr="00360A96">
        <w:rPr>
          <w:rFonts w:ascii="Arial" w:hAnsi="Arial" w:cs="Arial"/>
          <w:color w:val="000000" w:themeColor="text1"/>
          <w:sz w:val="20"/>
          <w:szCs w:val="20"/>
        </w:rPr>
        <w:t>Schnieke</w:t>
      </w:r>
      <w:proofErr w:type="spellEnd"/>
      <w:r w:rsidRPr="00360A96">
        <w:rPr>
          <w:rFonts w:ascii="Arial" w:hAnsi="Arial" w:cs="Arial"/>
          <w:color w:val="000000" w:themeColor="text1"/>
          <w:sz w:val="20"/>
          <w:szCs w:val="20"/>
        </w:rPr>
        <w:t xml:space="preserve"> A, Schneider G, Saur D (2014). Oncogenic KRAS signaling in pancreatic cancer. </w:t>
      </w:r>
      <w:r w:rsidRPr="00360A96">
        <w:rPr>
          <w:rFonts w:ascii="Arial" w:hAnsi="Arial" w:cs="Arial"/>
          <w:i/>
          <w:iCs/>
          <w:color w:val="000000" w:themeColor="text1"/>
          <w:sz w:val="20"/>
          <w:szCs w:val="20"/>
          <w:bdr w:val="single" w:sz="2" w:space="0" w:color="ECEDEE" w:frame="1"/>
        </w:rPr>
        <w:t>Brit J Cancer</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111</w:t>
      </w:r>
      <w:r w:rsidRPr="00360A96">
        <w:rPr>
          <w:rFonts w:ascii="Arial" w:hAnsi="Arial" w:cs="Arial"/>
          <w:color w:val="000000" w:themeColor="text1"/>
          <w:sz w:val="20"/>
          <w:szCs w:val="20"/>
        </w:rPr>
        <w:t xml:space="preserve">(5):817-822. </w:t>
      </w:r>
      <w:r w:rsidRPr="00360A96">
        <w:rPr>
          <w:rStyle w:val="url"/>
          <w:rFonts w:ascii="Arial" w:hAnsi="Arial" w:cs="Arial"/>
          <w:color w:val="0070C0"/>
          <w:sz w:val="20"/>
          <w:szCs w:val="20"/>
          <w:bdr w:val="single" w:sz="2" w:space="0" w:color="ECEDEE" w:frame="1"/>
        </w:rPr>
        <w:t xml:space="preserve">Doi: </w:t>
      </w:r>
      <w:hyperlink r:id="rId10" w:tgtFrame="_blank" w:history="1">
        <w:r w:rsidRPr="00360A96">
          <w:rPr>
            <w:rStyle w:val="Hyperlink"/>
            <w:rFonts w:ascii="Arial" w:hAnsi="Arial" w:cs="Arial"/>
            <w:color w:val="376FAA"/>
            <w:sz w:val="20"/>
            <w:szCs w:val="20"/>
            <w:u w:val="none"/>
            <w:shd w:val="clear" w:color="auto" w:fill="FFFFFF"/>
          </w:rPr>
          <w:t>10.1038/bjc.2014.215</w:t>
        </w:r>
      </w:hyperlink>
    </w:p>
    <w:p w14:paraId="67BB7A6B" w14:textId="77777777" w:rsidR="00D4504A" w:rsidRPr="00360A96" w:rsidRDefault="00D4504A"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1E544D37"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proofErr w:type="spellStart"/>
      <w:r w:rsidRPr="00360A96">
        <w:rPr>
          <w:rFonts w:ascii="Arial" w:hAnsi="Arial" w:cs="Arial"/>
          <w:color w:val="212121"/>
          <w:sz w:val="20"/>
          <w:szCs w:val="20"/>
          <w:shd w:val="clear" w:color="auto" w:fill="FFFFFF"/>
        </w:rPr>
        <w:t>Ferlay</w:t>
      </w:r>
      <w:proofErr w:type="spellEnd"/>
      <w:r w:rsidRPr="00360A96">
        <w:rPr>
          <w:rFonts w:ascii="Arial" w:hAnsi="Arial" w:cs="Arial"/>
          <w:color w:val="212121"/>
          <w:sz w:val="20"/>
          <w:szCs w:val="20"/>
          <w:shd w:val="clear" w:color="auto" w:fill="FFFFFF"/>
        </w:rPr>
        <w:t xml:space="preserve"> J, </w:t>
      </w:r>
      <w:proofErr w:type="spellStart"/>
      <w:r w:rsidRPr="00360A96">
        <w:rPr>
          <w:rFonts w:ascii="Arial" w:hAnsi="Arial" w:cs="Arial"/>
          <w:color w:val="212121"/>
          <w:sz w:val="20"/>
          <w:szCs w:val="20"/>
          <w:shd w:val="clear" w:color="auto" w:fill="FFFFFF"/>
        </w:rPr>
        <w:t>Colombet</w:t>
      </w:r>
      <w:proofErr w:type="spellEnd"/>
      <w:r w:rsidRPr="00360A96">
        <w:rPr>
          <w:rFonts w:ascii="Arial" w:hAnsi="Arial" w:cs="Arial"/>
          <w:color w:val="212121"/>
          <w:sz w:val="20"/>
          <w:szCs w:val="20"/>
          <w:shd w:val="clear" w:color="auto" w:fill="FFFFFF"/>
        </w:rPr>
        <w:t xml:space="preserve"> M, </w:t>
      </w:r>
      <w:proofErr w:type="spellStart"/>
      <w:r w:rsidRPr="00360A96">
        <w:rPr>
          <w:rFonts w:ascii="Arial" w:hAnsi="Arial" w:cs="Arial"/>
          <w:color w:val="212121"/>
          <w:sz w:val="20"/>
          <w:szCs w:val="20"/>
          <w:shd w:val="clear" w:color="auto" w:fill="FFFFFF"/>
        </w:rPr>
        <w:t>Soerjomataram</w:t>
      </w:r>
      <w:proofErr w:type="spellEnd"/>
      <w:r w:rsidRPr="00360A96">
        <w:rPr>
          <w:rFonts w:ascii="Arial" w:hAnsi="Arial" w:cs="Arial"/>
          <w:color w:val="212121"/>
          <w:sz w:val="20"/>
          <w:szCs w:val="20"/>
          <w:shd w:val="clear" w:color="auto" w:fill="FFFFFF"/>
        </w:rPr>
        <w:t xml:space="preserve"> I, Mathers C, Parkin DM, Piñeros M, et al. (2019). Estimating the global cancer incidence and mortality in 2018: GLOBOCAN sources and methods. </w:t>
      </w:r>
      <w:r w:rsidRPr="00360A96">
        <w:rPr>
          <w:rFonts w:ascii="Arial" w:hAnsi="Arial" w:cs="Arial"/>
          <w:i/>
          <w:iCs/>
          <w:color w:val="212121"/>
          <w:sz w:val="20"/>
          <w:szCs w:val="20"/>
          <w:shd w:val="clear" w:color="auto" w:fill="FFFFFF"/>
        </w:rPr>
        <w:t>Int J Cancer</w:t>
      </w:r>
      <w:r w:rsidRPr="00360A96">
        <w:rPr>
          <w:rFonts w:ascii="Arial" w:hAnsi="Arial" w:cs="Arial"/>
          <w:color w:val="212121"/>
          <w:sz w:val="20"/>
          <w:szCs w:val="20"/>
          <w:shd w:val="clear" w:color="auto" w:fill="FFFFFF"/>
        </w:rPr>
        <w:t xml:space="preserve">. 144(8):1941-1953. </w:t>
      </w:r>
      <w:r w:rsidRPr="00360A96">
        <w:rPr>
          <w:rFonts w:ascii="Arial" w:hAnsi="Arial" w:cs="Arial"/>
          <w:color w:val="0070C0"/>
          <w:sz w:val="20"/>
          <w:szCs w:val="20"/>
          <w:shd w:val="clear" w:color="auto" w:fill="FFFFFF"/>
        </w:rPr>
        <w:t xml:space="preserve">Doi: 10.1002/ijc.31937. </w:t>
      </w:r>
    </w:p>
    <w:p w14:paraId="2322F180" w14:textId="77777777" w:rsidR="00D4504A" w:rsidRPr="00360A96" w:rsidRDefault="00D4504A" w:rsidP="002018D0">
      <w:pPr>
        <w:pStyle w:val="NormalWeb"/>
        <w:spacing w:before="0" w:beforeAutospacing="0" w:after="0" w:afterAutospacing="0"/>
        <w:ind w:left="1134" w:right="283" w:hanging="567"/>
        <w:jc w:val="both"/>
        <w:rPr>
          <w:rFonts w:ascii="Arial" w:hAnsi="Arial" w:cs="Arial"/>
          <w:sz w:val="20"/>
          <w:szCs w:val="20"/>
        </w:rPr>
      </w:pPr>
    </w:p>
    <w:p w14:paraId="0E979006"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Fesler A, Ju J (2020). Development of microRNA-based therapy for pancreatic cancer. </w:t>
      </w:r>
      <w:r w:rsidRPr="00360A96">
        <w:rPr>
          <w:rFonts w:ascii="Arial" w:hAnsi="Arial" w:cs="Arial"/>
          <w:i/>
          <w:iCs/>
          <w:sz w:val="20"/>
          <w:szCs w:val="20"/>
        </w:rPr>
        <w:t>J Pancreatol.</w:t>
      </w:r>
      <w:r w:rsidRPr="00360A96">
        <w:rPr>
          <w:rFonts w:ascii="Arial" w:hAnsi="Arial" w:cs="Arial"/>
          <w:sz w:val="20"/>
          <w:szCs w:val="20"/>
        </w:rPr>
        <w:t xml:space="preserve"> 2(4):147-151. </w:t>
      </w:r>
      <w:r w:rsidRPr="00360A96">
        <w:rPr>
          <w:rFonts w:ascii="Arial" w:hAnsi="Arial" w:cs="Arial"/>
          <w:color w:val="0070C0"/>
          <w:sz w:val="20"/>
          <w:szCs w:val="20"/>
        </w:rPr>
        <w:t>Doi: 10.1097/jp9.0000000000000029</w:t>
      </w:r>
    </w:p>
    <w:p w14:paraId="677CE575" w14:textId="77777777" w:rsidR="00D4504A" w:rsidRPr="00360A96" w:rsidRDefault="00D4504A" w:rsidP="002018D0">
      <w:pPr>
        <w:pStyle w:val="ListParagraph"/>
        <w:spacing w:after="0" w:line="240" w:lineRule="auto"/>
        <w:ind w:left="1134" w:right="283" w:hanging="567"/>
        <w:jc w:val="both"/>
        <w:rPr>
          <w:rFonts w:ascii="Arial" w:hAnsi="Arial" w:cs="Arial"/>
          <w:color w:val="000000" w:themeColor="text1"/>
          <w:sz w:val="20"/>
          <w:szCs w:val="20"/>
        </w:rPr>
      </w:pPr>
    </w:p>
    <w:p w14:paraId="3D7BAAF2" w14:textId="77777777" w:rsidR="00E04B8F" w:rsidRPr="00360A96" w:rsidRDefault="00E04B8F" w:rsidP="002018D0">
      <w:pPr>
        <w:pStyle w:val="ListParagraph"/>
        <w:spacing w:after="0" w:line="240" w:lineRule="auto"/>
        <w:ind w:left="1134" w:right="283" w:hanging="567"/>
        <w:jc w:val="both"/>
        <w:rPr>
          <w:rFonts w:ascii="Arial" w:hAnsi="Arial" w:cs="Arial"/>
          <w:color w:val="00B0F0"/>
          <w:sz w:val="20"/>
          <w:szCs w:val="20"/>
        </w:rPr>
      </w:pPr>
      <w:r w:rsidRPr="00360A96">
        <w:rPr>
          <w:rFonts w:ascii="Arial" w:hAnsi="Arial" w:cs="Arial"/>
          <w:color w:val="000000" w:themeColor="text1"/>
          <w:sz w:val="20"/>
          <w:szCs w:val="20"/>
        </w:rPr>
        <w:t xml:space="preserve">Garrido–Laguna I, Hidalgo M. (2015). Pancreatic cancer: from state-of-the-art treatments to promising novel therapies. </w:t>
      </w:r>
      <w:r w:rsidRPr="00360A96">
        <w:rPr>
          <w:rFonts w:ascii="Arial" w:hAnsi="Arial" w:cs="Arial"/>
          <w:i/>
          <w:iCs/>
          <w:color w:val="000000" w:themeColor="text1"/>
          <w:sz w:val="20"/>
          <w:szCs w:val="20"/>
        </w:rPr>
        <w:t>Nat Rev Clin Oncol.</w:t>
      </w:r>
      <w:r w:rsidRPr="00360A96">
        <w:rPr>
          <w:rFonts w:ascii="Arial" w:hAnsi="Arial" w:cs="Arial"/>
          <w:color w:val="000000" w:themeColor="text1"/>
          <w:sz w:val="20"/>
          <w:szCs w:val="20"/>
        </w:rPr>
        <w:t xml:space="preserve"> 12(6):319-334.</w:t>
      </w:r>
      <w:r w:rsidRPr="00360A96">
        <w:rPr>
          <w:rFonts w:ascii="Arial" w:hAnsi="Arial" w:cs="Arial"/>
          <w:color w:val="000000" w:themeColor="text1"/>
          <w:sz w:val="20"/>
          <w:szCs w:val="20"/>
        </w:rPr>
        <w:tab/>
        <w:t xml:space="preserve">                                               </w:t>
      </w:r>
      <w:r w:rsidRPr="00360A96">
        <w:rPr>
          <w:rFonts w:ascii="Arial" w:hAnsi="Arial" w:cs="Arial"/>
          <w:color w:val="0070C0"/>
          <w:sz w:val="20"/>
          <w:szCs w:val="20"/>
        </w:rPr>
        <w:t>Doi: 10.1038/nrclinonc.2015.53</w:t>
      </w:r>
      <w:r w:rsidRPr="00360A96">
        <w:rPr>
          <w:rFonts w:ascii="Arial" w:hAnsi="Arial" w:cs="Arial"/>
          <w:color w:val="000000" w:themeColor="text1"/>
          <w:sz w:val="20"/>
          <w:szCs w:val="20"/>
        </w:rPr>
        <w:t>.</w:t>
      </w:r>
    </w:p>
    <w:p w14:paraId="4C59DFE7"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Han S, Choi DW, Choi SH, Heo JS, Han IW, You YH (2021). Long-term outcomes following en bloc resection for pancreatic ductal adenocarcinoma of the head with portomesenteric venous invasion. </w:t>
      </w:r>
      <w:r w:rsidRPr="00360A96">
        <w:rPr>
          <w:rFonts w:ascii="Arial" w:hAnsi="Arial" w:cs="Arial"/>
          <w:i/>
          <w:iCs/>
          <w:sz w:val="20"/>
          <w:szCs w:val="20"/>
        </w:rPr>
        <w:t>Asian J Surg.</w:t>
      </w:r>
      <w:r w:rsidRPr="00360A96">
        <w:rPr>
          <w:rFonts w:ascii="Arial" w:hAnsi="Arial" w:cs="Arial"/>
          <w:sz w:val="20"/>
          <w:szCs w:val="20"/>
        </w:rPr>
        <w:t xml:space="preserve"> 44:313-320.</w:t>
      </w:r>
      <w:r w:rsidRPr="00360A96">
        <w:rPr>
          <w:rFonts w:ascii="Arial" w:hAnsi="Arial" w:cs="Arial"/>
          <w:sz w:val="20"/>
          <w:szCs w:val="20"/>
        </w:rPr>
        <w:tab/>
        <w:t xml:space="preserve"> </w:t>
      </w:r>
      <w:hyperlink r:id="rId11" w:history="1">
        <w:r w:rsidRPr="00360A96">
          <w:rPr>
            <w:rStyle w:val="Hyperlink"/>
            <w:rFonts w:ascii="Arial" w:eastAsiaTheme="majorEastAsia" w:hAnsi="Arial" w:cs="Arial"/>
            <w:color w:val="0070C0"/>
            <w:sz w:val="20"/>
            <w:szCs w:val="20"/>
            <w:u w:val="none"/>
          </w:rPr>
          <w:t>https://doi.org/10.1016/j.asjsur.2020.07.021</w:t>
        </w:r>
      </w:hyperlink>
      <w:r w:rsidRPr="00360A96">
        <w:rPr>
          <w:rFonts w:ascii="Arial" w:hAnsi="Arial" w:cs="Arial"/>
          <w:color w:val="0070C0"/>
          <w:sz w:val="20"/>
          <w:szCs w:val="20"/>
        </w:rPr>
        <w:t xml:space="preserve"> </w:t>
      </w:r>
      <w:r w:rsidRPr="00360A96">
        <w:rPr>
          <w:rFonts w:ascii="Arial" w:hAnsi="Arial" w:cs="Arial"/>
          <w:color w:val="0070C0"/>
          <w:sz w:val="20"/>
          <w:szCs w:val="20"/>
          <w:lang w:val="tr-TR"/>
        </w:rPr>
        <w:t xml:space="preserve"> </w:t>
      </w:r>
    </w:p>
    <w:p w14:paraId="2EEF8087" w14:textId="77777777" w:rsidR="00E04B8F" w:rsidRPr="00360A96" w:rsidRDefault="00E04B8F" w:rsidP="002018D0">
      <w:pPr>
        <w:pStyle w:val="ListParagraph"/>
        <w:shd w:val="clear" w:color="auto" w:fill="FFFFFF"/>
        <w:spacing w:before="100" w:beforeAutospacing="1" w:after="100" w:afterAutospacing="1" w:line="240" w:lineRule="auto"/>
        <w:ind w:left="1134" w:right="283" w:hanging="567"/>
        <w:jc w:val="both"/>
        <w:rPr>
          <w:rFonts w:ascii="Arial" w:hAnsi="Arial" w:cs="Arial"/>
          <w:color w:val="212121"/>
          <w:sz w:val="20"/>
          <w:szCs w:val="20"/>
        </w:rPr>
      </w:pPr>
      <w:r w:rsidRPr="00360A96">
        <w:rPr>
          <w:rFonts w:ascii="Arial" w:hAnsi="Arial" w:cs="Arial"/>
          <w:sz w:val="20"/>
          <w:szCs w:val="20"/>
        </w:rPr>
        <w:t xml:space="preserve">He Z, Cui B-T, Zhang T, Li P, Long C-Y, Zhang F-M, et al. (2017). Fecal microbiota transplantation cured epilepsy in a case with Crohn's disease: the first report. </w:t>
      </w:r>
      <w:r w:rsidRPr="00360A96">
        <w:rPr>
          <w:rFonts w:ascii="Arial" w:hAnsi="Arial" w:cs="Arial"/>
          <w:i/>
          <w:iCs/>
          <w:sz w:val="20"/>
          <w:szCs w:val="20"/>
        </w:rPr>
        <w:t>World J Gastroenterol.</w:t>
      </w:r>
      <w:r w:rsidRPr="00360A96">
        <w:rPr>
          <w:rFonts w:ascii="Arial" w:hAnsi="Arial" w:cs="Arial"/>
          <w:sz w:val="20"/>
          <w:szCs w:val="20"/>
        </w:rPr>
        <w:t xml:space="preserve"> 23:3565-3568. </w:t>
      </w:r>
      <w:r w:rsidRPr="00360A96">
        <w:rPr>
          <w:rStyle w:val="id-label"/>
          <w:rFonts w:ascii="Arial" w:hAnsi="Arial" w:cs="Arial"/>
          <w:color w:val="0070C0"/>
          <w:sz w:val="20"/>
          <w:szCs w:val="20"/>
        </w:rPr>
        <w:t>Doi: </w:t>
      </w:r>
      <w:hyperlink r:id="rId12" w:tgtFrame="_blank" w:history="1">
        <w:r w:rsidRPr="00360A96">
          <w:rPr>
            <w:rStyle w:val="Hyperlink"/>
            <w:rFonts w:ascii="Arial" w:hAnsi="Arial" w:cs="Arial"/>
            <w:color w:val="0071BC"/>
            <w:sz w:val="20"/>
            <w:szCs w:val="20"/>
            <w:u w:val="none"/>
          </w:rPr>
          <w:t>10.3748/</w:t>
        </w:r>
        <w:proofErr w:type="gramStart"/>
        <w:r w:rsidRPr="00360A96">
          <w:rPr>
            <w:rStyle w:val="Hyperlink"/>
            <w:rFonts w:ascii="Arial" w:hAnsi="Arial" w:cs="Arial"/>
            <w:color w:val="0071BC"/>
            <w:sz w:val="20"/>
            <w:szCs w:val="20"/>
            <w:u w:val="none"/>
          </w:rPr>
          <w:t>wjg.v23.i</w:t>
        </w:r>
        <w:proofErr w:type="gramEnd"/>
        <w:r w:rsidRPr="00360A96">
          <w:rPr>
            <w:rStyle w:val="Hyperlink"/>
            <w:rFonts w:ascii="Arial" w:hAnsi="Arial" w:cs="Arial"/>
            <w:color w:val="0071BC"/>
            <w:sz w:val="20"/>
            <w:szCs w:val="20"/>
            <w:u w:val="none"/>
          </w:rPr>
          <w:t>19.3565</w:t>
        </w:r>
      </w:hyperlink>
    </w:p>
    <w:p w14:paraId="35228C31"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096902C7"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bCs/>
          <w:color w:val="000000" w:themeColor="text1"/>
          <w:sz w:val="20"/>
          <w:szCs w:val="20"/>
        </w:rPr>
        <w:t xml:space="preserve">Henderson EA, Lukomski S, Boone BA (2023). Emerging applications of cancer bacteriotherapy towards treatment of pancreatic cancer. </w:t>
      </w:r>
      <w:r w:rsidRPr="00360A96">
        <w:rPr>
          <w:rFonts w:ascii="Arial" w:hAnsi="Arial" w:cs="Arial"/>
          <w:bCs/>
          <w:i/>
          <w:iCs/>
          <w:color w:val="000000" w:themeColor="text1"/>
          <w:sz w:val="20"/>
          <w:szCs w:val="20"/>
        </w:rPr>
        <w:t>Front Oncol.</w:t>
      </w:r>
      <w:r w:rsidRPr="00360A96">
        <w:rPr>
          <w:rFonts w:ascii="Arial" w:hAnsi="Arial" w:cs="Arial"/>
          <w:bCs/>
          <w:color w:val="000000" w:themeColor="text1"/>
          <w:sz w:val="20"/>
          <w:szCs w:val="20"/>
        </w:rPr>
        <w:t xml:space="preserve"> 13:1217095.</w:t>
      </w:r>
      <w:r w:rsidR="00D4504A" w:rsidRPr="00360A96">
        <w:rPr>
          <w:rFonts w:ascii="Arial" w:hAnsi="Arial" w:cs="Arial"/>
          <w:bCs/>
          <w:color w:val="000000" w:themeColor="text1"/>
          <w:sz w:val="20"/>
          <w:szCs w:val="20"/>
        </w:rPr>
        <w:tab/>
      </w:r>
      <w:r w:rsidRPr="00360A96">
        <w:rPr>
          <w:rFonts w:ascii="Arial" w:hAnsi="Arial" w:cs="Arial"/>
          <w:bCs/>
          <w:color w:val="000000" w:themeColor="text1"/>
          <w:sz w:val="20"/>
          <w:szCs w:val="20"/>
        </w:rPr>
        <w:t xml:space="preserve"> </w:t>
      </w:r>
      <w:r w:rsidR="00D4504A" w:rsidRPr="00360A96">
        <w:rPr>
          <w:rFonts w:ascii="Arial" w:hAnsi="Arial" w:cs="Arial"/>
          <w:bCs/>
          <w:color w:val="000000" w:themeColor="text1"/>
          <w:sz w:val="20"/>
          <w:szCs w:val="20"/>
        </w:rPr>
        <w:t xml:space="preserve">                                                   </w:t>
      </w:r>
      <w:r w:rsidRPr="00360A96">
        <w:rPr>
          <w:rFonts w:ascii="Arial" w:hAnsi="Arial" w:cs="Arial"/>
          <w:bCs/>
          <w:color w:val="0070C0"/>
          <w:sz w:val="20"/>
          <w:szCs w:val="20"/>
        </w:rPr>
        <w:t xml:space="preserve">Doi: 10.3389/fonc.2023.1217095 </w:t>
      </w:r>
    </w:p>
    <w:p w14:paraId="1C9C5101"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33DC5C7F" w14:textId="77777777" w:rsidR="00E04B8F" w:rsidRPr="00360A96" w:rsidRDefault="00E04B8F" w:rsidP="002018D0">
      <w:pPr>
        <w:pStyle w:val="ListParagraph"/>
        <w:spacing w:after="0" w:line="240" w:lineRule="auto"/>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Henriksen A, Dyhl-Polk A, Chen I, Nielson D (2019). Checkpoint inhibitors in pancreatic cancer. </w:t>
      </w:r>
      <w:r w:rsidRPr="00360A96">
        <w:rPr>
          <w:rFonts w:ascii="Arial" w:hAnsi="Arial" w:cs="Arial"/>
          <w:bCs/>
          <w:i/>
          <w:iCs/>
          <w:color w:val="000000" w:themeColor="text1"/>
          <w:sz w:val="20"/>
          <w:szCs w:val="20"/>
        </w:rPr>
        <w:t>Cancer Treat Rev.</w:t>
      </w:r>
      <w:r w:rsidRPr="00360A96">
        <w:rPr>
          <w:rFonts w:ascii="Arial" w:hAnsi="Arial" w:cs="Arial"/>
          <w:bCs/>
          <w:color w:val="000000" w:themeColor="text1"/>
          <w:sz w:val="20"/>
          <w:szCs w:val="20"/>
        </w:rPr>
        <w:t xml:space="preserve"> 78:17-30.</w:t>
      </w:r>
      <w:r w:rsidR="00D4504A" w:rsidRPr="00360A96">
        <w:rPr>
          <w:rFonts w:ascii="Arial" w:hAnsi="Arial" w:cs="Arial"/>
          <w:bCs/>
          <w:color w:val="000000" w:themeColor="text1"/>
          <w:sz w:val="20"/>
          <w:szCs w:val="20"/>
        </w:rPr>
        <w:t xml:space="preserve"> </w:t>
      </w:r>
      <w:r w:rsidRPr="00360A96">
        <w:rPr>
          <w:rFonts w:ascii="Arial" w:hAnsi="Arial" w:cs="Arial"/>
          <w:bCs/>
          <w:color w:val="0070C0"/>
          <w:sz w:val="20"/>
          <w:szCs w:val="20"/>
        </w:rPr>
        <w:t>https://doi.org/10.1016/j.ctrv.2019.06.005</w:t>
      </w:r>
    </w:p>
    <w:p w14:paraId="27D53267" w14:textId="77777777" w:rsidR="00D4504A" w:rsidRPr="00360A96" w:rsidRDefault="00D4504A"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38FB7116" w14:textId="77777777" w:rsidR="00F52F65" w:rsidRPr="00360A96" w:rsidRDefault="00F52F65" w:rsidP="002018D0">
      <w:pPr>
        <w:pStyle w:val="ListParagraph"/>
        <w:spacing w:after="0" w:line="240" w:lineRule="auto"/>
        <w:ind w:left="1134" w:right="283" w:hanging="567"/>
        <w:jc w:val="both"/>
        <w:rPr>
          <w:rFonts w:ascii="Arial" w:hAnsi="Arial" w:cs="Arial"/>
          <w:color w:val="0070C0"/>
          <w:sz w:val="20"/>
          <w:szCs w:val="20"/>
          <w:u w:val="single"/>
          <w:bdr w:val="single" w:sz="2" w:space="0" w:color="ECEDEE" w:frame="1"/>
        </w:rPr>
      </w:pPr>
      <w:r w:rsidRPr="00360A96">
        <w:rPr>
          <w:rFonts w:ascii="Arial" w:hAnsi="Arial" w:cs="Arial"/>
          <w:color w:val="212121"/>
          <w:sz w:val="20"/>
          <w:szCs w:val="20"/>
          <w:shd w:val="clear" w:color="auto" w:fill="FFFFFF"/>
        </w:rPr>
        <w:t xml:space="preserve">Hong DS, Kang YK, Borad M, Sachdev J, </w:t>
      </w:r>
      <w:proofErr w:type="spellStart"/>
      <w:r w:rsidRPr="00360A96">
        <w:rPr>
          <w:rFonts w:ascii="Arial" w:hAnsi="Arial" w:cs="Arial"/>
          <w:color w:val="212121"/>
          <w:sz w:val="20"/>
          <w:szCs w:val="20"/>
          <w:shd w:val="clear" w:color="auto" w:fill="FFFFFF"/>
        </w:rPr>
        <w:t>Ejadi</w:t>
      </w:r>
      <w:proofErr w:type="spellEnd"/>
      <w:r w:rsidRPr="00360A96">
        <w:rPr>
          <w:rFonts w:ascii="Arial" w:hAnsi="Arial" w:cs="Arial"/>
          <w:color w:val="212121"/>
          <w:sz w:val="20"/>
          <w:szCs w:val="20"/>
          <w:shd w:val="clear" w:color="auto" w:fill="FFFFFF"/>
        </w:rPr>
        <w:t xml:space="preserve"> S, Lim HY, </w:t>
      </w:r>
      <w:r w:rsidR="00E80956" w:rsidRPr="00360A96">
        <w:rPr>
          <w:rFonts w:ascii="Arial" w:hAnsi="Arial" w:cs="Arial"/>
          <w:color w:val="212121"/>
          <w:sz w:val="20"/>
          <w:szCs w:val="20"/>
          <w:shd w:val="clear" w:color="auto" w:fill="FFFFFF"/>
        </w:rPr>
        <w:t>et al. (2020).</w:t>
      </w:r>
      <w:r w:rsidRPr="00360A96">
        <w:rPr>
          <w:rFonts w:ascii="Arial" w:hAnsi="Arial" w:cs="Arial"/>
          <w:color w:val="212121"/>
          <w:sz w:val="20"/>
          <w:szCs w:val="20"/>
          <w:shd w:val="clear" w:color="auto" w:fill="FFFFFF"/>
        </w:rPr>
        <w:t xml:space="preserve"> Phase 1 study of MRX34, a liposomal miR-34a mimic, in patients with advanced solid </w:t>
      </w:r>
      <w:proofErr w:type="spellStart"/>
      <w:r w:rsidRPr="00360A96">
        <w:rPr>
          <w:rFonts w:ascii="Arial" w:hAnsi="Arial" w:cs="Arial"/>
          <w:color w:val="212121"/>
          <w:sz w:val="20"/>
          <w:szCs w:val="20"/>
          <w:shd w:val="clear" w:color="auto" w:fill="FFFFFF"/>
        </w:rPr>
        <w:t>tumours</w:t>
      </w:r>
      <w:proofErr w:type="spellEnd"/>
      <w:r w:rsidRPr="00360A96">
        <w:rPr>
          <w:rFonts w:ascii="Arial" w:hAnsi="Arial" w:cs="Arial"/>
          <w:color w:val="212121"/>
          <w:sz w:val="20"/>
          <w:szCs w:val="20"/>
          <w:shd w:val="clear" w:color="auto" w:fill="FFFFFF"/>
        </w:rPr>
        <w:t xml:space="preserve">. </w:t>
      </w:r>
      <w:r w:rsidRPr="00360A96">
        <w:rPr>
          <w:rFonts w:ascii="Arial" w:hAnsi="Arial" w:cs="Arial"/>
          <w:i/>
          <w:iCs/>
          <w:color w:val="212121"/>
          <w:sz w:val="20"/>
          <w:szCs w:val="20"/>
          <w:shd w:val="clear" w:color="auto" w:fill="FFFFFF"/>
        </w:rPr>
        <w:t>Br J Cancer.</w:t>
      </w:r>
      <w:r w:rsidRPr="00360A96">
        <w:rPr>
          <w:rFonts w:ascii="Arial" w:hAnsi="Arial" w:cs="Arial"/>
          <w:color w:val="212121"/>
          <w:sz w:val="20"/>
          <w:szCs w:val="20"/>
          <w:shd w:val="clear" w:color="auto" w:fill="FFFFFF"/>
        </w:rPr>
        <w:t xml:space="preserve"> 122(11):1630-1637. </w:t>
      </w:r>
      <w:r w:rsidR="00E80956" w:rsidRPr="00360A96">
        <w:rPr>
          <w:rFonts w:ascii="Arial" w:hAnsi="Arial" w:cs="Arial"/>
          <w:color w:val="0070C0"/>
          <w:sz w:val="20"/>
          <w:szCs w:val="20"/>
          <w:shd w:val="clear" w:color="auto" w:fill="FFFFFF"/>
        </w:rPr>
        <w:t>D</w:t>
      </w:r>
      <w:r w:rsidRPr="00360A96">
        <w:rPr>
          <w:rFonts w:ascii="Arial" w:hAnsi="Arial" w:cs="Arial"/>
          <w:color w:val="0070C0"/>
          <w:sz w:val="20"/>
          <w:szCs w:val="20"/>
          <w:shd w:val="clear" w:color="auto" w:fill="FFFFFF"/>
        </w:rPr>
        <w:t>oi: 10.1038/s41416-020-0802-1</w:t>
      </w:r>
    </w:p>
    <w:p w14:paraId="212E2067" w14:textId="77777777" w:rsidR="00D4504A" w:rsidRPr="00360A96" w:rsidRDefault="00D4504A" w:rsidP="002018D0">
      <w:pPr>
        <w:pStyle w:val="ListParagraph"/>
        <w:spacing w:after="0" w:line="240" w:lineRule="auto"/>
        <w:ind w:left="1134" w:right="283" w:hanging="567"/>
        <w:jc w:val="both"/>
        <w:rPr>
          <w:rFonts w:ascii="Arial" w:hAnsi="Arial" w:cs="Arial"/>
          <w:color w:val="000000" w:themeColor="text1"/>
          <w:sz w:val="20"/>
          <w:szCs w:val="20"/>
        </w:rPr>
      </w:pPr>
    </w:p>
    <w:p w14:paraId="019DC6DE" w14:textId="77777777" w:rsidR="00E04B8F" w:rsidRPr="00360A96" w:rsidRDefault="00E04B8F" w:rsidP="002018D0">
      <w:pPr>
        <w:pStyle w:val="ListParagraph"/>
        <w:spacing w:after="0" w:line="240" w:lineRule="auto"/>
        <w:ind w:left="1134" w:right="283" w:hanging="567"/>
        <w:jc w:val="both"/>
        <w:rPr>
          <w:rFonts w:ascii="Arial" w:hAnsi="Arial" w:cs="Arial"/>
          <w:color w:val="0070C0"/>
          <w:sz w:val="20"/>
          <w:szCs w:val="20"/>
          <w:u w:val="single"/>
          <w:bdr w:val="single" w:sz="2" w:space="0" w:color="ECEDEE" w:frame="1"/>
        </w:rPr>
      </w:pPr>
      <w:r w:rsidRPr="00360A96">
        <w:rPr>
          <w:rFonts w:ascii="Arial" w:hAnsi="Arial" w:cs="Arial"/>
          <w:color w:val="000000" w:themeColor="text1"/>
          <w:sz w:val="20"/>
          <w:szCs w:val="20"/>
        </w:rPr>
        <w:t>Hu Q, Jiang Q, Jin X, Shen J, Wang K, Li YB, et al. (2013). Cationic microRNA-delivering nano vectors with bifunctional peptides for efficient treatment of PANC-1 xenograft model. </w:t>
      </w:r>
      <w:r w:rsidRPr="00360A96">
        <w:rPr>
          <w:rFonts w:ascii="Arial" w:hAnsi="Arial" w:cs="Arial"/>
          <w:i/>
          <w:iCs/>
          <w:color w:val="000000" w:themeColor="text1"/>
          <w:sz w:val="20"/>
          <w:szCs w:val="20"/>
          <w:bdr w:val="single" w:sz="2" w:space="0" w:color="ECEDEE" w:frame="1"/>
        </w:rPr>
        <w:t>Biomaterials</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34</w:t>
      </w:r>
      <w:r w:rsidRPr="00360A96">
        <w:rPr>
          <w:rFonts w:ascii="Arial" w:hAnsi="Arial" w:cs="Arial"/>
          <w:color w:val="000000" w:themeColor="text1"/>
          <w:sz w:val="20"/>
          <w:szCs w:val="20"/>
        </w:rPr>
        <w:t xml:space="preserve">(9):2265-2276. </w:t>
      </w:r>
      <w:hyperlink r:id="rId13" w:history="1">
        <w:r w:rsidRPr="00360A96">
          <w:rPr>
            <w:rStyle w:val="Hyperlink"/>
            <w:rFonts w:ascii="Arial" w:hAnsi="Arial" w:cs="Arial"/>
            <w:color w:val="0070C0"/>
            <w:sz w:val="20"/>
            <w:szCs w:val="20"/>
            <w:u w:val="none"/>
            <w:bdr w:val="single" w:sz="2" w:space="0" w:color="ECEDEE" w:frame="1"/>
          </w:rPr>
          <w:t>Doi: 10.1016/</w:t>
        </w:r>
        <w:proofErr w:type="spellStart"/>
        <w:r w:rsidRPr="00360A96">
          <w:rPr>
            <w:rStyle w:val="Hyperlink"/>
            <w:rFonts w:ascii="Arial" w:hAnsi="Arial" w:cs="Arial"/>
            <w:color w:val="0070C0"/>
            <w:sz w:val="20"/>
            <w:szCs w:val="20"/>
            <w:u w:val="none"/>
            <w:bdr w:val="single" w:sz="2" w:space="0" w:color="ECEDEE" w:frame="1"/>
          </w:rPr>
          <w:t>j.biomaterials</w:t>
        </w:r>
        <w:proofErr w:type="spellEnd"/>
      </w:hyperlink>
    </w:p>
    <w:p w14:paraId="1CE2F603" w14:textId="77777777" w:rsidR="00E04B8F" w:rsidRPr="00360A96" w:rsidRDefault="00E04B8F" w:rsidP="002018D0">
      <w:pPr>
        <w:pStyle w:val="ListParagraph"/>
        <w:spacing w:after="0" w:line="240" w:lineRule="auto"/>
        <w:ind w:left="1134" w:right="283" w:hanging="567"/>
        <w:jc w:val="both"/>
        <w:rPr>
          <w:rFonts w:ascii="Arial" w:hAnsi="Arial" w:cs="Arial"/>
          <w:color w:val="000000" w:themeColor="text1"/>
          <w:sz w:val="20"/>
          <w:szCs w:val="20"/>
          <w:bdr w:val="single" w:sz="2" w:space="0" w:color="ECEDEE" w:frame="1"/>
        </w:rPr>
      </w:pPr>
      <w:r w:rsidRPr="00360A96">
        <w:rPr>
          <w:rFonts w:ascii="Arial" w:hAnsi="Arial" w:cs="Arial"/>
          <w:color w:val="000000" w:themeColor="text1"/>
          <w:sz w:val="20"/>
          <w:szCs w:val="20"/>
          <w:bdr w:val="single" w:sz="2" w:space="0" w:color="ECEDEE" w:frame="1"/>
        </w:rPr>
        <w:t xml:space="preserve">Huang J, Lok V, Ngai CH, Zhang L, Yuan J, Lao XQ, et al. (2021). Worldwide burden of risk factors for, and trends in pancreatic cancer. </w:t>
      </w:r>
      <w:r w:rsidRPr="00360A96">
        <w:rPr>
          <w:rFonts w:ascii="Arial" w:hAnsi="Arial" w:cs="Arial"/>
          <w:i/>
          <w:iCs/>
          <w:color w:val="000000" w:themeColor="text1"/>
          <w:sz w:val="20"/>
          <w:szCs w:val="20"/>
          <w:bdr w:val="single" w:sz="2" w:space="0" w:color="ECEDEE" w:frame="1"/>
        </w:rPr>
        <w:t>Gastroenterol.</w:t>
      </w:r>
      <w:r w:rsidRPr="00360A96">
        <w:rPr>
          <w:rFonts w:ascii="Arial" w:hAnsi="Arial" w:cs="Arial"/>
          <w:color w:val="000000" w:themeColor="text1"/>
          <w:sz w:val="20"/>
          <w:szCs w:val="20"/>
          <w:bdr w:val="single" w:sz="2" w:space="0" w:color="ECEDEE" w:frame="1"/>
        </w:rPr>
        <w:t xml:space="preserve"> 160:744-754. </w:t>
      </w:r>
      <w:r w:rsidRPr="00360A96">
        <w:rPr>
          <w:rFonts w:ascii="Arial" w:hAnsi="Arial" w:cs="Arial"/>
          <w:color w:val="0070C0"/>
          <w:sz w:val="20"/>
          <w:szCs w:val="20"/>
          <w:bdr w:val="single" w:sz="2" w:space="0" w:color="ECEDEE" w:frame="1"/>
        </w:rPr>
        <w:t>https://doi.org/10.1053/j-gastro.2020.10.007</w:t>
      </w:r>
    </w:p>
    <w:p w14:paraId="4A048FE1" w14:textId="77777777" w:rsidR="00D4504A" w:rsidRPr="00360A96" w:rsidRDefault="00D4504A" w:rsidP="002018D0">
      <w:pPr>
        <w:pStyle w:val="ListParagraph"/>
        <w:spacing w:after="0" w:line="240" w:lineRule="auto"/>
        <w:ind w:left="1134" w:right="283" w:hanging="567"/>
        <w:jc w:val="both"/>
        <w:rPr>
          <w:rFonts w:ascii="Arial" w:hAnsi="Arial" w:cs="Arial"/>
          <w:color w:val="000000" w:themeColor="text1"/>
          <w:sz w:val="20"/>
          <w:szCs w:val="20"/>
        </w:rPr>
      </w:pPr>
    </w:p>
    <w:p w14:paraId="2C109853" w14:textId="77777777" w:rsidR="00E04B8F" w:rsidRPr="00360A96" w:rsidRDefault="00E04B8F" w:rsidP="002018D0">
      <w:pPr>
        <w:pStyle w:val="ListParagraph"/>
        <w:spacing w:after="0" w:line="240" w:lineRule="auto"/>
        <w:ind w:left="1134" w:right="283" w:hanging="567"/>
        <w:jc w:val="both"/>
        <w:rPr>
          <w:rFonts w:ascii="Arial" w:eastAsia="Times New Roman" w:hAnsi="Arial" w:cs="Arial"/>
          <w:color w:val="212121"/>
          <w:sz w:val="20"/>
          <w:szCs w:val="20"/>
        </w:rPr>
      </w:pPr>
      <w:r w:rsidRPr="00360A96">
        <w:rPr>
          <w:rFonts w:ascii="Arial" w:hAnsi="Arial" w:cs="Arial"/>
          <w:color w:val="000000" w:themeColor="text1"/>
          <w:sz w:val="20"/>
          <w:szCs w:val="20"/>
        </w:rPr>
        <w:t xml:space="preserve">Huang X, Zhang G, Tang T, Liang T (2021). Identification of tumor antigens and immune subtypes of pancreatic adenocarcinoma for mRNA vaccine development. </w:t>
      </w:r>
      <w:r w:rsidRPr="00360A96">
        <w:rPr>
          <w:rFonts w:ascii="Arial" w:hAnsi="Arial" w:cs="Arial"/>
          <w:i/>
          <w:iCs/>
          <w:color w:val="000000" w:themeColor="text1"/>
          <w:sz w:val="20"/>
          <w:szCs w:val="20"/>
        </w:rPr>
        <w:t>Mol Cancer</w:t>
      </w:r>
      <w:r w:rsidRPr="00360A96">
        <w:rPr>
          <w:rFonts w:ascii="Arial" w:hAnsi="Arial" w:cs="Arial"/>
          <w:color w:val="000000" w:themeColor="text1"/>
          <w:sz w:val="20"/>
          <w:szCs w:val="20"/>
        </w:rPr>
        <w:t xml:space="preserve">. 20:44. </w:t>
      </w:r>
      <w:hyperlink r:id="rId14" w:history="1">
        <w:r w:rsidRPr="00360A96">
          <w:rPr>
            <w:rStyle w:val="Hyperlink"/>
            <w:rFonts w:ascii="Arial" w:hAnsi="Arial" w:cs="Arial"/>
            <w:color w:val="0070C0"/>
            <w:sz w:val="20"/>
            <w:szCs w:val="20"/>
            <w:u w:val="none"/>
          </w:rPr>
          <w:t>https://doi.org/10.1186/s12943-021-01310-0</w:t>
        </w:r>
      </w:hyperlink>
      <w:r w:rsidRPr="00360A96">
        <w:rPr>
          <w:rFonts w:ascii="Arial" w:hAnsi="Arial" w:cs="Arial"/>
          <w:color w:val="0070C0"/>
          <w:sz w:val="20"/>
          <w:szCs w:val="20"/>
        </w:rPr>
        <w:t xml:space="preserve"> </w:t>
      </w:r>
    </w:p>
    <w:p w14:paraId="13B06167"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211E1E"/>
          <w:sz w:val="20"/>
          <w:szCs w:val="20"/>
        </w:rPr>
        <w:t xml:space="preserve">Jiang S, Redelman-Sidi G. (2022). BCG In bladder cancer immunotherapy. Cancers. 14(13):3073. </w:t>
      </w:r>
      <w:r w:rsidRPr="00360A96">
        <w:rPr>
          <w:rFonts w:ascii="Arial" w:hAnsi="Arial" w:cs="Arial"/>
          <w:color w:val="0070C0"/>
          <w:sz w:val="20"/>
          <w:szCs w:val="20"/>
        </w:rPr>
        <w:t xml:space="preserve">Doi: 10.3390/cancers14133073 </w:t>
      </w:r>
    </w:p>
    <w:p w14:paraId="70955733" w14:textId="77777777" w:rsidR="00E04B8F" w:rsidRPr="00360A96" w:rsidRDefault="00E04B8F" w:rsidP="002018D0">
      <w:pPr>
        <w:pStyle w:val="ListParagraph"/>
        <w:spacing w:after="0" w:line="240" w:lineRule="auto"/>
        <w:ind w:left="1134" w:right="283" w:hanging="567"/>
        <w:jc w:val="both"/>
        <w:rPr>
          <w:rStyle w:val="Hyperlink"/>
          <w:rFonts w:ascii="Arial" w:hAnsi="Arial" w:cs="Arial"/>
          <w:color w:val="0070C0"/>
          <w:sz w:val="20"/>
          <w:szCs w:val="20"/>
          <w:bdr w:val="single" w:sz="2" w:space="0" w:color="ECEDEE" w:frame="1"/>
        </w:rPr>
      </w:pPr>
      <w:r w:rsidRPr="00360A96">
        <w:rPr>
          <w:rFonts w:ascii="Arial" w:hAnsi="Arial" w:cs="Arial"/>
          <w:color w:val="000000" w:themeColor="text1"/>
          <w:sz w:val="20"/>
          <w:szCs w:val="20"/>
        </w:rPr>
        <w:t xml:space="preserve">Jones S, Zhang X, Parsons D W, Lin JC-H, Leary RJ, </w:t>
      </w:r>
      <w:proofErr w:type="spellStart"/>
      <w:r w:rsidRPr="00360A96">
        <w:rPr>
          <w:rFonts w:ascii="Arial" w:hAnsi="Arial" w:cs="Arial"/>
          <w:color w:val="000000" w:themeColor="text1"/>
          <w:sz w:val="20"/>
          <w:szCs w:val="20"/>
        </w:rPr>
        <w:t>Angenendt</w:t>
      </w:r>
      <w:proofErr w:type="spellEnd"/>
      <w:r w:rsidRPr="00360A96">
        <w:rPr>
          <w:rFonts w:ascii="Arial" w:hAnsi="Arial" w:cs="Arial"/>
          <w:color w:val="000000" w:themeColor="text1"/>
          <w:sz w:val="20"/>
          <w:szCs w:val="20"/>
        </w:rPr>
        <w:t xml:space="preserve"> P, et al. (2008). Core signaling pathways in human pancreatic cancers revealed by global genomic analyses. </w:t>
      </w:r>
      <w:r w:rsidRPr="00360A96">
        <w:rPr>
          <w:rFonts w:ascii="Arial" w:hAnsi="Arial" w:cs="Arial"/>
          <w:i/>
          <w:iCs/>
          <w:color w:val="000000" w:themeColor="text1"/>
          <w:sz w:val="20"/>
          <w:szCs w:val="20"/>
          <w:bdr w:val="single" w:sz="2" w:space="0" w:color="ECEDEE" w:frame="1"/>
        </w:rPr>
        <w:t>Science</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321</w:t>
      </w:r>
      <w:r w:rsidRPr="00360A96">
        <w:rPr>
          <w:rFonts w:ascii="Arial" w:hAnsi="Arial" w:cs="Arial"/>
          <w:color w:val="000000" w:themeColor="text1"/>
          <w:sz w:val="20"/>
          <w:szCs w:val="20"/>
        </w:rPr>
        <w:t>(5897):1801-1806. </w:t>
      </w:r>
      <w:hyperlink r:id="rId15" w:history="1">
        <w:r w:rsidRPr="00360A96">
          <w:rPr>
            <w:rStyle w:val="Hyperlink"/>
            <w:rFonts w:ascii="Arial" w:hAnsi="Arial" w:cs="Arial"/>
            <w:color w:val="0070C0"/>
            <w:sz w:val="20"/>
            <w:szCs w:val="20"/>
            <w:u w:val="none"/>
            <w:bdr w:val="single" w:sz="2" w:space="0" w:color="ECEDEE" w:frame="1"/>
          </w:rPr>
          <w:t>Doi: 10.1126/science.1164368</w:t>
        </w:r>
      </w:hyperlink>
    </w:p>
    <w:p w14:paraId="2C3F34DE"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0FDBED83"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Kang JD, Clarke SE, Costa AF (2021). Factors associated with missed and misinterpreted cases of pancreatic ductal adenocarcinoma. </w:t>
      </w:r>
      <w:r w:rsidRPr="00360A96">
        <w:rPr>
          <w:rFonts w:ascii="Arial" w:hAnsi="Arial" w:cs="Arial"/>
          <w:bCs/>
          <w:i/>
          <w:iCs/>
          <w:color w:val="000000" w:themeColor="text1"/>
          <w:sz w:val="20"/>
          <w:szCs w:val="20"/>
        </w:rPr>
        <w:t>European Radiology.</w:t>
      </w:r>
      <w:r w:rsidRPr="00360A96">
        <w:rPr>
          <w:rFonts w:ascii="Arial" w:hAnsi="Arial" w:cs="Arial"/>
          <w:bCs/>
          <w:color w:val="000000" w:themeColor="text1"/>
          <w:sz w:val="20"/>
          <w:szCs w:val="20"/>
        </w:rPr>
        <w:t xml:space="preserve"> 31:2422-2432.</w:t>
      </w:r>
      <w:r w:rsidR="00D4504A" w:rsidRPr="00360A96">
        <w:rPr>
          <w:rFonts w:ascii="Arial" w:hAnsi="Arial" w:cs="Arial"/>
          <w:bCs/>
          <w:color w:val="000000" w:themeColor="text1"/>
          <w:sz w:val="20"/>
          <w:szCs w:val="20"/>
        </w:rPr>
        <w:tab/>
      </w:r>
      <w:r w:rsidRPr="00360A96">
        <w:rPr>
          <w:rFonts w:ascii="Arial" w:hAnsi="Arial" w:cs="Arial"/>
          <w:bCs/>
          <w:color w:val="000000" w:themeColor="text1"/>
          <w:sz w:val="20"/>
          <w:szCs w:val="20"/>
        </w:rPr>
        <w:t xml:space="preserve"> </w:t>
      </w:r>
      <w:hyperlink r:id="rId16" w:history="1">
        <w:r w:rsidRPr="00360A96">
          <w:rPr>
            <w:rStyle w:val="Hyperlink"/>
            <w:rFonts w:ascii="Arial" w:hAnsi="Arial" w:cs="Arial"/>
            <w:color w:val="0070C0"/>
            <w:sz w:val="20"/>
            <w:szCs w:val="20"/>
            <w:u w:val="none"/>
          </w:rPr>
          <w:t>https://doi.org/10.1007/s00330-020-07307-5</w:t>
        </w:r>
      </w:hyperlink>
      <w:r w:rsidRPr="00360A96">
        <w:rPr>
          <w:rFonts w:ascii="Arial" w:hAnsi="Arial" w:cs="Arial"/>
          <w:bCs/>
          <w:color w:val="0070C0"/>
          <w:sz w:val="20"/>
          <w:szCs w:val="20"/>
        </w:rPr>
        <w:t xml:space="preserve"> </w:t>
      </w:r>
    </w:p>
    <w:p w14:paraId="03336B4C"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66A7F8A1"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proofErr w:type="spellStart"/>
      <w:r w:rsidRPr="00360A96">
        <w:rPr>
          <w:rFonts w:ascii="Arial" w:hAnsi="Arial" w:cs="Arial"/>
          <w:bCs/>
          <w:color w:val="000000" w:themeColor="text1"/>
          <w:sz w:val="20"/>
          <w:szCs w:val="20"/>
        </w:rPr>
        <w:t>Kikuyama</w:t>
      </w:r>
      <w:proofErr w:type="spellEnd"/>
      <w:r w:rsidRPr="00360A96">
        <w:rPr>
          <w:rFonts w:ascii="Arial" w:hAnsi="Arial" w:cs="Arial"/>
          <w:bCs/>
          <w:color w:val="000000" w:themeColor="text1"/>
          <w:sz w:val="20"/>
          <w:szCs w:val="20"/>
        </w:rPr>
        <w:t xml:space="preserve"> M (2023). A </w:t>
      </w:r>
      <w:proofErr w:type="spellStart"/>
      <w:r w:rsidRPr="00360A96">
        <w:rPr>
          <w:rFonts w:ascii="Arial" w:hAnsi="Arial" w:cs="Arial"/>
          <w:bCs/>
          <w:color w:val="000000" w:themeColor="text1"/>
          <w:sz w:val="20"/>
          <w:szCs w:val="20"/>
        </w:rPr>
        <w:t>noval</w:t>
      </w:r>
      <w:proofErr w:type="spellEnd"/>
      <w:r w:rsidRPr="00360A96">
        <w:rPr>
          <w:rFonts w:ascii="Arial" w:hAnsi="Arial" w:cs="Arial"/>
          <w:bCs/>
          <w:color w:val="000000" w:themeColor="text1"/>
          <w:sz w:val="20"/>
          <w:szCs w:val="20"/>
        </w:rPr>
        <w:t xml:space="preserve"> diagnostic imaging method for the early detection of pancreatic cancer. Diagnostics 13:2080. </w:t>
      </w:r>
      <w:hyperlink r:id="rId17" w:history="1">
        <w:r w:rsidRPr="00360A96">
          <w:rPr>
            <w:rStyle w:val="Hyperlink"/>
            <w:rFonts w:ascii="Arial" w:hAnsi="Arial" w:cs="Arial"/>
            <w:color w:val="0070C0"/>
            <w:sz w:val="20"/>
            <w:szCs w:val="20"/>
            <w:u w:val="none"/>
          </w:rPr>
          <w:t>https://doi.org/10.3390/diagnostics13122080</w:t>
        </w:r>
      </w:hyperlink>
      <w:r w:rsidR="0079698F" w:rsidRPr="00360A96">
        <w:rPr>
          <w:rStyle w:val="Hyperlink"/>
          <w:rFonts w:ascii="Arial" w:hAnsi="Arial" w:cs="Arial"/>
          <w:color w:val="0070C0"/>
          <w:sz w:val="20"/>
          <w:szCs w:val="20"/>
          <w:u w:val="none"/>
        </w:rPr>
        <w:t xml:space="preserve"> </w:t>
      </w:r>
      <w:r w:rsidR="00D4504A" w:rsidRPr="00360A96">
        <w:rPr>
          <w:rStyle w:val="Hyperlink"/>
          <w:rFonts w:ascii="Arial" w:hAnsi="Arial" w:cs="Arial"/>
          <w:color w:val="0070C0"/>
          <w:sz w:val="20"/>
          <w:szCs w:val="20"/>
          <w:u w:val="none"/>
        </w:rPr>
        <w:t xml:space="preserve"> </w:t>
      </w:r>
      <w:r w:rsidRPr="00360A96">
        <w:rPr>
          <w:rFonts w:ascii="Arial" w:hAnsi="Arial" w:cs="Arial"/>
          <w:bCs/>
          <w:color w:val="0070C0"/>
          <w:sz w:val="20"/>
          <w:szCs w:val="20"/>
        </w:rPr>
        <w:t xml:space="preserve"> </w:t>
      </w:r>
    </w:p>
    <w:p w14:paraId="54FA3745"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1B1B1B"/>
          <w:sz w:val="20"/>
          <w:szCs w:val="20"/>
          <w:shd w:val="clear" w:color="auto" w:fill="FFFFFF"/>
        </w:rPr>
        <w:lastRenderedPageBreak/>
        <w:t>Kim H, Chu J, Do IG, Lee YP, Kim HK, Yang Y,</w:t>
      </w:r>
      <w:r w:rsidRPr="00360A96">
        <w:rPr>
          <w:rFonts w:ascii="Arial" w:hAnsi="Arial" w:cs="Arial"/>
          <w:color w:val="1B1B1B"/>
          <w:sz w:val="20"/>
          <w:szCs w:val="20"/>
          <w:shd w:val="clear" w:color="auto" w:fill="FFFFFF"/>
          <w:lang w:val="tr-TR"/>
        </w:rPr>
        <w:t xml:space="preserve"> et al. (2024).</w:t>
      </w:r>
      <w:r w:rsidRPr="00360A96">
        <w:rPr>
          <w:rFonts w:ascii="Arial" w:hAnsi="Arial" w:cs="Arial"/>
          <w:color w:val="1B1B1B"/>
          <w:sz w:val="20"/>
          <w:szCs w:val="20"/>
          <w:shd w:val="clear" w:color="auto" w:fill="FFFFFF"/>
        </w:rPr>
        <w:t xml:space="preserve"> Novel diagnostic biomarkers for pancreatic cancer: assessing methylation status with epigenetic-specific peptide nucleic acid and KRAS mutation in cell-free DNA. </w:t>
      </w:r>
      <w:r w:rsidRPr="00360A96">
        <w:rPr>
          <w:rFonts w:ascii="Arial" w:hAnsi="Arial" w:cs="Arial"/>
          <w:i/>
          <w:iCs/>
          <w:color w:val="1B1B1B"/>
          <w:sz w:val="20"/>
          <w:szCs w:val="20"/>
          <w:shd w:val="clear" w:color="auto" w:fill="FFFFFF"/>
        </w:rPr>
        <w:t>Front Oncol.</w:t>
      </w:r>
      <w:r w:rsidRPr="00360A96">
        <w:rPr>
          <w:rFonts w:ascii="Arial" w:hAnsi="Arial" w:cs="Arial"/>
          <w:color w:val="1B1B1B"/>
          <w:sz w:val="20"/>
          <w:szCs w:val="20"/>
          <w:shd w:val="clear" w:color="auto" w:fill="FFFFFF"/>
        </w:rPr>
        <w:t xml:space="preserve"> 14:1395473.</w:t>
      </w:r>
      <w:r w:rsidR="00D4504A" w:rsidRPr="00360A96">
        <w:rPr>
          <w:rFonts w:ascii="Arial" w:hAnsi="Arial" w:cs="Arial"/>
          <w:color w:val="1B1B1B"/>
          <w:sz w:val="20"/>
          <w:szCs w:val="20"/>
          <w:shd w:val="clear" w:color="auto" w:fill="FFFFFF"/>
        </w:rPr>
        <w:tab/>
      </w:r>
      <w:r w:rsidRPr="00360A96">
        <w:rPr>
          <w:rFonts w:ascii="Arial" w:hAnsi="Arial" w:cs="Arial"/>
          <w:color w:val="1B1B1B"/>
          <w:sz w:val="20"/>
          <w:szCs w:val="20"/>
          <w:shd w:val="clear" w:color="auto" w:fill="FFFFFF"/>
        </w:rPr>
        <w:t xml:space="preserve"> </w:t>
      </w:r>
      <w:r w:rsidR="00D4504A" w:rsidRPr="00360A96">
        <w:rPr>
          <w:rFonts w:ascii="Arial" w:hAnsi="Arial" w:cs="Arial"/>
          <w:color w:val="1B1B1B"/>
          <w:sz w:val="20"/>
          <w:szCs w:val="20"/>
          <w:shd w:val="clear" w:color="auto" w:fill="FFFFFF"/>
          <w:lang w:val="tr-TR"/>
        </w:rPr>
        <w:t xml:space="preserve">                                                         </w:t>
      </w:r>
      <w:r w:rsidR="00D4504A"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 xml:space="preserve">oi: 10.3389/fonc.2024.1395473. </w:t>
      </w:r>
    </w:p>
    <w:p w14:paraId="1E27296F" w14:textId="77777777" w:rsidR="00E04B8F" w:rsidRPr="00360A96" w:rsidRDefault="00E04B8F" w:rsidP="002018D0">
      <w:pPr>
        <w:pStyle w:val="ListParagraph"/>
        <w:spacing w:after="0" w:line="240" w:lineRule="auto"/>
        <w:ind w:left="1134" w:right="283" w:hanging="567"/>
        <w:jc w:val="both"/>
        <w:rPr>
          <w:rFonts w:ascii="Arial" w:hAnsi="Arial" w:cs="Arial"/>
          <w:color w:val="00B0F0"/>
          <w:sz w:val="20"/>
          <w:szCs w:val="20"/>
          <w:bdr w:val="single" w:sz="2" w:space="0" w:color="ECEDEE" w:frame="1"/>
        </w:rPr>
      </w:pPr>
      <w:r w:rsidRPr="00360A96">
        <w:rPr>
          <w:rFonts w:ascii="Arial" w:hAnsi="Arial" w:cs="Arial"/>
          <w:bCs/>
          <w:color w:val="000000" w:themeColor="text1"/>
          <w:sz w:val="20"/>
          <w:szCs w:val="20"/>
        </w:rPr>
        <w:t xml:space="preserve">Kimura H, Yamamoto H, Harada T, </w:t>
      </w:r>
      <w:proofErr w:type="spellStart"/>
      <w:r w:rsidRPr="00360A96">
        <w:rPr>
          <w:rFonts w:ascii="Arial" w:hAnsi="Arial" w:cs="Arial"/>
          <w:bCs/>
          <w:color w:val="000000" w:themeColor="text1"/>
          <w:sz w:val="20"/>
          <w:szCs w:val="20"/>
        </w:rPr>
        <w:t>Fumoto</w:t>
      </w:r>
      <w:proofErr w:type="spellEnd"/>
      <w:r w:rsidRPr="00360A96">
        <w:rPr>
          <w:rFonts w:ascii="Arial" w:hAnsi="Arial" w:cs="Arial"/>
          <w:bCs/>
          <w:color w:val="000000" w:themeColor="text1"/>
          <w:sz w:val="20"/>
          <w:szCs w:val="20"/>
        </w:rPr>
        <w:t xml:space="preserve"> K, </w:t>
      </w:r>
      <w:proofErr w:type="spellStart"/>
      <w:r w:rsidRPr="00360A96">
        <w:rPr>
          <w:rFonts w:ascii="Arial" w:hAnsi="Arial" w:cs="Arial"/>
          <w:bCs/>
          <w:color w:val="000000" w:themeColor="text1"/>
          <w:sz w:val="20"/>
          <w:szCs w:val="20"/>
        </w:rPr>
        <w:t>Osugi</w:t>
      </w:r>
      <w:proofErr w:type="spellEnd"/>
      <w:r w:rsidRPr="00360A96">
        <w:rPr>
          <w:rFonts w:ascii="Arial" w:hAnsi="Arial" w:cs="Arial"/>
          <w:bCs/>
          <w:color w:val="000000" w:themeColor="text1"/>
          <w:sz w:val="20"/>
          <w:szCs w:val="20"/>
        </w:rPr>
        <w:t xml:space="preserve"> Y, Sada R, et al. (2019). CKAP4, a DKK1 receptor, is a biomarker in exosomes derived from pancreatic cancer and a molecular target for therapy. </w:t>
      </w:r>
      <w:r w:rsidRPr="00360A96">
        <w:rPr>
          <w:rFonts w:ascii="Arial" w:hAnsi="Arial" w:cs="Arial"/>
          <w:bCs/>
          <w:i/>
          <w:iCs/>
          <w:color w:val="000000" w:themeColor="text1"/>
          <w:sz w:val="20"/>
          <w:szCs w:val="20"/>
        </w:rPr>
        <w:t>Clin Cancer Res</w:t>
      </w:r>
      <w:r w:rsidRPr="00360A96">
        <w:rPr>
          <w:rFonts w:ascii="Arial" w:hAnsi="Arial" w:cs="Arial"/>
          <w:bCs/>
          <w:color w:val="000000" w:themeColor="text1"/>
          <w:sz w:val="20"/>
          <w:szCs w:val="20"/>
        </w:rPr>
        <w:t xml:space="preserve">. 25(6):1936-1947. </w:t>
      </w:r>
      <w:r w:rsidRPr="00360A96">
        <w:rPr>
          <w:rFonts w:ascii="Arial" w:hAnsi="Arial" w:cs="Arial"/>
          <w:bCs/>
          <w:color w:val="0070C0"/>
          <w:sz w:val="20"/>
          <w:szCs w:val="20"/>
        </w:rPr>
        <w:t>Doi:10.1158/1078-0432.Ccr-18-2124</w:t>
      </w:r>
    </w:p>
    <w:p w14:paraId="5F6D5938" w14:textId="77777777" w:rsidR="00D4504A" w:rsidRPr="00360A96" w:rsidRDefault="00D4504A" w:rsidP="002018D0">
      <w:pPr>
        <w:pStyle w:val="ListParagraph"/>
        <w:shd w:val="clear" w:color="auto" w:fill="FFFFFF"/>
        <w:spacing w:before="100" w:beforeAutospacing="1" w:after="100" w:afterAutospacing="1" w:line="240" w:lineRule="auto"/>
        <w:ind w:left="1134" w:right="283" w:hanging="567"/>
        <w:jc w:val="both"/>
        <w:rPr>
          <w:rFonts w:ascii="Arial" w:hAnsi="Arial" w:cs="Arial"/>
          <w:color w:val="212121"/>
          <w:sz w:val="20"/>
          <w:szCs w:val="20"/>
          <w:shd w:val="clear" w:color="auto" w:fill="FFFFFF"/>
        </w:rPr>
      </w:pPr>
    </w:p>
    <w:p w14:paraId="0104A7A4" w14:textId="77777777" w:rsidR="00E04B8F" w:rsidRPr="00360A96" w:rsidRDefault="00E04B8F" w:rsidP="002018D0">
      <w:pPr>
        <w:pStyle w:val="ListParagraph"/>
        <w:shd w:val="clear" w:color="auto" w:fill="FFFFFF"/>
        <w:spacing w:before="100" w:beforeAutospacing="1" w:after="100" w:afterAutospacing="1" w:line="240" w:lineRule="auto"/>
        <w:ind w:left="1134" w:right="283" w:hanging="567"/>
        <w:jc w:val="both"/>
        <w:rPr>
          <w:rFonts w:ascii="Arial" w:hAnsi="Arial" w:cs="Arial"/>
          <w:color w:val="212121"/>
          <w:sz w:val="20"/>
          <w:szCs w:val="20"/>
        </w:rPr>
      </w:pPr>
      <w:r w:rsidRPr="00360A96">
        <w:rPr>
          <w:rFonts w:ascii="Arial" w:hAnsi="Arial" w:cs="Arial"/>
          <w:color w:val="212121"/>
          <w:sz w:val="20"/>
          <w:szCs w:val="20"/>
          <w:shd w:val="clear" w:color="auto" w:fill="FFFFFF"/>
        </w:rPr>
        <w:t xml:space="preserve">Klein AP. (2021). Pancreatic cancer epidemiology: understanding the role of lifestyle and inherited risk factors. </w:t>
      </w:r>
      <w:r w:rsidRPr="00360A96">
        <w:rPr>
          <w:rFonts w:ascii="Arial" w:hAnsi="Arial" w:cs="Arial"/>
          <w:i/>
          <w:iCs/>
          <w:color w:val="212121"/>
          <w:sz w:val="20"/>
          <w:szCs w:val="20"/>
          <w:shd w:val="clear" w:color="auto" w:fill="FFFFFF"/>
        </w:rPr>
        <w:t>Nat Rev Gastroenterol Hepatol.</w:t>
      </w:r>
      <w:r w:rsidRPr="00360A96">
        <w:rPr>
          <w:rFonts w:ascii="Arial" w:hAnsi="Arial" w:cs="Arial"/>
          <w:color w:val="212121"/>
          <w:sz w:val="20"/>
          <w:szCs w:val="20"/>
          <w:shd w:val="clear" w:color="auto" w:fill="FFFFFF"/>
        </w:rPr>
        <w:t xml:space="preserve"> 18(7):493-502. </w:t>
      </w:r>
      <w:r w:rsidRPr="00360A96">
        <w:rPr>
          <w:rFonts w:ascii="Arial" w:hAnsi="Arial" w:cs="Arial"/>
          <w:color w:val="0070C0"/>
          <w:sz w:val="20"/>
          <w:szCs w:val="20"/>
          <w:shd w:val="clear" w:color="auto" w:fill="FFFFFF"/>
        </w:rPr>
        <w:t>Doi:10.1038/s41575-021-00457-x.</w:t>
      </w:r>
    </w:p>
    <w:p w14:paraId="2AA00071"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Klement RJ, Pazienza V. (2019). Impact of different types of diet on gut microbiota profiles and cancer prevention and treatment. </w:t>
      </w:r>
      <w:r w:rsidRPr="00360A96">
        <w:rPr>
          <w:rFonts w:ascii="Arial" w:hAnsi="Arial" w:cs="Arial"/>
          <w:i/>
          <w:iCs/>
          <w:sz w:val="20"/>
          <w:szCs w:val="20"/>
        </w:rPr>
        <w:t xml:space="preserve">Medicina </w:t>
      </w:r>
      <w:r w:rsidRPr="00360A96">
        <w:rPr>
          <w:rFonts w:ascii="Arial" w:hAnsi="Arial" w:cs="Arial"/>
          <w:sz w:val="20"/>
          <w:szCs w:val="20"/>
        </w:rPr>
        <w:t>(Kaunas). 55:84.</w:t>
      </w:r>
      <w:r w:rsidRPr="00360A96">
        <w:rPr>
          <w:rFonts w:ascii="Arial" w:hAnsi="Arial" w:cs="Arial"/>
          <w:sz w:val="20"/>
          <w:szCs w:val="20"/>
        </w:rPr>
        <w:tab/>
      </w:r>
      <w:r w:rsidRPr="00360A96">
        <w:rPr>
          <w:rFonts w:ascii="Arial" w:hAnsi="Arial" w:cs="Arial"/>
          <w:sz w:val="20"/>
          <w:szCs w:val="20"/>
          <w:lang w:val="tr-TR"/>
        </w:rPr>
        <w:t xml:space="preserve">     </w:t>
      </w:r>
      <w:r w:rsidR="0079698F" w:rsidRPr="00360A96">
        <w:rPr>
          <w:rFonts w:ascii="Arial" w:hAnsi="Arial" w:cs="Arial"/>
          <w:sz w:val="20"/>
          <w:szCs w:val="20"/>
          <w:lang w:val="tr-TR"/>
        </w:rPr>
        <w:t xml:space="preserve">                                         </w:t>
      </w:r>
      <w:r w:rsidRPr="00360A96">
        <w:rPr>
          <w:rFonts w:ascii="Arial" w:hAnsi="Arial" w:cs="Arial"/>
          <w:color w:val="0070C0"/>
          <w:sz w:val="20"/>
          <w:szCs w:val="20"/>
        </w:rPr>
        <w:t xml:space="preserve">Doi: 10.3390/medicina55040084 </w:t>
      </w:r>
    </w:p>
    <w:p w14:paraId="573DBBED"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765F665F"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proofErr w:type="spellStart"/>
      <w:r w:rsidRPr="00360A96">
        <w:rPr>
          <w:rFonts w:ascii="Arial" w:hAnsi="Arial" w:cs="Arial"/>
          <w:bCs/>
          <w:color w:val="000000" w:themeColor="text1"/>
          <w:sz w:val="20"/>
          <w:szCs w:val="20"/>
        </w:rPr>
        <w:t>Korc</w:t>
      </w:r>
      <w:proofErr w:type="spellEnd"/>
      <w:r w:rsidRPr="00360A96">
        <w:rPr>
          <w:rFonts w:ascii="Arial" w:hAnsi="Arial" w:cs="Arial"/>
          <w:bCs/>
          <w:color w:val="000000" w:themeColor="text1"/>
          <w:sz w:val="20"/>
          <w:szCs w:val="20"/>
        </w:rPr>
        <w:t xml:space="preserve"> M, Jeon CY, </w:t>
      </w:r>
      <w:proofErr w:type="spellStart"/>
      <w:r w:rsidRPr="00360A96">
        <w:rPr>
          <w:rFonts w:ascii="Arial" w:hAnsi="Arial" w:cs="Arial"/>
          <w:bCs/>
          <w:color w:val="000000" w:themeColor="text1"/>
          <w:sz w:val="20"/>
          <w:szCs w:val="20"/>
        </w:rPr>
        <w:t>Edderkaoui</w:t>
      </w:r>
      <w:proofErr w:type="spellEnd"/>
      <w:r w:rsidRPr="00360A96">
        <w:rPr>
          <w:rFonts w:ascii="Arial" w:hAnsi="Arial" w:cs="Arial"/>
          <w:bCs/>
          <w:color w:val="000000" w:themeColor="text1"/>
          <w:sz w:val="20"/>
          <w:szCs w:val="20"/>
        </w:rPr>
        <w:t xml:space="preserve"> M, </w:t>
      </w:r>
      <w:proofErr w:type="spellStart"/>
      <w:r w:rsidRPr="00360A96">
        <w:rPr>
          <w:rFonts w:ascii="Arial" w:hAnsi="Arial" w:cs="Arial"/>
          <w:bCs/>
          <w:color w:val="000000" w:themeColor="text1"/>
          <w:sz w:val="20"/>
          <w:szCs w:val="20"/>
        </w:rPr>
        <w:t>Pandol</w:t>
      </w:r>
      <w:proofErr w:type="spellEnd"/>
      <w:r w:rsidRPr="00360A96">
        <w:rPr>
          <w:rFonts w:ascii="Arial" w:hAnsi="Arial" w:cs="Arial"/>
          <w:bCs/>
          <w:color w:val="000000" w:themeColor="text1"/>
          <w:sz w:val="20"/>
          <w:szCs w:val="20"/>
        </w:rPr>
        <w:t xml:space="preserve"> SJ, Petrov MS, (2017). Tobacco and alcohol as risk factors for pancreatic cancer. </w:t>
      </w:r>
      <w:r w:rsidRPr="00360A96">
        <w:rPr>
          <w:rFonts w:ascii="Arial" w:hAnsi="Arial" w:cs="Arial"/>
          <w:bCs/>
          <w:i/>
          <w:iCs/>
          <w:color w:val="000000" w:themeColor="text1"/>
          <w:sz w:val="20"/>
          <w:szCs w:val="20"/>
        </w:rPr>
        <w:t>Best Practice &amp; Res Clin Gastroenterol</w:t>
      </w:r>
      <w:r w:rsidRPr="00360A96">
        <w:rPr>
          <w:rFonts w:ascii="Arial" w:hAnsi="Arial" w:cs="Arial"/>
          <w:bCs/>
          <w:color w:val="000000" w:themeColor="text1"/>
          <w:sz w:val="20"/>
          <w:szCs w:val="20"/>
        </w:rPr>
        <w:t xml:space="preserve">. 31:529-536. </w:t>
      </w:r>
      <w:hyperlink r:id="rId18" w:history="1">
        <w:r w:rsidRPr="00360A96">
          <w:rPr>
            <w:rStyle w:val="Hyperlink"/>
            <w:rFonts w:ascii="Arial" w:hAnsi="Arial" w:cs="Arial"/>
            <w:color w:val="0070C0"/>
            <w:sz w:val="20"/>
            <w:szCs w:val="20"/>
            <w:u w:val="none"/>
          </w:rPr>
          <w:t>http://dx.doi.org/10.1016/j.bpg.2017.09.001</w:t>
        </w:r>
      </w:hyperlink>
      <w:r w:rsidRPr="00360A96">
        <w:rPr>
          <w:rFonts w:ascii="Arial" w:hAnsi="Arial" w:cs="Arial"/>
          <w:bCs/>
          <w:color w:val="0070C0"/>
          <w:sz w:val="20"/>
          <w:szCs w:val="20"/>
        </w:rPr>
        <w:t xml:space="preserve"> </w:t>
      </w:r>
    </w:p>
    <w:p w14:paraId="44E748FE" w14:textId="77777777" w:rsidR="00E04B8F" w:rsidRPr="00360A96" w:rsidRDefault="00E04B8F" w:rsidP="002018D0">
      <w:pPr>
        <w:pStyle w:val="NormalWeb"/>
        <w:ind w:left="1134" w:right="283" w:hanging="567"/>
        <w:jc w:val="both"/>
        <w:rPr>
          <w:rStyle w:val="y2iqfc"/>
          <w:rFonts w:ascii="Arial" w:hAnsi="Arial" w:cs="Arial"/>
          <w:sz w:val="20"/>
          <w:szCs w:val="20"/>
        </w:rPr>
      </w:pPr>
      <w:r w:rsidRPr="00360A96">
        <w:rPr>
          <w:rFonts w:ascii="Arial" w:hAnsi="Arial" w:cs="Arial"/>
          <w:color w:val="000000" w:themeColor="text1"/>
          <w:sz w:val="20"/>
          <w:szCs w:val="20"/>
        </w:rPr>
        <w:t xml:space="preserve">Laguna JC, Alegret M, Cofan M, Sanchez-Tainta A, Diaz-Lopez A, Martinez-Gonzalez MA, et al. (2021). Simple sugar intake and cancer incidence, cancer mortality and all-cause mortality: A cohort study from the PREDIMED trial. </w:t>
      </w:r>
      <w:r w:rsidRPr="00360A96">
        <w:rPr>
          <w:rFonts w:ascii="Arial" w:hAnsi="Arial" w:cs="Arial"/>
          <w:i/>
          <w:iCs/>
          <w:color w:val="000000" w:themeColor="text1"/>
          <w:sz w:val="20"/>
          <w:szCs w:val="20"/>
        </w:rPr>
        <w:t>Clin Nutr.</w:t>
      </w:r>
      <w:r w:rsidRPr="00360A96">
        <w:rPr>
          <w:rFonts w:ascii="Arial" w:hAnsi="Arial" w:cs="Arial"/>
          <w:color w:val="000000" w:themeColor="text1"/>
          <w:sz w:val="20"/>
          <w:szCs w:val="20"/>
        </w:rPr>
        <w:t xml:space="preserve"> 40:5269-5277.</w:t>
      </w:r>
      <w:r w:rsidR="00D4504A" w:rsidRPr="00360A96">
        <w:rPr>
          <w:rFonts w:ascii="Arial" w:hAnsi="Arial" w:cs="Arial"/>
          <w:color w:val="000000" w:themeColor="text1"/>
          <w:sz w:val="20"/>
          <w:szCs w:val="20"/>
        </w:rPr>
        <w:tab/>
      </w:r>
      <w:r w:rsidRPr="00360A96">
        <w:rPr>
          <w:rFonts w:ascii="Arial" w:hAnsi="Arial" w:cs="Arial"/>
          <w:color w:val="000000" w:themeColor="text1"/>
          <w:sz w:val="20"/>
          <w:szCs w:val="20"/>
        </w:rPr>
        <w:t xml:space="preserve"> </w:t>
      </w:r>
      <w:r w:rsidRPr="00360A96">
        <w:rPr>
          <w:rFonts w:ascii="Arial" w:hAnsi="Arial" w:cs="Arial"/>
          <w:color w:val="2196D1"/>
          <w:sz w:val="20"/>
          <w:szCs w:val="20"/>
        </w:rPr>
        <w:t>https://doi.org/10.1016/j.clnu.2021.07.031</w:t>
      </w:r>
    </w:p>
    <w:p w14:paraId="77E80320" w14:textId="77777777" w:rsidR="00D54E62" w:rsidRPr="00360A96" w:rsidRDefault="00D54E62" w:rsidP="002018D0">
      <w:pPr>
        <w:pStyle w:val="NormalWeb"/>
        <w:tabs>
          <w:tab w:val="left" w:pos="1134"/>
        </w:tabs>
        <w:ind w:left="1134" w:hanging="567"/>
        <w:jc w:val="both"/>
        <w:rPr>
          <w:rFonts w:ascii="Arial" w:hAnsi="Arial" w:cs="Arial"/>
          <w:sz w:val="20"/>
          <w:szCs w:val="20"/>
        </w:rPr>
      </w:pPr>
      <w:r w:rsidRPr="00360A96">
        <w:rPr>
          <w:rFonts w:ascii="Arial" w:hAnsi="Arial" w:cs="Arial"/>
          <w:color w:val="222222"/>
          <w:sz w:val="20"/>
          <w:szCs w:val="20"/>
          <w:shd w:val="clear" w:color="auto" w:fill="FFFFFF"/>
        </w:rPr>
        <w:t>Lee, H., Kim, B., Park, J. </w:t>
      </w:r>
      <w:r w:rsidRPr="00360A96">
        <w:rPr>
          <w:rFonts w:ascii="Arial" w:hAnsi="Arial" w:cs="Arial"/>
          <w:color w:val="222222"/>
          <w:sz w:val="20"/>
          <w:szCs w:val="20"/>
          <w:shd w:val="clear" w:color="auto" w:fill="FFFFFF"/>
          <w:lang w:val="tr-TR"/>
        </w:rPr>
        <w:t xml:space="preserve">Park S, Yoo G, Yum S, </w:t>
      </w:r>
      <w:r w:rsidRPr="00360A96">
        <w:rPr>
          <w:rFonts w:ascii="Arial" w:hAnsi="Arial" w:cs="Arial"/>
          <w:color w:val="222222"/>
          <w:sz w:val="20"/>
          <w:szCs w:val="20"/>
          <w:shd w:val="clear" w:color="auto" w:fill="FFFFFF"/>
        </w:rPr>
        <w:t>et al. </w:t>
      </w:r>
      <w:r w:rsidRPr="00360A96">
        <w:rPr>
          <w:rFonts w:ascii="Arial" w:hAnsi="Arial" w:cs="Arial"/>
          <w:color w:val="222222"/>
          <w:sz w:val="20"/>
          <w:szCs w:val="20"/>
          <w:shd w:val="clear" w:color="auto" w:fill="FFFFFF"/>
          <w:lang w:val="tr-TR"/>
        </w:rPr>
        <w:t xml:space="preserve">(2025). </w:t>
      </w:r>
      <w:r w:rsidRPr="00360A96">
        <w:rPr>
          <w:rFonts w:ascii="Arial" w:hAnsi="Arial" w:cs="Arial"/>
          <w:color w:val="222222"/>
          <w:sz w:val="20"/>
          <w:szCs w:val="20"/>
          <w:shd w:val="clear" w:color="auto" w:fill="FFFFFF"/>
        </w:rPr>
        <w:t>Cancer stem cells: landscape, challenges and emerging therapeutic innovations. </w:t>
      </w:r>
      <w:r w:rsidRPr="00360A96">
        <w:rPr>
          <w:rFonts w:ascii="Arial" w:hAnsi="Arial" w:cs="Arial"/>
          <w:i/>
          <w:iCs/>
          <w:color w:val="222222"/>
          <w:sz w:val="20"/>
          <w:szCs w:val="20"/>
          <w:shd w:val="clear" w:color="auto" w:fill="FFFFFF"/>
        </w:rPr>
        <w:t>Sig Transduct Target Ther</w:t>
      </w:r>
      <w:r w:rsidRPr="00360A96">
        <w:rPr>
          <w:rFonts w:ascii="Arial" w:hAnsi="Arial" w:cs="Arial"/>
          <w:i/>
          <w:iCs/>
          <w:color w:val="222222"/>
          <w:sz w:val="20"/>
          <w:szCs w:val="20"/>
          <w:shd w:val="clear" w:color="auto" w:fill="FFFFFF"/>
          <w:lang w:val="tr-TR"/>
        </w:rPr>
        <w:t>.</w:t>
      </w:r>
      <w:r w:rsidRPr="00360A96">
        <w:rPr>
          <w:rFonts w:ascii="Arial" w:hAnsi="Arial" w:cs="Arial"/>
          <w:color w:val="222222"/>
          <w:sz w:val="20"/>
          <w:szCs w:val="20"/>
          <w:shd w:val="clear" w:color="auto" w:fill="FFFFFF"/>
        </w:rPr>
        <w:t> 10</w:t>
      </w:r>
      <w:r w:rsidRPr="00360A96">
        <w:rPr>
          <w:rFonts w:ascii="Arial" w:hAnsi="Arial" w:cs="Arial"/>
          <w:color w:val="222222"/>
          <w:sz w:val="20"/>
          <w:szCs w:val="20"/>
          <w:shd w:val="clear" w:color="auto" w:fill="FFFFFF"/>
          <w:lang w:val="tr-TR"/>
        </w:rPr>
        <w:t>:</w:t>
      </w:r>
      <w:r w:rsidRPr="00360A96">
        <w:rPr>
          <w:rFonts w:ascii="Arial" w:hAnsi="Arial" w:cs="Arial"/>
          <w:color w:val="222222"/>
          <w:sz w:val="20"/>
          <w:szCs w:val="20"/>
          <w:shd w:val="clear" w:color="auto" w:fill="FFFFFF"/>
        </w:rPr>
        <w:t>248.</w:t>
      </w:r>
      <w:r w:rsidR="00D4504A" w:rsidRPr="00360A96">
        <w:rPr>
          <w:rFonts w:ascii="Arial" w:hAnsi="Arial" w:cs="Arial"/>
          <w:color w:val="222222"/>
          <w:sz w:val="20"/>
          <w:szCs w:val="20"/>
          <w:shd w:val="clear" w:color="auto" w:fill="FFFFFF"/>
        </w:rPr>
        <w:tab/>
      </w:r>
      <w:r w:rsidRPr="00360A96">
        <w:rPr>
          <w:rFonts w:ascii="Arial" w:hAnsi="Arial" w:cs="Arial"/>
          <w:color w:val="222222"/>
          <w:sz w:val="20"/>
          <w:szCs w:val="20"/>
          <w:shd w:val="clear" w:color="auto" w:fill="FFFFFF"/>
        </w:rPr>
        <w:t xml:space="preserve"> </w:t>
      </w:r>
      <w:r w:rsidRPr="00360A96">
        <w:rPr>
          <w:rFonts w:ascii="Arial" w:hAnsi="Arial" w:cs="Arial"/>
          <w:color w:val="0070C0"/>
          <w:sz w:val="20"/>
          <w:szCs w:val="20"/>
          <w:shd w:val="clear" w:color="auto" w:fill="FFFFFF"/>
        </w:rPr>
        <w:t>https://doi.org/10.1038/s41392-025-02360-2</w:t>
      </w:r>
    </w:p>
    <w:p w14:paraId="1ACCCE13" w14:textId="77777777" w:rsidR="00E04B8F" w:rsidRPr="00360A96" w:rsidRDefault="00E04B8F" w:rsidP="002018D0">
      <w:pPr>
        <w:pStyle w:val="NormalWeb"/>
        <w:tabs>
          <w:tab w:val="left" w:pos="1134"/>
        </w:tabs>
        <w:ind w:left="1134" w:hanging="567"/>
        <w:jc w:val="both"/>
        <w:rPr>
          <w:rFonts w:ascii="Arial" w:hAnsi="Arial" w:cs="Arial"/>
          <w:sz w:val="20"/>
          <w:szCs w:val="20"/>
        </w:rPr>
      </w:pPr>
      <w:r w:rsidRPr="00360A96">
        <w:rPr>
          <w:rFonts w:ascii="Arial" w:hAnsi="Arial" w:cs="Arial"/>
          <w:color w:val="212121"/>
          <w:sz w:val="20"/>
          <w:szCs w:val="20"/>
          <w:shd w:val="clear" w:color="auto" w:fill="FFFFFF"/>
        </w:rPr>
        <w:t xml:space="preserve">Leiphrakpam PD, Chowdhury S, Zhang M, Bajaj V, Dhir M, Are C. (2025). Trends in the Global Incidence of Pancreatic Cancer and a Brief Review of its Histologic and Molecular Subtypes. </w:t>
      </w:r>
      <w:r w:rsidRPr="00360A96">
        <w:rPr>
          <w:rFonts w:ascii="Arial" w:hAnsi="Arial" w:cs="Arial"/>
          <w:i/>
          <w:iCs/>
          <w:color w:val="212121"/>
          <w:sz w:val="20"/>
          <w:szCs w:val="20"/>
          <w:shd w:val="clear" w:color="auto" w:fill="FFFFFF"/>
        </w:rPr>
        <w:t>J Gastrointest Cancer.</w:t>
      </w:r>
      <w:r w:rsidRPr="00360A96">
        <w:rPr>
          <w:rFonts w:ascii="Arial" w:hAnsi="Arial" w:cs="Arial"/>
          <w:color w:val="212121"/>
          <w:sz w:val="20"/>
          <w:szCs w:val="20"/>
          <w:shd w:val="clear" w:color="auto" w:fill="FFFFFF"/>
        </w:rPr>
        <w:t xml:space="preserve"> 56(1):71.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oi:10.1007/s12029-025-01183-2</w:t>
      </w:r>
    </w:p>
    <w:p w14:paraId="3E0A74A9"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Li JT, Wang YP, Yin M, Lei QY. (2019). Metabolism remodeling in pancreatic ductal adenocarcinoma. </w:t>
      </w:r>
      <w:r w:rsidRPr="00360A96">
        <w:rPr>
          <w:rFonts w:ascii="Arial" w:hAnsi="Arial" w:cs="Arial"/>
          <w:i/>
          <w:iCs/>
          <w:color w:val="212121"/>
          <w:sz w:val="20"/>
          <w:szCs w:val="20"/>
          <w:shd w:val="clear" w:color="auto" w:fill="FFFFFF"/>
        </w:rPr>
        <w:t>Cell Stress.</w:t>
      </w:r>
      <w:r w:rsidRPr="00360A96">
        <w:rPr>
          <w:rFonts w:ascii="Arial" w:hAnsi="Arial" w:cs="Arial"/>
          <w:color w:val="212121"/>
          <w:sz w:val="20"/>
          <w:szCs w:val="20"/>
          <w:shd w:val="clear" w:color="auto" w:fill="FFFFFF"/>
        </w:rPr>
        <w:t xml:space="preserve"> 3(12):361-368. </w:t>
      </w:r>
      <w:r w:rsidRPr="00360A96">
        <w:rPr>
          <w:rFonts w:ascii="Arial" w:hAnsi="Arial" w:cs="Arial"/>
          <w:color w:val="0070C0"/>
          <w:sz w:val="20"/>
          <w:szCs w:val="20"/>
          <w:shd w:val="clear" w:color="auto" w:fill="FFFFFF"/>
        </w:rPr>
        <w:t xml:space="preserve">Doi: 10.15698/cst2019.12.205. </w:t>
      </w:r>
    </w:p>
    <w:p w14:paraId="322A555B" w14:textId="77777777" w:rsidR="00D4504A" w:rsidRPr="00360A96" w:rsidRDefault="00D4504A" w:rsidP="002018D0">
      <w:pPr>
        <w:pStyle w:val="NormalWeb"/>
        <w:spacing w:before="0" w:beforeAutospacing="0" w:after="0" w:afterAutospacing="0"/>
        <w:ind w:left="1134" w:right="283" w:hanging="567"/>
        <w:jc w:val="both"/>
        <w:rPr>
          <w:rFonts w:ascii="Arial" w:hAnsi="Arial" w:cs="Arial"/>
          <w:sz w:val="20"/>
          <w:szCs w:val="20"/>
        </w:rPr>
      </w:pPr>
    </w:p>
    <w:p w14:paraId="1D19555C"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Li Y, Sarkar FH (2016). MicroRNA targeted therapeutic approach for pancreatic cancer. </w:t>
      </w:r>
      <w:r w:rsidRPr="00360A96">
        <w:rPr>
          <w:rFonts w:ascii="Arial" w:hAnsi="Arial" w:cs="Arial"/>
          <w:i/>
          <w:iCs/>
          <w:sz w:val="20"/>
          <w:szCs w:val="20"/>
        </w:rPr>
        <w:t>Int J Biol.</w:t>
      </w:r>
      <w:r w:rsidRPr="00360A96">
        <w:rPr>
          <w:rFonts w:ascii="Arial" w:hAnsi="Arial" w:cs="Arial"/>
          <w:sz w:val="20"/>
          <w:szCs w:val="20"/>
        </w:rPr>
        <w:t xml:space="preserve"> 12:326-337. </w:t>
      </w:r>
      <w:r w:rsidRPr="00360A96">
        <w:rPr>
          <w:rFonts w:ascii="Arial" w:hAnsi="Arial" w:cs="Arial"/>
          <w:color w:val="0070C0"/>
          <w:sz w:val="20"/>
          <w:szCs w:val="20"/>
        </w:rPr>
        <w:t xml:space="preserve">Doi: 10.7150/ijbs.15017 </w:t>
      </w:r>
    </w:p>
    <w:p w14:paraId="6FEC60F8" w14:textId="77777777" w:rsidR="00D4504A" w:rsidRPr="00360A96" w:rsidRDefault="00D4504A" w:rsidP="002018D0">
      <w:pPr>
        <w:pStyle w:val="ListParagraph"/>
        <w:spacing w:after="0" w:line="240" w:lineRule="auto"/>
        <w:ind w:left="1134" w:right="283" w:hanging="567"/>
        <w:jc w:val="both"/>
        <w:rPr>
          <w:rFonts w:ascii="Arial" w:hAnsi="Arial" w:cs="Arial"/>
          <w:color w:val="000000" w:themeColor="text1"/>
          <w:sz w:val="20"/>
          <w:szCs w:val="20"/>
        </w:rPr>
      </w:pPr>
    </w:p>
    <w:p w14:paraId="5A50ECEC" w14:textId="77777777" w:rsidR="00E04B8F" w:rsidRPr="00360A96" w:rsidRDefault="00E04B8F" w:rsidP="002018D0">
      <w:pPr>
        <w:pStyle w:val="ListParagraph"/>
        <w:spacing w:after="0" w:line="240" w:lineRule="auto"/>
        <w:ind w:left="1134" w:right="283" w:hanging="567"/>
        <w:jc w:val="both"/>
        <w:rPr>
          <w:rStyle w:val="Hyperlink"/>
          <w:rFonts w:ascii="Arial" w:hAnsi="Arial" w:cs="Arial"/>
          <w:bCs/>
          <w:color w:val="FF0000"/>
          <w:sz w:val="20"/>
          <w:szCs w:val="20"/>
        </w:rPr>
      </w:pPr>
      <w:r w:rsidRPr="00360A96">
        <w:rPr>
          <w:rFonts w:ascii="Arial" w:hAnsi="Arial" w:cs="Arial"/>
          <w:color w:val="000000" w:themeColor="text1"/>
          <w:sz w:val="20"/>
          <w:szCs w:val="20"/>
        </w:rPr>
        <w:t xml:space="preserve">Lin Y, </w:t>
      </w:r>
      <w:proofErr w:type="spellStart"/>
      <w:r w:rsidRPr="00360A96">
        <w:rPr>
          <w:rFonts w:ascii="Arial" w:hAnsi="Arial" w:cs="Arial"/>
          <w:color w:val="000000" w:themeColor="text1"/>
          <w:sz w:val="20"/>
          <w:szCs w:val="20"/>
        </w:rPr>
        <w:t>Tamakoshi</w:t>
      </w:r>
      <w:proofErr w:type="spellEnd"/>
      <w:r w:rsidRPr="00360A96">
        <w:rPr>
          <w:rFonts w:ascii="Arial" w:hAnsi="Arial" w:cs="Arial"/>
          <w:color w:val="000000" w:themeColor="text1"/>
          <w:sz w:val="20"/>
          <w:szCs w:val="20"/>
        </w:rPr>
        <w:t xml:space="preserve">, A, Kawamura T, Inaba Y, Kikuchi S, Motohashi Y, et al. (2002). A prospective cohort study of cigarette smoking and pancreatic cancer in Japan. </w:t>
      </w:r>
      <w:r w:rsidRPr="00360A96">
        <w:rPr>
          <w:rFonts w:ascii="Arial" w:hAnsi="Arial" w:cs="Arial"/>
          <w:i/>
          <w:iCs/>
          <w:color w:val="000000" w:themeColor="text1"/>
          <w:sz w:val="20"/>
          <w:szCs w:val="20"/>
        </w:rPr>
        <w:t xml:space="preserve">Cancer Causes Control. </w:t>
      </w:r>
      <w:r w:rsidRPr="00360A96">
        <w:rPr>
          <w:rFonts w:ascii="Arial" w:hAnsi="Arial" w:cs="Arial"/>
          <w:color w:val="000000" w:themeColor="text1"/>
          <w:sz w:val="20"/>
          <w:szCs w:val="20"/>
        </w:rPr>
        <w:t xml:space="preserve">13(3):249-254. </w:t>
      </w:r>
      <w:r w:rsidRPr="00360A96">
        <w:rPr>
          <w:rFonts w:ascii="Arial" w:hAnsi="Arial" w:cs="Arial"/>
          <w:color w:val="0070C0"/>
          <w:sz w:val="20"/>
          <w:szCs w:val="20"/>
        </w:rPr>
        <w:t>Doi:</w:t>
      </w:r>
      <w:r w:rsidRPr="00360A96">
        <w:rPr>
          <w:rStyle w:val="identifier"/>
          <w:rFonts w:ascii="Arial" w:hAnsi="Arial" w:cs="Arial"/>
          <w:color w:val="212121"/>
          <w:sz w:val="20"/>
          <w:szCs w:val="20"/>
        </w:rPr>
        <w:t xml:space="preserve"> </w:t>
      </w:r>
      <w:hyperlink r:id="rId19" w:tgtFrame="_blank" w:history="1">
        <w:r w:rsidRPr="00360A96">
          <w:rPr>
            <w:rStyle w:val="Hyperlink"/>
            <w:rFonts w:ascii="Arial" w:hAnsi="Arial" w:cs="Arial"/>
            <w:color w:val="0071BC"/>
            <w:sz w:val="20"/>
            <w:szCs w:val="20"/>
            <w:u w:val="none"/>
          </w:rPr>
          <w:t>10.1023/a:1015052710213</w:t>
        </w:r>
      </w:hyperlink>
    </w:p>
    <w:p w14:paraId="6D9E0A0D"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62F47946" w14:textId="77777777" w:rsidR="00E04B8F" w:rsidRPr="00360A96" w:rsidRDefault="00E04B8F" w:rsidP="002018D0">
      <w:pPr>
        <w:pStyle w:val="ListParagraph"/>
        <w:spacing w:after="0" w:line="240" w:lineRule="auto"/>
        <w:ind w:left="1134" w:right="283" w:hanging="567"/>
        <w:jc w:val="both"/>
        <w:rPr>
          <w:rStyle w:val="url"/>
          <w:rFonts w:ascii="Arial" w:hAnsi="Arial" w:cs="Arial"/>
          <w:bCs/>
          <w:sz w:val="20"/>
          <w:szCs w:val="20"/>
        </w:rPr>
      </w:pPr>
      <w:r w:rsidRPr="00360A96">
        <w:rPr>
          <w:rFonts w:ascii="Arial" w:hAnsi="Arial" w:cs="Arial"/>
          <w:bCs/>
          <w:color w:val="000000" w:themeColor="text1"/>
          <w:sz w:val="20"/>
          <w:szCs w:val="20"/>
        </w:rPr>
        <w:t xml:space="preserve">Liu P, Liang H, Xia Q, Li P, Kong H, Lei P, et al. (2013). Resveratrol induces apoptosis of pancreatic cancer cells by inhibiting miR-21 regulation of BCL-2 expression. </w:t>
      </w:r>
      <w:r w:rsidRPr="00360A96">
        <w:rPr>
          <w:rFonts w:ascii="Arial" w:hAnsi="Arial" w:cs="Arial"/>
          <w:bCs/>
          <w:i/>
          <w:iCs/>
          <w:color w:val="000000" w:themeColor="text1"/>
          <w:sz w:val="20"/>
          <w:szCs w:val="20"/>
        </w:rPr>
        <w:t xml:space="preserve">Clin </w:t>
      </w:r>
      <w:proofErr w:type="spellStart"/>
      <w:r w:rsidRPr="00360A96">
        <w:rPr>
          <w:rFonts w:ascii="Arial" w:hAnsi="Arial" w:cs="Arial"/>
          <w:bCs/>
          <w:i/>
          <w:iCs/>
          <w:color w:val="000000" w:themeColor="text1"/>
          <w:sz w:val="20"/>
          <w:szCs w:val="20"/>
        </w:rPr>
        <w:t>Transl</w:t>
      </w:r>
      <w:proofErr w:type="spellEnd"/>
      <w:r w:rsidRPr="00360A96">
        <w:rPr>
          <w:rFonts w:ascii="Arial" w:hAnsi="Arial" w:cs="Arial"/>
          <w:bCs/>
          <w:i/>
          <w:iCs/>
          <w:color w:val="000000" w:themeColor="text1"/>
          <w:sz w:val="20"/>
          <w:szCs w:val="20"/>
        </w:rPr>
        <w:t xml:space="preserve"> Oncol.</w:t>
      </w:r>
      <w:r w:rsidRPr="00360A96">
        <w:rPr>
          <w:rFonts w:ascii="Arial" w:hAnsi="Arial" w:cs="Arial"/>
          <w:bCs/>
          <w:color w:val="000000" w:themeColor="text1"/>
          <w:sz w:val="20"/>
          <w:szCs w:val="20"/>
        </w:rPr>
        <w:t xml:space="preserve"> 15(9):741-746. </w:t>
      </w:r>
      <w:r w:rsidRPr="00360A96">
        <w:rPr>
          <w:rFonts w:ascii="Arial" w:hAnsi="Arial" w:cs="Arial"/>
          <w:bCs/>
          <w:color w:val="0070C0"/>
          <w:sz w:val="20"/>
          <w:szCs w:val="20"/>
        </w:rPr>
        <w:t>Doi.org/10.1007/s12094-012-0999-4</w:t>
      </w:r>
    </w:p>
    <w:p w14:paraId="57DD69A4" w14:textId="77777777" w:rsidR="00D4504A" w:rsidRPr="00360A96" w:rsidRDefault="00D4504A" w:rsidP="002018D0">
      <w:pPr>
        <w:pStyle w:val="ListParagraph"/>
        <w:spacing w:after="0" w:line="240" w:lineRule="auto"/>
        <w:ind w:left="1134" w:right="283" w:hanging="567"/>
        <w:jc w:val="both"/>
        <w:rPr>
          <w:rFonts w:ascii="Arial" w:hAnsi="Arial" w:cs="Arial"/>
          <w:bCs/>
          <w:color w:val="000000" w:themeColor="text1"/>
          <w:sz w:val="20"/>
          <w:szCs w:val="20"/>
        </w:rPr>
      </w:pPr>
    </w:p>
    <w:p w14:paraId="642A920A"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bCs/>
          <w:color w:val="000000" w:themeColor="text1"/>
          <w:sz w:val="20"/>
          <w:szCs w:val="20"/>
        </w:rPr>
        <w:t xml:space="preserve">Luo G, Jin K, Deng S, Cheng H, Fan Z, Gong Y, et al. (2021). Roles of CA19-9 in pancreatic cancer: Biomarker, predictor and promoter. </w:t>
      </w:r>
      <w:r w:rsidRPr="00360A96">
        <w:rPr>
          <w:rFonts w:ascii="Arial" w:hAnsi="Arial" w:cs="Arial"/>
          <w:bCs/>
          <w:i/>
          <w:iCs/>
          <w:color w:val="000000" w:themeColor="text1"/>
          <w:sz w:val="20"/>
          <w:szCs w:val="20"/>
        </w:rPr>
        <w:t>BBA Rev Cancer</w:t>
      </w:r>
      <w:r w:rsidRPr="00360A96">
        <w:rPr>
          <w:rFonts w:ascii="Arial" w:hAnsi="Arial" w:cs="Arial"/>
          <w:bCs/>
          <w:color w:val="000000" w:themeColor="text1"/>
          <w:sz w:val="20"/>
          <w:szCs w:val="20"/>
        </w:rPr>
        <w:t>. 1875:188409.</w:t>
      </w:r>
      <w:r w:rsidR="00D4504A" w:rsidRPr="00360A96">
        <w:rPr>
          <w:rFonts w:ascii="Arial" w:hAnsi="Arial" w:cs="Arial"/>
          <w:bCs/>
          <w:color w:val="000000" w:themeColor="text1"/>
          <w:sz w:val="20"/>
          <w:szCs w:val="20"/>
        </w:rPr>
        <w:tab/>
      </w:r>
      <w:r w:rsidRPr="00360A96">
        <w:rPr>
          <w:rFonts w:ascii="Arial" w:hAnsi="Arial" w:cs="Arial"/>
          <w:bCs/>
          <w:color w:val="000000" w:themeColor="text1"/>
          <w:sz w:val="20"/>
          <w:szCs w:val="20"/>
        </w:rPr>
        <w:t xml:space="preserve"> </w:t>
      </w:r>
      <w:hyperlink r:id="rId20" w:history="1">
        <w:r w:rsidRPr="00360A96">
          <w:rPr>
            <w:rStyle w:val="Hyperlink"/>
            <w:rFonts w:ascii="Arial" w:hAnsi="Arial" w:cs="Arial"/>
            <w:color w:val="0070C0"/>
            <w:sz w:val="20"/>
            <w:szCs w:val="20"/>
            <w:u w:val="none"/>
          </w:rPr>
          <w:t>https://doi.org/10.1016/j.bbcan.2020.188409</w:t>
        </w:r>
      </w:hyperlink>
      <w:r w:rsidRPr="00360A96">
        <w:rPr>
          <w:rFonts w:ascii="Arial" w:hAnsi="Arial" w:cs="Arial"/>
          <w:bCs/>
          <w:color w:val="0070C0"/>
          <w:sz w:val="20"/>
          <w:szCs w:val="20"/>
        </w:rPr>
        <w:t xml:space="preserve"> </w:t>
      </w:r>
    </w:p>
    <w:p w14:paraId="50318530"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Manafi</w:t>
      </w:r>
      <w:r w:rsidRPr="00360A96">
        <w:rPr>
          <w:rFonts w:ascii="Cambria Math" w:hAnsi="Cambria Math" w:cs="Cambria Math"/>
          <w:sz w:val="20"/>
          <w:szCs w:val="20"/>
        </w:rPr>
        <w:t>‐</w:t>
      </w:r>
      <w:r w:rsidRPr="00360A96">
        <w:rPr>
          <w:rFonts w:ascii="Arial" w:hAnsi="Arial" w:cs="Arial"/>
          <w:sz w:val="20"/>
          <w:szCs w:val="20"/>
        </w:rPr>
        <w:t>Farid R, Ataeinia B, Ranjbar S, Araghi ZJ, Moradi MM, Pirich C, et al. (2022)</w:t>
      </w:r>
      <w:r w:rsidRPr="00360A96">
        <w:rPr>
          <w:rFonts w:ascii="Arial" w:hAnsi="Arial" w:cs="Arial"/>
          <w:sz w:val="20"/>
          <w:szCs w:val="20"/>
          <w:lang w:val="tr-TR"/>
        </w:rPr>
        <w:t>.</w:t>
      </w:r>
      <w:r w:rsidRPr="00360A96">
        <w:rPr>
          <w:rFonts w:ascii="Arial" w:hAnsi="Arial" w:cs="Arial"/>
          <w:sz w:val="20"/>
          <w:szCs w:val="20"/>
        </w:rPr>
        <w:t xml:space="preserve"> ImmunoPET: Antibody-Based PET imaging in solid tumors. </w:t>
      </w:r>
      <w:r w:rsidRPr="00360A96">
        <w:rPr>
          <w:rFonts w:ascii="Arial" w:hAnsi="Arial" w:cs="Arial"/>
          <w:i/>
          <w:iCs/>
          <w:sz w:val="20"/>
          <w:szCs w:val="20"/>
        </w:rPr>
        <w:t xml:space="preserve">Front Med. </w:t>
      </w:r>
      <w:r w:rsidRPr="00360A96">
        <w:rPr>
          <w:rFonts w:ascii="Arial" w:hAnsi="Arial" w:cs="Arial"/>
          <w:sz w:val="20"/>
          <w:szCs w:val="20"/>
        </w:rPr>
        <w:t>9:Article 916693</w:t>
      </w:r>
      <w:r w:rsidR="00D4504A" w:rsidRPr="00360A96">
        <w:rPr>
          <w:rFonts w:ascii="Arial" w:hAnsi="Arial" w:cs="Arial"/>
          <w:sz w:val="20"/>
          <w:szCs w:val="20"/>
        </w:rPr>
        <w:tab/>
      </w:r>
      <w:r w:rsidRPr="00360A96">
        <w:rPr>
          <w:rFonts w:ascii="Arial" w:hAnsi="Arial" w:cs="Arial"/>
          <w:sz w:val="20"/>
          <w:szCs w:val="20"/>
        </w:rPr>
        <w:t xml:space="preserve"> </w:t>
      </w:r>
      <w:r w:rsidR="00D4504A" w:rsidRPr="00360A96">
        <w:rPr>
          <w:rFonts w:ascii="Arial" w:hAnsi="Arial" w:cs="Arial"/>
          <w:sz w:val="20"/>
          <w:szCs w:val="20"/>
          <w:lang w:val="tr-TR"/>
        </w:rPr>
        <w:t xml:space="preserve">                                   </w:t>
      </w:r>
      <w:r w:rsidRPr="00360A96">
        <w:rPr>
          <w:rFonts w:ascii="Arial" w:hAnsi="Arial" w:cs="Arial"/>
          <w:color w:val="006DBF"/>
          <w:sz w:val="20"/>
          <w:szCs w:val="20"/>
        </w:rPr>
        <w:t xml:space="preserve">Doi: 10.3389/fmed.916693 </w:t>
      </w:r>
    </w:p>
    <w:p w14:paraId="16CF706F" w14:textId="77777777" w:rsidR="00296687" w:rsidRPr="00360A96" w:rsidRDefault="00296687" w:rsidP="002018D0">
      <w:pPr>
        <w:pStyle w:val="ListParagraph"/>
        <w:spacing w:after="0" w:line="240" w:lineRule="auto"/>
        <w:ind w:left="1134" w:right="283" w:hanging="567"/>
        <w:jc w:val="both"/>
        <w:rPr>
          <w:rStyle w:val="url"/>
          <w:rFonts w:ascii="Arial" w:hAnsi="Arial" w:cs="Arial"/>
          <w:color w:val="000000" w:themeColor="text1"/>
          <w:sz w:val="20"/>
          <w:szCs w:val="20"/>
          <w:bdr w:val="single" w:sz="2" w:space="0" w:color="ECEDEE" w:frame="1"/>
        </w:rPr>
      </w:pPr>
      <w:proofErr w:type="spellStart"/>
      <w:r w:rsidRPr="00360A96">
        <w:rPr>
          <w:rStyle w:val="url"/>
          <w:rFonts w:ascii="Arial" w:hAnsi="Arial" w:cs="Arial"/>
          <w:color w:val="000000" w:themeColor="text1"/>
          <w:sz w:val="20"/>
          <w:szCs w:val="20"/>
          <w:bdr w:val="single" w:sz="2" w:space="0" w:color="ECEDEE" w:frame="1"/>
        </w:rPr>
        <w:lastRenderedPageBreak/>
        <w:t>Maziec</w:t>
      </w:r>
      <w:proofErr w:type="spellEnd"/>
      <w:r w:rsidRPr="00360A96">
        <w:rPr>
          <w:rStyle w:val="url"/>
          <w:rFonts w:ascii="Arial" w:hAnsi="Arial" w:cs="Arial"/>
          <w:color w:val="000000" w:themeColor="text1"/>
          <w:sz w:val="20"/>
          <w:szCs w:val="20"/>
          <w:bdr w:val="single" w:sz="2" w:space="0" w:color="ECEDEE" w:frame="1"/>
        </w:rPr>
        <w:t xml:space="preserve"> K, </w:t>
      </w:r>
      <w:proofErr w:type="spellStart"/>
      <w:r w:rsidRPr="00360A96">
        <w:rPr>
          <w:rStyle w:val="url"/>
          <w:rFonts w:ascii="Arial" w:hAnsi="Arial" w:cs="Arial"/>
          <w:color w:val="000000" w:themeColor="text1"/>
          <w:sz w:val="20"/>
          <w:szCs w:val="20"/>
          <w:bdr w:val="single" w:sz="2" w:space="0" w:color="ECEDEE" w:frame="1"/>
        </w:rPr>
        <w:t>Baliga</w:t>
      </w:r>
      <w:proofErr w:type="spellEnd"/>
      <w:r w:rsidRPr="00360A96">
        <w:rPr>
          <w:rStyle w:val="url"/>
          <w:rFonts w:ascii="Arial" w:hAnsi="Arial" w:cs="Arial"/>
          <w:color w:val="000000" w:themeColor="text1"/>
          <w:sz w:val="20"/>
          <w:szCs w:val="20"/>
          <w:bdr w:val="single" w:sz="2" w:space="0" w:color="ECEDEE" w:frame="1"/>
        </w:rPr>
        <w:t xml:space="preserve">-Gil A, Kierzek E (2025). Delivery strategies for RNA-targeting </w:t>
      </w:r>
      <w:proofErr w:type="spellStart"/>
      <w:r w:rsidRPr="00360A96">
        <w:rPr>
          <w:rStyle w:val="url"/>
          <w:rFonts w:ascii="Arial" w:hAnsi="Arial" w:cs="Arial"/>
          <w:color w:val="000000" w:themeColor="text1"/>
          <w:sz w:val="20"/>
          <w:szCs w:val="20"/>
          <w:bdr w:val="single" w:sz="2" w:space="0" w:color="ECEDEE" w:frame="1"/>
        </w:rPr>
        <w:t>theraprutic</w:t>
      </w:r>
      <w:proofErr w:type="spellEnd"/>
      <w:r w:rsidRPr="00360A96">
        <w:rPr>
          <w:rStyle w:val="url"/>
          <w:rFonts w:ascii="Arial" w:hAnsi="Arial" w:cs="Arial"/>
          <w:color w:val="000000" w:themeColor="text1"/>
          <w:sz w:val="20"/>
          <w:szCs w:val="20"/>
          <w:bdr w:val="single" w:sz="2" w:space="0" w:color="ECEDEE" w:frame="1"/>
        </w:rPr>
        <w:t xml:space="preserve"> nucleic acids and RNA-based vaccines against respiratory RNA viruses: IAV, SARS-CoV-2, RSV.</w:t>
      </w:r>
      <w:r w:rsidRPr="00360A96">
        <w:rPr>
          <w:rFonts w:ascii="Arial" w:hAnsi="Arial" w:cs="Arial"/>
          <w:color w:val="212121"/>
          <w:sz w:val="20"/>
          <w:szCs w:val="20"/>
          <w:shd w:val="clear" w:color="auto" w:fill="FFFFFF"/>
        </w:rPr>
        <w:t xml:space="preserve"> </w:t>
      </w:r>
      <w:r w:rsidRPr="00360A96">
        <w:rPr>
          <w:rFonts w:ascii="Arial" w:hAnsi="Arial" w:cs="Arial"/>
          <w:i/>
          <w:iCs/>
          <w:color w:val="212121"/>
          <w:sz w:val="20"/>
          <w:szCs w:val="20"/>
          <w:shd w:val="clear" w:color="auto" w:fill="FFFFFF"/>
        </w:rPr>
        <w:t xml:space="preserve">Mol Ther Nucleic Acids. </w:t>
      </w:r>
      <w:r w:rsidRPr="00360A96">
        <w:rPr>
          <w:rFonts w:ascii="Arial" w:hAnsi="Arial" w:cs="Arial"/>
          <w:color w:val="212121"/>
          <w:sz w:val="20"/>
          <w:szCs w:val="20"/>
          <w:shd w:val="clear" w:color="auto" w:fill="FFFFFF"/>
        </w:rPr>
        <w:t>36(3):102572.</w:t>
      </w:r>
      <w:r w:rsidR="00CA081A" w:rsidRPr="00360A96">
        <w:rPr>
          <w:rFonts w:ascii="Arial" w:hAnsi="Arial" w:cs="Arial"/>
          <w:color w:val="212121"/>
          <w:sz w:val="20"/>
          <w:szCs w:val="20"/>
          <w:shd w:val="clear" w:color="auto" w:fill="FFFFFF"/>
        </w:rPr>
        <w:t xml:space="preserve"> </w:t>
      </w:r>
      <w:r w:rsidR="00CA081A" w:rsidRPr="00360A96">
        <w:rPr>
          <w:rFonts w:ascii="Arial" w:hAnsi="Arial" w:cs="Arial"/>
          <w:color w:val="0070C0"/>
          <w:sz w:val="20"/>
          <w:szCs w:val="20"/>
          <w:shd w:val="clear" w:color="auto" w:fill="FFFFFF"/>
        </w:rPr>
        <w:t>D</w:t>
      </w:r>
      <w:r w:rsidRPr="00360A96">
        <w:rPr>
          <w:rFonts w:ascii="Arial" w:hAnsi="Arial" w:cs="Arial"/>
          <w:color w:val="0070C0"/>
          <w:sz w:val="20"/>
          <w:szCs w:val="20"/>
          <w:shd w:val="clear" w:color="auto" w:fill="FFFFFF"/>
        </w:rPr>
        <w:t>oi: 10.1016/j.omtn.2025.102572</w:t>
      </w:r>
    </w:p>
    <w:p w14:paraId="2F191EAD" w14:textId="77777777" w:rsidR="00D4504A" w:rsidRPr="00360A96" w:rsidRDefault="00D4504A" w:rsidP="002018D0">
      <w:pPr>
        <w:pStyle w:val="ListParagraph"/>
        <w:spacing w:after="0" w:line="240" w:lineRule="auto"/>
        <w:ind w:left="1134" w:right="283" w:hanging="567"/>
        <w:jc w:val="both"/>
        <w:rPr>
          <w:rStyle w:val="url"/>
          <w:rFonts w:ascii="Arial" w:hAnsi="Arial" w:cs="Arial"/>
          <w:color w:val="000000" w:themeColor="text1"/>
          <w:sz w:val="20"/>
          <w:szCs w:val="20"/>
          <w:bdr w:val="single" w:sz="2" w:space="0" w:color="ECEDEE" w:frame="1"/>
        </w:rPr>
      </w:pPr>
    </w:p>
    <w:p w14:paraId="71BAB035" w14:textId="77777777" w:rsidR="00E04B8F" w:rsidRPr="00360A96" w:rsidRDefault="00E04B8F" w:rsidP="002018D0">
      <w:pPr>
        <w:pStyle w:val="ListParagraph"/>
        <w:spacing w:after="0" w:line="240" w:lineRule="auto"/>
        <w:ind w:left="1134" w:right="283" w:hanging="567"/>
        <w:jc w:val="both"/>
        <w:rPr>
          <w:rStyle w:val="url"/>
          <w:rFonts w:ascii="Arial" w:hAnsi="Arial" w:cs="Arial"/>
          <w:color w:val="000000" w:themeColor="text1"/>
          <w:sz w:val="20"/>
          <w:szCs w:val="20"/>
          <w:bdr w:val="single" w:sz="2" w:space="0" w:color="ECEDEE" w:frame="1"/>
        </w:rPr>
      </w:pPr>
      <w:r w:rsidRPr="00360A96">
        <w:rPr>
          <w:rStyle w:val="url"/>
          <w:rFonts w:ascii="Arial" w:hAnsi="Arial" w:cs="Arial"/>
          <w:color w:val="000000" w:themeColor="text1"/>
          <w:sz w:val="20"/>
          <w:szCs w:val="20"/>
          <w:bdr w:val="single" w:sz="2" w:space="0" w:color="ECEDEE" w:frame="1"/>
        </w:rPr>
        <w:t xml:space="preserve">Midha S, Chawla S, Garg PK (2016). Modifiable and non-modifiable risk factors for pancreatic cancer: a review. </w:t>
      </w:r>
      <w:r w:rsidRPr="00360A96">
        <w:rPr>
          <w:rStyle w:val="url"/>
          <w:rFonts w:ascii="Arial" w:hAnsi="Arial" w:cs="Arial"/>
          <w:i/>
          <w:iCs/>
          <w:color w:val="000000" w:themeColor="text1"/>
          <w:sz w:val="20"/>
          <w:szCs w:val="20"/>
          <w:bdr w:val="single" w:sz="2" w:space="0" w:color="ECEDEE" w:frame="1"/>
        </w:rPr>
        <w:t>Cancer Lett.</w:t>
      </w:r>
      <w:r w:rsidRPr="00360A96">
        <w:rPr>
          <w:rStyle w:val="url"/>
          <w:rFonts w:ascii="Arial" w:hAnsi="Arial" w:cs="Arial"/>
          <w:color w:val="000000" w:themeColor="text1"/>
          <w:sz w:val="20"/>
          <w:szCs w:val="20"/>
          <w:bdr w:val="single" w:sz="2" w:space="0" w:color="ECEDEE" w:frame="1"/>
        </w:rPr>
        <w:t xml:space="preserve"> 381(1):269-277. </w:t>
      </w:r>
    </w:p>
    <w:p w14:paraId="2206C788" w14:textId="77777777" w:rsidR="00E04B8F" w:rsidRPr="00360A96" w:rsidRDefault="00E04B8F" w:rsidP="002018D0">
      <w:pPr>
        <w:ind w:left="1134" w:right="283" w:hanging="567"/>
        <w:jc w:val="both"/>
        <w:rPr>
          <w:rStyle w:val="url"/>
          <w:rFonts w:ascii="Arial" w:hAnsi="Arial" w:cs="Arial"/>
          <w:color w:val="0070C0"/>
          <w:sz w:val="20"/>
          <w:szCs w:val="20"/>
          <w:bdr w:val="single" w:sz="2" w:space="0" w:color="ECEDEE" w:frame="1"/>
        </w:rPr>
      </w:pPr>
      <w:r w:rsidRPr="00360A96">
        <w:rPr>
          <w:rStyle w:val="url"/>
          <w:rFonts w:ascii="Arial" w:hAnsi="Arial" w:cs="Arial"/>
          <w:color w:val="0070C0"/>
          <w:sz w:val="20"/>
          <w:szCs w:val="20"/>
          <w:bdr w:val="single" w:sz="2" w:space="0" w:color="ECEDEE" w:frame="1"/>
        </w:rPr>
        <w:tab/>
        <w:t>Doi: 10.1016/j.canlet.2016.07.022</w:t>
      </w:r>
    </w:p>
    <w:p w14:paraId="792183FF" w14:textId="77777777" w:rsidR="00D4504A" w:rsidRPr="00360A96" w:rsidRDefault="00D4504A" w:rsidP="002018D0">
      <w:pPr>
        <w:pStyle w:val="ListParagraph"/>
        <w:spacing w:line="240" w:lineRule="auto"/>
        <w:ind w:left="1134" w:right="283" w:hanging="567"/>
        <w:jc w:val="both"/>
        <w:rPr>
          <w:rFonts w:ascii="Arial" w:hAnsi="Arial" w:cs="Arial"/>
          <w:sz w:val="20"/>
          <w:szCs w:val="20"/>
        </w:rPr>
      </w:pPr>
    </w:p>
    <w:p w14:paraId="15D1B471" w14:textId="77777777" w:rsidR="00E04B8F" w:rsidRPr="00360A96" w:rsidRDefault="00E04B8F" w:rsidP="002018D0">
      <w:pPr>
        <w:pStyle w:val="ListParagraph"/>
        <w:spacing w:line="240" w:lineRule="auto"/>
        <w:ind w:left="1134" w:right="283" w:hanging="567"/>
        <w:jc w:val="both"/>
        <w:rPr>
          <w:rFonts w:ascii="Arial" w:hAnsi="Arial" w:cs="Arial"/>
          <w:color w:val="0070C0"/>
          <w:sz w:val="20"/>
          <w:szCs w:val="20"/>
          <w:bdr w:val="single" w:sz="2" w:space="0" w:color="ECEDEE" w:frame="1"/>
        </w:rPr>
      </w:pPr>
      <w:r w:rsidRPr="00360A96">
        <w:rPr>
          <w:rFonts w:ascii="Arial" w:hAnsi="Arial" w:cs="Arial"/>
          <w:sz w:val="20"/>
          <w:szCs w:val="20"/>
        </w:rPr>
        <w:t xml:space="preserve">Moriyama T, </w:t>
      </w:r>
      <w:proofErr w:type="spellStart"/>
      <w:r w:rsidRPr="00360A96">
        <w:rPr>
          <w:rFonts w:ascii="Arial" w:hAnsi="Arial" w:cs="Arial"/>
          <w:sz w:val="20"/>
          <w:szCs w:val="20"/>
        </w:rPr>
        <w:t>Ohuchida</w:t>
      </w:r>
      <w:proofErr w:type="spellEnd"/>
      <w:r w:rsidRPr="00360A96">
        <w:rPr>
          <w:rFonts w:ascii="Arial" w:hAnsi="Arial" w:cs="Arial"/>
          <w:sz w:val="20"/>
          <w:szCs w:val="20"/>
        </w:rPr>
        <w:t xml:space="preserve"> K, </w:t>
      </w:r>
      <w:proofErr w:type="spellStart"/>
      <w:r w:rsidRPr="00360A96">
        <w:rPr>
          <w:rFonts w:ascii="Arial" w:hAnsi="Arial" w:cs="Arial"/>
          <w:sz w:val="20"/>
          <w:szCs w:val="20"/>
        </w:rPr>
        <w:t>Mizumoto</w:t>
      </w:r>
      <w:proofErr w:type="spellEnd"/>
      <w:r w:rsidRPr="00360A96">
        <w:rPr>
          <w:rFonts w:ascii="Arial" w:hAnsi="Arial" w:cs="Arial"/>
          <w:sz w:val="20"/>
          <w:szCs w:val="20"/>
        </w:rPr>
        <w:t xml:space="preserve"> K, Yu J, Sato N, Nabae T, et al. (2009). MicroRNA-21 modulates biological functions of pancreatic cancer cells including their proliferation, invasion, and chemoresistance. </w:t>
      </w:r>
      <w:r w:rsidRPr="00360A96">
        <w:rPr>
          <w:rFonts w:ascii="Arial" w:hAnsi="Arial" w:cs="Arial"/>
          <w:i/>
          <w:iCs/>
          <w:sz w:val="20"/>
          <w:szCs w:val="20"/>
        </w:rPr>
        <w:t>Mol Cancer Ther</w:t>
      </w:r>
      <w:r w:rsidRPr="00360A96">
        <w:rPr>
          <w:rFonts w:ascii="Arial" w:hAnsi="Arial" w:cs="Arial"/>
          <w:sz w:val="20"/>
          <w:szCs w:val="20"/>
        </w:rPr>
        <w:t xml:space="preserve">. 8(5):1067-1074. </w:t>
      </w:r>
      <w:r w:rsidRPr="00360A96">
        <w:rPr>
          <w:rFonts w:ascii="Arial" w:hAnsi="Arial" w:cs="Arial"/>
          <w:color w:val="0070C0"/>
          <w:sz w:val="20"/>
          <w:szCs w:val="20"/>
        </w:rPr>
        <w:t xml:space="preserve">Doi: 10.1158/1535-7163.MCT-08-0592 </w:t>
      </w:r>
    </w:p>
    <w:p w14:paraId="29040E9F"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Nakagawa T, Lanaspa MA, Millan IS, Fini M, Rivard CJ, Sanchez-Lozada LG, et al. (2020). Fructose contributes to the Warburg effect for cancer growth. </w:t>
      </w:r>
      <w:r w:rsidRPr="00360A96">
        <w:rPr>
          <w:rFonts w:ascii="Arial" w:hAnsi="Arial" w:cs="Arial"/>
          <w:i/>
          <w:iCs/>
          <w:sz w:val="20"/>
          <w:szCs w:val="20"/>
        </w:rPr>
        <w:t>Cancer Metab.</w:t>
      </w:r>
      <w:r w:rsidRPr="00360A96">
        <w:rPr>
          <w:rFonts w:ascii="Arial" w:hAnsi="Arial" w:cs="Arial"/>
          <w:sz w:val="20"/>
          <w:szCs w:val="20"/>
        </w:rPr>
        <w:t xml:space="preserve"> 8:16.</w:t>
      </w:r>
      <w:r w:rsidR="00D4504A" w:rsidRPr="00360A96">
        <w:rPr>
          <w:rFonts w:ascii="Arial" w:hAnsi="Arial" w:cs="Arial"/>
          <w:sz w:val="20"/>
          <w:szCs w:val="20"/>
        </w:rPr>
        <w:tab/>
      </w:r>
      <w:r w:rsidRPr="00360A96">
        <w:rPr>
          <w:rFonts w:ascii="Arial" w:hAnsi="Arial" w:cs="Arial"/>
          <w:sz w:val="20"/>
          <w:szCs w:val="20"/>
        </w:rPr>
        <w:t xml:space="preserve"> </w:t>
      </w:r>
      <w:r w:rsidRPr="00360A96">
        <w:rPr>
          <w:rFonts w:ascii="Arial" w:hAnsi="Arial" w:cs="Arial"/>
          <w:color w:val="0070C0"/>
          <w:sz w:val="20"/>
          <w:szCs w:val="20"/>
        </w:rPr>
        <w:t>http://creativecommons.org/publicdomain/zero/1.0/</w:t>
      </w:r>
    </w:p>
    <w:p w14:paraId="1BB1ACC0" w14:textId="77777777" w:rsidR="00E04B8F" w:rsidRPr="00360A96" w:rsidRDefault="00E04B8F" w:rsidP="002018D0">
      <w:pPr>
        <w:pStyle w:val="ListParagraph"/>
        <w:spacing w:after="0" w:line="240" w:lineRule="auto"/>
        <w:ind w:left="1134" w:right="283" w:hanging="567"/>
        <w:jc w:val="both"/>
        <w:rPr>
          <w:rStyle w:val="Hyperlink"/>
          <w:rFonts w:ascii="Arial" w:hAnsi="Arial" w:cs="Arial"/>
          <w:color w:val="000000" w:themeColor="text1"/>
          <w:sz w:val="20"/>
          <w:szCs w:val="20"/>
        </w:rPr>
      </w:pPr>
      <w:r w:rsidRPr="00360A96">
        <w:rPr>
          <w:rFonts w:ascii="Arial" w:hAnsi="Arial" w:cs="Arial"/>
          <w:color w:val="000000" w:themeColor="text1"/>
          <w:sz w:val="20"/>
          <w:szCs w:val="20"/>
        </w:rPr>
        <w:t xml:space="preserve">Nalls D, Tang S, </w:t>
      </w:r>
      <w:proofErr w:type="spellStart"/>
      <w:r w:rsidRPr="00360A96">
        <w:rPr>
          <w:rFonts w:ascii="Arial" w:hAnsi="Arial" w:cs="Arial"/>
          <w:color w:val="000000" w:themeColor="text1"/>
          <w:sz w:val="20"/>
          <w:szCs w:val="20"/>
        </w:rPr>
        <w:t>Rodova</w:t>
      </w:r>
      <w:proofErr w:type="spellEnd"/>
      <w:r w:rsidRPr="00360A96">
        <w:rPr>
          <w:rFonts w:ascii="Arial" w:hAnsi="Arial" w:cs="Arial"/>
          <w:color w:val="000000" w:themeColor="text1"/>
          <w:sz w:val="20"/>
          <w:szCs w:val="20"/>
        </w:rPr>
        <w:t xml:space="preserve"> M, Srivastava RK, Shankar S (2011). Targeting epigenetic regulation of MIR-34A for treatment of pancreatic cancer by inhibition of pancreatic cancer stem cells. </w:t>
      </w:r>
      <w:proofErr w:type="spellStart"/>
      <w:r w:rsidRPr="00360A96">
        <w:rPr>
          <w:rFonts w:ascii="Arial" w:hAnsi="Arial" w:cs="Arial"/>
          <w:i/>
          <w:iCs/>
          <w:color w:val="000000" w:themeColor="text1"/>
          <w:sz w:val="20"/>
          <w:szCs w:val="20"/>
          <w:bdr w:val="single" w:sz="2" w:space="0" w:color="ECEDEE" w:frame="1"/>
        </w:rPr>
        <w:t>PloS</w:t>
      </w:r>
      <w:proofErr w:type="spellEnd"/>
      <w:r w:rsidRPr="00360A96">
        <w:rPr>
          <w:rFonts w:ascii="Arial" w:hAnsi="Arial" w:cs="Arial"/>
          <w:i/>
          <w:iCs/>
          <w:color w:val="000000" w:themeColor="text1"/>
          <w:sz w:val="20"/>
          <w:szCs w:val="20"/>
          <w:bdr w:val="single" w:sz="2" w:space="0" w:color="ECEDEE" w:frame="1"/>
        </w:rPr>
        <w:t xml:space="preserve"> One</w:t>
      </w:r>
      <w:r w:rsidRPr="00360A96">
        <w:rPr>
          <w:rFonts w:ascii="Arial" w:hAnsi="Arial" w:cs="Arial"/>
          <w:color w:val="000000" w:themeColor="text1"/>
          <w:sz w:val="20"/>
          <w:szCs w:val="20"/>
        </w:rPr>
        <w:t>. </w:t>
      </w:r>
      <w:r w:rsidRPr="00360A96">
        <w:rPr>
          <w:rFonts w:ascii="Arial" w:hAnsi="Arial" w:cs="Arial"/>
          <w:color w:val="000000" w:themeColor="text1"/>
          <w:sz w:val="20"/>
          <w:szCs w:val="20"/>
          <w:bdr w:val="single" w:sz="2" w:space="0" w:color="ECEDEE" w:frame="1"/>
        </w:rPr>
        <w:t>6</w:t>
      </w:r>
      <w:r w:rsidRPr="00360A96">
        <w:rPr>
          <w:rFonts w:ascii="Arial" w:hAnsi="Arial" w:cs="Arial"/>
          <w:color w:val="000000" w:themeColor="text1"/>
          <w:sz w:val="20"/>
          <w:szCs w:val="20"/>
        </w:rPr>
        <w:t>(8</w:t>
      </w:r>
      <w:proofErr w:type="gramStart"/>
      <w:r w:rsidRPr="00360A96">
        <w:rPr>
          <w:rFonts w:ascii="Arial" w:hAnsi="Arial" w:cs="Arial"/>
          <w:color w:val="000000" w:themeColor="text1"/>
          <w:sz w:val="20"/>
          <w:szCs w:val="20"/>
        </w:rPr>
        <w:t>):e</w:t>
      </w:r>
      <w:proofErr w:type="gramEnd"/>
      <w:r w:rsidRPr="00360A96">
        <w:rPr>
          <w:rFonts w:ascii="Arial" w:hAnsi="Arial" w:cs="Arial"/>
          <w:color w:val="000000" w:themeColor="text1"/>
          <w:sz w:val="20"/>
          <w:szCs w:val="20"/>
        </w:rPr>
        <w:t>24099.</w:t>
      </w:r>
      <w:r w:rsidR="00D4504A" w:rsidRPr="00360A96">
        <w:rPr>
          <w:rFonts w:ascii="Arial" w:hAnsi="Arial" w:cs="Arial"/>
          <w:color w:val="000000" w:themeColor="text1"/>
          <w:sz w:val="20"/>
          <w:szCs w:val="20"/>
        </w:rPr>
        <w:t xml:space="preserve"> </w:t>
      </w:r>
      <w:hyperlink r:id="rId21" w:history="1">
        <w:r w:rsidRPr="00360A96">
          <w:rPr>
            <w:rStyle w:val="Hyperlink"/>
            <w:rFonts w:ascii="Arial" w:hAnsi="Arial" w:cs="Arial"/>
            <w:color w:val="0070C0"/>
            <w:sz w:val="20"/>
            <w:szCs w:val="20"/>
            <w:u w:val="none"/>
            <w:bdr w:val="single" w:sz="2" w:space="0" w:color="ECEDEE" w:frame="1"/>
          </w:rPr>
          <w:t>Doi: 10.1371/journal.pone.0024099</w:t>
        </w:r>
      </w:hyperlink>
    </w:p>
    <w:p w14:paraId="0A3D0411" w14:textId="77777777" w:rsidR="00D4504A" w:rsidRPr="00360A96" w:rsidRDefault="00D4504A"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61D1AA22"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Naudin S, Wang M, Dimou N, Ebrahimi E, </w:t>
      </w:r>
      <w:proofErr w:type="spellStart"/>
      <w:r w:rsidRPr="00360A96">
        <w:rPr>
          <w:rFonts w:ascii="Arial" w:hAnsi="Arial" w:cs="Arial"/>
          <w:color w:val="212121"/>
          <w:sz w:val="20"/>
          <w:szCs w:val="20"/>
          <w:shd w:val="clear" w:color="auto" w:fill="FFFFFF"/>
        </w:rPr>
        <w:t>Genkinger</w:t>
      </w:r>
      <w:proofErr w:type="spellEnd"/>
      <w:r w:rsidRPr="00360A96">
        <w:rPr>
          <w:rFonts w:ascii="Arial" w:hAnsi="Arial" w:cs="Arial"/>
          <w:color w:val="212121"/>
          <w:sz w:val="20"/>
          <w:szCs w:val="20"/>
          <w:shd w:val="clear" w:color="auto" w:fill="FFFFFF"/>
        </w:rPr>
        <w:t xml:space="preserve"> J, </w:t>
      </w:r>
      <w:proofErr w:type="spellStart"/>
      <w:r w:rsidRPr="00360A96">
        <w:rPr>
          <w:rFonts w:ascii="Arial" w:hAnsi="Arial" w:cs="Arial"/>
          <w:color w:val="212121"/>
          <w:sz w:val="20"/>
          <w:szCs w:val="20"/>
          <w:shd w:val="clear" w:color="auto" w:fill="FFFFFF"/>
        </w:rPr>
        <w:t>Adami</w:t>
      </w:r>
      <w:proofErr w:type="spellEnd"/>
      <w:r w:rsidRPr="00360A96">
        <w:rPr>
          <w:rFonts w:ascii="Arial" w:hAnsi="Arial" w:cs="Arial"/>
          <w:color w:val="212121"/>
          <w:sz w:val="20"/>
          <w:szCs w:val="20"/>
          <w:shd w:val="clear" w:color="auto" w:fill="FFFFFF"/>
        </w:rPr>
        <w:t xml:space="preserve"> HO, et al. (2025). Alcohol intake and pancreatic cancer risk: An analysis from 30 prospective studies across Asia, Australia, Europe, and North America. </w:t>
      </w:r>
      <w:proofErr w:type="spellStart"/>
      <w:r w:rsidRPr="00360A96">
        <w:rPr>
          <w:rFonts w:ascii="Arial" w:hAnsi="Arial" w:cs="Arial"/>
          <w:i/>
          <w:iCs/>
          <w:color w:val="212121"/>
          <w:sz w:val="20"/>
          <w:szCs w:val="20"/>
          <w:shd w:val="clear" w:color="auto" w:fill="FFFFFF"/>
        </w:rPr>
        <w:t>PLoS</w:t>
      </w:r>
      <w:proofErr w:type="spellEnd"/>
      <w:r w:rsidRPr="00360A96">
        <w:rPr>
          <w:rFonts w:ascii="Arial" w:hAnsi="Arial" w:cs="Arial"/>
          <w:i/>
          <w:iCs/>
          <w:color w:val="212121"/>
          <w:sz w:val="20"/>
          <w:szCs w:val="20"/>
          <w:shd w:val="clear" w:color="auto" w:fill="FFFFFF"/>
        </w:rPr>
        <w:t xml:space="preserve"> Med.</w:t>
      </w:r>
      <w:r w:rsidRPr="00360A96">
        <w:rPr>
          <w:rFonts w:ascii="Arial" w:hAnsi="Arial" w:cs="Arial"/>
          <w:color w:val="212121"/>
          <w:sz w:val="20"/>
          <w:szCs w:val="20"/>
          <w:shd w:val="clear" w:color="auto" w:fill="FFFFFF"/>
        </w:rPr>
        <w:t xml:space="preserve"> 22(5</w:t>
      </w:r>
      <w:proofErr w:type="gramStart"/>
      <w:r w:rsidRPr="00360A96">
        <w:rPr>
          <w:rFonts w:ascii="Arial" w:hAnsi="Arial" w:cs="Arial"/>
          <w:color w:val="212121"/>
          <w:sz w:val="20"/>
          <w:szCs w:val="20"/>
          <w:shd w:val="clear" w:color="auto" w:fill="FFFFFF"/>
        </w:rPr>
        <w:t>):e</w:t>
      </w:r>
      <w:proofErr w:type="gramEnd"/>
      <w:r w:rsidRPr="00360A96">
        <w:rPr>
          <w:rFonts w:ascii="Arial" w:hAnsi="Arial" w:cs="Arial"/>
          <w:color w:val="212121"/>
          <w:sz w:val="20"/>
          <w:szCs w:val="20"/>
          <w:shd w:val="clear" w:color="auto" w:fill="FFFFFF"/>
        </w:rPr>
        <w:t xml:space="preserve">1004590 </w:t>
      </w:r>
      <w:r w:rsidRPr="00360A96">
        <w:rPr>
          <w:rFonts w:ascii="Arial" w:hAnsi="Arial" w:cs="Arial"/>
          <w:color w:val="0070C0"/>
          <w:sz w:val="20"/>
          <w:szCs w:val="20"/>
          <w:shd w:val="clear" w:color="auto" w:fill="FFFFFF"/>
        </w:rPr>
        <w:t>Doi: 10.1371/journal.pmed.1004590.</w:t>
      </w:r>
    </w:p>
    <w:p w14:paraId="4378CFC4"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Navarrete-Muñoz EM, Wark PA, Romaguera D, Bhoo-Pathy N, Michaud D, Molina-Montes E, et al. (2016). Sweet-beverage consumption and risk of pancreatic cancer in the European Prospective Investigation into Cancer and Nutrition (EPIC). </w:t>
      </w:r>
      <w:r w:rsidRPr="00360A96">
        <w:rPr>
          <w:rFonts w:ascii="Arial" w:hAnsi="Arial" w:cs="Arial"/>
          <w:i/>
          <w:iCs/>
          <w:color w:val="212121"/>
          <w:sz w:val="20"/>
          <w:szCs w:val="20"/>
          <w:shd w:val="clear" w:color="auto" w:fill="FFFFFF"/>
        </w:rPr>
        <w:t>Am J Clin Nutr.</w:t>
      </w:r>
      <w:r w:rsidRPr="00360A96">
        <w:rPr>
          <w:rFonts w:ascii="Arial" w:hAnsi="Arial" w:cs="Arial"/>
          <w:color w:val="212121"/>
          <w:sz w:val="20"/>
          <w:szCs w:val="20"/>
          <w:shd w:val="clear" w:color="auto" w:fill="FFFFFF"/>
        </w:rPr>
        <w:t xml:space="preserve"> 104(3):760-768. </w:t>
      </w:r>
      <w:r w:rsidRPr="00360A96">
        <w:rPr>
          <w:rFonts w:ascii="Arial" w:hAnsi="Arial" w:cs="Arial"/>
          <w:color w:val="0070C0"/>
          <w:sz w:val="20"/>
          <w:szCs w:val="20"/>
          <w:shd w:val="clear" w:color="auto" w:fill="FFFFFF"/>
        </w:rPr>
        <w:t>Doi: 10.3945/ajcn.116.130963.</w:t>
      </w:r>
    </w:p>
    <w:p w14:paraId="0CC75DE2"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Noe R, Carrer A (2024). Diet predispose to pancreatic cancer through cellular nutrient sensing pathways. </w:t>
      </w:r>
      <w:r w:rsidRPr="00360A96">
        <w:rPr>
          <w:rFonts w:ascii="Arial" w:hAnsi="Arial" w:cs="Arial"/>
          <w:i/>
          <w:iCs/>
          <w:sz w:val="20"/>
          <w:szCs w:val="20"/>
        </w:rPr>
        <w:t>FEBS Lett.</w:t>
      </w:r>
      <w:r w:rsidRPr="00360A96">
        <w:rPr>
          <w:rFonts w:ascii="Arial" w:hAnsi="Arial" w:cs="Arial"/>
          <w:sz w:val="20"/>
          <w:szCs w:val="20"/>
        </w:rPr>
        <w:t xml:space="preserve"> 598:2470-2481. </w:t>
      </w:r>
      <w:r w:rsidRPr="00360A96">
        <w:rPr>
          <w:rFonts w:ascii="Arial" w:hAnsi="Arial" w:cs="Arial"/>
          <w:color w:val="0070C0"/>
          <w:sz w:val="20"/>
          <w:szCs w:val="20"/>
        </w:rPr>
        <w:t>Doi: 10.1002/1873-3468.14959</w:t>
      </w:r>
    </w:p>
    <w:p w14:paraId="57696C1C"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Panebianco C, Potenza A, Andriulli A, Pazienza V (2018). Exploring the microbiota to better understand gastrointestinal cancers physiology. </w:t>
      </w:r>
      <w:r w:rsidRPr="00360A96">
        <w:rPr>
          <w:rFonts w:ascii="Arial" w:hAnsi="Arial" w:cs="Arial"/>
          <w:i/>
          <w:iCs/>
          <w:sz w:val="20"/>
          <w:szCs w:val="20"/>
        </w:rPr>
        <w:t>Clin Chem Lab Med.</w:t>
      </w:r>
      <w:r w:rsidRPr="00360A96">
        <w:rPr>
          <w:rFonts w:ascii="Arial" w:hAnsi="Arial" w:cs="Arial"/>
          <w:sz w:val="20"/>
          <w:szCs w:val="20"/>
        </w:rPr>
        <w:t xml:space="preserve"> 56:1400-1412. </w:t>
      </w:r>
      <w:hyperlink r:id="rId22" w:history="1">
        <w:r w:rsidRPr="00360A96">
          <w:rPr>
            <w:rStyle w:val="Hyperlink"/>
            <w:rFonts w:ascii="Arial" w:eastAsiaTheme="majorEastAsia" w:hAnsi="Arial" w:cs="Arial"/>
            <w:color w:val="0070C0"/>
            <w:sz w:val="20"/>
            <w:szCs w:val="20"/>
            <w:u w:val="none"/>
          </w:rPr>
          <w:t>https://doi.org/10.1515(cclm-2017-1163</w:t>
        </w:r>
      </w:hyperlink>
      <w:r w:rsidRPr="00360A96">
        <w:rPr>
          <w:rFonts w:ascii="Arial" w:hAnsi="Arial" w:cs="Arial"/>
          <w:color w:val="0070C0"/>
          <w:sz w:val="20"/>
          <w:szCs w:val="20"/>
        </w:rPr>
        <w:t xml:space="preserve">  </w:t>
      </w:r>
    </w:p>
    <w:p w14:paraId="0265532E" w14:textId="77777777" w:rsidR="008C260D" w:rsidRPr="00360A96" w:rsidRDefault="008C260D" w:rsidP="002018D0">
      <w:pPr>
        <w:pStyle w:val="ListParagraph"/>
        <w:spacing w:after="0" w:line="240" w:lineRule="auto"/>
        <w:ind w:left="1134" w:right="283" w:hanging="567"/>
        <w:jc w:val="both"/>
        <w:rPr>
          <w:rFonts w:ascii="Arial" w:hAnsi="Arial" w:cs="Arial"/>
          <w:bCs/>
          <w:color w:val="000000" w:themeColor="text1"/>
          <w:sz w:val="20"/>
          <w:szCs w:val="20"/>
        </w:rPr>
      </w:pPr>
    </w:p>
    <w:p w14:paraId="0434B97F"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proofErr w:type="spellStart"/>
      <w:r w:rsidRPr="00360A96">
        <w:rPr>
          <w:rFonts w:ascii="Arial" w:hAnsi="Arial" w:cs="Arial"/>
          <w:bCs/>
          <w:color w:val="000000" w:themeColor="text1"/>
          <w:sz w:val="20"/>
          <w:szCs w:val="20"/>
        </w:rPr>
        <w:t>Partyka</w:t>
      </w:r>
      <w:proofErr w:type="spellEnd"/>
      <w:r w:rsidRPr="00360A96">
        <w:rPr>
          <w:rFonts w:ascii="Arial" w:hAnsi="Arial" w:cs="Arial"/>
          <w:bCs/>
          <w:color w:val="000000" w:themeColor="text1"/>
          <w:sz w:val="20"/>
          <w:szCs w:val="20"/>
        </w:rPr>
        <w:t xml:space="preserve"> O, </w:t>
      </w:r>
      <w:proofErr w:type="spellStart"/>
      <w:r w:rsidRPr="00360A96">
        <w:rPr>
          <w:rFonts w:ascii="Arial" w:hAnsi="Arial" w:cs="Arial"/>
          <w:bCs/>
          <w:color w:val="000000" w:themeColor="text1"/>
          <w:sz w:val="20"/>
          <w:szCs w:val="20"/>
        </w:rPr>
        <w:t>Pajewska</w:t>
      </w:r>
      <w:proofErr w:type="spellEnd"/>
      <w:r w:rsidRPr="00360A96">
        <w:rPr>
          <w:rFonts w:ascii="Arial" w:hAnsi="Arial" w:cs="Arial"/>
          <w:bCs/>
          <w:color w:val="000000" w:themeColor="text1"/>
          <w:sz w:val="20"/>
          <w:szCs w:val="20"/>
        </w:rPr>
        <w:t xml:space="preserve"> M, </w:t>
      </w:r>
      <w:proofErr w:type="spellStart"/>
      <w:r w:rsidRPr="00360A96">
        <w:rPr>
          <w:rFonts w:ascii="Arial" w:hAnsi="Arial" w:cs="Arial"/>
          <w:bCs/>
          <w:color w:val="000000" w:themeColor="text1"/>
          <w:sz w:val="20"/>
          <w:szCs w:val="20"/>
        </w:rPr>
        <w:t>Kwasniewska</w:t>
      </w:r>
      <w:proofErr w:type="spellEnd"/>
      <w:r w:rsidRPr="00360A96">
        <w:rPr>
          <w:rFonts w:ascii="Arial" w:hAnsi="Arial" w:cs="Arial"/>
          <w:bCs/>
          <w:color w:val="000000" w:themeColor="text1"/>
          <w:sz w:val="20"/>
          <w:szCs w:val="20"/>
        </w:rPr>
        <w:t xml:space="preserve"> D, </w:t>
      </w:r>
      <w:proofErr w:type="spellStart"/>
      <w:r w:rsidRPr="00360A96">
        <w:rPr>
          <w:rFonts w:ascii="Arial" w:hAnsi="Arial" w:cs="Arial"/>
          <w:bCs/>
          <w:color w:val="000000" w:themeColor="text1"/>
          <w:sz w:val="20"/>
          <w:szCs w:val="20"/>
        </w:rPr>
        <w:t>Czerw</w:t>
      </w:r>
      <w:proofErr w:type="spellEnd"/>
      <w:r w:rsidRPr="00360A96">
        <w:rPr>
          <w:rFonts w:ascii="Arial" w:hAnsi="Arial" w:cs="Arial"/>
          <w:bCs/>
          <w:color w:val="000000" w:themeColor="text1"/>
          <w:sz w:val="20"/>
          <w:szCs w:val="20"/>
        </w:rPr>
        <w:t xml:space="preserve"> A, </w:t>
      </w:r>
      <w:proofErr w:type="spellStart"/>
      <w:r w:rsidRPr="00360A96">
        <w:rPr>
          <w:rFonts w:ascii="Arial" w:hAnsi="Arial" w:cs="Arial"/>
          <w:bCs/>
          <w:color w:val="000000" w:themeColor="text1"/>
          <w:sz w:val="20"/>
          <w:szCs w:val="20"/>
        </w:rPr>
        <w:t>Deptala</w:t>
      </w:r>
      <w:proofErr w:type="spellEnd"/>
      <w:r w:rsidRPr="00360A96">
        <w:rPr>
          <w:rFonts w:ascii="Arial" w:hAnsi="Arial" w:cs="Arial"/>
          <w:bCs/>
          <w:color w:val="000000" w:themeColor="text1"/>
          <w:sz w:val="20"/>
          <w:szCs w:val="20"/>
        </w:rPr>
        <w:t xml:space="preserve"> A, </w:t>
      </w:r>
      <w:proofErr w:type="spellStart"/>
      <w:r w:rsidRPr="00360A96">
        <w:rPr>
          <w:rFonts w:ascii="Arial" w:hAnsi="Arial" w:cs="Arial"/>
          <w:bCs/>
          <w:color w:val="000000" w:themeColor="text1"/>
          <w:sz w:val="20"/>
          <w:szCs w:val="20"/>
        </w:rPr>
        <w:t>Budzik</w:t>
      </w:r>
      <w:proofErr w:type="spellEnd"/>
      <w:r w:rsidRPr="00360A96">
        <w:rPr>
          <w:rFonts w:ascii="Arial" w:hAnsi="Arial" w:cs="Arial"/>
          <w:bCs/>
          <w:color w:val="000000" w:themeColor="text1"/>
          <w:sz w:val="20"/>
          <w:szCs w:val="20"/>
        </w:rPr>
        <w:t xml:space="preserve">, M, et al. (2023). Overview of pancreatic cancer epidemiology in Europe and recommendations for </w:t>
      </w:r>
      <w:proofErr w:type="spellStart"/>
      <w:r w:rsidRPr="00360A96">
        <w:rPr>
          <w:rFonts w:ascii="Arial" w:hAnsi="Arial" w:cs="Arial"/>
          <w:bCs/>
          <w:color w:val="000000" w:themeColor="text1"/>
          <w:sz w:val="20"/>
          <w:szCs w:val="20"/>
        </w:rPr>
        <w:t>sceening</w:t>
      </w:r>
      <w:proofErr w:type="spellEnd"/>
      <w:r w:rsidRPr="00360A96">
        <w:rPr>
          <w:rFonts w:ascii="Arial" w:hAnsi="Arial" w:cs="Arial"/>
          <w:bCs/>
          <w:color w:val="000000" w:themeColor="text1"/>
          <w:sz w:val="20"/>
          <w:szCs w:val="20"/>
        </w:rPr>
        <w:t xml:space="preserve"> in high-risk populations. </w:t>
      </w:r>
      <w:r w:rsidRPr="00360A96">
        <w:rPr>
          <w:rFonts w:ascii="Arial" w:hAnsi="Arial" w:cs="Arial"/>
          <w:bCs/>
          <w:i/>
          <w:iCs/>
          <w:color w:val="000000" w:themeColor="text1"/>
          <w:sz w:val="20"/>
          <w:szCs w:val="20"/>
        </w:rPr>
        <w:t>Cancers.</w:t>
      </w:r>
      <w:r w:rsidRPr="00360A96">
        <w:rPr>
          <w:rFonts w:ascii="Arial" w:hAnsi="Arial" w:cs="Arial"/>
          <w:bCs/>
          <w:color w:val="000000" w:themeColor="text1"/>
          <w:sz w:val="20"/>
          <w:szCs w:val="20"/>
        </w:rPr>
        <w:t xml:space="preserve"> 15:3634.</w:t>
      </w:r>
      <w:r w:rsidRPr="00360A96">
        <w:rPr>
          <w:rFonts w:ascii="Arial" w:hAnsi="Arial" w:cs="Arial"/>
          <w:bCs/>
          <w:color w:val="FF0000"/>
          <w:sz w:val="20"/>
          <w:szCs w:val="20"/>
        </w:rPr>
        <w:t xml:space="preserve"> </w:t>
      </w:r>
      <w:r w:rsidRPr="00360A96">
        <w:rPr>
          <w:rFonts w:ascii="Arial" w:hAnsi="Arial" w:cs="Arial"/>
          <w:bCs/>
          <w:color w:val="0070C0"/>
          <w:sz w:val="20"/>
          <w:szCs w:val="20"/>
        </w:rPr>
        <w:t>https://doi.org/10.3390/cancers15143634</w:t>
      </w:r>
    </w:p>
    <w:p w14:paraId="75BCEFF0" w14:textId="77777777" w:rsidR="008C260D" w:rsidRPr="00360A96" w:rsidRDefault="008C260D" w:rsidP="002018D0">
      <w:pPr>
        <w:pStyle w:val="ListParagraph"/>
        <w:spacing w:after="0" w:line="240" w:lineRule="auto"/>
        <w:ind w:left="1134" w:right="283" w:hanging="567"/>
        <w:jc w:val="both"/>
        <w:rPr>
          <w:rStyle w:val="y2iqfc"/>
          <w:rFonts w:ascii="Arial" w:hAnsi="Arial" w:cs="Arial"/>
          <w:color w:val="000000" w:themeColor="text1"/>
          <w:sz w:val="20"/>
          <w:szCs w:val="20"/>
        </w:rPr>
      </w:pPr>
    </w:p>
    <w:p w14:paraId="6C4DC0DD"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Style w:val="y2iqfc"/>
          <w:rFonts w:ascii="Arial" w:hAnsi="Arial" w:cs="Arial"/>
          <w:color w:val="000000" w:themeColor="text1"/>
          <w:sz w:val="20"/>
          <w:szCs w:val="20"/>
        </w:rPr>
        <w:t xml:space="preserve">Port AM, Ruth MR, Istfan NW (2012). Fructose consumption and cancer: Is there a </w:t>
      </w:r>
      <w:proofErr w:type="gramStart"/>
      <w:r w:rsidRPr="00360A96">
        <w:rPr>
          <w:rStyle w:val="y2iqfc"/>
          <w:rFonts w:ascii="Arial" w:hAnsi="Arial" w:cs="Arial"/>
          <w:color w:val="000000" w:themeColor="text1"/>
          <w:sz w:val="20"/>
          <w:szCs w:val="20"/>
        </w:rPr>
        <w:t>connection?.</w:t>
      </w:r>
      <w:proofErr w:type="gramEnd"/>
      <w:r w:rsidRPr="00360A96">
        <w:rPr>
          <w:rStyle w:val="y2iqfc"/>
          <w:rFonts w:ascii="Arial" w:hAnsi="Arial" w:cs="Arial"/>
          <w:color w:val="000000" w:themeColor="text1"/>
          <w:sz w:val="20"/>
          <w:szCs w:val="20"/>
        </w:rPr>
        <w:t xml:space="preserve"> </w:t>
      </w:r>
      <w:proofErr w:type="spellStart"/>
      <w:r w:rsidRPr="00360A96">
        <w:rPr>
          <w:rStyle w:val="y2iqfc"/>
          <w:rFonts w:ascii="Arial" w:hAnsi="Arial" w:cs="Arial"/>
          <w:i/>
          <w:iCs/>
          <w:color w:val="000000" w:themeColor="text1"/>
          <w:sz w:val="20"/>
          <w:szCs w:val="20"/>
        </w:rPr>
        <w:t>Curr</w:t>
      </w:r>
      <w:proofErr w:type="spellEnd"/>
      <w:r w:rsidRPr="00360A96">
        <w:rPr>
          <w:rStyle w:val="y2iqfc"/>
          <w:rFonts w:ascii="Arial" w:hAnsi="Arial" w:cs="Arial"/>
          <w:i/>
          <w:iCs/>
          <w:color w:val="000000" w:themeColor="text1"/>
          <w:sz w:val="20"/>
          <w:szCs w:val="20"/>
        </w:rPr>
        <w:t xml:space="preserve"> </w:t>
      </w:r>
      <w:proofErr w:type="spellStart"/>
      <w:r w:rsidRPr="00360A96">
        <w:rPr>
          <w:rStyle w:val="y2iqfc"/>
          <w:rFonts w:ascii="Arial" w:hAnsi="Arial" w:cs="Arial"/>
          <w:i/>
          <w:iCs/>
          <w:color w:val="000000" w:themeColor="text1"/>
          <w:sz w:val="20"/>
          <w:szCs w:val="20"/>
        </w:rPr>
        <w:t>Opin</w:t>
      </w:r>
      <w:proofErr w:type="spellEnd"/>
      <w:r w:rsidRPr="00360A96">
        <w:rPr>
          <w:rStyle w:val="y2iqfc"/>
          <w:rFonts w:ascii="Arial" w:hAnsi="Arial" w:cs="Arial"/>
          <w:i/>
          <w:iCs/>
          <w:color w:val="000000" w:themeColor="text1"/>
          <w:sz w:val="20"/>
          <w:szCs w:val="20"/>
        </w:rPr>
        <w:t xml:space="preserve"> Endocrinol Diabetes </w:t>
      </w:r>
      <w:proofErr w:type="spellStart"/>
      <w:r w:rsidRPr="00360A96">
        <w:rPr>
          <w:rStyle w:val="y2iqfc"/>
          <w:rFonts w:ascii="Arial" w:hAnsi="Arial" w:cs="Arial"/>
          <w:i/>
          <w:iCs/>
          <w:color w:val="000000" w:themeColor="text1"/>
          <w:sz w:val="20"/>
          <w:szCs w:val="20"/>
        </w:rPr>
        <w:t>Obes</w:t>
      </w:r>
      <w:proofErr w:type="spellEnd"/>
      <w:r w:rsidRPr="00360A96">
        <w:rPr>
          <w:rStyle w:val="y2iqfc"/>
          <w:rFonts w:ascii="Arial" w:hAnsi="Arial" w:cs="Arial"/>
          <w:i/>
          <w:iCs/>
          <w:color w:val="000000" w:themeColor="text1"/>
          <w:sz w:val="20"/>
          <w:szCs w:val="20"/>
        </w:rPr>
        <w:t>.</w:t>
      </w:r>
      <w:r w:rsidRPr="00360A96">
        <w:rPr>
          <w:rStyle w:val="y2iqfc"/>
          <w:rFonts w:ascii="Arial" w:hAnsi="Arial" w:cs="Arial"/>
          <w:color w:val="000000" w:themeColor="text1"/>
          <w:sz w:val="20"/>
          <w:szCs w:val="20"/>
        </w:rPr>
        <w:t xml:space="preserve"> 19:367-374.</w:t>
      </w:r>
      <w:r w:rsidRPr="00360A96">
        <w:rPr>
          <w:rStyle w:val="y2iqfc"/>
          <w:rFonts w:ascii="Arial" w:hAnsi="Arial" w:cs="Arial"/>
          <w:color w:val="1F1F1F"/>
          <w:sz w:val="20"/>
          <w:szCs w:val="20"/>
        </w:rPr>
        <w:t xml:space="preserve"> </w:t>
      </w:r>
      <w:r w:rsidRPr="00360A96">
        <w:rPr>
          <w:rFonts w:ascii="Arial" w:hAnsi="Arial" w:cs="Arial"/>
          <w:color w:val="0070C0"/>
          <w:sz w:val="20"/>
          <w:szCs w:val="20"/>
        </w:rPr>
        <w:t xml:space="preserve">Doi:10.1097/MED.0b013e328357f0cb  </w:t>
      </w:r>
      <w:bookmarkStart w:id="3" w:name="old_references"/>
      <w:bookmarkEnd w:id="3"/>
    </w:p>
    <w:p w14:paraId="7DECC48F"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Pourali G, Kazemi D, Chadeganipour AS, Arastonejad M, Kashan SN, Pourali R, et al. (2024). Microbiome as a biomarker and therapeutic target in pancreatic cancer. </w:t>
      </w:r>
      <w:r w:rsidRPr="00360A96">
        <w:rPr>
          <w:rFonts w:ascii="Arial" w:hAnsi="Arial" w:cs="Arial"/>
          <w:i/>
          <w:iCs/>
          <w:sz w:val="20"/>
          <w:szCs w:val="20"/>
        </w:rPr>
        <w:t>BMC Microbiology.</w:t>
      </w:r>
      <w:r w:rsidRPr="00360A96">
        <w:rPr>
          <w:rFonts w:ascii="Arial" w:hAnsi="Arial" w:cs="Arial"/>
          <w:sz w:val="20"/>
          <w:szCs w:val="20"/>
        </w:rPr>
        <w:t xml:space="preserve"> 24:16. </w:t>
      </w:r>
      <w:hyperlink r:id="rId23" w:history="1">
        <w:r w:rsidRPr="00360A96">
          <w:rPr>
            <w:rStyle w:val="Hyperlink"/>
            <w:rFonts w:ascii="Arial" w:eastAsiaTheme="majorEastAsia" w:hAnsi="Arial" w:cs="Arial"/>
            <w:color w:val="0070C0"/>
            <w:sz w:val="20"/>
            <w:szCs w:val="20"/>
            <w:u w:val="none"/>
          </w:rPr>
          <w:t>https://doi.org/10.1186/s12866-023-03166-4</w:t>
        </w:r>
      </w:hyperlink>
      <w:r w:rsidRPr="00360A96">
        <w:rPr>
          <w:rFonts w:ascii="Arial" w:hAnsi="Arial" w:cs="Arial"/>
          <w:color w:val="0070C0"/>
          <w:sz w:val="20"/>
          <w:szCs w:val="20"/>
        </w:rPr>
        <w:t xml:space="preserve"> </w:t>
      </w:r>
    </w:p>
    <w:p w14:paraId="7F3D9FE6"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proofErr w:type="spellStart"/>
      <w:r w:rsidRPr="00360A96">
        <w:rPr>
          <w:rFonts w:ascii="Arial" w:hAnsi="Arial" w:cs="Arial"/>
          <w:sz w:val="20"/>
          <w:szCs w:val="20"/>
        </w:rPr>
        <w:t>Pushalkar</w:t>
      </w:r>
      <w:proofErr w:type="spellEnd"/>
      <w:r w:rsidRPr="00360A96">
        <w:rPr>
          <w:rFonts w:ascii="Arial" w:hAnsi="Arial" w:cs="Arial"/>
          <w:sz w:val="20"/>
          <w:szCs w:val="20"/>
        </w:rPr>
        <w:t xml:space="preserve"> S, </w:t>
      </w:r>
      <w:proofErr w:type="spellStart"/>
      <w:r w:rsidRPr="00360A96">
        <w:rPr>
          <w:rFonts w:ascii="Arial" w:hAnsi="Arial" w:cs="Arial"/>
          <w:sz w:val="20"/>
          <w:szCs w:val="20"/>
        </w:rPr>
        <w:t>Hundeyin</w:t>
      </w:r>
      <w:proofErr w:type="spellEnd"/>
      <w:r w:rsidRPr="00360A96">
        <w:rPr>
          <w:rFonts w:ascii="Arial" w:hAnsi="Arial" w:cs="Arial"/>
          <w:sz w:val="20"/>
          <w:szCs w:val="20"/>
        </w:rPr>
        <w:t xml:space="preserve"> M, Daley D, </w:t>
      </w:r>
      <w:proofErr w:type="spellStart"/>
      <w:r w:rsidRPr="00360A96">
        <w:rPr>
          <w:rFonts w:ascii="Arial" w:hAnsi="Arial" w:cs="Arial"/>
          <w:sz w:val="20"/>
          <w:szCs w:val="20"/>
        </w:rPr>
        <w:t>Zambirinis</w:t>
      </w:r>
      <w:proofErr w:type="spellEnd"/>
      <w:r w:rsidRPr="00360A96">
        <w:rPr>
          <w:rFonts w:ascii="Arial" w:hAnsi="Arial" w:cs="Arial"/>
          <w:sz w:val="20"/>
          <w:szCs w:val="20"/>
        </w:rPr>
        <w:t xml:space="preserve"> CP, </w:t>
      </w:r>
      <w:proofErr w:type="spellStart"/>
      <w:r w:rsidRPr="00360A96">
        <w:rPr>
          <w:rFonts w:ascii="Arial" w:hAnsi="Arial" w:cs="Arial"/>
          <w:sz w:val="20"/>
          <w:szCs w:val="20"/>
        </w:rPr>
        <w:t>Kurz</w:t>
      </w:r>
      <w:proofErr w:type="spellEnd"/>
      <w:r w:rsidRPr="00360A96">
        <w:rPr>
          <w:rFonts w:ascii="Arial" w:hAnsi="Arial" w:cs="Arial"/>
          <w:sz w:val="20"/>
          <w:szCs w:val="20"/>
        </w:rPr>
        <w:t xml:space="preserve"> E, Mishra A, et al. (2018). The pancreatic cancer microbiome promotes oncogenesis by induction of innate and adaptive immune suppression. </w:t>
      </w:r>
      <w:r w:rsidRPr="00360A96">
        <w:rPr>
          <w:rFonts w:ascii="Arial" w:hAnsi="Arial" w:cs="Arial"/>
          <w:i/>
          <w:iCs/>
          <w:sz w:val="20"/>
          <w:szCs w:val="20"/>
        </w:rPr>
        <w:t xml:space="preserve">Cancer </w:t>
      </w:r>
      <w:proofErr w:type="spellStart"/>
      <w:r w:rsidRPr="00360A96">
        <w:rPr>
          <w:rFonts w:ascii="Arial" w:hAnsi="Arial" w:cs="Arial"/>
          <w:i/>
          <w:iCs/>
          <w:sz w:val="20"/>
          <w:szCs w:val="20"/>
        </w:rPr>
        <w:t>Discov</w:t>
      </w:r>
      <w:proofErr w:type="spellEnd"/>
      <w:r w:rsidRPr="00360A96">
        <w:rPr>
          <w:rFonts w:ascii="Arial" w:hAnsi="Arial" w:cs="Arial"/>
          <w:i/>
          <w:iCs/>
          <w:sz w:val="20"/>
          <w:szCs w:val="20"/>
        </w:rPr>
        <w:t>.</w:t>
      </w:r>
      <w:r w:rsidRPr="00360A96">
        <w:rPr>
          <w:rFonts w:ascii="Arial" w:hAnsi="Arial" w:cs="Arial"/>
          <w:sz w:val="20"/>
          <w:szCs w:val="20"/>
        </w:rPr>
        <w:t xml:space="preserve"> 8:403-416. </w:t>
      </w:r>
      <w:r w:rsidRPr="00360A96">
        <w:rPr>
          <w:rFonts w:ascii="Arial" w:hAnsi="Arial" w:cs="Arial"/>
          <w:color w:val="0070C0"/>
          <w:sz w:val="20"/>
          <w:szCs w:val="20"/>
        </w:rPr>
        <w:t xml:space="preserve">Doi: 10.1158/2159-8290.CD-17-1134 </w:t>
      </w:r>
    </w:p>
    <w:p w14:paraId="7A2C47CB"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Quero G, De Sio D, Fiorillo C, Lucinato C, Panza E, Biffoni B, et al. (2024). Resection margin status and long-term outcomes after pancreaticoduodenectomy for ductal adenocarcinoma: A tertiary referral center analysis. </w:t>
      </w:r>
      <w:r w:rsidRPr="00360A96">
        <w:rPr>
          <w:rFonts w:ascii="Arial" w:hAnsi="Arial" w:cs="Arial"/>
          <w:i/>
          <w:iCs/>
          <w:sz w:val="20"/>
          <w:szCs w:val="20"/>
        </w:rPr>
        <w:t>Cancers.</w:t>
      </w:r>
      <w:r w:rsidRPr="00360A96">
        <w:rPr>
          <w:rFonts w:ascii="Arial" w:hAnsi="Arial" w:cs="Arial"/>
          <w:sz w:val="20"/>
          <w:szCs w:val="20"/>
        </w:rPr>
        <w:t xml:space="preserve"> 16:2347</w:t>
      </w:r>
      <w:r w:rsidRPr="00360A96">
        <w:rPr>
          <w:rFonts w:ascii="Arial" w:hAnsi="Arial" w:cs="Arial"/>
          <w:sz w:val="20"/>
          <w:szCs w:val="20"/>
        </w:rPr>
        <w:tab/>
      </w:r>
      <w:r w:rsidRPr="00360A96">
        <w:rPr>
          <w:rFonts w:ascii="Arial" w:hAnsi="Arial" w:cs="Arial"/>
          <w:sz w:val="20"/>
          <w:szCs w:val="20"/>
          <w:lang w:val="tr-TR"/>
        </w:rPr>
        <w:t xml:space="preserve"> </w:t>
      </w:r>
      <w:r w:rsidRPr="00360A96">
        <w:rPr>
          <w:rFonts w:ascii="Arial" w:hAnsi="Arial" w:cs="Arial"/>
          <w:color w:val="0070C0"/>
          <w:sz w:val="20"/>
          <w:szCs w:val="20"/>
        </w:rPr>
        <w:t>https://doi.org/10.3390/cancers16132347</w:t>
      </w:r>
    </w:p>
    <w:p w14:paraId="0FCB1FB9"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lastRenderedPageBreak/>
        <w:t xml:space="preserve">Rachagani S, Macha MA, Heimann N, Seshacharyulu P, Haridas D, Chugh S, et al. (2016). Clinical implications of miRNAs in the pathogenesis, diagnosis and therapy of pancreatic cancer. </w:t>
      </w:r>
      <w:r w:rsidRPr="00360A96">
        <w:rPr>
          <w:rFonts w:ascii="Arial" w:hAnsi="Arial" w:cs="Arial"/>
          <w:i/>
          <w:iCs/>
          <w:sz w:val="20"/>
          <w:szCs w:val="20"/>
        </w:rPr>
        <w:t>Adv Drug Deliv Rev.</w:t>
      </w:r>
      <w:r w:rsidRPr="00360A96">
        <w:rPr>
          <w:rFonts w:ascii="Arial" w:hAnsi="Arial" w:cs="Arial"/>
          <w:sz w:val="20"/>
          <w:szCs w:val="20"/>
        </w:rPr>
        <w:t xml:space="preserve"> 81:16-33. </w:t>
      </w:r>
      <w:r w:rsidRPr="00360A96">
        <w:rPr>
          <w:rFonts w:ascii="Arial" w:hAnsi="Arial" w:cs="Arial"/>
          <w:color w:val="0070C0"/>
          <w:sz w:val="20"/>
          <w:szCs w:val="20"/>
        </w:rPr>
        <w:t>Doi: 10.1016/j.addr.2014.10.020</w:t>
      </w:r>
    </w:p>
    <w:p w14:paraId="7E8CC21D" w14:textId="77777777" w:rsidR="008C260D" w:rsidRPr="00360A96" w:rsidRDefault="008C260D"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78FFBE6E"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212121"/>
          <w:sz w:val="20"/>
          <w:szCs w:val="20"/>
          <w:shd w:val="clear" w:color="auto" w:fill="FFFFFF"/>
        </w:rPr>
        <w:t xml:space="preserve">Rahib L, Smith BD, Aizenberg R, Rosenzweig AB, </w:t>
      </w:r>
      <w:proofErr w:type="spellStart"/>
      <w:r w:rsidRPr="00360A96">
        <w:rPr>
          <w:rFonts w:ascii="Arial" w:hAnsi="Arial" w:cs="Arial"/>
          <w:color w:val="212121"/>
          <w:sz w:val="20"/>
          <w:szCs w:val="20"/>
          <w:shd w:val="clear" w:color="auto" w:fill="FFFFFF"/>
        </w:rPr>
        <w:t>Fleshman</w:t>
      </w:r>
      <w:proofErr w:type="spellEnd"/>
      <w:r w:rsidRPr="00360A96">
        <w:rPr>
          <w:rFonts w:ascii="Arial" w:hAnsi="Arial" w:cs="Arial"/>
          <w:color w:val="212121"/>
          <w:sz w:val="20"/>
          <w:szCs w:val="20"/>
          <w:shd w:val="clear" w:color="auto" w:fill="FFFFFF"/>
        </w:rPr>
        <w:t xml:space="preserve"> JM, </w:t>
      </w:r>
      <w:proofErr w:type="spellStart"/>
      <w:r w:rsidRPr="00360A96">
        <w:rPr>
          <w:rFonts w:ascii="Arial" w:hAnsi="Arial" w:cs="Arial"/>
          <w:color w:val="212121"/>
          <w:sz w:val="20"/>
          <w:szCs w:val="20"/>
          <w:shd w:val="clear" w:color="auto" w:fill="FFFFFF"/>
        </w:rPr>
        <w:t>Matrisian</w:t>
      </w:r>
      <w:proofErr w:type="spellEnd"/>
      <w:r w:rsidRPr="00360A96">
        <w:rPr>
          <w:rFonts w:ascii="Arial" w:hAnsi="Arial" w:cs="Arial"/>
          <w:color w:val="212121"/>
          <w:sz w:val="20"/>
          <w:szCs w:val="20"/>
          <w:shd w:val="clear" w:color="auto" w:fill="FFFFFF"/>
        </w:rPr>
        <w:t xml:space="preserve"> LM. (2014). Projecting cancer incidence and deaths to 2030: the unexpected burden of thyroid, liver, and pancreas cancers in the United States. </w:t>
      </w:r>
      <w:r w:rsidRPr="00360A96">
        <w:rPr>
          <w:rFonts w:ascii="Arial" w:hAnsi="Arial" w:cs="Arial"/>
          <w:i/>
          <w:iCs/>
          <w:color w:val="212121"/>
          <w:sz w:val="20"/>
          <w:szCs w:val="20"/>
          <w:shd w:val="clear" w:color="auto" w:fill="FFFFFF"/>
        </w:rPr>
        <w:t>Cancer Res.</w:t>
      </w:r>
      <w:r w:rsidRPr="00360A96">
        <w:rPr>
          <w:rFonts w:ascii="Arial" w:hAnsi="Arial" w:cs="Arial"/>
          <w:color w:val="212121"/>
          <w:sz w:val="20"/>
          <w:szCs w:val="20"/>
          <w:shd w:val="clear" w:color="auto" w:fill="FFFFFF"/>
        </w:rPr>
        <w:t xml:space="preserve"> 74(11):2913-21. </w:t>
      </w:r>
      <w:r w:rsidRPr="00360A96">
        <w:rPr>
          <w:rFonts w:ascii="Arial" w:hAnsi="Arial" w:cs="Arial"/>
          <w:color w:val="0070C0"/>
          <w:sz w:val="20"/>
          <w:szCs w:val="20"/>
          <w:shd w:val="clear" w:color="auto" w:fill="FFFFFF"/>
        </w:rPr>
        <w:t xml:space="preserve">Doi: 10.1158/0008-5472.CAN-14-0155. </w:t>
      </w:r>
      <w:r w:rsidRPr="00360A96">
        <w:rPr>
          <w:rFonts w:ascii="Arial" w:hAnsi="Arial" w:cs="Arial"/>
          <w:color w:val="212121"/>
          <w:sz w:val="20"/>
          <w:szCs w:val="20"/>
          <w:shd w:val="clear" w:color="auto" w:fill="FFFFFF"/>
        </w:rPr>
        <w:t xml:space="preserve">Erratum in: </w:t>
      </w:r>
      <w:r w:rsidRPr="00360A96">
        <w:rPr>
          <w:rFonts w:ascii="Arial" w:hAnsi="Arial" w:cs="Arial"/>
          <w:i/>
          <w:iCs/>
          <w:color w:val="212121"/>
          <w:sz w:val="20"/>
          <w:szCs w:val="20"/>
          <w:shd w:val="clear" w:color="auto" w:fill="FFFFFF"/>
        </w:rPr>
        <w:t>Cancer Res.</w:t>
      </w:r>
      <w:r w:rsidRPr="00360A96">
        <w:rPr>
          <w:rFonts w:ascii="Arial" w:hAnsi="Arial" w:cs="Arial"/>
          <w:color w:val="212121"/>
          <w:sz w:val="20"/>
          <w:szCs w:val="20"/>
          <w:shd w:val="clear" w:color="auto" w:fill="FFFFFF"/>
        </w:rPr>
        <w:t xml:space="preserve"> (2014) 74(14):4006. </w:t>
      </w:r>
      <w:r w:rsidRPr="00360A96">
        <w:rPr>
          <w:rFonts w:ascii="Arial" w:hAnsi="Arial" w:cs="Arial"/>
          <w:color w:val="0070C0"/>
          <w:sz w:val="20"/>
          <w:szCs w:val="20"/>
          <w:shd w:val="clear" w:color="auto" w:fill="FFFFFF"/>
        </w:rPr>
        <w:t>PMID: 24840647.</w:t>
      </w:r>
    </w:p>
    <w:p w14:paraId="06397162" w14:textId="77777777" w:rsidR="008C260D" w:rsidRPr="00360A96" w:rsidRDefault="008C260D" w:rsidP="002018D0">
      <w:pPr>
        <w:pStyle w:val="ListParagraph"/>
        <w:spacing w:after="0" w:line="240" w:lineRule="auto"/>
        <w:ind w:left="1134" w:right="283" w:hanging="567"/>
        <w:jc w:val="both"/>
        <w:rPr>
          <w:rFonts w:ascii="Arial" w:hAnsi="Arial" w:cs="Arial"/>
          <w:bCs/>
          <w:color w:val="000000" w:themeColor="text1"/>
          <w:sz w:val="20"/>
          <w:szCs w:val="20"/>
        </w:rPr>
      </w:pPr>
    </w:p>
    <w:p w14:paraId="64BF73F9" w14:textId="77777777" w:rsidR="00E04B8F" w:rsidRPr="00360A96" w:rsidRDefault="00E04B8F" w:rsidP="002018D0">
      <w:pPr>
        <w:pStyle w:val="ListParagraph"/>
        <w:spacing w:after="0" w:line="240" w:lineRule="auto"/>
        <w:ind w:left="1134" w:right="283" w:hanging="567"/>
        <w:jc w:val="both"/>
        <w:rPr>
          <w:rStyle w:val="url"/>
          <w:rFonts w:ascii="Arial" w:hAnsi="Arial" w:cs="Arial"/>
          <w:color w:val="0070C0"/>
          <w:sz w:val="20"/>
          <w:szCs w:val="20"/>
          <w:u w:val="single"/>
          <w:bdr w:val="single" w:sz="2" w:space="0" w:color="ECEDEE" w:frame="1"/>
        </w:rPr>
      </w:pPr>
      <w:r w:rsidRPr="00360A96">
        <w:rPr>
          <w:rFonts w:ascii="Arial" w:hAnsi="Arial" w:cs="Arial"/>
          <w:bCs/>
          <w:color w:val="000000" w:themeColor="text1"/>
          <w:sz w:val="20"/>
          <w:szCs w:val="20"/>
        </w:rPr>
        <w:t xml:space="preserve">Riquelme E, Maitra A, McAllister F (2018). Immunotherapy for pancreatic cancer: More than just a gut feeling. </w:t>
      </w:r>
      <w:r w:rsidRPr="00360A96">
        <w:rPr>
          <w:rFonts w:ascii="Arial" w:hAnsi="Arial" w:cs="Arial"/>
          <w:bCs/>
          <w:i/>
          <w:iCs/>
          <w:color w:val="000000" w:themeColor="text1"/>
          <w:sz w:val="20"/>
          <w:szCs w:val="20"/>
        </w:rPr>
        <w:t xml:space="preserve">Cancer </w:t>
      </w:r>
      <w:proofErr w:type="spellStart"/>
      <w:r w:rsidRPr="00360A96">
        <w:rPr>
          <w:rFonts w:ascii="Arial" w:hAnsi="Arial" w:cs="Arial"/>
          <w:bCs/>
          <w:i/>
          <w:iCs/>
          <w:color w:val="000000" w:themeColor="text1"/>
          <w:sz w:val="20"/>
          <w:szCs w:val="20"/>
        </w:rPr>
        <w:t>Discov</w:t>
      </w:r>
      <w:proofErr w:type="spellEnd"/>
      <w:r w:rsidRPr="00360A96">
        <w:rPr>
          <w:rFonts w:ascii="Arial" w:hAnsi="Arial" w:cs="Arial"/>
          <w:bCs/>
          <w:color w:val="000000" w:themeColor="text1"/>
          <w:sz w:val="20"/>
          <w:szCs w:val="20"/>
        </w:rPr>
        <w:t xml:space="preserve">. </w:t>
      </w:r>
      <w:r w:rsidRPr="00360A96">
        <w:rPr>
          <w:rFonts w:ascii="Arial" w:hAnsi="Arial" w:cs="Arial"/>
          <w:bCs/>
          <w:sz w:val="20"/>
          <w:szCs w:val="20"/>
        </w:rPr>
        <w:t>8(4):386-388</w:t>
      </w:r>
      <w:r w:rsidRPr="00360A96">
        <w:rPr>
          <w:rFonts w:ascii="Arial" w:hAnsi="Arial" w:cs="Arial"/>
          <w:bCs/>
          <w:color w:val="212121"/>
          <w:sz w:val="20"/>
          <w:szCs w:val="20"/>
          <w:shd w:val="clear" w:color="auto" w:fill="FFFFFF"/>
        </w:rPr>
        <w:t xml:space="preserve">. </w:t>
      </w:r>
      <w:r w:rsidRPr="00360A96">
        <w:rPr>
          <w:rFonts w:ascii="Arial" w:eastAsia="Times New Roman" w:hAnsi="Arial" w:cs="Arial"/>
          <w:color w:val="0070C0"/>
          <w:sz w:val="20"/>
          <w:szCs w:val="20"/>
        </w:rPr>
        <w:t>Doi: </w:t>
      </w:r>
      <w:hyperlink r:id="rId24" w:tgtFrame="_blank" w:history="1">
        <w:r w:rsidRPr="00360A96">
          <w:rPr>
            <w:rFonts w:ascii="Arial" w:eastAsia="Times New Roman" w:hAnsi="Arial" w:cs="Arial"/>
            <w:color w:val="0070C0"/>
            <w:sz w:val="20"/>
            <w:szCs w:val="20"/>
          </w:rPr>
          <w:t>10.1158/2159-8290.CD-18-0123</w:t>
        </w:r>
      </w:hyperlink>
    </w:p>
    <w:p w14:paraId="1FD0FA37" w14:textId="77777777" w:rsidR="008C260D" w:rsidRPr="00360A96" w:rsidRDefault="008C260D" w:rsidP="002018D0">
      <w:pPr>
        <w:pStyle w:val="ListParagraph"/>
        <w:spacing w:after="0" w:line="240" w:lineRule="auto"/>
        <w:ind w:left="1134" w:right="283" w:hanging="567"/>
        <w:jc w:val="both"/>
        <w:rPr>
          <w:rFonts w:ascii="Arial" w:hAnsi="Arial" w:cs="Arial"/>
          <w:color w:val="1B1B1B"/>
          <w:sz w:val="20"/>
          <w:szCs w:val="20"/>
          <w:shd w:val="clear" w:color="auto" w:fill="FFFFFF"/>
        </w:rPr>
      </w:pPr>
    </w:p>
    <w:p w14:paraId="2F1BD2E5" w14:textId="77777777" w:rsidR="00E04B8F" w:rsidRPr="00360A96" w:rsidRDefault="00E04B8F" w:rsidP="002018D0">
      <w:pPr>
        <w:pStyle w:val="ListParagraph"/>
        <w:spacing w:after="0" w:line="240" w:lineRule="auto"/>
        <w:ind w:left="1134" w:right="283" w:hanging="567"/>
        <w:jc w:val="both"/>
        <w:rPr>
          <w:rFonts w:ascii="Arial" w:hAnsi="Arial" w:cs="Arial"/>
          <w:bCs/>
          <w:color w:val="FF0000"/>
          <w:sz w:val="20"/>
          <w:szCs w:val="20"/>
        </w:rPr>
      </w:pPr>
      <w:r w:rsidRPr="00360A96">
        <w:rPr>
          <w:rFonts w:ascii="Arial" w:hAnsi="Arial" w:cs="Arial"/>
          <w:color w:val="1B1B1B"/>
          <w:sz w:val="20"/>
          <w:szCs w:val="20"/>
          <w:shd w:val="clear" w:color="auto" w:fill="FFFFFF"/>
        </w:rPr>
        <w:t xml:space="preserve">Saiki Y, Jiang C, </w:t>
      </w:r>
      <w:proofErr w:type="spellStart"/>
      <w:r w:rsidRPr="00360A96">
        <w:rPr>
          <w:rFonts w:ascii="Arial" w:hAnsi="Arial" w:cs="Arial"/>
          <w:color w:val="1B1B1B"/>
          <w:sz w:val="20"/>
          <w:szCs w:val="20"/>
          <w:shd w:val="clear" w:color="auto" w:fill="FFFFFF"/>
        </w:rPr>
        <w:t>Ohmuraya</w:t>
      </w:r>
      <w:proofErr w:type="spellEnd"/>
      <w:r w:rsidRPr="00360A96">
        <w:rPr>
          <w:rFonts w:ascii="Arial" w:hAnsi="Arial" w:cs="Arial"/>
          <w:color w:val="1B1B1B"/>
          <w:sz w:val="20"/>
          <w:szCs w:val="20"/>
          <w:shd w:val="clear" w:color="auto" w:fill="FFFFFF"/>
        </w:rPr>
        <w:t xml:space="preserve"> M, Furukawa T. (2021). Genetic Mutations of Pancreatic Cancer and Genetically Engineered Mouse Models. </w:t>
      </w:r>
      <w:r w:rsidRPr="00360A96">
        <w:rPr>
          <w:rFonts w:ascii="Arial" w:hAnsi="Arial" w:cs="Arial"/>
          <w:i/>
          <w:iCs/>
          <w:color w:val="1B1B1B"/>
          <w:sz w:val="20"/>
          <w:szCs w:val="20"/>
          <w:shd w:val="clear" w:color="auto" w:fill="FFFFFF"/>
        </w:rPr>
        <w:t>Cancers (Basel).</w:t>
      </w:r>
      <w:r w:rsidRPr="00360A96">
        <w:rPr>
          <w:rFonts w:ascii="Arial" w:hAnsi="Arial" w:cs="Arial"/>
          <w:color w:val="1B1B1B"/>
          <w:sz w:val="20"/>
          <w:szCs w:val="20"/>
          <w:shd w:val="clear" w:color="auto" w:fill="FFFFFF"/>
        </w:rPr>
        <w:t xml:space="preserve"> 14(1):71.</w:t>
      </w:r>
      <w:r w:rsidR="008C260D" w:rsidRPr="00360A96">
        <w:rPr>
          <w:rFonts w:ascii="Arial" w:hAnsi="Arial" w:cs="Arial"/>
          <w:color w:val="1B1B1B"/>
          <w:sz w:val="20"/>
          <w:szCs w:val="20"/>
          <w:shd w:val="clear" w:color="auto" w:fill="FFFFFF"/>
        </w:rPr>
        <w:tab/>
      </w:r>
      <w:r w:rsidRPr="00360A96">
        <w:rPr>
          <w:rFonts w:ascii="Arial" w:hAnsi="Arial" w:cs="Arial"/>
          <w:color w:val="1B1B1B"/>
          <w:sz w:val="20"/>
          <w:szCs w:val="20"/>
          <w:shd w:val="clear" w:color="auto" w:fill="FFFFFF"/>
        </w:rPr>
        <w:t xml:space="preserve"> </w:t>
      </w:r>
      <w:r w:rsidR="008C260D" w:rsidRPr="00360A96">
        <w:rPr>
          <w:rFonts w:ascii="Arial" w:hAnsi="Arial" w:cs="Arial"/>
          <w:color w:val="1B1B1B"/>
          <w:sz w:val="20"/>
          <w:szCs w:val="20"/>
          <w:shd w:val="clear" w:color="auto" w:fill="FFFFFF"/>
        </w:rPr>
        <w:t xml:space="preserve">                                                  </w:t>
      </w:r>
      <w:r w:rsidRPr="00360A96">
        <w:rPr>
          <w:rFonts w:ascii="Arial" w:hAnsi="Arial" w:cs="Arial"/>
          <w:color w:val="0070C0"/>
          <w:sz w:val="20"/>
          <w:szCs w:val="20"/>
          <w:shd w:val="clear" w:color="auto" w:fill="FFFFFF"/>
        </w:rPr>
        <w:t>Doi: 10.3390/cancers14010071.</w:t>
      </w:r>
    </w:p>
    <w:p w14:paraId="59765689" w14:textId="77777777" w:rsidR="0079698F" w:rsidRPr="00360A96" w:rsidRDefault="0079698F" w:rsidP="002018D0">
      <w:pPr>
        <w:pStyle w:val="NormalWeb"/>
        <w:spacing w:before="0" w:beforeAutospacing="0" w:after="0" w:afterAutospacing="0"/>
        <w:ind w:left="1134" w:hanging="567"/>
        <w:jc w:val="both"/>
        <w:rPr>
          <w:rFonts w:ascii="Arial" w:hAnsi="Arial" w:cs="Arial"/>
          <w:bCs/>
          <w:color w:val="000000" w:themeColor="text1"/>
          <w:sz w:val="20"/>
          <w:szCs w:val="20"/>
        </w:rPr>
      </w:pPr>
    </w:p>
    <w:p w14:paraId="2BE29A37" w14:textId="77777777" w:rsidR="00E04B8F" w:rsidRPr="00360A96" w:rsidRDefault="00E04B8F" w:rsidP="002018D0">
      <w:pPr>
        <w:pStyle w:val="NormalWeb"/>
        <w:spacing w:before="0" w:beforeAutospacing="0" w:after="0" w:afterAutospacing="0"/>
        <w:ind w:left="1134" w:hanging="567"/>
        <w:jc w:val="both"/>
        <w:rPr>
          <w:rFonts w:ascii="Arial" w:hAnsi="Arial" w:cs="Arial"/>
          <w:sz w:val="20"/>
          <w:szCs w:val="20"/>
        </w:rPr>
      </w:pPr>
      <w:r w:rsidRPr="00360A96">
        <w:rPr>
          <w:rFonts w:ascii="Arial" w:hAnsi="Arial" w:cs="Arial"/>
          <w:bCs/>
          <w:color w:val="000000" w:themeColor="text1"/>
          <w:sz w:val="20"/>
          <w:szCs w:val="20"/>
        </w:rPr>
        <w:t xml:space="preserve">Shionoya K, Koizumi K, Masuda S, Makazu M, Kubota J, Jinushi R, et al. (2024). Difficulty in the diagnosis of pancreatic cancer based on the initial CT report: A retrospective study. </w:t>
      </w:r>
      <w:r w:rsidRPr="00360A96">
        <w:rPr>
          <w:rFonts w:ascii="Arial" w:hAnsi="Arial" w:cs="Arial"/>
          <w:bCs/>
          <w:i/>
          <w:iCs/>
          <w:color w:val="000000" w:themeColor="text1"/>
          <w:sz w:val="20"/>
          <w:szCs w:val="20"/>
        </w:rPr>
        <w:t xml:space="preserve">Medicine </w:t>
      </w:r>
      <w:r w:rsidRPr="00360A96">
        <w:rPr>
          <w:rFonts w:ascii="Arial" w:hAnsi="Arial" w:cs="Arial"/>
          <w:bCs/>
          <w:color w:val="000000" w:themeColor="text1"/>
          <w:sz w:val="20"/>
          <w:szCs w:val="20"/>
        </w:rPr>
        <w:t>103:6.</w:t>
      </w:r>
      <w:r w:rsidRPr="00360A96">
        <w:rPr>
          <w:rFonts w:ascii="Arial" w:hAnsi="Arial" w:cs="Arial"/>
          <w:color w:val="212121"/>
          <w:sz w:val="20"/>
          <w:szCs w:val="20"/>
          <w:shd w:val="clear" w:color="auto" w:fill="FFFFFF"/>
        </w:rPr>
        <w:t xml:space="preserve">Siegel RL, Kratzer TB, Giaquinto AN, Sung H, Jemal A. (2025). Cancer statistics, </w:t>
      </w:r>
      <w:r w:rsidRPr="00360A96">
        <w:rPr>
          <w:rFonts w:ascii="Arial" w:hAnsi="Arial" w:cs="Arial"/>
          <w:i/>
          <w:iCs/>
          <w:color w:val="212121"/>
          <w:sz w:val="20"/>
          <w:szCs w:val="20"/>
          <w:shd w:val="clear" w:color="auto" w:fill="FFFFFF"/>
        </w:rPr>
        <w:t>CA Cancer J Clin.</w:t>
      </w:r>
      <w:r w:rsidRPr="00360A96">
        <w:rPr>
          <w:rFonts w:ascii="Arial" w:hAnsi="Arial" w:cs="Arial"/>
          <w:color w:val="212121"/>
          <w:sz w:val="20"/>
          <w:szCs w:val="20"/>
          <w:shd w:val="clear" w:color="auto" w:fill="FFFFFF"/>
        </w:rPr>
        <w:t xml:space="preserve"> 75(1):10-45.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 xml:space="preserve">oi: 10.3322/caac.21871  </w:t>
      </w:r>
    </w:p>
    <w:p w14:paraId="2F42FEA8" w14:textId="77777777" w:rsidR="008C260D" w:rsidRPr="00360A96" w:rsidRDefault="008C260D" w:rsidP="002018D0">
      <w:pPr>
        <w:pStyle w:val="NormalWeb"/>
        <w:spacing w:before="0" w:beforeAutospacing="0" w:after="0" w:afterAutospacing="0"/>
        <w:ind w:left="1134" w:hanging="567"/>
        <w:jc w:val="both"/>
        <w:rPr>
          <w:rFonts w:ascii="Arial" w:hAnsi="Arial" w:cs="Arial"/>
          <w:color w:val="212121"/>
          <w:sz w:val="20"/>
          <w:szCs w:val="20"/>
          <w:shd w:val="clear" w:color="auto" w:fill="FFFFFF"/>
        </w:rPr>
      </w:pPr>
    </w:p>
    <w:p w14:paraId="3830423B" w14:textId="77777777" w:rsidR="00E04B8F" w:rsidRPr="00360A96" w:rsidRDefault="00E04B8F" w:rsidP="002018D0">
      <w:pPr>
        <w:pStyle w:val="NormalWeb"/>
        <w:spacing w:before="0" w:beforeAutospacing="0" w:after="0" w:afterAutospacing="0"/>
        <w:ind w:left="1134" w:hanging="567"/>
        <w:jc w:val="both"/>
        <w:rPr>
          <w:rFonts w:ascii="Arial" w:hAnsi="Arial" w:cs="Arial"/>
          <w:sz w:val="20"/>
          <w:szCs w:val="20"/>
        </w:rPr>
      </w:pPr>
      <w:r w:rsidRPr="00360A96">
        <w:rPr>
          <w:rFonts w:ascii="Arial" w:hAnsi="Arial" w:cs="Arial"/>
          <w:color w:val="212121"/>
          <w:sz w:val="20"/>
          <w:szCs w:val="20"/>
          <w:shd w:val="clear" w:color="auto" w:fill="FFFFFF"/>
        </w:rPr>
        <w:t xml:space="preserve">Siegel RL, Kratzer TB, Giaquinto AN, Sung H, Jemal A. (2025). Cancer statistics, </w:t>
      </w:r>
      <w:r w:rsidRPr="00360A96">
        <w:rPr>
          <w:rFonts w:ascii="Arial" w:hAnsi="Arial" w:cs="Arial"/>
          <w:i/>
          <w:iCs/>
          <w:color w:val="212121"/>
          <w:sz w:val="20"/>
          <w:szCs w:val="20"/>
          <w:shd w:val="clear" w:color="auto" w:fill="FFFFFF"/>
        </w:rPr>
        <w:t>CA Cancer J Clin.</w:t>
      </w:r>
      <w:r w:rsidRPr="00360A96">
        <w:rPr>
          <w:rFonts w:ascii="Arial" w:hAnsi="Arial" w:cs="Arial"/>
          <w:color w:val="212121"/>
          <w:sz w:val="20"/>
          <w:szCs w:val="20"/>
          <w:shd w:val="clear" w:color="auto" w:fill="FFFFFF"/>
        </w:rPr>
        <w:t xml:space="preserve"> 75(1):10-45. </w:t>
      </w:r>
      <w:r w:rsidRPr="00360A96">
        <w:rPr>
          <w:rFonts w:ascii="Arial" w:hAnsi="Arial" w:cs="Arial"/>
          <w:color w:val="0070C0"/>
          <w:sz w:val="20"/>
          <w:szCs w:val="20"/>
          <w:shd w:val="clear" w:color="auto" w:fill="FFFFFF"/>
          <w:lang w:val="tr-TR"/>
        </w:rPr>
        <w:t>D</w:t>
      </w:r>
      <w:r w:rsidRPr="00360A96">
        <w:rPr>
          <w:rFonts w:ascii="Arial" w:hAnsi="Arial" w:cs="Arial"/>
          <w:color w:val="0070C0"/>
          <w:sz w:val="20"/>
          <w:szCs w:val="20"/>
          <w:shd w:val="clear" w:color="auto" w:fill="FFFFFF"/>
        </w:rPr>
        <w:t xml:space="preserve">oi: 10.3322/caac.21871  </w:t>
      </w:r>
    </w:p>
    <w:p w14:paraId="2E69AB0D" w14:textId="77777777" w:rsidR="008C260D" w:rsidRPr="00360A96" w:rsidRDefault="008C260D" w:rsidP="002018D0">
      <w:pPr>
        <w:pStyle w:val="ListParagraph"/>
        <w:spacing w:after="0" w:line="240" w:lineRule="auto"/>
        <w:ind w:left="1134" w:right="283" w:hanging="567"/>
        <w:jc w:val="both"/>
        <w:rPr>
          <w:rFonts w:ascii="Arial" w:hAnsi="Arial" w:cs="Arial"/>
          <w:color w:val="000000" w:themeColor="text1"/>
          <w:sz w:val="20"/>
          <w:szCs w:val="20"/>
        </w:rPr>
      </w:pPr>
    </w:p>
    <w:p w14:paraId="26D3CE7E" w14:textId="77777777" w:rsidR="00E04B8F" w:rsidRPr="00360A96" w:rsidRDefault="00E04B8F" w:rsidP="002018D0">
      <w:pPr>
        <w:pStyle w:val="ListParagraph"/>
        <w:spacing w:after="0" w:line="240" w:lineRule="auto"/>
        <w:ind w:left="1134" w:right="283" w:hanging="567"/>
        <w:jc w:val="both"/>
        <w:rPr>
          <w:rFonts w:ascii="Arial" w:hAnsi="Arial" w:cs="Arial"/>
          <w:color w:val="000000" w:themeColor="text1"/>
          <w:sz w:val="20"/>
          <w:szCs w:val="20"/>
        </w:rPr>
      </w:pPr>
      <w:r w:rsidRPr="00360A96">
        <w:rPr>
          <w:rFonts w:ascii="Arial" w:hAnsi="Arial" w:cs="Arial"/>
          <w:color w:val="000000" w:themeColor="text1"/>
          <w:sz w:val="20"/>
          <w:szCs w:val="20"/>
        </w:rPr>
        <w:t xml:space="preserve">Singh D, Upadhyay G, Srivastava RK, Shankar S (2015). Recent advances in pancreatic cancer: biology, treatment, and prevention. </w:t>
      </w:r>
      <w:r w:rsidRPr="00360A96">
        <w:rPr>
          <w:rFonts w:ascii="Arial" w:hAnsi="Arial" w:cs="Arial"/>
          <w:i/>
          <w:iCs/>
          <w:color w:val="000000" w:themeColor="text1"/>
          <w:sz w:val="20"/>
          <w:szCs w:val="20"/>
        </w:rPr>
        <w:t>BBA.</w:t>
      </w:r>
      <w:r w:rsidRPr="00360A96">
        <w:rPr>
          <w:rFonts w:ascii="Arial" w:hAnsi="Arial" w:cs="Arial"/>
          <w:color w:val="000000" w:themeColor="text1"/>
          <w:sz w:val="20"/>
          <w:szCs w:val="20"/>
        </w:rPr>
        <w:t xml:space="preserve"> 1856(1):13-27. </w:t>
      </w:r>
      <w:r w:rsidRPr="00360A96">
        <w:rPr>
          <w:rFonts w:ascii="Arial" w:hAnsi="Arial" w:cs="Arial"/>
          <w:color w:val="0070C0"/>
          <w:sz w:val="20"/>
          <w:szCs w:val="20"/>
        </w:rPr>
        <w:t>Doi: 10.1016/j.bbcan.2015.04.03</w:t>
      </w:r>
    </w:p>
    <w:p w14:paraId="26A5772A" w14:textId="77777777" w:rsidR="008C260D" w:rsidRPr="00360A96" w:rsidRDefault="008C260D" w:rsidP="002018D0">
      <w:pPr>
        <w:pStyle w:val="NormalWeb"/>
        <w:spacing w:before="0" w:beforeAutospacing="0" w:after="0" w:afterAutospacing="0"/>
        <w:ind w:left="1134" w:right="283" w:hanging="567"/>
        <w:jc w:val="both"/>
        <w:rPr>
          <w:rFonts w:ascii="Arial" w:hAnsi="Arial" w:cs="Arial"/>
          <w:sz w:val="20"/>
          <w:szCs w:val="20"/>
        </w:rPr>
      </w:pPr>
    </w:p>
    <w:p w14:paraId="34D9535C"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Slotwinski R, Lech G, Slotwinska SM (2018). MicroRNAs in pancreatic cancer diagnosis and therapy. </w:t>
      </w:r>
      <w:r w:rsidRPr="00360A96">
        <w:rPr>
          <w:rFonts w:ascii="Arial" w:hAnsi="Arial" w:cs="Arial"/>
          <w:i/>
          <w:iCs/>
          <w:sz w:val="20"/>
          <w:szCs w:val="20"/>
        </w:rPr>
        <w:t>Centr Eur J Immunol.</w:t>
      </w:r>
      <w:r w:rsidRPr="00360A96">
        <w:rPr>
          <w:rFonts w:ascii="Arial" w:hAnsi="Arial" w:cs="Arial"/>
          <w:sz w:val="20"/>
          <w:szCs w:val="20"/>
        </w:rPr>
        <w:t xml:space="preserve"> 43(3):314-324. </w:t>
      </w:r>
      <w:hyperlink r:id="rId25" w:history="1">
        <w:r w:rsidRPr="00360A96">
          <w:rPr>
            <w:rStyle w:val="Hyperlink"/>
            <w:rFonts w:ascii="Arial" w:eastAsiaTheme="majorEastAsia" w:hAnsi="Arial" w:cs="Arial"/>
            <w:color w:val="0070C0"/>
            <w:sz w:val="20"/>
            <w:szCs w:val="20"/>
            <w:u w:val="none"/>
          </w:rPr>
          <w:t>https://doi.org/10.5114/ceji.2018.80051</w:t>
        </w:r>
      </w:hyperlink>
    </w:p>
    <w:p w14:paraId="105FC6BE" w14:textId="77777777" w:rsidR="00E04B8F" w:rsidRPr="00360A96" w:rsidRDefault="00E04B8F"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212121"/>
          <w:sz w:val="20"/>
          <w:szCs w:val="20"/>
          <w:shd w:val="clear" w:color="auto" w:fill="FFFFFF"/>
        </w:rPr>
        <w:t xml:space="preserve">Softic S, Stanhope KL, Boucher J, Divanovic S, Lanaspa MA, Johnson RJ, et al. (2020). Fructose and hepatic insulin resistance. </w:t>
      </w:r>
      <w:r w:rsidRPr="00360A96">
        <w:rPr>
          <w:rFonts w:ascii="Arial" w:hAnsi="Arial" w:cs="Arial"/>
          <w:i/>
          <w:iCs/>
          <w:color w:val="212121"/>
          <w:sz w:val="20"/>
          <w:szCs w:val="20"/>
          <w:shd w:val="clear" w:color="auto" w:fill="FFFFFF"/>
        </w:rPr>
        <w:t>Crit Rev Clin Lab Sci.</w:t>
      </w:r>
      <w:r w:rsidRPr="00360A96">
        <w:rPr>
          <w:rFonts w:ascii="Arial" w:hAnsi="Arial" w:cs="Arial"/>
          <w:color w:val="212121"/>
          <w:sz w:val="20"/>
          <w:szCs w:val="20"/>
          <w:shd w:val="clear" w:color="auto" w:fill="FFFFFF"/>
        </w:rPr>
        <w:t xml:space="preserve"> 57(5):308-322.</w:t>
      </w:r>
      <w:r w:rsidR="008C260D" w:rsidRPr="00360A96">
        <w:rPr>
          <w:rFonts w:ascii="Arial" w:hAnsi="Arial" w:cs="Arial"/>
          <w:color w:val="212121"/>
          <w:sz w:val="20"/>
          <w:szCs w:val="20"/>
          <w:shd w:val="clear" w:color="auto" w:fill="FFFFFF"/>
        </w:rPr>
        <w:tab/>
      </w:r>
      <w:r w:rsidRPr="00360A96">
        <w:rPr>
          <w:rFonts w:ascii="Arial" w:hAnsi="Arial" w:cs="Arial"/>
          <w:color w:val="212121"/>
          <w:sz w:val="20"/>
          <w:szCs w:val="20"/>
          <w:shd w:val="clear" w:color="auto" w:fill="FFFFFF"/>
        </w:rPr>
        <w:t xml:space="preserve"> </w:t>
      </w:r>
      <w:r w:rsidR="008C260D" w:rsidRPr="00360A96">
        <w:rPr>
          <w:rFonts w:ascii="Arial" w:hAnsi="Arial" w:cs="Arial"/>
          <w:color w:val="212121"/>
          <w:sz w:val="20"/>
          <w:szCs w:val="20"/>
          <w:shd w:val="clear" w:color="auto" w:fill="FFFFFF"/>
          <w:lang w:val="tr-TR"/>
        </w:rPr>
        <w:t xml:space="preserve">                                                 </w:t>
      </w:r>
      <w:r w:rsidRPr="00360A96">
        <w:rPr>
          <w:rFonts w:ascii="Arial" w:hAnsi="Arial" w:cs="Arial"/>
          <w:color w:val="0070C0"/>
          <w:sz w:val="20"/>
          <w:szCs w:val="20"/>
          <w:shd w:val="clear" w:color="auto" w:fill="FFFFFF"/>
        </w:rPr>
        <w:t>Doi: 10.1080/10408363.2019.1711360</w:t>
      </w:r>
      <w:r w:rsidRPr="00360A96">
        <w:rPr>
          <w:rFonts w:ascii="Arial" w:hAnsi="Arial" w:cs="Arial"/>
          <w:color w:val="212121"/>
          <w:sz w:val="20"/>
          <w:szCs w:val="20"/>
          <w:shd w:val="clear" w:color="auto" w:fill="FFFFFF"/>
        </w:rPr>
        <w:t>.</w:t>
      </w:r>
    </w:p>
    <w:p w14:paraId="45582417"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sz w:val="20"/>
          <w:szCs w:val="20"/>
        </w:rPr>
        <w:t xml:space="preserve">Springfield C, Jager D, Büchler MW, Strobel O, Hackert T, Palmer DH, et al. (2019). Chemotherapy for pancreatic cancer. </w:t>
      </w:r>
      <w:r w:rsidRPr="00360A96">
        <w:rPr>
          <w:rFonts w:ascii="Arial" w:hAnsi="Arial" w:cs="Arial"/>
          <w:i/>
          <w:iCs/>
          <w:sz w:val="20"/>
          <w:szCs w:val="20"/>
        </w:rPr>
        <w:t>Presse Med.</w:t>
      </w:r>
      <w:r w:rsidRPr="00360A96">
        <w:rPr>
          <w:rFonts w:ascii="Arial" w:hAnsi="Arial" w:cs="Arial"/>
          <w:sz w:val="20"/>
          <w:szCs w:val="20"/>
        </w:rPr>
        <w:t xml:space="preserve"> 48:e159-e174. </w:t>
      </w:r>
      <w:r w:rsidRPr="00360A96">
        <w:rPr>
          <w:rFonts w:ascii="Arial" w:hAnsi="Arial" w:cs="Arial"/>
          <w:color w:val="006DBF"/>
          <w:sz w:val="20"/>
          <w:szCs w:val="20"/>
        </w:rPr>
        <w:t xml:space="preserve">Doi: 10.1016/j.lpm.2019.02.025 </w:t>
      </w:r>
    </w:p>
    <w:p w14:paraId="616D619E" w14:textId="77777777" w:rsidR="00E04B8F" w:rsidRPr="00360A96" w:rsidRDefault="00E04B8F" w:rsidP="002018D0">
      <w:pPr>
        <w:pStyle w:val="NormalWeb"/>
        <w:tabs>
          <w:tab w:val="left" w:pos="1134"/>
        </w:tabs>
        <w:ind w:left="1134" w:hanging="567"/>
        <w:jc w:val="both"/>
        <w:rPr>
          <w:rFonts w:ascii="Arial" w:hAnsi="Arial" w:cs="Arial"/>
          <w:sz w:val="20"/>
          <w:szCs w:val="20"/>
        </w:rPr>
      </w:pPr>
      <w:r w:rsidRPr="00360A96">
        <w:rPr>
          <w:rFonts w:ascii="Arial" w:hAnsi="Arial" w:cs="Arial"/>
          <w:color w:val="000000" w:themeColor="text1"/>
          <w:sz w:val="20"/>
          <w:szCs w:val="20"/>
        </w:rPr>
        <w:t xml:space="preserve">Subramanian SK, Brahmbhatt B, Bailey-Lundberg JM, Thosani NC, Mutha P (2024). Lifestyle medicine for the prevention and treatment of pancreatitis and pancreatic cancer. </w:t>
      </w:r>
      <w:r w:rsidRPr="00360A96">
        <w:rPr>
          <w:rFonts w:ascii="Arial" w:hAnsi="Arial" w:cs="Arial"/>
          <w:i/>
          <w:iCs/>
          <w:color w:val="000000" w:themeColor="text1"/>
          <w:sz w:val="20"/>
          <w:szCs w:val="20"/>
        </w:rPr>
        <w:t>Diagnostics.</w:t>
      </w:r>
      <w:r w:rsidRPr="00360A96">
        <w:rPr>
          <w:rFonts w:ascii="Arial" w:hAnsi="Arial" w:cs="Arial"/>
          <w:color w:val="000000" w:themeColor="text1"/>
          <w:sz w:val="20"/>
          <w:szCs w:val="20"/>
        </w:rPr>
        <w:t xml:space="preserve"> 14:614.</w:t>
      </w:r>
      <w:r w:rsidRPr="00360A96">
        <w:rPr>
          <w:rFonts w:ascii="Arial" w:hAnsi="Arial" w:cs="Arial"/>
          <w:color w:val="000000" w:themeColor="text1"/>
          <w:sz w:val="20"/>
          <w:szCs w:val="20"/>
        </w:rPr>
        <w:tab/>
        <w:t xml:space="preserve">  </w:t>
      </w:r>
      <w:r w:rsidRPr="00360A96">
        <w:rPr>
          <w:rFonts w:ascii="Arial" w:hAnsi="Arial" w:cs="Arial"/>
          <w:color w:val="0070C0"/>
          <w:sz w:val="20"/>
          <w:szCs w:val="20"/>
        </w:rPr>
        <w:t xml:space="preserve">https://doi.org/10.3390/diagnostics14060614 </w:t>
      </w:r>
    </w:p>
    <w:p w14:paraId="3C46CD61"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Tanoue T, Morita S, Plichta DR, Skelly AN, Suda W, Sugiura Y, et al. (2019). A defined commensal consortium elicits CD8 T cells and anti-cancer immunity. </w:t>
      </w:r>
      <w:r w:rsidRPr="00360A96">
        <w:rPr>
          <w:rFonts w:ascii="Arial" w:hAnsi="Arial" w:cs="Arial"/>
          <w:i/>
          <w:iCs/>
          <w:sz w:val="20"/>
          <w:szCs w:val="20"/>
        </w:rPr>
        <w:t>Nature.</w:t>
      </w:r>
      <w:r w:rsidRPr="00360A96">
        <w:rPr>
          <w:rFonts w:ascii="Arial" w:hAnsi="Arial" w:cs="Arial"/>
          <w:sz w:val="20"/>
          <w:szCs w:val="20"/>
        </w:rPr>
        <w:t xml:space="preserve"> 565:600-605.</w:t>
      </w:r>
      <w:r w:rsidR="008C260D" w:rsidRPr="00360A96">
        <w:rPr>
          <w:rFonts w:ascii="Arial" w:hAnsi="Arial" w:cs="Arial"/>
          <w:sz w:val="20"/>
          <w:szCs w:val="20"/>
        </w:rPr>
        <w:tab/>
      </w:r>
      <w:r w:rsidRPr="00360A96">
        <w:rPr>
          <w:rFonts w:ascii="Arial" w:hAnsi="Arial" w:cs="Arial"/>
          <w:sz w:val="20"/>
          <w:szCs w:val="20"/>
        </w:rPr>
        <w:t xml:space="preserve"> </w:t>
      </w:r>
      <w:r w:rsidRPr="00360A96">
        <w:rPr>
          <w:rFonts w:ascii="Arial" w:hAnsi="Arial" w:cs="Arial"/>
          <w:color w:val="0070C0"/>
          <w:sz w:val="20"/>
          <w:szCs w:val="20"/>
        </w:rPr>
        <w:t>https://10.1038/s41586-019-0878-z</w:t>
      </w:r>
      <w:r w:rsidRPr="00360A96">
        <w:rPr>
          <w:rFonts w:ascii="Arial" w:hAnsi="Arial" w:cs="Arial"/>
          <w:bCs/>
          <w:color w:val="0070C0"/>
          <w:sz w:val="20"/>
          <w:szCs w:val="20"/>
        </w:rPr>
        <w:t xml:space="preserve"> </w:t>
      </w:r>
    </w:p>
    <w:p w14:paraId="0341DA0F" w14:textId="77777777" w:rsidR="00E04B8F" w:rsidRPr="00360A96" w:rsidRDefault="00E04B8F"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212121"/>
          <w:sz w:val="20"/>
          <w:szCs w:val="20"/>
          <w:shd w:val="clear" w:color="auto" w:fill="FFFFFF"/>
        </w:rPr>
        <w:t xml:space="preserve">Taskinen MR, Packard CJ, Borén J. (2019). Dietary Fructose and the Metabolic Syndrome. </w:t>
      </w:r>
      <w:r w:rsidRPr="00360A96">
        <w:rPr>
          <w:rFonts w:ascii="Arial" w:hAnsi="Arial" w:cs="Arial"/>
          <w:i/>
          <w:iCs/>
          <w:color w:val="212121"/>
          <w:sz w:val="20"/>
          <w:szCs w:val="20"/>
          <w:shd w:val="clear" w:color="auto" w:fill="FFFFFF"/>
        </w:rPr>
        <w:t>Nutrients.</w:t>
      </w:r>
      <w:r w:rsidRPr="00360A96">
        <w:rPr>
          <w:rFonts w:ascii="Arial" w:hAnsi="Arial" w:cs="Arial"/>
          <w:color w:val="212121"/>
          <w:sz w:val="20"/>
          <w:szCs w:val="20"/>
          <w:shd w:val="clear" w:color="auto" w:fill="FFFFFF"/>
        </w:rPr>
        <w:t xml:space="preserve"> 11(9):1987. </w:t>
      </w:r>
      <w:r w:rsidRPr="00360A96">
        <w:rPr>
          <w:rFonts w:ascii="Arial" w:hAnsi="Arial" w:cs="Arial"/>
          <w:color w:val="0070C0"/>
          <w:sz w:val="20"/>
          <w:szCs w:val="20"/>
          <w:shd w:val="clear" w:color="auto" w:fill="FFFFFF"/>
        </w:rPr>
        <w:t>Doi: 10.3390/nu11091987.</w:t>
      </w:r>
    </w:p>
    <w:p w14:paraId="1057206F"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Tesfaye AA, Azmi AS, Philip PA. (2019]. miRNA and Gene Expression in Pancreatic Ductal Adenocarcinoma. </w:t>
      </w:r>
      <w:r w:rsidRPr="00360A96">
        <w:rPr>
          <w:rFonts w:ascii="Arial" w:hAnsi="Arial" w:cs="Arial"/>
          <w:i/>
          <w:iCs/>
          <w:color w:val="212121"/>
          <w:sz w:val="20"/>
          <w:szCs w:val="20"/>
          <w:shd w:val="clear" w:color="auto" w:fill="FFFFFF"/>
        </w:rPr>
        <w:t>Am J Pathol.</w:t>
      </w:r>
      <w:r w:rsidRPr="00360A96">
        <w:rPr>
          <w:rFonts w:ascii="Arial" w:hAnsi="Arial" w:cs="Arial"/>
          <w:color w:val="212121"/>
          <w:sz w:val="20"/>
          <w:szCs w:val="20"/>
          <w:shd w:val="clear" w:color="auto" w:fill="FFFFFF"/>
        </w:rPr>
        <w:t xml:space="preserve"> 189(1):58-70.</w:t>
      </w:r>
      <w:r w:rsidR="008C260D" w:rsidRPr="00360A96">
        <w:rPr>
          <w:rFonts w:ascii="Arial" w:hAnsi="Arial" w:cs="Arial"/>
          <w:color w:val="212121"/>
          <w:sz w:val="20"/>
          <w:szCs w:val="20"/>
          <w:shd w:val="clear" w:color="auto" w:fill="FFFFFF"/>
          <w:lang w:val="tr-TR"/>
        </w:rPr>
        <w:t xml:space="preserve"> </w:t>
      </w:r>
      <w:r w:rsidRPr="00360A96">
        <w:rPr>
          <w:rFonts w:ascii="Arial" w:hAnsi="Arial" w:cs="Arial"/>
          <w:color w:val="0070C0"/>
          <w:sz w:val="20"/>
          <w:szCs w:val="20"/>
          <w:shd w:val="clear" w:color="auto" w:fill="FFFFFF"/>
        </w:rPr>
        <w:t>Doi: 10.1016/j.ajpath.2018.10.005.</w:t>
      </w:r>
    </w:p>
    <w:p w14:paraId="7983F187" w14:textId="77777777" w:rsidR="008C260D" w:rsidRPr="00360A96" w:rsidRDefault="008C260D" w:rsidP="002018D0">
      <w:pPr>
        <w:pStyle w:val="ListParagraph"/>
        <w:spacing w:after="0" w:line="240" w:lineRule="auto"/>
        <w:ind w:left="1134" w:right="283" w:hanging="567"/>
        <w:jc w:val="both"/>
        <w:rPr>
          <w:rFonts w:ascii="Arial" w:hAnsi="Arial" w:cs="Arial"/>
          <w:bCs/>
          <w:color w:val="000000" w:themeColor="text1"/>
          <w:sz w:val="20"/>
          <w:szCs w:val="20"/>
        </w:rPr>
      </w:pPr>
    </w:p>
    <w:p w14:paraId="55D5C985"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proofErr w:type="spellStart"/>
      <w:r w:rsidRPr="00360A96">
        <w:rPr>
          <w:rFonts w:ascii="Arial" w:hAnsi="Arial" w:cs="Arial"/>
          <w:bCs/>
          <w:color w:val="000000" w:themeColor="text1"/>
          <w:sz w:val="20"/>
          <w:szCs w:val="20"/>
        </w:rPr>
        <w:t>Thoidingjam</w:t>
      </w:r>
      <w:proofErr w:type="spellEnd"/>
      <w:r w:rsidRPr="00360A96">
        <w:rPr>
          <w:rFonts w:ascii="Arial" w:hAnsi="Arial" w:cs="Arial"/>
          <w:bCs/>
          <w:color w:val="000000" w:themeColor="text1"/>
          <w:sz w:val="20"/>
          <w:szCs w:val="20"/>
        </w:rPr>
        <w:t xml:space="preserve"> S, Bhatnagar AR, </w:t>
      </w:r>
      <w:proofErr w:type="spellStart"/>
      <w:r w:rsidRPr="00360A96">
        <w:rPr>
          <w:rFonts w:ascii="Arial" w:hAnsi="Arial" w:cs="Arial"/>
          <w:bCs/>
          <w:color w:val="000000" w:themeColor="text1"/>
          <w:sz w:val="20"/>
          <w:szCs w:val="20"/>
        </w:rPr>
        <w:t>Sriramulu</w:t>
      </w:r>
      <w:proofErr w:type="spellEnd"/>
      <w:r w:rsidRPr="00360A96">
        <w:rPr>
          <w:rFonts w:ascii="Arial" w:hAnsi="Arial" w:cs="Arial"/>
          <w:bCs/>
          <w:color w:val="000000" w:themeColor="text1"/>
          <w:sz w:val="20"/>
          <w:szCs w:val="20"/>
        </w:rPr>
        <w:t xml:space="preserve"> S, </w:t>
      </w:r>
      <w:proofErr w:type="spellStart"/>
      <w:r w:rsidRPr="00360A96">
        <w:rPr>
          <w:rFonts w:ascii="Arial" w:hAnsi="Arial" w:cs="Arial"/>
          <w:bCs/>
          <w:color w:val="000000" w:themeColor="text1"/>
          <w:sz w:val="20"/>
          <w:szCs w:val="20"/>
        </w:rPr>
        <w:t>Siddqui</w:t>
      </w:r>
      <w:proofErr w:type="spellEnd"/>
      <w:r w:rsidRPr="00360A96">
        <w:rPr>
          <w:rFonts w:ascii="Arial" w:hAnsi="Arial" w:cs="Arial"/>
          <w:bCs/>
          <w:color w:val="000000" w:themeColor="text1"/>
          <w:sz w:val="20"/>
          <w:szCs w:val="20"/>
        </w:rPr>
        <w:t xml:space="preserve"> F, Nyati S (2024). Optimizing pancreatic cancer therapy: The promise of immune stimulatory oncolytic viruses. </w:t>
      </w:r>
      <w:r w:rsidRPr="00360A96">
        <w:rPr>
          <w:rFonts w:ascii="Arial" w:hAnsi="Arial" w:cs="Arial"/>
          <w:bCs/>
          <w:i/>
          <w:iCs/>
          <w:color w:val="000000" w:themeColor="text1"/>
          <w:sz w:val="20"/>
          <w:szCs w:val="20"/>
        </w:rPr>
        <w:t xml:space="preserve">Int J Mol Sci. </w:t>
      </w:r>
      <w:r w:rsidRPr="00360A96">
        <w:rPr>
          <w:rFonts w:ascii="Arial" w:hAnsi="Arial" w:cs="Arial"/>
          <w:bCs/>
          <w:color w:val="000000" w:themeColor="text1"/>
          <w:sz w:val="20"/>
          <w:szCs w:val="20"/>
        </w:rPr>
        <w:t xml:space="preserve">25:9912. </w:t>
      </w:r>
      <w:r w:rsidRPr="00360A96">
        <w:rPr>
          <w:rFonts w:ascii="Arial" w:hAnsi="Arial" w:cs="Arial"/>
          <w:bCs/>
          <w:color w:val="0070C0"/>
          <w:sz w:val="20"/>
          <w:szCs w:val="20"/>
        </w:rPr>
        <w:t>https://doi.org/10.3390/ijms25189912</w:t>
      </w:r>
    </w:p>
    <w:p w14:paraId="05A0C85D" w14:textId="77777777" w:rsidR="008C260D" w:rsidRPr="00360A96" w:rsidRDefault="008C260D" w:rsidP="002018D0">
      <w:pPr>
        <w:pStyle w:val="ListParagraph"/>
        <w:shd w:val="clear" w:color="auto" w:fill="FFFFFF"/>
        <w:spacing w:before="100" w:beforeAutospacing="1" w:after="100" w:afterAutospacing="1" w:line="240" w:lineRule="auto"/>
        <w:ind w:left="1134" w:right="283" w:hanging="567"/>
        <w:jc w:val="both"/>
        <w:rPr>
          <w:rFonts w:ascii="Arial" w:hAnsi="Arial" w:cs="Arial"/>
          <w:sz w:val="20"/>
          <w:szCs w:val="20"/>
        </w:rPr>
      </w:pPr>
    </w:p>
    <w:p w14:paraId="0433517C" w14:textId="77777777" w:rsidR="00E04B8F" w:rsidRPr="00360A96" w:rsidRDefault="00E04B8F" w:rsidP="002018D0">
      <w:pPr>
        <w:pStyle w:val="ListParagraph"/>
        <w:shd w:val="clear" w:color="auto" w:fill="FFFFFF"/>
        <w:spacing w:before="100" w:beforeAutospacing="1" w:after="100" w:afterAutospacing="1" w:line="240" w:lineRule="auto"/>
        <w:ind w:left="1134" w:right="283" w:hanging="567"/>
        <w:jc w:val="both"/>
        <w:rPr>
          <w:rFonts w:ascii="Arial" w:hAnsi="Arial" w:cs="Arial"/>
          <w:color w:val="212121"/>
          <w:sz w:val="20"/>
          <w:szCs w:val="20"/>
        </w:rPr>
      </w:pPr>
      <w:r w:rsidRPr="00360A96">
        <w:rPr>
          <w:rFonts w:ascii="Arial" w:hAnsi="Arial" w:cs="Arial"/>
          <w:sz w:val="20"/>
          <w:szCs w:val="20"/>
        </w:rPr>
        <w:lastRenderedPageBreak/>
        <w:t>Thomas H. (2017). Pancreatic cancer: Intra-</w:t>
      </w:r>
      <w:proofErr w:type="spellStart"/>
      <w:r w:rsidRPr="00360A96">
        <w:rPr>
          <w:rFonts w:ascii="Arial" w:hAnsi="Arial" w:cs="Arial"/>
          <w:sz w:val="20"/>
          <w:szCs w:val="20"/>
        </w:rPr>
        <w:t>tumour</w:t>
      </w:r>
      <w:proofErr w:type="spellEnd"/>
      <w:r w:rsidRPr="00360A96">
        <w:rPr>
          <w:rFonts w:ascii="Arial" w:hAnsi="Arial" w:cs="Arial"/>
          <w:sz w:val="20"/>
          <w:szCs w:val="20"/>
        </w:rPr>
        <w:t xml:space="preserve"> bacteria promote gemcitabine resistance in pancreatic adenocarcinoma. </w:t>
      </w:r>
      <w:r w:rsidRPr="00360A96">
        <w:rPr>
          <w:rFonts w:ascii="Arial" w:hAnsi="Arial" w:cs="Arial"/>
          <w:i/>
          <w:iCs/>
          <w:sz w:val="20"/>
          <w:szCs w:val="20"/>
        </w:rPr>
        <w:t>Nat Rev Gastroenterol Hepatol.</w:t>
      </w:r>
      <w:r w:rsidRPr="00360A96">
        <w:rPr>
          <w:rFonts w:ascii="Arial" w:hAnsi="Arial" w:cs="Arial"/>
          <w:sz w:val="20"/>
          <w:szCs w:val="20"/>
        </w:rPr>
        <w:t xml:space="preserve"> 14: 632.</w:t>
      </w:r>
      <w:r w:rsidR="008C260D" w:rsidRPr="00360A96">
        <w:rPr>
          <w:rFonts w:ascii="Arial" w:hAnsi="Arial" w:cs="Arial"/>
          <w:sz w:val="20"/>
          <w:szCs w:val="20"/>
        </w:rPr>
        <w:tab/>
      </w:r>
      <w:r w:rsidRPr="00360A96">
        <w:rPr>
          <w:rFonts w:ascii="Arial" w:hAnsi="Arial" w:cs="Arial"/>
          <w:sz w:val="20"/>
          <w:szCs w:val="20"/>
        </w:rPr>
        <w:t xml:space="preserve"> </w:t>
      </w:r>
      <w:r w:rsidRPr="00360A96">
        <w:rPr>
          <w:rStyle w:val="id-label"/>
          <w:rFonts w:ascii="Arial" w:hAnsi="Arial" w:cs="Arial"/>
          <w:color w:val="0070C0"/>
          <w:sz w:val="20"/>
          <w:szCs w:val="20"/>
        </w:rPr>
        <w:t>Doi: </w:t>
      </w:r>
      <w:hyperlink r:id="rId26" w:tgtFrame="_blank" w:history="1">
        <w:r w:rsidRPr="00360A96">
          <w:rPr>
            <w:rStyle w:val="Hyperlink"/>
            <w:rFonts w:ascii="Arial" w:hAnsi="Arial" w:cs="Arial"/>
            <w:color w:val="0071BC"/>
            <w:sz w:val="20"/>
            <w:szCs w:val="20"/>
            <w:u w:val="none"/>
          </w:rPr>
          <w:t>10.1038/nrgastro.2017.142</w:t>
        </w:r>
      </w:hyperlink>
    </w:p>
    <w:p w14:paraId="3FC9B047" w14:textId="77777777" w:rsidR="00E04B8F" w:rsidRPr="00360A96" w:rsidRDefault="00E04B8F" w:rsidP="002018D0">
      <w:pPr>
        <w:pStyle w:val="NormalWeb"/>
        <w:ind w:left="1134" w:right="283" w:hanging="567"/>
        <w:jc w:val="both"/>
        <w:rPr>
          <w:rFonts w:ascii="Arial" w:hAnsi="Arial" w:cs="Arial"/>
          <w:color w:val="111111"/>
          <w:sz w:val="20"/>
          <w:szCs w:val="20"/>
        </w:rPr>
      </w:pPr>
      <w:r w:rsidRPr="00360A96">
        <w:rPr>
          <w:rFonts w:ascii="Arial" w:hAnsi="Arial" w:cs="Arial"/>
          <w:color w:val="111111"/>
          <w:sz w:val="20"/>
          <w:szCs w:val="20"/>
        </w:rPr>
        <w:t xml:space="preserve">Ting KKY (2024). Fructose-induced metabolic reprogramming of cancer cells. </w:t>
      </w:r>
      <w:r w:rsidRPr="00360A96">
        <w:rPr>
          <w:rFonts w:ascii="Arial" w:hAnsi="Arial" w:cs="Arial"/>
          <w:i/>
          <w:color w:val="111111"/>
          <w:sz w:val="20"/>
          <w:szCs w:val="20"/>
        </w:rPr>
        <w:t>Front Immunol</w:t>
      </w:r>
      <w:r w:rsidRPr="00360A96">
        <w:rPr>
          <w:rFonts w:ascii="Arial" w:hAnsi="Arial" w:cs="Arial"/>
          <w:color w:val="111111"/>
          <w:sz w:val="20"/>
          <w:szCs w:val="20"/>
        </w:rPr>
        <w:t xml:space="preserve">. 15:1375461. </w:t>
      </w:r>
      <w:r w:rsidRPr="00360A96">
        <w:rPr>
          <w:rFonts w:ascii="Arial" w:hAnsi="Arial" w:cs="Arial"/>
          <w:color w:val="0070C0"/>
          <w:sz w:val="20"/>
          <w:szCs w:val="20"/>
        </w:rPr>
        <w:t>Doi: 10.3389/fimmu.2024.1375461</w:t>
      </w:r>
    </w:p>
    <w:p w14:paraId="377C7068" w14:textId="77777777" w:rsidR="00E04B8F" w:rsidRPr="00360A96" w:rsidRDefault="00E04B8F" w:rsidP="002018D0">
      <w:pPr>
        <w:pStyle w:val="ListParagraph"/>
        <w:spacing w:after="0" w:line="240" w:lineRule="auto"/>
        <w:ind w:left="1134" w:right="283" w:hanging="567"/>
        <w:jc w:val="both"/>
        <w:rPr>
          <w:rFonts w:ascii="Arial" w:hAnsi="Arial" w:cs="Arial"/>
          <w:bCs/>
          <w:color w:val="0070C0"/>
          <w:sz w:val="20"/>
          <w:szCs w:val="20"/>
        </w:rPr>
      </w:pPr>
      <w:r w:rsidRPr="00360A96">
        <w:rPr>
          <w:rFonts w:ascii="Arial" w:hAnsi="Arial" w:cs="Arial"/>
          <w:bCs/>
          <w:color w:val="000000" w:themeColor="text1"/>
          <w:sz w:val="20"/>
          <w:szCs w:val="20"/>
        </w:rPr>
        <w:t xml:space="preserve">Tran LC, Özdemir BC, Berger MD (2023). The role of immune checkpoint inhibitors in metastatic pancreatic cancer: Current state and outlook. </w:t>
      </w:r>
      <w:r w:rsidRPr="00360A96">
        <w:rPr>
          <w:rFonts w:ascii="Arial" w:hAnsi="Arial" w:cs="Arial"/>
          <w:bCs/>
          <w:i/>
          <w:iCs/>
          <w:color w:val="000000" w:themeColor="text1"/>
          <w:sz w:val="20"/>
          <w:szCs w:val="20"/>
        </w:rPr>
        <w:t>Pharmaceuticals</w:t>
      </w:r>
      <w:r w:rsidRPr="00360A96">
        <w:rPr>
          <w:rFonts w:ascii="Arial" w:hAnsi="Arial" w:cs="Arial"/>
          <w:bCs/>
          <w:color w:val="000000" w:themeColor="text1"/>
          <w:sz w:val="20"/>
          <w:szCs w:val="20"/>
        </w:rPr>
        <w:t xml:space="preserve">. 16:1411. </w:t>
      </w:r>
      <w:r w:rsidRPr="00360A96">
        <w:rPr>
          <w:rFonts w:ascii="Arial" w:hAnsi="Arial" w:cs="Arial"/>
          <w:bCs/>
          <w:color w:val="0070C0"/>
          <w:sz w:val="20"/>
          <w:szCs w:val="20"/>
        </w:rPr>
        <w:t>https://doi.org/10.3390/ph16101411.</w:t>
      </w:r>
    </w:p>
    <w:p w14:paraId="3BF10CBD" w14:textId="77777777" w:rsidR="008C260D" w:rsidRPr="00360A96" w:rsidRDefault="008C260D" w:rsidP="002018D0">
      <w:pPr>
        <w:pStyle w:val="NormalWeb"/>
        <w:spacing w:before="0" w:beforeAutospacing="0" w:after="0" w:afterAutospacing="0"/>
        <w:ind w:left="1134" w:right="283" w:hanging="567"/>
        <w:jc w:val="both"/>
        <w:rPr>
          <w:rFonts w:ascii="Arial" w:hAnsi="Arial" w:cs="Arial"/>
          <w:sz w:val="20"/>
          <w:szCs w:val="20"/>
        </w:rPr>
      </w:pPr>
    </w:p>
    <w:p w14:paraId="29828906"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rPr>
        <w:t xml:space="preserve">Vahabi M, Dehni B, Antomas I, Giovannetti E, Peters G (2023). Targeting miRNA and using miRNA as potential therapeutic options to bypass resistance in pancreatic ductal adenocarcinoma. </w:t>
      </w:r>
      <w:r w:rsidRPr="00360A96">
        <w:rPr>
          <w:rFonts w:ascii="Arial" w:hAnsi="Arial" w:cs="Arial"/>
          <w:i/>
          <w:iCs/>
          <w:sz w:val="20"/>
          <w:szCs w:val="20"/>
        </w:rPr>
        <w:t>Cancer Metastasis Rev.</w:t>
      </w:r>
      <w:r w:rsidRPr="00360A96">
        <w:rPr>
          <w:rFonts w:ascii="Arial" w:hAnsi="Arial" w:cs="Arial"/>
          <w:sz w:val="20"/>
          <w:szCs w:val="20"/>
        </w:rPr>
        <w:t xml:space="preserve"> 42:725-740. </w:t>
      </w:r>
      <w:hyperlink r:id="rId27" w:history="1">
        <w:r w:rsidRPr="00360A96">
          <w:rPr>
            <w:rStyle w:val="Hyperlink"/>
            <w:rFonts w:ascii="Arial" w:eastAsiaTheme="majorEastAsia" w:hAnsi="Arial" w:cs="Arial"/>
            <w:color w:val="0070C0"/>
            <w:sz w:val="20"/>
            <w:szCs w:val="20"/>
            <w:u w:val="none"/>
          </w:rPr>
          <w:t>https://doi.org/10.1007/s10555-023-10127-w</w:t>
        </w:r>
      </w:hyperlink>
    </w:p>
    <w:p w14:paraId="0FCF8745" w14:textId="77777777" w:rsidR="008C260D" w:rsidRPr="00360A96" w:rsidRDefault="008C260D" w:rsidP="002018D0">
      <w:pPr>
        <w:pStyle w:val="ListParagraph"/>
        <w:spacing w:after="0" w:line="240" w:lineRule="auto"/>
        <w:ind w:left="1134" w:right="283" w:hanging="567"/>
        <w:jc w:val="both"/>
        <w:rPr>
          <w:rFonts w:ascii="Arial" w:hAnsi="Arial" w:cs="Arial"/>
          <w:sz w:val="20"/>
          <w:szCs w:val="20"/>
        </w:rPr>
      </w:pPr>
    </w:p>
    <w:p w14:paraId="27851E9C"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Vrieze A, Van Nood E, Holleman F, </w:t>
      </w:r>
      <w:proofErr w:type="spellStart"/>
      <w:r w:rsidRPr="00360A96">
        <w:rPr>
          <w:rFonts w:ascii="Arial" w:hAnsi="Arial" w:cs="Arial"/>
          <w:sz w:val="20"/>
          <w:szCs w:val="20"/>
        </w:rPr>
        <w:t>Salojarvi</w:t>
      </w:r>
      <w:proofErr w:type="spellEnd"/>
      <w:r w:rsidRPr="00360A96">
        <w:rPr>
          <w:rFonts w:ascii="Arial" w:hAnsi="Arial" w:cs="Arial"/>
          <w:sz w:val="20"/>
          <w:szCs w:val="20"/>
        </w:rPr>
        <w:t xml:space="preserve"> J, </w:t>
      </w:r>
      <w:proofErr w:type="spellStart"/>
      <w:r w:rsidRPr="00360A96">
        <w:rPr>
          <w:rFonts w:ascii="Arial" w:hAnsi="Arial" w:cs="Arial"/>
          <w:sz w:val="20"/>
          <w:szCs w:val="20"/>
        </w:rPr>
        <w:t>Kootte</w:t>
      </w:r>
      <w:proofErr w:type="spellEnd"/>
      <w:r w:rsidRPr="00360A96">
        <w:rPr>
          <w:rFonts w:ascii="Arial" w:hAnsi="Arial" w:cs="Arial"/>
          <w:sz w:val="20"/>
          <w:szCs w:val="20"/>
        </w:rPr>
        <w:t xml:space="preserve"> RS, </w:t>
      </w:r>
      <w:proofErr w:type="spellStart"/>
      <w:r w:rsidRPr="00360A96">
        <w:rPr>
          <w:rFonts w:ascii="Arial" w:hAnsi="Arial" w:cs="Arial"/>
          <w:sz w:val="20"/>
          <w:szCs w:val="20"/>
        </w:rPr>
        <w:t>Bartelsman</w:t>
      </w:r>
      <w:proofErr w:type="spellEnd"/>
      <w:r w:rsidRPr="00360A96">
        <w:rPr>
          <w:rFonts w:ascii="Arial" w:hAnsi="Arial" w:cs="Arial"/>
          <w:sz w:val="20"/>
          <w:szCs w:val="20"/>
        </w:rPr>
        <w:t xml:space="preserve"> JFWM, et al. (2012). Transfer of intestinal microbiota from lean donors increases insulin sensitivity in individuals with metabolic syndrome. </w:t>
      </w:r>
      <w:r w:rsidRPr="00360A96">
        <w:rPr>
          <w:rFonts w:ascii="Arial" w:hAnsi="Arial" w:cs="Arial"/>
          <w:i/>
          <w:iCs/>
          <w:sz w:val="20"/>
          <w:szCs w:val="20"/>
        </w:rPr>
        <w:t>Gastroenterology.</w:t>
      </w:r>
      <w:r w:rsidRPr="00360A96">
        <w:rPr>
          <w:rFonts w:ascii="Arial" w:hAnsi="Arial" w:cs="Arial"/>
          <w:sz w:val="20"/>
          <w:szCs w:val="20"/>
        </w:rPr>
        <w:t xml:space="preserve"> 2143: 913-916.e7. </w:t>
      </w:r>
      <w:r w:rsidRPr="00360A96">
        <w:rPr>
          <w:rFonts w:ascii="Arial" w:hAnsi="Arial" w:cs="Arial"/>
          <w:color w:val="0070C0"/>
          <w:sz w:val="20"/>
          <w:szCs w:val="20"/>
        </w:rPr>
        <w:t>Doi: 10.1053/j.gastro.2012.06.031</w:t>
      </w:r>
    </w:p>
    <w:p w14:paraId="38F41785" w14:textId="77777777" w:rsidR="00E04B8F" w:rsidRPr="00360A96" w:rsidRDefault="00E04B8F" w:rsidP="002018D0">
      <w:pPr>
        <w:pStyle w:val="NormalWeb"/>
        <w:ind w:left="1134" w:right="283" w:hanging="567"/>
        <w:jc w:val="both"/>
        <w:rPr>
          <w:rStyle w:val="Hyperlink"/>
          <w:rFonts w:ascii="Arial" w:hAnsi="Arial" w:cs="Arial"/>
          <w:color w:val="auto"/>
          <w:sz w:val="20"/>
          <w:szCs w:val="20"/>
          <w:u w:val="none"/>
        </w:rPr>
      </w:pPr>
      <w:r w:rsidRPr="00360A96">
        <w:rPr>
          <w:rFonts w:ascii="Arial" w:hAnsi="Arial" w:cs="Arial"/>
          <w:color w:val="000000" w:themeColor="text1"/>
          <w:sz w:val="20"/>
          <w:szCs w:val="20"/>
        </w:rPr>
        <w:t xml:space="preserve">Wang j, Yang J, Narang A, He J, Wolfgang C, Li K, et al. (2024). Consensus, debate, and perspective on pancreatic cancer treatments. </w:t>
      </w:r>
      <w:r w:rsidRPr="00360A96">
        <w:rPr>
          <w:rFonts w:ascii="Arial" w:hAnsi="Arial" w:cs="Arial"/>
          <w:i/>
          <w:iCs/>
          <w:color w:val="000000" w:themeColor="text1"/>
          <w:sz w:val="20"/>
          <w:szCs w:val="20"/>
        </w:rPr>
        <w:t>J Hematol Oncol.</w:t>
      </w:r>
      <w:r w:rsidRPr="00360A96">
        <w:rPr>
          <w:rFonts w:ascii="Arial" w:hAnsi="Arial" w:cs="Arial"/>
          <w:color w:val="000000" w:themeColor="text1"/>
          <w:sz w:val="20"/>
          <w:szCs w:val="20"/>
        </w:rPr>
        <w:t xml:space="preserve"> 17:92. </w:t>
      </w:r>
      <w:hyperlink r:id="rId28" w:history="1">
        <w:r w:rsidRPr="00360A96">
          <w:rPr>
            <w:rStyle w:val="Hyperlink"/>
            <w:rFonts w:ascii="Arial" w:hAnsi="Arial" w:cs="Arial"/>
            <w:color w:val="0070C0"/>
            <w:sz w:val="20"/>
            <w:szCs w:val="20"/>
            <w:u w:val="none"/>
          </w:rPr>
          <w:t>https://doi.org/10.1186/s13045-024-01613-x</w:t>
        </w:r>
      </w:hyperlink>
    </w:p>
    <w:p w14:paraId="073722C9" w14:textId="77777777" w:rsidR="00E04B8F" w:rsidRPr="00360A96" w:rsidRDefault="00E04B8F" w:rsidP="002018D0">
      <w:pPr>
        <w:pStyle w:val="NormalWeb"/>
        <w:spacing w:before="0" w:beforeAutospacing="0" w:after="0" w:afterAutospacing="0"/>
        <w:ind w:left="1134" w:right="283" w:hanging="567"/>
        <w:jc w:val="both"/>
        <w:rPr>
          <w:rStyle w:val="Hyperlink"/>
          <w:rFonts w:ascii="Arial" w:eastAsiaTheme="majorEastAsia" w:hAnsi="Arial" w:cs="Arial"/>
          <w:color w:val="auto"/>
          <w:sz w:val="20"/>
          <w:szCs w:val="20"/>
        </w:rPr>
      </w:pPr>
      <w:r w:rsidRPr="00360A96">
        <w:rPr>
          <w:rFonts w:ascii="Arial" w:hAnsi="Arial" w:cs="Arial"/>
          <w:sz w:val="20"/>
          <w:szCs w:val="20"/>
        </w:rPr>
        <w:t xml:space="preserve">Wang P, Zhang L, Chen Z, Meng Z (2013). MicroRNA targets autophagy in pancreatic cancer cells during cancer therapy. </w:t>
      </w:r>
      <w:r w:rsidRPr="00360A96">
        <w:rPr>
          <w:rFonts w:ascii="Arial" w:hAnsi="Arial" w:cs="Arial"/>
          <w:i/>
          <w:iCs/>
          <w:sz w:val="20"/>
          <w:szCs w:val="20"/>
        </w:rPr>
        <w:t>Authophagy.</w:t>
      </w:r>
      <w:r w:rsidRPr="00360A96">
        <w:rPr>
          <w:rFonts w:ascii="Arial" w:hAnsi="Arial" w:cs="Arial"/>
          <w:sz w:val="20"/>
          <w:szCs w:val="20"/>
        </w:rPr>
        <w:t xml:space="preserve"> 9(12):2171-2172.</w:t>
      </w:r>
      <w:r w:rsidRPr="00360A96">
        <w:rPr>
          <w:rFonts w:ascii="Arial" w:hAnsi="Arial" w:cs="Arial"/>
          <w:sz w:val="20"/>
          <w:szCs w:val="20"/>
        </w:rPr>
        <w:tab/>
        <w:t xml:space="preserve"> </w:t>
      </w:r>
      <w:hyperlink r:id="rId29" w:history="1">
        <w:r w:rsidRPr="00360A96">
          <w:rPr>
            <w:rStyle w:val="Hyperlink"/>
            <w:rFonts w:ascii="Arial" w:eastAsiaTheme="majorEastAsia" w:hAnsi="Arial" w:cs="Arial"/>
            <w:color w:val="0070C0"/>
            <w:sz w:val="20"/>
            <w:szCs w:val="20"/>
            <w:u w:val="none"/>
          </w:rPr>
          <w:t>https://doi.org/10.4161/auto.26463</w:t>
        </w:r>
      </w:hyperlink>
    </w:p>
    <w:p w14:paraId="693E27D9" w14:textId="77777777" w:rsidR="00E04B8F" w:rsidRPr="00360A96" w:rsidRDefault="00E04B8F" w:rsidP="002018D0">
      <w:pPr>
        <w:pStyle w:val="NormalWeb"/>
        <w:ind w:left="1134" w:right="283" w:hanging="567"/>
        <w:jc w:val="both"/>
        <w:rPr>
          <w:rFonts w:ascii="Arial" w:hAnsi="Arial" w:cs="Arial"/>
          <w:sz w:val="20"/>
          <w:szCs w:val="20"/>
        </w:rPr>
      </w:pPr>
      <w:r w:rsidRPr="00360A96">
        <w:rPr>
          <w:rFonts w:ascii="Arial" w:hAnsi="Arial" w:cs="Arial"/>
          <w:color w:val="212121"/>
          <w:sz w:val="20"/>
          <w:szCs w:val="20"/>
          <w:shd w:val="clear" w:color="auto" w:fill="FFFFFF"/>
        </w:rPr>
        <w:t xml:space="preserve">Wei K, Hackert T. (2021). Surgical Treatment of Pancreatic Ductal Adenocarcinoma. </w:t>
      </w:r>
      <w:r w:rsidRPr="00360A96">
        <w:rPr>
          <w:rFonts w:ascii="Arial" w:hAnsi="Arial" w:cs="Arial"/>
          <w:i/>
          <w:iCs/>
          <w:color w:val="212121"/>
          <w:sz w:val="20"/>
          <w:szCs w:val="20"/>
          <w:shd w:val="clear" w:color="auto" w:fill="FFFFFF"/>
        </w:rPr>
        <w:t>Cancers</w:t>
      </w:r>
      <w:r w:rsidRPr="00360A96">
        <w:rPr>
          <w:rFonts w:ascii="Arial" w:hAnsi="Arial" w:cs="Arial"/>
          <w:color w:val="212121"/>
          <w:sz w:val="20"/>
          <w:szCs w:val="20"/>
          <w:shd w:val="clear" w:color="auto" w:fill="FFFFFF"/>
        </w:rPr>
        <w:t xml:space="preserve"> </w:t>
      </w:r>
      <w:r w:rsidRPr="00360A96">
        <w:rPr>
          <w:rFonts w:ascii="Arial" w:hAnsi="Arial" w:cs="Arial"/>
          <w:i/>
          <w:iCs/>
          <w:color w:val="212121"/>
          <w:sz w:val="20"/>
          <w:szCs w:val="20"/>
          <w:shd w:val="clear" w:color="auto" w:fill="FFFFFF"/>
        </w:rPr>
        <w:t>(Basel)</w:t>
      </w:r>
      <w:r w:rsidRPr="00360A96">
        <w:rPr>
          <w:rFonts w:ascii="Arial" w:hAnsi="Arial" w:cs="Arial"/>
          <w:color w:val="212121"/>
          <w:sz w:val="20"/>
          <w:szCs w:val="20"/>
          <w:shd w:val="clear" w:color="auto" w:fill="FFFFFF"/>
        </w:rPr>
        <w:t xml:space="preserve">. 13(8):1971. </w:t>
      </w:r>
      <w:r w:rsidRPr="00360A96">
        <w:rPr>
          <w:rFonts w:ascii="Arial" w:hAnsi="Arial" w:cs="Arial"/>
          <w:color w:val="0070C0"/>
          <w:sz w:val="20"/>
          <w:szCs w:val="20"/>
          <w:shd w:val="clear" w:color="auto" w:fill="FFFFFF"/>
        </w:rPr>
        <w:t>Doi: 10.3390/cancers13081971.</w:t>
      </w:r>
    </w:p>
    <w:p w14:paraId="108B9DD4" w14:textId="77777777" w:rsidR="00E04B8F" w:rsidRPr="00360A96" w:rsidRDefault="00E04B8F" w:rsidP="002018D0">
      <w:pPr>
        <w:pStyle w:val="ListParagraph"/>
        <w:spacing w:after="0" w:line="240" w:lineRule="auto"/>
        <w:ind w:left="1134" w:right="283" w:hanging="567"/>
        <w:jc w:val="both"/>
        <w:rPr>
          <w:rFonts w:ascii="Arial" w:hAnsi="Arial" w:cs="Arial"/>
          <w:bCs/>
          <w:color w:val="0070C0"/>
          <w:sz w:val="20"/>
          <w:szCs w:val="20"/>
        </w:rPr>
      </w:pPr>
      <w:proofErr w:type="spellStart"/>
      <w:r w:rsidRPr="00360A96">
        <w:rPr>
          <w:rFonts w:ascii="Arial" w:hAnsi="Arial" w:cs="Arial"/>
          <w:bCs/>
          <w:color w:val="000000" w:themeColor="text1"/>
          <w:sz w:val="20"/>
          <w:szCs w:val="20"/>
        </w:rPr>
        <w:t>Wojtukieicz</w:t>
      </w:r>
      <w:proofErr w:type="spellEnd"/>
      <w:r w:rsidRPr="00360A96">
        <w:rPr>
          <w:rFonts w:ascii="Arial" w:hAnsi="Arial" w:cs="Arial"/>
          <w:bCs/>
          <w:color w:val="000000" w:themeColor="text1"/>
          <w:sz w:val="20"/>
          <w:szCs w:val="20"/>
        </w:rPr>
        <w:t xml:space="preserve"> MZ, </w:t>
      </w:r>
      <w:proofErr w:type="spellStart"/>
      <w:r w:rsidRPr="00360A96">
        <w:rPr>
          <w:rFonts w:ascii="Arial" w:hAnsi="Arial" w:cs="Arial"/>
          <w:bCs/>
          <w:color w:val="000000" w:themeColor="text1"/>
          <w:sz w:val="20"/>
          <w:szCs w:val="20"/>
        </w:rPr>
        <w:t>Rek</w:t>
      </w:r>
      <w:proofErr w:type="spellEnd"/>
      <w:r w:rsidRPr="00360A96">
        <w:rPr>
          <w:rFonts w:ascii="Arial" w:hAnsi="Arial" w:cs="Arial"/>
          <w:bCs/>
          <w:color w:val="000000" w:themeColor="text1"/>
          <w:sz w:val="20"/>
          <w:szCs w:val="20"/>
        </w:rPr>
        <w:t xml:space="preserve"> MM, </w:t>
      </w:r>
      <w:proofErr w:type="spellStart"/>
      <w:r w:rsidRPr="00360A96">
        <w:rPr>
          <w:rFonts w:ascii="Arial" w:hAnsi="Arial" w:cs="Arial"/>
          <w:bCs/>
          <w:color w:val="000000" w:themeColor="text1"/>
          <w:sz w:val="20"/>
          <w:szCs w:val="20"/>
        </w:rPr>
        <w:t>Karpowicz</w:t>
      </w:r>
      <w:proofErr w:type="spellEnd"/>
      <w:r w:rsidRPr="00360A96">
        <w:rPr>
          <w:rFonts w:ascii="Arial" w:hAnsi="Arial" w:cs="Arial"/>
          <w:bCs/>
          <w:color w:val="000000" w:themeColor="text1"/>
          <w:sz w:val="20"/>
          <w:szCs w:val="20"/>
        </w:rPr>
        <w:t xml:space="preserve">, </w:t>
      </w:r>
      <w:proofErr w:type="spellStart"/>
      <w:r w:rsidRPr="00360A96">
        <w:rPr>
          <w:rFonts w:ascii="Arial" w:hAnsi="Arial" w:cs="Arial"/>
          <w:bCs/>
          <w:color w:val="000000" w:themeColor="text1"/>
          <w:sz w:val="20"/>
          <w:szCs w:val="20"/>
        </w:rPr>
        <w:t>Gorska</w:t>
      </w:r>
      <w:proofErr w:type="spellEnd"/>
      <w:r w:rsidRPr="00360A96">
        <w:rPr>
          <w:rFonts w:ascii="Arial" w:hAnsi="Arial" w:cs="Arial"/>
          <w:bCs/>
          <w:color w:val="000000" w:themeColor="text1"/>
          <w:sz w:val="20"/>
          <w:szCs w:val="20"/>
        </w:rPr>
        <w:t xml:space="preserve"> M, </w:t>
      </w:r>
      <w:proofErr w:type="spellStart"/>
      <w:r w:rsidRPr="00360A96">
        <w:rPr>
          <w:rFonts w:ascii="Arial" w:hAnsi="Arial" w:cs="Arial"/>
          <w:bCs/>
          <w:color w:val="000000" w:themeColor="text1"/>
          <w:sz w:val="20"/>
          <w:szCs w:val="20"/>
        </w:rPr>
        <w:t>Politynska</w:t>
      </w:r>
      <w:proofErr w:type="spellEnd"/>
      <w:r w:rsidRPr="00360A96">
        <w:rPr>
          <w:rFonts w:ascii="Arial" w:hAnsi="Arial" w:cs="Arial"/>
          <w:bCs/>
          <w:color w:val="000000" w:themeColor="text1"/>
          <w:sz w:val="20"/>
          <w:szCs w:val="20"/>
        </w:rPr>
        <w:t xml:space="preserve"> B, </w:t>
      </w:r>
      <w:proofErr w:type="spellStart"/>
      <w:r w:rsidRPr="00360A96">
        <w:rPr>
          <w:rFonts w:ascii="Arial" w:hAnsi="Arial" w:cs="Arial"/>
          <w:bCs/>
          <w:color w:val="000000" w:themeColor="text1"/>
          <w:sz w:val="20"/>
          <w:szCs w:val="20"/>
        </w:rPr>
        <w:t>Wojtukiewicz</w:t>
      </w:r>
      <w:proofErr w:type="spellEnd"/>
      <w:r w:rsidRPr="00360A96">
        <w:rPr>
          <w:rFonts w:ascii="Arial" w:hAnsi="Arial" w:cs="Arial"/>
          <w:bCs/>
          <w:color w:val="000000" w:themeColor="text1"/>
          <w:sz w:val="20"/>
          <w:szCs w:val="20"/>
        </w:rPr>
        <w:t xml:space="preserve"> AM, et al. (2021). Inhibitors of immuncheckpoints-PD-1, PD-L1, CTLA-4-new opportunities for cancer patients and a new challenge for </w:t>
      </w:r>
      <w:proofErr w:type="spellStart"/>
      <w:r w:rsidRPr="00360A96">
        <w:rPr>
          <w:rFonts w:ascii="Arial" w:hAnsi="Arial" w:cs="Arial"/>
          <w:bCs/>
          <w:color w:val="000000" w:themeColor="text1"/>
          <w:sz w:val="20"/>
          <w:szCs w:val="20"/>
        </w:rPr>
        <w:t>internits</w:t>
      </w:r>
      <w:proofErr w:type="spellEnd"/>
      <w:r w:rsidRPr="00360A96">
        <w:rPr>
          <w:rFonts w:ascii="Arial" w:hAnsi="Arial" w:cs="Arial"/>
          <w:bCs/>
          <w:color w:val="000000" w:themeColor="text1"/>
          <w:sz w:val="20"/>
          <w:szCs w:val="20"/>
        </w:rPr>
        <w:t xml:space="preserve"> and general practitioners. </w:t>
      </w:r>
      <w:r w:rsidRPr="00360A96">
        <w:rPr>
          <w:rFonts w:ascii="Arial" w:hAnsi="Arial" w:cs="Arial"/>
          <w:bCs/>
          <w:i/>
          <w:iCs/>
          <w:color w:val="000000" w:themeColor="text1"/>
          <w:sz w:val="20"/>
          <w:szCs w:val="20"/>
        </w:rPr>
        <w:t>Cancer Metastasis Rev.</w:t>
      </w:r>
      <w:r w:rsidRPr="00360A96">
        <w:rPr>
          <w:rFonts w:ascii="Arial" w:hAnsi="Arial" w:cs="Arial"/>
          <w:bCs/>
          <w:color w:val="000000" w:themeColor="text1"/>
          <w:sz w:val="20"/>
          <w:szCs w:val="20"/>
        </w:rPr>
        <w:t xml:space="preserve"> 40:949-982. </w:t>
      </w:r>
      <w:r w:rsidRPr="00360A96">
        <w:rPr>
          <w:rFonts w:ascii="Arial" w:hAnsi="Arial" w:cs="Arial"/>
          <w:bCs/>
          <w:color w:val="0070C0"/>
          <w:sz w:val="20"/>
          <w:szCs w:val="20"/>
        </w:rPr>
        <w:t xml:space="preserve">https://doi.org/10.1007/s10555-021-09976-0 </w:t>
      </w:r>
    </w:p>
    <w:p w14:paraId="57329A5E" w14:textId="77777777" w:rsidR="00205831" w:rsidRPr="00360A96" w:rsidRDefault="00205831"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1C1D1E"/>
          <w:sz w:val="20"/>
          <w:szCs w:val="20"/>
          <w:shd w:val="clear" w:color="auto" w:fill="FFFFFF"/>
        </w:rPr>
        <w:t xml:space="preserve">Wu P, Chen K, He J. </w:t>
      </w:r>
      <w:r w:rsidRPr="00360A96">
        <w:rPr>
          <w:rFonts w:ascii="Arial" w:hAnsi="Arial" w:cs="Arial"/>
          <w:color w:val="1C1D1E"/>
          <w:sz w:val="20"/>
          <w:szCs w:val="20"/>
          <w:shd w:val="clear" w:color="auto" w:fill="FFFFFF"/>
          <w:lang w:val="tr-TR"/>
        </w:rPr>
        <w:t xml:space="preserve">(2025). </w:t>
      </w:r>
      <w:r w:rsidRPr="00360A96">
        <w:rPr>
          <w:rFonts w:ascii="Arial" w:hAnsi="Arial" w:cs="Arial"/>
          <w:color w:val="1C1D1E"/>
          <w:sz w:val="20"/>
          <w:szCs w:val="20"/>
          <w:shd w:val="clear" w:color="auto" w:fill="FFFFFF"/>
        </w:rPr>
        <w:t xml:space="preserve">Palliative management for malignant biliary obstruction and gastric outlet obstruction from pancreatic cancer. </w:t>
      </w:r>
      <w:r w:rsidRPr="00360A96">
        <w:rPr>
          <w:rFonts w:ascii="Arial" w:hAnsi="Arial" w:cs="Arial"/>
          <w:i/>
          <w:iCs/>
          <w:color w:val="1C1D1E"/>
          <w:sz w:val="20"/>
          <w:szCs w:val="20"/>
          <w:shd w:val="clear" w:color="auto" w:fill="FFFFFF"/>
        </w:rPr>
        <w:t>Ann Gastroenterol Surg.</w:t>
      </w:r>
      <w:r w:rsidRPr="00360A96">
        <w:rPr>
          <w:rFonts w:ascii="Arial" w:hAnsi="Arial" w:cs="Arial"/>
          <w:color w:val="1C1D1E"/>
          <w:sz w:val="20"/>
          <w:szCs w:val="20"/>
          <w:shd w:val="clear" w:color="auto" w:fill="FFFFFF"/>
        </w:rPr>
        <w:t xml:space="preserve"> 9:218–225. </w:t>
      </w:r>
      <w:hyperlink r:id="rId30" w:history="1">
        <w:r w:rsidRPr="00360A96">
          <w:rPr>
            <w:rStyle w:val="Hyperlink"/>
            <w:rFonts w:ascii="Arial" w:hAnsi="Arial" w:cs="Arial"/>
            <w:color w:val="0070C0"/>
            <w:sz w:val="20"/>
            <w:szCs w:val="20"/>
            <w:u w:val="none"/>
            <w:shd w:val="clear" w:color="auto" w:fill="FFFFFF"/>
          </w:rPr>
          <w:t>https://doi.org/10.1002/ags3.12902</w:t>
        </w:r>
      </w:hyperlink>
    </w:p>
    <w:p w14:paraId="4B58E582" w14:textId="77777777" w:rsidR="00E04B8F" w:rsidRPr="00360A96" w:rsidRDefault="00E04B8F"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000000" w:themeColor="text1"/>
          <w:sz w:val="20"/>
          <w:szCs w:val="20"/>
        </w:rPr>
        <w:t xml:space="preserve">Xu M, Jung X, Hines OJ, Eibl G, Chen Y (2018). Obesity and pancreatic cancer: Overview of epidemiology and potential prevention by weight loss. </w:t>
      </w:r>
      <w:r w:rsidRPr="00360A96">
        <w:rPr>
          <w:rFonts w:ascii="Arial" w:hAnsi="Arial" w:cs="Arial"/>
          <w:i/>
          <w:iCs/>
          <w:color w:val="000000" w:themeColor="text1"/>
          <w:sz w:val="20"/>
          <w:szCs w:val="20"/>
        </w:rPr>
        <w:t>Pancreas.</w:t>
      </w:r>
      <w:r w:rsidRPr="00360A96">
        <w:rPr>
          <w:rFonts w:ascii="Arial" w:hAnsi="Arial" w:cs="Arial"/>
          <w:color w:val="000000" w:themeColor="text1"/>
          <w:sz w:val="20"/>
          <w:szCs w:val="20"/>
        </w:rPr>
        <w:t xml:space="preserve"> 47(2):158-162. </w:t>
      </w:r>
      <w:r w:rsidRPr="00360A96">
        <w:rPr>
          <w:rFonts w:ascii="Arial" w:hAnsi="Arial" w:cs="Arial"/>
          <w:color w:val="0070C0"/>
          <w:sz w:val="20"/>
          <w:szCs w:val="20"/>
        </w:rPr>
        <w:t>Doi: 10.1097/MPA.000000000000000974</w:t>
      </w:r>
    </w:p>
    <w:p w14:paraId="2C699281"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Yamamura R, </w:t>
      </w:r>
      <w:proofErr w:type="spellStart"/>
      <w:r w:rsidRPr="00360A96">
        <w:rPr>
          <w:rFonts w:ascii="Arial" w:hAnsi="Arial" w:cs="Arial"/>
          <w:sz w:val="20"/>
          <w:szCs w:val="20"/>
        </w:rPr>
        <w:t>Sonoshita</w:t>
      </w:r>
      <w:proofErr w:type="spellEnd"/>
      <w:r w:rsidRPr="00360A96">
        <w:rPr>
          <w:rFonts w:ascii="Arial" w:hAnsi="Arial" w:cs="Arial"/>
          <w:sz w:val="20"/>
          <w:szCs w:val="20"/>
        </w:rPr>
        <w:t xml:space="preserve"> M. (2025). Fecal microbiota transplantation as a novel therapeutic strategy for pancreatic cancer. </w:t>
      </w:r>
      <w:proofErr w:type="spellStart"/>
      <w:r w:rsidRPr="00360A96">
        <w:rPr>
          <w:rFonts w:ascii="Arial" w:hAnsi="Arial" w:cs="Arial"/>
          <w:i/>
          <w:iCs/>
          <w:sz w:val="20"/>
          <w:szCs w:val="20"/>
        </w:rPr>
        <w:t>Transl</w:t>
      </w:r>
      <w:proofErr w:type="spellEnd"/>
      <w:r w:rsidRPr="00360A96">
        <w:rPr>
          <w:rFonts w:ascii="Arial" w:hAnsi="Arial" w:cs="Arial"/>
          <w:i/>
          <w:iCs/>
          <w:sz w:val="20"/>
          <w:szCs w:val="20"/>
        </w:rPr>
        <w:t xml:space="preserve"> Reg Sci.</w:t>
      </w:r>
      <w:r w:rsidRPr="00360A96">
        <w:rPr>
          <w:rFonts w:ascii="Arial" w:hAnsi="Arial" w:cs="Arial"/>
          <w:sz w:val="20"/>
          <w:szCs w:val="20"/>
        </w:rPr>
        <w:t xml:space="preserve"> 7(1):37-45.</w:t>
      </w:r>
      <w:r w:rsidR="008C260D" w:rsidRPr="00360A96">
        <w:rPr>
          <w:rFonts w:ascii="Arial" w:hAnsi="Arial" w:cs="Arial"/>
          <w:sz w:val="20"/>
          <w:szCs w:val="20"/>
        </w:rPr>
        <w:t xml:space="preserve"> </w:t>
      </w:r>
      <w:r w:rsidRPr="00360A96">
        <w:rPr>
          <w:rFonts w:ascii="Arial" w:hAnsi="Arial" w:cs="Arial"/>
          <w:color w:val="0070C0"/>
          <w:sz w:val="20"/>
          <w:szCs w:val="20"/>
        </w:rPr>
        <w:t xml:space="preserve">Doi: 10.33611/trs.2025-003 </w:t>
      </w:r>
    </w:p>
    <w:p w14:paraId="69263661" w14:textId="77777777" w:rsidR="008C260D" w:rsidRPr="00360A96" w:rsidRDefault="008C260D" w:rsidP="002018D0">
      <w:pPr>
        <w:pStyle w:val="ListParagraph"/>
        <w:spacing w:after="0" w:line="240" w:lineRule="auto"/>
        <w:ind w:left="1134" w:right="283" w:hanging="567"/>
        <w:jc w:val="both"/>
        <w:rPr>
          <w:rFonts w:ascii="Arial" w:hAnsi="Arial" w:cs="Arial"/>
          <w:bCs/>
          <w:color w:val="000000" w:themeColor="text1"/>
          <w:sz w:val="20"/>
          <w:szCs w:val="20"/>
        </w:rPr>
      </w:pPr>
    </w:p>
    <w:p w14:paraId="7A010711"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bCs/>
          <w:color w:val="000000" w:themeColor="text1"/>
          <w:sz w:val="20"/>
          <w:szCs w:val="20"/>
        </w:rPr>
        <w:t xml:space="preserve">Ye X, Yu Y, Zheng X, Ma H (2024). Clinical immunotherapy in pancreatic cancer. </w:t>
      </w:r>
      <w:r w:rsidRPr="00360A96">
        <w:rPr>
          <w:rFonts w:ascii="Arial" w:hAnsi="Arial" w:cs="Arial"/>
          <w:bCs/>
          <w:i/>
          <w:iCs/>
          <w:color w:val="000000" w:themeColor="text1"/>
          <w:sz w:val="20"/>
          <w:szCs w:val="20"/>
        </w:rPr>
        <w:t xml:space="preserve">Cancer </w:t>
      </w:r>
      <w:proofErr w:type="spellStart"/>
      <w:r w:rsidRPr="00360A96">
        <w:rPr>
          <w:rFonts w:ascii="Arial" w:hAnsi="Arial" w:cs="Arial"/>
          <w:bCs/>
          <w:i/>
          <w:iCs/>
          <w:color w:val="000000" w:themeColor="text1"/>
          <w:sz w:val="20"/>
          <w:szCs w:val="20"/>
        </w:rPr>
        <w:t>Immunolgy</w:t>
      </w:r>
      <w:proofErr w:type="spellEnd"/>
      <w:r w:rsidRPr="00360A96">
        <w:rPr>
          <w:rFonts w:ascii="Arial" w:hAnsi="Arial" w:cs="Arial"/>
          <w:bCs/>
          <w:i/>
          <w:iCs/>
          <w:color w:val="000000" w:themeColor="text1"/>
          <w:sz w:val="20"/>
          <w:szCs w:val="20"/>
        </w:rPr>
        <w:t xml:space="preserve"> Immunotherapy.</w:t>
      </w:r>
      <w:r w:rsidRPr="00360A96">
        <w:rPr>
          <w:rFonts w:ascii="Arial" w:hAnsi="Arial" w:cs="Arial"/>
          <w:bCs/>
          <w:color w:val="000000" w:themeColor="text1"/>
          <w:sz w:val="20"/>
          <w:szCs w:val="20"/>
        </w:rPr>
        <w:t xml:space="preserve"> 73:64. </w:t>
      </w:r>
      <w:hyperlink r:id="rId31" w:history="1">
        <w:r w:rsidRPr="00360A96">
          <w:rPr>
            <w:rStyle w:val="Hyperlink"/>
            <w:rFonts w:ascii="Arial" w:hAnsi="Arial" w:cs="Arial"/>
            <w:color w:val="0070C0"/>
            <w:sz w:val="20"/>
            <w:szCs w:val="20"/>
            <w:u w:val="none"/>
          </w:rPr>
          <w:t>https://doi.org/10.1007/s00262-024-03632-6</w:t>
        </w:r>
      </w:hyperlink>
      <w:r w:rsidRPr="00360A96">
        <w:rPr>
          <w:rFonts w:ascii="Arial" w:hAnsi="Arial" w:cs="Arial"/>
          <w:bCs/>
          <w:color w:val="0070C0"/>
          <w:sz w:val="20"/>
          <w:szCs w:val="20"/>
        </w:rPr>
        <w:t xml:space="preserve"> </w:t>
      </w:r>
    </w:p>
    <w:p w14:paraId="14792398" w14:textId="77777777" w:rsidR="008C260D" w:rsidRPr="00360A96" w:rsidRDefault="008C260D" w:rsidP="002018D0">
      <w:pPr>
        <w:pStyle w:val="ListParagraph"/>
        <w:spacing w:after="0" w:line="240" w:lineRule="auto"/>
        <w:ind w:left="1134" w:right="283" w:hanging="567"/>
        <w:jc w:val="both"/>
        <w:rPr>
          <w:rFonts w:ascii="Arial" w:hAnsi="Arial" w:cs="Arial"/>
          <w:color w:val="1B1B1B"/>
          <w:sz w:val="20"/>
          <w:szCs w:val="20"/>
          <w:shd w:val="clear" w:color="auto" w:fill="FFFFFF"/>
        </w:rPr>
      </w:pPr>
    </w:p>
    <w:p w14:paraId="065740FC" w14:textId="77777777" w:rsidR="002015AE" w:rsidRPr="00360A96" w:rsidRDefault="002015AE"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color w:val="1B1B1B"/>
          <w:sz w:val="20"/>
          <w:szCs w:val="20"/>
          <w:shd w:val="clear" w:color="auto" w:fill="FFFFFF"/>
        </w:rPr>
        <w:t xml:space="preserve">Yu G, Gong J. (2025). Targeting CSC-immune cell crosstalk to overcome chemoresistance and enhance immunotherapy efficacy. </w:t>
      </w:r>
      <w:r w:rsidRPr="00360A96">
        <w:rPr>
          <w:rFonts w:ascii="Arial" w:hAnsi="Arial" w:cs="Arial"/>
          <w:i/>
          <w:iCs/>
          <w:color w:val="1B1B1B"/>
          <w:sz w:val="20"/>
          <w:szCs w:val="20"/>
          <w:shd w:val="clear" w:color="auto" w:fill="FFFFFF"/>
        </w:rPr>
        <w:t>Front Immunol.</w:t>
      </w:r>
      <w:r w:rsidRPr="00360A96">
        <w:rPr>
          <w:rFonts w:ascii="Arial" w:hAnsi="Arial" w:cs="Arial"/>
          <w:color w:val="1B1B1B"/>
          <w:sz w:val="20"/>
          <w:szCs w:val="20"/>
          <w:shd w:val="clear" w:color="auto" w:fill="FFFFFF"/>
        </w:rPr>
        <w:t xml:space="preserve"> 16:1620807.</w:t>
      </w:r>
      <w:r w:rsidR="008C260D" w:rsidRPr="00360A96">
        <w:rPr>
          <w:rFonts w:ascii="Arial" w:hAnsi="Arial" w:cs="Arial"/>
          <w:color w:val="1B1B1B"/>
          <w:sz w:val="20"/>
          <w:szCs w:val="20"/>
          <w:shd w:val="clear" w:color="auto" w:fill="FFFFFF"/>
        </w:rPr>
        <w:tab/>
      </w:r>
      <w:r w:rsidRPr="00360A96">
        <w:rPr>
          <w:rFonts w:ascii="Arial" w:hAnsi="Arial" w:cs="Arial"/>
          <w:color w:val="1B1B1B"/>
          <w:sz w:val="20"/>
          <w:szCs w:val="20"/>
          <w:shd w:val="clear" w:color="auto" w:fill="FFFFFF"/>
        </w:rPr>
        <w:t xml:space="preserve"> </w:t>
      </w:r>
      <w:r w:rsidR="008C260D" w:rsidRPr="00360A96">
        <w:rPr>
          <w:rFonts w:ascii="Arial" w:hAnsi="Arial" w:cs="Arial"/>
          <w:color w:val="1B1B1B"/>
          <w:sz w:val="20"/>
          <w:szCs w:val="20"/>
          <w:shd w:val="clear" w:color="auto" w:fill="FFFFFF"/>
        </w:rPr>
        <w:t xml:space="preserve">                                                         </w:t>
      </w:r>
      <w:r w:rsidRPr="00360A96">
        <w:rPr>
          <w:rFonts w:ascii="Arial" w:hAnsi="Arial" w:cs="Arial"/>
          <w:color w:val="0070C0"/>
          <w:sz w:val="20"/>
          <w:szCs w:val="20"/>
          <w:shd w:val="clear" w:color="auto" w:fill="FFFFFF"/>
        </w:rPr>
        <w:t>Doi: 10.3389/fimmu.2025.1620807</w:t>
      </w:r>
    </w:p>
    <w:p w14:paraId="5C64B0F4" w14:textId="77777777" w:rsidR="00915446" w:rsidRPr="00360A96" w:rsidRDefault="00915446" w:rsidP="002018D0">
      <w:pPr>
        <w:pStyle w:val="ListParagraph"/>
        <w:spacing w:after="0" w:line="240" w:lineRule="auto"/>
        <w:ind w:left="1134" w:right="283" w:hanging="567"/>
        <w:jc w:val="both"/>
        <w:rPr>
          <w:rFonts w:ascii="Arial" w:hAnsi="Arial" w:cs="Arial"/>
          <w:color w:val="212121"/>
          <w:sz w:val="20"/>
          <w:szCs w:val="20"/>
          <w:shd w:val="clear" w:color="auto" w:fill="FFFFFF"/>
        </w:rPr>
      </w:pPr>
    </w:p>
    <w:p w14:paraId="1DE55D54" w14:textId="77777777" w:rsidR="00A21DEF" w:rsidRPr="00360A96" w:rsidRDefault="00A21DE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color w:val="212121"/>
          <w:sz w:val="20"/>
          <w:szCs w:val="20"/>
          <w:shd w:val="clear" w:color="auto" w:fill="FFFFFF"/>
        </w:rPr>
        <w:t xml:space="preserve">Zeng L, Qian Y, Cui X, Zhao J, Ning Z, Cha J, et al. (2025). Immunomodulatory role of gut microbial metabolites: mechanistic insights and therapeutic frontiers. </w:t>
      </w:r>
      <w:r w:rsidRPr="00360A96">
        <w:rPr>
          <w:rFonts w:ascii="Arial" w:hAnsi="Arial" w:cs="Arial"/>
          <w:i/>
          <w:iCs/>
          <w:color w:val="212121"/>
          <w:sz w:val="20"/>
          <w:szCs w:val="20"/>
          <w:shd w:val="clear" w:color="auto" w:fill="FFFFFF"/>
        </w:rPr>
        <w:t xml:space="preserve">Front Microbiol. </w:t>
      </w:r>
      <w:r w:rsidRPr="00360A96">
        <w:rPr>
          <w:rFonts w:ascii="Arial" w:hAnsi="Arial" w:cs="Arial"/>
          <w:color w:val="212121"/>
          <w:sz w:val="20"/>
          <w:szCs w:val="20"/>
          <w:shd w:val="clear" w:color="auto" w:fill="FFFFFF"/>
        </w:rPr>
        <w:t xml:space="preserve">16:1675065. </w:t>
      </w:r>
      <w:r w:rsidRPr="00360A96">
        <w:rPr>
          <w:rFonts w:ascii="Arial" w:hAnsi="Arial" w:cs="Arial"/>
          <w:color w:val="0070C0"/>
          <w:sz w:val="20"/>
          <w:szCs w:val="20"/>
          <w:shd w:val="clear" w:color="auto" w:fill="FFFFFF"/>
        </w:rPr>
        <w:t>Doi: 10.3389/fmicb.2025.1675065</w:t>
      </w:r>
    </w:p>
    <w:p w14:paraId="033A2D72" w14:textId="77777777" w:rsidR="00915446" w:rsidRPr="00360A96" w:rsidRDefault="00915446" w:rsidP="002018D0">
      <w:pPr>
        <w:pStyle w:val="ListParagraph"/>
        <w:spacing w:after="0" w:line="240" w:lineRule="auto"/>
        <w:ind w:left="1134" w:right="283" w:hanging="567"/>
        <w:jc w:val="both"/>
        <w:rPr>
          <w:rFonts w:ascii="Arial" w:hAnsi="Arial" w:cs="Arial"/>
          <w:sz w:val="20"/>
          <w:szCs w:val="20"/>
        </w:rPr>
      </w:pPr>
    </w:p>
    <w:p w14:paraId="69EE1E4A" w14:textId="77777777" w:rsidR="00E04B8F" w:rsidRPr="00360A96" w:rsidRDefault="00E04B8F" w:rsidP="002018D0">
      <w:pPr>
        <w:pStyle w:val="ListParagraph"/>
        <w:spacing w:after="0" w:line="240" w:lineRule="auto"/>
        <w:ind w:left="1134" w:right="283" w:hanging="567"/>
        <w:jc w:val="both"/>
        <w:rPr>
          <w:rFonts w:ascii="Arial" w:hAnsi="Arial" w:cs="Arial"/>
          <w:bCs/>
          <w:color w:val="000000" w:themeColor="text1"/>
          <w:sz w:val="20"/>
          <w:szCs w:val="20"/>
        </w:rPr>
      </w:pPr>
      <w:r w:rsidRPr="00360A96">
        <w:rPr>
          <w:rFonts w:ascii="Arial" w:hAnsi="Arial" w:cs="Arial"/>
          <w:sz w:val="20"/>
          <w:szCs w:val="20"/>
        </w:rPr>
        <w:t xml:space="preserve">Zhang F, Cui B, He X, Nie Y, Wu K, Fan D, et al. (2018). Microbiota transplantation: concept, methodology and strategy for its modernization. </w:t>
      </w:r>
      <w:r w:rsidRPr="00360A96">
        <w:rPr>
          <w:rFonts w:ascii="Arial" w:hAnsi="Arial" w:cs="Arial"/>
          <w:i/>
          <w:iCs/>
          <w:sz w:val="20"/>
          <w:szCs w:val="20"/>
        </w:rPr>
        <w:t>Protein Cell.</w:t>
      </w:r>
      <w:r w:rsidRPr="00360A96">
        <w:rPr>
          <w:rFonts w:ascii="Arial" w:hAnsi="Arial" w:cs="Arial"/>
          <w:sz w:val="20"/>
          <w:szCs w:val="20"/>
        </w:rPr>
        <w:t xml:space="preserve"> 9:462-473.</w:t>
      </w:r>
      <w:r w:rsidR="00915446" w:rsidRPr="00360A96">
        <w:rPr>
          <w:rFonts w:ascii="Arial" w:hAnsi="Arial" w:cs="Arial"/>
          <w:sz w:val="20"/>
          <w:szCs w:val="20"/>
        </w:rPr>
        <w:tab/>
      </w:r>
      <w:r w:rsidRPr="00360A96">
        <w:rPr>
          <w:rFonts w:ascii="Arial" w:hAnsi="Arial" w:cs="Arial"/>
          <w:sz w:val="20"/>
          <w:szCs w:val="20"/>
        </w:rPr>
        <w:t xml:space="preserve"> </w:t>
      </w:r>
      <w:r w:rsidRPr="00360A96">
        <w:rPr>
          <w:rFonts w:ascii="Arial" w:hAnsi="Arial" w:cs="Arial"/>
          <w:color w:val="0070C0"/>
          <w:sz w:val="20"/>
          <w:szCs w:val="20"/>
        </w:rPr>
        <w:t>https://doi.org/10.1007/s13238-018-0541-8</w:t>
      </w:r>
    </w:p>
    <w:p w14:paraId="6F0CFFB5" w14:textId="77777777" w:rsidR="00915446" w:rsidRPr="00360A96" w:rsidRDefault="00915446" w:rsidP="002018D0">
      <w:pPr>
        <w:pStyle w:val="NormalWeb"/>
        <w:spacing w:before="0" w:beforeAutospacing="0" w:after="0" w:afterAutospacing="0"/>
        <w:ind w:left="1134" w:right="283" w:hanging="567"/>
        <w:jc w:val="both"/>
        <w:rPr>
          <w:rFonts w:ascii="Arial" w:hAnsi="Arial" w:cs="Arial"/>
          <w:sz w:val="20"/>
          <w:szCs w:val="20"/>
          <w:lang w:val="tr-TR"/>
        </w:rPr>
      </w:pPr>
    </w:p>
    <w:p w14:paraId="60BAB924" w14:textId="77777777" w:rsidR="00E04B8F" w:rsidRPr="00360A96" w:rsidRDefault="00E04B8F" w:rsidP="002018D0">
      <w:pPr>
        <w:pStyle w:val="NormalWeb"/>
        <w:spacing w:before="0" w:beforeAutospacing="0" w:after="0" w:afterAutospacing="0"/>
        <w:ind w:left="1134" w:right="283" w:hanging="567"/>
        <w:jc w:val="both"/>
        <w:rPr>
          <w:rFonts w:ascii="Arial" w:hAnsi="Arial" w:cs="Arial"/>
          <w:sz w:val="20"/>
          <w:szCs w:val="20"/>
        </w:rPr>
      </w:pPr>
      <w:r w:rsidRPr="00360A96">
        <w:rPr>
          <w:rFonts w:ascii="Arial" w:hAnsi="Arial" w:cs="Arial"/>
          <w:sz w:val="20"/>
          <w:szCs w:val="20"/>
          <w:lang w:val="tr-TR"/>
        </w:rPr>
        <w:t xml:space="preserve">Zhang X, Liu Q, Liao Q, Zhao Y (2020). Pancreatic cancer, gut microbiota, and therapeutic efficacy. </w:t>
      </w:r>
      <w:r w:rsidRPr="00360A96">
        <w:rPr>
          <w:rFonts w:ascii="Arial" w:hAnsi="Arial" w:cs="Arial"/>
          <w:i/>
          <w:iCs/>
          <w:sz w:val="20"/>
          <w:szCs w:val="20"/>
          <w:lang w:val="tr-TR"/>
        </w:rPr>
        <w:t>J Cancer.</w:t>
      </w:r>
      <w:r w:rsidRPr="00360A96">
        <w:rPr>
          <w:rFonts w:ascii="Arial" w:hAnsi="Arial" w:cs="Arial"/>
          <w:sz w:val="20"/>
          <w:szCs w:val="20"/>
          <w:lang w:val="tr-TR"/>
        </w:rPr>
        <w:t xml:space="preserve"> 11(10):2749-2758. </w:t>
      </w:r>
      <w:r w:rsidRPr="00360A96">
        <w:rPr>
          <w:rFonts w:ascii="Arial" w:hAnsi="Arial" w:cs="Arial"/>
          <w:color w:val="0070C0"/>
          <w:sz w:val="20"/>
          <w:szCs w:val="20"/>
          <w:lang w:val="tr-TR"/>
        </w:rPr>
        <w:t>Doi: 10.7150/jca.37445</w:t>
      </w:r>
    </w:p>
    <w:p w14:paraId="765D739D" w14:textId="77777777" w:rsidR="00E04B8F" w:rsidRPr="00360A96" w:rsidRDefault="00E04B8F" w:rsidP="002018D0">
      <w:pPr>
        <w:pStyle w:val="ListParagraph"/>
        <w:shd w:val="clear" w:color="auto" w:fill="FFFFFF"/>
        <w:spacing w:before="100" w:beforeAutospacing="1" w:after="100" w:afterAutospacing="1" w:line="240" w:lineRule="auto"/>
        <w:ind w:left="1134" w:right="283" w:hanging="567"/>
        <w:jc w:val="both"/>
        <w:rPr>
          <w:rFonts w:ascii="Arial" w:hAnsi="Arial" w:cs="Arial"/>
          <w:color w:val="212121"/>
          <w:sz w:val="20"/>
          <w:szCs w:val="20"/>
        </w:rPr>
      </w:pPr>
      <w:r w:rsidRPr="00360A96">
        <w:rPr>
          <w:rFonts w:ascii="Arial" w:hAnsi="Arial" w:cs="Arial"/>
          <w:color w:val="212121"/>
          <w:sz w:val="20"/>
          <w:szCs w:val="20"/>
          <w:shd w:val="clear" w:color="auto" w:fill="FFFFFF"/>
        </w:rPr>
        <w:t xml:space="preserve">Zhao LY, Mei JX, Yu G, Lei L, Zhang WH, Liu K, et al. (2023). Role of the gut microbiota in anticancer therapy: from molecular mechanisms to clinical applications. </w:t>
      </w:r>
      <w:r w:rsidRPr="00360A96">
        <w:rPr>
          <w:rFonts w:ascii="Arial" w:hAnsi="Arial" w:cs="Arial"/>
          <w:i/>
          <w:iCs/>
          <w:color w:val="212121"/>
          <w:sz w:val="20"/>
          <w:szCs w:val="20"/>
          <w:shd w:val="clear" w:color="auto" w:fill="FFFFFF"/>
        </w:rPr>
        <w:t xml:space="preserve">Signal </w:t>
      </w:r>
      <w:proofErr w:type="spellStart"/>
      <w:r w:rsidRPr="00360A96">
        <w:rPr>
          <w:rFonts w:ascii="Arial" w:hAnsi="Arial" w:cs="Arial"/>
          <w:i/>
          <w:iCs/>
          <w:color w:val="212121"/>
          <w:sz w:val="20"/>
          <w:szCs w:val="20"/>
          <w:shd w:val="clear" w:color="auto" w:fill="FFFFFF"/>
        </w:rPr>
        <w:t>Transduct</w:t>
      </w:r>
      <w:proofErr w:type="spellEnd"/>
      <w:r w:rsidRPr="00360A96">
        <w:rPr>
          <w:rFonts w:ascii="Arial" w:hAnsi="Arial" w:cs="Arial"/>
          <w:i/>
          <w:iCs/>
          <w:color w:val="212121"/>
          <w:sz w:val="20"/>
          <w:szCs w:val="20"/>
          <w:shd w:val="clear" w:color="auto" w:fill="FFFFFF"/>
        </w:rPr>
        <w:t xml:space="preserve"> Target </w:t>
      </w:r>
      <w:proofErr w:type="spellStart"/>
      <w:r w:rsidRPr="00360A96">
        <w:rPr>
          <w:rFonts w:ascii="Arial" w:hAnsi="Arial" w:cs="Arial"/>
          <w:i/>
          <w:iCs/>
          <w:color w:val="212121"/>
          <w:sz w:val="20"/>
          <w:szCs w:val="20"/>
          <w:shd w:val="clear" w:color="auto" w:fill="FFFFFF"/>
        </w:rPr>
        <w:t>Ther</w:t>
      </w:r>
      <w:proofErr w:type="spellEnd"/>
      <w:r w:rsidRPr="00360A96">
        <w:rPr>
          <w:rFonts w:ascii="Arial" w:hAnsi="Arial" w:cs="Arial"/>
          <w:i/>
          <w:iCs/>
          <w:color w:val="212121"/>
          <w:sz w:val="20"/>
          <w:szCs w:val="20"/>
          <w:shd w:val="clear" w:color="auto" w:fill="FFFFFF"/>
        </w:rPr>
        <w:t>.</w:t>
      </w:r>
      <w:r w:rsidRPr="00360A96">
        <w:rPr>
          <w:rFonts w:ascii="Arial" w:hAnsi="Arial" w:cs="Arial"/>
          <w:color w:val="212121"/>
          <w:sz w:val="20"/>
          <w:szCs w:val="20"/>
          <w:shd w:val="clear" w:color="auto" w:fill="FFFFFF"/>
        </w:rPr>
        <w:t xml:space="preserve"> 8(1):201. </w:t>
      </w:r>
      <w:r w:rsidRPr="00360A96">
        <w:rPr>
          <w:rFonts w:ascii="Arial" w:hAnsi="Arial" w:cs="Arial"/>
          <w:color w:val="0070C0"/>
          <w:sz w:val="20"/>
          <w:szCs w:val="20"/>
          <w:shd w:val="clear" w:color="auto" w:fill="FFFFFF"/>
        </w:rPr>
        <w:t>Doi: 10.1038/s41392-023-01406-7.</w:t>
      </w:r>
    </w:p>
    <w:p w14:paraId="7A29508F" w14:textId="77777777" w:rsidR="00E04B8F" w:rsidRPr="00360A96" w:rsidRDefault="00E04B8F" w:rsidP="002018D0">
      <w:pPr>
        <w:pStyle w:val="NormalWeb"/>
        <w:spacing w:after="0"/>
        <w:ind w:left="1134" w:right="283" w:hanging="567"/>
        <w:jc w:val="both"/>
        <w:rPr>
          <w:rFonts w:ascii="Arial" w:hAnsi="Arial" w:cs="Arial"/>
          <w:color w:val="00B0F0"/>
          <w:sz w:val="20"/>
          <w:szCs w:val="20"/>
        </w:rPr>
      </w:pPr>
      <w:r w:rsidRPr="00360A96">
        <w:rPr>
          <w:rFonts w:ascii="Arial" w:hAnsi="Arial" w:cs="Arial"/>
          <w:color w:val="212121"/>
          <w:sz w:val="20"/>
          <w:szCs w:val="20"/>
          <w:shd w:val="clear" w:color="auto" w:fill="FFFFFF"/>
        </w:rPr>
        <w:t xml:space="preserve">Zhao Y, Wang QY, Zeng LT, Wang JJ, Liu Z, Fan GQ, et al. (2022). Long-Term High-Fat High-Fructose Diet Induces Type 2 Diabetes in Rats through Oxidative Stress. </w:t>
      </w:r>
      <w:r w:rsidRPr="00360A96">
        <w:rPr>
          <w:rFonts w:ascii="Arial" w:hAnsi="Arial" w:cs="Arial"/>
          <w:i/>
          <w:iCs/>
          <w:color w:val="212121"/>
          <w:sz w:val="20"/>
          <w:szCs w:val="20"/>
          <w:shd w:val="clear" w:color="auto" w:fill="FFFFFF"/>
        </w:rPr>
        <w:t>Nutrients.</w:t>
      </w:r>
      <w:r w:rsidRPr="00360A96">
        <w:rPr>
          <w:rFonts w:ascii="Arial" w:hAnsi="Arial" w:cs="Arial"/>
          <w:color w:val="212121"/>
          <w:sz w:val="20"/>
          <w:szCs w:val="20"/>
          <w:shd w:val="clear" w:color="auto" w:fill="FFFFFF"/>
        </w:rPr>
        <w:t xml:space="preserve"> 14(11):2181. </w:t>
      </w:r>
      <w:r w:rsidRPr="00360A96">
        <w:rPr>
          <w:rFonts w:ascii="Arial" w:hAnsi="Arial" w:cs="Arial"/>
          <w:color w:val="0070C0"/>
          <w:sz w:val="20"/>
          <w:szCs w:val="20"/>
          <w:shd w:val="clear" w:color="auto" w:fill="FFFFFF"/>
        </w:rPr>
        <w:t xml:space="preserve">Doi: 10.3390/nu14112181. </w:t>
      </w:r>
    </w:p>
    <w:p w14:paraId="1E0467FA" w14:textId="77777777" w:rsidR="00E04B8F" w:rsidRPr="002018D0" w:rsidRDefault="00E04B8F" w:rsidP="002018D0">
      <w:pPr>
        <w:pStyle w:val="ListParagraph"/>
        <w:spacing w:after="0" w:line="240" w:lineRule="auto"/>
        <w:ind w:left="1134" w:right="283" w:hanging="567"/>
        <w:jc w:val="both"/>
        <w:rPr>
          <w:rFonts w:ascii="Arial" w:hAnsi="Arial" w:cs="Arial"/>
          <w:color w:val="00B0F0"/>
          <w:sz w:val="20"/>
          <w:szCs w:val="20"/>
        </w:rPr>
      </w:pPr>
      <w:r w:rsidRPr="00360A96">
        <w:rPr>
          <w:rFonts w:ascii="Arial" w:hAnsi="Arial" w:cs="Arial"/>
          <w:color w:val="000000" w:themeColor="text1"/>
          <w:sz w:val="20"/>
          <w:szCs w:val="20"/>
        </w:rPr>
        <w:t xml:space="preserve">Zhu H, Li T, Du Y, Li M (2018). Pancreatic cancer: challenges and opportunities. BMC Medicine. 16:214. </w:t>
      </w:r>
      <w:hyperlink r:id="rId32" w:history="1">
        <w:r w:rsidRPr="00360A96">
          <w:rPr>
            <w:rStyle w:val="Hyperlink"/>
            <w:rFonts w:ascii="Arial" w:hAnsi="Arial" w:cs="Arial"/>
            <w:color w:val="0070C0"/>
            <w:sz w:val="20"/>
            <w:szCs w:val="20"/>
          </w:rPr>
          <w:t>https://doi.org/10.1186/s12916-018-1215-3</w:t>
        </w:r>
      </w:hyperlink>
      <w:r w:rsidRPr="00360A96">
        <w:rPr>
          <w:rFonts w:ascii="Arial" w:hAnsi="Arial" w:cs="Arial"/>
          <w:color w:val="0070C0"/>
          <w:sz w:val="20"/>
          <w:szCs w:val="20"/>
        </w:rPr>
        <w:t>.</w:t>
      </w:r>
    </w:p>
    <w:p w14:paraId="2A159632" w14:textId="77777777" w:rsidR="00505CF3" w:rsidRPr="002018D0" w:rsidRDefault="00505CF3" w:rsidP="002018D0">
      <w:pPr>
        <w:pStyle w:val="NormalWeb"/>
        <w:ind w:left="851" w:right="283" w:hanging="851"/>
        <w:jc w:val="both"/>
        <w:rPr>
          <w:rFonts w:ascii="Arial" w:hAnsi="Arial" w:cs="Arial"/>
          <w:sz w:val="20"/>
          <w:szCs w:val="20"/>
        </w:rPr>
      </w:pPr>
    </w:p>
    <w:p w14:paraId="192FD4BB" w14:textId="77777777" w:rsidR="00FC6288" w:rsidRDefault="00FC6288" w:rsidP="00BB4EA7">
      <w:pPr>
        <w:ind w:right="283"/>
      </w:pPr>
    </w:p>
    <w:sectPr w:rsidR="00FC6288" w:rsidSect="0020255A">
      <w:headerReference w:type="even" r:id="rId33"/>
      <w:headerReference w:type="default" r:id="rId34"/>
      <w:footerReference w:type="even" r:id="rId35"/>
      <w:footerReference w:type="default" r:id="rId36"/>
      <w:headerReference w:type="first" r:id="rId37"/>
      <w:footerReference w:type="first" r:id="rId38"/>
      <w:pgSz w:w="12240" w:h="15840"/>
      <w:pgMar w:top="1146" w:right="1161" w:bottom="124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8E65D" w14:textId="77777777" w:rsidR="0056662D" w:rsidRDefault="0056662D" w:rsidP="0020255A">
      <w:r>
        <w:separator/>
      </w:r>
    </w:p>
  </w:endnote>
  <w:endnote w:type="continuationSeparator" w:id="0">
    <w:p w14:paraId="5F7A0991" w14:textId="77777777" w:rsidR="0056662D" w:rsidRDefault="0056662D" w:rsidP="0020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7199058"/>
      <w:docPartObj>
        <w:docPartGallery w:val="Page Numbers (Bottom of Page)"/>
        <w:docPartUnique/>
      </w:docPartObj>
    </w:sdtPr>
    <w:sdtEndPr>
      <w:rPr>
        <w:rStyle w:val="PageNumber"/>
      </w:rPr>
    </w:sdtEndPr>
    <w:sdtContent>
      <w:p w14:paraId="0FA9A61D" w14:textId="77777777" w:rsidR="0020255A" w:rsidRDefault="0020255A" w:rsidP="00212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5651C4" w14:textId="77777777" w:rsidR="0020255A" w:rsidRDefault="0020255A" w:rsidP="002025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7469499"/>
      <w:docPartObj>
        <w:docPartGallery w:val="Page Numbers (Bottom of Page)"/>
        <w:docPartUnique/>
      </w:docPartObj>
    </w:sdtPr>
    <w:sdtEndPr>
      <w:rPr>
        <w:rStyle w:val="PageNumber"/>
      </w:rPr>
    </w:sdtEndPr>
    <w:sdtContent>
      <w:p w14:paraId="7910F041" w14:textId="77777777" w:rsidR="0020255A" w:rsidRDefault="0020255A" w:rsidP="00212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DDDF5B" w14:textId="77777777" w:rsidR="0020255A" w:rsidRDefault="0020255A" w:rsidP="0020255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3A77" w14:textId="77777777" w:rsidR="000A79AD" w:rsidRDefault="000A7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FB38" w14:textId="77777777" w:rsidR="0056662D" w:rsidRDefault="0056662D" w:rsidP="0020255A">
      <w:r>
        <w:separator/>
      </w:r>
    </w:p>
  </w:footnote>
  <w:footnote w:type="continuationSeparator" w:id="0">
    <w:p w14:paraId="4489110D" w14:textId="77777777" w:rsidR="0056662D" w:rsidRDefault="0056662D" w:rsidP="00202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5320" w14:textId="28E5D01C" w:rsidR="000A79AD" w:rsidRDefault="000A79AD">
    <w:pPr>
      <w:pStyle w:val="Header"/>
    </w:pPr>
    <w:r>
      <w:rPr>
        <w:noProof/>
      </w:rPr>
      <w:pict w14:anchorId="1FE17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6719" o:spid="_x0000_s2050" type="#_x0000_t136" style="position:absolute;margin-left:0;margin-top:0;width:571.7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A1A0" w14:textId="62F55BA3" w:rsidR="000A79AD" w:rsidRDefault="000A79AD">
    <w:pPr>
      <w:pStyle w:val="Header"/>
    </w:pPr>
    <w:r>
      <w:rPr>
        <w:noProof/>
      </w:rPr>
      <w:pict w14:anchorId="4B42F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6720" o:spid="_x0000_s2051" type="#_x0000_t136" style="position:absolute;margin-left:0;margin-top:0;width:571.7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0BDF" w14:textId="774309BE" w:rsidR="000A79AD" w:rsidRDefault="000A79AD">
    <w:pPr>
      <w:pStyle w:val="Header"/>
    </w:pPr>
    <w:r>
      <w:rPr>
        <w:noProof/>
      </w:rPr>
      <w:pict w14:anchorId="6DBC9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6718" o:spid="_x0000_s2049" type="#_x0000_t136" style="position:absolute;margin-left:0;margin-top:0;width:571.7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133B9"/>
    <w:multiLevelType w:val="multilevel"/>
    <w:tmpl w:val="0302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D6F7F"/>
    <w:multiLevelType w:val="multilevel"/>
    <w:tmpl w:val="2F34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D0B9B"/>
    <w:multiLevelType w:val="hybridMultilevel"/>
    <w:tmpl w:val="D2E2E0FC"/>
    <w:lvl w:ilvl="0" w:tplc="892838E2">
      <w:start w:val="1"/>
      <w:numFmt w:val="decimal"/>
      <w:lvlText w:val="%1."/>
      <w:lvlJc w:val="left"/>
      <w:pPr>
        <w:ind w:left="720" w:hanging="360"/>
      </w:pPr>
      <w:rPr>
        <w:rFonts w:hint="default"/>
        <w:color w:val="000000" w:themeColor="text1"/>
      </w:rPr>
    </w:lvl>
    <w:lvl w:ilvl="1" w:tplc="7DF20DA4" w:tentative="1">
      <w:start w:val="1"/>
      <w:numFmt w:val="lowerLetter"/>
      <w:lvlText w:val="%2."/>
      <w:lvlJc w:val="left"/>
      <w:pPr>
        <w:ind w:left="1440" w:hanging="360"/>
      </w:pPr>
    </w:lvl>
    <w:lvl w:ilvl="2" w:tplc="AC607FF2" w:tentative="1">
      <w:start w:val="1"/>
      <w:numFmt w:val="lowerRoman"/>
      <w:lvlText w:val="%3."/>
      <w:lvlJc w:val="right"/>
      <w:pPr>
        <w:ind w:left="2160" w:hanging="180"/>
      </w:pPr>
    </w:lvl>
    <w:lvl w:ilvl="3" w:tplc="E578BB4E" w:tentative="1">
      <w:start w:val="1"/>
      <w:numFmt w:val="decimal"/>
      <w:lvlText w:val="%4."/>
      <w:lvlJc w:val="left"/>
      <w:pPr>
        <w:ind w:left="2880" w:hanging="360"/>
      </w:pPr>
    </w:lvl>
    <w:lvl w:ilvl="4" w:tplc="17B82E2A" w:tentative="1">
      <w:start w:val="1"/>
      <w:numFmt w:val="lowerLetter"/>
      <w:lvlText w:val="%5."/>
      <w:lvlJc w:val="left"/>
      <w:pPr>
        <w:ind w:left="3600" w:hanging="360"/>
      </w:pPr>
    </w:lvl>
    <w:lvl w:ilvl="5" w:tplc="73DC43A6" w:tentative="1">
      <w:start w:val="1"/>
      <w:numFmt w:val="lowerRoman"/>
      <w:lvlText w:val="%6."/>
      <w:lvlJc w:val="right"/>
      <w:pPr>
        <w:ind w:left="4320" w:hanging="180"/>
      </w:pPr>
    </w:lvl>
    <w:lvl w:ilvl="6" w:tplc="CC404470" w:tentative="1">
      <w:start w:val="1"/>
      <w:numFmt w:val="decimal"/>
      <w:lvlText w:val="%7."/>
      <w:lvlJc w:val="left"/>
      <w:pPr>
        <w:ind w:left="5040" w:hanging="360"/>
      </w:pPr>
    </w:lvl>
    <w:lvl w:ilvl="7" w:tplc="11322CCE" w:tentative="1">
      <w:start w:val="1"/>
      <w:numFmt w:val="lowerLetter"/>
      <w:lvlText w:val="%8."/>
      <w:lvlJc w:val="left"/>
      <w:pPr>
        <w:ind w:left="5760" w:hanging="360"/>
      </w:pPr>
    </w:lvl>
    <w:lvl w:ilvl="8" w:tplc="5C9660AA" w:tentative="1">
      <w:start w:val="1"/>
      <w:numFmt w:val="lowerRoman"/>
      <w:lvlText w:val="%9."/>
      <w:lvlJc w:val="right"/>
      <w:pPr>
        <w:ind w:left="6480" w:hanging="180"/>
      </w:pPr>
    </w:lvl>
  </w:abstractNum>
  <w:abstractNum w:abstractNumId="3" w15:restartNumberingAfterBreak="0">
    <w:nsid w:val="30237934"/>
    <w:multiLevelType w:val="multilevel"/>
    <w:tmpl w:val="2F26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51424"/>
    <w:multiLevelType w:val="multilevel"/>
    <w:tmpl w:val="BC70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787232"/>
    <w:multiLevelType w:val="multilevel"/>
    <w:tmpl w:val="6352C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542251"/>
    <w:multiLevelType w:val="multilevel"/>
    <w:tmpl w:val="6D945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BB40BC"/>
    <w:multiLevelType w:val="multilevel"/>
    <w:tmpl w:val="4F8A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7C04F4"/>
    <w:multiLevelType w:val="multilevel"/>
    <w:tmpl w:val="66EC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32A87"/>
    <w:multiLevelType w:val="multilevel"/>
    <w:tmpl w:val="6A88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400F8D"/>
    <w:multiLevelType w:val="multilevel"/>
    <w:tmpl w:val="A1F4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D615CB"/>
    <w:multiLevelType w:val="multilevel"/>
    <w:tmpl w:val="81E81C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1B7343"/>
    <w:multiLevelType w:val="multilevel"/>
    <w:tmpl w:val="242E4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3"/>
  </w:num>
  <w:num w:numId="4">
    <w:abstractNumId w:val="1"/>
  </w:num>
  <w:num w:numId="5">
    <w:abstractNumId w:val="0"/>
  </w:num>
  <w:num w:numId="6">
    <w:abstractNumId w:val="6"/>
  </w:num>
  <w:num w:numId="7">
    <w:abstractNumId w:val="10"/>
  </w:num>
  <w:num w:numId="8">
    <w:abstractNumId w:val="12"/>
  </w:num>
  <w:num w:numId="9">
    <w:abstractNumId w:val="4"/>
  </w:num>
  <w:num w:numId="10">
    <w:abstractNumId w:val="9"/>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88"/>
    <w:rsid w:val="00002031"/>
    <w:rsid w:val="000048EE"/>
    <w:rsid w:val="00011B2A"/>
    <w:rsid w:val="00022560"/>
    <w:rsid w:val="00024672"/>
    <w:rsid w:val="00031988"/>
    <w:rsid w:val="00051148"/>
    <w:rsid w:val="0008245F"/>
    <w:rsid w:val="0009187F"/>
    <w:rsid w:val="00095149"/>
    <w:rsid w:val="000A79AD"/>
    <w:rsid w:val="000C487B"/>
    <w:rsid w:val="000E2FBD"/>
    <w:rsid w:val="00143C45"/>
    <w:rsid w:val="001468AC"/>
    <w:rsid w:val="0019493F"/>
    <w:rsid w:val="001A71A7"/>
    <w:rsid w:val="001F20A0"/>
    <w:rsid w:val="001F7C78"/>
    <w:rsid w:val="002015AE"/>
    <w:rsid w:val="002018D0"/>
    <w:rsid w:val="00201D90"/>
    <w:rsid w:val="0020255A"/>
    <w:rsid w:val="002041D8"/>
    <w:rsid w:val="00205831"/>
    <w:rsid w:val="0024149E"/>
    <w:rsid w:val="002450DD"/>
    <w:rsid w:val="00251ADA"/>
    <w:rsid w:val="00283E31"/>
    <w:rsid w:val="00295582"/>
    <w:rsid w:val="00296687"/>
    <w:rsid w:val="002B4327"/>
    <w:rsid w:val="002D390A"/>
    <w:rsid w:val="002D3F84"/>
    <w:rsid w:val="002F3752"/>
    <w:rsid w:val="0031669D"/>
    <w:rsid w:val="00332628"/>
    <w:rsid w:val="00336AFF"/>
    <w:rsid w:val="00360A96"/>
    <w:rsid w:val="00362F7D"/>
    <w:rsid w:val="003A0A66"/>
    <w:rsid w:val="003B4629"/>
    <w:rsid w:val="003C0646"/>
    <w:rsid w:val="003D37A4"/>
    <w:rsid w:val="0040005C"/>
    <w:rsid w:val="0042011E"/>
    <w:rsid w:val="00430BA3"/>
    <w:rsid w:val="00433AB2"/>
    <w:rsid w:val="00451425"/>
    <w:rsid w:val="004557D8"/>
    <w:rsid w:val="0048001F"/>
    <w:rsid w:val="004B3AD6"/>
    <w:rsid w:val="004D2EAD"/>
    <w:rsid w:val="00505CF3"/>
    <w:rsid w:val="00533C0F"/>
    <w:rsid w:val="00535554"/>
    <w:rsid w:val="00547BB0"/>
    <w:rsid w:val="00552CEB"/>
    <w:rsid w:val="00561B30"/>
    <w:rsid w:val="0056662D"/>
    <w:rsid w:val="00572AF0"/>
    <w:rsid w:val="005807B5"/>
    <w:rsid w:val="00581324"/>
    <w:rsid w:val="00581B92"/>
    <w:rsid w:val="005C26DD"/>
    <w:rsid w:val="005C6C8A"/>
    <w:rsid w:val="005C72E5"/>
    <w:rsid w:val="00607C7F"/>
    <w:rsid w:val="0062714C"/>
    <w:rsid w:val="0063036D"/>
    <w:rsid w:val="00640A39"/>
    <w:rsid w:val="0065588F"/>
    <w:rsid w:val="00661313"/>
    <w:rsid w:val="00675436"/>
    <w:rsid w:val="00682CAC"/>
    <w:rsid w:val="006855FF"/>
    <w:rsid w:val="006C0878"/>
    <w:rsid w:val="006D67CB"/>
    <w:rsid w:val="007043E7"/>
    <w:rsid w:val="00731F8C"/>
    <w:rsid w:val="00735107"/>
    <w:rsid w:val="007353F9"/>
    <w:rsid w:val="0074707A"/>
    <w:rsid w:val="00751654"/>
    <w:rsid w:val="007522F2"/>
    <w:rsid w:val="007531E2"/>
    <w:rsid w:val="00761DEB"/>
    <w:rsid w:val="007900EE"/>
    <w:rsid w:val="0079170F"/>
    <w:rsid w:val="0079698F"/>
    <w:rsid w:val="007B665B"/>
    <w:rsid w:val="007C76BC"/>
    <w:rsid w:val="007D521D"/>
    <w:rsid w:val="007E516A"/>
    <w:rsid w:val="00803FF3"/>
    <w:rsid w:val="00804162"/>
    <w:rsid w:val="00805E2F"/>
    <w:rsid w:val="00812BD2"/>
    <w:rsid w:val="00815167"/>
    <w:rsid w:val="00824013"/>
    <w:rsid w:val="00831216"/>
    <w:rsid w:val="00835B2D"/>
    <w:rsid w:val="00863C2A"/>
    <w:rsid w:val="0088168B"/>
    <w:rsid w:val="008C260D"/>
    <w:rsid w:val="008D54E7"/>
    <w:rsid w:val="008E3D7A"/>
    <w:rsid w:val="00911051"/>
    <w:rsid w:val="00915446"/>
    <w:rsid w:val="00917397"/>
    <w:rsid w:val="00925906"/>
    <w:rsid w:val="00941035"/>
    <w:rsid w:val="00950964"/>
    <w:rsid w:val="00960E50"/>
    <w:rsid w:val="00973FD0"/>
    <w:rsid w:val="00975D0B"/>
    <w:rsid w:val="00984C90"/>
    <w:rsid w:val="00995BEC"/>
    <w:rsid w:val="009A5DE9"/>
    <w:rsid w:val="009B6DD9"/>
    <w:rsid w:val="009D3AEF"/>
    <w:rsid w:val="00A12689"/>
    <w:rsid w:val="00A21DEF"/>
    <w:rsid w:val="00A30DCC"/>
    <w:rsid w:val="00A51E25"/>
    <w:rsid w:val="00A610A9"/>
    <w:rsid w:val="00A6189E"/>
    <w:rsid w:val="00A72624"/>
    <w:rsid w:val="00A92C9E"/>
    <w:rsid w:val="00A97F0F"/>
    <w:rsid w:val="00AA5034"/>
    <w:rsid w:val="00AB622E"/>
    <w:rsid w:val="00AC492D"/>
    <w:rsid w:val="00AC532B"/>
    <w:rsid w:val="00AC76A8"/>
    <w:rsid w:val="00AE3B27"/>
    <w:rsid w:val="00B049FC"/>
    <w:rsid w:val="00B07D53"/>
    <w:rsid w:val="00B137F8"/>
    <w:rsid w:val="00B241D4"/>
    <w:rsid w:val="00B24B9B"/>
    <w:rsid w:val="00B710B0"/>
    <w:rsid w:val="00B87FEA"/>
    <w:rsid w:val="00BB4EA7"/>
    <w:rsid w:val="00BC386D"/>
    <w:rsid w:val="00BF1632"/>
    <w:rsid w:val="00C2601E"/>
    <w:rsid w:val="00C65010"/>
    <w:rsid w:val="00CA081A"/>
    <w:rsid w:val="00CA6556"/>
    <w:rsid w:val="00CA73DB"/>
    <w:rsid w:val="00D23B74"/>
    <w:rsid w:val="00D4504A"/>
    <w:rsid w:val="00D54E62"/>
    <w:rsid w:val="00D7215D"/>
    <w:rsid w:val="00D74C1C"/>
    <w:rsid w:val="00D81EFB"/>
    <w:rsid w:val="00DA73EC"/>
    <w:rsid w:val="00DB41BF"/>
    <w:rsid w:val="00DC64A3"/>
    <w:rsid w:val="00DF7CB1"/>
    <w:rsid w:val="00E0251D"/>
    <w:rsid w:val="00E04B8F"/>
    <w:rsid w:val="00E223BE"/>
    <w:rsid w:val="00E72008"/>
    <w:rsid w:val="00E80956"/>
    <w:rsid w:val="00E8204F"/>
    <w:rsid w:val="00E90FDA"/>
    <w:rsid w:val="00EB1E66"/>
    <w:rsid w:val="00EB669A"/>
    <w:rsid w:val="00EC0A9C"/>
    <w:rsid w:val="00ED7578"/>
    <w:rsid w:val="00EE75CF"/>
    <w:rsid w:val="00F13264"/>
    <w:rsid w:val="00F52F65"/>
    <w:rsid w:val="00F878BE"/>
    <w:rsid w:val="00FC6288"/>
    <w:rsid w:val="00FD0CD9"/>
    <w:rsid w:val="00FE4AA7"/>
    <w:rsid w:val="00FF1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2E8F42"/>
  <w15:chartTrackingRefBased/>
  <w15:docId w15:val="{E77B0636-8586-4340-BB94-C5CF5A19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C6288"/>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FC62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C62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6288"/>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FC6288"/>
    <w:rPr>
      <w:b/>
      <w:bCs/>
    </w:rPr>
  </w:style>
  <w:style w:type="paragraph" w:styleId="NormalWeb">
    <w:name w:val="Normal (Web)"/>
    <w:basedOn w:val="Normal"/>
    <w:uiPriority w:val="99"/>
    <w:unhideWhenUsed/>
    <w:rsid w:val="00FC6288"/>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FC62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C6288"/>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FC6288"/>
    <w:rPr>
      <w:i/>
      <w:iCs/>
    </w:rPr>
  </w:style>
  <w:style w:type="table" w:styleId="TableGrid">
    <w:name w:val="Table Grid"/>
    <w:basedOn w:val="TableNormal"/>
    <w:uiPriority w:val="39"/>
    <w:rsid w:val="009B6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CF3"/>
    <w:rPr>
      <w:color w:val="0000FF"/>
      <w:u w:val="single"/>
    </w:rPr>
  </w:style>
  <w:style w:type="paragraph" w:customStyle="1" w:styleId="OrtaKlavuz21">
    <w:name w:val="Orta Kılavuz 21"/>
    <w:uiPriority w:val="1"/>
    <w:qFormat/>
    <w:rsid w:val="00505CF3"/>
    <w:rPr>
      <w:rFonts w:ascii="Calibri" w:eastAsia="Calibri" w:hAnsi="Calibri" w:cs="Times New Roman"/>
      <w:kern w:val="0"/>
      <w:sz w:val="22"/>
      <w:szCs w:val="22"/>
      <w:lang w:val="tr-TR"/>
      <w14:ligatures w14:val="none"/>
    </w:rPr>
  </w:style>
  <w:style w:type="paragraph" w:styleId="ListParagraph">
    <w:name w:val="List Paragraph"/>
    <w:basedOn w:val="Normal"/>
    <w:uiPriority w:val="34"/>
    <w:qFormat/>
    <w:rsid w:val="00505CF3"/>
    <w:pPr>
      <w:spacing w:after="200" w:line="276" w:lineRule="auto"/>
      <w:ind w:left="720"/>
      <w:contextualSpacing/>
    </w:pPr>
    <w:rPr>
      <w:kern w:val="0"/>
      <w:sz w:val="22"/>
      <w:szCs w:val="22"/>
      <w:lang w:val="en-US"/>
      <w14:ligatures w14:val="none"/>
    </w:rPr>
  </w:style>
  <w:style w:type="character" w:customStyle="1" w:styleId="identifier">
    <w:name w:val="identifier"/>
    <w:basedOn w:val="DefaultParagraphFont"/>
    <w:rsid w:val="00505CF3"/>
  </w:style>
  <w:style w:type="character" w:customStyle="1" w:styleId="id-label">
    <w:name w:val="id-label"/>
    <w:basedOn w:val="DefaultParagraphFont"/>
    <w:rsid w:val="00505CF3"/>
  </w:style>
  <w:style w:type="character" w:customStyle="1" w:styleId="url">
    <w:name w:val="url"/>
    <w:basedOn w:val="DefaultParagraphFont"/>
    <w:rsid w:val="00505CF3"/>
  </w:style>
  <w:style w:type="character" w:customStyle="1" w:styleId="y2iqfc">
    <w:name w:val="y2iqfc"/>
    <w:basedOn w:val="DefaultParagraphFont"/>
    <w:rsid w:val="00505CF3"/>
  </w:style>
  <w:style w:type="paragraph" w:styleId="HTMLPreformatted">
    <w:name w:val="HTML Preformatted"/>
    <w:basedOn w:val="Normal"/>
    <w:link w:val="HTMLPreformattedChar"/>
    <w:uiPriority w:val="99"/>
    <w:unhideWhenUsed/>
    <w:rsid w:val="00505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tr-TR" w:eastAsia="tr-TR"/>
      <w14:ligatures w14:val="none"/>
    </w:rPr>
  </w:style>
  <w:style w:type="character" w:customStyle="1" w:styleId="HTMLPreformattedChar">
    <w:name w:val="HTML Preformatted Char"/>
    <w:basedOn w:val="DefaultParagraphFont"/>
    <w:link w:val="HTMLPreformatted"/>
    <w:uiPriority w:val="99"/>
    <w:rsid w:val="00505CF3"/>
    <w:rPr>
      <w:rFonts w:ascii="Courier New" w:eastAsia="Times New Roman" w:hAnsi="Courier New" w:cs="Courier New"/>
      <w:kern w:val="0"/>
      <w:sz w:val="20"/>
      <w:szCs w:val="20"/>
      <w:lang w:val="tr-TR" w:eastAsia="tr-TR"/>
      <w14:ligatures w14:val="none"/>
    </w:rPr>
  </w:style>
  <w:style w:type="paragraph" w:styleId="Footer">
    <w:name w:val="footer"/>
    <w:basedOn w:val="Normal"/>
    <w:link w:val="FooterChar"/>
    <w:uiPriority w:val="99"/>
    <w:unhideWhenUsed/>
    <w:rsid w:val="0020255A"/>
    <w:pPr>
      <w:tabs>
        <w:tab w:val="center" w:pos="4680"/>
        <w:tab w:val="right" w:pos="9360"/>
      </w:tabs>
    </w:pPr>
  </w:style>
  <w:style w:type="character" w:customStyle="1" w:styleId="FooterChar">
    <w:name w:val="Footer Char"/>
    <w:basedOn w:val="DefaultParagraphFont"/>
    <w:link w:val="Footer"/>
    <w:uiPriority w:val="99"/>
    <w:rsid w:val="0020255A"/>
  </w:style>
  <w:style w:type="character" w:styleId="PageNumber">
    <w:name w:val="page number"/>
    <w:basedOn w:val="DefaultParagraphFont"/>
    <w:uiPriority w:val="99"/>
    <w:semiHidden/>
    <w:unhideWhenUsed/>
    <w:rsid w:val="0020255A"/>
  </w:style>
  <w:style w:type="character" w:styleId="FollowedHyperlink">
    <w:name w:val="FollowedHyperlink"/>
    <w:basedOn w:val="DefaultParagraphFont"/>
    <w:uiPriority w:val="99"/>
    <w:semiHidden/>
    <w:unhideWhenUsed/>
    <w:rsid w:val="00E04B8F"/>
    <w:rPr>
      <w:color w:val="954F72" w:themeColor="followedHyperlink"/>
      <w:u w:val="single"/>
    </w:rPr>
  </w:style>
  <w:style w:type="paragraph" w:styleId="Header">
    <w:name w:val="header"/>
    <w:basedOn w:val="Normal"/>
    <w:link w:val="HeaderChar"/>
    <w:uiPriority w:val="99"/>
    <w:unhideWhenUsed/>
    <w:rsid w:val="000A79AD"/>
    <w:pPr>
      <w:tabs>
        <w:tab w:val="center" w:pos="4680"/>
        <w:tab w:val="right" w:pos="9360"/>
      </w:tabs>
    </w:pPr>
  </w:style>
  <w:style w:type="character" w:customStyle="1" w:styleId="HeaderChar">
    <w:name w:val="Header Char"/>
    <w:basedOn w:val="DefaultParagraphFont"/>
    <w:link w:val="Header"/>
    <w:uiPriority w:val="99"/>
    <w:rsid w:val="000A7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0560">
      <w:bodyDiv w:val="1"/>
      <w:marLeft w:val="0"/>
      <w:marRight w:val="0"/>
      <w:marTop w:val="0"/>
      <w:marBottom w:val="0"/>
      <w:divBdr>
        <w:top w:val="none" w:sz="0" w:space="0" w:color="auto"/>
        <w:left w:val="none" w:sz="0" w:space="0" w:color="auto"/>
        <w:bottom w:val="none" w:sz="0" w:space="0" w:color="auto"/>
        <w:right w:val="none" w:sz="0" w:space="0" w:color="auto"/>
      </w:divBdr>
    </w:div>
    <w:div w:id="108859927">
      <w:bodyDiv w:val="1"/>
      <w:marLeft w:val="0"/>
      <w:marRight w:val="0"/>
      <w:marTop w:val="0"/>
      <w:marBottom w:val="0"/>
      <w:divBdr>
        <w:top w:val="none" w:sz="0" w:space="0" w:color="auto"/>
        <w:left w:val="none" w:sz="0" w:space="0" w:color="auto"/>
        <w:bottom w:val="none" w:sz="0" w:space="0" w:color="auto"/>
        <w:right w:val="none" w:sz="0" w:space="0" w:color="auto"/>
      </w:divBdr>
    </w:div>
    <w:div w:id="378751415">
      <w:bodyDiv w:val="1"/>
      <w:marLeft w:val="0"/>
      <w:marRight w:val="0"/>
      <w:marTop w:val="0"/>
      <w:marBottom w:val="0"/>
      <w:divBdr>
        <w:top w:val="none" w:sz="0" w:space="0" w:color="auto"/>
        <w:left w:val="none" w:sz="0" w:space="0" w:color="auto"/>
        <w:bottom w:val="none" w:sz="0" w:space="0" w:color="auto"/>
        <w:right w:val="none" w:sz="0" w:space="0" w:color="auto"/>
      </w:divBdr>
    </w:div>
    <w:div w:id="505479960">
      <w:bodyDiv w:val="1"/>
      <w:marLeft w:val="0"/>
      <w:marRight w:val="0"/>
      <w:marTop w:val="0"/>
      <w:marBottom w:val="0"/>
      <w:divBdr>
        <w:top w:val="none" w:sz="0" w:space="0" w:color="auto"/>
        <w:left w:val="none" w:sz="0" w:space="0" w:color="auto"/>
        <w:bottom w:val="none" w:sz="0" w:space="0" w:color="auto"/>
        <w:right w:val="none" w:sz="0" w:space="0" w:color="auto"/>
      </w:divBdr>
    </w:div>
    <w:div w:id="926571485">
      <w:bodyDiv w:val="1"/>
      <w:marLeft w:val="0"/>
      <w:marRight w:val="0"/>
      <w:marTop w:val="0"/>
      <w:marBottom w:val="0"/>
      <w:divBdr>
        <w:top w:val="none" w:sz="0" w:space="0" w:color="auto"/>
        <w:left w:val="none" w:sz="0" w:space="0" w:color="auto"/>
        <w:bottom w:val="none" w:sz="0" w:space="0" w:color="auto"/>
        <w:right w:val="none" w:sz="0" w:space="0" w:color="auto"/>
      </w:divBdr>
    </w:div>
    <w:div w:id="1097092027">
      <w:bodyDiv w:val="1"/>
      <w:marLeft w:val="0"/>
      <w:marRight w:val="0"/>
      <w:marTop w:val="0"/>
      <w:marBottom w:val="0"/>
      <w:divBdr>
        <w:top w:val="none" w:sz="0" w:space="0" w:color="auto"/>
        <w:left w:val="none" w:sz="0" w:space="0" w:color="auto"/>
        <w:bottom w:val="none" w:sz="0" w:space="0" w:color="auto"/>
        <w:right w:val="none" w:sz="0" w:space="0" w:color="auto"/>
      </w:divBdr>
    </w:div>
    <w:div w:id="1244947196">
      <w:bodyDiv w:val="1"/>
      <w:marLeft w:val="0"/>
      <w:marRight w:val="0"/>
      <w:marTop w:val="0"/>
      <w:marBottom w:val="0"/>
      <w:divBdr>
        <w:top w:val="none" w:sz="0" w:space="0" w:color="auto"/>
        <w:left w:val="none" w:sz="0" w:space="0" w:color="auto"/>
        <w:bottom w:val="none" w:sz="0" w:space="0" w:color="auto"/>
        <w:right w:val="none" w:sz="0" w:space="0" w:color="auto"/>
      </w:divBdr>
    </w:div>
    <w:div w:id="151199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iomaterials" TargetMode="External"/><Relationship Id="rId18" Type="http://schemas.openxmlformats.org/officeDocument/2006/relationships/hyperlink" Target="http://dx.doi.org/10.1016/j.bpg.2017.09.001" TargetMode="External"/><Relationship Id="rId26" Type="http://schemas.openxmlformats.org/officeDocument/2006/relationships/hyperlink" Target="https://doi.org/10.1038/nrgastro.2017.142" TargetMode="External"/><Relationship Id="rId39" Type="http://schemas.openxmlformats.org/officeDocument/2006/relationships/fontTable" Target="fontTable.xml"/><Relationship Id="rId21" Type="http://schemas.openxmlformats.org/officeDocument/2006/relationships/hyperlink" Target="https://doi.org/10.1371/journal.pone.0024099"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3748/wjg.v23.i19.3565" TargetMode="External"/><Relationship Id="rId17" Type="http://schemas.openxmlformats.org/officeDocument/2006/relationships/hyperlink" Target="https://doi.org/10.3390/diagnostics13122080" TargetMode="External"/><Relationship Id="rId25" Type="http://schemas.openxmlformats.org/officeDocument/2006/relationships/hyperlink" Target="https://doi.org/10.5114/ceji.2018.8005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07/s00330-020-07307-5" TargetMode="External"/><Relationship Id="rId20" Type="http://schemas.openxmlformats.org/officeDocument/2006/relationships/hyperlink" Target="https://doi.org/10.1016/j.bbcan.2020.188409" TargetMode="External"/><Relationship Id="rId29" Type="http://schemas.openxmlformats.org/officeDocument/2006/relationships/hyperlink" Target="https://doi.org/10.4161/auto.264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asjsur.2020.07.021" TargetMode="External"/><Relationship Id="rId24" Type="http://schemas.openxmlformats.org/officeDocument/2006/relationships/hyperlink" Target="https://doi.org/10.1158/2159-8290.cd-18-0123" TargetMode="External"/><Relationship Id="rId32" Type="http://schemas.openxmlformats.org/officeDocument/2006/relationships/hyperlink" Target="https://doi.org/10.1186/s12916-018-1215-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26/science.1164368" TargetMode="External"/><Relationship Id="rId23" Type="http://schemas.openxmlformats.org/officeDocument/2006/relationships/hyperlink" Target="https://doi.org/10.1186/s12866-023-03166-4" TargetMode="External"/><Relationship Id="rId28" Type="http://schemas.openxmlformats.org/officeDocument/2006/relationships/hyperlink" Target="https://doi.org/10.1186/s13045-024-01613-x" TargetMode="External"/><Relationship Id="rId36" Type="http://schemas.openxmlformats.org/officeDocument/2006/relationships/footer" Target="footer2.xml"/><Relationship Id="rId10" Type="http://schemas.openxmlformats.org/officeDocument/2006/relationships/hyperlink" Target="https://doi.org/10.1038%2Fbjc.2014.215" TargetMode="External"/><Relationship Id="rId19" Type="http://schemas.openxmlformats.org/officeDocument/2006/relationships/hyperlink" Target="https://doi.org/10.1023/a:1015052710213" TargetMode="External"/><Relationship Id="rId31" Type="http://schemas.openxmlformats.org/officeDocument/2006/relationships/hyperlink" Target="https://doi.org/10.1007/s00262-024-03632-6" TargetMode="External"/><Relationship Id="rId4" Type="http://schemas.openxmlformats.org/officeDocument/2006/relationships/webSettings" Target="webSettings.xml"/><Relationship Id="rId9" Type="http://schemas.openxmlformats.org/officeDocument/2006/relationships/hyperlink" Target="https://doi.org/10.1148/radiol.220152" TargetMode="External"/><Relationship Id="rId14" Type="http://schemas.openxmlformats.org/officeDocument/2006/relationships/hyperlink" Target="https://doi.org/10.1186/s12943-021-01310-0" TargetMode="External"/><Relationship Id="rId22" Type="http://schemas.openxmlformats.org/officeDocument/2006/relationships/hyperlink" Target="https://doi.org/10.1515(cclm-2017-1163" TargetMode="External"/><Relationship Id="rId27" Type="http://schemas.openxmlformats.org/officeDocument/2006/relationships/hyperlink" Target="https://doi.org/10.1007/s10555-023-10127-w" TargetMode="External"/><Relationship Id="rId30" Type="http://schemas.openxmlformats.org/officeDocument/2006/relationships/hyperlink" Target="https://doi.org/10.1002/ags3.12902" TargetMode="External"/><Relationship Id="rId35" Type="http://schemas.openxmlformats.org/officeDocument/2006/relationships/footer" Target="footer1.xml"/><Relationship Id="rId8" Type="http://schemas.openxmlformats.org/officeDocument/2006/relationships/hyperlink" Target="https://doi.org/10.1007/s11010-016-2828-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24</Pages>
  <Words>10928</Words>
  <Characters>62295</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16</cp:revision>
  <cp:lastPrinted>2026-04-14T13:36:00Z</cp:lastPrinted>
  <dcterms:created xsi:type="dcterms:W3CDTF">2026-04-15T10:12:00Z</dcterms:created>
  <dcterms:modified xsi:type="dcterms:W3CDTF">2026-04-18T12:11:00Z</dcterms:modified>
</cp:coreProperties>
</file>