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DEC28" w14:textId="77777777" w:rsidR="00754C9A" w:rsidRPr="002B6497" w:rsidRDefault="00754C9A" w:rsidP="00441B6F">
      <w:pPr>
        <w:pStyle w:val="Title"/>
        <w:spacing w:after="0"/>
        <w:jc w:val="both"/>
        <w:rPr>
          <w:rFonts w:ascii="Arial" w:hAnsi="Arial" w:cs="Arial"/>
          <w:sz w:val="22"/>
          <w:szCs w:val="22"/>
        </w:rPr>
      </w:pPr>
    </w:p>
    <w:p w14:paraId="229CB2FE" w14:textId="77777777" w:rsidR="00FC0DF7" w:rsidRPr="00FC0DF7" w:rsidRDefault="00FC0DF7" w:rsidP="00C346F2">
      <w:pPr>
        <w:spacing w:line="360" w:lineRule="auto"/>
        <w:jc w:val="right"/>
        <w:rPr>
          <w:rFonts w:ascii="Arial" w:hAnsi="Arial" w:cs="Arial"/>
          <w:b/>
          <w:i/>
          <w:sz w:val="28"/>
          <w:szCs w:val="22"/>
          <w:u w:val="single"/>
        </w:rPr>
      </w:pPr>
      <w:r w:rsidRPr="00FC0DF7">
        <w:rPr>
          <w:rFonts w:ascii="Arial" w:hAnsi="Arial" w:cs="Arial"/>
          <w:b/>
          <w:i/>
          <w:sz w:val="28"/>
          <w:szCs w:val="22"/>
          <w:u w:val="single"/>
        </w:rPr>
        <w:t xml:space="preserve">Original Research Article </w:t>
      </w:r>
    </w:p>
    <w:p w14:paraId="11E43F21" w14:textId="77777777" w:rsidR="00FC0DF7" w:rsidRDefault="00FC0DF7" w:rsidP="00C346F2">
      <w:pPr>
        <w:spacing w:line="360" w:lineRule="auto"/>
        <w:jc w:val="right"/>
        <w:rPr>
          <w:rFonts w:ascii="Arial" w:hAnsi="Arial" w:cs="Arial"/>
          <w:b/>
          <w:sz w:val="22"/>
          <w:szCs w:val="22"/>
        </w:rPr>
      </w:pPr>
    </w:p>
    <w:p w14:paraId="512FF376" w14:textId="1AC1A504" w:rsidR="00A258C3" w:rsidRPr="00C346F2" w:rsidRDefault="002B6497" w:rsidP="00C346F2">
      <w:pPr>
        <w:spacing w:line="360" w:lineRule="auto"/>
        <w:jc w:val="right"/>
        <w:rPr>
          <w:rFonts w:ascii="Arial" w:hAnsi="Arial" w:cs="Arial"/>
          <w:b/>
          <w:sz w:val="22"/>
          <w:szCs w:val="22"/>
        </w:rPr>
      </w:pPr>
      <w:r w:rsidRPr="002B6497">
        <w:rPr>
          <w:rFonts w:ascii="Arial" w:hAnsi="Arial" w:cs="Arial"/>
          <w:b/>
          <w:sz w:val="22"/>
          <w:szCs w:val="22"/>
        </w:rPr>
        <w:t>Effects of donors’ Education level, ABO/Rhesus blood groups, and Donation time on adverse reactions at Kisumu Regional Blood Transfusion Centre, Kenya</w:t>
      </w:r>
    </w:p>
    <w:p w14:paraId="486825C6" w14:textId="71D8751D" w:rsidR="00790ADA" w:rsidRDefault="00790ADA" w:rsidP="00441B6F">
      <w:pPr>
        <w:pStyle w:val="Affiliation"/>
        <w:spacing w:after="0" w:line="240" w:lineRule="auto"/>
        <w:jc w:val="both"/>
        <w:rPr>
          <w:rFonts w:ascii="Arial" w:hAnsi="Arial" w:cs="Arial"/>
        </w:rPr>
      </w:pPr>
    </w:p>
    <w:p w14:paraId="1811DB17" w14:textId="77777777" w:rsidR="00970C05" w:rsidRDefault="00970C05" w:rsidP="00441B6F">
      <w:pPr>
        <w:pStyle w:val="Affiliation"/>
        <w:spacing w:after="0" w:line="240" w:lineRule="auto"/>
        <w:jc w:val="both"/>
        <w:rPr>
          <w:rFonts w:ascii="Arial" w:hAnsi="Arial" w:cs="Arial"/>
        </w:rPr>
      </w:pPr>
    </w:p>
    <w:p w14:paraId="5E7E0202" w14:textId="77777777" w:rsidR="002C57D2" w:rsidRPr="00FB3A86" w:rsidRDefault="002C57D2" w:rsidP="00441B6F">
      <w:pPr>
        <w:pStyle w:val="Affiliation"/>
        <w:spacing w:after="0" w:line="240" w:lineRule="auto"/>
        <w:jc w:val="both"/>
        <w:rPr>
          <w:rFonts w:ascii="Arial" w:hAnsi="Arial" w:cs="Arial"/>
        </w:rPr>
      </w:pPr>
    </w:p>
    <w:p w14:paraId="231FE1D7" w14:textId="77777777" w:rsidR="00B01FCD" w:rsidRPr="00FB3A86" w:rsidRDefault="00701C63" w:rsidP="00441B6F">
      <w:pPr>
        <w:pStyle w:val="Copyright"/>
        <w:spacing w:after="0" w:line="240" w:lineRule="auto"/>
        <w:jc w:val="both"/>
        <w:rPr>
          <w:rFonts w:ascii="Arial" w:hAnsi="Arial" w:cs="Arial"/>
        </w:rPr>
        <w:sectPr w:rsidR="00B01FCD" w:rsidRPr="00FB3A86" w:rsidSect="00970C0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C6EE9B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682F3DD" w14:textId="31ED12AA"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1F77238" w14:textId="77777777" w:rsidTr="001E44FE">
        <w:tc>
          <w:tcPr>
            <w:tcW w:w="9576" w:type="dxa"/>
            <w:shd w:val="clear" w:color="auto" w:fill="F2F2F2"/>
          </w:tcPr>
          <w:p w14:paraId="0665C4B9" w14:textId="77777777" w:rsidR="002B6497" w:rsidRPr="002B6497" w:rsidRDefault="002B6497" w:rsidP="002B6497">
            <w:pPr>
              <w:pStyle w:val="NormalWeb"/>
              <w:spacing w:before="0" w:beforeAutospacing="0" w:after="0" w:afterAutospacing="0"/>
              <w:jc w:val="both"/>
              <w:rPr>
                <w:rFonts w:ascii="Arial" w:hAnsi="Arial" w:cs="Arial"/>
                <w:sz w:val="22"/>
                <w:szCs w:val="22"/>
              </w:rPr>
            </w:pPr>
            <w:r w:rsidRPr="002B6497">
              <w:rPr>
                <w:rFonts w:ascii="Arial" w:hAnsi="Arial" w:cs="Arial"/>
                <w:sz w:val="22"/>
                <w:szCs w:val="22"/>
              </w:rPr>
              <w:t>Blood donation-related adverse reactions (BDRARs) remain a key concern in transfusion medicine due to their potential impact on donor safety and retention. This study assessed the effects of donors’ education level, ABO/Rhesus blood groups, and time of donation on the occurrence of adverse reactions among voluntary blood donors at the Kisumu Regional Blood Transfusion Centre, Kenya. A cross-sectional study design was employed involving 542 voluntary donors, with data collected using standardized questionnaires and BDRAR reporting forms. Descriptive and inferential statistics were analyzed using SPSS version 27.</w:t>
            </w:r>
          </w:p>
          <w:p w14:paraId="093891ED" w14:textId="77777777" w:rsidR="002B6497" w:rsidRPr="002B6497" w:rsidRDefault="002B6497" w:rsidP="002B6497">
            <w:pPr>
              <w:pStyle w:val="NormalWeb"/>
              <w:spacing w:before="0" w:beforeAutospacing="0" w:after="0" w:afterAutospacing="0"/>
              <w:jc w:val="both"/>
              <w:rPr>
                <w:rFonts w:ascii="Arial" w:hAnsi="Arial" w:cs="Arial"/>
                <w:sz w:val="22"/>
                <w:szCs w:val="22"/>
              </w:rPr>
            </w:pPr>
            <w:r w:rsidRPr="002B6497">
              <w:rPr>
                <w:rFonts w:ascii="Arial" w:hAnsi="Arial" w:cs="Arial"/>
                <w:sz w:val="22"/>
                <w:szCs w:val="22"/>
              </w:rPr>
              <w:t>Overall, 5.7% (n = 31) of donors experienced adverse reactions, while 94.3% (n = 511) reported no complications, confirming the generally safe nature of blood donation. Blood group A donors exhibited the highest proportion of adverse reactions (9.5%), whereas group O donors had the lowest (4.1%); however, no statistically significant association was found between ABO blood group and adverse reactions (χ² = 4.854, p = 0.183). Similarly, Rhesus status showed no significant association (p = 0.333). With respect to education level, adverse reactions occurred in 6.2% of donors with secondary education and 4.6% among tertiary-level donors, but this difference was not statistically significant (χ² = 0.842, p = 0.839). Donation time also showed no significant influence on adverse reactions (χ² = 1.268, p = 0.867), although slightly higher proportions were observed in morning sessions (7.7%).</w:t>
            </w:r>
          </w:p>
          <w:p w14:paraId="5A42E4B9" w14:textId="77777777" w:rsidR="002B6497" w:rsidRPr="002B6497" w:rsidRDefault="002B6497" w:rsidP="002B6497">
            <w:pPr>
              <w:pStyle w:val="NormalWeb"/>
              <w:spacing w:before="0" w:beforeAutospacing="0" w:after="0" w:afterAutospacing="0"/>
              <w:jc w:val="both"/>
              <w:rPr>
                <w:rFonts w:ascii="Arial" w:hAnsi="Arial" w:cs="Arial"/>
                <w:sz w:val="22"/>
                <w:szCs w:val="22"/>
              </w:rPr>
            </w:pPr>
            <w:r w:rsidRPr="002B6497">
              <w:rPr>
                <w:rFonts w:ascii="Arial" w:hAnsi="Arial" w:cs="Arial"/>
                <w:sz w:val="22"/>
                <w:szCs w:val="22"/>
              </w:rPr>
              <w:t>Sweating (2.0%) and dizziness (0.7%) were the most common adverse reactions reported. The majority of donors (86.2%) were first-time donors, and younger individuals constituted the largest proportion of participants.</w:t>
            </w:r>
          </w:p>
          <w:p w14:paraId="02DE372D" w14:textId="25132A30" w:rsidR="00505F06" w:rsidRPr="002B6497" w:rsidRDefault="002B6497" w:rsidP="002B6497">
            <w:pPr>
              <w:pStyle w:val="NormalWeb"/>
              <w:spacing w:before="0" w:beforeAutospacing="0" w:after="0" w:afterAutospacing="0"/>
              <w:jc w:val="both"/>
            </w:pPr>
            <w:r w:rsidRPr="002B6497">
              <w:rPr>
                <w:rFonts w:ascii="Arial" w:hAnsi="Arial" w:cs="Arial"/>
                <w:sz w:val="22"/>
                <w:szCs w:val="22"/>
              </w:rPr>
              <w:t xml:space="preserve">In conclusion, while BDRARs were infrequent, none of the studied </w:t>
            </w:r>
            <w:r w:rsidR="003624D7" w:rsidRPr="002B6497">
              <w:rPr>
                <w:rFonts w:ascii="Arial" w:hAnsi="Arial" w:cs="Arial"/>
                <w:sz w:val="22"/>
                <w:szCs w:val="22"/>
              </w:rPr>
              <w:t>factors</w:t>
            </w:r>
            <w:r w:rsidRPr="002B6497">
              <w:rPr>
                <w:rFonts w:ascii="Arial" w:hAnsi="Arial" w:cs="Arial"/>
                <w:sz w:val="22"/>
                <w:szCs w:val="22"/>
              </w:rPr>
              <w:t xml:space="preserve"> demonstrated a statistically significant association with their occurrence. These findings highlight the need to explore other determinants of donor reactions while reinforcing the safety of blood donation.</w:t>
            </w:r>
          </w:p>
        </w:tc>
      </w:tr>
    </w:tbl>
    <w:p w14:paraId="2CE5A304" w14:textId="77777777" w:rsidR="00636EB2" w:rsidRDefault="00636EB2" w:rsidP="00441B6F">
      <w:pPr>
        <w:pStyle w:val="Body"/>
        <w:spacing w:after="0"/>
        <w:rPr>
          <w:rFonts w:ascii="Arial" w:hAnsi="Arial" w:cs="Arial"/>
          <w:i/>
        </w:rPr>
      </w:pPr>
    </w:p>
    <w:p w14:paraId="09715FBB" w14:textId="5AAB8CA9" w:rsidR="0024282C" w:rsidRPr="005E4D42" w:rsidRDefault="002B6497" w:rsidP="005E4D42">
      <w:pPr>
        <w:jc w:val="both"/>
        <w:rPr>
          <w:rFonts w:ascii="Arial" w:hAnsi="Arial" w:cs="Arial"/>
          <w:i/>
        </w:rPr>
      </w:pPr>
      <w:r w:rsidRPr="002B6497">
        <w:rPr>
          <w:rFonts w:ascii="Arial" w:hAnsi="Arial" w:cs="Arial"/>
          <w:b/>
          <w:i/>
        </w:rPr>
        <w:t>Key word:</w:t>
      </w:r>
      <w:r w:rsidRPr="002B6497">
        <w:rPr>
          <w:rFonts w:ascii="Arial" w:hAnsi="Arial" w:cs="Arial"/>
          <w:i/>
        </w:rPr>
        <w:t xml:space="preserve"> donors’ education level, ABO/Rhesus blood groups, donation time, adverse reactions, Regional Blood Transfusion Centre, Kisumu, Kenya</w:t>
      </w:r>
      <w:r w:rsidR="005E4D42">
        <w:rPr>
          <w:rFonts w:ascii="Arial" w:hAnsi="Arial" w:cs="Arial"/>
          <w:i/>
        </w:rPr>
        <w:t>.</w:t>
      </w:r>
    </w:p>
    <w:p w14:paraId="5D723D02" w14:textId="77777777" w:rsidR="00505F06" w:rsidRPr="00A24E7E" w:rsidRDefault="00505F06" w:rsidP="00441B6F">
      <w:pPr>
        <w:pStyle w:val="Body"/>
        <w:spacing w:after="0"/>
        <w:rPr>
          <w:rFonts w:ascii="Arial" w:hAnsi="Arial" w:cs="Arial"/>
          <w:i/>
        </w:rPr>
      </w:pPr>
    </w:p>
    <w:p w14:paraId="42B43C2B" w14:textId="41F25814" w:rsidR="00790ADA" w:rsidRDefault="00902823" w:rsidP="0098436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33EA4F" w14:textId="6DA56CF8" w:rsidR="005E4D42" w:rsidRPr="005E4D42" w:rsidRDefault="005E4D42" w:rsidP="005E4D42">
      <w:pPr>
        <w:pStyle w:val="NormalWeb"/>
        <w:spacing w:before="0" w:beforeAutospacing="0" w:after="0" w:afterAutospacing="0" w:line="360" w:lineRule="auto"/>
        <w:jc w:val="both"/>
        <w:rPr>
          <w:rFonts w:ascii="Arial" w:hAnsi="Arial" w:cs="Arial"/>
          <w:sz w:val="20"/>
          <w:szCs w:val="20"/>
        </w:rPr>
      </w:pPr>
      <w:r w:rsidRPr="005E4D42">
        <w:rPr>
          <w:rFonts w:ascii="Arial" w:hAnsi="Arial" w:cs="Arial"/>
          <w:sz w:val="20"/>
          <w:szCs w:val="20"/>
        </w:rPr>
        <w:t xml:space="preserve">Blood transfusion remains a cornerstone of modern healthcare, playing a vital role in the management of trauma, surgical procedures, obstetric emergencies, and hematological conditions (World Health Organization, 2023). The effectiveness of transfusion services is </w:t>
      </w:r>
      <w:r w:rsidRPr="005E4D42">
        <w:rPr>
          <w:rFonts w:ascii="Arial" w:hAnsi="Arial" w:cs="Arial"/>
          <w:sz w:val="20"/>
          <w:szCs w:val="20"/>
        </w:rPr>
        <w:lastRenderedPageBreak/>
        <w:t>largely dependent on the availability of safe and adequate blood supplies, which are primarily sustained through voluntary, non-remunerated blood donors. However, many low- and middle-income countries, including Kenya, continue to face significant challenges in meeting blood demand, resulting in critical shortages that compromise timely patient care (WHO, 2023; Bates et al., 2022). Ensuring donor safety and promoting a positive donation experience are therefore essential strategies for enhancing donor retention and maintaining a stable blood supply.</w:t>
      </w:r>
    </w:p>
    <w:p w14:paraId="2CB0AE1E" w14:textId="77777777" w:rsidR="005E4D42" w:rsidRPr="005E4D42" w:rsidRDefault="005E4D42" w:rsidP="005E4D42">
      <w:pPr>
        <w:pStyle w:val="NormalWeb"/>
        <w:spacing w:before="0" w:beforeAutospacing="0" w:after="0" w:afterAutospacing="0" w:line="360" w:lineRule="auto"/>
        <w:jc w:val="both"/>
        <w:rPr>
          <w:rFonts w:ascii="Arial" w:hAnsi="Arial" w:cs="Arial"/>
          <w:sz w:val="20"/>
          <w:szCs w:val="20"/>
        </w:rPr>
      </w:pPr>
      <w:r w:rsidRPr="005E4D42">
        <w:rPr>
          <w:rFonts w:ascii="Arial" w:hAnsi="Arial" w:cs="Arial"/>
          <w:sz w:val="20"/>
          <w:szCs w:val="20"/>
        </w:rPr>
        <w:t>Although blood donation is generally safe, a proportion of donors’ experience blood donation-related adverse reactions (BDRARs), which may occur during or shortly after the donation process (Shaz et al., 2021). These reactions range from mild symptoms such as dizziness, nausea, sweating, and lightheadedness to more severe manifestations including syncope, hematoma formation, and, in rare cases, complications requiring medical attention (Newman, 2022). While the incidence of BDRARs is relatively low, their impact on donor experience is significant. Studies have shown that donors who experience adverse reactions are less likely to return for subsequent donations, thereby negatively affecting donor retention and the sustainability of blood donation programs (Brunson et al., 2022; Veldhuizen et al., 2023).</w:t>
      </w:r>
    </w:p>
    <w:p w14:paraId="11149170" w14:textId="77777777" w:rsidR="005E4D42" w:rsidRPr="005E4D42" w:rsidRDefault="005E4D42" w:rsidP="005E4D42">
      <w:pPr>
        <w:pStyle w:val="NormalWeb"/>
        <w:spacing w:before="0" w:beforeAutospacing="0" w:after="0" w:afterAutospacing="0" w:line="360" w:lineRule="auto"/>
        <w:jc w:val="both"/>
        <w:rPr>
          <w:rFonts w:ascii="Arial" w:hAnsi="Arial" w:cs="Arial"/>
          <w:sz w:val="20"/>
          <w:szCs w:val="20"/>
        </w:rPr>
      </w:pPr>
      <w:r w:rsidRPr="005E4D42">
        <w:rPr>
          <w:rFonts w:ascii="Arial" w:hAnsi="Arial" w:cs="Arial"/>
          <w:sz w:val="20"/>
          <w:szCs w:val="20"/>
        </w:rPr>
        <w:t>Previous research has extensively examined the association between BDRARs and non-modifiable socio-demographic factors such as age, sex, and donation history. Younger donors, females, and first-time donors have consistently been identified as having a higher risk of experiencing adverse reactions (Wang et al., 2019; Goldman et al., 2023). However, the focus on non-modifiable factors limits opportunities for intervention. In contrast, modifiable or potentially adjustable factors such as donors’ level of education, ABO/Rhesus blood groups, and the timing of donation remain underexplored, despite their potential to inform targeted strategies for improving donor safety and experience (Thijsen et al., 2019; Schreiber et al., 2021).</w:t>
      </w:r>
    </w:p>
    <w:p w14:paraId="5D1C35AD" w14:textId="77777777" w:rsidR="005E4D42" w:rsidRPr="005E4D42" w:rsidRDefault="005E4D42" w:rsidP="005E4D42">
      <w:pPr>
        <w:pStyle w:val="NormalWeb"/>
        <w:spacing w:before="0" w:beforeAutospacing="0" w:after="0" w:afterAutospacing="0" w:line="360" w:lineRule="auto"/>
        <w:jc w:val="both"/>
        <w:rPr>
          <w:rFonts w:ascii="Arial" w:hAnsi="Arial" w:cs="Arial"/>
          <w:sz w:val="20"/>
          <w:szCs w:val="20"/>
        </w:rPr>
      </w:pPr>
      <w:r w:rsidRPr="005E4D42">
        <w:rPr>
          <w:rFonts w:ascii="Arial" w:hAnsi="Arial" w:cs="Arial"/>
          <w:sz w:val="20"/>
          <w:szCs w:val="20"/>
        </w:rPr>
        <w:t>In sub-Saharan Africa, the challenge of maintaining an adequate and safe blood supply is further compounded by socio-cultural beliefs, limited awareness, and fear of adverse reactions associated with blood donation (WHO, 2023; Tagny et al., 2022). Kenya continues to experience a substantial gap between blood demand and supply, highlighting the need for context-specific, evidence-based interventions that address both donor recruitment and retention. Understanding the determinants of adverse reactions within this setting is therefore critical for strengthening blood transfusion services and enhancing donor confidence.</w:t>
      </w:r>
    </w:p>
    <w:p w14:paraId="1E440C56" w14:textId="77777777" w:rsidR="005E4D42" w:rsidRPr="005E4D42" w:rsidRDefault="005E4D42" w:rsidP="005E4D42">
      <w:pPr>
        <w:pStyle w:val="NormalWeb"/>
        <w:spacing w:before="0" w:beforeAutospacing="0" w:after="0" w:afterAutospacing="0" w:line="360" w:lineRule="auto"/>
        <w:jc w:val="both"/>
        <w:rPr>
          <w:rFonts w:ascii="Arial" w:hAnsi="Arial" w:cs="Arial"/>
          <w:sz w:val="20"/>
          <w:szCs w:val="20"/>
        </w:rPr>
      </w:pPr>
      <w:r w:rsidRPr="005E4D42">
        <w:rPr>
          <w:rFonts w:ascii="Arial" w:hAnsi="Arial" w:cs="Arial"/>
          <w:sz w:val="20"/>
          <w:szCs w:val="20"/>
        </w:rPr>
        <w:t xml:space="preserve">This study examines the effects of donors’ education level, ABO/Rhesus blood groups, and donation time on the occurrence of adverse reactions among voluntary blood donors at the </w:t>
      </w:r>
      <w:r w:rsidRPr="005E4D42">
        <w:rPr>
          <w:rFonts w:ascii="Arial" w:hAnsi="Arial" w:cs="Arial"/>
          <w:sz w:val="20"/>
          <w:szCs w:val="20"/>
        </w:rPr>
        <w:lastRenderedPageBreak/>
        <w:t>Kisumu Regional Blood Transfusion Centre. By focusing on these less explored and potentially modifiable factors, the study contributes to the growing body of evidence on blood donation safety and provides insights that may inform policy development, improve hemovigilance systems, and enhance the overall effectiveness of blood transfusion services in Kenya.</w:t>
      </w:r>
    </w:p>
    <w:p w14:paraId="72EB8A93" w14:textId="77777777" w:rsidR="005E4D42" w:rsidRDefault="005E4D42" w:rsidP="00441B6F">
      <w:pPr>
        <w:pStyle w:val="Body"/>
        <w:spacing w:after="0"/>
        <w:rPr>
          <w:rFonts w:ascii="Arial" w:hAnsi="Arial" w:cs="Arial"/>
        </w:rPr>
      </w:pPr>
    </w:p>
    <w:p w14:paraId="5059778D" w14:textId="77777777" w:rsidR="005E4D42" w:rsidRPr="00FB3A86" w:rsidRDefault="005E4D42" w:rsidP="00441B6F">
      <w:pPr>
        <w:pStyle w:val="Body"/>
        <w:spacing w:after="0"/>
        <w:rPr>
          <w:rFonts w:ascii="Arial" w:hAnsi="Arial" w:cs="Arial"/>
        </w:rPr>
      </w:pPr>
    </w:p>
    <w:p w14:paraId="17751EA8" w14:textId="44333C1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6B57D0">
        <w:rPr>
          <w:rFonts w:ascii="Arial" w:hAnsi="Arial" w:cs="Arial"/>
        </w:rPr>
        <w:t xml:space="preserve"> </w:t>
      </w:r>
    </w:p>
    <w:p w14:paraId="0325CF21" w14:textId="77777777" w:rsidR="00790ADA" w:rsidRPr="00FB3A86" w:rsidRDefault="00790ADA" w:rsidP="00441B6F">
      <w:pPr>
        <w:pStyle w:val="AbstHead"/>
        <w:spacing w:after="0"/>
        <w:jc w:val="both"/>
        <w:rPr>
          <w:rFonts w:ascii="Arial" w:hAnsi="Arial" w:cs="Arial"/>
        </w:rPr>
      </w:pPr>
    </w:p>
    <w:p w14:paraId="3639E7B2"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r w:rsidRPr="007562A0">
        <w:rPr>
          <w:rStyle w:val="Strong"/>
          <w:rFonts w:ascii="Arial" w:eastAsiaTheme="majorEastAsia" w:hAnsi="Arial" w:cs="Arial"/>
          <w:sz w:val="22"/>
          <w:szCs w:val="22"/>
        </w:rPr>
        <w:t>2.1 Study Design</w:t>
      </w:r>
      <w:r w:rsidRPr="007562A0">
        <w:rPr>
          <w:rFonts w:ascii="Arial" w:hAnsi="Arial" w:cs="Arial"/>
          <w:sz w:val="20"/>
          <w:szCs w:val="20"/>
        </w:rPr>
        <w:br/>
        <w:t>This study adopted a cross-sectional analytical design to assess the relationship between donors’ education level, ABO/Rhesus blood groups, and time of donation with the occurrence of blood donation-related adverse reactions (BDRARs). A cross-sectional approach was considered appropriate as it allows for the assessment of exposure and outcome variables simultaneously within a defined population (Setia, 2016).</w:t>
      </w:r>
    </w:p>
    <w:p w14:paraId="667A6669" w14:textId="77777777" w:rsidR="007562A0" w:rsidRPr="007562A0" w:rsidRDefault="007562A0" w:rsidP="007562A0">
      <w:pPr>
        <w:pStyle w:val="NormalWeb"/>
        <w:spacing w:before="0" w:beforeAutospacing="0" w:after="0" w:afterAutospacing="0" w:line="360" w:lineRule="auto"/>
        <w:rPr>
          <w:rFonts w:ascii="Arial" w:eastAsiaTheme="majorEastAsia" w:hAnsi="Arial" w:cs="Arial"/>
          <w:b/>
          <w:bCs/>
          <w:sz w:val="20"/>
          <w:szCs w:val="20"/>
        </w:rPr>
      </w:pPr>
    </w:p>
    <w:p w14:paraId="00B7C6AE"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r w:rsidRPr="007562A0">
        <w:rPr>
          <w:rStyle w:val="Strong"/>
          <w:rFonts w:ascii="Arial" w:eastAsiaTheme="majorEastAsia" w:hAnsi="Arial" w:cs="Arial"/>
          <w:sz w:val="22"/>
          <w:szCs w:val="22"/>
        </w:rPr>
        <w:t>2.2 Study Area and Setting</w:t>
      </w:r>
      <w:r w:rsidRPr="007562A0">
        <w:rPr>
          <w:rFonts w:ascii="Arial" w:hAnsi="Arial" w:cs="Arial"/>
          <w:sz w:val="20"/>
          <w:szCs w:val="20"/>
        </w:rPr>
        <w:br/>
        <w:t>The study was conducted at the Kisumu Regional Blood Transfusion Centre in Kenya, a key facility mandated to collect, process, and distribute safe blood and blood products within the region. The center operates under national blood transfusion service guidelines aligned with global standards for blood safety (WHO, 2023).</w:t>
      </w:r>
    </w:p>
    <w:p w14:paraId="254DB058"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p>
    <w:p w14:paraId="3072DD1D"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r w:rsidRPr="007562A0">
        <w:rPr>
          <w:rStyle w:val="Strong"/>
          <w:rFonts w:ascii="Arial" w:eastAsiaTheme="majorEastAsia" w:hAnsi="Arial" w:cs="Arial"/>
          <w:sz w:val="22"/>
          <w:szCs w:val="22"/>
        </w:rPr>
        <w:t>2.3 Study Population and Sampling</w:t>
      </w:r>
      <w:r w:rsidRPr="007562A0">
        <w:rPr>
          <w:rFonts w:ascii="Arial" w:hAnsi="Arial" w:cs="Arial"/>
          <w:sz w:val="20"/>
          <w:szCs w:val="20"/>
        </w:rPr>
        <w:br/>
        <w:t>The study population consisted of voluntary, non-remunerated blood donors who presented for donation during the study period. Eligible participants were those who met the standard criteria for blood donation, including age, weight, hemoglobin levels, and general health status (WHO, 2023). Donors who declined consent or were deferred due to medical conditions were excluded. A total of 542 donors were recruited using a systematic sampling approach to ensure representativeness and minimize selection bias (</w:t>
      </w:r>
      <w:proofErr w:type="spellStart"/>
      <w:r w:rsidRPr="007562A0">
        <w:rPr>
          <w:rFonts w:ascii="Arial" w:hAnsi="Arial" w:cs="Arial"/>
          <w:sz w:val="20"/>
          <w:szCs w:val="20"/>
        </w:rPr>
        <w:t>Etikan</w:t>
      </w:r>
      <w:proofErr w:type="spellEnd"/>
      <w:r w:rsidRPr="007562A0">
        <w:rPr>
          <w:rFonts w:ascii="Arial" w:hAnsi="Arial" w:cs="Arial"/>
          <w:sz w:val="20"/>
          <w:szCs w:val="20"/>
        </w:rPr>
        <w:t xml:space="preserve"> &amp; </w:t>
      </w:r>
      <w:proofErr w:type="spellStart"/>
      <w:r w:rsidRPr="007562A0">
        <w:rPr>
          <w:rFonts w:ascii="Arial" w:hAnsi="Arial" w:cs="Arial"/>
          <w:sz w:val="20"/>
          <w:szCs w:val="20"/>
        </w:rPr>
        <w:t>Bala</w:t>
      </w:r>
      <w:proofErr w:type="spellEnd"/>
      <w:r w:rsidRPr="007562A0">
        <w:rPr>
          <w:rFonts w:ascii="Arial" w:hAnsi="Arial" w:cs="Arial"/>
          <w:sz w:val="20"/>
          <w:szCs w:val="20"/>
        </w:rPr>
        <w:t>, 2017).</w:t>
      </w:r>
    </w:p>
    <w:p w14:paraId="419968E8"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p>
    <w:p w14:paraId="355A536D"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r w:rsidRPr="007562A0">
        <w:rPr>
          <w:rStyle w:val="Strong"/>
          <w:rFonts w:ascii="Arial" w:eastAsiaTheme="majorEastAsia" w:hAnsi="Arial" w:cs="Arial"/>
          <w:sz w:val="22"/>
          <w:szCs w:val="22"/>
        </w:rPr>
        <w:t>2.4 Data Collection Procedures</w:t>
      </w:r>
      <w:r w:rsidRPr="007562A0">
        <w:rPr>
          <w:rFonts w:ascii="Arial" w:hAnsi="Arial" w:cs="Arial"/>
          <w:sz w:val="20"/>
          <w:szCs w:val="20"/>
        </w:rPr>
        <w:br/>
        <w:t xml:space="preserve">Data were collected using a structured questionnaire and standardized hemovigilance reporting forms. Information obtained included socio-demographic characteristics such as age, sex, and education level, as well as donation-related variables including time of donation and donation history. ABO and Rhesus blood group data were extracted from laboratory records. The occurrence of BDRARs was monitored and documented by trained healthcare personnel during and immediately after the donation process. Adverse reactions </w:t>
      </w:r>
      <w:r w:rsidRPr="007562A0">
        <w:rPr>
          <w:rFonts w:ascii="Arial" w:hAnsi="Arial" w:cs="Arial"/>
          <w:sz w:val="20"/>
          <w:szCs w:val="20"/>
        </w:rPr>
        <w:lastRenderedPageBreak/>
        <w:t>were classified based on clinical presentation, including dizziness, sweating, nausea, syncope, and hematoma, in accordance with established hemovigilance guidelines (ISBT, 2021).</w:t>
      </w:r>
    </w:p>
    <w:p w14:paraId="653F5529"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r w:rsidRPr="007562A0">
        <w:rPr>
          <w:rStyle w:val="Strong"/>
          <w:rFonts w:ascii="Arial" w:eastAsiaTheme="majorEastAsia" w:hAnsi="Arial" w:cs="Arial"/>
          <w:sz w:val="22"/>
          <w:szCs w:val="22"/>
        </w:rPr>
        <w:t>2.5 Data Analysis</w:t>
      </w:r>
      <w:r w:rsidRPr="007562A0">
        <w:rPr>
          <w:rFonts w:ascii="Arial" w:hAnsi="Arial" w:cs="Arial"/>
          <w:sz w:val="20"/>
          <w:szCs w:val="20"/>
        </w:rPr>
        <w:br/>
        <w:t>Data were entered, cleaned, and analyzed using the Statistical Package for the Social Sciences (SPSS) version 27. Descriptive statistics, including frequencies and percentages, were used to summarize the data. Inferential statistics were applied to assess associations between independent variables (education level, ABO/Rhesus blood group, and time of donation) and the dependent variable (BDRARs). The Chi-square (χ²) test was used to determine statistical significance, with a p-value of &lt;0.05 considered statistically significant (Kirkwood &amp; Sterne, 2010).</w:t>
      </w:r>
    </w:p>
    <w:p w14:paraId="49B2FA8F"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p>
    <w:p w14:paraId="724312AB" w14:textId="77777777" w:rsidR="007562A0" w:rsidRPr="007562A0" w:rsidRDefault="007562A0" w:rsidP="007562A0">
      <w:pPr>
        <w:pStyle w:val="NormalWeb"/>
        <w:spacing w:before="0" w:beforeAutospacing="0" w:after="0" w:afterAutospacing="0" w:line="360" w:lineRule="auto"/>
        <w:rPr>
          <w:rFonts w:ascii="Arial" w:hAnsi="Arial" w:cs="Arial"/>
          <w:sz w:val="20"/>
          <w:szCs w:val="20"/>
        </w:rPr>
      </w:pPr>
      <w:r w:rsidRPr="007562A0">
        <w:rPr>
          <w:rStyle w:val="Strong"/>
          <w:rFonts w:ascii="Arial" w:eastAsiaTheme="majorEastAsia" w:hAnsi="Arial" w:cs="Arial"/>
          <w:sz w:val="22"/>
          <w:szCs w:val="22"/>
        </w:rPr>
        <w:t>2.6 Ethical Considerations</w:t>
      </w:r>
      <w:r w:rsidRPr="007562A0">
        <w:rPr>
          <w:rFonts w:ascii="Arial" w:hAnsi="Arial" w:cs="Arial"/>
          <w:sz w:val="20"/>
          <w:szCs w:val="20"/>
        </w:rPr>
        <w:br/>
        <w:t>Ethical approval was obtained from the relevant institutional review board, and permission to conduct the study was granted by the Kisumu Regional Blood Transfusion Centre. Informed consent was obtained from all participants prior to inclusion in the study. Confidentiality and anonymity were maintained throughout the research process in line with ethical standards for biomedical research involving human participants (WHO, 2023).</w:t>
      </w:r>
    </w:p>
    <w:p w14:paraId="65773FC9" w14:textId="77777777" w:rsidR="007562A0" w:rsidRDefault="007562A0" w:rsidP="00441B6F">
      <w:pPr>
        <w:pStyle w:val="Body"/>
        <w:spacing w:after="0"/>
        <w:rPr>
          <w:rFonts w:ascii="Arial" w:hAnsi="Arial" w:cs="Arial"/>
        </w:rPr>
      </w:pPr>
    </w:p>
    <w:p w14:paraId="0A87C37B" w14:textId="77777777" w:rsidR="007562A0" w:rsidRPr="00FB3A86" w:rsidRDefault="007562A0" w:rsidP="00441B6F">
      <w:pPr>
        <w:pStyle w:val="Body"/>
        <w:spacing w:after="0"/>
        <w:rPr>
          <w:rFonts w:ascii="Arial" w:hAnsi="Arial" w:cs="Arial"/>
        </w:rPr>
      </w:pPr>
    </w:p>
    <w:p w14:paraId="5F77BC0C" w14:textId="77777777" w:rsidR="007562A0"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85D2741" w14:textId="77777777" w:rsidR="007562A0" w:rsidRDefault="007562A0" w:rsidP="00441B6F">
      <w:pPr>
        <w:pStyle w:val="Head1"/>
        <w:spacing w:after="0"/>
        <w:jc w:val="both"/>
        <w:rPr>
          <w:rFonts w:ascii="Arial" w:hAnsi="Arial" w:cs="Arial"/>
        </w:rPr>
      </w:pPr>
    </w:p>
    <w:p w14:paraId="361C8DA0" w14:textId="77777777" w:rsidR="00F51435" w:rsidRPr="00F51435" w:rsidRDefault="00F51435" w:rsidP="00F51435">
      <w:pPr>
        <w:pStyle w:val="Heading2"/>
        <w:numPr>
          <w:ilvl w:val="1"/>
          <w:numId w:val="32"/>
        </w:numPr>
        <w:spacing w:before="0" w:line="360" w:lineRule="auto"/>
        <w:jc w:val="both"/>
        <w:rPr>
          <w:rFonts w:ascii="Arial" w:hAnsi="Arial" w:cs="Arial"/>
          <w:b/>
          <w:bCs/>
          <w:color w:val="000000" w:themeColor="text1"/>
          <w:sz w:val="20"/>
          <w:szCs w:val="20"/>
        </w:rPr>
      </w:pPr>
      <w:bookmarkStart w:id="1" w:name="_Toc226285905"/>
      <w:r w:rsidRPr="00F51435">
        <w:rPr>
          <w:rFonts w:ascii="Arial" w:hAnsi="Arial" w:cs="Arial"/>
          <w:b/>
          <w:bCs/>
          <w:color w:val="000000" w:themeColor="text1"/>
          <w:sz w:val="20"/>
          <w:szCs w:val="20"/>
        </w:rPr>
        <w:t>Introduction</w:t>
      </w:r>
      <w:bookmarkEnd w:id="1"/>
    </w:p>
    <w:p w14:paraId="0071F54A" w14:textId="3F6990DD" w:rsidR="00F51435" w:rsidRPr="00F51435" w:rsidRDefault="00F51435" w:rsidP="00F51435">
      <w:pPr>
        <w:spacing w:line="360" w:lineRule="auto"/>
        <w:jc w:val="both"/>
        <w:rPr>
          <w:rFonts w:ascii="Arial" w:hAnsi="Arial" w:cs="Arial"/>
        </w:rPr>
      </w:pPr>
      <w:r w:rsidRPr="00F51435">
        <w:rPr>
          <w:rFonts w:ascii="Arial" w:hAnsi="Arial" w:cs="Arial"/>
        </w:rPr>
        <w:t xml:space="preserve">This </w:t>
      </w:r>
      <w:r w:rsidR="00066FB4">
        <w:rPr>
          <w:rFonts w:ascii="Arial" w:hAnsi="Arial" w:cs="Arial"/>
        </w:rPr>
        <w:t>manuscript</w:t>
      </w:r>
      <w:r w:rsidRPr="00F51435">
        <w:rPr>
          <w:rFonts w:ascii="Arial" w:hAnsi="Arial" w:cs="Arial"/>
        </w:rPr>
        <w:t xml:space="preserve"> presents the findings of the study on the effects of donors’ education level, ABO/Rhesus blood groups, and time of donation on adverse reactions among voluntary blood donors at Kisumu Regional Blood Transfusion Centre. Data is presented using tables, charts, and descriptive as well as inferential statistics.</w:t>
      </w:r>
    </w:p>
    <w:p w14:paraId="2EDBDA45" w14:textId="77777777" w:rsidR="00F51435" w:rsidRPr="00F51435" w:rsidRDefault="00F51435" w:rsidP="00F51435">
      <w:pPr>
        <w:pStyle w:val="Heading2"/>
        <w:numPr>
          <w:ilvl w:val="1"/>
          <w:numId w:val="32"/>
        </w:numPr>
        <w:spacing w:before="0" w:line="360" w:lineRule="auto"/>
        <w:jc w:val="both"/>
        <w:rPr>
          <w:rFonts w:ascii="Arial" w:hAnsi="Arial" w:cs="Arial"/>
          <w:b/>
          <w:bCs/>
          <w:color w:val="000000" w:themeColor="text1"/>
          <w:sz w:val="20"/>
          <w:szCs w:val="20"/>
        </w:rPr>
      </w:pPr>
      <w:bookmarkStart w:id="2" w:name="_Toc226285906"/>
      <w:r w:rsidRPr="00F51435">
        <w:rPr>
          <w:rFonts w:ascii="Arial" w:hAnsi="Arial" w:cs="Arial"/>
          <w:b/>
          <w:bCs/>
          <w:color w:val="000000" w:themeColor="text1"/>
          <w:sz w:val="20"/>
          <w:szCs w:val="20"/>
        </w:rPr>
        <w:t>Response Rate</w:t>
      </w:r>
      <w:bookmarkEnd w:id="2"/>
    </w:p>
    <w:p w14:paraId="4351605C" w14:textId="77777777" w:rsidR="00F51435" w:rsidRPr="00F51435" w:rsidRDefault="00F51435" w:rsidP="00F51435">
      <w:pPr>
        <w:spacing w:line="360" w:lineRule="auto"/>
        <w:jc w:val="both"/>
        <w:rPr>
          <w:rFonts w:ascii="Arial" w:hAnsi="Arial" w:cs="Arial"/>
        </w:rPr>
      </w:pPr>
      <w:r w:rsidRPr="00F51435">
        <w:rPr>
          <w:rFonts w:ascii="Arial" w:hAnsi="Arial" w:cs="Arial"/>
        </w:rPr>
        <w:t xml:space="preserve">A total of </w:t>
      </w:r>
      <w:r w:rsidRPr="00F51435">
        <w:rPr>
          <w:rFonts w:ascii="Arial" w:eastAsiaTheme="majorEastAsia" w:hAnsi="Arial" w:cs="Arial"/>
        </w:rPr>
        <w:t>542 respondents</w:t>
      </w:r>
      <w:r w:rsidRPr="00F51435">
        <w:rPr>
          <w:rFonts w:ascii="Arial" w:hAnsi="Arial" w:cs="Arial"/>
        </w:rPr>
        <w:t xml:space="preserve"> participated in the study. All questionnaires were completely filled and returned, giving a </w:t>
      </w:r>
      <w:r w:rsidRPr="00F51435">
        <w:rPr>
          <w:rFonts w:ascii="Arial" w:eastAsiaTheme="majorEastAsia" w:hAnsi="Arial" w:cs="Arial"/>
        </w:rPr>
        <w:t>response rate of 100%</w:t>
      </w:r>
      <w:r w:rsidRPr="00F51435">
        <w:rPr>
          <w:rFonts w:ascii="Arial" w:hAnsi="Arial" w:cs="Arial"/>
        </w:rPr>
        <w:t>.</w:t>
      </w:r>
    </w:p>
    <w:p w14:paraId="23EA7FDB" w14:textId="77777777" w:rsidR="00F51435" w:rsidRPr="00F51435" w:rsidRDefault="00F51435" w:rsidP="00F51435">
      <w:pPr>
        <w:pStyle w:val="Heading2"/>
        <w:numPr>
          <w:ilvl w:val="1"/>
          <w:numId w:val="32"/>
        </w:numPr>
        <w:spacing w:before="0" w:line="360" w:lineRule="auto"/>
        <w:jc w:val="both"/>
        <w:rPr>
          <w:rFonts w:ascii="Arial" w:hAnsi="Arial" w:cs="Arial"/>
          <w:b/>
          <w:bCs/>
          <w:color w:val="000000" w:themeColor="text1"/>
          <w:sz w:val="20"/>
          <w:szCs w:val="20"/>
        </w:rPr>
      </w:pPr>
      <w:bookmarkStart w:id="3" w:name="_Toc226285907"/>
      <w:r w:rsidRPr="00F51435">
        <w:rPr>
          <w:rFonts w:ascii="Arial" w:hAnsi="Arial" w:cs="Arial"/>
          <w:b/>
          <w:bCs/>
          <w:color w:val="000000" w:themeColor="text1"/>
          <w:sz w:val="20"/>
          <w:szCs w:val="20"/>
        </w:rPr>
        <w:t>Socio-Demographic Characteristics of Respondents</w:t>
      </w:r>
      <w:bookmarkEnd w:id="3"/>
    </w:p>
    <w:p w14:paraId="7637A8DB" w14:textId="576377E5" w:rsidR="00F51435" w:rsidRPr="00F51435" w:rsidRDefault="006E78EA" w:rsidP="006E78EA">
      <w:pPr>
        <w:pStyle w:val="Heading2"/>
        <w:spacing w:before="0" w:line="360" w:lineRule="auto"/>
        <w:jc w:val="both"/>
        <w:rPr>
          <w:rFonts w:ascii="Arial" w:hAnsi="Arial" w:cs="Arial"/>
          <w:b/>
          <w:bCs/>
          <w:color w:val="000000" w:themeColor="text1"/>
          <w:sz w:val="20"/>
          <w:szCs w:val="20"/>
        </w:rPr>
      </w:pPr>
      <w:bookmarkStart w:id="4" w:name="_Toc226285908"/>
      <w:r>
        <w:rPr>
          <w:rFonts w:ascii="Arial" w:hAnsi="Arial" w:cs="Arial"/>
          <w:b/>
          <w:bCs/>
          <w:color w:val="000000" w:themeColor="text1"/>
          <w:sz w:val="20"/>
          <w:szCs w:val="20"/>
        </w:rPr>
        <w:t xml:space="preserve">Table 1. </w:t>
      </w:r>
      <w:r w:rsidR="00F51435" w:rsidRPr="00F51435">
        <w:rPr>
          <w:rFonts w:ascii="Arial" w:hAnsi="Arial" w:cs="Arial"/>
          <w:b/>
          <w:bCs/>
          <w:color w:val="000000" w:themeColor="text1"/>
          <w:sz w:val="20"/>
          <w:szCs w:val="20"/>
        </w:rPr>
        <w:t>Gender Distribution</w:t>
      </w:r>
      <w:bookmarkEnd w:id="4"/>
    </w:p>
    <w:tbl>
      <w:tblPr>
        <w:tblStyle w:val="TableGrid"/>
        <w:tblW w:w="4415"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79"/>
        <w:gridCol w:w="2767"/>
        <w:gridCol w:w="2992"/>
      </w:tblGrid>
      <w:tr w:rsidR="00F51435" w:rsidRPr="00F51435" w14:paraId="1D2FC7FF" w14:textId="77777777" w:rsidTr="00EB1162">
        <w:trPr>
          <w:trHeight w:val="511"/>
        </w:trPr>
        <w:tc>
          <w:tcPr>
            <w:tcW w:w="1129" w:type="pct"/>
            <w:tcBorders>
              <w:top w:val="single" w:sz="4" w:space="0" w:color="auto"/>
              <w:bottom w:val="single" w:sz="4" w:space="0" w:color="auto"/>
            </w:tcBorders>
            <w:hideMark/>
          </w:tcPr>
          <w:p w14:paraId="5055D185"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Gender</w:t>
            </w:r>
          </w:p>
        </w:tc>
        <w:tc>
          <w:tcPr>
            <w:tcW w:w="1860" w:type="pct"/>
            <w:tcBorders>
              <w:top w:val="single" w:sz="4" w:space="0" w:color="auto"/>
              <w:bottom w:val="single" w:sz="4" w:space="0" w:color="auto"/>
            </w:tcBorders>
            <w:hideMark/>
          </w:tcPr>
          <w:p w14:paraId="0753ADD1"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Frequency (n)</w:t>
            </w:r>
          </w:p>
        </w:tc>
        <w:tc>
          <w:tcPr>
            <w:tcW w:w="2011" w:type="pct"/>
            <w:tcBorders>
              <w:top w:val="single" w:sz="4" w:space="0" w:color="auto"/>
              <w:bottom w:val="single" w:sz="4" w:space="0" w:color="auto"/>
            </w:tcBorders>
            <w:hideMark/>
          </w:tcPr>
          <w:p w14:paraId="303FDDE1"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Percentage (%)</w:t>
            </w:r>
          </w:p>
        </w:tc>
      </w:tr>
      <w:tr w:rsidR="00F51435" w:rsidRPr="00F51435" w14:paraId="4606AA04" w14:textId="77777777" w:rsidTr="00EB1162">
        <w:trPr>
          <w:trHeight w:val="524"/>
        </w:trPr>
        <w:tc>
          <w:tcPr>
            <w:tcW w:w="1129" w:type="pct"/>
            <w:tcBorders>
              <w:top w:val="single" w:sz="4" w:space="0" w:color="auto"/>
            </w:tcBorders>
            <w:hideMark/>
          </w:tcPr>
          <w:p w14:paraId="4D18518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Male</w:t>
            </w:r>
          </w:p>
        </w:tc>
        <w:tc>
          <w:tcPr>
            <w:tcW w:w="1860" w:type="pct"/>
            <w:tcBorders>
              <w:top w:val="single" w:sz="4" w:space="0" w:color="auto"/>
            </w:tcBorders>
            <w:hideMark/>
          </w:tcPr>
          <w:p w14:paraId="38FBDA3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302</w:t>
            </w:r>
          </w:p>
        </w:tc>
        <w:tc>
          <w:tcPr>
            <w:tcW w:w="2011" w:type="pct"/>
            <w:tcBorders>
              <w:top w:val="single" w:sz="4" w:space="0" w:color="auto"/>
            </w:tcBorders>
            <w:hideMark/>
          </w:tcPr>
          <w:p w14:paraId="30EE6E3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55.7</w:t>
            </w:r>
          </w:p>
        </w:tc>
      </w:tr>
      <w:tr w:rsidR="00F51435" w:rsidRPr="00F51435" w14:paraId="79057DA3" w14:textId="77777777" w:rsidTr="00EB1162">
        <w:trPr>
          <w:trHeight w:val="511"/>
        </w:trPr>
        <w:tc>
          <w:tcPr>
            <w:tcW w:w="1129" w:type="pct"/>
            <w:tcBorders>
              <w:bottom w:val="single" w:sz="4" w:space="0" w:color="auto"/>
            </w:tcBorders>
            <w:hideMark/>
          </w:tcPr>
          <w:p w14:paraId="08B52F3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Female</w:t>
            </w:r>
          </w:p>
        </w:tc>
        <w:tc>
          <w:tcPr>
            <w:tcW w:w="1860" w:type="pct"/>
            <w:tcBorders>
              <w:bottom w:val="single" w:sz="4" w:space="0" w:color="auto"/>
            </w:tcBorders>
            <w:hideMark/>
          </w:tcPr>
          <w:p w14:paraId="29E17A6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240</w:t>
            </w:r>
          </w:p>
        </w:tc>
        <w:tc>
          <w:tcPr>
            <w:tcW w:w="2011" w:type="pct"/>
            <w:tcBorders>
              <w:bottom w:val="single" w:sz="4" w:space="0" w:color="auto"/>
            </w:tcBorders>
            <w:hideMark/>
          </w:tcPr>
          <w:p w14:paraId="4A21429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44.3</w:t>
            </w:r>
          </w:p>
        </w:tc>
      </w:tr>
      <w:tr w:rsidR="00F51435" w:rsidRPr="00F51435" w14:paraId="4156CE92" w14:textId="77777777" w:rsidTr="00EB1162">
        <w:trPr>
          <w:trHeight w:val="511"/>
        </w:trPr>
        <w:tc>
          <w:tcPr>
            <w:tcW w:w="1129" w:type="pct"/>
            <w:tcBorders>
              <w:top w:val="single" w:sz="4" w:space="0" w:color="auto"/>
              <w:bottom w:val="single" w:sz="4" w:space="0" w:color="auto"/>
            </w:tcBorders>
            <w:hideMark/>
          </w:tcPr>
          <w:p w14:paraId="62B1D90A"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lastRenderedPageBreak/>
              <w:t>Total</w:t>
            </w:r>
          </w:p>
        </w:tc>
        <w:tc>
          <w:tcPr>
            <w:tcW w:w="1860" w:type="pct"/>
            <w:tcBorders>
              <w:top w:val="single" w:sz="4" w:space="0" w:color="auto"/>
              <w:bottom w:val="single" w:sz="4" w:space="0" w:color="auto"/>
            </w:tcBorders>
            <w:hideMark/>
          </w:tcPr>
          <w:p w14:paraId="5BE0342A"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542</w:t>
            </w:r>
          </w:p>
        </w:tc>
        <w:tc>
          <w:tcPr>
            <w:tcW w:w="2011" w:type="pct"/>
            <w:tcBorders>
              <w:top w:val="single" w:sz="4" w:space="0" w:color="auto"/>
              <w:bottom w:val="single" w:sz="4" w:space="0" w:color="auto"/>
            </w:tcBorders>
            <w:hideMark/>
          </w:tcPr>
          <w:p w14:paraId="433E1FCD"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100.0</w:t>
            </w:r>
          </w:p>
        </w:tc>
      </w:tr>
    </w:tbl>
    <w:p w14:paraId="3A3F7B60" w14:textId="77777777" w:rsidR="00F51435" w:rsidRPr="00F51435" w:rsidRDefault="00F51435" w:rsidP="00F51435">
      <w:pPr>
        <w:spacing w:line="360" w:lineRule="auto"/>
        <w:jc w:val="both"/>
        <w:rPr>
          <w:rFonts w:ascii="Arial" w:hAnsi="Arial" w:cs="Arial"/>
        </w:rPr>
      </w:pPr>
      <w:r w:rsidRPr="00F51435">
        <w:rPr>
          <w:rFonts w:ascii="Arial" w:hAnsi="Arial" w:cs="Arial"/>
        </w:rPr>
        <w:t>The gender distribution of respondents showed that males constituted 55.7% (n = 302), while females accounted for 44.3% (n = 240).</w:t>
      </w:r>
    </w:p>
    <w:p w14:paraId="306CDE87" w14:textId="695890E7" w:rsidR="00F51435" w:rsidRPr="00F51435" w:rsidRDefault="006E78EA" w:rsidP="006E78EA">
      <w:pPr>
        <w:pStyle w:val="Heading3"/>
        <w:spacing w:before="0" w:line="360" w:lineRule="auto"/>
        <w:jc w:val="both"/>
        <w:rPr>
          <w:rFonts w:ascii="Arial" w:hAnsi="Arial" w:cs="Arial"/>
          <w:b/>
          <w:bCs/>
          <w:color w:val="000000" w:themeColor="text1"/>
          <w:sz w:val="20"/>
          <w:szCs w:val="20"/>
        </w:rPr>
      </w:pPr>
      <w:bookmarkStart w:id="5" w:name="_Toc226285909"/>
      <w:r w:rsidRPr="006E78EA">
        <w:rPr>
          <w:rFonts w:ascii="Arial" w:hAnsi="Arial" w:cs="Arial"/>
          <w:b/>
          <w:bCs/>
          <w:color w:val="000000" w:themeColor="text1"/>
          <w:sz w:val="20"/>
          <w:szCs w:val="20"/>
        </w:rPr>
        <w:t xml:space="preserve">Table </w:t>
      </w:r>
      <w:r>
        <w:rPr>
          <w:rFonts w:ascii="Arial" w:hAnsi="Arial" w:cs="Arial"/>
          <w:b/>
          <w:bCs/>
          <w:color w:val="000000" w:themeColor="text1"/>
          <w:sz w:val="20"/>
          <w:szCs w:val="20"/>
        </w:rPr>
        <w:t>2</w:t>
      </w:r>
      <w:r w:rsidRPr="006E78EA">
        <w:rPr>
          <w:rFonts w:ascii="Arial" w:hAnsi="Arial" w:cs="Arial"/>
          <w:b/>
          <w:bCs/>
          <w:color w:val="000000" w:themeColor="text1"/>
          <w:sz w:val="20"/>
          <w:szCs w:val="20"/>
        </w:rPr>
        <w:t xml:space="preserve">. </w:t>
      </w:r>
      <w:r w:rsidR="00F51435" w:rsidRPr="00F51435">
        <w:rPr>
          <w:rFonts w:ascii="Arial" w:hAnsi="Arial" w:cs="Arial"/>
          <w:b/>
          <w:bCs/>
          <w:color w:val="000000" w:themeColor="text1"/>
          <w:sz w:val="20"/>
          <w:szCs w:val="20"/>
        </w:rPr>
        <w:t>Age Distribution of Donors</w:t>
      </w:r>
      <w:bookmarkEnd w:id="5"/>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2483"/>
        <w:gridCol w:w="2699"/>
      </w:tblGrid>
      <w:tr w:rsidR="00F51435" w:rsidRPr="00F51435" w14:paraId="67E34F28" w14:textId="77777777" w:rsidTr="00EB1162">
        <w:tc>
          <w:tcPr>
            <w:tcW w:w="1924" w:type="pct"/>
            <w:tcBorders>
              <w:bottom w:val="single" w:sz="4" w:space="0" w:color="auto"/>
            </w:tcBorders>
            <w:hideMark/>
          </w:tcPr>
          <w:p w14:paraId="5BA1B3EA"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Age Group (Years)</w:t>
            </w:r>
          </w:p>
        </w:tc>
        <w:tc>
          <w:tcPr>
            <w:tcW w:w="1474" w:type="pct"/>
            <w:tcBorders>
              <w:bottom w:val="single" w:sz="4" w:space="0" w:color="auto"/>
            </w:tcBorders>
            <w:hideMark/>
          </w:tcPr>
          <w:p w14:paraId="657FEDCC"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Frequency (n)</w:t>
            </w:r>
          </w:p>
        </w:tc>
        <w:tc>
          <w:tcPr>
            <w:tcW w:w="1602" w:type="pct"/>
            <w:tcBorders>
              <w:bottom w:val="single" w:sz="4" w:space="0" w:color="auto"/>
            </w:tcBorders>
            <w:hideMark/>
          </w:tcPr>
          <w:p w14:paraId="77D2AA7C"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Percentage (%)</w:t>
            </w:r>
          </w:p>
        </w:tc>
      </w:tr>
      <w:tr w:rsidR="00F51435" w:rsidRPr="00F51435" w14:paraId="287ABE4D" w14:textId="77777777" w:rsidTr="00EB1162">
        <w:tc>
          <w:tcPr>
            <w:tcW w:w="1924" w:type="pct"/>
            <w:tcBorders>
              <w:top w:val="single" w:sz="4" w:space="0" w:color="auto"/>
              <w:bottom w:val="nil"/>
            </w:tcBorders>
            <w:hideMark/>
          </w:tcPr>
          <w:p w14:paraId="166091F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11–20</w:t>
            </w:r>
          </w:p>
        </w:tc>
        <w:tc>
          <w:tcPr>
            <w:tcW w:w="1474" w:type="pct"/>
            <w:tcBorders>
              <w:top w:val="single" w:sz="4" w:space="0" w:color="auto"/>
              <w:bottom w:val="nil"/>
            </w:tcBorders>
            <w:hideMark/>
          </w:tcPr>
          <w:p w14:paraId="11CC81C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352</w:t>
            </w:r>
          </w:p>
        </w:tc>
        <w:tc>
          <w:tcPr>
            <w:tcW w:w="1602" w:type="pct"/>
            <w:tcBorders>
              <w:top w:val="single" w:sz="4" w:space="0" w:color="auto"/>
              <w:bottom w:val="nil"/>
            </w:tcBorders>
            <w:hideMark/>
          </w:tcPr>
          <w:p w14:paraId="6D9C83D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64.9</w:t>
            </w:r>
          </w:p>
        </w:tc>
      </w:tr>
      <w:tr w:rsidR="00F51435" w:rsidRPr="00F51435" w14:paraId="2EC15E6F" w14:textId="77777777" w:rsidTr="00EB1162">
        <w:tc>
          <w:tcPr>
            <w:tcW w:w="1924" w:type="pct"/>
            <w:tcBorders>
              <w:top w:val="nil"/>
              <w:bottom w:val="nil"/>
            </w:tcBorders>
            <w:hideMark/>
          </w:tcPr>
          <w:p w14:paraId="07E358B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21–30</w:t>
            </w:r>
          </w:p>
        </w:tc>
        <w:tc>
          <w:tcPr>
            <w:tcW w:w="1474" w:type="pct"/>
            <w:tcBorders>
              <w:top w:val="nil"/>
              <w:bottom w:val="nil"/>
            </w:tcBorders>
            <w:hideMark/>
          </w:tcPr>
          <w:p w14:paraId="37CFBFB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103</w:t>
            </w:r>
          </w:p>
        </w:tc>
        <w:tc>
          <w:tcPr>
            <w:tcW w:w="1602" w:type="pct"/>
            <w:tcBorders>
              <w:top w:val="nil"/>
              <w:bottom w:val="nil"/>
            </w:tcBorders>
            <w:hideMark/>
          </w:tcPr>
          <w:p w14:paraId="37FAE21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19.0</w:t>
            </w:r>
          </w:p>
        </w:tc>
      </w:tr>
      <w:tr w:rsidR="00F51435" w:rsidRPr="00F51435" w14:paraId="0B490914" w14:textId="77777777" w:rsidTr="00EB1162">
        <w:tc>
          <w:tcPr>
            <w:tcW w:w="1924" w:type="pct"/>
            <w:tcBorders>
              <w:top w:val="nil"/>
              <w:bottom w:val="nil"/>
            </w:tcBorders>
            <w:hideMark/>
          </w:tcPr>
          <w:p w14:paraId="4B50916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31–40</w:t>
            </w:r>
          </w:p>
        </w:tc>
        <w:tc>
          <w:tcPr>
            <w:tcW w:w="1474" w:type="pct"/>
            <w:tcBorders>
              <w:top w:val="nil"/>
              <w:bottom w:val="nil"/>
            </w:tcBorders>
            <w:hideMark/>
          </w:tcPr>
          <w:p w14:paraId="6CE613E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51</w:t>
            </w:r>
          </w:p>
        </w:tc>
        <w:tc>
          <w:tcPr>
            <w:tcW w:w="1602" w:type="pct"/>
            <w:tcBorders>
              <w:top w:val="nil"/>
              <w:bottom w:val="nil"/>
            </w:tcBorders>
            <w:hideMark/>
          </w:tcPr>
          <w:p w14:paraId="51963A5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9.4</w:t>
            </w:r>
          </w:p>
        </w:tc>
      </w:tr>
      <w:tr w:rsidR="00F51435" w:rsidRPr="00F51435" w14:paraId="1181F973" w14:textId="77777777" w:rsidTr="00EB1162">
        <w:tc>
          <w:tcPr>
            <w:tcW w:w="1924" w:type="pct"/>
            <w:tcBorders>
              <w:top w:val="nil"/>
              <w:bottom w:val="nil"/>
            </w:tcBorders>
            <w:hideMark/>
          </w:tcPr>
          <w:p w14:paraId="0BEE063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41–50</w:t>
            </w:r>
          </w:p>
        </w:tc>
        <w:tc>
          <w:tcPr>
            <w:tcW w:w="1474" w:type="pct"/>
            <w:tcBorders>
              <w:top w:val="nil"/>
              <w:bottom w:val="nil"/>
            </w:tcBorders>
            <w:hideMark/>
          </w:tcPr>
          <w:p w14:paraId="4570CCB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28</w:t>
            </w:r>
          </w:p>
        </w:tc>
        <w:tc>
          <w:tcPr>
            <w:tcW w:w="1602" w:type="pct"/>
            <w:tcBorders>
              <w:top w:val="nil"/>
              <w:bottom w:val="nil"/>
            </w:tcBorders>
            <w:hideMark/>
          </w:tcPr>
          <w:p w14:paraId="136B2BF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5.2</w:t>
            </w:r>
          </w:p>
        </w:tc>
      </w:tr>
      <w:tr w:rsidR="00F51435" w:rsidRPr="00F51435" w14:paraId="27BA8027" w14:textId="77777777" w:rsidTr="00EB1162">
        <w:tc>
          <w:tcPr>
            <w:tcW w:w="1924" w:type="pct"/>
            <w:tcBorders>
              <w:top w:val="nil"/>
              <w:bottom w:val="single" w:sz="4" w:space="0" w:color="auto"/>
            </w:tcBorders>
            <w:hideMark/>
          </w:tcPr>
          <w:p w14:paraId="424B610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51–60</w:t>
            </w:r>
          </w:p>
        </w:tc>
        <w:tc>
          <w:tcPr>
            <w:tcW w:w="1474" w:type="pct"/>
            <w:tcBorders>
              <w:top w:val="nil"/>
              <w:bottom w:val="single" w:sz="4" w:space="0" w:color="auto"/>
            </w:tcBorders>
            <w:hideMark/>
          </w:tcPr>
          <w:p w14:paraId="60D648D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w:t>
            </w:r>
          </w:p>
        </w:tc>
        <w:tc>
          <w:tcPr>
            <w:tcW w:w="1602" w:type="pct"/>
            <w:tcBorders>
              <w:top w:val="nil"/>
              <w:bottom w:val="single" w:sz="4" w:space="0" w:color="auto"/>
            </w:tcBorders>
            <w:hideMark/>
          </w:tcPr>
          <w:p w14:paraId="17B5779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w:t>
            </w:r>
          </w:p>
        </w:tc>
      </w:tr>
      <w:tr w:rsidR="00F51435" w:rsidRPr="00F51435" w14:paraId="7BED6A0B" w14:textId="77777777" w:rsidTr="00EB1162">
        <w:tc>
          <w:tcPr>
            <w:tcW w:w="1924" w:type="pct"/>
            <w:tcBorders>
              <w:top w:val="single" w:sz="4" w:space="0" w:color="auto"/>
            </w:tcBorders>
            <w:hideMark/>
          </w:tcPr>
          <w:p w14:paraId="38D321E6"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Total</w:t>
            </w:r>
          </w:p>
        </w:tc>
        <w:tc>
          <w:tcPr>
            <w:tcW w:w="1474" w:type="pct"/>
            <w:tcBorders>
              <w:top w:val="single" w:sz="4" w:space="0" w:color="auto"/>
            </w:tcBorders>
            <w:hideMark/>
          </w:tcPr>
          <w:p w14:paraId="16C84435"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542</w:t>
            </w:r>
          </w:p>
        </w:tc>
        <w:tc>
          <w:tcPr>
            <w:tcW w:w="1602" w:type="pct"/>
            <w:tcBorders>
              <w:top w:val="single" w:sz="4" w:space="0" w:color="auto"/>
            </w:tcBorders>
            <w:hideMark/>
          </w:tcPr>
          <w:p w14:paraId="1BED5BF4"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100.0</w:t>
            </w:r>
          </w:p>
        </w:tc>
      </w:tr>
    </w:tbl>
    <w:p w14:paraId="5E0A0FFF" w14:textId="77777777" w:rsidR="00F51435" w:rsidRDefault="00F51435" w:rsidP="00F51435">
      <w:pPr>
        <w:spacing w:line="360" w:lineRule="auto"/>
        <w:jc w:val="both"/>
        <w:rPr>
          <w:rFonts w:ascii="Arial" w:hAnsi="Arial" w:cs="Arial"/>
        </w:rPr>
      </w:pPr>
      <w:r w:rsidRPr="00F51435">
        <w:rPr>
          <w:rFonts w:ascii="Arial" w:hAnsi="Arial" w:cs="Arial"/>
        </w:rPr>
        <w:t>The age distribution of respondents indicates that the majority of donors were within the younger age categories. Specifically, donors aged 11–20 years constituted 64.9% (n = 352) of the total sample, followed by those aged 21–30 years at 19.0% (n = 103). Participants aged above 40 years represented a relatively small proportion of the study population.</w:t>
      </w:r>
    </w:p>
    <w:p w14:paraId="362220A8" w14:textId="77777777" w:rsidR="00F51435" w:rsidRPr="00F51435" w:rsidRDefault="00F51435" w:rsidP="00F51435">
      <w:pPr>
        <w:spacing w:line="360" w:lineRule="auto"/>
        <w:jc w:val="both"/>
        <w:rPr>
          <w:rFonts w:ascii="Arial" w:hAnsi="Arial" w:cs="Arial"/>
        </w:rPr>
      </w:pPr>
    </w:p>
    <w:p w14:paraId="431487F9" w14:textId="77777777" w:rsidR="00F51435" w:rsidRPr="00F51435" w:rsidRDefault="00F51435" w:rsidP="00F51435">
      <w:pPr>
        <w:pStyle w:val="Heading3"/>
        <w:numPr>
          <w:ilvl w:val="2"/>
          <w:numId w:val="32"/>
        </w:numPr>
        <w:spacing w:before="0" w:line="360" w:lineRule="auto"/>
        <w:jc w:val="both"/>
        <w:rPr>
          <w:rFonts w:ascii="Arial" w:hAnsi="Arial" w:cs="Arial"/>
          <w:b/>
          <w:bCs/>
          <w:color w:val="000000" w:themeColor="text1"/>
          <w:sz w:val="20"/>
          <w:szCs w:val="20"/>
        </w:rPr>
      </w:pPr>
      <w:bookmarkStart w:id="6" w:name="_Toc226285910"/>
      <w:r w:rsidRPr="00F51435">
        <w:rPr>
          <w:rFonts w:ascii="Arial" w:hAnsi="Arial" w:cs="Arial"/>
          <w:b/>
          <w:bCs/>
          <w:color w:val="000000" w:themeColor="text1"/>
          <w:sz w:val="20"/>
          <w:szCs w:val="20"/>
        </w:rPr>
        <w:t>Body Weight Distribution</w:t>
      </w:r>
      <w:bookmarkEnd w:id="6"/>
    </w:p>
    <w:p w14:paraId="05B1293D" w14:textId="27E1B3C5" w:rsidR="00F51435" w:rsidRPr="00F51435" w:rsidRDefault="00F51435" w:rsidP="00F51435">
      <w:pPr>
        <w:spacing w:line="360" w:lineRule="auto"/>
        <w:jc w:val="both"/>
        <w:rPr>
          <w:rFonts w:ascii="Arial" w:hAnsi="Arial" w:cs="Arial"/>
        </w:rPr>
      </w:pPr>
      <w:r w:rsidRPr="00F51435">
        <w:rPr>
          <w:rFonts w:ascii="Arial" w:eastAsiaTheme="majorEastAsia" w:hAnsi="Arial" w:cs="Arial"/>
          <w:b/>
          <w:bCs/>
        </w:rPr>
        <w:t xml:space="preserve">Table </w:t>
      </w:r>
      <w:r w:rsidR="006E78EA">
        <w:rPr>
          <w:rFonts w:ascii="Arial" w:eastAsiaTheme="majorEastAsia" w:hAnsi="Arial" w:cs="Arial"/>
          <w:b/>
          <w:bCs/>
        </w:rPr>
        <w:t xml:space="preserve">3. </w:t>
      </w:r>
      <w:r w:rsidRPr="00F51435">
        <w:rPr>
          <w:rFonts w:ascii="Arial" w:eastAsiaTheme="majorEastAsia" w:hAnsi="Arial" w:cs="Arial"/>
          <w:b/>
          <w:bCs/>
        </w:rPr>
        <w:t>Body Weight Distribution of Respondents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2546"/>
        <w:gridCol w:w="2770"/>
      </w:tblGrid>
      <w:tr w:rsidR="00F51435" w:rsidRPr="00F51435" w14:paraId="56CAF356" w14:textId="77777777" w:rsidTr="00EB1162">
        <w:tc>
          <w:tcPr>
            <w:tcW w:w="1845" w:type="pct"/>
            <w:tcBorders>
              <w:bottom w:val="single" w:sz="4" w:space="0" w:color="auto"/>
            </w:tcBorders>
            <w:hideMark/>
          </w:tcPr>
          <w:p w14:paraId="7887AB19"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Body Weight (kg)</w:t>
            </w:r>
          </w:p>
        </w:tc>
        <w:tc>
          <w:tcPr>
            <w:tcW w:w="1511" w:type="pct"/>
            <w:tcBorders>
              <w:bottom w:val="single" w:sz="4" w:space="0" w:color="auto"/>
            </w:tcBorders>
            <w:hideMark/>
          </w:tcPr>
          <w:p w14:paraId="07BBE927"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Frequency (n)</w:t>
            </w:r>
          </w:p>
        </w:tc>
        <w:tc>
          <w:tcPr>
            <w:tcW w:w="1644" w:type="pct"/>
            <w:tcBorders>
              <w:bottom w:val="single" w:sz="4" w:space="0" w:color="auto"/>
            </w:tcBorders>
            <w:hideMark/>
          </w:tcPr>
          <w:p w14:paraId="4EEC3570"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Percentage (%)</w:t>
            </w:r>
          </w:p>
        </w:tc>
      </w:tr>
      <w:tr w:rsidR="00F51435" w:rsidRPr="00F51435" w14:paraId="7074E3C5" w14:textId="77777777" w:rsidTr="00EB1162">
        <w:tc>
          <w:tcPr>
            <w:tcW w:w="1845" w:type="pct"/>
            <w:tcBorders>
              <w:top w:val="single" w:sz="4" w:space="0" w:color="auto"/>
              <w:bottom w:val="nil"/>
            </w:tcBorders>
            <w:hideMark/>
          </w:tcPr>
          <w:p w14:paraId="42E6086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41–50</w:t>
            </w:r>
          </w:p>
        </w:tc>
        <w:tc>
          <w:tcPr>
            <w:tcW w:w="1511" w:type="pct"/>
            <w:tcBorders>
              <w:top w:val="single" w:sz="4" w:space="0" w:color="auto"/>
              <w:bottom w:val="nil"/>
            </w:tcBorders>
            <w:hideMark/>
          </w:tcPr>
          <w:p w14:paraId="0DDE23C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w:t>
            </w:r>
          </w:p>
        </w:tc>
        <w:tc>
          <w:tcPr>
            <w:tcW w:w="1644" w:type="pct"/>
            <w:tcBorders>
              <w:top w:val="single" w:sz="4" w:space="0" w:color="auto"/>
              <w:bottom w:val="nil"/>
            </w:tcBorders>
            <w:hideMark/>
          </w:tcPr>
          <w:p w14:paraId="1E10400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1.8</w:t>
            </w:r>
          </w:p>
        </w:tc>
      </w:tr>
      <w:tr w:rsidR="00F51435" w:rsidRPr="00F51435" w14:paraId="29649590" w14:textId="77777777" w:rsidTr="00EB1162">
        <w:tc>
          <w:tcPr>
            <w:tcW w:w="1845" w:type="pct"/>
            <w:tcBorders>
              <w:top w:val="nil"/>
              <w:bottom w:val="nil"/>
            </w:tcBorders>
            <w:hideMark/>
          </w:tcPr>
          <w:p w14:paraId="4F52E23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51–60</w:t>
            </w:r>
          </w:p>
        </w:tc>
        <w:tc>
          <w:tcPr>
            <w:tcW w:w="1511" w:type="pct"/>
            <w:tcBorders>
              <w:top w:val="nil"/>
              <w:bottom w:val="nil"/>
            </w:tcBorders>
            <w:hideMark/>
          </w:tcPr>
          <w:p w14:paraId="39BE511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129</w:t>
            </w:r>
          </w:p>
        </w:tc>
        <w:tc>
          <w:tcPr>
            <w:tcW w:w="1644" w:type="pct"/>
            <w:tcBorders>
              <w:top w:val="nil"/>
              <w:bottom w:val="nil"/>
            </w:tcBorders>
            <w:hideMark/>
          </w:tcPr>
          <w:p w14:paraId="5539E72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23.8</w:t>
            </w:r>
          </w:p>
        </w:tc>
      </w:tr>
      <w:tr w:rsidR="00F51435" w:rsidRPr="00F51435" w14:paraId="16A755F2" w14:textId="77777777" w:rsidTr="00EB1162">
        <w:tc>
          <w:tcPr>
            <w:tcW w:w="1845" w:type="pct"/>
            <w:tcBorders>
              <w:top w:val="nil"/>
              <w:bottom w:val="nil"/>
            </w:tcBorders>
            <w:hideMark/>
          </w:tcPr>
          <w:p w14:paraId="12CA6E1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61–70</w:t>
            </w:r>
          </w:p>
        </w:tc>
        <w:tc>
          <w:tcPr>
            <w:tcW w:w="1511" w:type="pct"/>
            <w:tcBorders>
              <w:top w:val="nil"/>
              <w:bottom w:val="nil"/>
            </w:tcBorders>
            <w:hideMark/>
          </w:tcPr>
          <w:p w14:paraId="7AEEF5D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238</w:t>
            </w:r>
          </w:p>
        </w:tc>
        <w:tc>
          <w:tcPr>
            <w:tcW w:w="1644" w:type="pct"/>
            <w:tcBorders>
              <w:top w:val="nil"/>
              <w:bottom w:val="nil"/>
            </w:tcBorders>
            <w:hideMark/>
          </w:tcPr>
          <w:p w14:paraId="3C5B53B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43.9</w:t>
            </w:r>
          </w:p>
        </w:tc>
      </w:tr>
      <w:tr w:rsidR="00F51435" w:rsidRPr="00F51435" w14:paraId="6B3A1184" w14:textId="77777777" w:rsidTr="00EB1162">
        <w:tc>
          <w:tcPr>
            <w:tcW w:w="1845" w:type="pct"/>
            <w:tcBorders>
              <w:top w:val="nil"/>
              <w:bottom w:val="nil"/>
            </w:tcBorders>
            <w:hideMark/>
          </w:tcPr>
          <w:p w14:paraId="2C98DCD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71–80</w:t>
            </w:r>
          </w:p>
        </w:tc>
        <w:tc>
          <w:tcPr>
            <w:tcW w:w="1511" w:type="pct"/>
            <w:tcBorders>
              <w:top w:val="nil"/>
              <w:bottom w:val="nil"/>
            </w:tcBorders>
            <w:hideMark/>
          </w:tcPr>
          <w:p w14:paraId="7F5BDE5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103</w:t>
            </w:r>
          </w:p>
        </w:tc>
        <w:tc>
          <w:tcPr>
            <w:tcW w:w="1644" w:type="pct"/>
            <w:tcBorders>
              <w:top w:val="nil"/>
              <w:bottom w:val="nil"/>
            </w:tcBorders>
            <w:hideMark/>
          </w:tcPr>
          <w:p w14:paraId="026EAEF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19.0</w:t>
            </w:r>
          </w:p>
        </w:tc>
      </w:tr>
      <w:tr w:rsidR="00F51435" w:rsidRPr="00F51435" w14:paraId="5C950A65" w14:textId="77777777" w:rsidTr="00EB1162">
        <w:tc>
          <w:tcPr>
            <w:tcW w:w="1845" w:type="pct"/>
            <w:tcBorders>
              <w:top w:val="nil"/>
              <w:bottom w:val="nil"/>
            </w:tcBorders>
            <w:hideMark/>
          </w:tcPr>
          <w:p w14:paraId="2DBED71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81–90</w:t>
            </w:r>
          </w:p>
        </w:tc>
        <w:tc>
          <w:tcPr>
            <w:tcW w:w="1511" w:type="pct"/>
            <w:tcBorders>
              <w:top w:val="nil"/>
              <w:bottom w:val="nil"/>
            </w:tcBorders>
            <w:hideMark/>
          </w:tcPr>
          <w:p w14:paraId="0D4F3C2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39</w:t>
            </w:r>
          </w:p>
        </w:tc>
        <w:tc>
          <w:tcPr>
            <w:tcW w:w="1644" w:type="pct"/>
            <w:tcBorders>
              <w:top w:val="nil"/>
              <w:bottom w:val="nil"/>
            </w:tcBorders>
            <w:hideMark/>
          </w:tcPr>
          <w:p w14:paraId="33C30B4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7.2</w:t>
            </w:r>
          </w:p>
        </w:tc>
      </w:tr>
      <w:tr w:rsidR="00F51435" w:rsidRPr="00F51435" w14:paraId="05AAF319" w14:textId="77777777" w:rsidTr="00EB1162">
        <w:tc>
          <w:tcPr>
            <w:tcW w:w="1845" w:type="pct"/>
            <w:tcBorders>
              <w:top w:val="nil"/>
              <w:bottom w:val="nil"/>
            </w:tcBorders>
            <w:hideMark/>
          </w:tcPr>
          <w:p w14:paraId="5CBCAFD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91–100</w:t>
            </w:r>
          </w:p>
        </w:tc>
        <w:tc>
          <w:tcPr>
            <w:tcW w:w="1511" w:type="pct"/>
            <w:tcBorders>
              <w:top w:val="nil"/>
              <w:bottom w:val="nil"/>
            </w:tcBorders>
            <w:hideMark/>
          </w:tcPr>
          <w:p w14:paraId="4DB29B3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14</w:t>
            </w:r>
          </w:p>
        </w:tc>
        <w:tc>
          <w:tcPr>
            <w:tcW w:w="1644" w:type="pct"/>
            <w:tcBorders>
              <w:top w:val="nil"/>
              <w:bottom w:val="nil"/>
            </w:tcBorders>
            <w:hideMark/>
          </w:tcPr>
          <w:p w14:paraId="57F8FA6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2.6</w:t>
            </w:r>
          </w:p>
        </w:tc>
      </w:tr>
      <w:tr w:rsidR="00F51435" w:rsidRPr="00F51435" w14:paraId="717A2FCC" w14:textId="77777777" w:rsidTr="00EB1162">
        <w:tc>
          <w:tcPr>
            <w:tcW w:w="1845" w:type="pct"/>
            <w:tcBorders>
              <w:top w:val="nil"/>
              <w:bottom w:val="nil"/>
            </w:tcBorders>
            <w:hideMark/>
          </w:tcPr>
          <w:p w14:paraId="0A3CC9F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Above 100</w:t>
            </w:r>
          </w:p>
        </w:tc>
        <w:tc>
          <w:tcPr>
            <w:tcW w:w="1511" w:type="pct"/>
            <w:tcBorders>
              <w:top w:val="nil"/>
              <w:bottom w:val="nil"/>
            </w:tcBorders>
            <w:hideMark/>
          </w:tcPr>
          <w:p w14:paraId="591CF84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w:t>
            </w:r>
          </w:p>
        </w:tc>
        <w:tc>
          <w:tcPr>
            <w:tcW w:w="1644" w:type="pct"/>
            <w:tcBorders>
              <w:top w:val="nil"/>
              <w:bottom w:val="nil"/>
            </w:tcBorders>
            <w:hideMark/>
          </w:tcPr>
          <w:p w14:paraId="476E673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w:t>
            </w:r>
          </w:p>
        </w:tc>
      </w:tr>
      <w:tr w:rsidR="00F51435" w:rsidRPr="00F51435" w14:paraId="2FA728F3" w14:textId="77777777" w:rsidTr="00EB1162">
        <w:tc>
          <w:tcPr>
            <w:tcW w:w="1845" w:type="pct"/>
            <w:tcBorders>
              <w:top w:val="nil"/>
              <w:bottom w:val="single" w:sz="4" w:space="0" w:color="auto"/>
            </w:tcBorders>
            <w:hideMark/>
          </w:tcPr>
          <w:p w14:paraId="7788934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0–10</w:t>
            </w:r>
          </w:p>
        </w:tc>
        <w:tc>
          <w:tcPr>
            <w:tcW w:w="1511" w:type="pct"/>
            <w:tcBorders>
              <w:top w:val="nil"/>
              <w:bottom w:val="single" w:sz="4" w:space="0" w:color="auto"/>
            </w:tcBorders>
            <w:hideMark/>
          </w:tcPr>
          <w:p w14:paraId="4D85FF0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c>
          <w:tcPr>
            <w:tcW w:w="1644" w:type="pct"/>
            <w:tcBorders>
              <w:top w:val="nil"/>
              <w:bottom w:val="single" w:sz="4" w:space="0" w:color="auto"/>
            </w:tcBorders>
            <w:hideMark/>
          </w:tcPr>
          <w:p w14:paraId="289678D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0.2</w:t>
            </w:r>
          </w:p>
        </w:tc>
      </w:tr>
      <w:tr w:rsidR="00F51435" w:rsidRPr="00F51435" w14:paraId="5FF765CA" w14:textId="77777777" w:rsidTr="00EB1162">
        <w:tc>
          <w:tcPr>
            <w:tcW w:w="1845" w:type="pct"/>
            <w:tcBorders>
              <w:top w:val="single" w:sz="4" w:space="0" w:color="auto"/>
            </w:tcBorders>
            <w:hideMark/>
          </w:tcPr>
          <w:p w14:paraId="3ADABF61"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Total</w:t>
            </w:r>
          </w:p>
        </w:tc>
        <w:tc>
          <w:tcPr>
            <w:tcW w:w="1511" w:type="pct"/>
            <w:tcBorders>
              <w:top w:val="single" w:sz="4" w:space="0" w:color="auto"/>
            </w:tcBorders>
            <w:hideMark/>
          </w:tcPr>
          <w:p w14:paraId="74ECC28E"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542</w:t>
            </w:r>
          </w:p>
        </w:tc>
        <w:tc>
          <w:tcPr>
            <w:tcW w:w="1644" w:type="pct"/>
            <w:tcBorders>
              <w:top w:val="single" w:sz="4" w:space="0" w:color="auto"/>
            </w:tcBorders>
            <w:hideMark/>
          </w:tcPr>
          <w:p w14:paraId="39F0A504"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100.0</w:t>
            </w:r>
          </w:p>
        </w:tc>
      </w:tr>
    </w:tbl>
    <w:p w14:paraId="3108E055" w14:textId="77777777" w:rsidR="00F51435" w:rsidRDefault="00F51435" w:rsidP="00F51435">
      <w:pPr>
        <w:spacing w:line="360" w:lineRule="auto"/>
        <w:jc w:val="both"/>
        <w:rPr>
          <w:rFonts w:ascii="Arial" w:hAnsi="Arial" w:cs="Arial"/>
        </w:rPr>
      </w:pPr>
      <w:r w:rsidRPr="00F51435">
        <w:rPr>
          <w:rFonts w:ascii="Arial" w:hAnsi="Arial" w:cs="Arial"/>
        </w:rPr>
        <w:t>The distribution of respondents by body weight revealed that the majority fell within the 61–70 kg category, accounting for 43.9% (n = 238). This was followed by donors weighing 51–60 kg (23.8%) and 71–80 kg (19.0%).</w:t>
      </w:r>
    </w:p>
    <w:p w14:paraId="085857C4" w14:textId="77777777" w:rsidR="00F51435" w:rsidRPr="00F51435" w:rsidRDefault="00F51435" w:rsidP="00F51435">
      <w:pPr>
        <w:spacing w:line="360" w:lineRule="auto"/>
        <w:jc w:val="both"/>
        <w:rPr>
          <w:rFonts w:ascii="Arial" w:hAnsi="Arial" w:cs="Arial"/>
        </w:rPr>
      </w:pPr>
    </w:p>
    <w:p w14:paraId="3C92F093" w14:textId="77777777" w:rsidR="00F51435" w:rsidRPr="00F51435" w:rsidRDefault="00F51435" w:rsidP="00F51435">
      <w:pPr>
        <w:pStyle w:val="Heading3"/>
        <w:numPr>
          <w:ilvl w:val="2"/>
          <w:numId w:val="32"/>
        </w:numPr>
        <w:spacing w:before="0" w:line="360" w:lineRule="auto"/>
        <w:jc w:val="both"/>
        <w:rPr>
          <w:rFonts w:ascii="Arial" w:hAnsi="Arial" w:cs="Arial"/>
          <w:b/>
          <w:bCs/>
          <w:color w:val="000000" w:themeColor="text1"/>
          <w:sz w:val="20"/>
          <w:szCs w:val="20"/>
        </w:rPr>
      </w:pPr>
      <w:bookmarkStart w:id="7" w:name="_Toc226285911"/>
      <w:r w:rsidRPr="00F51435">
        <w:rPr>
          <w:rFonts w:ascii="Arial" w:hAnsi="Arial" w:cs="Arial"/>
          <w:b/>
          <w:bCs/>
          <w:color w:val="000000" w:themeColor="text1"/>
          <w:sz w:val="20"/>
          <w:szCs w:val="20"/>
        </w:rPr>
        <w:t>Number of Previous Donations</w:t>
      </w:r>
      <w:bookmarkEnd w:id="7"/>
    </w:p>
    <w:p w14:paraId="6C240D1E" w14:textId="00E8F2B7" w:rsidR="00F51435" w:rsidRPr="00F51435" w:rsidRDefault="00F51435" w:rsidP="00F51435">
      <w:pPr>
        <w:spacing w:line="360" w:lineRule="auto"/>
        <w:jc w:val="both"/>
        <w:rPr>
          <w:rFonts w:ascii="Arial" w:hAnsi="Arial" w:cs="Arial"/>
        </w:rPr>
      </w:pPr>
      <w:r w:rsidRPr="00F51435">
        <w:rPr>
          <w:rFonts w:ascii="Arial" w:eastAsiaTheme="majorEastAsia" w:hAnsi="Arial" w:cs="Arial"/>
          <w:b/>
          <w:bCs/>
        </w:rPr>
        <w:t>Table 4. Number of Previous Donations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69"/>
        <w:gridCol w:w="2374"/>
        <w:gridCol w:w="2581"/>
      </w:tblGrid>
      <w:tr w:rsidR="00F51435" w:rsidRPr="00F51435" w14:paraId="052E78EA" w14:textId="77777777" w:rsidTr="00EB1162">
        <w:tc>
          <w:tcPr>
            <w:tcW w:w="2059" w:type="pct"/>
            <w:tcBorders>
              <w:bottom w:val="single" w:sz="4" w:space="0" w:color="auto"/>
            </w:tcBorders>
            <w:hideMark/>
          </w:tcPr>
          <w:p w14:paraId="3E18304F"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Number of Donations</w:t>
            </w:r>
          </w:p>
        </w:tc>
        <w:tc>
          <w:tcPr>
            <w:tcW w:w="1409" w:type="pct"/>
            <w:tcBorders>
              <w:bottom w:val="single" w:sz="4" w:space="0" w:color="auto"/>
            </w:tcBorders>
            <w:hideMark/>
          </w:tcPr>
          <w:p w14:paraId="41021CA4"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Frequency (n)</w:t>
            </w:r>
          </w:p>
        </w:tc>
        <w:tc>
          <w:tcPr>
            <w:tcW w:w="1532" w:type="pct"/>
            <w:tcBorders>
              <w:bottom w:val="single" w:sz="4" w:space="0" w:color="auto"/>
            </w:tcBorders>
            <w:hideMark/>
          </w:tcPr>
          <w:p w14:paraId="0911A689"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Percentage (%)</w:t>
            </w:r>
          </w:p>
        </w:tc>
      </w:tr>
      <w:tr w:rsidR="00F51435" w:rsidRPr="00F51435" w14:paraId="1EF34DD8" w14:textId="77777777" w:rsidTr="00EB1162">
        <w:tc>
          <w:tcPr>
            <w:tcW w:w="2059" w:type="pct"/>
            <w:tcBorders>
              <w:top w:val="single" w:sz="4" w:space="0" w:color="auto"/>
              <w:bottom w:val="nil"/>
            </w:tcBorders>
            <w:hideMark/>
          </w:tcPr>
          <w:p w14:paraId="62E163C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lastRenderedPageBreak/>
              <w:t>0</w:t>
            </w:r>
          </w:p>
        </w:tc>
        <w:tc>
          <w:tcPr>
            <w:tcW w:w="1409" w:type="pct"/>
            <w:tcBorders>
              <w:top w:val="single" w:sz="4" w:space="0" w:color="auto"/>
              <w:bottom w:val="nil"/>
            </w:tcBorders>
            <w:hideMark/>
          </w:tcPr>
          <w:p w14:paraId="7BBCA62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467</w:t>
            </w:r>
          </w:p>
        </w:tc>
        <w:tc>
          <w:tcPr>
            <w:tcW w:w="1532" w:type="pct"/>
            <w:tcBorders>
              <w:top w:val="single" w:sz="4" w:space="0" w:color="auto"/>
              <w:bottom w:val="nil"/>
            </w:tcBorders>
            <w:hideMark/>
          </w:tcPr>
          <w:p w14:paraId="0F3FD5A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86.2</w:t>
            </w:r>
          </w:p>
        </w:tc>
      </w:tr>
      <w:tr w:rsidR="00F51435" w:rsidRPr="00F51435" w14:paraId="1A2C1BBB" w14:textId="77777777" w:rsidTr="00EB1162">
        <w:tc>
          <w:tcPr>
            <w:tcW w:w="2059" w:type="pct"/>
            <w:tcBorders>
              <w:top w:val="nil"/>
              <w:bottom w:val="nil"/>
            </w:tcBorders>
            <w:hideMark/>
          </w:tcPr>
          <w:p w14:paraId="76FE0E7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c>
          <w:tcPr>
            <w:tcW w:w="1409" w:type="pct"/>
            <w:tcBorders>
              <w:top w:val="nil"/>
              <w:bottom w:val="nil"/>
            </w:tcBorders>
            <w:hideMark/>
          </w:tcPr>
          <w:p w14:paraId="0B7DD18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30</w:t>
            </w:r>
          </w:p>
        </w:tc>
        <w:tc>
          <w:tcPr>
            <w:tcW w:w="1532" w:type="pct"/>
            <w:tcBorders>
              <w:top w:val="nil"/>
              <w:bottom w:val="nil"/>
            </w:tcBorders>
            <w:hideMark/>
          </w:tcPr>
          <w:p w14:paraId="74DB3FD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5.5</w:t>
            </w:r>
          </w:p>
        </w:tc>
      </w:tr>
      <w:tr w:rsidR="00F51435" w:rsidRPr="00F51435" w14:paraId="4D6EC38D" w14:textId="77777777" w:rsidTr="00EB1162">
        <w:tc>
          <w:tcPr>
            <w:tcW w:w="2059" w:type="pct"/>
            <w:tcBorders>
              <w:top w:val="nil"/>
              <w:bottom w:val="nil"/>
            </w:tcBorders>
            <w:hideMark/>
          </w:tcPr>
          <w:p w14:paraId="2930908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w:t>
            </w:r>
          </w:p>
        </w:tc>
        <w:tc>
          <w:tcPr>
            <w:tcW w:w="1409" w:type="pct"/>
            <w:tcBorders>
              <w:top w:val="nil"/>
              <w:bottom w:val="nil"/>
            </w:tcBorders>
            <w:hideMark/>
          </w:tcPr>
          <w:p w14:paraId="472467D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16</w:t>
            </w:r>
          </w:p>
        </w:tc>
        <w:tc>
          <w:tcPr>
            <w:tcW w:w="1532" w:type="pct"/>
            <w:tcBorders>
              <w:top w:val="nil"/>
              <w:bottom w:val="nil"/>
            </w:tcBorders>
            <w:hideMark/>
          </w:tcPr>
          <w:p w14:paraId="5AB0D88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3.0</w:t>
            </w:r>
          </w:p>
        </w:tc>
      </w:tr>
      <w:tr w:rsidR="00F51435" w:rsidRPr="00F51435" w14:paraId="6520B8B6" w14:textId="77777777" w:rsidTr="00EB1162">
        <w:tc>
          <w:tcPr>
            <w:tcW w:w="2059" w:type="pct"/>
            <w:tcBorders>
              <w:top w:val="nil"/>
              <w:bottom w:val="nil"/>
            </w:tcBorders>
            <w:hideMark/>
          </w:tcPr>
          <w:p w14:paraId="2D50C74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w:t>
            </w:r>
          </w:p>
        </w:tc>
        <w:tc>
          <w:tcPr>
            <w:tcW w:w="1409" w:type="pct"/>
            <w:tcBorders>
              <w:top w:val="nil"/>
              <w:bottom w:val="nil"/>
            </w:tcBorders>
            <w:hideMark/>
          </w:tcPr>
          <w:p w14:paraId="0EF9941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w:t>
            </w:r>
          </w:p>
        </w:tc>
        <w:tc>
          <w:tcPr>
            <w:tcW w:w="1532" w:type="pct"/>
            <w:tcBorders>
              <w:top w:val="nil"/>
              <w:bottom w:val="nil"/>
            </w:tcBorders>
            <w:hideMark/>
          </w:tcPr>
          <w:p w14:paraId="17B3BB2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w:t>
            </w:r>
          </w:p>
        </w:tc>
      </w:tr>
      <w:tr w:rsidR="00F51435" w:rsidRPr="00F51435" w14:paraId="619313CA" w14:textId="77777777" w:rsidTr="00EB1162">
        <w:tc>
          <w:tcPr>
            <w:tcW w:w="2059" w:type="pct"/>
            <w:tcBorders>
              <w:top w:val="nil"/>
              <w:bottom w:val="nil"/>
            </w:tcBorders>
            <w:hideMark/>
          </w:tcPr>
          <w:p w14:paraId="335B18A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w:t>
            </w:r>
          </w:p>
        </w:tc>
        <w:tc>
          <w:tcPr>
            <w:tcW w:w="1409" w:type="pct"/>
            <w:tcBorders>
              <w:top w:val="nil"/>
              <w:bottom w:val="nil"/>
            </w:tcBorders>
            <w:hideMark/>
          </w:tcPr>
          <w:p w14:paraId="48CC8B4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w:t>
            </w:r>
          </w:p>
        </w:tc>
        <w:tc>
          <w:tcPr>
            <w:tcW w:w="1532" w:type="pct"/>
            <w:tcBorders>
              <w:top w:val="nil"/>
              <w:bottom w:val="nil"/>
            </w:tcBorders>
            <w:hideMark/>
          </w:tcPr>
          <w:p w14:paraId="6A08759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1.3</w:t>
            </w:r>
          </w:p>
        </w:tc>
      </w:tr>
      <w:tr w:rsidR="00F51435" w:rsidRPr="00F51435" w14:paraId="311DA1FA" w14:textId="77777777" w:rsidTr="00EB1162">
        <w:tc>
          <w:tcPr>
            <w:tcW w:w="2059" w:type="pct"/>
            <w:tcBorders>
              <w:top w:val="nil"/>
              <w:bottom w:val="single" w:sz="4" w:space="0" w:color="auto"/>
            </w:tcBorders>
            <w:hideMark/>
          </w:tcPr>
          <w:p w14:paraId="626B1D9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 and above</w:t>
            </w:r>
          </w:p>
        </w:tc>
        <w:tc>
          <w:tcPr>
            <w:tcW w:w="1409" w:type="pct"/>
            <w:tcBorders>
              <w:top w:val="nil"/>
              <w:bottom w:val="single" w:sz="4" w:space="0" w:color="auto"/>
            </w:tcBorders>
            <w:hideMark/>
          </w:tcPr>
          <w:p w14:paraId="425B620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14</w:t>
            </w:r>
          </w:p>
        </w:tc>
        <w:tc>
          <w:tcPr>
            <w:tcW w:w="1532" w:type="pct"/>
            <w:tcBorders>
              <w:top w:val="nil"/>
              <w:bottom w:val="single" w:sz="4" w:space="0" w:color="auto"/>
            </w:tcBorders>
            <w:hideMark/>
          </w:tcPr>
          <w:p w14:paraId="46CC928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2.5</w:t>
            </w:r>
          </w:p>
        </w:tc>
      </w:tr>
      <w:tr w:rsidR="00F51435" w:rsidRPr="00F51435" w14:paraId="2C3E0717" w14:textId="77777777" w:rsidTr="00EB1162">
        <w:tc>
          <w:tcPr>
            <w:tcW w:w="2059" w:type="pct"/>
            <w:tcBorders>
              <w:top w:val="single" w:sz="4" w:space="0" w:color="auto"/>
            </w:tcBorders>
            <w:hideMark/>
          </w:tcPr>
          <w:p w14:paraId="58DBCD5C"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Total</w:t>
            </w:r>
          </w:p>
        </w:tc>
        <w:tc>
          <w:tcPr>
            <w:tcW w:w="1409" w:type="pct"/>
            <w:tcBorders>
              <w:top w:val="single" w:sz="4" w:space="0" w:color="auto"/>
            </w:tcBorders>
            <w:hideMark/>
          </w:tcPr>
          <w:p w14:paraId="03621E96"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542</w:t>
            </w:r>
          </w:p>
        </w:tc>
        <w:tc>
          <w:tcPr>
            <w:tcW w:w="1532" w:type="pct"/>
            <w:tcBorders>
              <w:top w:val="single" w:sz="4" w:space="0" w:color="auto"/>
            </w:tcBorders>
            <w:hideMark/>
          </w:tcPr>
          <w:p w14:paraId="663C2400"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100.0</w:t>
            </w:r>
          </w:p>
        </w:tc>
      </w:tr>
    </w:tbl>
    <w:p w14:paraId="62A2D731" w14:textId="77777777" w:rsidR="00F51435" w:rsidRDefault="00F51435" w:rsidP="00F51435">
      <w:pPr>
        <w:spacing w:line="360" w:lineRule="auto"/>
        <w:jc w:val="both"/>
        <w:rPr>
          <w:rFonts w:ascii="Arial" w:hAnsi="Arial" w:cs="Arial"/>
        </w:rPr>
      </w:pPr>
      <w:r w:rsidRPr="00F51435">
        <w:rPr>
          <w:rFonts w:ascii="Arial" w:hAnsi="Arial" w:cs="Arial"/>
        </w:rPr>
        <w:t>The analysis of donation history revealed that a substantial proportion of respondents were first-time donors. Specifically, 86.2% (n = 467) reported no previous donations.</w:t>
      </w:r>
    </w:p>
    <w:p w14:paraId="60D7E8B1" w14:textId="77777777" w:rsidR="00F51435" w:rsidRPr="00F51435" w:rsidRDefault="00F51435" w:rsidP="00F51435">
      <w:pPr>
        <w:spacing w:line="360" w:lineRule="auto"/>
        <w:jc w:val="both"/>
        <w:rPr>
          <w:rFonts w:ascii="Arial" w:hAnsi="Arial" w:cs="Arial"/>
        </w:rPr>
      </w:pPr>
    </w:p>
    <w:p w14:paraId="1C266AD7" w14:textId="77777777" w:rsidR="00F51435" w:rsidRPr="00F51435" w:rsidRDefault="00F51435" w:rsidP="00F51435">
      <w:pPr>
        <w:pStyle w:val="Heading3"/>
        <w:numPr>
          <w:ilvl w:val="2"/>
          <w:numId w:val="32"/>
        </w:numPr>
        <w:spacing w:before="0" w:line="360" w:lineRule="auto"/>
        <w:jc w:val="both"/>
        <w:rPr>
          <w:rFonts w:ascii="Arial" w:hAnsi="Arial" w:cs="Arial"/>
          <w:b/>
          <w:bCs/>
          <w:color w:val="000000" w:themeColor="text1"/>
          <w:sz w:val="20"/>
          <w:szCs w:val="20"/>
        </w:rPr>
      </w:pPr>
      <w:bookmarkStart w:id="8" w:name="_Toc226285912"/>
      <w:r w:rsidRPr="00F51435">
        <w:rPr>
          <w:rFonts w:ascii="Arial" w:hAnsi="Arial" w:cs="Arial"/>
          <w:b/>
          <w:bCs/>
          <w:color w:val="000000" w:themeColor="text1"/>
          <w:sz w:val="20"/>
          <w:szCs w:val="20"/>
        </w:rPr>
        <w:t>Level of Education</w:t>
      </w:r>
      <w:bookmarkEnd w:id="8"/>
    </w:p>
    <w:p w14:paraId="08DD6D23" w14:textId="12446356" w:rsidR="00F51435" w:rsidRPr="00F51435" w:rsidRDefault="00F51435" w:rsidP="00F51435">
      <w:pPr>
        <w:spacing w:line="360" w:lineRule="auto"/>
        <w:jc w:val="both"/>
        <w:rPr>
          <w:rFonts w:ascii="Arial" w:hAnsi="Arial" w:cs="Arial"/>
        </w:rPr>
      </w:pPr>
      <w:r w:rsidRPr="00F51435">
        <w:rPr>
          <w:rFonts w:ascii="Arial" w:eastAsiaTheme="majorEastAsia" w:hAnsi="Arial" w:cs="Arial"/>
          <w:b/>
          <w:bCs/>
        </w:rPr>
        <w:t>Table 5 Level of Education of Respondents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2613"/>
        <w:gridCol w:w="2842"/>
      </w:tblGrid>
      <w:tr w:rsidR="00F51435" w:rsidRPr="00F51435" w14:paraId="418CAC21" w14:textId="77777777" w:rsidTr="00EB1162">
        <w:tc>
          <w:tcPr>
            <w:tcW w:w="1762" w:type="pct"/>
            <w:tcBorders>
              <w:bottom w:val="single" w:sz="4" w:space="0" w:color="auto"/>
            </w:tcBorders>
            <w:hideMark/>
          </w:tcPr>
          <w:p w14:paraId="31B07F94"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Education Level</w:t>
            </w:r>
          </w:p>
        </w:tc>
        <w:tc>
          <w:tcPr>
            <w:tcW w:w="1551" w:type="pct"/>
            <w:tcBorders>
              <w:bottom w:val="single" w:sz="4" w:space="0" w:color="auto"/>
            </w:tcBorders>
            <w:hideMark/>
          </w:tcPr>
          <w:p w14:paraId="5B1B1C84"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Frequency (n)</w:t>
            </w:r>
          </w:p>
        </w:tc>
        <w:tc>
          <w:tcPr>
            <w:tcW w:w="1687" w:type="pct"/>
            <w:tcBorders>
              <w:bottom w:val="single" w:sz="4" w:space="0" w:color="auto"/>
            </w:tcBorders>
            <w:hideMark/>
          </w:tcPr>
          <w:p w14:paraId="3A21E64B"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Percentage (%)</w:t>
            </w:r>
          </w:p>
        </w:tc>
      </w:tr>
      <w:tr w:rsidR="00F51435" w:rsidRPr="00F51435" w14:paraId="67620458" w14:textId="77777777" w:rsidTr="00EB1162">
        <w:tc>
          <w:tcPr>
            <w:tcW w:w="1762" w:type="pct"/>
            <w:tcBorders>
              <w:top w:val="single" w:sz="4" w:space="0" w:color="auto"/>
              <w:bottom w:val="nil"/>
            </w:tcBorders>
            <w:hideMark/>
          </w:tcPr>
          <w:p w14:paraId="4CB4428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None</w:t>
            </w:r>
          </w:p>
        </w:tc>
        <w:tc>
          <w:tcPr>
            <w:tcW w:w="1551" w:type="pct"/>
            <w:tcBorders>
              <w:top w:val="single" w:sz="4" w:space="0" w:color="auto"/>
              <w:bottom w:val="nil"/>
            </w:tcBorders>
            <w:hideMark/>
          </w:tcPr>
          <w:p w14:paraId="3A684AD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c>
          <w:tcPr>
            <w:tcW w:w="1687" w:type="pct"/>
            <w:tcBorders>
              <w:top w:val="single" w:sz="4" w:space="0" w:color="auto"/>
              <w:bottom w:val="nil"/>
            </w:tcBorders>
            <w:hideMark/>
          </w:tcPr>
          <w:p w14:paraId="4E0D181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0.2</w:t>
            </w:r>
          </w:p>
        </w:tc>
      </w:tr>
      <w:tr w:rsidR="00F51435" w:rsidRPr="00F51435" w14:paraId="538B8841" w14:textId="77777777" w:rsidTr="00EB1162">
        <w:tc>
          <w:tcPr>
            <w:tcW w:w="1762" w:type="pct"/>
            <w:tcBorders>
              <w:top w:val="nil"/>
              <w:bottom w:val="nil"/>
            </w:tcBorders>
            <w:hideMark/>
          </w:tcPr>
          <w:p w14:paraId="364D839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Primary</w:t>
            </w:r>
          </w:p>
        </w:tc>
        <w:tc>
          <w:tcPr>
            <w:tcW w:w="1551" w:type="pct"/>
            <w:tcBorders>
              <w:top w:val="nil"/>
              <w:bottom w:val="nil"/>
            </w:tcBorders>
            <w:hideMark/>
          </w:tcPr>
          <w:p w14:paraId="56BD95E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w:t>
            </w:r>
          </w:p>
        </w:tc>
        <w:tc>
          <w:tcPr>
            <w:tcW w:w="1687" w:type="pct"/>
            <w:tcBorders>
              <w:top w:val="nil"/>
              <w:bottom w:val="nil"/>
            </w:tcBorders>
            <w:hideMark/>
          </w:tcPr>
          <w:p w14:paraId="422D00F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0.7</w:t>
            </w:r>
          </w:p>
        </w:tc>
      </w:tr>
      <w:tr w:rsidR="00F51435" w:rsidRPr="00F51435" w14:paraId="5A556377" w14:textId="77777777" w:rsidTr="00EB1162">
        <w:tc>
          <w:tcPr>
            <w:tcW w:w="1762" w:type="pct"/>
            <w:tcBorders>
              <w:top w:val="nil"/>
              <w:bottom w:val="nil"/>
            </w:tcBorders>
            <w:hideMark/>
          </w:tcPr>
          <w:p w14:paraId="2AF7151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Secondary</w:t>
            </w:r>
          </w:p>
        </w:tc>
        <w:tc>
          <w:tcPr>
            <w:tcW w:w="1551" w:type="pct"/>
            <w:tcBorders>
              <w:top w:val="nil"/>
              <w:bottom w:val="nil"/>
            </w:tcBorders>
            <w:hideMark/>
          </w:tcPr>
          <w:p w14:paraId="63F1916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385</w:t>
            </w:r>
          </w:p>
        </w:tc>
        <w:tc>
          <w:tcPr>
            <w:tcW w:w="1687" w:type="pct"/>
            <w:tcBorders>
              <w:top w:val="nil"/>
              <w:bottom w:val="nil"/>
            </w:tcBorders>
            <w:hideMark/>
          </w:tcPr>
          <w:p w14:paraId="45654D5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71.0</w:t>
            </w:r>
          </w:p>
        </w:tc>
      </w:tr>
      <w:tr w:rsidR="00F51435" w:rsidRPr="00F51435" w14:paraId="23BA24B3" w14:textId="77777777" w:rsidTr="00EB1162">
        <w:tc>
          <w:tcPr>
            <w:tcW w:w="1762" w:type="pct"/>
            <w:tcBorders>
              <w:top w:val="nil"/>
              <w:bottom w:val="single" w:sz="4" w:space="0" w:color="auto"/>
            </w:tcBorders>
            <w:hideMark/>
          </w:tcPr>
          <w:p w14:paraId="18D5AA0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Tertiary</w:t>
            </w:r>
          </w:p>
        </w:tc>
        <w:tc>
          <w:tcPr>
            <w:tcW w:w="1551" w:type="pct"/>
            <w:tcBorders>
              <w:top w:val="nil"/>
              <w:bottom w:val="single" w:sz="4" w:space="0" w:color="auto"/>
            </w:tcBorders>
            <w:hideMark/>
          </w:tcPr>
          <w:p w14:paraId="57E92B5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152</w:t>
            </w:r>
          </w:p>
        </w:tc>
        <w:tc>
          <w:tcPr>
            <w:tcW w:w="1687" w:type="pct"/>
            <w:tcBorders>
              <w:top w:val="nil"/>
              <w:bottom w:val="single" w:sz="4" w:space="0" w:color="auto"/>
            </w:tcBorders>
            <w:hideMark/>
          </w:tcPr>
          <w:p w14:paraId="2731273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28.0</w:t>
            </w:r>
          </w:p>
        </w:tc>
      </w:tr>
      <w:tr w:rsidR="00F51435" w:rsidRPr="00F51435" w14:paraId="46F527CF" w14:textId="77777777" w:rsidTr="00EB1162">
        <w:tc>
          <w:tcPr>
            <w:tcW w:w="1762" w:type="pct"/>
            <w:tcBorders>
              <w:top w:val="single" w:sz="4" w:space="0" w:color="auto"/>
            </w:tcBorders>
            <w:hideMark/>
          </w:tcPr>
          <w:p w14:paraId="371EB7F3"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Total</w:t>
            </w:r>
          </w:p>
        </w:tc>
        <w:tc>
          <w:tcPr>
            <w:tcW w:w="1551" w:type="pct"/>
            <w:tcBorders>
              <w:top w:val="single" w:sz="4" w:space="0" w:color="auto"/>
            </w:tcBorders>
            <w:hideMark/>
          </w:tcPr>
          <w:p w14:paraId="3083C5B6"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542</w:t>
            </w:r>
          </w:p>
        </w:tc>
        <w:tc>
          <w:tcPr>
            <w:tcW w:w="1687" w:type="pct"/>
            <w:tcBorders>
              <w:top w:val="single" w:sz="4" w:space="0" w:color="auto"/>
            </w:tcBorders>
            <w:hideMark/>
          </w:tcPr>
          <w:p w14:paraId="4A44A830"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100.0</w:t>
            </w:r>
          </w:p>
        </w:tc>
      </w:tr>
    </w:tbl>
    <w:p w14:paraId="4604F908" w14:textId="77777777" w:rsidR="00F51435" w:rsidRDefault="00F51435" w:rsidP="00F51435">
      <w:pPr>
        <w:spacing w:line="360" w:lineRule="auto"/>
        <w:jc w:val="both"/>
        <w:rPr>
          <w:rFonts w:ascii="Arial" w:hAnsi="Arial" w:cs="Arial"/>
        </w:rPr>
      </w:pPr>
      <w:r w:rsidRPr="00F51435">
        <w:rPr>
          <w:rFonts w:ascii="Arial" w:hAnsi="Arial" w:cs="Arial"/>
        </w:rPr>
        <w:t>The majority of respondents had attained secondary education, accounting for 71.0% (n = 385), followed by those with tertiary education at 28.0% (n = 152). Very few respondents had primary or no formal education.</w:t>
      </w:r>
    </w:p>
    <w:p w14:paraId="4FE6A244" w14:textId="77777777" w:rsidR="0040467E" w:rsidRDefault="0040467E" w:rsidP="00F51435">
      <w:pPr>
        <w:spacing w:line="360" w:lineRule="auto"/>
        <w:jc w:val="both"/>
        <w:rPr>
          <w:rFonts w:ascii="Arial" w:hAnsi="Arial" w:cs="Arial"/>
        </w:rPr>
      </w:pPr>
    </w:p>
    <w:p w14:paraId="5BC39CFB" w14:textId="77777777" w:rsidR="0040467E" w:rsidRDefault="0040467E" w:rsidP="00F51435">
      <w:pPr>
        <w:spacing w:line="360" w:lineRule="auto"/>
        <w:jc w:val="both"/>
        <w:rPr>
          <w:rFonts w:ascii="Arial" w:hAnsi="Arial" w:cs="Arial"/>
        </w:rPr>
      </w:pPr>
    </w:p>
    <w:p w14:paraId="3301CC9C" w14:textId="77777777" w:rsidR="0040467E" w:rsidRDefault="0040467E" w:rsidP="00F51435">
      <w:pPr>
        <w:spacing w:line="360" w:lineRule="auto"/>
        <w:jc w:val="both"/>
        <w:rPr>
          <w:rFonts w:ascii="Arial" w:hAnsi="Arial" w:cs="Arial"/>
        </w:rPr>
      </w:pPr>
    </w:p>
    <w:p w14:paraId="4919C311" w14:textId="77777777" w:rsidR="0040467E" w:rsidRDefault="0040467E" w:rsidP="00F51435">
      <w:pPr>
        <w:spacing w:line="360" w:lineRule="auto"/>
        <w:jc w:val="both"/>
        <w:rPr>
          <w:rFonts w:ascii="Arial" w:hAnsi="Arial" w:cs="Arial"/>
        </w:rPr>
      </w:pPr>
    </w:p>
    <w:p w14:paraId="2CBB366B" w14:textId="77777777" w:rsidR="0040467E" w:rsidRPr="00F51435" w:rsidRDefault="0040467E" w:rsidP="00F51435">
      <w:pPr>
        <w:spacing w:line="360" w:lineRule="auto"/>
        <w:jc w:val="both"/>
        <w:rPr>
          <w:rFonts w:ascii="Arial" w:hAnsi="Arial" w:cs="Arial"/>
        </w:rPr>
      </w:pPr>
    </w:p>
    <w:p w14:paraId="47D270A9" w14:textId="77777777" w:rsidR="00F51435" w:rsidRPr="0040467E" w:rsidRDefault="00F51435" w:rsidP="00F51435">
      <w:pPr>
        <w:pStyle w:val="Heading2"/>
        <w:numPr>
          <w:ilvl w:val="1"/>
          <w:numId w:val="32"/>
        </w:numPr>
        <w:spacing w:before="0" w:line="360" w:lineRule="auto"/>
        <w:jc w:val="both"/>
        <w:rPr>
          <w:rFonts w:ascii="Arial" w:hAnsi="Arial" w:cs="Arial"/>
          <w:b/>
          <w:color w:val="000000" w:themeColor="text1"/>
          <w:sz w:val="20"/>
          <w:szCs w:val="20"/>
        </w:rPr>
      </w:pPr>
      <w:bookmarkStart w:id="9" w:name="_Toc226285913"/>
      <w:r w:rsidRPr="0040467E">
        <w:rPr>
          <w:rFonts w:ascii="Arial" w:hAnsi="Arial" w:cs="Arial"/>
          <w:b/>
          <w:color w:val="000000" w:themeColor="text1"/>
          <w:sz w:val="20"/>
          <w:szCs w:val="20"/>
        </w:rPr>
        <w:t>Association Between ABO/Rhesus Blood Groups and Adverse Reactions</w:t>
      </w:r>
      <w:bookmarkEnd w:id="9"/>
    </w:p>
    <w:p w14:paraId="6F38EB8B" w14:textId="1D381A99" w:rsidR="00F51435" w:rsidRPr="0040467E" w:rsidRDefault="006E78EA" w:rsidP="006E78EA">
      <w:pPr>
        <w:pStyle w:val="Heading3"/>
        <w:spacing w:before="0" w:line="360" w:lineRule="auto"/>
        <w:jc w:val="both"/>
        <w:rPr>
          <w:rFonts w:ascii="Arial" w:hAnsi="Arial" w:cs="Arial"/>
          <w:b/>
          <w:color w:val="000000" w:themeColor="text1"/>
          <w:sz w:val="20"/>
          <w:szCs w:val="20"/>
        </w:rPr>
      </w:pPr>
      <w:bookmarkStart w:id="10" w:name="_Toc226285914"/>
      <w:r w:rsidRPr="006E78EA">
        <w:rPr>
          <w:rFonts w:ascii="Arial" w:hAnsi="Arial" w:cs="Arial"/>
          <w:b/>
          <w:color w:val="000000" w:themeColor="text1"/>
          <w:sz w:val="20"/>
          <w:szCs w:val="20"/>
        </w:rPr>
        <w:t xml:space="preserve">Table </w:t>
      </w:r>
      <w:r>
        <w:rPr>
          <w:rFonts w:ascii="Arial" w:hAnsi="Arial" w:cs="Arial"/>
          <w:b/>
          <w:color w:val="000000" w:themeColor="text1"/>
          <w:sz w:val="20"/>
          <w:szCs w:val="20"/>
        </w:rPr>
        <w:t>6</w:t>
      </w:r>
      <w:r w:rsidRPr="006E78EA">
        <w:rPr>
          <w:rFonts w:ascii="Arial" w:hAnsi="Arial" w:cs="Arial"/>
          <w:b/>
          <w:color w:val="000000" w:themeColor="text1"/>
          <w:sz w:val="20"/>
          <w:szCs w:val="20"/>
        </w:rPr>
        <w:t xml:space="preserve">. </w:t>
      </w:r>
      <w:r w:rsidR="00F51435" w:rsidRPr="0040467E">
        <w:rPr>
          <w:rFonts w:ascii="Arial" w:hAnsi="Arial" w:cs="Arial"/>
          <w:b/>
          <w:color w:val="000000" w:themeColor="text1"/>
          <w:sz w:val="20"/>
          <w:szCs w:val="20"/>
        </w:rPr>
        <w:t>Association Between ABO Blood Group and Occurrence of Adverse Reactions</w:t>
      </w:r>
      <w:bookmarkEnd w:id="10"/>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2778"/>
        <w:gridCol w:w="2578"/>
        <w:gridCol w:w="1242"/>
      </w:tblGrid>
      <w:tr w:rsidR="00F51435" w:rsidRPr="00F51435" w14:paraId="281F7AC7" w14:textId="77777777" w:rsidTr="00EB1162">
        <w:tc>
          <w:tcPr>
            <w:tcW w:w="1084" w:type="pct"/>
            <w:tcBorders>
              <w:bottom w:val="single" w:sz="4" w:space="0" w:color="auto"/>
            </w:tcBorders>
            <w:hideMark/>
          </w:tcPr>
          <w:p w14:paraId="75B11FC4"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ABO Blood Group</w:t>
            </w:r>
          </w:p>
        </w:tc>
        <w:tc>
          <w:tcPr>
            <w:tcW w:w="1649" w:type="pct"/>
            <w:tcBorders>
              <w:bottom w:val="single" w:sz="4" w:space="0" w:color="auto"/>
            </w:tcBorders>
            <w:hideMark/>
          </w:tcPr>
          <w:p w14:paraId="271C8E2D"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Adverse Reaction (Yes) n (%)</w:t>
            </w:r>
          </w:p>
        </w:tc>
        <w:tc>
          <w:tcPr>
            <w:tcW w:w="1530" w:type="pct"/>
            <w:tcBorders>
              <w:bottom w:val="single" w:sz="4" w:space="0" w:color="auto"/>
            </w:tcBorders>
            <w:hideMark/>
          </w:tcPr>
          <w:p w14:paraId="0D87247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No Adverse Reaction n (%)</w:t>
            </w:r>
          </w:p>
        </w:tc>
        <w:tc>
          <w:tcPr>
            <w:tcW w:w="737" w:type="pct"/>
            <w:tcBorders>
              <w:bottom w:val="single" w:sz="4" w:space="0" w:color="auto"/>
            </w:tcBorders>
            <w:hideMark/>
          </w:tcPr>
          <w:p w14:paraId="148E09ED"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 n (%)</w:t>
            </w:r>
          </w:p>
        </w:tc>
      </w:tr>
      <w:tr w:rsidR="00F51435" w:rsidRPr="00F51435" w14:paraId="5751F76A" w14:textId="77777777" w:rsidTr="00EB1162">
        <w:tc>
          <w:tcPr>
            <w:tcW w:w="1084" w:type="pct"/>
            <w:tcBorders>
              <w:top w:val="single" w:sz="4" w:space="0" w:color="auto"/>
              <w:bottom w:val="nil"/>
            </w:tcBorders>
            <w:hideMark/>
          </w:tcPr>
          <w:p w14:paraId="5AB5E82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w:t>
            </w:r>
          </w:p>
        </w:tc>
        <w:tc>
          <w:tcPr>
            <w:tcW w:w="1649" w:type="pct"/>
            <w:tcBorders>
              <w:top w:val="single" w:sz="4" w:space="0" w:color="auto"/>
              <w:bottom w:val="nil"/>
            </w:tcBorders>
            <w:hideMark/>
          </w:tcPr>
          <w:p w14:paraId="0F98F5E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 (9.5%)</w:t>
            </w:r>
          </w:p>
        </w:tc>
        <w:tc>
          <w:tcPr>
            <w:tcW w:w="1530" w:type="pct"/>
            <w:tcBorders>
              <w:top w:val="single" w:sz="4" w:space="0" w:color="auto"/>
              <w:bottom w:val="nil"/>
            </w:tcBorders>
            <w:hideMark/>
          </w:tcPr>
          <w:p w14:paraId="7A1EFD9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114 (90.5%)</w:t>
            </w:r>
          </w:p>
        </w:tc>
        <w:tc>
          <w:tcPr>
            <w:tcW w:w="737" w:type="pct"/>
            <w:tcBorders>
              <w:top w:val="single" w:sz="4" w:space="0" w:color="auto"/>
              <w:bottom w:val="nil"/>
            </w:tcBorders>
            <w:hideMark/>
          </w:tcPr>
          <w:p w14:paraId="11F3F6D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126 (23.2%)</w:t>
            </w:r>
          </w:p>
        </w:tc>
      </w:tr>
      <w:tr w:rsidR="00F51435" w:rsidRPr="00F51435" w14:paraId="4AF140C7" w14:textId="77777777" w:rsidTr="00EB1162">
        <w:tc>
          <w:tcPr>
            <w:tcW w:w="1084" w:type="pct"/>
            <w:tcBorders>
              <w:top w:val="nil"/>
              <w:bottom w:val="nil"/>
            </w:tcBorders>
            <w:hideMark/>
          </w:tcPr>
          <w:p w14:paraId="7E8D7EC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B</w:t>
            </w:r>
          </w:p>
        </w:tc>
        <w:tc>
          <w:tcPr>
            <w:tcW w:w="1649" w:type="pct"/>
            <w:tcBorders>
              <w:top w:val="nil"/>
              <w:bottom w:val="nil"/>
            </w:tcBorders>
            <w:hideMark/>
          </w:tcPr>
          <w:p w14:paraId="1544F63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6 (5.0%)</w:t>
            </w:r>
          </w:p>
        </w:tc>
        <w:tc>
          <w:tcPr>
            <w:tcW w:w="1530" w:type="pct"/>
            <w:tcBorders>
              <w:top w:val="nil"/>
              <w:bottom w:val="nil"/>
            </w:tcBorders>
            <w:hideMark/>
          </w:tcPr>
          <w:p w14:paraId="11A5EA0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113 (95.0%)</w:t>
            </w:r>
          </w:p>
        </w:tc>
        <w:tc>
          <w:tcPr>
            <w:tcW w:w="737" w:type="pct"/>
            <w:tcBorders>
              <w:top w:val="nil"/>
              <w:bottom w:val="nil"/>
            </w:tcBorders>
            <w:hideMark/>
          </w:tcPr>
          <w:p w14:paraId="250EFC4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119 (22.0%)</w:t>
            </w:r>
          </w:p>
        </w:tc>
      </w:tr>
      <w:tr w:rsidR="00F51435" w:rsidRPr="00F51435" w14:paraId="15B13320" w14:textId="77777777" w:rsidTr="00EB1162">
        <w:tc>
          <w:tcPr>
            <w:tcW w:w="1084" w:type="pct"/>
            <w:tcBorders>
              <w:top w:val="nil"/>
              <w:bottom w:val="nil"/>
            </w:tcBorders>
            <w:hideMark/>
          </w:tcPr>
          <w:p w14:paraId="244EFE5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lastRenderedPageBreak/>
              <w:t>AB</w:t>
            </w:r>
          </w:p>
        </w:tc>
        <w:tc>
          <w:tcPr>
            <w:tcW w:w="1649" w:type="pct"/>
            <w:tcBorders>
              <w:top w:val="nil"/>
              <w:bottom w:val="nil"/>
            </w:tcBorders>
            <w:hideMark/>
          </w:tcPr>
          <w:p w14:paraId="0580269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(6.9%)</w:t>
            </w:r>
          </w:p>
        </w:tc>
        <w:tc>
          <w:tcPr>
            <w:tcW w:w="1530" w:type="pct"/>
            <w:tcBorders>
              <w:top w:val="nil"/>
              <w:bottom w:val="nil"/>
            </w:tcBorders>
            <w:hideMark/>
          </w:tcPr>
          <w:p w14:paraId="2055910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27 (93.1%)</w:t>
            </w:r>
          </w:p>
        </w:tc>
        <w:tc>
          <w:tcPr>
            <w:tcW w:w="737" w:type="pct"/>
            <w:tcBorders>
              <w:top w:val="nil"/>
              <w:bottom w:val="nil"/>
            </w:tcBorders>
            <w:hideMark/>
          </w:tcPr>
          <w:p w14:paraId="0DA8898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29 (5.4%)</w:t>
            </w:r>
          </w:p>
        </w:tc>
      </w:tr>
      <w:tr w:rsidR="00F51435" w:rsidRPr="00F51435" w14:paraId="1F77C8C0" w14:textId="77777777" w:rsidTr="00EB1162">
        <w:tc>
          <w:tcPr>
            <w:tcW w:w="1084" w:type="pct"/>
            <w:tcBorders>
              <w:top w:val="nil"/>
              <w:bottom w:val="single" w:sz="4" w:space="0" w:color="auto"/>
            </w:tcBorders>
            <w:hideMark/>
          </w:tcPr>
          <w:p w14:paraId="4A030AB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O</w:t>
            </w:r>
          </w:p>
        </w:tc>
        <w:tc>
          <w:tcPr>
            <w:tcW w:w="1649" w:type="pct"/>
            <w:tcBorders>
              <w:top w:val="nil"/>
              <w:bottom w:val="single" w:sz="4" w:space="0" w:color="auto"/>
            </w:tcBorders>
            <w:hideMark/>
          </w:tcPr>
          <w:p w14:paraId="71C01D1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 (4.1%)</w:t>
            </w:r>
          </w:p>
        </w:tc>
        <w:tc>
          <w:tcPr>
            <w:tcW w:w="1530" w:type="pct"/>
            <w:tcBorders>
              <w:top w:val="nil"/>
              <w:bottom w:val="single" w:sz="4" w:space="0" w:color="auto"/>
            </w:tcBorders>
            <w:hideMark/>
          </w:tcPr>
          <w:p w14:paraId="72292E8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257 (95.9%)</w:t>
            </w:r>
          </w:p>
        </w:tc>
        <w:tc>
          <w:tcPr>
            <w:tcW w:w="737" w:type="pct"/>
            <w:tcBorders>
              <w:top w:val="nil"/>
              <w:bottom w:val="single" w:sz="4" w:space="0" w:color="auto"/>
            </w:tcBorders>
            <w:hideMark/>
          </w:tcPr>
          <w:p w14:paraId="30EA16C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268 (49.4%)</w:t>
            </w:r>
          </w:p>
        </w:tc>
      </w:tr>
      <w:tr w:rsidR="00F51435" w:rsidRPr="00F51435" w14:paraId="308C47E9" w14:textId="77777777" w:rsidTr="00EB1162">
        <w:tc>
          <w:tcPr>
            <w:tcW w:w="1084" w:type="pct"/>
            <w:tcBorders>
              <w:top w:val="single" w:sz="4" w:space="0" w:color="auto"/>
            </w:tcBorders>
            <w:hideMark/>
          </w:tcPr>
          <w:p w14:paraId="515D3109"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Total</w:t>
            </w:r>
          </w:p>
        </w:tc>
        <w:tc>
          <w:tcPr>
            <w:tcW w:w="1649" w:type="pct"/>
            <w:tcBorders>
              <w:top w:val="single" w:sz="4" w:space="0" w:color="auto"/>
            </w:tcBorders>
            <w:hideMark/>
          </w:tcPr>
          <w:p w14:paraId="7F2F0473"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31 (5.7%)</w:t>
            </w:r>
          </w:p>
        </w:tc>
        <w:tc>
          <w:tcPr>
            <w:tcW w:w="1530" w:type="pct"/>
            <w:tcBorders>
              <w:top w:val="single" w:sz="4" w:space="0" w:color="auto"/>
            </w:tcBorders>
            <w:hideMark/>
          </w:tcPr>
          <w:p w14:paraId="49CABC58"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511 (94.3%)</w:t>
            </w:r>
          </w:p>
        </w:tc>
        <w:tc>
          <w:tcPr>
            <w:tcW w:w="737" w:type="pct"/>
            <w:tcBorders>
              <w:top w:val="single" w:sz="4" w:space="0" w:color="auto"/>
            </w:tcBorders>
            <w:hideMark/>
          </w:tcPr>
          <w:p w14:paraId="01A84C85"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542 (100%)</w:t>
            </w:r>
          </w:p>
        </w:tc>
      </w:tr>
    </w:tbl>
    <w:p w14:paraId="10AF74F7" w14:textId="77777777" w:rsidR="00F51435" w:rsidRPr="00F51435" w:rsidRDefault="00F51435" w:rsidP="00F51435">
      <w:pPr>
        <w:spacing w:line="360" w:lineRule="auto"/>
        <w:jc w:val="both"/>
        <w:rPr>
          <w:rFonts w:ascii="Arial" w:hAnsi="Arial" w:cs="Arial"/>
        </w:rPr>
      </w:pPr>
      <w:r w:rsidRPr="00F51435">
        <w:rPr>
          <w:rFonts w:ascii="Arial" w:hAnsi="Arial" w:cs="Arial"/>
        </w:rPr>
        <w:t xml:space="preserve">A cross-tabulation analysis was conducted to examine the association between ABO blood group and the occurrence of blood donation-related adverse reactions. The results indicate that out of 542 donors, </w:t>
      </w:r>
      <w:r w:rsidRPr="00F51435">
        <w:rPr>
          <w:rFonts w:ascii="Arial" w:eastAsiaTheme="majorEastAsia" w:hAnsi="Arial" w:cs="Arial"/>
        </w:rPr>
        <w:t>31 (5.7%) experienced adverse reactions</w:t>
      </w:r>
      <w:r w:rsidRPr="00F51435">
        <w:rPr>
          <w:rFonts w:ascii="Arial" w:hAnsi="Arial" w:cs="Arial"/>
        </w:rPr>
        <w:t>, while the majority (</w:t>
      </w:r>
      <w:r w:rsidRPr="00F51435">
        <w:rPr>
          <w:rFonts w:ascii="Arial" w:eastAsiaTheme="majorEastAsia" w:hAnsi="Arial" w:cs="Arial"/>
        </w:rPr>
        <w:t>94.3%</w:t>
      </w:r>
      <w:r w:rsidRPr="00F51435">
        <w:rPr>
          <w:rFonts w:ascii="Arial" w:hAnsi="Arial" w:cs="Arial"/>
        </w:rPr>
        <w:t>) did not. Blood group A donors had the highest proportion of adverse reactions (9.5%), whereas blood group O donors had the lowest (4.1%).</w:t>
      </w:r>
    </w:p>
    <w:p w14:paraId="3626D301" w14:textId="77777777" w:rsidR="00F51435" w:rsidRPr="00F51435" w:rsidRDefault="00F51435" w:rsidP="00F51435">
      <w:pPr>
        <w:spacing w:line="360" w:lineRule="auto"/>
        <w:jc w:val="both"/>
        <w:rPr>
          <w:rFonts w:ascii="Arial" w:hAnsi="Arial" w:cs="Arial"/>
        </w:rPr>
      </w:pPr>
      <w:r w:rsidRPr="00F51435">
        <w:rPr>
          <w:rFonts w:ascii="Arial" w:hAnsi="Arial" w:cs="Arial"/>
        </w:rPr>
        <w:t>A Chi-square test of independence was conducted to determine whether there was a statistically significant association between ABO blood group and the occurrence of blood donation-related adverse reactions.</w:t>
      </w:r>
    </w:p>
    <w:p w14:paraId="0A799017" w14:textId="77777777" w:rsidR="00F51435" w:rsidRPr="00F51435" w:rsidRDefault="00F51435" w:rsidP="00F51435">
      <w:pPr>
        <w:spacing w:line="360" w:lineRule="auto"/>
        <w:jc w:val="both"/>
        <w:rPr>
          <w:rFonts w:ascii="Arial" w:hAnsi="Arial" w:cs="Arial"/>
        </w:rPr>
      </w:pPr>
    </w:p>
    <w:p w14:paraId="74997F7E" w14:textId="77777777" w:rsidR="00F51435" w:rsidRPr="00F51435" w:rsidRDefault="00F51435" w:rsidP="00F51435">
      <w:pPr>
        <w:spacing w:line="360" w:lineRule="auto"/>
        <w:jc w:val="both"/>
        <w:rPr>
          <w:rFonts w:ascii="Arial" w:hAnsi="Arial" w:cs="Arial"/>
        </w:rPr>
      </w:pPr>
    </w:p>
    <w:tbl>
      <w:tblPr>
        <w:tblStyle w:val="TableGrid"/>
        <w:tblW w:w="5000" w:type="pct"/>
        <w:tblLook w:val="0000" w:firstRow="0" w:lastRow="0" w:firstColumn="0" w:lastColumn="0" w:noHBand="0" w:noVBand="0"/>
      </w:tblPr>
      <w:tblGrid>
        <w:gridCol w:w="3074"/>
        <w:gridCol w:w="1558"/>
        <w:gridCol w:w="1558"/>
        <w:gridCol w:w="2234"/>
      </w:tblGrid>
      <w:tr w:rsidR="00F51435" w:rsidRPr="00F51435" w14:paraId="52B6AE15" w14:textId="77777777" w:rsidTr="00EB1162">
        <w:tc>
          <w:tcPr>
            <w:tcW w:w="5000" w:type="pct"/>
            <w:gridSpan w:val="4"/>
            <w:tcBorders>
              <w:left w:val="nil"/>
              <w:bottom w:val="single" w:sz="4" w:space="0" w:color="auto"/>
              <w:right w:val="nil"/>
            </w:tcBorders>
          </w:tcPr>
          <w:p w14:paraId="3FBD0D5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Chi-Square Tests</w:t>
            </w:r>
          </w:p>
        </w:tc>
      </w:tr>
      <w:tr w:rsidR="00F51435" w:rsidRPr="00F51435" w14:paraId="68AFF8DD" w14:textId="77777777" w:rsidTr="00EB1162">
        <w:tc>
          <w:tcPr>
            <w:tcW w:w="1824" w:type="pct"/>
            <w:tcBorders>
              <w:top w:val="single" w:sz="4" w:space="0" w:color="auto"/>
              <w:left w:val="nil"/>
              <w:bottom w:val="nil"/>
              <w:right w:val="nil"/>
            </w:tcBorders>
          </w:tcPr>
          <w:p w14:paraId="45413ACA" w14:textId="77777777" w:rsidR="00F51435" w:rsidRPr="00F51435" w:rsidRDefault="00F51435" w:rsidP="00F51435">
            <w:pPr>
              <w:spacing w:line="360" w:lineRule="auto"/>
              <w:jc w:val="both"/>
              <w:rPr>
                <w:rFonts w:ascii="Arial" w:hAnsi="Arial" w:cs="Arial"/>
                <w:sz w:val="20"/>
                <w:szCs w:val="20"/>
              </w:rPr>
            </w:pPr>
          </w:p>
        </w:tc>
        <w:tc>
          <w:tcPr>
            <w:tcW w:w="925" w:type="pct"/>
            <w:tcBorders>
              <w:top w:val="single" w:sz="4" w:space="0" w:color="auto"/>
              <w:left w:val="nil"/>
              <w:bottom w:val="nil"/>
              <w:right w:val="nil"/>
            </w:tcBorders>
          </w:tcPr>
          <w:p w14:paraId="7279251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Value</w:t>
            </w:r>
          </w:p>
        </w:tc>
        <w:tc>
          <w:tcPr>
            <w:tcW w:w="925" w:type="pct"/>
            <w:tcBorders>
              <w:top w:val="single" w:sz="4" w:space="0" w:color="auto"/>
              <w:left w:val="nil"/>
              <w:bottom w:val="nil"/>
              <w:right w:val="nil"/>
            </w:tcBorders>
          </w:tcPr>
          <w:p w14:paraId="2C907E5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df</w:t>
            </w:r>
          </w:p>
        </w:tc>
        <w:tc>
          <w:tcPr>
            <w:tcW w:w="1327" w:type="pct"/>
            <w:tcBorders>
              <w:top w:val="single" w:sz="4" w:space="0" w:color="auto"/>
              <w:left w:val="nil"/>
              <w:bottom w:val="nil"/>
              <w:right w:val="nil"/>
            </w:tcBorders>
          </w:tcPr>
          <w:p w14:paraId="3E4B455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Asymptotic Significance (2-sided)</w:t>
            </w:r>
          </w:p>
        </w:tc>
      </w:tr>
      <w:tr w:rsidR="00F51435" w:rsidRPr="00F51435" w14:paraId="46D545F8" w14:textId="77777777" w:rsidTr="00EB1162">
        <w:tc>
          <w:tcPr>
            <w:tcW w:w="1824" w:type="pct"/>
            <w:tcBorders>
              <w:top w:val="nil"/>
              <w:left w:val="nil"/>
              <w:bottom w:val="nil"/>
              <w:right w:val="nil"/>
            </w:tcBorders>
          </w:tcPr>
          <w:p w14:paraId="41EB237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Pearson Chi-Square</w:t>
            </w:r>
          </w:p>
        </w:tc>
        <w:tc>
          <w:tcPr>
            <w:tcW w:w="925" w:type="pct"/>
            <w:tcBorders>
              <w:top w:val="nil"/>
              <w:left w:val="nil"/>
              <w:bottom w:val="nil"/>
              <w:right w:val="nil"/>
            </w:tcBorders>
          </w:tcPr>
          <w:p w14:paraId="74BC0BE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4.854</w:t>
            </w:r>
            <w:r w:rsidRPr="00F51435">
              <w:rPr>
                <w:rFonts w:ascii="Arial" w:hAnsi="Arial" w:cs="Arial"/>
                <w:sz w:val="20"/>
                <w:szCs w:val="20"/>
                <w:vertAlign w:val="superscript"/>
              </w:rPr>
              <w:t>a</w:t>
            </w:r>
          </w:p>
        </w:tc>
        <w:tc>
          <w:tcPr>
            <w:tcW w:w="925" w:type="pct"/>
            <w:tcBorders>
              <w:top w:val="nil"/>
              <w:left w:val="nil"/>
              <w:bottom w:val="nil"/>
              <w:right w:val="nil"/>
            </w:tcBorders>
          </w:tcPr>
          <w:p w14:paraId="6D228DC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w:t>
            </w:r>
          </w:p>
        </w:tc>
        <w:tc>
          <w:tcPr>
            <w:tcW w:w="1327" w:type="pct"/>
            <w:tcBorders>
              <w:top w:val="nil"/>
              <w:left w:val="nil"/>
              <w:bottom w:val="nil"/>
              <w:right w:val="nil"/>
            </w:tcBorders>
          </w:tcPr>
          <w:p w14:paraId="61A6609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.183</w:t>
            </w:r>
          </w:p>
        </w:tc>
      </w:tr>
      <w:tr w:rsidR="00F51435" w:rsidRPr="00F51435" w14:paraId="2E2093C8" w14:textId="77777777" w:rsidTr="00EB1162">
        <w:tc>
          <w:tcPr>
            <w:tcW w:w="1824" w:type="pct"/>
            <w:tcBorders>
              <w:top w:val="nil"/>
              <w:left w:val="nil"/>
              <w:bottom w:val="nil"/>
              <w:right w:val="nil"/>
            </w:tcBorders>
          </w:tcPr>
          <w:p w14:paraId="7EEA1A4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925" w:type="pct"/>
            <w:tcBorders>
              <w:top w:val="nil"/>
              <w:left w:val="nil"/>
              <w:bottom w:val="nil"/>
              <w:right w:val="nil"/>
            </w:tcBorders>
          </w:tcPr>
          <w:p w14:paraId="75FDFD5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4.453</w:t>
            </w:r>
          </w:p>
        </w:tc>
        <w:tc>
          <w:tcPr>
            <w:tcW w:w="925" w:type="pct"/>
            <w:tcBorders>
              <w:top w:val="nil"/>
              <w:left w:val="nil"/>
              <w:bottom w:val="nil"/>
              <w:right w:val="nil"/>
            </w:tcBorders>
          </w:tcPr>
          <w:p w14:paraId="2BEBCDD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w:t>
            </w:r>
          </w:p>
        </w:tc>
        <w:tc>
          <w:tcPr>
            <w:tcW w:w="1327" w:type="pct"/>
            <w:tcBorders>
              <w:top w:val="nil"/>
              <w:left w:val="nil"/>
              <w:bottom w:val="nil"/>
              <w:right w:val="nil"/>
            </w:tcBorders>
          </w:tcPr>
          <w:p w14:paraId="10447A9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.217</w:t>
            </w:r>
          </w:p>
        </w:tc>
      </w:tr>
      <w:tr w:rsidR="00F51435" w:rsidRPr="00F51435" w14:paraId="2B779835" w14:textId="77777777" w:rsidTr="00EB1162">
        <w:tc>
          <w:tcPr>
            <w:tcW w:w="1824" w:type="pct"/>
            <w:tcBorders>
              <w:top w:val="nil"/>
              <w:left w:val="nil"/>
              <w:bottom w:val="single" w:sz="4" w:space="0" w:color="auto"/>
              <w:right w:val="nil"/>
            </w:tcBorders>
          </w:tcPr>
          <w:p w14:paraId="32D222B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 of Valid Cases</w:t>
            </w:r>
          </w:p>
        </w:tc>
        <w:tc>
          <w:tcPr>
            <w:tcW w:w="925" w:type="pct"/>
            <w:tcBorders>
              <w:top w:val="nil"/>
              <w:left w:val="nil"/>
              <w:bottom w:val="single" w:sz="4" w:space="0" w:color="auto"/>
              <w:right w:val="nil"/>
            </w:tcBorders>
          </w:tcPr>
          <w:p w14:paraId="428AB62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925" w:type="pct"/>
            <w:tcBorders>
              <w:top w:val="nil"/>
              <w:left w:val="nil"/>
              <w:bottom w:val="single" w:sz="4" w:space="0" w:color="auto"/>
              <w:right w:val="nil"/>
            </w:tcBorders>
          </w:tcPr>
          <w:p w14:paraId="5E79B5D3" w14:textId="77777777" w:rsidR="00F51435" w:rsidRPr="00F51435" w:rsidRDefault="00F51435" w:rsidP="00F51435">
            <w:pPr>
              <w:spacing w:line="360" w:lineRule="auto"/>
              <w:jc w:val="both"/>
              <w:rPr>
                <w:rFonts w:ascii="Arial" w:hAnsi="Arial" w:cs="Arial"/>
                <w:sz w:val="20"/>
                <w:szCs w:val="20"/>
              </w:rPr>
            </w:pPr>
          </w:p>
        </w:tc>
        <w:tc>
          <w:tcPr>
            <w:tcW w:w="1327" w:type="pct"/>
            <w:tcBorders>
              <w:top w:val="nil"/>
              <w:left w:val="nil"/>
              <w:bottom w:val="single" w:sz="4" w:space="0" w:color="auto"/>
              <w:right w:val="nil"/>
            </w:tcBorders>
          </w:tcPr>
          <w:p w14:paraId="7E415570" w14:textId="77777777" w:rsidR="00F51435" w:rsidRPr="00F51435" w:rsidRDefault="00F51435" w:rsidP="00F51435">
            <w:pPr>
              <w:spacing w:line="360" w:lineRule="auto"/>
              <w:jc w:val="both"/>
              <w:rPr>
                <w:rFonts w:ascii="Arial" w:hAnsi="Arial" w:cs="Arial"/>
                <w:sz w:val="20"/>
                <w:szCs w:val="20"/>
              </w:rPr>
            </w:pPr>
          </w:p>
        </w:tc>
      </w:tr>
      <w:tr w:rsidR="00F51435" w:rsidRPr="00F51435" w14:paraId="5B6B8690" w14:textId="77777777" w:rsidTr="00EB1162">
        <w:tc>
          <w:tcPr>
            <w:tcW w:w="5000" w:type="pct"/>
            <w:gridSpan w:val="4"/>
            <w:tcBorders>
              <w:top w:val="single" w:sz="4" w:space="0" w:color="auto"/>
              <w:left w:val="nil"/>
              <w:right w:val="nil"/>
            </w:tcBorders>
          </w:tcPr>
          <w:p w14:paraId="2617001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 1 cells (12.5%) have expected count less than 5. The minimum expected count is 1.66.</w:t>
            </w:r>
          </w:p>
        </w:tc>
      </w:tr>
    </w:tbl>
    <w:p w14:paraId="47162717" w14:textId="77777777" w:rsidR="00F51435" w:rsidRPr="00F51435" w:rsidRDefault="00F51435" w:rsidP="00F51435">
      <w:pPr>
        <w:spacing w:line="360" w:lineRule="auto"/>
        <w:jc w:val="both"/>
        <w:rPr>
          <w:rFonts w:ascii="Arial" w:hAnsi="Arial" w:cs="Arial"/>
        </w:rPr>
      </w:pPr>
      <w:r w:rsidRPr="00F51435">
        <w:rPr>
          <w:rFonts w:ascii="Arial" w:hAnsi="Arial" w:cs="Arial"/>
        </w:rPr>
        <w:t xml:space="preserve">The results indicated that there was </w:t>
      </w:r>
      <w:r w:rsidRPr="00F51435">
        <w:rPr>
          <w:rFonts w:ascii="Arial" w:eastAsiaTheme="majorEastAsia" w:hAnsi="Arial" w:cs="Arial"/>
        </w:rPr>
        <w:t>no statistically significant association</w:t>
      </w:r>
      <w:r w:rsidRPr="00F51435">
        <w:rPr>
          <w:rFonts w:ascii="Arial" w:hAnsi="Arial" w:cs="Arial"/>
        </w:rPr>
        <w:t xml:space="preserve"> between ABO blood group and adverse reactions (</w:t>
      </w:r>
      <w:r w:rsidRPr="00F51435">
        <w:rPr>
          <w:rFonts w:ascii="Arial" w:eastAsiaTheme="majorEastAsia" w:hAnsi="Arial" w:cs="Arial"/>
        </w:rPr>
        <w:t>χ² (3, N = 542) = 4.854, p = 0.183</w:t>
      </w:r>
      <w:r w:rsidRPr="00F51435">
        <w:rPr>
          <w:rFonts w:ascii="Arial" w:hAnsi="Arial" w:cs="Arial"/>
        </w:rPr>
        <w:t>). The likelihood ratio test similarly showed no significant association (</w:t>
      </w:r>
      <w:r w:rsidRPr="00F51435">
        <w:rPr>
          <w:rFonts w:ascii="Arial" w:eastAsiaTheme="majorEastAsia" w:hAnsi="Arial" w:cs="Arial"/>
        </w:rPr>
        <w:t>χ² = 4.453, df = 3, p = 0.217</w:t>
      </w:r>
      <w:r w:rsidRPr="00F51435">
        <w:rPr>
          <w:rFonts w:ascii="Arial" w:hAnsi="Arial" w:cs="Arial"/>
        </w:rPr>
        <w:t>), confirming the robustness of the findings.</w:t>
      </w:r>
    </w:p>
    <w:p w14:paraId="37E682F6" w14:textId="77777777" w:rsidR="00F51435" w:rsidRPr="00F51435" w:rsidRDefault="00F51435" w:rsidP="00F51435">
      <w:pPr>
        <w:spacing w:line="360" w:lineRule="auto"/>
        <w:jc w:val="both"/>
        <w:rPr>
          <w:rFonts w:ascii="Arial" w:hAnsi="Arial" w:cs="Arial"/>
        </w:rPr>
      </w:pPr>
    </w:p>
    <w:p w14:paraId="213AD689" w14:textId="77777777" w:rsidR="00F51435" w:rsidRPr="0040467E" w:rsidRDefault="00F51435" w:rsidP="00F51435">
      <w:pPr>
        <w:pStyle w:val="Heading3"/>
        <w:numPr>
          <w:ilvl w:val="2"/>
          <w:numId w:val="32"/>
        </w:numPr>
        <w:spacing w:before="0" w:line="360" w:lineRule="auto"/>
        <w:jc w:val="both"/>
        <w:rPr>
          <w:rFonts w:ascii="Arial" w:hAnsi="Arial" w:cs="Arial"/>
          <w:b/>
          <w:bCs/>
          <w:color w:val="000000" w:themeColor="text1"/>
          <w:sz w:val="20"/>
          <w:szCs w:val="20"/>
        </w:rPr>
      </w:pPr>
      <w:bookmarkStart w:id="11" w:name="_Toc226285915"/>
      <w:r w:rsidRPr="0040467E">
        <w:rPr>
          <w:rFonts w:ascii="Arial" w:hAnsi="Arial" w:cs="Arial"/>
          <w:b/>
          <w:bCs/>
          <w:color w:val="000000" w:themeColor="text1"/>
          <w:sz w:val="20"/>
          <w:szCs w:val="20"/>
        </w:rPr>
        <w:t>Association Between ABO Blood Group and Type of Adverse Reaction</w:t>
      </w:r>
      <w:bookmarkEnd w:id="11"/>
    </w:p>
    <w:p w14:paraId="6944FDF7" w14:textId="666DC112" w:rsidR="00F51435" w:rsidRDefault="00F51435" w:rsidP="00F51435">
      <w:pPr>
        <w:spacing w:line="360" w:lineRule="auto"/>
        <w:jc w:val="both"/>
        <w:rPr>
          <w:rFonts w:ascii="Arial" w:hAnsi="Arial" w:cs="Arial"/>
        </w:rPr>
      </w:pPr>
      <w:r w:rsidRPr="00F51435">
        <w:rPr>
          <w:rFonts w:ascii="Arial" w:hAnsi="Arial" w:cs="Arial"/>
        </w:rPr>
        <w:t>A further cross-tabulation was performed to evaluate the relationship between ABO blood group and the type of adverse reaction experienced.</w:t>
      </w:r>
    </w:p>
    <w:p w14:paraId="1B94CEFF" w14:textId="1D56C0F1" w:rsidR="006E78EA" w:rsidRDefault="006E78EA" w:rsidP="00F51435">
      <w:pPr>
        <w:spacing w:line="360" w:lineRule="auto"/>
        <w:jc w:val="both"/>
        <w:rPr>
          <w:rFonts w:ascii="Arial" w:hAnsi="Arial" w:cs="Arial"/>
        </w:rPr>
      </w:pPr>
    </w:p>
    <w:p w14:paraId="067E08F8" w14:textId="77777777" w:rsidR="006E78EA" w:rsidRPr="006E78EA" w:rsidRDefault="006E78EA" w:rsidP="006E78EA">
      <w:pPr>
        <w:pStyle w:val="Heading3"/>
        <w:spacing w:before="0" w:line="360" w:lineRule="auto"/>
        <w:jc w:val="both"/>
        <w:rPr>
          <w:rFonts w:ascii="Arial" w:hAnsi="Arial" w:cs="Arial"/>
          <w:b/>
          <w:bCs/>
          <w:color w:val="000000" w:themeColor="text1"/>
          <w:sz w:val="20"/>
          <w:szCs w:val="20"/>
        </w:rPr>
      </w:pPr>
      <w:r w:rsidRPr="006E78EA">
        <w:rPr>
          <w:rFonts w:ascii="Arial" w:hAnsi="Arial" w:cs="Arial"/>
          <w:b/>
          <w:sz w:val="20"/>
          <w:szCs w:val="20"/>
        </w:rPr>
        <w:t xml:space="preserve">Table 7. </w:t>
      </w:r>
      <w:r w:rsidRPr="006E78EA">
        <w:rPr>
          <w:rFonts w:ascii="Arial" w:hAnsi="Arial" w:cs="Arial"/>
          <w:b/>
          <w:bCs/>
          <w:color w:val="000000" w:themeColor="text1"/>
          <w:sz w:val="20"/>
          <w:szCs w:val="20"/>
        </w:rPr>
        <w:t>Association Between ABO Blood Group and Type of Adverse Reaction</w:t>
      </w:r>
    </w:p>
    <w:p w14:paraId="243497B2" w14:textId="1F9CD99E" w:rsidR="006E78EA" w:rsidRPr="00F51435" w:rsidRDefault="006E78EA" w:rsidP="00F51435">
      <w:pPr>
        <w:spacing w:line="360" w:lineRule="auto"/>
        <w:jc w:val="both"/>
        <w:rPr>
          <w:rFonts w:ascii="Arial" w:hAnsi="Arial" w:cs="Arial"/>
        </w:rPr>
      </w:pPr>
    </w:p>
    <w:tbl>
      <w:tblPr>
        <w:tblStyle w:val="TableGrid"/>
        <w:tblW w:w="5048"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061"/>
        <w:gridCol w:w="1861"/>
        <w:gridCol w:w="1183"/>
        <w:gridCol w:w="1094"/>
        <w:gridCol w:w="1239"/>
        <w:gridCol w:w="1550"/>
        <w:gridCol w:w="694"/>
      </w:tblGrid>
      <w:tr w:rsidR="00F51435" w:rsidRPr="00F51435" w14:paraId="2DA229C5" w14:textId="77777777" w:rsidTr="00EB1162">
        <w:tc>
          <w:tcPr>
            <w:tcW w:w="442" w:type="pct"/>
            <w:tcBorders>
              <w:bottom w:val="single" w:sz="4" w:space="0" w:color="auto"/>
            </w:tcBorders>
            <w:hideMark/>
          </w:tcPr>
          <w:p w14:paraId="16CFCF6A"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 xml:space="preserve">ABO Blood </w:t>
            </w:r>
            <w:r w:rsidRPr="00F51435">
              <w:rPr>
                <w:rFonts w:ascii="Arial" w:hAnsi="Arial" w:cs="Arial"/>
                <w:b/>
                <w:bCs/>
                <w:sz w:val="20"/>
                <w:szCs w:val="20"/>
              </w:rPr>
              <w:lastRenderedPageBreak/>
              <w:t>Group</w:t>
            </w:r>
          </w:p>
        </w:tc>
        <w:tc>
          <w:tcPr>
            <w:tcW w:w="551" w:type="pct"/>
            <w:tcBorders>
              <w:bottom w:val="single" w:sz="4" w:space="0" w:color="auto"/>
            </w:tcBorders>
            <w:hideMark/>
          </w:tcPr>
          <w:p w14:paraId="3D54D17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lastRenderedPageBreak/>
              <w:t xml:space="preserve">No Reaction </w:t>
            </w:r>
            <w:r w:rsidRPr="00F51435">
              <w:rPr>
                <w:rFonts w:ascii="Arial" w:hAnsi="Arial" w:cs="Arial"/>
                <w:b/>
                <w:bCs/>
                <w:sz w:val="20"/>
                <w:szCs w:val="20"/>
              </w:rPr>
              <w:lastRenderedPageBreak/>
              <w:t>n (%)</w:t>
            </w:r>
          </w:p>
        </w:tc>
        <w:tc>
          <w:tcPr>
            <w:tcW w:w="944" w:type="pct"/>
            <w:tcBorders>
              <w:bottom w:val="single" w:sz="4" w:space="0" w:color="auto"/>
            </w:tcBorders>
            <w:hideMark/>
          </w:tcPr>
          <w:p w14:paraId="79F40E9A"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lastRenderedPageBreak/>
              <w:t>Dizziness/</w:t>
            </w:r>
          </w:p>
          <w:p w14:paraId="22E12461"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Lightheadedness</w:t>
            </w:r>
          </w:p>
        </w:tc>
        <w:tc>
          <w:tcPr>
            <w:tcW w:w="603" w:type="pct"/>
            <w:tcBorders>
              <w:bottom w:val="single" w:sz="4" w:space="0" w:color="auto"/>
            </w:tcBorders>
            <w:hideMark/>
          </w:tcPr>
          <w:p w14:paraId="323D6F96"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Fainting (Syncope)</w:t>
            </w:r>
          </w:p>
        </w:tc>
        <w:tc>
          <w:tcPr>
            <w:tcW w:w="565" w:type="pct"/>
            <w:tcBorders>
              <w:bottom w:val="single" w:sz="4" w:space="0" w:color="auto"/>
            </w:tcBorders>
            <w:hideMark/>
          </w:tcPr>
          <w:p w14:paraId="79EE98DE"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Sweating</w:t>
            </w:r>
          </w:p>
        </w:tc>
        <w:tc>
          <w:tcPr>
            <w:tcW w:w="661" w:type="pct"/>
            <w:tcBorders>
              <w:bottom w:val="single" w:sz="4" w:space="0" w:color="auto"/>
            </w:tcBorders>
            <w:hideMark/>
          </w:tcPr>
          <w:p w14:paraId="516B728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Hematoma</w:t>
            </w:r>
          </w:p>
        </w:tc>
        <w:tc>
          <w:tcPr>
            <w:tcW w:w="809" w:type="pct"/>
            <w:tcBorders>
              <w:bottom w:val="single" w:sz="4" w:space="0" w:color="auto"/>
            </w:tcBorders>
            <w:hideMark/>
          </w:tcPr>
          <w:p w14:paraId="2214DACB"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Other Combinations</w:t>
            </w:r>
          </w:p>
        </w:tc>
        <w:tc>
          <w:tcPr>
            <w:tcW w:w="426" w:type="pct"/>
            <w:tcBorders>
              <w:bottom w:val="single" w:sz="4" w:space="0" w:color="auto"/>
            </w:tcBorders>
            <w:hideMark/>
          </w:tcPr>
          <w:p w14:paraId="151A5100"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w:t>
            </w:r>
          </w:p>
        </w:tc>
      </w:tr>
      <w:tr w:rsidR="00F51435" w:rsidRPr="00F51435" w14:paraId="09668292" w14:textId="77777777" w:rsidTr="00EB1162">
        <w:tc>
          <w:tcPr>
            <w:tcW w:w="442" w:type="pct"/>
            <w:tcBorders>
              <w:top w:val="single" w:sz="4" w:space="0" w:color="auto"/>
              <w:bottom w:val="nil"/>
            </w:tcBorders>
            <w:hideMark/>
          </w:tcPr>
          <w:p w14:paraId="412929F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A </w:t>
            </w:r>
          </w:p>
        </w:tc>
        <w:tc>
          <w:tcPr>
            <w:tcW w:w="551" w:type="pct"/>
            <w:tcBorders>
              <w:top w:val="single" w:sz="4" w:space="0" w:color="auto"/>
              <w:bottom w:val="nil"/>
            </w:tcBorders>
            <w:hideMark/>
          </w:tcPr>
          <w:p w14:paraId="633B691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114 (90.5%)</w:t>
            </w:r>
          </w:p>
        </w:tc>
        <w:tc>
          <w:tcPr>
            <w:tcW w:w="944" w:type="pct"/>
            <w:tcBorders>
              <w:top w:val="single" w:sz="4" w:space="0" w:color="auto"/>
              <w:bottom w:val="nil"/>
            </w:tcBorders>
            <w:hideMark/>
          </w:tcPr>
          <w:p w14:paraId="793C071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(1.6%)</w:t>
            </w:r>
          </w:p>
        </w:tc>
        <w:tc>
          <w:tcPr>
            <w:tcW w:w="603" w:type="pct"/>
            <w:tcBorders>
              <w:top w:val="single" w:sz="4" w:space="0" w:color="auto"/>
              <w:bottom w:val="nil"/>
            </w:tcBorders>
            <w:hideMark/>
          </w:tcPr>
          <w:p w14:paraId="0EEA3A0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(1.6%)</w:t>
            </w:r>
          </w:p>
        </w:tc>
        <w:tc>
          <w:tcPr>
            <w:tcW w:w="565" w:type="pct"/>
            <w:tcBorders>
              <w:top w:val="single" w:sz="4" w:space="0" w:color="auto"/>
              <w:bottom w:val="nil"/>
            </w:tcBorders>
            <w:hideMark/>
          </w:tcPr>
          <w:p w14:paraId="4AC2066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(1.6%)</w:t>
            </w:r>
          </w:p>
        </w:tc>
        <w:tc>
          <w:tcPr>
            <w:tcW w:w="661" w:type="pct"/>
            <w:tcBorders>
              <w:top w:val="single" w:sz="4" w:space="0" w:color="auto"/>
              <w:bottom w:val="nil"/>
            </w:tcBorders>
            <w:hideMark/>
          </w:tcPr>
          <w:p w14:paraId="107D473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(0.8%)</w:t>
            </w:r>
          </w:p>
        </w:tc>
        <w:tc>
          <w:tcPr>
            <w:tcW w:w="809" w:type="pct"/>
            <w:tcBorders>
              <w:top w:val="single" w:sz="4" w:space="0" w:color="auto"/>
              <w:bottom w:val="nil"/>
            </w:tcBorders>
            <w:hideMark/>
          </w:tcPr>
          <w:p w14:paraId="3120A9C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 (4.0%)</w:t>
            </w:r>
          </w:p>
        </w:tc>
        <w:tc>
          <w:tcPr>
            <w:tcW w:w="426" w:type="pct"/>
            <w:tcBorders>
              <w:top w:val="single" w:sz="4" w:space="0" w:color="auto"/>
              <w:bottom w:val="nil"/>
            </w:tcBorders>
            <w:hideMark/>
          </w:tcPr>
          <w:p w14:paraId="4D1DC04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126</w:t>
            </w:r>
          </w:p>
        </w:tc>
      </w:tr>
      <w:tr w:rsidR="00F51435" w:rsidRPr="00F51435" w14:paraId="4F98128F" w14:textId="77777777" w:rsidTr="00EB1162">
        <w:tc>
          <w:tcPr>
            <w:tcW w:w="442" w:type="pct"/>
            <w:tcBorders>
              <w:top w:val="nil"/>
              <w:bottom w:val="nil"/>
            </w:tcBorders>
            <w:hideMark/>
          </w:tcPr>
          <w:p w14:paraId="3CABCA8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B </w:t>
            </w:r>
          </w:p>
        </w:tc>
        <w:tc>
          <w:tcPr>
            <w:tcW w:w="551" w:type="pct"/>
            <w:tcBorders>
              <w:top w:val="nil"/>
              <w:bottom w:val="nil"/>
            </w:tcBorders>
            <w:hideMark/>
          </w:tcPr>
          <w:p w14:paraId="2586167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113 (95.0%)</w:t>
            </w:r>
          </w:p>
        </w:tc>
        <w:tc>
          <w:tcPr>
            <w:tcW w:w="944" w:type="pct"/>
            <w:tcBorders>
              <w:top w:val="nil"/>
              <w:bottom w:val="nil"/>
            </w:tcBorders>
            <w:hideMark/>
          </w:tcPr>
          <w:p w14:paraId="24193A5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03" w:type="pct"/>
            <w:tcBorders>
              <w:top w:val="nil"/>
              <w:bottom w:val="nil"/>
            </w:tcBorders>
            <w:hideMark/>
          </w:tcPr>
          <w:p w14:paraId="76DEC96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565" w:type="pct"/>
            <w:tcBorders>
              <w:top w:val="nil"/>
              <w:bottom w:val="nil"/>
            </w:tcBorders>
            <w:hideMark/>
          </w:tcPr>
          <w:p w14:paraId="5BE26DE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(2.5%)</w:t>
            </w:r>
          </w:p>
        </w:tc>
        <w:tc>
          <w:tcPr>
            <w:tcW w:w="661" w:type="pct"/>
            <w:tcBorders>
              <w:top w:val="nil"/>
              <w:bottom w:val="nil"/>
            </w:tcBorders>
            <w:hideMark/>
          </w:tcPr>
          <w:p w14:paraId="189F3B5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(0.8%)</w:t>
            </w:r>
          </w:p>
        </w:tc>
        <w:tc>
          <w:tcPr>
            <w:tcW w:w="809" w:type="pct"/>
            <w:tcBorders>
              <w:top w:val="nil"/>
              <w:bottom w:val="nil"/>
            </w:tcBorders>
            <w:hideMark/>
          </w:tcPr>
          <w:p w14:paraId="2FB36AB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(1.7%)</w:t>
            </w:r>
          </w:p>
        </w:tc>
        <w:tc>
          <w:tcPr>
            <w:tcW w:w="426" w:type="pct"/>
            <w:tcBorders>
              <w:top w:val="nil"/>
              <w:bottom w:val="nil"/>
            </w:tcBorders>
            <w:hideMark/>
          </w:tcPr>
          <w:p w14:paraId="1110E11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119</w:t>
            </w:r>
          </w:p>
        </w:tc>
      </w:tr>
      <w:tr w:rsidR="00F51435" w:rsidRPr="00F51435" w14:paraId="315C139C" w14:textId="77777777" w:rsidTr="00EB1162">
        <w:tc>
          <w:tcPr>
            <w:tcW w:w="442" w:type="pct"/>
            <w:tcBorders>
              <w:top w:val="nil"/>
              <w:bottom w:val="nil"/>
            </w:tcBorders>
            <w:hideMark/>
          </w:tcPr>
          <w:p w14:paraId="180CE4A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AB </w:t>
            </w:r>
          </w:p>
        </w:tc>
        <w:tc>
          <w:tcPr>
            <w:tcW w:w="551" w:type="pct"/>
            <w:tcBorders>
              <w:top w:val="nil"/>
              <w:bottom w:val="nil"/>
            </w:tcBorders>
            <w:hideMark/>
          </w:tcPr>
          <w:p w14:paraId="41AD637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27 (93.1%)</w:t>
            </w:r>
          </w:p>
        </w:tc>
        <w:tc>
          <w:tcPr>
            <w:tcW w:w="944" w:type="pct"/>
            <w:tcBorders>
              <w:top w:val="nil"/>
              <w:bottom w:val="nil"/>
            </w:tcBorders>
            <w:hideMark/>
          </w:tcPr>
          <w:p w14:paraId="33CDA2E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03" w:type="pct"/>
            <w:tcBorders>
              <w:top w:val="nil"/>
              <w:bottom w:val="nil"/>
            </w:tcBorders>
            <w:hideMark/>
          </w:tcPr>
          <w:p w14:paraId="72F017A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565" w:type="pct"/>
            <w:tcBorders>
              <w:top w:val="nil"/>
              <w:bottom w:val="nil"/>
            </w:tcBorders>
            <w:hideMark/>
          </w:tcPr>
          <w:p w14:paraId="7FC7DB9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(3.4%)</w:t>
            </w:r>
          </w:p>
        </w:tc>
        <w:tc>
          <w:tcPr>
            <w:tcW w:w="661" w:type="pct"/>
            <w:tcBorders>
              <w:top w:val="nil"/>
              <w:bottom w:val="nil"/>
            </w:tcBorders>
            <w:hideMark/>
          </w:tcPr>
          <w:p w14:paraId="3140618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809" w:type="pct"/>
            <w:tcBorders>
              <w:top w:val="nil"/>
              <w:bottom w:val="nil"/>
            </w:tcBorders>
            <w:hideMark/>
          </w:tcPr>
          <w:p w14:paraId="0DE9ABD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(3.4%)</w:t>
            </w:r>
          </w:p>
        </w:tc>
        <w:tc>
          <w:tcPr>
            <w:tcW w:w="426" w:type="pct"/>
            <w:tcBorders>
              <w:top w:val="nil"/>
              <w:bottom w:val="nil"/>
            </w:tcBorders>
            <w:hideMark/>
          </w:tcPr>
          <w:p w14:paraId="58723B5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29</w:t>
            </w:r>
          </w:p>
        </w:tc>
      </w:tr>
      <w:tr w:rsidR="00F51435" w:rsidRPr="00F51435" w14:paraId="5E806805" w14:textId="77777777" w:rsidTr="00EB1162">
        <w:tc>
          <w:tcPr>
            <w:tcW w:w="442" w:type="pct"/>
            <w:tcBorders>
              <w:top w:val="nil"/>
              <w:bottom w:val="single" w:sz="4" w:space="0" w:color="auto"/>
            </w:tcBorders>
            <w:hideMark/>
          </w:tcPr>
          <w:p w14:paraId="346923A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O </w:t>
            </w:r>
          </w:p>
        </w:tc>
        <w:tc>
          <w:tcPr>
            <w:tcW w:w="551" w:type="pct"/>
            <w:tcBorders>
              <w:top w:val="nil"/>
              <w:bottom w:val="single" w:sz="4" w:space="0" w:color="auto"/>
            </w:tcBorders>
            <w:hideMark/>
          </w:tcPr>
          <w:p w14:paraId="408ACC8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257 (95.9%)</w:t>
            </w:r>
          </w:p>
        </w:tc>
        <w:tc>
          <w:tcPr>
            <w:tcW w:w="944" w:type="pct"/>
            <w:tcBorders>
              <w:top w:val="nil"/>
              <w:bottom w:val="single" w:sz="4" w:space="0" w:color="auto"/>
            </w:tcBorders>
            <w:hideMark/>
          </w:tcPr>
          <w:p w14:paraId="27D4928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(0.7%)</w:t>
            </w:r>
          </w:p>
        </w:tc>
        <w:tc>
          <w:tcPr>
            <w:tcW w:w="603" w:type="pct"/>
            <w:tcBorders>
              <w:top w:val="nil"/>
              <w:bottom w:val="single" w:sz="4" w:space="0" w:color="auto"/>
            </w:tcBorders>
            <w:hideMark/>
          </w:tcPr>
          <w:p w14:paraId="2107510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(0.4%)</w:t>
            </w:r>
          </w:p>
        </w:tc>
        <w:tc>
          <w:tcPr>
            <w:tcW w:w="565" w:type="pct"/>
            <w:tcBorders>
              <w:top w:val="nil"/>
              <w:bottom w:val="single" w:sz="4" w:space="0" w:color="auto"/>
            </w:tcBorders>
            <w:hideMark/>
          </w:tcPr>
          <w:p w14:paraId="30BCC55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 (1.9%)</w:t>
            </w:r>
          </w:p>
        </w:tc>
        <w:tc>
          <w:tcPr>
            <w:tcW w:w="661" w:type="pct"/>
            <w:tcBorders>
              <w:top w:val="nil"/>
              <w:bottom w:val="single" w:sz="4" w:space="0" w:color="auto"/>
            </w:tcBorders>
            <w:hideMark/>
          </w:tcPr>
          <w:p w14:paraId="54EBC39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(0.4%)</w:t>
            </w:r>
          </w:p>
        </w:tc>
        <w:tc>
          <w:tcPr>
            <w:tcW w:w="809" w:type="pct"/>
            <w:tcBorders>
              <w:top w:val="nil"/>
              <w:bottom w:val="single" w:sz="4" w:space="0" w:color="auto"/>
            </w:tcBorders>
            <w:hideMark/>
          </w:tcPr>
          <w:p w14:paraId="73BA828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(0.7%)</w:t>
            </w:r>
          </w:p>
        </w:tc>
        <w:tc>
          <w:tcPr>
            <w:tcW w:w="426" w:type="pct"/>
            <w:tcBorders>
              <w:top w:val="nil"/>
              <w:bottom w:val="single" w:sz="4" w:space="0" w:color="auto"/>
            </w:tcBorders>
            <w:hideMark/>
          </w:tcPr>
          <w:p w14:paraId="552DF0E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268</w:t>
            </w:r>
          </w:p>
        </w:tc>
      </w:tr>
      <w:tr w:rsidR="00F51435" w:rsidRPr="00F51435" w14:paraId="3F1CBA76" w14:textId="77777777" w:rsidTr="00EB1162">
        <w:tc>
          <w:tcPr>
            <w:tcW w:w="442" w:type="pct"/>
            <w:tcBorders>
              <w:top w:val="single" w:sz="4" w:space="0" w:color="auto"/>
            </w:tcBorders>
            <w:hideMark/>
          </w:tcPr>
          <w:p w14:paraId="7F23834B"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 xml:space="preserve">Total </w:t>
            </w:r>
          </w:p>
        </w:tc>
        <w:tc>
          <w:tcPr>
            <w:tcW w:w="551" w:type="pct"/>
            <w:tcBorders>
              <w:top w:val="single" w:sz="4" w:space="0" w:color="auto"/>
            </w:tcBorders>
            <w:hideMark/>
          </w:tcPr>
          <w:p w14:paraId="1070E1A4"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511 (94.3%)</w:t>
            </w:r>
          </w:p>
        </w:tc>
        <w:tc>
          <w:tcPr>
            <w:tcW w:w="944" w:type="pct"/>
            <w:tcBorders>
              <w:top w:val="single" w:sz="4" w:space="0" w:color="auto"/>
            </w:tcBorders>
            <w:hideMark/>
          </w:tcPr>
          <w:p w14:paraId="558CFAC3"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4 (0.7%)</w:t>
            </w:r>
          </w:p>
        </w:tc>
        <w:tc>
          <w:tcPr>
            <w:tcW w:w="603" w:type="pct"/>
            <w:tcBorders>
              <w:top w:val="single" w:sz="4" w:space="0" w:color="auto"/>
            </w:tcBorders>
            <w:hideMark/>
          </w:tcPr>
          <w:p w14:paraId="1C7CEECC"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3 (0.6%)</w:t>
            </w:r>
          </w:p>
        </w:tc>
        <w:tc>
          <w:tcPr>
            <w:tcW w:w="565" w:type="pct"/>
            <w:tcBorders>
              <w:top w:val="single" w:sz="4" w:space="0" w:color="auto"/>
            </w:tcBorders>
            <w:hideMark/>
          </w:tcPr>
          <w:p w14:paraId="7FE1C76C"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11 (2.0%)</w:t>
            </w:r>
          </w:p>
        </w:tc>
        <w:tc>
          <w:tcPr>
            <w:tcW w:w="661" w:type="pct"/>
            <w:tcBorders>
              <w:top w:val="single" w:sz="4" w:space="0" w:color="auto"/>
            </w:tcBorders>
            <w:hideMark/>
          </w:tcPr>
          <w:p w14:paraId="13AC66BC"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3 (0.6%)</w:t>
            </w:r>
          </w:p>
        </w:tc>
        <w:tc>
          <w:tcPr>
            <w:tcW w:w="809" w:type="pct"/>
            <w:tcBorders>
              <w:top w:val="single" w:sz="4" w:space="0" w:color="auto"/>
            </w:tcBorders>
            <w:hideMark/>
          </w:tcPr>
          <w:p w14:paraId="57EDEE5F"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10 (1.8%)</w:t>
            </w:r>
          </w:p>
        </w:tc>
        <w:tc>
          <w:tcPr>
            <w:tcW w:w="426" w:type="pct"/>
            <w:tcBorders>
              <w:top w:val="single" w:sz="4" w:space="0" w:color="auto"/>
            </w:tcBorders>
            <w:hideMark/>
          </w:tcPr>
          <w:p w14:paraId="5DDE959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r>
    </w:tbl>
    <w:p w14:paraId="4C2A1217" w14:textId="77777777" w:rsidR="00F51435" w:rsidRPr="00F51435" w:rsidRDefault="00F51435" w:rsidP="00F51435">
      <w:pPr>
        <w:spacing w:line="360" w:lineRule="auto"/>
        <w:jc w:val="both"/>
        <w:rPr>
          <w:rFonts w:ascii="Arial" w:hAnsi="Arial" w:cs="Arial"/>
        </w:rPr>
      </w:pPr>
      <w:r w:rsidRPr="00F51435">
        <w:rPr>
          <w:rFonts w:ascii="Arial" w:hAnsi="Arial" w:cs="Arial"/>
        </w:rPr>
        <w:t>Among the recorded reactions, sweating was the most common (2.0%), followed by “other combinations” of symptoms (1.8%), dizziness/lightheadedness (0.7%), fainting/syncope (0.6%), and hematoma formation (0.6%). Blood group O, which constituted the largest proportion of the sample (n=268), also accounted for the highest absolute number of participants with no reaction (95.9%) and had low rates of adverse events overall.</w:t>
      </w:r>
    </w:p>
    <w:p w14:paraId="0504D24D" w14:textId="77777777" w:rsidR="00F51435" w:rsidRPr="00F51435" w:rsidRDefault="00F51435" w:rsidP="00F51435">
      <w:pPr>
        <w:spacing w:line="360" w:lineRule="auto"/>
        <w:jc w:val="both"/>
        <w:rPr>
          <w:rFonts w:ascii="Arial" w:hAnsi="Arial" w:cs="Arial"/>
        </w:rPr>
      </w:pPr>
      <w:r w:rsidRPr="00F51435">
        <w:rPr>
          <w:rFonts w:ascii="Arial" w:hAnsi="Arial" w:cs="Arial"/>
        </w:rPr>
        <w:t>Group A showed slightly higher frequencies of dizziness/lightheadedness and fainting (each 1.6%) compared to other groups, while group B and AB demonstrated very few or no cases of dizziness or syncope. However, given the low event counts across all groups and the relatively small sample size for group AB (n=29), no clear pattern of clinically meaningful differences in adverse reaction profiles across ABO blood groups is evident from the descriptive data.</w:t>
      </w:r>
    </w:p>
    <w:p w14:paraId="25049490" w14:textId="77777777" w:rsidR="00F51435" w:rsidRPr="00F51435" w:rsidRDefault="00F51435" w:rsidP="00F51435">
      <w:pPr>
        <w:spacing w:line="360" w:lineRule="auto"/>
        <w:jc w:val="both"/>
        <w:rPr>
          <w:rFonts w:ascii="Arial" w:hAnsi="Arial" w:cs="Arial"/>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000" w:firstRow="0" w:lastRow="0" w:firstColumn="0" w:lastColumn="0" w:noHBand="0" w:noVBand="0"/>
      </w:tblPr>
      <w:tblGrid>
        <w:gridCol w:w="3074"/>
        <w:gridCol w:w="1558"/>
        <w:gridCol w:w="1558"/>
        <w:gridCol w:w="2234"/>
      </w:tblGrid>
      <w:tr w:rsidR="00F51435" w:rsidRPr="00F51435" w14:paraId="6E523008" w14:textId="77777777" w:rsidTr="00EB1162">
        <w:tc>
          <w:tcPr>
            <w:tcW w:w="5000" w:type="pct"/>
            <w:gridSpan w:val="4"/>
            <w:tcBorders>
              <w:bottom w:val="single" w:sz="4" w:space="0" w:color="auto"/>
            </w:tcBorders>
          </w:tcPr>
          <w:p w14:paraId="3BC421D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Chi-Square Tests</w:t>
            </w:r>
          </w:p>
        </w:tc>
      </w:tr>
      <w:tr w:rsidR="00F51435" w:rsidRPr="00F51435" w14:paraId="409F4C96" w14:textId="77777777" w:rsidTr="00EB1162">
        <w:tc>
          <w:tcPr>
            <w:tcW w:w="1824" w:type="pct"/>
            <w:tcBorders>
              <w:top w:val="single" w:sz="4" w:space="0" w:color="auto"/>
              <w:bottom w:val="nil"/>
              <w:right w:val="nil"/>
            </w:tcBorders>
          </w:tcPr>
          <w:p w14:paraId="62098C54" w14:textId="77777777" w:rsidR="00F51435" w:rsidRPr="00F51435" w:rsidRDefault="00F51435" w:rsidP="00F51435">
            <w:pPr>
              <w:spacing w:line="360" w:lineRule="auto"/>
              <w:jc w:val="both"/>
              <w:rPr>
                <w:rFonts w:ascii="Arial" w:hAnsi="Arial" w:cs="Arial"/>
                <w:sz w:val="20"/>
                <w:szCs w:val="20"/>
              </w:rPr>
            </w:pPr>
          </w:p>
        </w:tc>
        <w:tc>
          <w:tcPr>
            <w:tcW w:w="925" w:type="pct"/>
            <w:tcBorders>
              <w:top w:val="single" w:sz="4" w:space="0" w:color="auto"/>
              <w:left w:val="nil"/>
              <w:bottom w:val="nil"/>
              <w:right w:val="nil"/>
            </w:tcBorders>
          </w:tcPr>
          <w:p w14:paraId="2359623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Value</w:t>
            </w:r>
          </w:p>
        </w:tc>
        <w:tc>
          <w:tcPr>
            <w:tcW w:w="925" w:type="pct"/>
            <w:tcBorders>
              <w:top w:val="single" w:sz="4" w:space="0" w:color="auto"/>
              <w:left w:val="nil"/>
              <w:bottom w:val="nil"/>
              <w:right w:val="nil"/>
            </w:tcBorders>
          </w:tcPr>
          <w:p w14:paraId="371A6AF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df</w:t>
            </w:r>
          </w:p>
        </w:tc>
        <w:tc>
          <w:tcPr>
            <w:tcW w:w="1327" w:type="pct"/>
            <w:tcBorders>
              <w:top w:val="single" w:sz="4" w:space="0" w:color="auto"/>
              <w:left w:val="nil"/>
              <w:bottom w:val="nil"/>
            </w:tcBorders>
          </w:tcPr>
          <w:p w14:paraId="0B86776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Asymptotic Significance (2-sided)</w:t>
            </w:r>
          </w:p>
        </w:tc>
      </w:tr>
      <w:tr w:rsidR="00F51435" w:rsidRPr="00F51435" w14:paraId="5C39AE9F" w14:textId="77777777" w:rsidTr="00EB1162">
        <w:tc>
          <w:tcPr>
            <w:tcW w:w="1824" w:type="pct"/>
            <w:tcBorders>
              <w:top w:val="nil"/>
              <w:bottom w:val="nil"/>
              <w:right w:val="nil"/>
            </w:tcBorders>
          </w:tcPr>
          <w:p w14:paraId="3A49E9B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Pearson Chi-Square</w:t>
            </w:r>
          </w:p>
        </w:tc>
        <w:tc>
          <w:tcPr>
            <w:tcW w:w="925" w:type="pct"/>
            <w:tcBorders>
              <w:top w:val="nil"/>
              <w:left w:val="nil"/>
              <w:bottom w:val="nil"/>
              <w:right w:val="nil"/>
            </w:tcBorders>
          </w:tcPr>
          <w:p w14:paraId="4098C9E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59.873</w:t>
            </w:r>
            <w:r w:rsidRPr="00F51435">
              <w:rPr>
                <w:rFonts w:ascii="Arial" w:hAnsi="Arial" w:cs="Arial"/>
                <w:sz w:val="20"/>
                <w:szCs w:val="20"/>
                <w:vertAlign w:val="superscript"/>
              </w:rPr>
              <w:t>a</w:t>
            </w:r>
          </w:p>
        </w:tc>
        <w:tc>
          <w:tcPr>
            <w:tcW w:w="925" w:type="pct"/>
            <w:tcBorders>
              <w:top w:val="nil"/>
              <w:left w:val="nil"/>
              <w:bottom w:val="nil"/>
              <w:right w:val="nil"/>
            </w:tcBorders>
          </w:tcPr>
          <w:p w14:paraId="40879A3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57</w:t>
            </w:r>
          </w:p>
        </w:tc>
        <w:tc>
          <w:tcPr>
            <w:tcW w:w="1327" w:type="pct"/>
            <w:tcBorders>
              <w:top w:val="nil"/>
              <w:left w:val="nil"/>
              <w:bottom w:val="nil"/>
            </w:tcBorders>
          </w:tcPr>
          <w:p w14:paraId="2D34C36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.372</w:t>
            </w:r>
          </w:p>
        </w:tc>
      </w:tr>
      <w:tr w:rsidR="00F51435" w:rsidRPr="00F51435" w14:paraId="37C3DC6B" w14:textId="77777777" w:rsidTr="00EB1162">
        <w:tc>
          <w:tcPr>
            <w:tcW w:w="1824" w:type="pct"/>
            <w:tcBorders>
              <w:top w:val="nil"/>
              <w:bottom w:val="nil"/>
              <w:right w:val="nil"/>
            </w:tcBorders>
          </w:tcPr>
          <w:p w14:paraId="2BECDFE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925" w:type="pct"/>
            <w:tcBorders>
              <w:top w:val="nil"/>
              <w:left w:val="nil"/>
              <w:bottom w:val="nil"/>
              <w:right w:val="nil"/>
            </w:tcBorders>
          </w:tcPr>
          <w:p w14:paraId="395782F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56.283</w:t>
            </w:r>
          </w:p>
        </w:tc>
        <w:tc>
          <w:tcPr>
            <w:tcW w:w="925" w:type="pct"/>
            <w:tcBorders>
              <w:top w:val="nil"/>
              <w:left w:val="nil"/>
              <w:bottom w:val="nil"/>
              <w:right w:val="nil"/>
            </w:tcBorders>
          </w:tcPr>
          <w:p w14:paraId="6D47AE2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57</w:t>
            </w:r>
          </w:p>
        </w:tc>
        <w:tc>
          <w:tcPr>
            <w:tcW w:w="1327" w:type="pct"/>
            <w:tcBorders>
              <w:top w:val="nil"/>
              <w:left w:val="nil"/>
              <w:bottom w:val="nil"/>
            </w:tcBorders>
          </w:tcPr>
          <w:p w14:paraId="71F0A3A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.502</w:t>
            </w:r>
          </w:p>
        </w:tc>
      </w:tr>
      <w:tr w:rsidR="00F51435" w:rsidRPr="00F51435" w14:paraId="5B8CB1A2" w14:textId="77777777" w:rsidTr="00EB1162">
        <w:tc>
          <w:tcPr>
            <w:tcW w:w="1824" w:type="pct"/>
            <w:tcBorders>
              <w:top w:val="nil"/>
              <w:bottom w:val="single" w:sz="4" w:space="0" w:color="auto"/>
              <w:right w:val="nil"/>
            </w:tcBorders>
          </w:tcPr>
          <w:p w14:paraId="6FEBD41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 of Valid Cases</w:t>
            </w:r>
          </w:p>
        </w:tc>
        <w:tc>
          <w:tcPr>
            <w:tcW w:w="925" w:type="pct"/>
            <w:tcBorders>
              <w:top w:val="nil"/>
              <w:left w:val="nil"/>
              <w:bottom w:val="single" w:sz="4" w:space="0" w:color="auto"/>
              <w:right w:val="nil"/>
            </w:tcBorders>
          </w:tcPr>
          <w:p w14:paraId="4534E47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925" w:type="pct"/>
            <w:tcBorders>
              <w:top w:val="nil"/>
              <w:left w:val="nil"/>
              <w:bottom w:val="single" w:sz="4" w:space="0" w:color="auto"/>
              <w:right w:val="nil"/>
            </w:tcBorders>
          </w:tcPr>
          <w:p w14:paraId="192E000D" w14:textId="77777777" w:rsidR="00F51435" w:rsidRPr="00F51435" w:rsidRDefault="00F51435" w:rsidP="00F51435">
            <w:pPr>
              <w:spacing w:line="360" w:lineRule="auto"/>
              <w:jc w:val="both"/>
              <w:rPr>
                <w:rFonts w:ascii="Arial" w:hAnsi="Arial" w:cs="Arial"/>
                <w:sz w:val="20"/>
                <w:szCs w:val="20"/>
              </w:rPr>
            </w:pPr>
          </w:p>
        </w:tc>
        <w:tc>
          <w:tcPr>
            <w:tcW w:w="1327" w:type="pct"/>
            <w:tcBorders>
              <w:top w:val="nil"/>
              <w:left w:val="nil"/>
              <w:bottom w:val="single" w:sz="4" w:space="0" w:color="auto"/>
            </w:tcBorders>
          </w:tcPr>
          <w:p w14:paraId="14C4C380" w14:textId="77777777" w:rsidR="00F51435" w:rsidRPr="00F51435" w:rsidRDefault="00F51435" w:rsidP="00F51435">
            <w:pPr>
              <w:spacing w:line="360" w:lineRule="auto"/>
              <w:jc w:val="both"/>
              <w:rPr>
                <w:rFonts w:ascii="Arial" w:hAnsi="Arial" w:cs="Arial"/>
                <w:sz w:val="20"/>
                <w:szCs w:val="20"/>
              </w:rPr>
            </w:pPr>
          </w:p>
        </w:tc>
      </w:tr>
      <w:tr w:rsidR="00F51435" w:rsidRPr="00F51435" w14:paraId="4973D1E1" w14:textId="77777777" w:rsidTr="00EB1162">
        <w:tc>
          <w:tcPr>
            <w:tcW w:w="5000" w:type="pct"/>
            <w:gridSpan w:val="4"/>
            <w:tcBorders>
              <w:top w:val="single" w:sz="4" w:space="0" w:color="auto"/>
            </w:tcBorders>
          </w:tcPr>
          <w:p w14:paraId="3F876D2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 76 cells (95.0%) have expected count less than 5. The minimum expected count is .05.</w:t>
            </w:r>
          </w:p>
        </w:tc>
      </w:tr>
    </w:tbl>
    <w:p w14:paraId="7B47749C" w14:textId="77777777" w:rsidR="00F51435" w:rsidRPr="00F51435" w:rsidRDefault="00F51435" w:rsidP="00F51435">
      <w:pPr>
        <w:spacing w:line="360" w:lineRule="auto"/>
        <w:jc w:val="both"/>
        <w:rPr>
          <w:rFonts w:ascii="Arial" w:hAnsi="Arial" w:cs="Arial"/>
        </w:rPr>
      </w:pPr>
      <w:r w:rsidRPr="00F51435">
        <w:rPr>
          <w:rFonts w:ascii="Arial" w:hAnsi="Arial" w:cs="Arial"/>
        </w:rPr>
        <w:t>The Chi-square test was used to examine the association between ABO blood group and the type of reaction observed.</w:t>
      </w:r>
    </w:p>
    <w:p w14:paraId="7F5176A2" w14:textId="77777777" w:rsidR="00F51435" w:rsidRPr="00F51435" w:rsidRDefault="00F51435" w:rsidP="00F51435">
      <w:pPr>
        <w:spacing w:line="360" w:lineRule="auto"/>
        <w:jc w:val="both"/>
        <w:rPr>
          <w:rFonts w:ascii="Arial" w:hAnsi="Arial" w:cs="Arial"/>
        </w:rPr>
      </w:pPr>
      <w:r w:rsidRPr="00F51435">
        <w:rPr>
          <w:rFonts w:ascii="Arial" w:hAnsi="Arial" w:cs="Arial"/>
        </w:rPr>
        <w:t xml:space="preserve">The Pearson Chi-Square test showed no statistically significant association between ABO blood group and type of reaction (χ² = 59.873, df = 57, p = 0.372). Similarly, the Likelihood Ratio test also indicated no significant relationship (LR = 56.283, df = 57, p = 0.502). With an alpha level of 0.05, these p-values suggest that any observed differences in reaction </w:t>
      </w:r>
      <w:r w:rsidRPr="00F51435">
        <w:rPr>
          <w:rFonts w:ascii="Arial" w:hAnsi="Arial" w:cs="Arial"/>
        </w:rPr>
        <w:lastRenderedPageBreak/>
        <w:t>patterns across blood groups are likely due to chance rather than a true underlying association.</w:t>
      </w:r>
    </w:p>
    <w:p w14:paraId="73412FB1" w14:textId="77777777" w:rsidR="00F51435" w:rsidRPr="0040467E" w:rsidRDefault="00F51435" w:rsidP="00F51435">
      <w:pPr>
        <w:spacing w:line="360" w:lineRule="auto"/>
        <w:jc w:val="both"/>
        <w:rPr>
          <w:rFonts w:ascii="Arial" w:hAnsi="Arial" w:cs="Arial"/>
          <w:b/>
          <w:bCs/>
          <w:color w:val="000000" w:themeColor="text1"/>
        </w:rPr>
      </w:pPr>
    </w:p>
    <w:p w14:paraId="26CF8978" w14:textId="77777777" w:rsidR="00F51435" w:rsidRPr="0040467E" w:rsidRDefault="00F51435" w:rsidP="00F51435">
      <w:pPr>
        <w:pStyle w:val="Heading2"/>
        <w:numPr>
          <w:ilvl w:val="1"/>
          <w:numId w:val="32"/>
        </w:numPr>
        <w:spacing w:before="0" w:line="360" w:lineRule="auto"/>
        <w:jc w:val="both"/>
        <w:rPr>
          <w:rFonts w:ascii="Arial" w:hAnsi="Arial" w:cs="Arial"/>
          <w:b/>
          <w:bCs/>
          <w:color w:val="000000" w:themeColor="text1"/>
          <w:sz w:val="20"/>
          <w:szCs w:val="20"/>
        </w:rPr>
      </w:pPr>
      <w:bookmarkStart w:id="12" w:name="_Toc226285916"/>
      <w:r w:rsidRPr="0040467E">
        <w:rPr>
          <w:rFonts w:ascii="Arial" w:hAnsi="Arial" w:cs="Arial"/>
          <w:b/>
          <w:bCs/>
          <w:color w:val="000000" w:themeColor="text1"/>
          <w:sz w:val="20"/>
          <w:szCs w:val="20"/>
        </w:rPr>
        <w:t>Association Between Level of Education and Adverse Reactions</w:t>
      </w:r>
      <w:bookmarkEnd w:id="12"/>
    </w:p>
    <w:p w14:paraId="02D9974A" w14:textId="77777777" w:rsidR="00F51435" w:rsidRPr="0040467E" w:rsidRDefault="00F51435" w:rsidP="00F51435">
      <w:pPr>
        <w:pStyle w:val="Heading3"/>
        <w:numPr>
          <w:ilvl w:val="2"/>
          <w:numId w:val="32"/>
        </w:numPr>
        <w:spacing w:before="0" w:line="360" w:lineRule="auto"/>
        <w:jc w:val="both"/>
        <w:rPr>
          <w:rFonts w:ascii="Arial" w:hAnsi="Arial" w:cs="Arial"/>
          <w:b/>
          <w:bCs/>
          <w:color w:val="000000" w:themeColor="text1"/>
          <w:sz w:val="20"/>
          <w:szCs w:val="20"/>
        </w:rPr>
      </w:pPr>
      <w:bookmarkStart w:id="13" w:name="_Toc226285917"/>
      <w:r w:rsidRPr="0040467E">
        <w:rPr>
          <w:rFonts w:ascii="Arial" w:hAnsi="Arial" w:cs="Arial"/>
          <w:b/>
          <w:bCs/>
          <w:color w:val="000000" w:themeColor="text1"/>
          <w:sz w:val="20"/>
          <w:szCs w:val="20"/>
        </w:rPr>
        <w:t>Association Between Donor’s Level of Education and Occurrence of Adverse Reactions</w:t>
      </w:r>
      <w:bookmarkEnd w:id="13"/>
    </w:p>
    <w:p w14:paraId="708DAB6D" w14:textId="6A2AC011" w:rsidR="00F51435" w:rsidRDefault="00F51435" w:rsidP="00F51435">
      <w:pPr>
        <w:spacing w:line="360" w:lineRule="auto"/>
        <w:jc w:val="both"/>
        <w:rPr>
          <w:rFonts w:ascii="Arial" w:hAnsi="Arial" w:cs="Arial"/>
        </w:rPr>
      </w:pPr>
      <w:r w:rsidRPr="00F51435">
        <w:rPr>
          <w:rFonts w:ascii="Arial" w:hAnsi="Arial" w:cs="Arial"/>
        </w:rPr>
        <w:t>A cross-tabulation analysis was conducted to examine the relationship between donor’s level of education and the occurrence of blood donation-related adverse reactions among 542 donors. Overall, 31 donors (5.7%) experienced adverse reactions, while 511 (94.3%) did not.</w:t>
      </w:r>
    </w:p>
    <w:p w14:paraId="05174CFB" w14:textId="77777777" w:rsidR="006E78EA" w:rsidRDefault="006E78EA" w:rsidP="00F51435">
      <w:pPr>
        <w:spacing w:line="360" w:lineRule="auto"/>
        <w:jc w:val="both"/>
        <w:rPr>
          <w:rFonts w:ascii="Arial" w:hAnsi="Arial" w:cs="Arial"/>
        </w:rPr>
      </w:pPr>
    </w:p>
    <w:p w14:paraId="52644854" w14:textId="68F23C81" w:rsidR="006E78EA" w:rsidRPr="006E78EA" w:rsidRDefault="006E78EA" w:rsidP="006E78EA">
      <w:pPr>
        <w:pStyle w:val="Heading2"/>
        <w:spacing w:before="0" w:line="360" w:lineRule="auto"/>
        <w:jc w:val="both"/>
        <w:rPr>
          <w:rFonts w:ascii="Arial" w:hAnsi="Arial" w:cs="Arial"/>
          <w:b/>
          <w:bCs/>
          <w:color w:val="auto"/>
          <w:sz w:val="20"/>
          <w:szCs w:val="20"/>
        </w:rPr>
      </w:pPr>
      <w:r w:rsidRPr="006E78EA">
        <w:rPr>
          <w:rFonts w:ascii="Arial" w:hAnsi="Arial" w:cs="Arial"/>
          <w:color w:val="auto"/>
          <w:sz w:val="20"/>
          <w:szCs w:val="20"/>
        </w:rPr>
        <w:t xml:space="preserve">Table 8. </w:t>
      </w:r>
      <w:r w:rsidRPr="006E78EA">
        <w:rPr>
          <w:rFonts w:ascii="Arial" w:hAnsi="Arial" w:cs="Arial"/>
          <w:b/>
          <w:bCs/>
          <w:color w:val="auto"/>
          <w:sz w:val="20"/>
          <w:szCs w:val="20"/>
        </w:rPr>
        <w:t>Association Between Level of Education and Adverse Reactions</w:t>
      </w:r>
    </w:p>
    <w:p w14:paraId="2C50C679" w14:textId="77777777" w:rsidR="006E78EA" w:rsidRPr="00F51435" w:rsidRDefault="006E78EA" w:rsidP="00F51435">
      <w:pPr>
        <w:spacing w:line="360" w:lineRule="auto"/>
        <w:jc w:val="both"/>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2666"/>
        <w:gridCol w:w="2587"/>
        <w:gridCol w:w="1264"/>
      </w:tblGrid>
      <w:tr w:rsidR="00F51435" w:rsidRPr="00F51435" w14:paraId="3354F4D9" w14:textId="77777777" w:rsidTr="00EB1162">
        <w:tc>
          <w:tcPr>
            <w:tcW w:w="0" w:type="auto"/>
            <w:tcBorders>
              <w:bottom w:val="single" w:sz="4" w:space="0" w:color="auto"/>
            </w:tcBorders>
            <w:hideMark/>
          </w:tcPr>
          <w:p w14:paraId="05F661A0"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Level of Education</w:t>
            </w:r>
          </w:p>
        </w:tc>
        <w:tc>
          <w:tcPr>
            <w:tcW w:w="0" w:type="auto"/>
            <w:tcBorders>
              <w:bottom w:val="single" w:sz="4" w:space="0" w:color="auto"/>
            </w:tcBorders>
            <w:hideMark/>
          </w:tcPr>
          <w:p w14:paraId="580BE641"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Adverse Reaction Yes n (%)</w:t>
            </w:r>
          </w:p>
        </w:tc>
        <w:tc>
          <w:tcPr>
            <w:tcW w:w="0" w:type="auto"/>
            <w:tcBorders>
              <w:bottom w:val="single" w:sz="4" w:space="0" w:color="auto"/>
            </w:tcBorders>
            <w:hideMark/>
          </w:tcPr>
          <w:p w14:paraId="5B8D2F1E"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No Adverse Reaction n (%)</w:t>
            </w:r>
          </w:p>
        </w:tc>
        <w:tc>
          <w:tcPr>
            <w:tcW w:w="0" w:type="auto"/>
            <w:tcBorders>
              <w:bottom w:val="single" w:sz="4" w:space="0" w:color="auto"/>
            </w:tcBorders>
            <w:hideMark/>
          </w:tcPr>
          <w:p w14:paraId="52557421"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 n (%)</w:t>
            </w:r>
          </w:p>
        </w:tc>
      </w:tr>
      <w:tr w:rsidR="00F51435" w:rsidRPr="00F51435" w14:paraId="0BF92F01" w14:textId="77777777" w:rsidTr="00EB1162">
        <w:tc>
          <w:tcPr>
            <w:tcW w:w="0" w:type="auto"/>
            <w:tcBorders>
              <w:top w:val="single" w:sz="4" w:space="0" w:color="auto"/>
              <w:bottom w:val="nil"/>
            </w:tcBorders>
            <w:hideMark/>
          </w:tcPr>
          <w:p w14:paraId="5D42010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Primary</w:t>
            </w:r>
          </w:p>
        </w:tc>
        <w:tc>
          <w:tcPr>
            <w:tcW w:w="0" w:type="auto"/>
            <w:tcBorders>
              <w:top w:val="single" w:sz="4" w:space="0" w:color="auto"/>
              <w:bottom w:val="nil"/>
            </w:tcBorders>
            <w:hideMark/>
          </w:tcPr>
          <w:p w14:paraId="482E150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0" w:type="auto"/>
            <w:tcBorders>
              <w:top w:val="single" w:sz="4" w:space="0" w:color="auto"/>
              <w:bottom w:val="nil"/>
            </w:tcBorders>
            <w:hideMark/>
          </w:tcPr>
          <w:p w14:paraId="2AE8885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 (100.0%)</w:t>
            </w:r>
          </w:p>
        </w:tc>
        <w:tc>
          <w:tcPr>
            <w:tcW w:w="0" w:type="auto"/>
            <w:tcBorders>
              <w:top w:val="single" w:sz="4" w:space="0" w:color="auto"/>
              <w:bottom w:val="nil"/>
            </w:tcBorders>
            <w:hideMark/>
          </w:tcPr>
          <w:p w14:paraId="35C2C48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 (0.7%)</w:t>
            </w:r>
          </w:p>
        </w:tc>
      </w:tr>
      <w:tr w:rsidR="00F51435" w:rsidRPr="00F51435" w14:paraId="2CB69A18" w14:textId="77777777" w:rsidTr="00EB1162">
        <w:tc>
          <w:tcPr>
            <w:tcW w:w="0" w:type="auto"/>
            <w:tcBorders>
              <w:top w:val="nil"/>
              <w:bottom w:val="nil"/>
            </w:tcBorders>
            <w:hideMark/>
          </w:tcPr>
          <w:p w14:paraId="718CFE4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Secondary</w:t>
            </w:r>
          </w:p>
        </w:tc>
        <w:tc>
          <w:tcPr>
            <w:tcW w:w="0" w:type="auto"/>
            <w:tcBorders>
              <w:top w:val="nil"/>
              <w:bottom w:val="nil"/>
            </w:tcBorders>
            <w:hideMark/>
          </w:tcPr>
          <w:p w14:paraId="490487A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24 (6.2%)</w:t>
            </w:r>
          </w:p>
        </w:tc>
        <w:tc>
          <w:tcPr>
            <w:tcW w:w="0" w:type="auto"/>
            <w:tcBorders>
              <w:top w:val="nil"/>
              <w:bottom w:val="nil"/>
            </w:tcBorders>
            <w:hideMark/>
          </w:tcPr>
          <w:p w14:paraId="4DD49D4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361 (93.8%)</w:t>
            </w:r>
          </w:p>
        </w:tc>
        <w:tc>
          <w:tcPr>
            <w:tcW w:w="0" w:type="auto"/>
            <w:tcBorders>
              <w:top w:val="nil"/>
              <w:bottom w:val="nil"/>
            </w:tcBorders>
            <w:hideMark/>
          </w:tcPr>
          <w:p w14:paraId="70A2B2E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385 (71.0%)</w:t>
            </w:r>
          </w:p>
        </w:tc>
      </w:tr>
      <w:tr w:rsidR="00F51435" w:rsidRPr="00F51435" w14:paraId="6EC840B7" w14:textId="77777777" w:rsidTr="00EB1162">
        <w:tc>
          <w:tcPr>
            <w:tcW w:w="0" w:type="auto"/>
            <w:tcBorders>
              <w:top w:val="nil"/>
              <w:bottom w:val="nil"/>
            </w:tcBorders>
            <w:hideMark/>
          </w:tcPr>
          <w:p w14:paraId="7442518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Tertiary</w:t>
            </w:r>
          </w:p>
        </w:tc>
        <w:tc>
          <w:tcPr>
            <w:tcW w:w="0" w:type="auto"/>
            <w:tcBorders>
              <w:top w:val="nil"/>
              <w:bottom w:val="nil"/>
            </w:tcBorders>
            <w:hideMark/>
          </w:tcPr>
          <w:p w14:paraId="2F3E747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 (4.6%)</w:t>
            </w:r>
          </w:p>
        </w:tc>
        <w:tc>
          <w:tcPr>
            <w:tcW w:w="0" w:type="auto"/>
            <w:tcBorders>
              <w:top w:val="nil"/>
              <w:bottom w:val="nil"/>
            </w:tcBorders>
            <w:hideMark/>
          </w:tcPr>
          <w:p w14:paraId="0A0703E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145 (95.4%)</w:t>
            </w:r>
          </w:p>
        </w:tc>
        <w:tc>
          <w:tcPr>
            <w:tcW w:w="0" w:type="auto"/>
            <w:tcBorders>
              <w:top w:val="nil"/>
              <w:bottom w:val="nil"/>
            </w:tcBorders>
            <w:hideMark/>
          </w:tcPr>
          <w:p w14:paraId="4A2E56E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152 (28.0%)</w:t>
            </w:r>
          </w:p>
        </w:tc>
      </w:tr>
      <w:tr w:rsidR="00F51435" w:rsidRPr="00F51435" w14:paraId="5E8E75BF" w14:textId="77777777" w:rsidTr="00EB1162">
        <w:tc>
          <w:tcPr>
            <w:tcW w:w="0" w:type="auto"/>
            <w:tcBorders>
              <w:top w:val="nil"/>
              <w:bottom w:val="single" w:sz="4" w:space="0" w:color="auto"/>
            </w:tcBorders>
            <w:hideMark/>
          </w:tcPr>
          <w:p w14:paraId="1367AF2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None</w:t>
            </w:r>
          </w:p>
        </w:tc>
        <w:tc>
          <w:tcPr>
            <w:tcW w:w="0" w:type="auto"/>
            <w:tcBorders>
              <w:top w:val="nil"/>
              <w:bottom w:val="single" w:sz="4" w:space="0" w:color="auto"/>
            </w:tcBorders>
            <w:hideMark/>
          </w:tcPr>
          <w:p w14:paraId="0BB762F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0" w:type="auto"/>
            <w:tcBorders>
              <w:top w:val="nil"/>
              <w:bottom w:val="single" w:sz="4" w:space="0" w:color="auto"/>
            </w:tcBorders>
            <w:hideMark/>
          </w:tcPr>
          <w:p w14:paraId="155CFBA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(100.0%)</w:t>
            </w:r>
          </w:p>
        </w:tc>
        <w:tc>
          <w:tcPr>
            <w:tcW w:w="0" w:type="auto"/>
            <w:tcBorders>
              <w:top w:val="nil"/>
              <w:bottom w:val="single" w:sz="4" w:space="0" w:color="auto"/>
            </w:tcBorders>
            <w:hideMark/>
          </w:tcPr>
          <w:p w14:paraId="2B2FA9B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(0.2%)</w:t>
            </w:r>
          </w:p>
        </w:tc>
      </w:tr>
      <w:tr w:rsidR="00F51435" w:rsidRPr="00F51435" w14:paraId="3B5FE9D0" w14:textId="77777777" w:rsidTr="00EB1162">
        <w:tc>
          <w:tcPr>
            <w:tcW w:w="0" w:type="auto"/>
            <w:tcBorders>
              <w:top w:val="single" w:sz="4" w:space="0" w:color="auto"/>
            </w:tcBorders>
            <w:hideMark/>
          </w:tcPr>
          <w:p w14:paraId="1A47F6EE"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Total</w:t>
            </w:r>
          </w:p>
        </w:tc>
        <w:tc>
          <w:tcPr>
            <w:tcW w:w="0" w:type="auto"/>
            <w:tcBorders>
              <w:top w:val="single" w:sz="4" w:space="0" w:color="auto"/>
            </w:tcBorders>
            <w:hideMark/>
          </w:tcPr>
          <w:p w14:paraId="55D8DA6E"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31 (5.7%)</w:t>
            </w:r>
          </w:p>
        </w:tc>
        <w:tc>
          <w:tcPr>
            <w:tcW w:w="0" w:type="auto"/>
            <w:tcBorders>
              <w:top w:val="single" w:sz="4" w:space="0" w:color="auto"/>
            </w:tcBorders>
            <w:hideMark/>
          </w:tcPr>
          <w:p w14:paraId="7B40A338"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511 (94.3%)</w:t>
            </w:r>
          </w:p>
        </w:tc>
        <w:tc>
          <w:tcPr>
            <w:tcW w:w="0" w:type="auto"/>
            <w:tcBorders>
              <w:top w:val="single" w:sz="4" w:space="0" w:color="auto"/>
            </w:tcBorders>
            <w:hideMark/>
          </w:tcPr>
          <w:p w14:paraId="79C2A5CF" w14:textId="77777777" w:rsidR="00F51435" w:rsidRPr="00F51435" w:rsidRDefault="00F51435" w:rsidP="00F51435">
            <w:pPr>
              <w:spacing w:line="360" w:lineRule="auto"/>
              <w:jc w:val="both"/>
              <w:rPr>
                <w:rFonts w:ascii="Arial" w:hAnsi="Arial" w:cs="Arial"/>
                <w:sz w:val="20"/>
                <w:szCs w:val="20"/>
              </w:rPr>
            </w:pPr>
            <w:r w:rsidRPr="00F51435">
              <w:rPr>
                <w:rFonts w:ascii="Arial" w:eastAsiaTheme="majorEastAsia" w:hAnsi="Arial" w:cs="Arial"/>
                <w:b/>
                <w:bCs/>
                <w:sz w:val="20"/>
                <w:szCs w:val="20"/>
              </w:rPr>
              <w:t>542 (100%)</w:t>
            </w:r>
          </w:p>
        </w:tc>
      </w:tr>
    </w:tbl>
    <w:p w14:paraId="6999B4E4" w14:textId="77777777" w:rsidR="00F51435" w:rsidRDefault="00F51435" w:rsidP="00F51435">
      <w:pPr>
        <w:spacing w:line="360" w:lineRule="auto"/>
        <w:jc w:val="both"/>
        <w:rPr>
          <w:rFonts w:ascii="Arial" w:hAnsi="Arial" w:cs="Arial"/>
        </w:rPr>
      </w:pPr>
      <w:r w:rsidRPr="00F51435">
        <w:rPr>
          <w:rFonts w:ascii="Arial" w:hAnsi="Arial" w:cs="Arial"/>
        </w:rPr>
        <w:t>Secondary education accounted for the majority of participants (n = 385, 71.0%), followed by tertiary education (n = 152, 28.0%), primary education (n = 4, 0.7%), and no formal education (n = 1, 0.2%). Among those who experienced adverse reactions, the majority were from the secondary education group (77.4%), followed by tertiary education (22.6%). No adverse reactions were recorded among donors with primary education or no formal education; however, this is likely due to the very small sample sizes in these categories. Within-group proportions showed that adverse reactions occurred in 6.2% of secondary-level donors and 4.6% of tertiary-level donors, indicating only slight variation across education levels.</w:t>
      </w:r>
    </w:p>
    <w:p w14:paraId="325BB8B9" w14:textId="77777777" w:rsidR="0040467E" w:rsidRDefault="0040467E" w:rsidP="00F51435">
      <w:pPr>
        <w:spacing w:line="360" w:lineRule="auto"/>
        <w:jc w:val="both"/>
        <w:rPr>
          <w:rFonts w:ascii="Arial" w:hAnsi="Arial" w:cs="Arial"/>
        </w:rPr>
      </w:pPr>
    </w:p>
    <w:p w14:paraId="28E0DF48" w14:textId="77777777" w:rsidR="0040467E" w:rsidRDefault="0040467E" w:rsidP="00F51435">
      <w:pPr>
        <w:spacing w:line="360" w:lineRule="auto"/>
        <w:jc w:val="both"/>
        <w:rPr>
          <w:rFonts w:ascii="Arial" w:hAnsi="Arial" w:cs="Arial"/>
        </w:rPr>
      </w:pPr>
    </w:p>
    <w:p w14:paraId="6B04C56E" w14:textId="77777777" w:rsidR="0040467E" w:rsidRPr="00F51435" w:rsidRDefault="0040467E" w:rsidP="00F51435">
      <w:pPr>
        <w:spacing w:line="360" w:lineRule="auto"/>
        <w:jc w:val="both"/>
        <w:rPr>
          <w:rFonts w:ascii="Arial" w:hAnsi="Arial" w:cs="Arial"/>
        </w:rPr>
      </w:pPr>
    </w:p>
    <w:tbl>
      <w:tblPr>
        <w:tblStyle w:val="TableGrid"/>
        <w:tblW w:w="5000" w:type="pct"/>
        <w:tblLook w:val="0000" w:firstRow="0" w:lastRow="0" w:firstColumn="0" w:lastColumn="0" w:noHBand="0" w:noVBand="0"/>
      </w:tblPr>
      <w:tblGrid>
        <w:gridCol w:w="3074"/>
        <w:gridCol w:w="1558"/>
        <w:gridCol w:w="1558"/>
        <w:gridCol w:w="2234"/>
      </w:tblGrid>
      <w:tr w:rsidR="00F51435" w:rsidRPr="00F51435" w14:paraId="26A44B71" w14:textId="77777777" w:rsidTr="00EB1162">
        <w:tc>
          <w:tcPr>
            <w:tcW w:w="5000" w:type="pct"/>
            <w:gridSpan w:val="4"/>
            <w:tcBorders>
              <w:left w:val="nil"/>
              <w:bottom w:val="single" w:sz="4" w:space="0" w:color="auto"/>
              <w:right w:val="nil"/>
            </w:tcBorders>
          </w:tcPr>
          <w:p w14:paraId="48BD70F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Chi-Square Tests</w:t>
            </w:r>
          </w:p>
        </w:tc>
      </w:tr>
      <w:tr w:rsidR="00F51435" w:rsidRPr="00F51435" w14:paraId="2E3941D5" w14:textId="77777777" w:rsidTr="00EB1162">
        <w:tc>
          <w:tcPr>
            <w:tcW w:w="1824" w:type="pct"/>
            <w:tcBorders>
              <w:top w:val="single" w:sz="4" w:space="0" w:color="auto"/>
              <w:left w:val="nil"/>
              <w:bottom w:val="nil"/>
              <w:right w:val="nil"/>
            </w:tcBorders>
          </w:tcPr>
          <w:p w14:paraId="07EEE401" w14:textId="77777777" w:rsidR="00F51435" w:rsidRPr="00F51435" w:rsidRDefault="00F51435" w:rsidP="00F51435">
            <w:pPr>
              <w:spacing w:line="360" w:lineRule="auto"/>
              <w:jc w:val="both"/>
              <w:rPr>
                <w:rFonts w:ascii="Arial" w:hAnsi="Arial" w:cs="Arial"/>
                <w:sz w:val="20"/>
                <w:szCs w:val="20"/>
              </w:rPr>
            </w:pPr>
          </w:p>
        </w:tc>
        <w:tc>
          <w:tcPr>
            <w:tcW w:w="925" w:type="pct"/>
            <w:tcBorders>
              <w:top w:val="single" w:sz="4" w:space="0" w:color="auto"/>
              <w:left w:val="nil"/>
              <w:bottom w:val="nil"/>
              <w:right w:val="nil"/>
            </w:tcBorders>
          </w:tcPr>
          <w:p w14:paraId="72ADA57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Value</w:t>
            </w:r>
          </w:p>
        </w:tc>
        <w:tc>
          <w:tcPr>
            <w:tcW w:w="925" w:type="pct"/>
            <w:tcBorders>
              <w:top w:val="single" w:sz="4" w:space="0" w:color="auto"/>
              <w:left w:val="nil"/>
              <w:bottom w:val="nil"/>
              <w:right w:val="nil"/>
            </w:tcBorders>
          </w:tcPr>
          <w:p w14:paraId="0AB0F14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df</w:t>
            </w:r>
          </w:p>
        </w:tc>
        <w:tc>
          <w:tcPr>
            <w:tcW w:w="1326" w:type="pct"/>
            <w:tcBorders>
              <w:top w:val="single" w:sz="4" w:space="0" w:color="auto"/>
              <w:left w:val="nil"/>
              <w:bottom w:val="nil"/>
              <w:right w:val="nil"/>
            </w:tcBorders>
          </w:tcPr>
          <w:p w14:paraId="4124721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Asymptotic </w:t>
            </w:r>
            <w:r w:rsidRPr="00F51435">
              <w:rPr>
                <w:rFonts w:ascii="Arial" w:hAnsi="Arial" w:cs="Arial"/>
                <w:sz w:val="20"/>
                <w:szCs w:val="20"/>
              </w:rPr>
              <w:lastRenderedPageBreak/>
              <w:t>Significance (2-sided)</w:t>
            </w:r>
          </w:p>
        </w:tc>
      </w:tr>
      <w:tr w:rsidR="00F51435" w:rsidRPr="00F51435" w14:paraId="5E367797" w14:textId="77777777" w:rsidTr="00EB1162">
        <w:tc>
          <w:tcPr>
            <w:tcW w:w="1824" w:type="pct"/>
            <w:tcBorders>
              <w:top w:val="nil"/>
              <w:left w:val="nil"/>
              <w:bottom w:val="nil"/>
              <w:right w:val="nil"/>
            </w:tcBorders>
          </w:tcPr>
          <w:p w14:paraId="659F56A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lastRenderedPageBreak/>
              <w:t>Pearson Chi-Square</w:t>
            </w:r>
          </w:p>
        </w:tc>
        <w:tc>
          <w:tcPr>
            <w:tcW w:w="925" w:type="pct"/>
            <w:tcBorders>
              <w:top w:val="nil"/>
              <w:left w:val="nil"/>
              <w:bottom w:val="nil"/>
              <w:right w:val="nil"/>
            </w:tcBorders>
          </w:tcPr>
          <w:p w14:paraId="2CCD23E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.842</w:t>
            </w:r>
            <w:r w:rsidRPr="00F51435">
              <w:rPr>
                <w:rFonts w:ascii="Arial" w:hAnsi="Arial" w:cs="Arial"/>
                <w:sz w:val="20"/>
                <w:szCs w:val="20"/>
                <w:vertAlign w:val="superscript"/>
              </w:rPr>
              <w:t>a</w:t>
            </w:r>
          </w:p>
        </w:tc>
        <w:tc>
          <w:tcPr>
            <w:tcW w:w="925" w:type="pct"/>
            <w:tcBorders>
              <w:top w:val="nil"/>
              <w:left w:val="nil"/>
              <w:bottom w:val="nil"/>
              <w:right w:val="nil"/>
            </w:tcBorders>
          </w:tcPr>
          <w:p w14:paraId="54E84FA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w:t>
            </w:r>
          </w:p>
        </w:tc>
        <w:tc>
          <w:tcPr>
            <w:tcW w:w="1326" w:type="pct"/>
            <w:tcBorders>
              <w:top w:val="nil"/>
              <w:left w:val="nil"/>
              <w:bottom w:val="nil"/>
              <w:right w:val="nil"/>
            </w:tcBorders>
          </w:tcPr>
          <w:p w14:paraId="6F45A77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.839</w:t>
            </w:r>
          </w:p>
        </w:tc>
      </w:tr>
      <w:tr w:rsidR="00F51435" w:rsidRPr="00F51435" w14:paraId="3E12602D" w14:textId="77777777" w:rsidTr="00EB1162">
        <w:tc>
          <w:tcPr>
            <w:tcW w:w="1824" w:type="pct"/>
            <w:tcBorders>
              <w:top w:val="nil"/>
              <w:left w:val="nil"/>
              <w:bottom w:val="nil"/>
              <w:right w:val="nil"/>
            </w:tcBorders>
          </w:tcPr>
          <w:p w14:paraId="6A96C35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925" w:type="pct"/>
            <w:tcBorders>
              <w:top w:val="nil"/>
              <w:left w:val="nil"/>
              <w:bottom w:val="nil"/>
              <w:right w:val="nil"/>
            </w:tcBorders>
          </w:tcPr>
          <w:p w14:paraId="34D067C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1.146</w:t>
            </w:r>
          </w:p>
        </w:tc>
        <w:tc>
          <w:tcPr>
            <w:tcW w:w="925" w:type="pct"/>
            <w:tcBorders>
              <w:top w:val="nil"/>
              <w:left w:val="nil"/>
              <w:bottom w:val="nil"/>
              <w:right w:val="nil"/>
            </w:tcBorders>
          </w:tcPr>
          <w:p w14:paraId="3A2AE7B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w:t>
            </w:r>
          </w:p>
        </w:tc>
        <w:tc>
          <w:tcPr>
            <w:tcW w:w="1326" w:type="pct"/>
            <w:tcBorders>
              <w:top w:val="nil"/>
              <w:left w:val="nil"/>
              <w:bottom w:val="nil"/>
              <w:right w:val="nil"/>
            </w:tcBorders>
          </w:tcPr>
          <w:p w14:paraId="1B08DCF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.766</w:t>
            </w:r>
          </w:p>
        </w:tc>
      </w:tr>
      <w:tr w:rsidR="00F51435" w:rsidRPr="00F51435" w14:paraId="6A001B1D" w14:textId="77777777" w:rsidTr="00EB1162">
        <w:tc>
          <w:tcPr>
            <w:tcW w:w="1824" w:type="pct"/>
            <w:tcBorders>
              <w:top w:val="nil"/>
              <w:left w:val="nil"/>
              <w:bottom w:val="single" w:sz="4" w:space="0" w:color="auto"/>
              <w:right w:val="nil"/>
            </w:tcBorders>
          </w:tcPr>
          <w:p w14:paraId="620073C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 of Valid Cases</w:t>
            </w:r>
          </w:p>
        </w:tc>
        <w:tc>
          <w:tcPr>
            <w:tcW w:w="925" w:type="pct"/>
            <w:tcBorders>
              <w:top w:val="nil"/>
              <w:left w:val="nil"/>
              <w:bottom w:val="single" w:sz="4" w:space="0" w:color="auto"/>
              <w:right w:val="nil"/>
            </w:tcBorders>
          </w:tcPr>
          <w:p w14:paraId="466602B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925" w:type="pct"/>
            <w:tcBorders>
              <w:top w:val="nil"/>
              <w:left w:val="nil"/>
              <w:bottom w:val="single" w:sz="4" w:space="0" w:color="auto"/>
              <w:right w:val="nil"/>
            </w:tcBorders>
          </w:tcPr>
          <w:p w14:paraId="5283F303" w14:textId="77777777" w:rsidR="00F51435" w:rsidRPr="00F51435" w:rsidRDefault="00F51435" w:rsidP="00F51435">
            <w:pPr>
              <w:spacing w:line="360" w:lineRule="auto"/>
              <w:jc w:val="both"/>
              <w:rPr>
                <w:rFonts w:ascii="Arial" w:hAnsi="Arial" w:cs="Arial"/>
                <w:sz w:val="20"/>
                <w:szCs w:val="20"/>
              </w:rPr>
            </w:pPr>
          </w:p>
        </w:tc>
        <w:tc>
          <w:tcPr>
            <w:tcW w:w="1326" w:type="pct"/>
            <w:tcBorders>
              <w:top w:val="nil"/>
              <w:left w:val="nil"/>
              <w:bottom w:val="single" w:sz="4" w:space="0" w:color="auto"/>
              <w:right w:val="nil"/>
            </w:tcBorders>
          </w:tcPr>
          <w:p w14:paraId="2B0E9893" w14:textId="77777777" w:rsidR="00F51435" w:rsidRPr="00F51435" w:rsidRDefault="00F51435" w:rsidP="00F51435">
            <w:pPr>
              <w:spacing w:line="360" w:lineRule="auto"/>
              <w:jc w:val="both"/>
              <w:rPr>
                <w:rFonts w:ascii="Arial" w:hAnsi="Arial" w:cs="Arial"/>
                <w:sz w:val="20"/>
                <w:szCs w:val="20"/>
              </w:rPr>
            </w:pPr>
          </w:p>
        </w:tc>
      </w:tr>
      <w:tr w:rsidR="00F51435" w:rsidRPr="00F51435" w14:paraId="72AD7BD1" w14:textId="77777777" w:rsidTr="00EB1162">
        <w:tc>
          <w:tcPr>
            <w:tcW w:w="5000" w:type="pct"/>
            <w:gridSpan w:val="4"/>
            <w:tcBorders>
              <w:top w:val="single" w:sz="4" w:space="0" w:color="auto"/>
              <w:left w:val="nil"/>
              <w:right w:val="nil"/>
            </w:tcBorders>
          </w:tcPr>
          <w:p w14:paraId="211D0DF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 4 cells (50.0%) have expected count less than 5. The minimum expected count is .06.</w:t>
            </w:r>
          </w:p>
        </w:tc>
      </w:tr>
    </w:tbl>
    <w:p w14:paraId="0473FEE2" w14:textId="77777777" w:rsidR="00F51435" w:rsidRPr="00F51435" w:rsidRDefault="00F51435" w:rsidP="00F51435">
      <w:pPr>
        <w:spacing w:line="360" w:lineRule="auto"/>
        <w:jc w:val="both"/>
        <w:rPr>
          <w:rFonts w:ascii="Arial" w:hAnsi="Arial" w:cs="Arial"/>
        </w:rPr>
      </w:pPr>
      <w:r w:rsidRPr="00F51435">
        <w:rPr>
          <w:rFonts w:ascii="Arial" w:hAnsi="Arial" w:cs="Arial"/>
        </w:rPr>
        <w:t>A Chi-square test of independence was conducted to determine whether there was a statistically significant association between level of education and occurrence of adverse reactions. The results showed no statistically significant association between level of education and adverse reactions (χ</w:t>
      </w:r>
      <w:proofErr w:type="gramStart"/>
      <w:r w:rsidRPr="00F51435">
        <w:rPr>
          <w:rFonts w:ascii="Arial" w:hAnsi="Arial" w:cs="Arial"/>
        </w:rPr>
        <w:t>²(</w:t>
      </w:r>
      <w:proofErr w:type="gramEnd"/>
      <w:r w:rsidRPr="00F51435">
        <w:rPr>
          <w:rFonts w:ascii="Arial" w:hAnsi="Arial" w:cs="Arial"/>
        </w:rPr>
        <w:t xml:space="preserve">3, N = 542) = 0.842, p = 0.839). The likelihood ratio test also confirmed this finding (p = 0.766). </w:t>
      </w:r>
    </w:p>
    <w:p w14:paraId="7105E49D" w14:textId="77777777" w:rsidR="00F51435" w:rsidRPr="00F51435" w:rsidRDefault="00F51435" w:rsidP="00F51435">
      <w:pPr>
        <w:spacing w:line="360" w:lineRule="auto"/>
        <w:jc w:val="both"/>
        <w:rPr>
          <w:rFonts w:ascii="Arial" w:hAnsi="Arial" w:cs="Arial"/>
        </w:rPr>
      </w:pPr>
    </w:p>
    <w:p w14:paraId="0A2043F0" w14:textId="77777777" w:rsidR="00F51435" w:rsidRPr="0040467E" w:rsidRDefault="00F51435" w:rsidP="00F51435">
      <w:pPr>
        <w:pStyle w:val="Heading3"/>
        <w:numPr>
          <w:ilvl w:val="2"/>
          <w:numId w:val="32"/>
        </w:numPr>
        <w:spacing w:before="0" w:line="360" w:lineRule="auto"/>
        <w:jc w:val="both"/>
        <w:rPr>
          <w:rFonts w:ascii="Arial" w:hAnsi="Arial" w:cs="Arial"/>
          <w:b/>
          <w:bCs/>
          <w:color w:val="000000" w:themeColor="text1"/>
          <w:sz w:val="20"/>
          <w:szCs w:val="20"/>
        </w:rPr>
      </w:pPr>
      <w:bookmarkStart w:id="14" w:name="_Toc226285918"/>
      <w:r w:rsidRPr="0040467E">
        <w:rPr>
          <w:rFonts w:ascii="Arial" w:hAnsi="Arial" w:cs="Arial"/>
          <w:b/>
          <w:bCs/>
          <w:color w:val="000000" w:themeColor="text1"/>
          <w:sz w:val="20"/>
          <w:szCs w:val="20"/>
        </w:rPr>
        <w:t>Association Between Donor’s Level of Education and Type of Adverse Reaction</w:t>
      </w:r>
      <w:bookmarkEnd w:id="14"/>
    </w:p>
    <w:p w14:paraId="12DB0D0E" w14:textId="77777777" w:rsidR="00F51435" w:rsidRPr="00F51435" w:rsidRDefault="00F51435" w:rsidP="00F51435">
      <w:pPr>
        <w:spacing w:line="360" w:lineRule="auto"/>
        <w:jc w:val="both"/>
        <w:rPr>
          <w:rFonts w:ascii="Arial" w:hAnsi="Arial" w:cs="Arial"/>
        </w:rPr>
      </w:pPr>
      <w:r w:rsidRPr="00F51435">
        <w:rPr>
          <w:rFonts w:ascii="Arial" w:hAnsi="Arial" w:cs="Arial"/>
        </w:rPr>
        <w:t>A further cross-tabulation was performed to determine whether donor’s level of education was associated with the type of adverse reaction experienced.</w:t>
      </w:r>
    </w:p>
    <w:p w14:paraId="5DBBB065" w14:textId="77777777" w:rsidR="006E78EA" w:rsidRDefault="006E78EA" w:rsidP="006E78EA">
      <w:pPr>
        <w:pStyle w:val="Heading3"/>
        <w:spacing w:before="0" w:line="360" w:lineRule="auto"/>
        <w:jc w:val="both"/>
        <w:rPr>
          <w:rFonts w:ascii="Arial" w:eastAsia="Times New Roman" w:hAnsi="Arial" w:cs="Arial"/>
          <w:color w:val="auto"/>
          <w:sz w:val="20"/>
          <w:szCs w:val="20"/>
        </w:rPr>
      </w:pPr>
    </w:p>
    <w:p w14:paraId="21B953AC" w14:textId="66EDEC30" w:rsidR="006E78EA" w:rsidRPr="006E78EA" w:rsidRDefault="006E78EA" w:rsidP="006E78EA">
      <w:pPr>
        <w:pStyle w:val="Heading3"/>
        <w:spacing w:before="0" w:line="360" w:lineRule="auto"/>
        <w:jc w:val="both"/>
        <w:rPr>
          <w:rFonts w:ascii="Arial" w:hAnsi="Arial" w:cs="Arial"/>
          <w:b/>
          <w:bCs/>
          <w:color w:val="auto"/>
          <w:sz w:val="20"/>
          <w:szCs w:val="20"/>
        </w:rPr>
      </w:pPr>
      <w:r w:rsidRPr="006E78EA">
        <w:rPr>
          <w:rFonts w:ascii="Arial" w:hAnsi="Arial" w:cs="Arial"/>
          <w:color w:val="auto"/>
        </w:rPr>
        <w:t>Table 9.</w:t>
      </w:r>
      <w:r>
        <w:rPr>
          <w:rFonts w:ascii="Arial" w:hAnsi="Arial" w:cs="Arial"/>
          <w:color w:val="auto"/>
        </w:rPr>
        <w:t xml:space="preserve"> </w:t>
      </w:r>
      <w:r w:rsidRPr="006E78EA">
        <w:rPr>
          <w:rFonts w:ascii="Arial" w:hAnsi="Arial" w:cs="Arial"/>
          <w:b/>
          <w:bCs/>
          <w:color w:val="auto"/>
          <w:sz w:val="20"/>
          <w:szCs w:val="20"/>
        </w:rPr>
        <w:t>Association Between Donor’s Level of Education and Type of Adverse Reaction</w:t>
      </w:r>
    </w:p>
    <w:p w14:paraId="5DA83CBB" w14:textId="516F6E73" w:rsidR="00F51435" w:rsidRPr="00F51435" w:rsidRDefault="00F51435" w:rsidP="00F51435">
      <w:pPr>
        <w:spacing w:line="360" w:lineRule="auto"/>
        <w:jc w:val="both"/>
        <w:rPr>
          <w:rFonts w:ascii="Arial" w:hAnsi="Arial" w:cs="Arial"/>
        </w:rPr>
      </w:pPr>
    </w:p>
    <w:p w14:paraId="1A2EB2D2" w14:textId="77777777" w:rsidR="00F51435" w:rsidRPr="00F51435" w:rsidRDefault="00F51435" w:rsidP="00F51435">
      <w:pPr>
        <w:spacing w:line="360" w:lineRule="auto"/>
        <w:jc w:val="both"/>
        <w:rPr>
          <w:rFonts w:ascii="Arial" w:hAnsi="Arial" w:cs="Arial"/>
        </w:rPr>
      </w:pPr>
    </w:p>
    <w:tbl>
      <w:tblPr>
        <w:tblStyle w:val="TableGrid"/>
        <w:tblW w:w="1004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8"/>
        <w:gridCol w:w="1028"/>
        <w:gridCol w:w="2137"/>
        <w:gridCol w:w="1116"/>
        <w:gridCol w:w="1202"/>
        <w:gridCol w:w="1288"/>
        <w:gridCol w:w="1288"/>
        <w:gridCol w:w="858"/>
      </w:tblGrid>
      <w:tr w:rsidR="00F51435" w:rsidRPr="00F51435" w14:paraId="11E342F0" w14:textId="77777777" w:rsidTr="0040467E">
        <w:trPr>
          <w:trHeight w:val="1292"/>
        </w:trPr>
        <w:tc>
          <w:tcPr>
            <w:tcW w:w="1128" w:type="dxa"/>
            <w:tcBorders>
              <w:bottom w:val="single" w:sz="4" w:space="0" w:color="auto"/>
            </w:tcBorders>
            <w:hideMark/>
          </w:tcPr>
          <w:p w14:paraId="0C8ED07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Donor’s Level of Education</w:t>
            </w:r>
          </w:p>
        </w:tc>
        <w:tc>
          <w:tcPr>
            <w:tcW w:w="1028" w:type="dxa"/>
            <w:tcBorders>
              <w:bottom w:val="single" w:sz="4" w:space="0" w:color="auto"/>
            </w:tcBorders>
            <w:hideMark/>
          </w:tcPr>
          <w:p w14:paraId="5DDF7B0E"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No Reaction n (%)</w:t>
            </w:r>
          </w:p>
        </w:tc>
        <w:tc>
          <w:tcPr>
            <w:tcW w:w="2137" w:type="dxa"/>
            <w:tcBorders>
              <w:bottom w:val="single" w:sz="4" w:space="0" w:color="auto"/>
            </w:tcBorders>
            <w:hideMark/>
          </w:tcPr>
          <w:p w14:paraId="6180B987"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Dizziness/Lightheadedness</w:t>
            </w:r>
          </w:p>
        </w:tc>
        <w:tc>
          <w:tcPr>
            <w:tcW w:w="1116" w:type="dxa"/>
            <w:tcBorders>
              <w:bottom w:val="single" w:sz="4" w:space="0" w:color="auto"/>
            </w:tcBorders>
            <w:hideMark/>
          </w:tcPr>
          <w:p w14:paraId="225A4A09"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Fainting (Syncope)</w:t>
            </w:r>
          </w:p>
        </w:tc>
        <w:tc>
          <w:tcPr>
            <w:tcW w:w="1202" w:type="dxa"/>
            <w:tcBorders>
              <w:bottom w:val="single" w:sz="4" w:space="0" w:color="auto"/>
            </w:tcBorders>
            <w:hideMark/>
          </w:tcPr>
          <w:p w14:paraId="7CD6F48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Sweating</w:t>
            </w:r>
          </w:p>
        </w:tc>
        <w:tc>
          <w:tcPr>
            <w:tcW w:w="1288" w:type="dxa"/>
            <w:tcBorders>
              <w:bottom w:val="single" w:sz="4" w:space="0" w:color="auto"/>
            </w:tcBorders>
            <w:hideMark/>
          </w:tcPr>
          <w:p w14:paraId="5D6F3D19"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Hematoma</w:t>
            </w:r>
          </w:p>
        </w:tc>
        <w:tc>
          <w:tcPr>
            <w:tcW w:w="1288" w:type="dxa"/>
            <w:tcBorders>
              <w:bottom w:val="single" w:sz="4" w:space="0" w:color="auto"/>
            </w:tcBorders>
            <w:hideMark/>
          </w:tcPr>
          <w:p w14:paraId="0F87DD7F"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Other Combinations</w:t>
            </w:r>
          </w:p>
        </w:tc>
        <w:tc>
          <w:tcPr>
            <w:tcW w:w="858" w:type="dxa"/>
            <w:tcBorders>
              <w:bottom w:val="single" w:sz="4" w:space="0" w:color="auto"/>
            </w:tcBorders>
            <w:hideMark/>
          </w:tcPr>
          <w:p w14:paraId="6A491CD0"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w:t>
            </w:r>
          </w:p>
        </w:tc>
      </w:tr>
      <w:tr w:rsidR="00F51435" w:rsidRPr="00F51435" w14:paraId="31F88337" w14:textId="77777777" w:rsidTr="0040467E">
        <w:trPr>
          <w:trHeight w:val="632"/>
        </w:trPr>
        <w:tc>
          <w:tcPr>
            <w:tcW w:w="1128" w:type="dxa"/>
            <w:tcBorders>
              <w:top w:val="single" w:sz="4" w:space="0" w:color="auto"/>
              <w:bottom w:val="nil"/>
            </w:tcBorders>
            <w:hideMark/>
          </w:tcPr>
          <w:p w14:paraId="568BAFD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Primary</w:t>
            </w:r>
          </w:p>
        </w:tc>
        <w:tc>
          <w:tcPr>
            <w:tcW w:w="1028" w:type="dxa"/>
            <w:tcBorders>
              <w:top w:val="single" w:sz="4" w:space="0" w:color="auto"/>
              <w:bottom w:val="nil"/>
            </w:tcBorders>
            <w:hideMark/>
          </w:tcPr>
          <w:p w14:paraId="47E52C2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 (100.0%)</w:t>
            </w:r>
          </w:p>
        </w:tc>
        <w:tc>
          <w:tcPr>
            <w:tcW w:w="2137" w:type="dxa"/>
            <w:tcBorders>
              <w:top w:val="single" w:sz="4" w:space="0" w:color="auto"/>
              <w:bottom w:val="nil"/>
            </w:tcBorders>
            <w:hideMark/>
          </w:tcPr>
          <w:p w14:paraId="3DDBFA0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116" w:type="dxa"/>
            <w:tcBorders>
              <w:top w:val="single" w:sz="4" w:space="0" w:color="auto"/>
              <w:bottom w:val="nil"/>
            </w:tcBorders>
            <w:hideMark/>
          </w:tcPr>
          <w:p w14:paraId="3B14F12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02" w:type="dxa"/>
            <w:tcBorders>
              <w:top w:val="single" w:sz="4" w:space="0" w:color="auto"/>
              <w:bottom w:val="nil"/>
            </w:tcBorders>
            <w:hideMark/>
          </w:tcPr>
          <w:p w14:paraId="2D737D7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88" w:type="dxa"/>
            <w:tcBorders>
              <w:top w:val="single" w:sz="4" w:space="0" w:color="auto"/>
              <w:bottom w:val="nil"/>
            </w:tcBorders>
            <w:hideMark/>
          </w:tcPr>
          <w:p w14:paraId="42A12F7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88" w:type="dxa"/>
            <w:tcBorders>
              <w:top w:val="single" w:sz="4" w:space="0" w:color="auto"/>
              <w:bottom w:val="nil"/>
            </w:tcBorders>
            <w:hideMark/>
          </w:tcPr>
          <w:p w14:paraId="3CA613D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858" w:type="dxa"/>
            <w:tcBorders>
              <w:top w:val="single" w:sz="4" w:space="0" w:color="auto"/>
              <w:bottom w:val="nil"/>
            </w:tcBorders>
            <w:hideMark/>
          </w:tcPr>
          <w:p w14:paraId="4A54CAE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w:t>
            </w:r>
          </w:p>
        </w:tc>
      </w:tr>
      <w:tr w:rsidR="00F51435" w:rsidRPr="00F51435" w14:paraId="5DA90965" w14:textId="77777777" w:rsidTr="0040467E">
        <w:trPr>
          <w:trHeight w:val="646"/>
        </w:trPr>
        <w:tc>
          <w:tcPr>
            <w:tcW w:w="1128" w:type="dxa"/>
            <w:tcBorders>
              <w:top w:val="nil"/>
              <w:bottom w:val="nil"/>
            </w:tcBorders>
            <w:hideMark/>
          </w:tcPr>
          <w:p w14:paraId="25CEAE8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Secondary</w:t>
            </w:r>
          </w:p>
        </w:tc>
        <w:tc>
          <w:tcPr>
            <w:tcW w:w="1028" w:type="dxa"/>
            <w:tcBorders>
              <w:top w:val="nil"/>
              <w:bottom w:val="nil"/>
            </w:tcBorders>
            <w:hideMark/>
          </w:tcPr>
          <w:p w14:paraId="050A007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361 (93.8%)</w:t>
            </w:r>
          </w:p>
        </w:tc>
        <w:tc>
          <w:tcPr>
            <w:tcW w:w="2137" w:type="dxa"/>
            <w:tcBorders>
              <w:top w:val="nil"/>
              <w:bottom w:val="nil"/>
            </w:tcBorders>
            <w:hideMark/>
          </w:tcPr>
          <w:p w14:paraId="6BC1323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 (1.8%)</w:t>
            </w:r>
          </w:p>
        </w:tc>
        <w:tc>
          <w:tcPr>
            <w:tcW w:w="1116" w:type="dxa"/>
            <w:tcBorders>
              <w:top w:val="nil"/>
              <w:bottom w:val="nil"/>
            </w:tcBorders>
            <w:hideMark/>
          </w:tcPr>
          <w:p w14:paraId="6DAF74E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02" w:type="dxa"/>
            <w:tcBorders>
              <w:top w:val="nil"/>
              <w:bottom w:val="nil"/>
            </w:tcBorders>
            <w:hideMark/>
          </w:tcPr>
          <w:p w14:paraId="7F2428A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(0.8%)</w:t>
            </w:r>
          </w:p>
        </w:tc>
        <w:tc>
          <w:tcPr>
            <w:tcW w:w="1288" w:type="dxa"/>
            <w:tcBorders>
              <w:top w:val="nil"/>
              <w:bottom w:val="nil"/>
            </w:tcBorders>
            <w:hideMark/>
          </w:tcPr>
          <w:p w14:paraId="2938F9D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(0.8%)</w:t>
            </w:r>
          </w:p>
        </w:tc>
        <w:tc>
          <w:tcPr>
            <w:tcW w:w="1288" w:type="dxa"/>
            <w:tcBorders>
              <w:top w:val="nil"/>
              <w:bottom w:val="nil"/>
            </w:tcBorders>
            <w:hideMark/>
          </w:tcPr>
          <w:p w14:paraId="09D69A1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11 (2.9%)</w:t>
            </w:r>
          </w:p>
        </w:tc>
        <w:tc>
          <w:tcPr>
            <w:tcW w:w="858" w:type="dxa"/>
            <w:tcBorders>
              <w:top w:val="nil"/>
              <w:bottom w:val="nil"/>
            </w:tcBorders>
            <w:hideMark/>
          </w:tcPr>
          <w:p w14:paraId="08E1E8B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385</w:t>
            </w:r>
          </w:p>
        </w:tc>
      </w:tr>
      <w:tr w:rsidR="00F51435" w:rsidRPr="00F51435" w14:paraId="3CF046A7" w14:textId="77777777" w:rsidTr="0040467E">
        <w:trPr>
          <w:trHeight w:val="646"/>
        </w:trPr>
        <w:tc>
          <w:tcPr>
            <w:tcW w:w="1128" w:type="dxa"/>
            <w:tcBorders>
              <w:top w:val="nil"/>
              <w:bottom w:val="nil"/>
            </w:tcBorders>
            <w:hideMark/>
          </w:tcPr>
          <w:p w14:paraId="38DA56E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Tertiary</w:t>
            </w:r>
          </w:p>
        </w:tc>
        <w:tc>
          <w:tcPr>
            <w:tcW w:w="1028" w:type="dxa"/>
            <w:tcBorders>
              <w:top w:val="nil"/>
              <w:bottom w:val="nil"/>
            </w:tcBorders>
            <w:hideMark/>
          </w:tcPr>
          <w:p w14:paraId="2B440B3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145 (95.4%)</w:t>
            </w:r>
          </w:p>
        </w:tc>
        <w:tc>
          <w:tcPr>
            <w:tcW w:w="2137" w:type="dxa"/>
            <w:tcBorders>
              <w:top w:val="nil"/>
              <w:bottom w:val="nil"/>
            </w:tcBorders>
            <w:hideMark/>
          </w:tcPr>
          <w:p w14:paraId="6C6F4B7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(0.7%)</w:t>
            </w:r>
          </w:p>
        </w:tc>
        <w:tc>
          <w:tcPr>
            <w:tcW w:w="1116" w:type="dxa"/>
            <w:tcBorders>
              <w:top w:val="nil"/>
              <w:bottom w:val="nil"/>
            </w:tcBorders>
            <w:hideMark/>
          </w:tcPr>
          <w:p w14:paraId="04B00D0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(1.3%)</w:t>
            </w:r>
          </w:p>
        </w:tc>
        <w:tc>
          <w:tcPr>
            <w:tcW w:w="1202" w:type="dxa"/>
            <w:tcBorders>
              <w:top w:val="nil"/>
              <w:bottom w:val="nil"/>
            </w:tcBorders>
            <w:hideMark/>
          </w:tcPr>
          <w:p w14:paraId="70F14AF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88" w:type="dxa"/>
            <w:tcBorders>
              <w:top w:val="nil"/>
              <w:bottom w:val="nil"/>
            </w:tcBorders>
            <w:hideMark/>
          </w:tcPr>
          <w:p w14:paraId="73D5DC1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88" w:type="dxa"/>
            <w:tcBorders>
              <w:top w:val="nil"/>
              <w:bottom w:val="nil"/>
            </w:tcBorders>
            <w:hideMark/>
          </w:tcPr>
          <w:p w14:paraId="6E6A446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 (2.6%)</w:t>
            </w:r>
          </w:p>
        </w:tc>
        <w:tc>
          <w:tcPr>
            <w:tcW w:w="858" w:type="dxa"/>
            <w:tcBorders>
              <w:top w:val="nil"/>
              <w:bottom w:val="nil"/>
            </w:tcBorders>
            <w:hideMark/>
          </w:tcPr>
          <w:p w14:paraId="7DD058E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152</w:t>
            </w:r>
          </w:p>
        </w:tc>
      </w:tr>
      <w:tr w:rsidR="00F51435" w:rsidRPr="00F51435" w14:paraId="19947355" w14:textId="77777777" w:rsidTr="0040467E">
        <w:trPr>
          <w:trHeight w:val="646"/>
        </w:trPr>
        <w:tc>
          <w:tcPr>
            <w:tcW w:w="1128" w:type="dxa"/>
            <w:tcBorders>
              <w:top w:val="nil"/>
              <w:bottom w:val="single" w:sz="4" w:space="0" w:color="auto"/>
            </w:tcBorders>
            <w:hideMark/>
          </w:tcPr>
          <w:p w14:paraId="68D3445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None</w:t>
            </w:r>
          </w:p>
        </w:tc>
        <w:tc>
          <w:tcPr>
            <w:tcW w:w="1028" w:type="dxa"/>
            <w:tcBorders>
              <w:top w:val="nil"/>
              <w:bottom w:val="single" w:sz="4" w:space="0" w:color="auto"/>
            </w:tcBorders>
            <w:hideMark/>
          </w:tcPr>
          <w:p w14:paraId="0BF0B47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(100.0%)</w:t>
            </w:r>
          </w:p>
        </w:tc>
        <w:tc>
          <w:tcPr>
            <w:tcW w:w="2137" w:type="dxa"/>
            <w:tcBorders>
              <w:top w:val="nil"/>
              <w:bottom w:val="single" w:sz="4" w:space="0" w:color="auto"/>
            </w:tcBorders>
            <w:hideMark/>
          </w:tcPr>
          <w:p w14:paraId="2C48E9D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116" w:type="dxa"/>
            <w:tcBorders>
              <w:top w:val="nil"/>
              <w:bottom w:val="single" w:sz="4" w:space="0" w:color="auto"/>
            </w:tcBorders>
            <w:hideMark/>
          </w:tcPr>
          <w:p w14:paraId="043EB89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02" w:type="dxa"/>
            <w:tcBorders>
              <w:top w:val="nil"/>
              <w:bottom w:val="single" w:sz="4" w:space="0" w:color="auto"/>
            </w:tcBorders>
            <w:hideMark/>
          </w:tcPr>
          <w:p w14:paraId="753B4AA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88" w:type="dxa"/>
            <w:tcBorders>
              <w:top w:val="nil"/>
              <w:bottom w:val="single" w:sz="4" w:space="0" w:color="auto"/>
            </w:tcBorders>
            <w:hideMark/>
          </w:tcPr>
          <w:p w14:paraId="7EAB901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288" w:type="dxa"/>
            <w:tcBorders>
              <w:top w:val="nil"/>
              <w:bottom w:val="single" w:sz="4" w:space="0" w:color="auto"/>
            </w:tcBorders>
            <w:hideMark/>
          </w:tcPr>
          <w:p w14:paraId="16C33E1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858" w:type="dxa"/>
            <w:tcBorders>
              <w:top w:val="nil"/>
              <w:bottom w:val="single" w:sz="4" w:space="0" w:color="auto"/>
            </w:tcBorders>
            <w:hideMark/>
          </w:tcPr>
          <w:p w14:paraId="5B319E5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r>
      <w:tr w:rsidR="00F51435" w:rsidRPr="00F51435" w14:paraId="237B5F19" w14:textId="77777777" w:rsidTr="0040467E">
        <w:trPr>
          <w:trHeight w:val="323"/>
        </w:trPr>
        <w:tc>
          <w:tcPr>
            <w:tcW w:w="1128" w:type="dxa"/>
            <w:tcBorders>
              <w:top w:val="single" w:sz="4" w:space="0" w:color="auto"/>
            </w:tcBorders>
            <w:hideMark/>
          </w:tcPr>
          <w:p w14:paraId="6F1943CA"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Total</w:t>
            </w:r>
          </w:p>
        </w:tc>
        <w:tc>
          <w:tcPr>
            <w:tcW w:w="1028" w:type="dxa"/>
            <w:tcBorders>
              <w:top w:val="single" w:sz="4" w:space="0" w:color="auto"/>
            </w:tcBorders>
            <w:hideMark/>
          </w:tcPr>
          <w:p w14:paraId="374A9A43"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511(94.3)</w:t>
            </w:r>
          </w:p>
        </w:tc>
        <w:tc>
          <w:tcPr>
            <w:tcW w:w="2137" w:type="dxa"/>
            <w:tcBorders>
              <w:top w:val="single" w:sz="4" w:space="0" w:color="auto"/>
            </w:tcBorders>
            <w:hideMark/>
          </w:tcPr>
          <w:p w14:paraId="440CDC2C"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 xml:space="preserve">      8 (1.5%)</w:t>
            </w:r>
          </w:p>
        </w:tc>
        <w:tc>
          <w:tcPr>
            <w:tcW w:w="1116" w:type="dxa"/>
            <w:tcBorders>
              <w:top w:val="single" w:sz="4" w:space="0" w:color="auto"/>
            </w:tcBorders>
            <w:hideMark/>
          </w:tcPr>
          <w:p w14:paraId="3C676A0A"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2 (0.4%)</w:t>
            </w:r>
          </w:p>
        </w:tc>
        <w:tc>
          <w:tcPr>
            <w:tcW w:w="1202" w:type="dxa"/>
            <w:tcBorders>
              <w:top w:val="single" w:sz="4" w:space="0" w:color="auto"/>
            </w:tcBorders>
            <w:hideMark/>
          </w:tcPr>
          <w:p w14:paraId="665BC43E"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3 (0.6%)</w:t>
            </w:r>
          </w:p>
        </w:tc>
        <w:tc>
          <w:tcPr>
            <w:tcW w:w="1288" w:type="dxa"/>
            <w:tcBorders>
              <w:top w:val="single" w:sz="4" w:space="0" w:color="auto"/>
            </w:tcBorders>
            <w:hideMark/>
          </w:tcPr>
          <w:p w14:paraId="69846AB8"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3 (0.6%)</w:t>
            </w:r>
          </w:p>
        </w:tc>
        <w:tc>
          <w:tcPr>
            <w:tcW w:w="1288" w:type="dxa"/>
            <w:tcBorders>
              <w:top w:val="single" w:sz="4" w:space="0" w:color="auto"/>
            </w:tcBorders>
            <w:hideMark/>
          </w:tcPr>
          <w:p w14:paraId="17FEF9C6"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15 (2.8%)</w:t>
            </w:r>
          </w:p>
        </w:tc>
        <w:tc>
          <w:tcPr>
            <w:tcW w:w="858" w:type="dxa"/>
            <w:tcBorders>
              <w:top w:val="single" w:sz="4" w:space="0" w:color="auto"/>
            </w:tcBorders>
            <w:hideMark/>
          </w:tcPr>
          <w:p w14:paraId="2BC0EE1B" w14:textId="77777777" w:rsidR="00F51435" w:rsidRPr="00F51435" w:rsidRDefault="00F51435" w:rsidP="00F51435">
            <w:pPr>
              <w:spacing w:line="360" w:lineRule="auto"/>
              <w:jc w:val="both"/>
              <w:rPr>
                <w:rFonts w:ascii="Arial" w:hAnsi="Arial" w:cs="Arial"/>
                <w:sz w:val="20"/>
                <w:szCs w:val="20"/>
              </w:rPr>
            </w:pPr>
            <w:r w:rsidRPr="00F51435">
              <w:rPr>
                <w:rStyle w:val="Strong"/>
                <w:rFonts w:ascii="Arial" w:eastAsiaTheme="majorEastAsia" w:hAnsi="Arial" w:cs="Arial"/>
                <w:sz w:val="20"/>
                <w:szCs w:val="20"/>
              </w:rPr>
              <w:t>542</w:t>
            </w:r>
          </w:p>
        </w:tc>
      </w:tr>
    </w:tbl>
    <w:p w14:paraId="4EFBFB07" w14:textId="77777777" w:rsidR="00F51435" w:rsidRPr="00F51435" w:rsidRDefault="00F51435" w:rsidP="00F51435">
      <w:pPr>
        <w:spacing w:line="360" w:lineRule="auto"/>
        <w:jc w:val="both"/>
        <w:rPr>
          <w:rFonts w:ascii="Arial" w:hAnsi="Arial" w:cs="Arial"/>
        </w:rPr>
      </w:pPr>
    </w:p>
    <w:p w14:paraId="33DA172E" w14:textId="77777777" w:rsidR="00F51435" w:rsidRPr="00F51435" w:rsidRDefault="00F51435" w:rsidP="00F51435">
      <w:pPr>
        <w:spacing w:line="360" w:lineRule="auto"/>
        <w:jc w:val="both"/>
        <w:rPr>
          <w:rFonts w:ascii="Arial" w:hAnsi="Arial" w:cs="Arial"/>
        </w:rPr>
      </w:pPr>
    </w:p>
    <w:p w14:paraId="50B81F2B" w14:textId="77777777" w:rsidR="00F51435" w:rsidRPr="00F51435" w:rsidRDefault="00F51435" w:rsidP="00F51435">
      <w:pPr>
        <w:spacing w:line="360" w:lineRule="auto"/>
        <w:jc w:val="both"/>
        <w:rPr>
          <w:rFonts w:ascii="Arial" w:hAnsi="Arial" w:cs="Arial"/>
        </w:rPr>
      </w:pPr>
      <w:r w:rsidRPr="00F51435">
        <w:rPr>
          <w:rFonts w:ascii="Arial" w:hAnsi="Arial" w:cs="Arial"/>
        </w:rPr>
        <w:t>Among the 542 donors, the majority (94.3%) did not experience any adverse reaction. Secondary education donors constituted the largest proportion of the sample (n = 385, 71.0%), followed by tertiary education (n = 152, 28.0%), while primary (n = 4, 0.7%) and no formal education (n = 1, 0.2%) groups were minimally represented.</w:t>
      </w:r>
    </w:p>
    <w:p w14:paraId="42909E32" w14:textId="77777777" w:rsidR="00F51435" w:rsidRPr="00F51435" w:rsidRDefault="00F51435" w:rsidP="00F51435">
      <w:pPr>
        <w:spacing w:line="360" w:lineRule="auto"/>
        <w:jc w:val="both"/>
        <w:rPr>
          <w:rFonts w:ascii="Arial" w:hAnsi="Arial" w:cs="Arial"/>
        </w:rPr>
      </w:pPr>
      <w:r w:rsidRPr="00F51435">
        <w:rPr>
          <w:rFonts w:ascii="Arial" w:hAnsi="Arial" w:cs="Arial"/>
        </w:rPr>
        <w:t>Dizziness/lightheadedness was the most frequently reported reaction (1.5%), followed by “other combinations” of symptoms (2.8%), sweating (0.6%), hematoma (0.6%), and fainting (0.4%). Secondary education donors accounted for most of the recorded adverse events due to their larger sample size, including dizziness (1.8%), sweating (0.8%), hematoma (0.8%), and combined symptom presentations (2.9%). Tertiary education donors showed few isolated cases of dizziness (0.7%), fainting (1.3%), and mixed symptoms (2.6%), while primary and no-formal-education groups had no observed variation due to extremely small sample sizes.</w:t>
      </w:r>
    </w:p>
    <w:p w14:paraId="4111BB61" w14:textId="77777777" w:rsidR="00F51435" w:rsidRPr="00F51435" w:rsidRDefault="00F51435" w:rsidP="00F51435">
      <w:pPr>
        <w:spacing w:line="360" w:lineRule="auto"/>
        <w:jc w:val="both"/>
        <w:rPr>
          <w:rFonts w:ascii="Arial" w:hAnsi="Arial" w:cs="Arial"/>
        </w:rPr>
      </w:pPr>
    </w:p>
    <w:p w14:paraId="604E628F" w14:textId="77777777" w:rsidR="00F51435" w:rsidRPr="00F51435" w:rsidRDefault="00F51435" w:rsidP="00F51435">
      <w:pPr>
        <w:spacing w:line="360" w:lineRule="auto"/>
        <w:jc w:val="both"/>
        <w:rPr>
          <w:rFonts w:ascii="Arial" w:hAnsi="Arial" w:cs="Arial"/>
        </w:rPr>
      </w:pPr>
    </w:p>
    <w:tbl>
      <w:tblPr>
        <w:tblStyle w:val="TableGrid"/>
        <w:tblW w:w="5000" w:type="pct"/>
        <w:tblLook w:val="0000" w:firstRow="0" w:lastRow="0" w:firstColumn="0" w:lastColumn="0" w:noHBand="0" w:noVBand="0"/>
      </w:tblPr>
      <w:tblGrid>
        <w:gridCol w:w="3074"/>
        <w:gridCol w:w="1558"/>
        <w:gridCol w:w="1558"/>
        <w:gridCol w:w="2234"/>
      </w:tblGrid>
      <w:tr w:rsidR="00F51435" w:rsidRPr="00F51435" w14:paraId="2B5AC286" w14:textId="77777777" w:rsidTr="00EB1162">
        <w:tc>
          <w:tcPr>
            <w:tcW w:w="5000" w:type="pct"/>
            <w:gridSpan w:val="4"/>
            <w:tcBorders>
              <w:left w:val="nil"/>
              <w:bottom w:val="single" w:sz="4" w:space="0" w:color="auto"/>
              <w:right w:val="nil"/>
            </w:tcBorders>
          </w:tcPr>
          <w:p w14:paraId="3A27FE7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Chi-Square Tests</w:t>
            </w:r>
          </w:p>
        </w:tc>
      </w:tr>
      <w:tr w:rsidR="00F51435" w:rsidRPr="00F51435" w14:paraId="2B29B021" w14:textId="77777777" w:rsidTr="00EB1162">
        <w:tc>
          <w:tcPr>
            <w:tcW w:w="1824" w:type="pct"/>
            <w:tcBorders>
              <w:top w:val="single" w:sz="4" w:space="0" w:color="auto"/>
              <w:left w:val="nil"/>
              <w:bottom w:val="nil"/>
              <w:right w:val="nil"/>
            </w:tcBorders>
          </w:tcPr>
          <w:p w14:paraId="53E56299" w14:textId="77777777" w:rsidR="00F51435" w:rsidRPr="00F51435" w:rsidRDefault="00F51435" w:rsidP="00F51435">
            <w:pPr>
              <w:spacing w:line="360" w:lineRule="auto"/>
              <w:jc w:val="both"/>
              <w:rPr>
                <w:rFonts w:ascii="Arial" w:hAnsi="Arial" w:cs="Arial"/>
                <w:sz w:val="20"/>
                <w:szCs w:val="20"/>
              </w:rPr>
            </w:pPr>
          </w:p>
        </w:tc>
        <w:tc>
          <w:tcPr>
            <w:tcW w:w="925" w:type="pct"/>
            <w:tcBorders>
              <w:top w:val="single" w:sz="4" w:space="0" w:color="auto"/>
              <w:left w:val="nil"/>
              <w:bottom w:val="nil"/>
              <w:right w:val="nil"/>
            </w:tcBorders>
          </w:tcPr>
          <w:p w14:paraId="2204723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Value</w:t>
            </w:r>
          </w:p>
        </w:tc>
        <w:tc>
          <w:tcPr>
            <w:tcW w:w="925" w:type="pct"/>
            <w:tcBorders>
              <w:top w:val="single" w:sz="4" w:space="0" w:color="auto"/>
              <w:left w:val="nil"/>
              <w:bottom w:val="nil"/>
              <w:right w:val="nil"/>
            </w:tcBorders>
          </w:tcPr>
          <w:p w14:paraId="1F9E20F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df</w:t>
            </w:r>
          </w:p>
        </w:tc>
        <w:tc>
          <w:tcPr>
            <w:tcW w:w="1327" w:type="pct"/>
            <w:tcBorders>
              <w:top w:val="single" w:sz="4" w:space="0" w:color="auto"/>
              <w:left w:val="nil"/>
              <w:bottom w:val="nil"/>
              <w:right w:val="nil"/>
            </w:tcBorders>
          </w:tcPr>
          <w:p w14:paraId="10626E2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Asymptotic Significance (2-sided)</w:t>
            </w:r>
          </w:p>
        </w:tc>
      </w:tr>
      <w:tr w:rsidR="00F51435" w:rsidRPr="00F51435" w14:paraId="25610FFE" w14:textId="77777777" w:rsidTr="00EB1162">
        <w:tc>
          <w:tcPr>
            <w:tcW w:w="1824" w:type="pct"/>
            <w:tcBorders>
              <w:top w:val="nil"/>
              <w:left w:val="nil"/>
              <w:bottom w:val="nil"/>
              <w:right w:val="nil"/>
            </w:tcBorders>
          </w:tcPr>
          <w:p w14:paraId="7956BE8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Pearson Chi-Square</w:t>
            </w:r>
          </w:p>
        </w:tc>
        <w:tc>
          <w:tcPr>
            <w:tcW w:w="925" w:type="pct"/>
            <w:tcBorders>
              <w:top w:val="nil"/>
              <w:left w:val="nil"/>
              <w:bottom w:val="nil"/>
              <w:right w:val="nil"/>
            </w:tcBorders>
          </w:tcPr>
          <w:p w14:paraId="0FD8010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22.822</w:t>
            </w:r>
            <w:r w:rsidRPr="00F51435">
              <w:rPr>
                <w:rFonts w:ascii="Arial" w:hAnsi="Arial" w:cs="Arial"/>
                <w:sz w:val="20"/>
                <w:szCs w:val="20"/>
                <w:vertAlign w:val="superscript"/>
              </w:rPr>
              <w:t>a</w:t>
            </w:r>
          </w:p>
        </w:tc>
        <w:tc>
          <w:tcPr>
            <w:tcW w:w="925" w:type="pct"/>
            <w:tcBorders>
              <w:top w:val="nil"/>
              <w:left w:val="nil"/>
              <w:bottom w:val="nil"/>
              <w:right w:val="nil"/>
            </w:tcBorders>
          </w:tcPr>
          <w:p w14:paraId="6CAC6E8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57</w:t>
            </w:r>
          </w:p>
        </w:tc>
        <w:tc>
          <w:tcPr>
            <w:tcW w:w="1327" w:type="pct"/>
            <w:tcBorders>
              <w:top w:val="nil"/>
              <w:left w:val="nil"/>
              <w:bottom w:val="nil"/>
              <w:right w:val="nil"/>
            </w:tcBorders>
          </w:tcPr>
          <w:p w14:paraId="2E198DC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1.000</w:t>
            </w:r>
          </w:p>
        </w:tc>
      </w:tr>
      <w:tr w:rsidR="00F51435" w:rsidRPr="00F51435" w14:paraId="43EE8BF7" w14:textId="77777777" w:rsidTr="00EB1162">
        <w:tc>
          <w:tcPr>
            <w:tcW w:w="1824" w:type="pct"/>
            <w:tcBorders>
              <w:top w:val="nil"/>
              <w:left w:val="nil"/>
              <w:bottom w:val="nil"/>
              <w:right w:val="nil"/>
            </w:tcBorders>
          </w:tcPr>
          <w:p w14:paraId="17AF510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925" w:type="pct"/>
            <w:tcBorders>
              <w:top w:val="nil"/>
              <w:left w:val="nil"/>
              <w:bottom w:val="nil"/>
              <w:right w:val="nil"/>
            </w:tcBorders>
          </w:tcPr>
          <w:p w14:paraId="3BC5280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28.719</w:t>
            </w:r>
          </w:p>
        </w:tc>
        <w:tc>
          <w:tcPr>
            <w:tcW w:w="925" w:type="pct"/>
            <w:tcBorders>
              <w:top w:val="nil"/>
              <w:left w:val="nil"/>
              <w:bottom w:val="nil"/>
              <w:right w:val="nil"/>
            </w:tcBorders>
          </w:tcPr>
          <w:p w14:paraId="159D794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57</w:t>
            </w:r>
          </w:p>
        </w:tc>
        <w:tc>
          <w:tcPr>
            <w:tcW w:w="1327" w:type="pct"/>
            <w:tcBorders>
              <w:top w:val="nil"/>
              <w:left w:val="nil"/>
              <w:bottom w:val="nil"/>
              <w:right w:val="nil"/>
            </w:tcBorders>
          </w:tcPr>
          <w:p w14:paraId="5541448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.999</w:t>
            </w:r>
          </w:p>
        </w:tc>
      </w:tr>
      <w:tr w:rsidR="00F51435" w:rsidRPr="00F51435" w14:paraId="1BCB6B4C" w14:textId="77777777" w:rsidTr="00EB1162">
        <w:tc>
          <w:tcPr>
            <w:tcW w:w="1824" w:type="pct"/>
            <w:tcBorders>
              <w:top w:val="nil"/>
              <w:left w:val="nil"/>
              <w:bottom w:val="single" w:sz="4" w:space="0" w:color="auto"/>
              <w:right w:val="nil"/>
            </w:tcBorders>
          </w:tcPr>
          <w:p w14:paraId="317C60E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 of Valid Cases</w:t>
            </w:r>
          </w:p>
        </w:tc>
        <w:tc>
          <w:tcPr>
            <w:tcW w:w="925" w:type="pct"/>
            <w:tcBorders>
              <w:top w:val="nil"/>
              <w:left w:val="nil"/>
              <w:bottom w:val="single" w:sz="4" w:space="0" w:color="auto"/>
              <w:right w:val="nil"/>
            </w:tcBorders>
          </w:tcPr>
          <w:p w14:paraId="0B9ED73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925" w:type="pct"/>
            <w:tcBorders>
              <w:top w:val="nil"/>
              <w:left w:val="nil"/>
              <w:bottom w:val="single" w:sz="4" w:space="0" w:color="auto"/>
              <w:right w:val="nil"/>
            </w:tcBorders>
          </w:tcPr>
          <w:p w14:paraId="67B3032A" w14:textId="77777777" w:rsidR="00F51435" w:rsidRPr="00F51435" w:rsidRDefault="00F51435" w:rsidP="00F51435">
            <w:pPr>
              <w:spacing w:line="360" w:lineRule="auto"/>
              <w:jc w:val="both"/>
              <w:rPr>
                <w:rFonts w:ascii="Arial" w:hAnsi="Arial" w:cs="Arial"/>
                <w:sz w:val="20"/>
                <w:szCs w:val="20"/>
              </w:rPr>
            </w:pPr>
          </w:p>
        </w:tc>
        <w:tc>
          <w:tcPr>
            <w:tcW w:w="1327" w:type="pct"/>
            <w:tcBorders>
              <w:top w:val="nil"/>
              <w:left w:val="nil"/>
              <w:bottom w:val="single" w:sz="4" w:space="0" w:color="auto"/>
              <w:right w:val="nil"/>
            </w:tcBorders>
          </w:tcPr>
          <w:p w14:paraId="598D4636" w14:textId="77777777" w:rsidR="00F51435" w:rsidRPr="00F51435" w:rsidRDefault="00F51435" w:rsidP="00F51435">
            <w:pPr>
              <w:spacing w:line="360" w:lineRule="auto"/>
              <w:jc w:val="both"/>
              <w:rPr>
                <w:rFonts w:ascii="Arial" w:hAnsi="Arial" w:cs="Arial"/>
                <w:sz w:val="20"/>
                <w:szCs w:val="20"/>
              </w:rPr>
            </w:pPr>
          </w:p>
        </w:tc>
      </w:tr>
      <w:tr w:rsidR="00F51435" w:rsidRPr="00F51435" w14:paraId="5EBC3B76" w14:textId="77777777" w:rsidTr="00EB1162">
        <w:tc>
          <w:tcPr>
            <w:tcW w:w="5000" w:type="pct"/>
            <w:gridSpan w:val="4"/>
            <w:tcBorders>
              <w:top w:val="single" w:sz="4" w:space="0" w:color="auto"/>
              <w:left w:val="nil"/>
              <w:right w:val="nil"/>
            </w:tcBorders>
          </w:tcPr>
          <w:p w14:paraId="65E008B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 78 cells (97.5%) have expected count less than 5. The minimum expected count is .00.</w:t>
            </w:r>
          </w:p>
        </w:tc>
      </w:tr>
    </w:tbl>
    <w:p w14:paraId="764200EB" w14:textId="77777777" w:rsidR="00F51435" w:rsidRPr="00F51435" w:rsidRDefault="00F51435" w:rsidP="00F51435">
      <w:pPr>
        <w:spacing w:line="360" w:lineRule="auto"/>
        <w:jc w:val="both"/>
        <w:rPr>
          <w:rFonts w:ascii="Arial" w:hAnsi="Arial" w:cs="Arial"/>
        </w:rPr>
      </w:pPr>
    </w:p>
    <w:p w14:paraId="5D2A3C84" w14:textId="77777777" w:rsidR="00F51435" w:rsidRPr="00F51435" w:rsidRDefault="00F51435" w:rsidP="00F51435">
      <w:pPr>
        <w:spacing w:line="360" w:lineRule="auto"/>
        <w:jc w:val="both"/>
        <w:rPr>
          <w:rFonts w:ascii="Arial" w:hAnsi="Arial" w:cs="Arial"/>
        </w:rPr>
      </w:pPr>
      <w:r w:rsidRPr="00F51435">
        <w:rPr>
          <w:rFonts w:ascii="Arial" w:hAnsi="Arial" w:cs="Arial"/>
        </w:rPr>
        <w:t>A Chi-square test of independence was conducted to assess whether there was a statistically significant association between donor’s level of education and the type of adverse reaction experienced following blood donation. The results showed no statistically significant association between donor’s level of education and the type of adverse reaction experienced (χ</w:t>
      </w:r>
      <w:proofErr w:type="gramStart"/>
      <w:r w:rsidRPr="00F51435">
        <w:rPr>
          <w:rFonts w:ascii="Arial" w:hAnsi="Arial" w:cs="Arial"/>
        </w:rPr>
        <w:t>²(</w:t>
      </w:r>
      <w:proofErr w:type="gramEnd"/>
      <w:r w:rsidRPr="00F51435">
        <w:rPr>
          <w:rFonts w:ascii="Arial" w:hAnsi="Arial" w:cs="Arial"/>
        </w:rPr>
        <w:t>57, N = 542) = 22.822, p = 1.000). The likelihood ratio test similarly confirmed the absence of a significant relationship (p = 0.999).</w:t>
      </w:r>
    </w:p>
    <w:p w14:paraId="38608B9D" w14:textId="77777777" w:rsidR="00F51435" w:rsidRPr="00F51435" w:rsidRDefault="00F51435" w:rsidP="00F51435">
      <w:pPr>
        <w:spacing w:line="360" w:lineRule="auto"/>
        <w:jc w:val="both"/>
        <w:rPr>
          <w:rFonts w:ascii="Arial" w:hAnsi="Arial" w:cs="Arial"/>
        </w:rPr>
      </w:pPr>
    </w:p>
    <w:p w14:paraId="6AD8E2F2" w14:textId="77777777" w:rsidR="00F51435" w:rsidRPr="00F51435" w:rsidRDefault="00F51435" w:rsidP="00F51435">
      <w:pPr>
        <w:pStyle w:val="ListParagraph"/>
        <w:numPr>
          <w:ilvl w:val="1"/>
          <w:numId w:val="32"/>
        </w:numPr>
        <w:spacing w:line="360" w:lineRule="auto"/>
        <w:jc w:val="both"/>
        <w:rPr>
          <w:rFonts w:ascii="Arial" w:hAnsi="Arial" w:cs="Arial"/>
          <w:b/>
          <w:bCs/>
          <w:sz w:val="20"/>
          <w:szCs w:val="20"/>
        </w:rPr>
      </w:pPr>
      <w:r w:rsidRPr="00F51435">
        <w:rPr>
          <w:rFonts w:ascii="Arial" w:hAnsi="Arial" w:cs="Arial"/>
          <w:b/>
          <w:bCs/>
          <w:sz w:val="20"/>
          <w:szCs w:val="20"/>
        </w:rPr>
        <w:t>Association Between ABO/Rhesus Blood Group and Adverse Reactions</w:t>
      </w:r>
    </w:p>
    <w:p w14:paraId="1D8740BF" w14:textId="77777777" w:rsidR="00F51435" w:rsidRPr="0040467E" w:rsidRDefault="00F51435" w:rsidP="00F51435">
      <w:pPr>
        <w:pStyle w:val="Heading3"/>
        <w:spacing w:before="0" w:line="360" w:lineRule="auto"/>
        <w:jc w:val="both"/>
        <w:rPr>
          <w:rFonts w:ascii="Arial" w:hAnsi="Arial" w:cs="Arial"/>
          <w:b/>
          <w:bCs/>
          <w:sz w:val="20"/>
          <w:szCs w:val="20"/>
        </w:rPr>
      </w:pPr>
      <w:bookmarkStart w:id="15" w:name="_Toc226285919"/>
      <w:r w:rsidRPr="0040467E">
        <w:rPr>
          <w:rFonts w:ascii="Arial" w:hAnsi="Arial" w:cs="Arial"/>
          <w:b/>
          <w:bCs/>
          <w:sz w:val="20"/>
          <w:szCs w:val="20"/>
        </w:rPr>
        <w:t>4</w:t>
      </w:r>
      <w:r w:rsidRPr="0040467E">
        <w:rPr>
          <w:rFonts w:ascii="Arial" w:hAnsi="Arial" w:cs="Arial"/>
          <w:b/>
          <w:bCs/>
          <w:color w:val="000000" w:themeColor="text1"/>
          <w:sz w:val="20"/>
          <w:szCs w:val="20"/>
        </w:rPr>
        <w:t xml:space="preserve">.5.1 </w:t>
      </w:r>
      <w:r w:rsidRPr="0040467E">
        <w:rPr>
          <w:rFonts w:ascii="Arial" w:eastAsia="Times New Roman" w:hAnsi="Arial" w:cs="Arial"/>
          <w:b/>
          <w:bCs/>
          <w:color w:val="000000" w:themeColor="text1"/>
          <w:sz w:val="20"/>
          <w:szCs w:val="20"/>
        </w:rPr>
        <w:t>Association Between Rhesus (Rh) Blood Group and Adverse Reactions</w:t>
      </w:r>
      <w:bookmarkEnd w:id="15"/>
    </w:p>
    <w:p w14:paraId="68CBA957" w14:textId="77777777" w:rsidR="00F51435" w:rsidRPr="00F51435" w:rsidRDefault="00F51435" w:rsidP="00F51435">
      <w:pPr>
        <w:spacing w:line="360" w:lineRule="auto"/>
        <w:jc w:val="both"/>
        <w:rPr>
          <w:rFonts w:ascii="Arial" w:hAnsi="Arial" w:cs="Arial"/>
        </w:rPr>
      </w:pPr>
      <w:r w:rsidRPr="00F51435">
        <w:rPr>
          <w:rFonts w:ascii="Arial" w:hAnsi="Arial" w:cs="Arial"/>
        </w:rPr>
        <w:t>A cross-tabulation analysis was conducted to examine the relationship between Rhesus (Rh) blood group and the occurrence of blood donation-related adverse reactions among 542 donors.</w:t>
      </w:r>
    </w:p>
    <w:p w14:paraId="682C5328" w14:textId="5BFDBBD4" w:rsidR="00F51435" w:rsidRDefault="00F51435" w:rsidP="00F51435">
      <w:pPr>
        <w:spacing w:line="360" w:lineRule="auto"/>
        <w:jc w:val="both"/>
        <w:rPr>
          <w:rFonts w:ascii="Arial" w:hAnsi="Arial" w:cs="Arial"/>
        </w:rPr>
      </w:pPr>
    </w:p>
    <w:p w14:paraId="30613B3B" w14:textId="77777777" w:rsidR="006E78EA" w:rsidRPr="006E78EA" w:rsidRDefault="006E78EA" w:rsidP="006E78EA">
      <w:pPr>
        <w:spacing w:line="360" w:lineRule="auto"/>
        <w:jc w:val="both"/>
        <w:rPr>
          <w:rFonts w:ascii="Arial" w:hAnsi="Arial" w:cs="Arial"/>
          <w:b/>
          <w:bCs/>
        </w:rPr>
      </w:pPr>
      <w:r w:rsidRPr="006E78EA">
        <w:rPr>
          <w:rFonts w:ascii="Arial" w:hAnsi="Arial" w:cs="Arial"/>
          <w:b/>
        </w:rPr>
        <w:lastRenderedPageBreak/>
        <w:t xml:space="preserve">Table 10. </w:t>
      </w:r>
      <w:r w:rsidRPr="006E78EA">
        <w:rPr>
          <w:rFonts w:ascii="Arial" w:hAnsi="Arial" w:cs="Arial"/>
          <w:b/>
          <w:bCs/>
        </w:rPr>
        <w:t>Association Between ABO/Rhesus Blood Group and Adverse Reactions</w:t>
      </w:r>
    </w:p>
    <w:p w14:paraId="301BA78E" w14:textId="4EEDA7AA" w:rsidR="006E78EA" w:rsidRPr="00F51435" w:rsidRDefault="006E78EA" w:rsidP="00F51435">
      <w:pPr>
        <w:spacing w:line="360" w:lineRule="auto"/>
        <w:jc w:val="both"/>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42"/>
        <w:gridCol w:w="2604"/>
        <w:gridCol w:w="2528"/>
        <w:gridCol w:w="1250"/>
      </w:tblGrid>
      <w:tr w:rsidR="00F51435" w:rsidRPr="00F51435" w14:paraId="742A1E29" w14:textId="77777777" w:rsidTr="00EB1162">
        <w:tc>
          <w:tcPr>
            <w:tcW w:w="0" w:type="auto"/>
            <w:tcBorders>
              <w:bottom w:val="single" w:sz="4" w:space="0" w:color="auto"/>
            </w:tcBorders>
            <w:hideMark/>
          </w:tcPr>
          <w:p w14:paraId="077F1C99"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Rhesus Blood Group</w:t>
            </w:r>
          </w:p>
        </w:tc>
        <w:tc>
          <w:tcPr>
            <w:tcW w:w="0" w:type="auto"/>
            <w:tcBorders>
              <w:bottom w:val="single" w:sz="4" w:space="0" w:color="auto"/>
            </w:tcBorders>
            <w:hideMark/>
          </w:tcPr>
          <w:p w14:paraId="3278BEBF"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Adverse Reaction Yes n (%)</w:t>
            </w:r>
          </w:p>
        </w:tc>
        <w:tc>
          <w:tcPr>
            <w:tcW w:w="0" w:type="auto"/>
            <w:tcBorders>
              <w:bottom w:val="single" w:sz="4" w:space="0" w:color="auto"/>
            </w:tcBorders>
            <w:hideMark/>
          </w:tcPr>
          <w:p w14:paraId="5D3A82D2"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No Adverse Reaction n (%)</w:t>
            </w:r>
          </w:p>
        </w:tc>
        <w:tc>
          <w:tcPr>
            <w:tcW w:w="0" w:type="auto"/>
            <w:tcBorders>
              <w:bottom w:val="single" w:sz="4" w:space="0" w:color="auto"/>
            </w:tcBorders>
            <w:hideMark/>
          </w:tcPr>
          <w:p w14:paraId="28B99F89"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 n (%)</w:t>
            </w:r>
          </w:p>
        </w:tc>
      </w:tr>
      <w:tr w:rsidR="00F51435" w:rsidRPr="00F51435" w14:paraId="06F5AF38" w14:textId="77777777" w:rsidTr="00EB1162">
        <w:tc>
          <w:tcPr>
            <w:tcW w:w="0" w:type="auto"/>
            <w:tcBorders>
              <w:top w:val="single" w:sz="4" w:space="0" w:color="auto"/>
              <w:bottom w:val="nil"/>
            </w:tcBorders>
            <w:hideMark/>
          </w:tcPr>
          <w:p w14:paraId="0ED4117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Positive</w:t>
            </w:r>
          </w:p>
        </w:tc>
        <w:tc>
          <w:tcPr>
            <w:tcW w:w="0" w:type="auto"/>
            <w:tcBorders>
              <w:top w:val="single" w:sz="4" w:space="0" w:color="auto"/>
              <w:bottom w:val="nil"/>
            </w:tcBorders>
            <w:hideMark/>
          </w:tcPr>
          <w:p w14:paraId="78AEE4C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31 (5.9%)</w:t>
            </w:r>
          </w:p>
        </w:tc>
        <w:tc>
          <w:tcPr>
            <w:tcW w:w="0" w:type="auto"/>
            <w:tcBorders>
              <w:top w:val="single" w:sz="4" w:space="0" w:color="auto"/>
              <w:bottom w:val="nil"/>
            </w:tcBorders>
            <w:hideMark/>
          </w:tcPr>
          <w:p w14:paraId="688AE13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496 (94.1%)</w:t>
            </w:r>
          </w:p>
        </w:tc>
        <w:tc>
          <w:tcPr>
            <w:tcW w:w="0" w:type="auto"/>
            <w:tcBorders>
              <w:top w:val="single" w:sz="4" w:space="0" w:color="auto"/>
              <w:bottom w:val="nil"/>
            </w:tcBorders>
            <w:hideMark/>
          </w:tcPr>
          <w:p w14:paraId="32EE9C7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527 (97.2%)</w:t>
            </w:r>
          </w:p>
        </w:tc>
      </w:tr>
      <w:tr w:rsidR="00F51435" w:rsidRPr="00F51435" w14:paraId="0E38DC7A" w14:textId="77777777" w:rsidTr="00EB1162">
        <w:tc>
          <w:tcPr>
            <w:tcW w:w="0" w:type="auto"/>
            <w:tcBorders>
              <w:top w:val="nil"/>
              <w:bottom w:val="single" w:sz="4" w:space="0" w:color="auto"/>
            </w:tcBorders>
            <w:hideMark/>
          </w:tcPr>
          <w:p w14:paraId="1A4FA1F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Negative</w:t>
            </w:r>
          </w:p>
        </w:tc>
        <w:tc>
          <w:tcPr>
            <w:tcW w:w="0" w:type="auto"/>
            <w:tcBorders>
              <w:top w:val="nil"/>
              <w:bottom w:val="single" w:sz="4" w:space="0" w:color="auto"/>
            </w:tcBorders>
            <w:hideMark/>
          </w:tcPr>
          <w:p w14:paraId="7C05DB3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0" w:type="auto"/>
            <w:tcBorders>
              <w:top w:val="nil"/>
              <w:bottom w:val="single" w:sz="4" w:space="0" w:color="auto"/>
            </w:tcBorders>
            <w:hideMark/>
          </w:tcPr>
          <w:p w14:paraId="07B7E6A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 (100.0%)</w:t>
            </w:r>
          </w:p>
        </w:tc>
        <w:tc>
          <w:tcPr>
            <w:tcW w:w="0" w:type="auto"/>
            <w:tcBorders>
              <w:top w:val="nil"/>
              <w:bottom w:val="single" w:sz="4" w:space="0" w:color="auto"/>
            </w:tcBorders>
            <w:hideMark/>
          </w:tcPr>
          <w:p w14:paraId="3518A9D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 (2.8%)</w:t>
            </w:r>
          </w:p>
        </w:tc>
      </w:tr>
      <w:tr w:rsidR="00F51435" w:rsidRPr="00F51435" w14:paraId="7EBBED44" w14:textId="77777777" w:rsidTr="00EB1162">
        <w:tc>
          <w:tcPr>
            <w:tcW w:w="0" w:type="auto"/>
            <w:tcBorders>
              <w:top w:val="single" w:sz="4" w:space="0" w:color="auto"/>
            </w:tcBorders>
            <w:hideMark/>
          </w:tcPr>
          <w:p w14:paraId="366EE45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Total</w:t>
            </w:r>
          </w:p>
        </w:tc>
        <w:tc>
          <w:tcPr>
            <w:tcW w:w="0" w:type="auto"/>
            <w:tcBorders>
              <w:top w:val="single" w:sz="4" w:space="0" w:color="auto"/>
            </w:tcBorders>
            <w:hideMark/>
          </w:tcPr>
          <w:p w14:paraId="573B14B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31 (5.7%)</w:t>
            </w:r>
          </w:p>
        </w:tc>
        <w:tc>
          <w:tcPr>
            <w:tcW w:w="0" w:type="auto"/>
            <w:tcBorders>
              <w:top w:val="single" w:sz="4" w:space="0" w:color="auto"/>
            </w:tcBorders>
            <w:hideMark/>
          </w:tcPr>
          <w:p w14:paraId="1097211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511 (94.3%)</w:t>
            </w:r>
          </w:p>
        </w:tc>
        <w:tc>
          <w:tcPr>
            <w:tcW w:w="0" w:type="auto"/>
            <w:tcBorders>
              <w:top w:val="single" w:sz="4" w:space="0" w:color="auto"/>
            </w:tcBorders>
            <w:hideMark/>
          </w:tcPr>
          <w:p w14:paraId="10DCB94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542 (100%)</w:t>
            </w:r>
          </w:p>
        </w:tc>
      </w:tr>
    </w:tbl>
    <w:p w14:paraId="0A8A572C" w14:textId="77777777" w:rsidR="00F51435" w:rsidRPr="00F51435" w:rsidRDefault="00F51435" w:rsidP="00F51435">
      <w:pPr>
        <w:spacing w:line="360" w:lineRule="auto"/>
        <w:jc w:val="both"/>
        <w:rPr>
          <w:rFonts w:ascii="Arial" w:hAnsi="Arial" w:cs="Arial"/>
        </w:rPr>
      </w:pPr>
      <w:r w:rsidRPr="00F51435">
        <w:rPr>
          <w:rFonts w:ascii="Arial" w:hAnsi="Arial" w:cs="Arial"/>
        </w:rPr>
        <w:t xml:space="preserve">The results show that the majority of donors were Rh positive (97.2%), while only a small proportion were Rh negative (2.8%). Among Rh-positive donors, 5.9% experienced adverse reactions, whereas no adverse reactions were recorded among Rh-negative donors.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952"/>
        <w:gridCol w:w="502"/>
        <w:gridCol w:w="4251"/>
      </w:tblGrid>
      <w:tr w:rsidR="00F51435" w:rsidRPr="00F51435" w14:paraId="3C99D702" w14:textId="77777777" w:rsidTr="00EB1162">
        <w:tc>
          <w:tcPr>
            <w:tcW w:w="1614" w:type="pct"/>
            <w:tcBorders>
              <w:bottom w:val="single" w:sz="4" w:space="0" w:color="auto"/>
            </w:tcBorders>
            <w:hideMark/>
          </w:tcPr>
          <w:p w14:paraId="783EE40F"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Test</w:t>
            </w:r>
          </w:p>
        </w:tc>
        <w:tc>
          <w:tcPr>
            <w:tcW w:w="565" w:type="pct"/>
            <w:tcBorders>
              <w:bottom w:val="single" w:sz="4" w:space="0" w:color="auto"/>
            </w:tcBorders>
            <w:hideMark/>
          </w:tcPr>
          <w:p w14:paraId="1FC012AE"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Value</w:t>
            </w:r>
          </w:p>
        </w:tc>
        <w:tc>
          <w:tcPr>
            <w:tcW w:w="298" w:type="pct"/>
            <w:tcBorders>
              <w:bottom w:val="single" w:sz="4" w:space="0" w:color="auto"/>
            </w:tcBorders>
            <w:hideMark/>
          </w:tcPr>
          <w:p w14:paraId="2699612C"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df</w:t>
            </w:r>
          </w:p>
        </w:tc>
        <w:tc>
          <w:tcPr>
            <w:tcW w:w="2523" w:type="pct"/>
            <w:tcBorders>
              <w:bottom w:val="single" w:sz="4" w:space="0" w:color="auto"/>
            </w:tcBorders>
            <w:hideMark/>
          </w:tcPr>
          <w:p w14:paraId="6531A528"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Asymptotic Significance (2-sided)</w:t>
            </w:r>
          </w:p>
        </w:tc>
      </w:tr>
      <w:tr w:rsidR="00F51435" w:rsidRPr="00F51435" w14:paraId="4C2C00C3" w14:textId="77777777" w:rsidTr="00EB1162">
        <w:tc>
          <w:tcPr>
            <w:tcW w:w="1614" w:type="pct"/>
            <w:tcBorders>
              <w:top w:val="single" w:sz="4" w:space="0" w:color="auto"/>
              <w:bottom w:val="nil"/>
            </w:tcBorders>
            <w:hideMark/>
          </w:tcPr>
          <w:p w14:paraId="74DA3BA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Pearson Chi-Square</w:t>
            </w:r>
          </w:p>
        </w:tc>
        <w:tc>
          <w:tcPr>
            <w:tcW w:w="565" w:type="pct"/>
            <w:tcBorders>
              <w:top w:val="single" w:sz="4" w:space="0" w:color="auto"/>
              <w:bottom w:val="nil"/>
            </w:tcBorders>
            <w:hideMark/>
          </w:tcPr>
          <w:p w14:paraId="732F139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0.936</w:t>
            </w:r>
          </w:p>
        </w:tc>
        <w:tc>
          <w:tcPr>
            <w:tcW w:w="298" w:type="pct"/>
            <w:tcBorders>
              <w:top w:val="single" w:sz="4" w:space="0" w:color="auto"/>
              <w:bottom w:val="nil"/>
            </w:tcBorders>
            <w:hideMark/>
          </w:tcPr>
          <w:p w14:paraId="700E676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c>
          <w:tcPr>
            <w:tcW w:w="2523" w:type="pct"/>
            <w:tcBorders>
              <w:top w:val="single" w:sz="4" w:space="0" w:color="auto"/>
              <w:bottom w:val="nil"/>
            </w:tcBorders>
            <w:hideMark/>
          </w:tcPr>
          <w:p w14:paraId="73A2EB5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0.333</w:t>
            </w:r>
          </w:p>
        </w:tc>
      </w:tr>
      <w:tr w:rsidR="00F51435" w:rsidRPr="00F51435" w14:paraId="1EF0DE46" w14:textId="77777777" w:rsidTr="00EB1162">
        <w:tc>
          <w:tcPr>
            <w:tcW w:w="1614" w:type="pct"/>
            <w:tcBorders>
              <w:top w:val="nil"/>
              <w:bottom w:val="nil"/>
            </w:tcBorders>
            <w:hideMark/>
          </w:tcPr>
          <w:p w14:paraId="4F2618A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Continuity Correction</w:t>
            </w:r>
          </w:p>
        </w:tc>
        <w:tc>
          <w:tcPr>
            <w:tcW w:w="565" w:type="pct"/>
            <w:tcBorders>
              <w:top w:val="nil"/>
              <w:bottom w:val="nil"/>
            </w:tcBorders>
            <w:hideMark/>
          </w:tcPr>
          <w:p w14:paraId="038D648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0.163</w:t>
            </w:r>
          </w:p>
        </w:tc>
        <w:tc>
          <w:tcPr>
            <w:tcW w:w="298" w:type="pct"/>
            <w:tcBorders>
              <w:top w:val="nil"/>
              <w:bottom w:val="nil"/>
            </w:tcBorders>
            <w:hideMark/>
          </w:tcPr>
          <w:p w14:paraId="6256C4B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c>
          <w:tcPr>
            <w:tcW w:w="2523" w:type="pct"/>
            <w:tcBorders>
              <w:top w:val="nil"/>
              <w:bottom w:val="nil"/>
            </w:tcBorders>
            <w:hideMark/>
          </w:tcPr>
          <w:p w14:paraId="35C6993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0.687</w:t>
            </w:r>
          </w:p>
        </w:tc>
      </w:tr>
      <w:tr w:rsidR="00F51435" w:rsidRPr="00F51435" w14:paraId="3176A9AC" w14:textId="77777777" w:rsidTr="00EB1162">
        <w:tc>
          <w:tcPr>
            <w:tcW w:w="1614" w:type="pct"/>
            <w:tcBorders>
              <w:top w:val="nil"/>
              <w:bottom w:val="nil"/>
            </w:tcBorders>
            <w:hideMark/>
          </w:tcPr>
          <w:p w14:paraId="198BF09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565" w:type="pct"/>
            <w:tcBorders>
              <w:top w:val="nil"/>
              <w:bottom w:val="nil"/>
            </w:tcBorders>
            <w:hideMark/>
          </w:tcPr>
          <w:p w14:paraId="289A479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1.793</w:t>
            </w:r>
          </w:p>
        </w:tc>
        <w:tc>
          <w:tcPr>
            <w:tcW w:w="298" w:type="pct"/>
            <w:tcBorders>
              <w:top w:val="nil"/>
              <w:bottom w:val="nil"/>
            </w:tcBorders>
            <w:hideMark/>
          </w:tcPr>
          <w:p w14:paraId="41B9718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c>
          <w:tcPr>
            <w:tcW w:w="2523" w:type="pct"/>
            <w:tcBorders>
              <w:top w:val="nil"/>
              <w:bottom w:val="nil"/>
            </w:tcBorders>
            <w:hideMark/>
          </w:tcPr>
          <w:p w14:paraId="024523A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0.181</w:t>
            </w:r>
          </w:p>
        </w:tc>
      </w:tr>
      <w:tr w:rsidR="00F51435" w:rsidRPr="00F51435" w14:paraId="40FB2946" w14:textId="77777777" w:rsidTr="00EB1162">
        <w:trPr>
          <w:trHeight w:val="80"/>
        </w:trPr>
        <w:tc>
          <w:tcPr>
            <w:tcW w:w="1614" w:type="pct"/>
            <w:tcBorders>
              <w:top w:val="nil"/>
              <w:bottom w:val="nil"/>
            </w:tcBorders>
            <w:hideMark/>
          </w:tcPr>
          <w:p w14:paraId="3057EEB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Fisher’s Exact Test</w:t>
            </w:r>
          </w:p>
        </w:tc>
        <w:tc>
          <w:tcPr>
            <w:tcW w:w="565" w:type="pct"/>
            <w:tcBorders>
              <w:top w:val="nil"/>
              <w:bottom w:val="nil"/>
            </w:tcBorders>
            <w:hideMark/>
          </w:tcPr>
          <w:p w14:paraId="386D10E2" w14:textId="77777777" w:rsidR="00F51435" w:rsidRPr="00F51435" w:rsidRDefault="00F51435" w:rsidP="00F51435">
            <w:pPr>
              <w:spacing w:line="360" w:lineRule="auto"/>
              <w:jc w:val="both"/>
              <w:rPr>
                <w:rFonts w:ascii="Arial" w:hAnsi="Arial" w:cs="Arial"/>
                <w:sz w:val="20"/>
                <w:szCs w:val="20"/>
              </w:rPr>
            </w:pPr>
          </w:p>
        </w:tc>
        <w:tc>
          <w:tcPr>
            <w:tcW w:w="298" w:type="pct"/>
            <w:tcBorders>
              <w:top w:val="nil"/>
              <w:bottom w:val="nil"/>
            </w:tcBorders>
            <w:hideMark/>
          </w:tcPr>
          <w:p w14:paraId="4B2D8F5C" w14:textId="77777777" w:rsidR="00F51435" w:rsidRPr="00F51435" w:rsidRDefault="00F51435" w:rsidP="00F51435">
            <w:pPr>
              <w:spacing w:line="360" w:lineRule="auto"/>
              <w:jc w:val="both"/>
              <w:rPr>
                <w:rFonts w:ascii="Arial" w:hAnsi="Arial" w:cs="Arial"/>
                <w:sz w:val="20"/>
                <w:szCs w:val="20"/>
              </w:rPr>
            </w:pPr>
          </w:p>
        </w:tc>
        <w:tc>
          <w:tcPr>
            <w:tcW w:w="2523" w:type="pct"/>
            <w:tcBorders>
              <w:top w:val="nil"/>
              <w:bottom w:val="nil"/>
            </w:tcBorders>
            <w:hideMark/>
          </w:tcPr>
          <w:p w14:paraId="2DE18D6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1.000 (2-sided), 0.408 (1-sided)</w:t>
            </w:r>
          </w:p>
        </w:tc>
      </w:tr>
      <w:tr w:rsidR="00F51435" w:rsidRPr="00F51435" w14:paraId="06BF464B" w14:textId="77777777" w:rsidTr="00EB1162">
        <w:tc>
          <w:tcPr>
            <w:tcW w:w="1614" w:type="pct"/>
            <w:tcBorders>
              <w:top w:val="nil"/>
              <w:bottom w:val="single" w:sz="4" w:space="0" w:color="auto"/>
            </w:tcBorders>
            <w:hideMark/>
          </w:tcPr>
          <w:p w14:paraId="7E6B2F6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 of Valid Cases</w:t>
            </w:r>
          </w:p>
        </w:tc>
        <w:tc>
          <w:tcPr>
            <w:tcW w:w="565" w:type="pct"/>
            <w:tcBorders>
              <w:top w:val="nil"/>
              <w:bottom w:val="single" w:sz="4" w:space="0" w:color="auto"/>
            </w:tcBorders>
            <w:hideMark/>
          </w:tcPr>
          <w:p w14:paraId="71058AF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298" w:type="pct"/>
            <w:tcBorders>
              <w:top w:val="nil"/>
              <w:bottom w:val="single" w:sz="4" w:space="0" w:color="auto"/>
            </w:tcBorders>
            <w:hideMark/>
          </w:tcPr>
          <w:p w14:paraId="7CB1AB01" w14:textId="77777777" w:rsidR="00F51435" w:rsidRPr="00F51435" w:rsidRDefault="00F51435" w:rsidP="00F51435">
            <w:pPr>
              <w:spacing w:line="360" w:lineRule="auto"/>
              <w:jc w:val="both"/>
              <w:rPr>
                <w:rFonts w:ascii="Arial" w:hAnsi="Arial" w:cs="Arial"/>
                <w:sz w:val="20"/>
                <w:szCs w:val="20"/>
              </w:rPr>
            </w:pPr>
          </w:p>
        </w:tc>
        <w:tc>
          <w:tcPr>
            <w:tcW w:w="2523" w:type="pct"/>
            <w:tcBorders>
              <w:top w:val="nil"/>
              <w:bottom w:val="single" w:sz="4" w:space="0" w:color="auto"/>
            </w:tcBorders>
            <w:hideMark/>
          </w:tcPr>
          <w:p w14:paraId="46FA2DE3" w14:textId="77777777" w:rsidR="00F51435" w:rsidRPr="00F51435" w:rsidRDefault="00F51435" w:rsidP="00F51435">
            <w:pPr>
              <w:spacing w:line="360" w:lineRule="auto"/>
              <w:jc w:val="both"/>
              <w:rPr>
                <w:rFonts w:ascii="Arial" w:hAnsi="Arial" w:cs="Arial"/>
                <w:sz w:val="20"/>
                <w:szCs w:val="20"/>
              </w:rPr>
            </w:pPr>
          </w:p>
        </w:tc>
      </w:tr>
    </w:tbl>
    <w:p w14:paraId="0DB49516" w14:textId="77777777" w:rsidR="0040467E" w:rsidRDefault="0040467E" w:rsidP="00F51435">
      <w:pPr>
        <w:spacing w:line="360" w:lineRule="auto"/>
        <w:jc w:val="both"/>
        <w:rPr>
          <w:rFonts w:ascii="Arial" w:hAnsi="Arial" w:cs="Arial"/>
        </w:rPr>
      </w:pPr>
    </w:p>
    <w:p w14:paraId="72F86324" w14:textId="0986A6AB" w:rsidR="00F51435" w:rsidRDefault="00F51435" w:rsidP="00F51435">
      <w:pPr>
        <w:spacing w:line="360" w:lineRule="auto"/>
        <w:jc w:val="both"/>
        <w:rPr>
          <w:rFonts w:ascii="Arial" w:hAnsi="Arial" w:cs="Arial"/>
        </w:rPr>
      </w:pPr>
      <w:r w:rsidRPr="00F51435">
        <w:rPr>
          <w:rFonts w:ascii="Arial" w:hAnsi="Arial" w:cs="Arial"/>
        </w:rPr>
        <w:t>A Chi-square test of independence was performed to determine whether there was a statistically significant association between Rh blood group and adverse reactions. The Pearson Chi-square test indicated no statistically significant association between Rh blood group and adverse reactions (χ</w:t>
      </w:r>
      <w:proofErr w:type="gramStart"/>
      <w:r w:rsidRPr="00F51435">
        <w:rPr>
          <w:rFonts w:ascii="Arial" w:hAnsi="Arial" w:cs="Arial"/>
        </w:rPr>
        <w:t>²(</w:t>
      </w:r>
      <w:proofErr w:type="gramEnd"/>
      <w:r w:rsidRPr="00F51435">
        <w:rPr>
          <w:rFonts w:ascii="Arial" w:hAnsi="Arial" w:cs="Arial"/>
        </w:rPr>
        <w:t>1, N = 542) = 0.936, p = 0.333). This was supported by the likelihood ratio test (p = 0.181) and Fisher’s Exact Test (p = 1.000, two-sided), which is more appropriate given that 25% of cells had expected counts less than 5.</w:t>
      </w:r>
    </w:p>
    <w:p w14:paraId="373F0A1B" w14:textId="77777777" w:rsidR="0040467E" w:rsidRPr="00F51435" w:rsidRDefault="0040467E" w:rsidP="00F51435">
      <w:pPr>
        <w:spacing w:line="360" w:lineRule="auto"/>
        <w:jc w:val="both"/>
        <w:rPr>
          <w:rFonts w:ascii="Arial" w:hAnsi="Arial" w:cs="Arial"/>
        </w:rPr>
      </w:pPr>
    </w:p>
    <w:p w14:paraId="3E004940" w14:textId="77777777" w:rsidR="00F51435" w:rsidRPr="0040467E" w:rsidRDefault="00F51435" w:rsidP="00F51435">
      <w:pPr>
        <w:pStyle w:val="Heading3"/>
        <w:numPr>
          <w:ilvl w:val="2"/>
          <w:numId w:val="31"/>
        </w:numPr>
        <w:spacing w:before="0" w:line="360" w:lineRule="auto"/>
        <w:jc w:val="both"/>
        <w:rPr>
          <w:rFonts w:ascii="Arial" w:hAnsi="Arial" w:cs="Arial"/>
          <w:b/>
          <w:bCs/>
          <w:color w:val="000000" w:themeColor="text1"/>
          <w:sz w:val="20"/>
          <w:szCs w:val="20"/>
        </w:rPr>
      </w:pPr>
      <w:bookmarkStart w:id="16" w:name="_Toc226285920"/>
      <w:r w:rsidRPr="0040467E">
        <w:rPr>
          <w:rFonts w:ascii="Arial" w:eastAsia="Times New Roman" w:hAnsi="Arial" w:cs="Arial"/>
          <w:b/>
          <w:bCs/>
          <w:color w:val="000000" w:themeColor="text1"/>
          <w:sz w:val="20"/>
          <w:szCs w:val="20"/>
        </w:rPr>
        <w:t>Association Between Rhesus (Rh) Blood Group and Type of Adverse Reaction</w:t>
      </w:r>
      <w:bookmarkEnd w:id="16"/>
    </w:p>
    <w:p w14:paraId="2C06E8C1" w14:textId="77777777" w:rsidR="00F51435" w:rsidRPr="00F51435" w:rsidRDefault="00F51435" w:rsidP="00F51435">
      <w:pPr>
        <w:spacing w:line="360" w:lineRule="auto"/>
        <w:jc w:val="both"/>
        <w:rPr>
          <w:rFonts w:ascii="Arial" w:hAnsi="Arial" w:cs="Arial"/>
        </w:rPr>
      </w:pPr>
      <w:r w:rsidRPr="00F51435">
        <w:rPr>
          <w:rFonts w:ascii="Arial" w:hAnsi="Arial" w:cs="Arial"/>
        </w:rPr>
        <w:t>A cross-tabulation analysis was conducted to examine the relationship between Rhesus (Rh) blood group and the type of adverse reaction experienced following blood donation.</w:t>
      </w:r>
    </w:p>
    <w:p w14:paraId="50EC755C" w14:textId="77777777" w:rsidR="006E78EA" w:rsidRDefault="006E78EA" w:rsidP="006E78EA">
      <w:pPr>
        <w:pStyle w:val="Heading3"/>
        <w:spacing w:before="0" w:line="360" w:lineRule="auto"/>
        <w:jc w:val="both"/>
        <w:rPr>
          <w:rFonts w:ascii="Arial" w:eastAsia="Times New Roman" w:hAnsi="Arial" w:cs="Arial"/>
          <w:b/>
          <w:bCs/>
          <w:color w:val="000000" w:themeColor="text1"/>
          <w:sz w:val="20"/>
          <w:szCs w:val="20"/>
        </w:rPr>
      </w:pPr>
    </w:p>
    <w:p w14:paraId="4321D62D" w14:textId="77777777" w:rsidR="006E78EA" w:rsidRDefault="006E78EA" w:rsidP="006E78EA">
      <w:pPr>
        <w:pStyle w:val="Heading3"/>
        <w:spacing w:before="0" w:line="360" w:lineRule="auto"/>
        <w:jc w:val="both"/>
        <w:rPr>
          <w:rFonts w:ascii="Arial" w:eastAsia="Times New Roman" w:hAnsi="Arial" w:cs="Arial"/>
          <w:b/>
          <w:bCs/>
          <w:color w:val="000000" w:themeColor="text1"/>
          <w:sz w:val="20"/>
          <w:szCs w:val="20"/>
        </w:rPr>
      </w:pPr>
    </w:p>
    <w:p w14:paraId="2065D895" w14:textId="77777777" w:rsidR="006E78EA" w:rsidRPr="0040467E" w:rsidRDefault="006E78EA" w:rsidP="006E78EA">
      <w:pPr>
        <w:pStyle w:val="Heading3"/>
        <w:spacing w:before="0" w:line="360" w:lineRule="auto"/>
        <w:jc w:val="both"/>
        <w:rPr>
          <w:rFonts w:ascii="Arial" w:hAnsi="Arial" w:cs="Arial"/>
          <w:b/>
          <w:bCs/>
          <w:color w:val="000000" w:themeColor="text1"/>
          <w:sz w:val="20"/>
          <w:szCs w:val="20"/>
        </w:rPr>
      </w:pPr>
      <w:r>
        <w:rPr>
          <w:rFonts w:ascii="Arial" w:eastAsia="Times New Roman" w:hAnsi="Arial" w:cs="Arial"/>
          <w:b/>
          <w:bCs/>
          <w:color w:val="000000" w:themeColor="text1"/>
          <w:sz w:val="20"/>
          <w:szCs w:val="20"/>
        </w:rPr>
        <w:t xml:space="preserve">Table 11. </w:t>
      </w:r>
      <w:r w:rsidRPr="0040467E">
        <w:rPr>
          <w:rFonts w:ascii="Arial" w:eastAsia="Times New Roman" w:hAnsi="Arial" w:cs="Arial"/>
          <w:b/>
          <w:bCs/>
          <w:color w:val="000000" w:themeColor="text1"/>
          <w:sz w:val="20"/>
          <w:szCs w:val="20"/>
        </w:rPr>
        <w:t>Association Between Rhesus (Rh) Blood Group and Type of Adverse Reaction</w:t>
      </w:r>
    </w:p>
    <w:p w14:paraId="18F29659" w14:textId="15B01D6F" w:rsidR="006E78EA" w:rsidRPr="0040467E" w:rsidRDefault="006E78EA" w:rsidP="006E78EA">
      <w:pPr>
        <w:pStyle w:val="Heading3"/>
        <w:spacing w:before="0" w:line="360" w:lineRule="auto"/>
        <w:jc w:val="both"/>
        <w:rPr>
          <w:rFonts w:ascii="Arial" w:hAnsi="Arial" w:cs="Arial"/>
          <w:b/>
          <w:bCs/>
          <w:color w:val="000000" w:themeColor="text1"/>
          <w:sz w:val="20"/>
          <w:szCs w:val="20"/>
        </w:rPr>
      </w:pPr>
    </w:p>
    <w:p w14:paraId="201BF90D" w14:textId="77777777" w:rsidR="00F51435" w:rsidRPr="00F51435" w:rsidRDefault="00F51435" w:rsidP="00F51435">
      <w:pPr>
        <w:spacing w:line="360" w:lineRule="auto"/>
        <w:jc w:val="both"/>
        <w:rPr>
          <w:rFonts w:ascii="Arial" w:hAnsi="Arial" w:cs="Arial"/>
        </w:rPr>
      </w:pPr>
    </w:p>
    <w:p w14:paraId="6C2E1F64" w14:textId="77777777" w:rsidR="00F51435" w:rsidRPr="00F51435" w:rsidRDefault="00F51435" w:rsidP="00F51435">
      <w:pPr>
        <w:spacing w:line="360" w:lineRule="auto"/>
        <w:jc w:val="both"/>
        <w:rPr>
          <w:rFonts w:ascii="Arial" w:hAnsi="Arial" w:cs="Arial"/>
        </w:rPr>
      </w:pPr>
    </w:p>
    <w:tbl>
      <w:tblPr>
        <w:tblStyle w:val="TableGrid"/>
        <w:tblW w:w="9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9"/>
        <w:gridCol w:w="1171"/>
        <w:gridCol w:w="1603"/>
        <w:gridCol w:w="1119"/>
        <w:gridCol w:w="1148"/>
        <w:gridCol w:w="1126"/>
        <w:gridCol w:w="1574"/>
        <w:gridCol w:w="558"/>
      </w:tblGrid>
      <w:tr w:rsidR="00F51435" w:rsidRPr="00F51435" w14:paraId="18F25767" w14:textId="77777777" w:rsidTr="008F5577">
        <w:tc>
          <w:tcPr>
            <w:tcW w:w="989" w:type="dxa"/>
            <w:tcBorders>
              <w:bottom w:val="single" w:sz="4" w:space="0" w:color="auto"/>
            </w:tcBorders>
            <w:hideMark/>
          </w:tcPr>
          <w:p w14:paraId="40773DF5"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lastRenderedPageBreak/>
              <w:t>Rhesus Blood Group</w:t>
            </w:r>
          </w:p>
        </w:tc>
        <w:tc>
          <w:tcPr>
            <w:tcW w:w="1171" w:type="dxa"/>
            <w:tcBorders>
              <w:bottom w:val="single" w:sz="4" w:space="0" w:color="auto"/>
            </w:tcBorders>
            <w:hideMark/>
          </w:tcPr>
          <w:p w14:paraId="3990B8F2"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No Reaction n (%)</w:t>
            </w:r>
          </w:p>
        </w:tc>
        <w:tc>
          <w:tcPr>
            <w:tcW w:w="1603" w:type="dxa"/>
            <w:tcBorders>
              <w:bottom w:val="single" w:sz="4" w:space="0" w:color="auto"/>
            </w:tcBorders>
            <w:hideMark/>
          </w:tcPr>
          <w:p w14:paraId="0013E6B2"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Dizziness / Lightheadedness</w:t>
            </w:r>
          </w:p>
        </w:tc>
        <w:tc>
          <w:tcPr>
            <w:tcW w:w="1119" w:type="dxa"/>
            <w:tcBorders>
              <w:bottom w:val="single" w:sz="4" w:space="0" w:color="auto"/>
            </w:tcBorders>
            <w:hideMark/>
          </w:tcPr>
          <w:p w14:paraId="1685F8C8"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Fainting (Syncope)</w:t>
            </w:r>
          </w:p>
        </w:tc>
        <w:tc>
          <w:tcPr>
            <w:tcW w:w="1148" w:type="dxa"/>
            <w:tcBorders>
              <w:bottom w:val="single" w:sz="4" w:space="0" w:color="auto"/>
            </w:tcBorders>
            <w:hideMark/>
          </w:tcPr>
          <w:p w14:paraId="2CA5DA6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Sweating</w:t>
            </w:r>
          </w:p>
        </w:tc>
        <w:tc>
          <w:tcPr>
            <w:tcW w:w="1126" w:type="dxa"/>
            <w:tcBorders>
              <w:bottom w:val="single" w:sz="4" w:space="0" w:color="auto"/>
            </w:tcBorders>
            <w:hideMark/>
          </w:tcPr>
          <w:p w14:paraId="71B7E544"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Hematoma</w:t>
            </w:r>
          </w:p>
        </w:tc>
        <w:tc>
          <w:tcPr>
            <w:tcW w:w="1574" w:type="dxa"/>
            <w:tcBorders>
              <w:bottom w:val="single" w:sz="4" w:space="0" w:color="auto"/>
            </w:tcBorders>
            <w:hideMark/>
          </w:tcPr>
          <w:p w14:paraId="36E35F82"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Other Combinations</w:t>
            </w:r>
          </w:p>
        </w:tc>
        <w:tc>
          <w:tcPr>
            <w:tcW w:w="558" w:type="dxa"/>
            <w:tcBorders>
              <w:bottom w:val="single" w:sz="4" w:space="0" w:color="auto"/>
            </w:tcBorders>
            <w:hideMark/>
          </w:tcPr>
          <w:p w14:paraId="4BD3D72B"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w:t>
            </w:r>
          </w:p>
        </w:tc>
      </w:tr>
      <w:tr w:rsidR="00F51435" w:rsidRPr="00F51435" w14:paraId="2A9B30F1" w14:textId="77777777" w:rsidTr="008F5577">
        <w:tc>
          <w:tcPr>
            <w:tcW w:w="989" w:type="dxa"/>
            <w:tcBorders>
              <w:top w:val="single" w:sz="4" w:space="0" w:color="auto"/>
              <w:bottom w:val="nil"/>
            </w:tcBorders>
            <w:hideMark/>
          </w:tcPr>
          <w:p w14:paraId="240FC88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Positive</w:t>
            </w:r>
          </w:p>
        </w:tc>
        <w:tc>
          <w:tcPr>
            <w:tcW w:w="1171" w:type="dxa"/>
            <w:tcBorders>
              <w:top w:val="single" w:sz="4" w:space="0" w:color="auto"/>
              <w:bottom w:val="nil"/>
            </w:tcBorders>
            <w:hideMark/>
          </w:tcPr>
          <w:p w14:paraId="0C8CF98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496 (94.1%)</w:t>
            </w:r>
          </w:p>
        </w:tc>
        <w:tc>
          <w:tcPr>
            <w:tcW w:w="1603" w:type="dxa"/>
            <w:tcBorders>
              <w:top w:val="single" w:sz="4" w:space="0" w:color="auto"/>
              <w:bottom w:val="nil"/>
            </w:tcBorders>
            <w:hideMark/>
          </w:tcPr>
          <w:p w14:paraId="174C732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 (1.9%)</w:t>
            </w:r>
          </w:p>
        </w:tc>
        <w:tc>
          <w:tcPr>
            <w:tcW w:w="1119" w:type="dxa"/>
            <w:tcBorders>
              <w:top w:val="single" w:sz="4" w:space="0" w:color="auto"/>
              <w:bottom w:val="nil"/>
            </w:tcBorders>
            <w:hideMark/>
          </w:tcPr>
          <w:p w14:paraId="6AEA55D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(0.6%)</w:t>
            </w:r>
          </w:p>
        </w:tc>
        <w:tc>
          <w:tcPr>
            <w:tcW w:w="1148" w:type="dxa"/>
            <w:tcBorders>
              <w:top w:val="single" w:sz="4" w:space="0" w:color="auto"/>
              <w:bottom w:val="nil"/>
            </w:tcBorders>
            <w:hideMark/>
          </w:tcPr>
          <w:p w14:paraId="3AECF00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 (1.9%)</w:t>
            </w:r>
          </w:p>
        </w:tc>
        <w:tc>
          <w:tcPr>
            <w:tcW w:w="1126" w:type="dxa"/>
            <w:tcBorders>
              <w:top w:val="single" w:sz="4" w:space="0" w:color="auto"/>
              <w:bottom w:val="nil"/>
            </w:tcBorders>
            <w:hideMark/>
          </w:tcPr>
          <w:p w14:paraId="2EC20AC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(0.6%)</w:t>
            </w:r>
          </w:p>
        </w:tc>
        <w:tc>
          <w:tcPr>
            <w:tcW w:w="1574" w:type="dxa"/>
            <w:tcBorders>
              <w:top w:val="single" w:sz="4" w:space="0" w:color="auto"/>
              <w:bottom w:val="nil"/>
            </w:tcBorders>
            <w:hideMark/>
          </w:tcPr>
          <w:p w14:paraId="6525196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 (0.9%)</w:t>
            </w:r>
          </w:p>
        </w:tc>
        <w:tc>
          <w:tcPr>
            <w:tcW w:w="558" w:type="dxa"/>
            <w:tcBorders>
              <w:top w:val="single" w:sz="4" w:space="0" w:color="auto"/>
              <w:bottom w:val="nil"/>
            </w:tcBorders>
            <w:hideMark/>
          </w:tcPr>
          <w:p w14:paraId="5B4CC12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527</w:t>
            </w:r>
          </w:p>
        </w:tc>
      </w:tr>
      <w:tr w:rsidR="00F51435" w:rsidRPr="00F51435" w14:paraId="12618A04" w14:textId="77777777" w:rsidTr="008F5577">
        <w:tc>
          <w:tcPr>
            <w:tcW w:w="989" w:type="dxa"/>
            <w:tcBorders>
              <w:top w:val="nil"/>
              <w:bottom w:val="single" w:sz="4" w:space="0" w:color="auto"/>
            </w:tcBorders>
            <w:hideMark/>
          </w:tcPr>
          <w:p w14:paraId="1EB1485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Negative</w:t>
            </w:r>
          </w:p>
        </w:tc>
        <w:tc>
          <w:tcPr>
            <w:tcW w:w="1171" w:type="dxa"/>
            <w:tcBorders>
              <w:top w:val="nil"/>
              <w:bottom w:val="single" w:sz="4" w:space="0" w:color="auto"/>
            </w:tcBorders>
            <w:hideMark/>
          </w:tcPr>
          <w:p w14:paraId="12322E8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 (100.0%)</w:t>
            </w:r>
          </w:p>
        </w:tc>
        <w:tc>
          <w:tcPr>
            <w:tcW w:w="1603" w:type="dxa"/>
            <w:tcBorders>
              <w:top w:val="nil"/>
              <w:bottom w:val="single" w:sz="4" w:space="0" w:color="auto"/>
            </w:tcBorders>
            <w:hideMark/>
          </w:tcPr>
          <w:p w14:paraId="2A304FA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119" w:type="dxa"/>
            <w:tcBorders>
              <w:top w:val="nil"/>
              <w:bottom w:val="single" w:sz="4" w:space="0" w:color="auto"/>
            </w:tcBorders>
            <w:hideMark/>
          </w:tcPr>
          <w:p w14:paraId="1A6CAC9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148" w:type="dxa"/>
            <w:tcBorders>
              <w:top w:val="nil"/>
              <w:bottom w:val="single" w:sz="4" w:space="0" w:color="auto"/>
            </w:tcBorders>
            <w:hideMark/>
          </w:tcPr>
          <w:p w14:paraId="5626A89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126" w:type="dxa"/>
            <w:tcBorders>
              <w:top w:val="nil"/>
              <w:bottom w:val="single" w:sz="4" w:space="0" w:color="auto"/>
            </w:tcBorders>
            <w:hideMark/>
          </w:tcPr>
          <w:p w14:paraId="241DE95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574" w:type="dxa"/>
            <w:tcBorders>
              <w:top w:val="nil"/>
              <w:bottom w:val="single" w:sz="4" w:space="0" w:color="auto"/>
            </w:tcBorders>
            <w:hideMark/>
          </w:tcPr>
          <w:p w14:paraId="2A8CA11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558" w:type="dxa"/>
            <w:tcBorders>
              <w:top w:val="nil"/>
              <w:bottom w:val="single" w:sz="4" w:space="0" w:color="auto"/>
            </w:tcBorders>
            <w:hideMark/>
          </w:tcPr>
          <w:p w14:paraId="700BDE7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15</w:t>
            </w:r>
          </w:p>
        </w:tc>
      </w:tr>
      <w:tr w:rsidR="00F51435" w:rsidRPr="00F51435" w14:paraId="0EC292A4" w14:textId="77777777" w:rsidTr="008F5577">
        <w:tc>
          <w:tcPr>
            <w:tcW w:w="989" w:type="dxa"/>
            <w:tcBorders>
              <w:top w:val="single" w:sz="4" w:space="0" w:color="auto"/>
            </w:tcBorders>
            <w:hideMark/>
          </w:tcPr>
          <w:p w14:paraId="42F883C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Total</w:t>
            </w:r>
          </w:p>
        </w:tc>
        <w:tc>
          <w:tcPr>
            <w:tcW w:w="1171" w:type="dxa"/>
            <w:tcBorders>
              <w:top w:val="single" w:sz="4" w:space="0" w:color="auto"/>
            </w:tcBorders>
            <w:hideMark/>
          </w:tcPr>
          <w:p w14:paraId="52E38E2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511 (94.3%)</w:t>
            </w:r>
          </w:p>
        </w:tc>
        <w:tc>
          <w:tcPr>
            <w:tcW w:w="1603" w:type="dxa"/>
            <w:tcBorders>
              <w:top w:val="single" w:sz="4" w:space="0" w:color="auto"/>
            </w:tcBorders>
            <w:hideMark/>
          </w:tcPr>
          <w:p w14:paraId="7ED2595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10 (1.8%)</w:t>
            </w:r>
          </w:p>
        </w:tc>
        <w:tc>
          <w:tcPr>
            <w:tcW w:w="1119" w:type="dxa"/>
            <w:tcBorders>
              <w:top w:val="single" w:sz="4" w:space="0" w:color="auto"/>
            </w:tcBorders>
            <w:hideMark/>
          </w:tcPr>
          <w:p w14:paraId="66BA6E9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3 (0.6%)</w:t>
            </w:r>
          </w:p>
        </w:tc>
        <w:tc>
          <w:tcPr>
            <w:tcW w:w="1148" w:type="dxa"/>
            <w:tcBorders>
              <w:top w:val="single" w:sz="4" w:space="0" w:color="auto"/>
            </w:tcBorders>
            <w:hideMark/>
          </w:tcPr>
          <w:p w14:paraId="193281B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10 (1.8%)</w:t>
            </w:r>
          </w:p>
        </w:tc>
        <w:tc>
          <w:tcPr>
            <w:tcW w:w="1126" w:type="dxa"/>
            <w:tcBorders>
              <w:top w:val="single" w:sz="4" w:space="0" w:color="auto"/>
            </w:tcBorders>
            <w:hideMark/>
          </w:tcPr>
          <w:p w14:paraId="41A7D71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3 (0.6%)</w:t>
            </w:r>
          </w:p>
        </w:tc>
        <w:tc>
          <w:tcPr>
            <w:tcW w:w="1574" w:type="dxa"/>
            <w:tcBorders>
              <w:top w:val="single" w:sz="4" w:space="0" w:color="auto"/>
            </w:tcBorders>
            <w:hideMark/>
          </w:tcPr>
          <w:p w14:paraId="5EF2BC3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 (0.9%)</w:t>
            </w:r>
          </w:p>
        </w:tc>
        <w:tc>
          <w:tcPr>
            <w:tcW w:w="558" w:type="dxa"/>
            <w:tcBorders>
              <w:top w:val="single" w:sz="4" w:space="0" w:color="auto"/>
            </w:tcBorders>
            <w:hideMark/>
          </w:tcPr>
          <w:p w14:paraId="212B21F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542</w:t>
            </w:r>
          </w:p>
        </w:tc>
      </w:tr>
    </w:tbl>
    <w:p w14:paraId="598060DD" w14:textId="77777777" w:rsidR="00F51435" w:rsidRPr="00F51435" w:rsidRDefault="00F51435" w:rsidP="00F51435">
      <w:pPr>
        <w:spacing w:line="360" w:lineRule="auto"/>
        <w:jc w:val="both"/>
        <w:rPr>
          <w:rFonts w:ascii="Arial" w:hAnsi="Arial" w:cs="Arial"/>
        </w:rPr>
      </w:pPr>
    </w:p>
    <w:p w14:paraId="2D10DC79" w14:textId="77777777" w:rsidR="00F51435" w:rsidRPr="00F51435" w:rsidRDefault="00F51435" w:rsidP="00F51435">
      <w:pPr>
        <w:spacing w:line="360" w:lineRule="auto"/>
        <w:jc w:val="both"/>
        <w:rPr>
          <w:rFonts w:ascii="Arial" w:hAnsi="Arial" w:cs="Arial"/>
        </w:rPr>
      </w:pPr>
      <w:r w:rsidRPr="00F51435">
        <w:rPr>
          <w:rFonts w:ascii="Arial" w:hAnsi="Arial" w:cs="Arial"/>
        </w:rPr>
        <w:t>The most frequently observed reaction category overall was no reaction (94.3%). Among Rh-positive donors, small proportions of isolated and combined symptoms were observed, including dizziness (0.2%), sweating (0.6%–0.9%), fainting (0.4%), hematoma (0.2%–0.4%), and mixed symptom presentations (0.2%–0.8%). However, these occurrences were rare and widely dispersed across categories. Rh-negative donors showed no variation in reaction types, with all participants reporting no adverse reaction.</w:t>
      </w:r>
    </w:p>
    <w:p w14:paraId="7AE6CDCB" w14:textId="77777777" w:rsidR="00F51435" w:rsidRPr="00F51435" w:rsidRDefault="00F51435" w:rsidP="00F51435">
      <w:pPr>
        <w:spacing w:line="360" w:lineRule="auto"/>
        <w:jc w:val="both"/>
        <w:rPr>
          <w:rFonts w:ascii="Arial" w:hAnsi="Arial" w:cs="Arial"/>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000" w:firstRow="0" w:lastRow="0" w:firstColumn="0" w:lastColumn="0" w:noHBand="0" w:noVBand="0"/>
      </w:tblPr>
      <w:tblGrid>
        <w:gridCol w:w="3074"/>
        <w:gridCol w:w="1558"/>
        <w:gridCol w:w="1558"/>
        <w:gridCol w:w="2234"/>
      </w:tblGrid>
      <w:tr w:rsidR="00F51435" w:rsidRPr="00F51435" w14:paraId="4204A010" w14:textId="77777777" w:rsidTr="00EB1162">
        <w:tc>
          <w:tcPr>
            <w:tcW w:w="5000" w:type="pct"/>
            <w:gridSpan w:val="4"/>
            <w:tcBorders>
              <w:bottom w:val="single" w:sz="4" w:space="0" w:color="auto"/>
            </w:tcBorders>
          </w:tcPr>
          <w:p w14:paraId="0371DBA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Chi-Square Tests</w:t>
            </w:r>
          </w:p>
        </w:tc>
      </w:tr>
      <w:tr w:rsidR="00F51435" w:rsidRPr="00F51435" w14:paraId="4C9003CE" w14:textId="77777777" w:rsidTr="00EB1162">
        <w:tc>
          <w:tcPr>
            <w:tcW w:w="1824" w:type="pct"/>
            <w:tcBorders>
              <w:top w:val="single" w:sz="4" w:space="0" w:color="auto"/>
              <w:bottom w:val="nil"/>
              <w:right w:val="nil"/>
            </w:tcBorders>
          </w:tcPr>
          <w:p w14:paraId="467D4C18" w14:textId="77777777" w:rsidR="00F51435" w:rsidRPr="00F51435" w:rsidRDefault="00F51435" w:rsidP="00F51435">
            <w:pPr>
              <w:spacing w:line="360" w:lineRule="auto"/>
              <w:jc w:val="both"/>
              <w:rPr>
                <w:rFonts w:ascii="Arial" w:hAnsi="Arial" w:cs="Arial"/>
                <w:sz w:val="20"/>
                <w:szCs w:val="20"/>
              </w:rPr>
            </w:pPr>
          </w:p>
        </w:tc>
        <w:tc>
          <w:tcPr>
            <w:tcW w:w="925" w:type="pct"/>
            <w:tcBorders>
              <w:top w:val="single" w:sz="4" w:space="0" w:color="auto"/>
              <w:left w:val="nil"/>
              <w:bottom w:val="nil"/>
              <w:right w:val="nil"/>
            </w:tcBorders>
          </w:tcPr>
          <w:p w14:paraId="4FDD1D1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Value</w:t>
            </w:r>
          </w:p>
        </w:tc>
        <w:tc>
          <w:tcPr>
            <w:tcW w:w="925" w:type="pct"/>
            <w:tcBorders>
              <w:top w:val="single" w:sz="4" w:space="0" w:color="auto"/>
              <w:left w:val="nil"/>
              <w:bottom w:val="nil"/>
              <w:right w:val="nil"/>
            </w:tcBorders>
          </w:tcPr>
          <w:p w14:paraId="70B1FC8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df</w:t>
            </w:r>
          </w:p>
        </w:tc>
        <w:tc>
          <w:tcPr>
            <w:tcW w:w="1327" w:type="pct"/>
            <w:tcBorders>
              <w:top w:val="single" w:sz="4" w:space="0" w:color="auto"/>
              <w:left w:val="nil"/>
              <w:bottom w:val="nil"/>
            </w:tcBorders>
          </w:tcPr>
          <w:p w14:paraId="7731CCF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Asymptotic Significance (2-sided)</w:t>
            </w:r>
          </w:p>
        </w:tc>
      </w:tr>
      <w:tr w:rsidR="00F51435" w:rsidRPr="00F51435" w14:paraId="527DD369" w14:textId="77777777" w:rsidTr="00EB1162">
        <w:tc>
          <w:tcPr>
            <w:tcW w:w="1824" w:type="pct"/>
            <w:tcBorders>
              <w:top w:val="nil"/>
              <w:bottom w:val="nil"/>
              <w:right w:val="nil"/>
            </w:tcBorders>
          </w:tcPr>
          <w:p w14:paraId="4BEECFF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Pearson Chi-Square</w:t>
            </w:r>
          </w:p>
        </w:tc>
        <w:tc>
          <w:tcPr>
            <w:tcW w:w="925" w:type="pct"/>
            <w:tcBorders>
              <w:top w:val="nil"/>
              <w:left w:val="nil"/>
              <w:bottom w:val="nil"/>
              <w:right w:val="nil"/>
            </w:tcBorders>
          </w:tcPr>
          <w:p w14:paraId="23AD710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.936</w:t>
            </w:r>
            <w:r w:rsidRPr="00F51435">
              <w:rPr>
                <w:rFonts w:ascii="Arial" w:hAnsi="Arial" w:cs="Arial"/>
                <w:sz w:val="20"/>
                <w:szCs w:val="20"/>
                <w:vertAlign w:val="superscript"/>
              </w:rPr>
              <w:t>a</w:t>
            </w:r>
          </w:p>
        </w:tc>
        <w:tc>
          <w:tcPr>
            <w:tcW w:w="925" w:type="pct"/>
            <w:tcBorders>
              <w:top w:val="nil"/>
              <w:left w:val="nil"/>
              <w:bottom w:val="nil"/>
              <w:right w:val="nil"/>
            </w:tcBorders>
          </w:tcPr>
          <w:p w14:paraId="4FD4FC4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19</w:t>
            </w:r>
          </w:p>
        </w:tc>
        <w:tc>
          <w:tcPr>
            <w:tcW w:w="1327" w:type="pct"/>
            <w:tcBorders>
              <w:top w:val="nil"/>
              <w:left w:val="nil"/>
              <w:bottom w:val="nil"/>
            </w:tcBorders>
          </w:tcPr>
          <w:p w14:paraId="38DEB2C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1.000</w:t>
            </w:r>
          </w:p>
        </w:tc>
      </w:tr>
      <w:tr w:rsidR="00F51435" w:rsidRPr="00F51435" w14:paraId="4FA6A620" w14:textId="77777777" w:rsidTr="00EB1162">
        <w:tc>
          <w:tcPr>
            <w:tcW w:w="1824" w:type="pct"/>
            <w:tcBorders>
              <w:top w:val="nil"/>
              <w:bottom w:val="nil"/>
              <w:right w:val="nil"/>
            </w:tcBorders>
          </w:tcPr>
          <w:p w14:paraId="40244FC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925" w:type="pct"/>
            <w:tcBorders>
              <w:top w:val="nil"/>
              <w:left w:val="nil"/>
              <w:bottom w:val="nil"/>
              <w:right w:val="nil"/>
            </w:tcBorders>
          </w:tcPr>
          <w:p w14:paraId="4C15E0C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1.793</w:t>
            </w:r>
          </w:p>
        </w:tc>
        <w:tc>
          <w:tcPr>
            <w:tcW w:w="925" w:type="pct"/>
            <w:tcBorders>
              <w:top w:val="nil"/>
              <w:left w:val="nil"/>
              <w:bottom w:val="nil"/>
              <w:right w:val="nil"/>
            </w:tcBorders>
          </w:tcPr>
          <w:p w14:paraId="7E5C4D4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19</w:t>
            </w:r>
          </w:p>
        </w:tc>
        <w:tc>
          <w:tcPr>
            <w:tcW w:w="1327" w:type="pct"/>
            <w:tcBorders>
              <w:top w:val="nil"/>
              <w:left w:val="nil"/>
              <w:bottom w:val="nil"/>
            </w:tcBorders>
          </w:tcPr>
          <w:p w14:paraId="360DEF6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1.000</w:t>
            </w:r>
          </w:p>
        </w:tc>
      </w:tr>
      <w:tr w:rsidR="00F51435" w:rsidRPr="00F51435" w14:paraId="6CC179F4" w14:textId="77777777" w:rsidTr="00EB1162">
        <w:tc>
          <w:tcPr>
            <w:tcW w:w="1824" w:type="pct"/>
            <w:tcBorders>
              <w:top w:val="nil"/>
              <w:bottom w:val="single" w:sz="4" w:space="0" w:color="auto"/>
              <w:right w:val="nil"/>
            </w:tcBorders>
          </w:tcPr>
          <w:p w14:paraId="473FF3B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 of Valid Cases</w:t>
            </w:r>
          </w:p>
        </w:tc>
        <w:tc>
          <w:tcPr>
            <w:tcW w:w="925" w:type="pct"/>
            <w:tcBorders>
              <w:top w:val="nil"/>
              <w:left w:val="nil"/>
              <w:bottom w:val="single" w:sz="4" w:space="0" w:color="auto"/>
              <w:right w:val="nil"/>
            </w:tcBorders>
          </w:tcPr>
          <w:p w14:paraId="7B748D8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925" w:type="pct"/>
            <w:tcBorders>
              <w:top w:val="nil"/>
              <w:left w:val="nil"/>
              <w:bottom w:val="single" w:sz="4" w:space="0" w:color="auto"/>
              <w:right w:val="nil"/>
            </w:tcBorders>
          </w:tcPr>
          <w:p w14:paraId="4165CDFB" w14:textId="77777777" w:rsidR="00F51435" w:rsidRPr="00F51435" w:rsidRDefault="00F51435" w:rsidP="00F51435">
            <w:pPr>
              <w:spacing w:line="360" w:lineRule="auto"/>
              <w:jc w:val="both"/>
              <w:rPr>
                <w:rFonts w:ascii="Arial" w:hAnsi="Arial" w:cs="Arial"/>
                <w:sz w:val="20"/>
                <w:szCs w:val="20"/>
              </w:rPr>
            </w:pPr>
          </w:p>
        </w:tc>
        <w:tc>
          <w:tcPr>
            <w:tcW w:w="1327" w:type="pct"/>
            <w:tcBorders>
              <w:top w:val="nil"/>
              <w:left w:val="nil"/>
              <w:bottom w:val="single" w:sz="4" w:space="0" w:color="auto"/>
            </w:tcBorders>
          </w:tcPr>
          <w:p w14:paraId="799BE588" w14:textId="77777777" w:rsidR="00F51435" w:rsidRPr="00F51435" w:rsidRDefault="00F51435" w:rsidP="00F51435">
            <w:pPr>
              <w:spacing w:line="360" w:lineRule="auto"/>
              <w:jc w:val="both"/>
              <w:rPr>
                <w:rFonts w:ascii="Arial" w:hAnsi="Arial" w:cs="Arial"/>
                <w:sz w:val="20"/>
                <w:szCs w:val="20"/>
              </w:rPr>
            </w:pPr>
          </w:p>
        </w:tc>
      </w:tr>
      <w:tr w:rsidR="00F51435" w:rsidRPr="00F51435" w14:paraId="58F97F25" w14:textId="77777777" w:rsidTr="00EB1162">
        <w:tc>
          <w:tcPr>
            <w:tcW w:w="5000" w:type="pct"/>
            <w:gridSpan w:val="4"/>
            <w:tcBorders>
              <w:top w:val="single" w:sz="4" w:space="0" w:color="auto"/>
            </w:tcBorders>
          </w:tcPr>
          <w:p w14:paraId="5570870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 38 cells (95.0%) have expected count less than 5. The minimum expected count is .03.</w:t>
            </w:r>
          </w:p>
        </w:tc>
      </w:tr>
    </w:tbl>
    <w:p w14:paraId="768F9996" w14:textId="77777777" w:rsidR="00F51435" w:rsidRPr="00F51435" w:rsidRDefault="00F51435" w:rsidP="00F51435">
      <w:pPr>
        <w:spacing w:line="360" w:lineRule="auto"/>
        <w:jc w:val="both"/>
        <w:rPr>
          <w:rFonts w:ascii="Arial" w:hAnsi="Arial" w:cs="Arial"/>
        </w:rPr>
      </w:pPr>
    </w:p>
    <w:p w14:paraId="7E0405F3" w14:textId="77777777" w:rsidR="00F51435" w:rsidRPr="00F51435" w:rsidRDefault="00F51435" w:rsidP="00F51435">
      <w:pPr>
        <w:spacing w:line="360" w:lineRule="auto"/>
        <w:jc w:val="both"/>
        <w:rPr>
          <w:rFonts w:ascii="Arial" w:hAnsi="Arial" w:cs="Arial"/>
        </w:rPr>
      </w:pPr>
      <w:r w:rsidRPr="00F51435">
        <w:rPr>
          <w:rFonts w:ascii="Arial" w:hAnsi="Arial" w:cs="Arial"/>
        </w:rPr>
        <w:t>A Chi-square test was performed to assess statistical significance of the association. The results indicated no statistically significant association between Rh blood group and type of adverse reaction (χ</w:t>
      </w:r>
      <w:proofErr w:type="gramStart"/>
      <w:r w:rsidRPr="00F51435">
        <w:rPr>
          <w:rFonts w:ascii="Arial" w:hAnsi="Arial" w:cs="Arial"/>
        </w:rPr>
        <w:t>²(</w:t>
      </w:r>
      <w:proofErr w:type="gramEnd"/>
      <w:r w:rsidRPr="00F51435">
        <w:rPr>
          <w:rFonts w:ascii="Arial" w:hAnsi="Arial" w:cs="Arial"/>
        </w:rPr>
        <w:t>19, N = 542) = 0.936, p = 1.000). The likelihood ratio test similarly confirmed no significant relationship (p = 1.000). However, 95.0% of cells had expected counts less than 5, with a minimum expected count of 0.03, indicating a severe violation of Chi-square assumptions. Therefore, the validity of the test is limited, and the results should be interpreted with caution.</w:t>
      </w:r>
    </w:p>
    <w:p w14:paraId="7B654238" w14:textId="77777777" w:rsidR="00F51435" w:rsidRPr="00F51435" w:rsidRDefault="00F51435" w:rsidP="00F51435">
      <w:pPr>
        <w:spacing w:line="360" w:lineRule="auto"/>
        <w:jc w:val="both"/>
        <w:rPr>
          <w:rFonts w:ascii="Arial" w:hAnsi="Arial" w:cs="Arial"/>
        </w:rPr>
      </w:pPr>
    </w:p>
    <w:p w14:paraId="76AA63CA" w14:textId="77777777" w:rsidR="00F51435" w:rsidRPr="0040467E" w:rsidRDefault="00F51435" w:rsidP="00F51435">
      <w:pPr>
        <w:pStyle w:val="Heading2"/>
        <w:numPr>
          <w:ilvl w:val="1"/>
          <w:numId w:val="31"/>
        </w:numPr>
        <w:spacing w:before="0" w:line="360" w:lineRule="auto"/>
        <w:jc w:val="both"/>
        <w:rPr>
          <w:rFonts w:ascii="Arial" w:hAnsi="Arial" w:cs="Arial"/>
          <w:b/>
          <w:bCs/>
          <w:color w:val="000000" w:themeColor="text1"/>
          <w:sz w:val="20"/>
          <w:szCs w:val="20"/>
        </w:rPr>
      </w:pPr>
      <w:bookmarkStart w:id="17" w:name="_Toc226285921"/>
      <w:r w:rsidRPr="0040467E">
        <w:rPr>
          <w:rFonts w:ascii="Arial" w:eastAsia="Times New Roman" w:hAnsi="Arial" w:cs="Arial"/>
          <w:b/>
          <w:bCs/>
          <w:color w:val="000000" w:themeColor="text1"/>
          <w:sz w:val="20"/>
          <w:szCs w:val="20"/>
        </w:rPr>
        <w:lastRenderedPageBreak/>
        <w:t>Association Between Time of Donation and Adverse Reactions</w:t>
      </w:r>
      <w:bookmarkEnd w:id="17"/>
    </w:p>
    <w:p w14:paraId="01C3298F" w14:textId="77777777" w:rsidR="00F51435" w:rsidRPr="0040467E" w:rsidRDefault="00F51435" w:rsidP="00F51435">
      <w:pPr>
        <w:pStyle w:val="Heading3"/>
        <w:spacing w:before="0" w:line="360" w:lineRule="auto"/>
        <w:jc w:val="both"/>
        <w:rPr>
          <w:rFonts w:ascii="Arial" w:hAnsi="Arial" w:cs="Arial"/>
          <w:b/>
          <w:bCs/>
          <w:color w:val="000000" w:themeColor="text1"/>
          <w:sz w:val="20"/>
          <w:szCs w:val="20"/>
        </w:rPr>
      </w:pPr>
      <w:bookmarkStart w:id="18" w:name="_Toc226285922"/>
      <w:r w:rsidRPr="0040467E">
        <w:rPr>
          <w:rStyle w:val="Strong"/>
          <w:rFonts w:ascii="Arial" w:hAnsi="Arial" w:cs="Arial"/>
          <w:color w:val="000000" w:themeColor="text1"/>
          <w:sz w:val="20"/>
          <w:szCs w:val="20"/>
        </w:rPr>
        <w:t>4.6.1 Association Between Time of Donation and Occurrence of Adverse Reactions</w:t>
      </w:r>
      <w:bookmarkEnd w:id="18"/>
    </w:p>
    <w:p w14:paraId="371DF917" w14:textId="686B43E6" w:rsidR="00F51435" w:rsidRDefault="00F51435" w:rsidP="00F51435">
      <w:pPr>
        <w:spacing w:line="360" w:lineRule="auto"/>
        <w:jc w:val="both"/>
        <w:rPr>
          <w:rFonts w:ascii="Arial" w:hAnsi="Arial" w:cs="Arial"/>
        </w:rPr>
      </w:pPr>
      <w:r w:rsidRPr="00F51435">
        <w:rPr>
          <w:rFonts w:ascii="Arial" w:hAnsi="Arial" w:cs="Arial"/>
        </w:rPr>
        <w:t>A crosstabulation analysis was conducted to determine whether the time of blood donation was associated with the occurrence of adverse reactions among donors.</w:t>
      </w:r>
    </w:p>
    <w:p w14:paraId="7618B847" w14:textId="749A3340" w:rsidR="006E78EA" w:rsidRPr="00F51435" w:rsidRDefault="006E78EA" w:rsidP="00F51435">
      <w:pPr>
        <w:spacing w:line="360" w:lineRule="auto"/>
        <w:jc w:val="both"/>
        <w:rPr>
          <w:rFonts w:ascii="Arial" w:hAnsi="Arial" w:cs="Arial"/>
        </w:rPr>
      </w:pPr>
      <w:r w:rsidRPr="006E78EA">
        <w:rPr>
          <w:rFonts w:ascii="Arial" w:hAnsi="Arial" w:cs="Arial"/>
        </w:rPr>
        <w:t>Table 1</w:t>
      </w:r>
      <w:r>
        <w:rPr>
          <w:rFonts w:ascii="Arial" w:hAnsi="Arial" w:cs="Arial"/>
        </w:rPr>
        <w:t>2</w:t>
      </w:r>
      <w:r w:rsidRPr="006E78EA">
        <w:rPr>
          <w:rFonts w:ascii="Arial" w:hAnsi="Arial" w:cs="Arial"/>
        </w:rPr>
        <w:t>. Association Between Time of Donation and Occurrence of Adverse Reactions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2773"/>
        <w:gridCol w:w="2450"/>
        <w:gridCol w:w="1024"/>
      </w:tblGrid>
      <w:tr w:rsidR="00F51435" w:rsidRPr="00F51435" w14:paraId="195F9CD2" w14:textId="77777777" w:rsidTr="00EB1162">
        <w:tc>
          <w:tcPr>
            <w:tcW w:w="0" w:type="auto"/>
            <w:tcBorders>
              <w:bottom w:val="single" w:sz="4" w:space="0" w:color="auto"/>
            </w:tcBorders>
            <w:hideMark/>
          </w:tcPr>
          <w:p w14:paraId="13E9AC4B"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Donation Time</w:t>
            </w:r>
          </w:p>
        </w:tc>
        <w:tc>
          <w:tcPr>
            <w:tcW w:w="0" w:type="auto"/>
            <w:tcBorders>
              <w:bottom w:val="single" w:sz="4" w:space="0" w:color="auto"/>
            </w:tcBorders>
            <w:hideMark/>
          </w:tcPr>
          <w:p w14:paraId="068387ED"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No Adverse Reaction n (%)</w:t>
            </w:r>
          </w:p>
        </w:tc>
        <w:tc>
          <w:tcPr>
            <w:tcW w:w="0" w:type="auto"/>
            <w:tcBorders>
              <w:bottom w:val="single" w:sz="4" w:space="0" w:color="auto"/>
            </w:tcBorders>
            <w:hideMark/>
          </w:tcPr>
          <w:p w14:paraId="7F0237EE"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Adverse Reaction n (%)</w:t>
            </w:r>
          </w:p>
        </w:tc>
        <w:tc>
          <w:tcPr>
            <w:tcW w:w="1024" w:type="dxa"/>
            <w:tcBorders>
              <w:bottom w:val="single" w:sz="4" w:space="0" w:color="auto"/>
            </w:tcBorders>
            <w:hideMark/>
          </w:tcPr>
          <w:p w14:paraId="1328A571"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w:t>
            </w:r>
          </w:p>
        </w:tc>
      </w:tr>
      <w:tr w:rsidR="00F51435" w:rsidRPr="00F51435" w14:paraId="29791563" w14:textId="77777777" w:rsidTr="00EB1162">
        <w:tc>
          <w:tcPr>
            <w:tcW w:w="0" w:type="auto"/>
            <w:tcBorders>
              <w:top w:val="single" w:sz="4" w:space="0" w:color="auto"/>
              <w:bottom w:val="nil"/>
            </w:tcBorders>
            <w:hideMark/>
          </w:tcPr>
          <w:p w14:paraId="040FE3A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0900–1100 </w:t>
            </w:r>
            <w:proofErr w:type="spellStart"/>
            <w:r w:rsidRPr="00F51435">
              <w:rPr>
                <w:rFonts w:ascii="Arial" w:hAnsi="Arial" w:cs="Arial"/>
                <w:sz w:val="20"/>
                <w:szCs w:val="20"/>
              </w:rPr>
              <w:t>hrs</w:t>
            </w:r>
            <w:proofErr w:type="spellEnd"/>
          </w:p>
        </w:tc>
        <w:tc>
          <w:tcPr>
            <w:tcW w:w="0" w:type="auto"/>
            <w:tcBorders>
              <w:top w:val="single" w:sz="4" w:space="0" w:color="auto"/>
              <w:bottom w:val="nil"/>
            </w:tcBorders>
            <w:hideMark/>
          </w:tcPr>
          <w:p w14:paraId="709E574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48 (92.3%)</w:t>
            </w:r>
          </w:p>
        </w:tc>
        <w:tc>
          <w:tcPr>
            <w:tcW w:w="0" w:type="auto"/>
            <w:tcBorders>
              <w:top w:val="single" w:sz="4" w:space="0" w:color="auto"/>
              <w:bottom w:val="nil"/>
            </w:tcBorders>
            <w:hideMark/>
          </w:tcPr>
          <w:p w14:paraId="05886E6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 (7.7%)</w:t>
            </w:r>
          </w:p>
        </w:tc>
        <w:tc>
          <w:tcPr>
            <w:tcW w:w="1024" w:type="dxa"/>
            <w:tcBorders>
              <w:top w:val="single" w:sz="4" w:space="0" w:color="auto"/>
              <w:bottom w:val="nil"/>
            </w:tcBorders>
            <w:hideMark/>
          </w:tcPr>
          <w:p w14:paraId="5DFF62A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52</w:t>
            </w:r>
          </w:p>
        </w:tc>
      </w:tr>
      <w:tr w:rsidR="00F51435" w:rsidRPr="00F51435" w14:paraId="13E70F1F" w14:textId="77777777" w:rsidTr="00EB1162">
        <w:tc>
          <w:tcPr>
            <w:tcW w:w="0" w:type="auto"/>
            <w:tcBorders>
              <w:top w:val="nil"/>
              <w:bottom w:val="nil"/>
            </w:tcBorders>
            <w:hideMark/>
          </w:tcPr>
          <w:p w14:paraId="2536339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1101–1300 </w:t>
            </w:r>
            <w:proofErr w:type="spellStart"/>
            <w:r w:rsidRPr="00F51435">
              <w:rPr>
                <w:rFonts w:ascii="Arial" w:hAnsi="Arial" w:cs="Arial"/>
                <w:sz w:val="20"/>
                <w:szCs w:val="20"/>
              </w:rPr>
              <w:t>hrs</w:t>
            </w:r>
            <w:proofErr w:type="spellEnd"/>
          </w:p>
        </w:tc>
        <w:tc>
          <w:tcPr>
            <w:tcW w:w="0" w:type="auto"/>
            <w:tcBorders>
              <w:top w:val="nil"/>
              <w:bottom w:val="nil"/>
            </w:tcBorders>
            <w:hideMark/>
          </w:tcPr>
          <w:p w14:paraId="2B65B2F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120 (94.5%)</w:t>
            </w:r>
          </w:p>
        </w:tc>
        <w:tc>
          <w:tcPr>
            <w:tcW w:w="0" w:type="auto"/>
            <w:tcBorders>
              <w:top w:val="nil"/>
              <w:bottom w:val="nil"/>
            </w:tcBorders>
            <w:hideMark/>
          </w:tcPr>
          <w:p w14:paraId="778EC34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 (5.5%)</w:t>
            </w:r>
          </w:p>
        </w:tc>
        <w:tc>
          <w:tcPr>
            <w:tcW w:w="1024" w:type="dxa"/>
            <w:tcBorders>
              <w:top w:val="nil"/>
              <w:bottom w:val="nil"/>
            </w:tcBorders>
            <w:hideMark/>
          </w:tcPr>
          <w:p w14:paraId="3AE5908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127</w:t>
            </w:r>
          </w:p>
        </w:tc>
      </w:tr>
      <w:tr w:rsidR="00F51435" w:rsidRPr="00F51435" w14:paraId="7AEB1DA9" w14:textId="77777777" w:rsidTr="00EB1162">
        <w:tc>
          <w:tcPr>
            <w:tcW w:w="0" w:type="auto"/>
            <w:tcBorders>
              <w:top w:val="nil"/>
              <w:bottom w:val="nil"/>
            </w:tcBorders>
            <w:hideMark/>
          </w:tcPr>
          <w:p w14:paraId="223BDDF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1301–1500 </w:t>
            </w:r>
            <w:proofErr w:type="spellStart"/>
            <w:r w:rsidRPr="00F51435">
              <w:rPr>
                <w:rFonts w:ascii="Arial" w:hAnsi="Arial" w:cs="Arial"/>
                <w:sz w:val="20"/>
                <w:szCs w:val="20"/>
              </w:rPr>
              <w:t>hrs</w:t>
            </w:r>
            <w:proofErr w:type="spellEnd"/>
          </w:p>
        </w:tc>
        <w:tc>
          <w:tcPr>
            <w:tcW w:w="0" w:type="auto"/>
            <w:tcBorders>
              <w:top w:val="nil"/>
              <w:bottom w:val="nil"/>
            </w:tcBorders>
            <w:hideMark/>
          </w:tcPr>
          <w:p w14:paraId="6DBE63E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136 (93.2%)</w:t>
            </w:r>
          </w:p>
        </w:tc>
        <w:tc>
          <w:tcPr>
            <w:tcW w:w="0" w:type="auto"/>
            <w:tcBorders>
              <w:top w:val="nil"/>
              <w:bottom w:val="nil"/>
            </w:tcBorders>
            <w:hideMark/>
          </w:tcPr>
          <w:p w14:paraId="3C0B90B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 (6.8%)</w:t>
            </w:r>
          </w:p>
        </w:tc>
        <w:tc>
          <w:tcPr>
            <w:tcW w:w="1024" w:type="dxa"/>
            <w:tcBorders>
              <w:top w:val="nil"/>
              <w:bottom w:val="nil"/>
            </w:tcBorders>
            <w:hideMark/>
          </w:tcPr>
          <w:p w14:paraId="22BAFF9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146</w:t>
            </w:r>
          </w:p>
        </w:tc>
      </w:tr>
      <w:tr w:rsidR="00F51435" w:rsidRPr="00F51435" w14:paraId="17176FB1" w14:textId="77777777" w:rsidTr="00EB1162">
        <w:tc>
          <w:tcPr>
            <w:tcW w:w="0" w:type="auto"/>
            <w:tcBorders>
              <w:top w:val="nil"/>
              <w:bottom w:val="nil"/>
            </w:tcBorders>
            <w:hideMark/>
          </w:tcPr>
          <w:p w14:paraId="28DDE13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1501–1700 </w:t>
            </w:r>
            <w:proofErr w:type="spellStart"/>
            <w:r w:rsidRPr="00F51435">
              <w:rPr>
                <w:rFonts w:ascii="Arial" w:hAnsi="Arial" w:cs="Arial"/>
                <w:sz w:val="20"/>
                <w:szCs w:val="20"/>
              </w:rPr>
              <w:t>hrs</w:t>
            </w:r>
            <w:proofErr w:type="spellEnd"/>
          </w:p>
        </w:tc>
        <w:tc>
          <w:tcPr>
            <w:tcW w:w="0" w:type="auto"/>
            <w:tcBorders>
              <w:top w:val="nil"/>
              <w:bottom w:val="nil"/>
            </w:tcBorders>
            <w:hideMark/>
          </w:tcPr>
          <w:p w14:paraId="6316E34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206 (95.4%)</w:t>
            </w:r>
          </w:p>
        </w:tc>
        <w:tc>
          <w:tcPr>
            <w:tcW w:w="0" w:type="auto"/>
            <w:tcBorders>
              <w:top w:val="nil"/>
              <w:bottom w:val="nil"/>
            </w:tcBorders>
            <w:hideMark/>
          </w:tcPr>
          <w:p w14:paraId="001B3B1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10 (4.6%)</w:t>
            </w:r>
          </w:p>
        </w:tc>
        <w:tc>
          <w:tcPr>
            <w:tcW w:w="1024" w:type="dxa"/>
            <w:tcBorders>
              <w:top w:val="nil"/>
              <w:bottom w:val="nil"/>
            </w:tcBorders>
            <w:hideMark/>
          </w:tcPr>
          <w:p w14:paraId="2FB6E90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216</w:t>
            </w:r>
          </w:p>
        </w:tc>
      </w:tr>
      <w:tr w:rsidR="00F51435" w:rsidRPr="00F51435" w14:paraId="1BFAD581" w14:textId="77777777" w:rsidTr="00EB1162">
        <w:tc>
          <w:tcPr>
            <w:tcW w:w="0" w:type="auto"/>
            <w:tcBorders>
              <w:top w:val="nil"/>
              <w:bottom w:val="single" w:sz="4" w:space="0" w:color="auto"/>
            </w:tcBorders>
            <w:hideMark/>
          </w:tcPr>
          <w:p w14:paraId="7924A49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Beyond 1700 </w:t>
            </w:r>
            <w:proofErr w:type="spellStart"/>
            <w:r w:rsidRPr="00F51435">
              <w:rPr>
                <w:rFonts w:ascii="Arial" w:hAnsi="Arial" w:cs="Arial"/>
                <w:sz w:val="20"/>
                <w:szCs w:val="20"/>
              </w:rPr>
              <w:t>hrs</w:t>
            </w:r>
            <w:proofErr w:type="spellEnd"/>
          </w:p>
        </w:tc>
        <w:tc>
          <w:tcPr>
            <w:tcW w:w="0" w:type="auto"/>
            <w:tcBorders>
              <w:top w:val="nil"/>
              <w:bottom w:val="single" w:sz="4" w:space="0" w:color="auto"/>
            </w:tcBorders>
            <w:hideMark/>
          </w:tcPr>
          <w:p w14:paraId="0DCB96D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(100.0%)</w:t>
            </w:r>
          </w:p>
        </w:tc>
        <w:tc>
          <w:tcPr>
            <w:tcW w:w="0" w:type="auto"/>
            <w:tcBorders>
              <w:top w:val="nil"/>
              <w:bottom w:val="single" w:sz="4" w:space="0" w:color="auto"/>
            </w:tcBorders>
            <w:hideMark/>
          </w:tcPr>
          <w:p w14:paraId="5666895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1024" w:type="dxa"/>
            <w:tcBorders>
              <w:top w:val="nil"/>
              <w:bottom w:val="single" w:sz="4" w:space="0" w:color="auto"/>
            </w:tcBorders>
            <w:hideMark/>
          </w:tcPr>
          <w:p w14:paraId="36B013F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r>
      <w:tr w:rsidR="00F51435" w:rsidRPr="00F51435" w14:paraId="061A053E" w14:textId="77777777" w:rsidTr="00EB1162">
        <w:tc>
          <w:tcPr>
            <w:tcW w:w="0" w:type="auto"/>
            <w:tcBorders>
              <w:top w:val="single" w:sz="4" w:space="0" w:color="auto"/>
            </w:tcBorders>
            <w:hideMark/>
          </w:tcPr>
          <w:p w14:paraId="00DD897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Total</w:t>
            </w:r>
          </w:p>
        </w:tc>
        <w:tc>
          <w:tcPr>
            <w:tcW w:w="0" w:type="auto"/>
            <w:tcBorders>
              <w:top w:val="single" w:sz="4" w:space="0" w:color="auto"/>
            </w:tcBorders>
            <w:hideMark/>
          </w:tcPr>
          <w:p w14:paraId="4DF028C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511 (94.3%)</w:t>
            </w:r>
          </w:p>
        </w:tc>
        <w:tc>
          <w:tcPr>
            <w:tcW w:w="0" w:type="auto"/>
            <w:tcBorders>
              <w:top w:val="single" w:sz="4" w:space="0" w:color="auto"/>
            </w:tcBorders>
            <w:hideMark/>
          </w:tcPr>
          <w:p w14:paraId="1159F04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31 (5.7%)</w:t>
            </w:r>
          </w:p>
        </w:tc>
        <w:tc>
          <w:tcPr>
            <w:tcW w:w="1024" w:type="dxa"/>
            <w:tcBorders>
              <w:top w:val="single" w:sz="4" w:space="0" w:color="auto"/>
            </w:tcBorders>
            <w:hideMark/>
          </w:tcPr>
          <w:p w14:paraId="4263B4C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542</w:t>
            </w:r>
          </w:p>
        </w:tc>
      </w:tr>
    </w:tbl>
    <w:p w14:paraId="2F47C6AF" w14:textId="77777777" w:rsidR="00F51435" w:rsidRPr="00F51435" w:rsidRDefault="00F51435" w:rsidP="00F51435">
      <w:pPr>
        <w:spacing w:line="360" w:lineRule="auto"/>
        <w:jc w:val="both"/>
        <w:rPr>
          <w:rFonts w:ascii="Arial" w:hAnsi="Arial" w:cs="Arial"/>
        </w:rPr>
      </w:pPr>
      <w:r w:rsidRPr="00F51435">
        <w:rPr>
          <w:rFonts w:ascii="Arial" w:hAnsi="Arial" w:cs="Arial"/>
        </w:rPr>
        <w:t xml:space="preserve">The results show that the majority of donors across all time periods did not experience adverse reactions (94.3% overall). The proportion of adverse reactions varied slightly across time intervals, ranging from 4.6% in the 1501–1700 </w:t>
      </w:r>
      <w:proofErr w:type="spellStart"/>
      <w:r w:rsidRPr="00F51435">
        <w:rPr>
          <w:rFonts w:ascii="Arial" w:hAnsi="Arial" w:cs="Arial"/>
        </w:rPr>
        <w:t>hrs</w:t>
      </w:r>
      <w:proofErr w:type="spellEnd"/>
      <w:r w:rsidRPr="00F51435">
        <w:rPr>
          <w:rFonts w:ascii="Arial" w:hAnsi="Arial" w:cs="Arial"/>
        </w:rPr>
        <w:t xml:space="preserve"> period to 7.7% in the 0900–1100 </w:t>
      </w:r>
      <w:proofErr w:type="spellStart"/>
      <w:r w:rsidRPr="00F51435">
        <w:rPr>
          <w:rFonts w:ascii="Arial" w:hAnsi="Arial" w:cs="Arial"/>
        </w:rPr>
        <w:t>hrs</w:t>
      </w:r>
      <w:proofErr w:type="spellEnd"/>
      <w:r w:rsidRPr="00F51435">
        <w:rPr>
          <w:rFonts w:ascii="Arial" w:hAnsi="Arial" w:cs="Arial"/>
        </w:rPr>
        <w:t xml:space="preserve"> period. The highest number of adverse reactions was observed in the 1301–1500 </w:t>
      </w:r>
      <w:proofErr w:type="spellStart"/>
      <w:r w:rsidRPr="00F51435">
        <w:rPr>
          <w:rFonts w:ascii="Arial" w:hAnsi="Arial" w:cs="Arial"/>
        </w:rPr>
        <w:t>hrs</w:t>
      </w:r>
      <w:proofErr w:type="spellEnd"/>
      <w:r w:rsidRPr="00F51435">
        <w:rPr>
          <w:rFonts w:ascii="Arial" w:hAnsi="Arial" w:cs="Arial"/>
        </w:rPr>
        <w:t xml:space="preserve"> and 1501–1700 </w:t>
      </w:r>
      <w:proofErr w:type="spellStart"/>
      <w:r w:rsidRPr="00F51435">
        <w:rPr>
          <w:rFonts w:ascii="Arial" w:hAnsi="Arial" w:cs="Arial"/>
        </w:rPr>
        <w:t>hrs</w:t>
      </w:r>
      <w:proofErr w:type="spellEnd"/>
      <w:r w:rsidRPr="00F51435">
        <w:rPr>
          <w:rFonts w:ascii="Arial" w:hAnsi="Arial" w:cs="Arial"/>
        </w:rPr>
        <w:t xml:space="preserve"> periods (10 cases each), but these differences reflect the larger number of donors in those time slots rather than a clear increase in risk. The single donor recorded beyond 1700 </w:t>
      </w:r>
      <w:proofErr w:type="spellStart"/>
      <w:r w:rsidRPr="00F51435">
        <w:rPr>
          <w:rFonts w:ascii="Arial" w:hAnsi="Arial" w:cs="Arial"/>
        </w:rPr>
        <w:t>hrs</w:t>
      </w:r>
      <w:proofErr w:type="spellEnd"/>
      <w:r w:rsidRPr="00F51435">
        <w:rPr>
          <w:rFonts w:ascii="Arial" w:hAnsi="Arial" w:cs="Arial"/>
        </w:rPr>
        <w:t xml:space="preserve"> reported no adverse reaction.</w:t>
      </w:r>
    </w:p>
    <w:p w14:paraId="6F9DF306" w14:textId="77777777" w:rsidR="00F51435" w:rsidRPr="00F51435" w:rsidRDefault="00F51435" w:rsidP="00F51435">
      <w:pPr>
        <w:spacing w:line="360" w:lineRule="auto"/>
        <w:jc w:val="both"/>
        <w:rPr>
          <w:rFonts w:ascii="Arial" w:hAnsi="Arial" w:cs="Arial"/>
        </w:rPr>
      </w:pPr>
    </w:p>
    <w:p w14:paraId="19812A03" w14:textId="77777777" w:rsidR="00F51435" w:rsidRPr="00F51435" w:rsidRDefault="00F51435" w:rsidP="00F51435">
      <w:pPr>
        <w:spacing w:line="360" w:lineRule="auto"/>
        <w:jc w:val="both"/>
        <w:rPr>
          <w:rFonts w:ascii="Arial" w:hAnsi="Arial" w:cs="Arial"/>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000" w:firstRow="0" w:lastRow="0" w:firstColumn="0" w:lastColumn="0" w:noHBand="0" w:noVBand="0"/>
      </w:tblPr>
      <w:tblGrid>
        <w:gridCol w:w="3074"/>
        <w:gridCol w:w="1558"/>
        <w:gridCol w:w="1558"/>
        <w:gridCol w:w="2234"/>
      </w:tblGrid>
      <w:tr w:rsidR="00F51435" w:rsidRPr="00F51435" w14:paraId="1E85AB7C" w14:textId="77777777" w:rsidTr="00EB1162">
        <w:tc>
          <w:tcPr>
            <w:tcW w:w="5000" w:type="pct"/>
            <w:gridSpan w:val="4"/>
            <w:tcBorders>
              <w:bottom w:val="single" w:sz="4" w:space="0" w:color="auto"/>
            </w:tcBorders>
          </w:tcPr>
          <w:p w14:paraId="0B35803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Chi-Square Tests</w:t>
            </w:r>
          </w:p>
        </w:tc>
      </w:tr>
      <w:tr w:rsidR="00F51435" w:rsidRPr="00F51435" w14:paraId="75F23F36" w14:textId="77777777" w:rsidTr="00EB1162">
        <w:tc>
          <w:tcPr>
            <w:tcW w:w="1824" w:type="pct"/>
            <w:tcBorders>
              <w:top w:val="single" w:sz="4" w:space="0" w:color="auto"/>
              <w:bottom w:val="nil"/>
              <w:right w:val="nil"/>
            </w:tcBorders>
          </w:tcPr>
          <w:p w14:paraId="0910692D" w14:textId="77777777" w:rsidR="00F51435" w:rsidRPr="00F51435" w:rsidRDefault="00F51435" w:rsidP="00F51435">
            <w:pPr>
              <w:spacing w:line="360" w:lineRule="auto"/>
              <w:jc w:val="both"/>
              <w:rPr>
                <w:rFonts w:ascii="Arial" w:hAnsi="Arial" w:cs="Arial"/>
                <w:sz w:val="20"/>
                <w:szCs w:val="20"/>
              </w:rPr>
            </w:pPr>
          </w:p>
        </w:tc>
        <w:tc>
          <w:tcPr>
            <w:tcW w:w="925" w:type="pct"/>
            <w:tcBorders>
              <w:top w:val="single" w:sz="4" w:space="0" w:color="auto"/>
              <w:left w:val="nil"/>
              <w:bottom w:val="nil"/>
              <w:right w:val="nil"/>
            </w:tcBorders>
          </w:tcPr>
          <w:p w14:paraId="559F8E8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Value</w:t>
            </w:r>
          </w:p>
        </w:tc>
        <w:tc>
          <w:tcPr>
            <w:tcW w:w="925" w:type="pct"/>
            <w:tcBorders>
              <w:top w:val="single" w:sz="4" w:space="0" w:color="auto"/>
              <w:left w:val="nil"/>
              <w:bottom w:val="nil"/>
              <w:right w:val="nil"/>
            </w:tcBorders>
          </w:tcPr>
          <w:p w14:paraId="652ADCA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df</w:t>
            </w:r>
          </w:p>
        </w:tc>
        <w:tc>
          <w:tcPr>
            <w:tcW w:w="1327" w:type="pct"/>
            <w:tcBorders>
              <w:top w:val="single" w:sz="4" w:space="0" w:color="auto"/>
              <w:left w:val="nil"/>
              <w:bottom w:val="nil"/>
            </w:tcBorders>
          </w:tcPr>
          <w:p w14:paraId="3860D5A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Asymptotic Significance (2-sided)</w:t>
            </w:r>
          </w:p>
        </w:tc>
      </w:tr>
      <w:tr w:rsidR="00F51435" w:rsidRPr="00F51435" w14:paraId="5ABE0390" w14:textId="77777777" w:rsidTr="00EB1162">
        <w:tc>
          <w:tcPr>
            <w:tcW w:w="1824" w:type="pct"/>
            <w:tcBorders>
              <w:top w:val="nil"/>
              <w:bottom w:val="nil"/>
              <w:right w:val="nil"/>
            </w:tcBorders>
          </w:tcPr>
          <w:p w14:paraId="696FF40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Pearson Chi-Square</w:t>
            </w:r>
          </w:p>
        </w:tc>
        <w:tc>
          <w:tcPr>
            <w:tcW w:w="925" w:type="pct"/>
            <w:tcBorders>
              <w:top w:val="nil"/>
              <w:left w:val="nil"/>
              <w:bottom w:val="nil"/>
              <w:right w:val="nil"/>
            </w:tcBorders>
          </w:tcPr>
          <w:p w14:paraId="06F087B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1.268</w:t>
            </w:r>
            <w:r w:rsidRPr="00F51435">
              <w:rPr>
                <w:rFonts w:ascii="Arial" w:hAnsi="Arial" w:cs="Arial"/>
                <w:sz w:val="20"/>
                <w:szCs w:val="20"/>
                <w:vertAlign w:val="superscript"/>
              </w:rPr>
              <w:t>a</w:t>
            </w:r>
          </w:p>
        </w:tc>
        <w:tc>
          <w:tcPr>
            <w:tcW w:w="925" w:type="pct"/>
            <w:tcBorders>
              <w:top w:val="nil"/>
              <w:left w:val="nil"/>
              <w:bottom w:val="nil"/>
              <w:right w:val="nil"/>
            </w:tcBorders>
          </w:tcPr>
          <w:p w14:paraId="5493E1B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w:t>
            </w:r>
          </w:p>
        </w:tc>
        <w:tc>
          <w:tcPr>
            <w:tcW w:w="1327" w:type="pct"/>
            <w:tcBorders>
              <w:top w:val="nil"/>
              <w:left w:val="nil"/>
              <w:bottom w:val="nil"/>
            </w:tcBorders>
          </w:tcPr>
          <w:p w14:paraId="4846AF4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.867</w:t>
            </w:r>
          </w:p>
        </w:tc>
      </w:tr>
      <w:tr w:rsidR="00F51435" w:rsidRPr="00F51435" w14:paraId="0E1CCDF5" w14:textId="77777777" w:rsidTr="00EB1162">
        <w:tc>
          <w:tcPr>
            <w:tcW w:w="1824" w:type="pct"/>
            <w:tcBorders>
              <w:top w:val="nil"/>
              <w:bottom w:val="nil"/>
              <w:right w:val="nil"/>
            </w:tcBorders>
          </w:tcPr>
          <w:p w14:paraId="469B98E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925" w:type="pct"/>
            <w:tcBorders>
              <w:top w:val="nil"/>
              <w:left w:val="nil"/>
              <w:bottom w:val="nil"/>
              <w:right w:val="nil"/>
            </w:tcBorders>
          </w:tcPr>
          <w:p w14:paraId="5A46D8B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1.302</w:t>
            </w:r>
          </w:p>
        </w:tc>
        <w:tc>
          <w:tcPr>
            <w:tcW w:w="925" w:type="pct"/>
            <w:tcBorders>
              <w:top w:val="nil"/>
              <w:left w:val="nil"/>
              <w:bottom w:val="nil"/>
              <w:right w:val="nil"/>
            </w:tcBorders>
          </w:tcPr>
          <w:p w14:paraId="6AF416A1"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w:t>
            </w:r>
          </w:p>
        </w:tc>
        <w:tc>
          <w:tcPr>
            <w:tcW w:w="1327" w:type="pct"/>
            <w:tcBorders>
              <w:top w:val="nil"/>
              <w:left w:val="nil"/>
              <w:bottom w:val="nil"/>
            </w:tcBorders>
          </w:tcPr>
          <w:p w14:paraId="311502E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.861</w:t>
            </w:r>
          </w:p>
        </w:tc>
      </w:tr>
      <w:tr w:rsidR="00F51435" w:rsidRPr="00F51435" w14:paraId="4227D686" w14:textId="77777777" w:rsidTr="00EB1162">
        <w:tc>
          <w:tcPr>
            <w:tcW w:w="1824" w:type="pct"/>
            <w:tcBorders>
              <w:top w:val="nil"/>
              <w:bottom w:val="single" w:sz="4" w:space="0" w:color="auto"/>
              <w:right w:val="nil"/>
            </w:tcBorders>
          </w:tcPr>
          <w:p w14:paraId="0215DD6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N of Valid Cases</w:t>
            </w:r>
          </w:p>
        </w:tc>
        <w:tc>
          <w:tcPr>
            <w:tcW w:w="925" w:type="pct"/>
            <w:tcBorders>
              <w:top w:val="nil"/>
              <w:left w:val="nil"/>
              <w:bottom w:val="single" w:sz="4" w:space="0" w:color="auto"/>
              <w:right w:val="nil"/>
            </w:tcBorders>
          </w:tcPr>
          <w:p w14:paraId="1BDBE1D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925" w:type="pct"/>
            <w:tcBorders>
              <w:top w:val="nil"/>
              <w:left w:val="nil"/>
              <w:bottom w:val="single" w:sz="4" w:space="0" w:color="auto"/>
              <w:right w:val="nil"/>
            </w:tcBorders>
          </w:tcPr>
          <w:p w14:paraId="5D73764E" w14:textId="77777777" w:rsidR="00F51435" w:rsidRPr="00F51435" w:rsidRDefault="00F51435" w:rsidP="00F51435">
            <w:pPr>
              <w:spacing w:line="360" w:lineRule="auto"/>
              <w:jc w:val="both"/>
              <w:rPr>
                <w:rFonts w:ascii="Arial" w:hAnsi="Arial" w:cs="Arial"/>
                <w:sz w:val="20"/>
                <w:szCs w:val="20"/>
              </w:rPr>
            </w:pPr>
          </w:p>
        </w:tc>
        <w:tc>
          <w:tcPr>
            <w:tcW w:w="1327" w:type="pct"/>
            <w:tcBorders>
              <w:top w:val="nil"/>
              <w:left w:val="nil"/>
              <w:bottom w:val="single" w:sz="4" w:space="0" w:color="auto"/>
            </w:tcBorders>
          </w:tcPr>
          <w:p w14:paraId="318E7B95" w14:textId="77777777" w:rsidR="00F51435" w:rsidRPr="00F51435" w:rsidRDefault="00F51435" w:rsidP="00F51435">
            <w:pPr>
              <w:spacing w:line="360" w:lineRule="auto"/>
              <w:jc w:val="both"/>
              <w:rPr>
                <w:rFonts w:ascii="Arial" w:hAnsi="Arial" w:cs="Arial"/>
                <w:sz w:val="20"/>
                <w:szCs w:val="20"/>
              </w:rPr>
            </w:pPr>
          </w:p>
        </w:tc>
      </w:tr>
      <w:tr w:rsidR="00F51435" w:rsidRPr="00F51435" w14:paraId="5EA490FE" w14:textId="77777777" w:rsidTr="00EB1162">
        <w:tc>
          <w:tcPr>
            <w:tcW w:w="5000" w:type="pct"/>
            <w:gridSpan w:val="4"/>
            <w:tcBorders>
              <w:top w:val="single" w:sz="4" w:space="0" w:color="auto"/>
            </w:tcBorders>
          </w:tcPr>
          <w:p w14:paraId="0D5DB2E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 3 cells (30.0%) have expected count less than 5. The minimum expected count is .06.</w:t>
            </w:r>
          </w:p>
        </w:tc>
      </w:tr>
    </w:tbl>
    <w:p w14:paraId="6A5B5B01" w14:textId="77777777" w:rsidR="00F51435" w:rsidRPr="00F51435" w:rsidRDefault="00F51435" w:rsidP="00F51435">
      <w:pPr>
        <w:spacing w:line="360" w:lineRule="auto"/>
        <w:jc w:val="both"/>
        <w:rPr>
          <w:rFonts w:ascii="Arial" w:hAnsi="Arial" w:cs="Arial"/>
        </w:rPr>
      </w:pPr>
    </w:p>
    <w:p w14:paraId="4DBF236F" w14:textId="77777777" w:rsidR="00F51435" w:rsidRPr="00F51435" w:rsidRDefault="00F51435" w:rsidP="00F51435">
      <w:pPr>
        <w:spacing w:line="360" w:lineRule="auto"/>
        <w:jc w:val="both"/>
        <w:rPr>
          <w:rFonts w:ascii="Arial" w:hAnsi="Arial" w:cs="Arial"/>
        </w:rPr>
      </w:pPr>
      <w:r w:rsidRPr="00F51435">
        <w:rPr>
          <w:rFonts w:ascii="Arial" w:hAnsi="Arial" w:cs="Arial"/>
        </w:rPr>
        <w:t>A Chi-square test of independence was performed to determine whether there was a significant association between the time of blood donation and the occurrence of adverse reactions. The results showed no statistically significant association between donation time and adverse reaction occurrence (χ</w:t>
      </w:r>
      <w:proofErr w:type="gramStart"/>
      <w:r w:rsidRPr="00F51435">
        <w:rPr>
          <w:rFonts w:ascii="Arial" w:hAnsi="Arial" w:cs="Arial"/>
        </w:rPr>
        <w:t>²(</w:t>
      </w:r>
      <w:proofErr w:type="gramEnd"/>
      <w:r w:rsidRPr="00F51435">
        <w:rPr>
          <w:rFonts w:ascii="Arial" w:hAnsi="Arial" w:cs="Arial"/>
        </w:rPr>
        <w:t>4, N = 542) = 1.268, p = 0.867). The likelihood ratio test also confirmed the absence of a significant relationship (p = 0.861). This indicates that the occurrence of adverse reactions is independent of the time at which donation took place.</w:t>
      </w:r>
    </w:p>
    <w:p w14:paraId="38BF2CA5" w14:textId="77777777" w:rsidR="00F51435" w:rsidRPr="00F51435" w:rsidRDefault="00F51435" w:rsidP="00F51435">
      <w:pPr>
        <w:spacing w:line="360" w:lineRule="auto"/>
        <w:jc w:val="both"/>
        <w:rPr>
          <w:rFonts w:ascii="Arial" w:hAnsi="Arial" w:cs="Arial"/>
        </w:rPr>
      </w:pPr>
    </w:p>
    <w:p w14:paraId="19208F2F" w14:textId="77777777" w:rsidR="00F51435" w:rsidRPr="00F51435" w:rsidRDefault="00F51435" w:rsidP="00F51435">
      <w:pPr>
        <w:spacing w:line="360" w:lineRule="auto"/>
        <w:jc w:val="both"/>
        <w:rPr>
          <w:rFonts w:ascii="Arial" w:hAnsi="Arial" w:cs="Arial"/>
        </w:rPr>
      </w:pPr>
    </w:p>
    <w:p w14:paraId="1121BE5E" w14:textId="77777777" w:rsidR="00F51435" w:rsidRPr="0040467E" w:rsidRDefault="00F51435" w:rsidP="00F51435">
      <w:pPr>
        <w:pStyle w:val="Heading3"/>
        <w:numPr>
          <w:ilvl w:val="2"/>
          <w:numId w:val="31"/>
        </w:numPr>
        <w:spacing w:before="0" w:line="360" w:lineRule="auto"/>
        <w:jc w:val="both"/>
        <w:rPr>
          <w:rFonts w:ascii="Arial" w:hAnsi="Arial" w:cs="Arial"/>
          <w:b/>
          <w:bCs/>
          <w:color w:val="000000" w:themeColor="text1"/>
          <w:sz w:val="20"/>
          <w:szCs w:val="20"/>
        </w:rPr>
      </w:pPr>
      <w:bookmarkStart w:id="19" w:name="_Toc226285923"/>
      <w:r w:rsidRPr="0040467E">
        <w:rPr>
          <w:rFonts w:ascii="Arial" w:eastAsia="Times New Roman" w:hAnsi="Arial" w:cs="Arial"/>
          <w:b/>
          <w:bCs/>
          <w:color w:val="000000" w:themeColor="text1"/>
          <w:sz w:val="20"/>
          <w:szCs w:val="20"/>
        </w:rPr>
        <w:t>Association Between Time of Donation and Type of Adverse Reaction</w:t>
      </w:r>
      <w:bookmarkEnd w:id="19"/>
      <w:r w:rsidRPr="0040467E">
        <w:rPr>
          <w:rFonts w:ascii="Arial" w:eastAsia="Times New Roman" w:hAnsi="Arial" w:cs="Arial"/>
          <w:b/>
          <w:bCs/>
          <w:color w:val="000000" w:themeColor="text1"/>
          <w:sz w:val="20"/>
          <w:szCs w:val="20"/>
        </w:rPr>
        <w:t xml:space="preserve"> </w:t>
      </w:r>
    </w:p>
    <w:p w14:paraId="5690C9C7" w14:textId="60E8D08E" w:rsidR="00F51435" w:rsidRDefault="00F51435" w:rsidP="00F51435">
      <w:pPr>
        <w:spacing w:line="360" w:lineRule="auto"/>
        <w:jc w:val="both"/>
        <w:rPr>
          <w:rFonts w:ascii="Arial" w:hAnsi="Arial" w:cs="Arial"/>
        </w:rPr>
      </w:pPr>
      <w:r w:rsidRPr="00F51435">
        <w:rPr>
          <w:rFonts w:ascii="Arial" w:hAnsi="Arial" w:cs="Arial"/>
        </w:rPr>
        <w:t>A cross-tabulation analysis was conducted to examine whether the time of blood donation was associated with the type of adverse reaction experienced among donors.</w:t>
      </w:r>
    </w:p>
    <w:p w14:paraId="5E95BBB0" w14:textId="237F4C5B" w:rsidR="006E78EA" w:rsidRDefault="006E78EA" w:rsidP="00F51435">
      <w:pPr>
        <w:spacing w:line="360" w:lineRule="auto"/>
        <w:jc w:val="both"/>
        <w:rPr>
          <w:rFonts w:ascii="Arial" w:hAnsi="Arial" w:cs="Arial"/>
        </w:rPr>
      </w:pPr>
    </w:p>
    <w:p w14:paraId="65A0FBE6" w14:textId="1DC40F91" w:rsidR="006E78EA" w:rsidRPr="00F51435" w:rsidRDefault="006E78EA" w:rsidP="00F51435">
      <w:pPr>
        <w:spacing w:line="360" w:lineRule="auto"/>
        <w:jc w:val="both"/>
        <w:rPr>
          <w:rFonts w:ascii="Arial" w:hAnsi="Arial" w:cs="Arial"/>
        </w:rPr>
      </w:pPr>
      <w:r w:rsidRPr="006E78EA">
        <w:rPr>
          <w:rFonts w:ascii="Arial" w:hAnsi="Arial" w:cs="Arial"/>
        </w:rPr>
        <w:t>Table 1</w:t>
      </w:r>
      <w:r>
        <w:rPr>
          <w:rFonts w:ascii="Arial" w:hAnsi="Arial" w:cs="Arial"/>
        </w:rPr>
        <w:t>3</w:t>
      </w:r>
      <w:r w:rsidRPr="006E78EA">
        <w:rPr>
          <w:rFonts w:ascii="Arial" w:hAnsi="Arial" w:cs="Arial"/>
        </w:rPr>
        <w:t>. Association Between Time of Donation and Type of Adverse Reaction</w:t>
      </w:r>
    </w:p>
    <w:tbl>
      <w:tblPr>
        <w:tblStyle w:val="TableGrid"/>
        <w:tblW w:w="5673"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4"/>
        <w:gridCol w:w="1061"/>
        <w:gridCol w:w="1862"/>
        <w:gridCol w:w="1183"/>
        <w:gridCol w:w="1093"/>
        <w:gridCol w:w="1239"/>
        <w:gridCol w:w="1550"/>
        <w:gridCol w:w="486"/>
      </w:tblGrid>
      <w:tr w:rsidR="00F51435" w:rsidRPr="00F51435" w14:paraId="450268B8" w14:textId="77777777" w:rsidTr="008F5577">
        <w:tc>
          <w:tcPr>
            <w:tcW w:w="567" w:type="pct"/>
            <w:tcBorders>
              <w:bottom w:val="single" w:sz="4" w:space="0" w:color="auto"/>
            </w:tcBorders>
            <w:hideMark/>
          </w:tcPr>
          <w:p w14:paraId="0B99C8E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Donation Time</w:t>
            </w:r>
          </w:p>
        </w:tc>
        <w:tc>
          <w:tcPr>
            <w:tcW w:w="555" w:type="pct"/>
            <w:tcBorders>
              <w:bottom w:val="single" w:sz="4" w:space="0" w:color="auto"/>
            </w:tcBorders>
            <w:hideMark/>
          </w:tcPr>
          <w:p w14:paraId="25BC6E07"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No Reaction n (%)</w:t>
            </w:r>
          </w:p>
        </w:tc>
        <w:tc>
          <w:tcPr>
            <w:tcW w:w="974" w:type="pct"/>
            <w:tcBorders>
              <w:bottom w:val="single" w:sz="4" w:space="0" w:color="auto"/>
            </w:tcBorders>
            <w:hideMark/>
          </w:tcPr>
          <w:p w14:paraId="48D5D9E9"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Dizziness / Lightheadedness</w:t>
            </w:r>
          </w:p>
        </w:tc>
        <w:tc>
          <w:tcPr>
            <w:tcW w:w="619" w:type="pct"/>
            <w:tcBorders>
              <w:bottom w:val="single" w:sz="4" w:space="0" w:color="auto"/>
            </w:tcBorders>
            <w:hideMark/>
          </w:tcPr>
          <w:p w14:paraId="4F15918A"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Fainting (Syncope)</w:t>
            </w:r>
          </w:p>
        </w:tc>
        <w:tc>
          <w:tcPr>
            <w:tcW w:w="572" w:type="pct"/>
            <w:tcBorders>
              <w:bottom w:val="single" w:sz="4" w:space="0" w:color="auto"/>
            </w:tcBorders>
            <w:hideMark/>
          </w:tcPr>
          <w:p w14:paraId="097D496E"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Sweating</w:t>
            </w:r>
          </w:p>
        </w:tc>
        <w:tc>
          <w:tcPr>
            <w:tcW w:w="648" w:type="pct"/>
            <w:tcBorders>
              <w:bottom w:val="single" w:sz="4" w:space="0" w:color="auto"/>
            </w:tcBorders>
            <w:hideMark/>
          </w:tcPr>
          <w:p w14:paraId="2676C2D3"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Hematoma</w:t>
            </w:r>
          </w:p>
        </w:tc>
        <w:tc>
          <w:tcPr>
            <w:tcW w:w="811" w:type="pct"/>
            <w:tcBorders>
              <w:bottom w:val="single" w:sz="4" w:space="0" w:color="auto"/>
            </w:tcBorders>
            <w:hideMark/>
          </w:tcPr>
          <w:p w14:paraId="351CE588"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Other Combinations</w:t>
            </w:r>
          </w:p>
        </w:tc>
        <w:tc>
          <w:tcPr>
            <w:tcW w:w="255" w:type="pct"/>
            <w:tcBorders>
              <w:bottom w:val="single" w:sz="4" w:space="0" w:color="auto"/>
            </w:tcBorders>
            <w:hideMark/>
          </w:tcPr>
          <w:p w14:paraId="309E53D2" w14:textId="77777777" w:rsidR="00F51435" w:rsidRPr="00F51435" w:rsidRDefault="00F51435" w:rsidP="00F51435">
            <w:pPr>
              <w:spacing w:line="360" w:lineRule="auto"/>
              <w:jc w:val="both"/>
              <w:rPr>
                <w:rFonts w:ascii="Arial" w:hAnsi="Arial" w:cs="Arial"/>
                <w:b/>
                <w:bCs/>
                <w:sz w:val="20"/>
                <w:szCs w:val="20"/>
              </w:rPr>
            </w:pPr>
            <w:r w:rsidRPr="00F51435">
              <w:rPr>
                <w:rFonts w:ascii="Arial" w:hAnsi="Arial" w:cs="Arial"/>
                <w:b/>
                <w:bCs/>
                <w:sz w:val="20"/>
                <w:szCs w:val="20"/>
              </w:rPr>
              <w:t>Total</w:t>
            </w:r>
          </w:p>
        </w:tc>
      </w:tr>
      <w:tr w:rsidR="00F51435" w:rsidRPr="00F51435" w14:paraId="116225AD" w14:textId="77777777" w:rsidTr="008F5577">
        <w:tc>
          <w:tcPr>
            <w:tcW w:w="567" w:type="pct"/>
            <w:tcBorders>
              <w:top w:val="single" w:sz="4" w:space="0" w:color="auto"/>
              <w:bottom w:val="nil"/>
            </w:tcBorders>
            <w:hideMark/>
          </w:tcPr>
          <w:p w14:paraId="087834F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0900–1100 </w:t>
            </w:r>
            <w:proofErr w:type="spellStart"/>
            <w:r w:rsidRPr="00F51435">
              <w:rPr>
                <w:rFonts w:ascii="Arial" w:hAnsi="Arial" w:cs="Arial"/>
                <w:sz w:val="20"/>
                <w:szCs w:val="20"/>
              </w:rPr>
              <w:t>hrs</w:t>
            </w:r>
            <w:proofErr w:type="spellEnd"/>
          </w:p>
        </w:tc>
        <w:tc>
          <w:tcPr>
            <w:tcW w:w="555" w:type="pct"/>
            <w:tcBorders>
              <w:top w:val="single" w:sz="4" w:space="0" w:color="auto"/>
              <w:bottom w:val="nil"/>
            </w:tcBorders>
            <w:hideMark/>
          </w:tcPr>
          <w:p w14:paraId="06956EB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48 (92.3%)</w:t>
            </w:r>
          </w:p>
        </w:tc>
        <w:tc>
          <w:tcPr>
            <w:tcW w:w="974" w:type="pct"/>
            <w:tcBorders>
              <w:top w:val="single" w:sz="4" w:space="0" w:color="auto"/>
              <w:bottom w:val="nil"/>
            </w:tcBorders>
            <w:hideMark/>
          </w:tcPr>
          <w:p w14:paraId="2DC5C4D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19" w:type="pct"/>
            <w:tcBorders>
              <w:top w:val="single" w:sz="4" w:space="0" w:color="auto"/>
              <w:bottom w:val="nil"/>
            </w:tcBorders>
            <w:hideMark/>
          </w:tcPr>
          <w:p w14:paraId="171D3BD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(3.8%)</w:t>
            </w:r>
          </w:p>
        </w:tc>
        <w:tc>
          <w:tcPr>
            <w:tcW w:w="572" w:type="pct"/>
            <w:tcBorders>
              <w:top w:val="single" w:sz="4" w:space="0" w:color="auto"/>
              <w:bottom w:val="nil"/>
            </w:tcBorders>
            <w:hideMark/>
          </w:tcPr>
          <w:p w14:paraId="578D180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48" w:type="pct"/>
            <w:tcBorders>
              <w:top w:val="single" w:sz="4" w:space="0" w:color="auto"/>
              <w:bottom w:val="nil"/>
            </w:tcBorders>
            <w:hideMark/>
          </w:tcPr>
          <w:p w14:paraId="5AE04AA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811" w:type="pct"/>
            <w:tcBorders>
              <w:top w:val="single" w:sz="4" w:space="0" w:color="auto"/>
              <w:bottom w:val="nil"/>
            </w:tcBorders>
            <w:hideMark/>
          </w:tcPr>
          <w:p w14:paraId="699C5DF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(3.9%)</w:t>
            </w:r>
          </w:p>
        </w:tc>
        <w:tc>
          <w:tcPr>
            <w:tcW w:w="255" w:type="pct"/>
            <w:tcBorders>
              <w:top w:val="single" w:sz="4" w:space="0" w:color="auto"/>
              <w:bottom w:val="nil"/>
            </w:tcBorders>
            <w:hideMark/>
          </w:tcPr>
          <w:p w14:paraId="2ECD347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52</w:t>
            </w:r>
          </w:p>
        </w:tc>
      </w:tr>
      <w:tr w:rsidR="00F51435" w:rsidRPr="00F51435" w14:paraId="1C6A88CD" w14:textId="77777777" w:rsidTr="008F5577">
        <w:tc>
          <w:tcPr>
            <w:tcW w:w="567" w:type="pct"/>
            <w:tcBorders>
              <w:top w:val="nil"/>
              <w:bottom w:val="nil"/>
            </w:tcBorders>
            <w:hideMark/>
          </w:tcPr>
          <w:p w14:paraId="7D4C280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1101–1300 </w:t>
            </w:r>
            <w:proofErr w:type="spellStart"/>
            <w:r w:rsidRPr="00F51435">
              <w:rPr>
                <w:rFonts w:ascii="Arial" w:hAnsi="Arial" w:cs="Arial"/>
                <w:sz w:val="20"/>
                <w:szCs w:val="20"/>
              </w:rPr>
              <w:t>hrs</w:t>
            </w:r>
            <w:proofErr w:type="spellEnd"/>
          </w:p>
        </w:tc>
        <w:tc>
          <w:tcPr>
            <w:tcW w:w="555" w:type="pct"/>
            <w:tcBorders>
              <w:top w:val="nil"/>
              <w:bottom w:val="nil"/>
            </w:tcBorders>
            <w:hideMark/>
          </w:tcPr>
          <w:p w14:paraId="6DA867A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120 (94.5%)</w:t>
            </w:r>
          </w:p>
        </w:tc>
        <w:tc>
          <w:tcPr>
            <w:tcW w:w="974" w:type="pct"/>
            <w:tcBorders>
              <w:top w:val="nil"/>
              <w:bottom w:val="nil"/>
            </w:tcBorders>
            <w:hideMark/>
          </w:tcPr>
          <w:p w14:paraId="709CC2F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19" w:type="pct"/>
            <w:tcBorders>
              <w:top w:val="nil"/>
              <w:bottom w:val="nil"/>
            </w:tcBorders>
            <w:hideMark/>
          </w:tcPr>
          <w:p w14:paraId="48F1379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572" w:type="pct"/>
            <w:tcBorders>
              <w:top w:val="nil"/>
              <w:bottom w:val="nil"/>
            </w:tcBorders>
            <w:hideMark/>
          </w:tcPr>
          <w:p w14:paraId="68EF0B1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48" w:type="pct"/>
            <w:tcBorders>
              <w:top w:val="nil"/>
              <w:bottom w:val="nil"/>
            </w:tcBorders>
            <w:hideMark/>
          </w:tcPr>
          <w:p w14:paraId="3589BD7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811" w:type="pct"/>
            <w:tcBorders>
              <w:top w:val="nil"/>
              <w:bottom w:val="nil"/>
            </w:tcBorders>
            <w:hideMark/>
          </w:tcPr>
          <w:p w14:paraId="0036299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 (5.5%)</w:t>
            </w:r>
          </w:p>
        </w:tc>
        <w:tc>
          <w:tcPr>
            <w:tcW w:w="255" w:type="pct"/>
            <w:tcBorders>
              <w:top w:val="nil"/>
              <w:bottom w:val="nil"/>
            </w:tcBorders>
            <w:hideMark/>
          </w:tcPr>
          <w:p w14:paraId="38E74C6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127</w:t>
            </w:r>
          </w:p>
        </w:tc>
      </w:tr>
      <w:tr w:rsidR="00F51435" w:rsidRPr="00F51435" w14:paraId="6FF2436E" w14:textId="77777777" w:rsidTr="008F5577">
        <w:tc>
          <w:tcPr>
            <w:tcW w:w="567" w:type="pct"/>
            <w:tcBorders>
              <w:top w:val="nil"/>
              <w:bottom w:val="nil"/>
            </w:tcBorders>
            <w:hideMark/>
          </w:tcPr>
          <w:p w14:paraId="3E0ED4A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1301–1500 </w:t>
            </w:r>
            <w:proofErr w:type="spellStart"/>
            <w:r w:rsidRPr="00F51435">
              <w:rPr>
                <w:rFonts w:ascii="Arial" w:hAnsi="Arial" w:cs="Arial"/>
                <w:sz w:val="20"/>
                <w:szCs w:val="20"/>
              </w:rPr>
              <w:t>hrs</w:t>
            </w:r>
            <w:proofErr w:type="spellEnd"/>
          </w:p>
        </w:tc>
        <w:tc>
          <w:tcPr>
            <w:tcW w:w="555" w:type="pct"/>
            <w:tcBorders>
              <w:top w:val="nil"/>
              <w:bottom w:val="nil"/>
            </w:tcBorders>
            <w:hideMark/>
          </w:tcPr>
          <w:p w14:paraId="59FFC1C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136 (93.2%)</w:t>
            </w:r>
          </w:p>
        </w:tc>
        <w:tc>
          <w:tcPr>
            <w:tcW w:w="974" w:type="pct"/>
            <w:tcBorders>
              <w:top w:val="nil"/>
              <w:bottom w:val="nil"/>
            </w:tcBorders>
            <w:hideMark/>
          </w:tcPr>
          <w:p w14:paraId="43BA16A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(1.4%)</w:t>
            </w:r>
          </w:p>
        </w:tc>
        <w:tc>
          <w:tcPr>
            <w:tcW w:w="619" w:type="pct"/>
            <w:tcBorders>
              <w:top w:val="nil"/>
              <w:bottom w:val="nil"/>
            </w:tcBorders>
            <w:hideMark/>
          </w:tcPr>
          <w:p w14:paraId="5505092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(0.7%)</w:t>
            </w:r>
          </w:p>
        </w:tc>
        <w:tc>
          <w:tcPr>
            <w:tcW w:w="572" w:type="pct"/>
            <w:tcBorders>
              <w:top w:val="nil"/>
              <w:bottom w:val="nil"/>
            </w:tcBorders>
            <w:hideMark/>
          </w:tcPr>
          <w:p w14:paraId="3D3DAF6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(2.1%)</w:t>
            </w:r>
          </w:p>
        </w:tc>
        <w:tc>
          <w:tcPr>
            <w:tcW w:w="648" w:type="pct"/>
            <w:tcBorders>
              <w:top w:val="nil"/>
              <w:bottom w:val="nil"/>
            </w:tcBorders>
            <w:hideMark/>
          </w:tcPr>
          <w:p w14:paraId="027EFB2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(0.7%)</w:t>
            </w:r>
          </w:p>
        </w:tc>
        <w:tc>
          <w:tcPr>
            <w:tcW w:w="811" w:type="pct"/>
            <w:tcBorders>
              <w:top w:val="nil"/>
              <w:bottom w:val="nil"/>
            </w:tcBorders>
            <w:hideMark/>
          </w:tcPr>
          <w:p w14:paraId="5C74EC5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(2.1%)</w:t>
            </w:r>
          </w:p>
        </w:tc>
        <w:tc>
          <w:tcPr>
            <w:tcW w:w="255" w:type="pct"/>
            <w:tcBorders>
              <w:top w:val="nil"/>
              <w:bottom w:val="nil"/>
            </w:tcBorders>
            <w:hideMark/>
          </w:tcPr>
          <w:p w14:paraId="0C9CA1A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146</w:t>
            </w:r>
          </w:p>
        </w:tc>
      </w:tr>
      <w:tr w:rsidR="00F51435" w:rsidRPr="00F51435" w14:paraId="2E6C5160" w14:textId="77777777" w:rsidTr="008F5577">
        <w:tc>
          <w:tcPr>
            <w:tcW w:w="567" w:type="pct"/>
            <w:tcBorders>
              <w:top w:val="nil"/>
              <w:bottom w:val="nil"/>
            </w:tcBorders>
            <w:hideMark/>
          </w:tcPr>
          <w:p w14:paraId="3C11C2E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1501–1700 </w:t>
            </w:r>
            <w:proofErr w:type="spellStart"/>
            <w:r w:rsidRPr="00F51435">
              <w:rPr>
                <w:rFonts w:ascii="Arial" w:hAnsi="Arial" w:cs="Arial"/>
                <w:sz w:val="20"/>
                <w:szCs w:val="20"/>
              </w:rPr>
              <w:t>hrs</w:t>
            </w:r>
            <w:proofErr w:type="spellEnd"/>
          </w:p>
        </w:tc>
        <w:tc>
          <w:tcPr>
            <w:tcW w:w="555" w:type="pct"/>
            <w:tcBorders>
              <w:top w:val="nil"/>
              <w:bottom w:val="nil"/>
            </w:tcBorders>
            <w:hideMark/>
          </w:tcPr>
          <w:p w14:paraId="106F002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206 (95.4%)</w:t>
            </w:r>
          </w:p>
        </w:tc>
        <w:tc>
          <w:tcPr>
            <w:tcW w:w="974" w:type="pct"/>
            <w:tcBorders>
              <w:top w:val="nil"/>
              <w:bottom w:val="nil"/>
            </w:tcBorders>
            <w:hideMark/>
          </w:tcPr>
          <w:p w14:paraId="0D65585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19" w:type="pct"/>
            <w:tcBorders>
              <w:top w:val="nil"/>
              <w:bottom w:val="nil"/>
            </w:tcBorders>
            <w:hideMark/>
          </w:tcPr>
          <w:p w14:paraId="03FA033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(0.5%)</w:t>
            </w:r>
          </w:p>
        </w:tc>
        <w:tc>
          <w:tcPr>
            <w:tcW w:w="572" w:type="pct"/>
            <w:tcBorders>
              <w:top w:val="nil"/>
              <w:bottom w:val="nil"/>
            </w:tcBorders>
            <w:hideMark/>
          </w:tcPr>
          <w:p w14:paraId="2959AB5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 (1.4%)</w:t>
            </w:r>
          </w:p>
        </w:tc>
        <w:tc>
          <w:tcPr>
            <w:tcW w:w="648" w:type="pct"/>
            <w:tcBorders>
              <w:top w:val="nil"/>
              <w:bottom w:val="nil"/>
            </w:tcBorders>
            <w:hideMark/>
          </w:tcPr>
          <w:p w14:paraId="700E42E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 (0.9%)</w:t>
            </w:r>
          </w:p>
        </w:tc>
        <w:tc>
          <w:tcPr>
            <w:tcW w:w="811" w:type="pct"/>
            <w:tcBorders>
              <w:top w:val="nil"/>
              <w:bottom w:val="nil"/>
            </w:tcBorders>
            <w:hideMark/>
          </w:tcPr>
          <w:p w14:paraId="6E2A6BA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4 (1.8%)</w:t>
            </w:r>
          </w:p>
        </w:tc>
        <w:tc>
          <w:tcPr>
            <w:tcW w:w="255" w:type="pct"/>
            <w:tcBorders>
              <w:top w:val="nil"/>
              <w:bottom w:val="nil"/>
            </w:tcBorders>
            <w:hideMark/>
          </w:tcPr>
          <w:p w14:paraId="6C7061FE"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216</w:t>
            </w:r>
          </w:p>
        </w:tc>
      </w:tr>
      <w:tr w:rsidR="00F51435" w:rsidRPr="00F51435" w14:paraId="21C3E7A3" w14:textId="77777777" w:rsidTr="008F5577">
        <w:tc>
          <w:tcPr>
            <w:tcW w:w="567" w:type="pct"/>
            <w:tcBorders>
              <w:top w:val="nil"/>
              <w:bottom w:val="single" w:sz="4" w:space="0" w:color="auto"/>
            </w:tcBorders>
            <w:hideMark/>
          </w:tcPr>
          <w:p w14:paraId="0C7A8C5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 xml:space="preserve">Beyond 1700 </w:t>
            </w:r>
            <w:proofErr w:type="spellStart"/>
            <w:r w:rsidRPr="00F51435">
              <w:rPr>
                <w:rFonts w:ascii="Arial" w:hAnsi="Arial" w:cs="Arial"/>
                <w:sz w:val="20"/>
                <w:szCs w:val="20"/>
              </w:rPr>
              <w:t>hrs</w:t>
            </w:r>
            <w:proofErr w:type="spellEnd"/>
          </w:p>
        </w:tc>
        <w:tc>
          <w:tcPr>
            <w:tcW w:w="555" w:type="pct"/>
            <w:tcBorders>
              <w:top w:val="nil"/>
              <w:bottom w:val="single" w:sz="4" w:space="0" w:color="auto"/>
            </w:tcBorders>
            <w:hideMark/>
          </w:tcPr>
          <w:p w14:paraId="5466D5D9"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 (100.0%)</w:t>
            </w:r>
          </w:p>
        </w:tc>
        <w:tc>
          <w:tcPr>
            <w:tcW w:w="974" w:type="pct"/>
            <w:tcBorders>
              <w:top w:val="nil"/>
              <w:bottom w:val="single" w:sz="4" w:space="0" w:color="auto"/>
            </w:tcBorders>
            <w:hideMark/>
          </w:tcPr>
          <w:p w14:paraId="0826C36C"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19" w:type="pct"/>
            <w:tcBorders>
              <w:top w:val="nil"/>
              <w:bottom w:val="single" w:sz="4" w:space="0" w:color="auto"/>
            </w:tcBorders>
            <w:hideMark/>
          </w:tcPr>
          <w:p w14:paraId="5223B4B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572" w:type="pct"/>
            <w:tcBorders>
              <w:top w:val="nil"/>
              <w:bottom w:val="single" w:sz="4" w:space="0" w:color="auto"/>
            </w:tcBorders>
            <w:hideMark/>
          </w:tcPr>
          <w:p w14:paraId="3ED7B57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648" w:type="pct"/>
            <w:tcBorders>
              <w:top w:val="nil"/>
              <w:bottom w:val="single" w:sz="4" w:space="0" w:color="auto"/>
            </w:tcBorders>
            <w:hideMark/>
          </w:tcPr>
          <w:p w14:paraId="74590418"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811" w:type="pct"/>
            <w:tcBorders>
              <w:top w:val="nil"/>
              <w:bottom w:val="single" w:sz="4" w:space="0" w:color="auto"/>
            </w:tcBorders>
            <w:hideMark/>
          </w:tcPr>
          <w:p w14:paraId="15FF0E93"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0 (0.0%)</w:t>
            </w:r>
          </w:p>
        </w:tc>
        <w:tc>
          <w:tcPr>
            <w:tcW w:w="255" w:type="pct"/>
            <w:tcBorders>
              <w:top w:val="nil"/>
              <w:bottom w:val="single" w:sz="4" w:space="0" w:color="auto"/>
            </w:tcBorders>
            <w:hideMark/>
          </w:tcPr>
          <w:p w14:paraId="74DEC8A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1</w:t>
            </w:r>
          </w:p>
        </w:tc>
      </w:tr>
      <w:tr w:rsidR="00F51435" w:rsidRPr="00F51435" w14:paraId="1604E609" w14:textId="77777777" w:rsidTr="008F5577">
        <w:tc>
          <w:tcPr>
            <w:tcW w:w="567" w:type="pct"/>
            <w:tcBorders>
              <w:top w:val="single" w:sz="4" w:space="0" w:color="auto"/>
            </w:tcBorders>
            <w:hideMark/>
          </w:tcPr>
          <w:p w14:paraId="739A2A8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Total</w:t>
            </w:r>
          </w:p>
        </w:tc>
        <w:tc>
          <w:tcPr>
            <w:tcW w:w="555" w:type="pct"/>
            <w:tcBorders>
              <w:top w:val="single" w:sz="4" w:space="0" w:color="auto"/>
            </w:tcBorders>
            <w:hideMark/>
          </w:tcPr>
          <w:p w14:paraId="7C5FA1B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511 (94.3%)</w:t>
            </w:r>
          </w:p>
        </w:tc>
        <w:tc>
          <w:tcPr>
            <w:tcW w:w="974" w:type="pct"/>
            <w:tcBorders>
              <w:top w:val="single" w:sz="4" w:space="0" w:color="auto"/>
            </w:tcBorders>
            <w:hideMark/>
          </w:tcPr>
          <w:p w14:paraId="7BCAD2F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2 (0.4%)</w:t>
            </w:r>
          </w:p>
        </w:tc>
        <w:tc>
          <w:tcPr>
            <w:tcW w:w="619" w:type="pct"/>
            <w:tcBorders>
              <w:top w:val="single" w:sz="4" w:space="0" w:color="auto"/>
            </w:tcBorders>
            <w:hideMark/>
          </w:tcPr>
          <w:p w14:paraId="2F0B916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4 (0.7%)</w:t>
            </w:r>
          </w:p>
        </w:tc>
        <w:tc>
          <w:tcPr>
            <w:tcW w:w="572" w:type="pct"/>
            <w:tcBorders>
              <w:top w:val="single" w:sz="4" w:space="0" w:color="auto"/>
            </w:tcBorders>
            <w:hideMark/>
          </w:tcPr>
          <w:p w14:paraId="69D660F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6 (1.1%)</w:t>
            </w:r>
          </w:p>
        </w:tc>
        <w:tc>
          <w:tcPr>
            <w:tcW w:w="648" w:type="pct"/>
            <w:tcBorders>
              <w:top w:val="single" w:sz="4" w:space="0" w:color="auto"/>
            </w:tcBorders>
            <w:hideMark/>
          </w:tcPr>
          <w:p w14:paraId="60525B7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3 (0.6%)</w:t>
            </w:r>
          </w:p>
        </w:tc>
        <w:tc>
          <w:tcPr>
            <w:tcW w:w="811" w:type="pct"/>
            <w:tcBorders>
              <w:top w:val="single" w:sz="4" w:space="0" w:color="auto"/>
            </w:tcBorders>
            <w:hideMark/>
          </w:tcPr>
          <w:p w14:paraId="528CA4FF"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16 (3.0%)</w:t>
            </w:r>
          </w:p>
        </w:tc>
        <w:tc>
          <w:tcPr>
            <w:tcW w:w="255" w:type="pct"/>
            <w:tcBorders>
              <w:top w:val="single" w:sz="4" w:space="0" w:color="auto"/>
            </w:tcBorders>
            <w:hideMark/>
          </w:tcPr>
          <w:p w14:paraId="78A2BBA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542</w:t>
            </w:r>
          </w:p>
        </w:tc>
      </w:tr>
    </w:tbl>
    <w:p w14:paraId="54F992F4" w14:textId="77777777" w:rsidR="00F51435" w:rsidRPr="00F51435" w:rsidRDefault="00F51435" w:rsidP="00F51435">
      <w:pPr>
        <w:spacing w:line="360" w:lineRule="auto"/>
        <w:jc w:val="both"/>
        <w:rPr>
          <w:rFonts w:ascii="Arial" w:hAnsi="Arial" w:cs="Arial"/>
        </w:rPr>
      </w:pPr>
      <w:r w:rsidRPr="00F51435">
        <w:rPr>
          <w:rFonts w:ascii="Arial" w:hAnsi="Arial" w:cs="Arial"/>
        </w:rPr>
        <w:t xml:space="preserve">The findings show that most donors (94.3%) did not experience any adverse reaction across all donation time periods. The distribution of specific adverse reactions such as dizziness, fainting, sweating, and hematoma was very low and scattered across all time categories without a consistent pattern. The 1501-1700 </w:t>
      </w:r>
      <w:proofErr w:type="spellStart"/>
      <w:r w:rsidRPr="00F51435">
        <w:rPr>
          <w:rFonts w:ascii="Arial" w:hAnsi="Arial" w:cs="Arial"/>
        </w:rPr>
        <w:t>hrs</w:t>
      </w:r>
      <w:proofErr w:type="spellEnd"/>
      <w:r w:rsidRPr="00F51435">
        <w:rPr>
          <w:rFonts w:ascii="Arial" w:hAnsi="Arial" w:cs="Arial"/>
        </w:rPr>
        <w:t xml:space="preserve"> and 1301-1500 </w:t>
      </w:r>
      <w:proofErr w:type="spellStart"/>
      <w:r w:rsidRPr="00F51435">
        <w:rPr>
          <w:rFonts w:ascii="Arial" w:hAnsi="Arial" w:cs="Arial"/>
        </w:rPr>
        <w:t>hrs</w:t>
      </w:r>
      <w:proofErr w:type="spellEnd"/>
      <w:r w:rsidRPr="00F51435">
        <w:rPr>
          <w:rFonts w:ascii="Arial" w:hAnsi="Arial" w:cs="Arial"/>
        </w:rPr>
        <w:t xml:space="preserve"> periods recorded slightly more varied adverse reaction types; however, these differences reflect the larger number of donors in these time slots rather than a meaningful increase in risk. The early morning period (0900–1100 </w:t>
      </w:r>
      <w:proofErr w:type="spellStart"/>
      <w:r w:rsidRPr="00F51435">
        <w:rPr>
          <w:rFonts w:ascii="Arial" w:hAnsi="Arial" w:cs="Arial"/>
        </w:rPr>
        <w:t>hrs</w:t>
      </w:r>
      <w:proofErr w:type="spellEnd"/>
      <w:r w:rsidRPr="00F51435">
        <w:rPr>
          <w:rFonts w:ascii="Arial" w:hAnsi="Arial" w:cs="Arial"/>
        </w:rPr>
        <w:t>) showed isolated cases of fainting and combined reactions, while the remaining periods showed minimal or no variation in reaction types.</w:t>
      </w:r>
    </w:p>
    <w:p w14:paraId="05877083" w14:textId="77777777" w:rsidR="00F51435" w:rsidRPr="00F51435" w:rsidRDefault="00F51435" w:rsidP="00F51435">
      <w:pPr>
        <w:spacing w:line="360" w:lineRule="auto"/>
        <w:jc w:val="both"/>
        <w:rPr>
          <w:rFonts w:ascii="Arial" w:hAnsi="Arial" w:cs="Arial"/>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single" w:sz="4" w:space="0" w:color="auto"/>
        </w:tblBorders>
        <w:tblLook w:val="0000" w:firstRow="0" w:lastRow="0" w:firstColumn="0" w:lastColumn="0" w:noHBand="0" w:noVBand="0"/>
      </w:tblPr>
      <w:tblGrid>
        <w:gridCol w:w="3074"/>
        <w:gridCol w:w="1558"/>
        <w:gridCol w:w="1558"/>
        <w:gridCol w:w="2234"/>
      </w:tblGrid>
      <w:tr w:rsidR="00F51435" w:rsidRPr="00F51435" w14:paraId="285EE43F" w14:textId="77777777" w:rsidTr="00EB1162">
        <w:tc>
          <w:tcPr>
            <w:tcW w:w="5000" w:type="pct"/>
            <w:gridSpan w:val="4"/>
            <w:tcBorders>
              <w:bottom w:val="single" w:sz="4" w:space="0" w:color="auto"/>
            </w:tcBorders>
          </w:tcPr>
          <w:p w14:paraId="37F40B36"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b/>
                <w:bCs/>
                <w:sz w:val="20"/>
                <w:szCs w:val="20"/>
              </w:rPr>
              <w:t>Chi-Square Tests</w:t>
            </w:r>
          </w:p>
        </w:tc>
      </w:tr>
      <w:tr w:rsidR="00F51435" w:rsidRPr="00F51435" w14:paraId="013FE393" w14:textId="77777777" w:rsidTr="00EB1162">
        <w:tc>
          <w:tcPr>
            <w:tcW w:w="1824" w:type="pct"/>
            <w:tcBorders>
              <w:top w:val="single" w:sz="4" w:space="0" w:color="auto"/>
              <w:bottom w:val="nil"/>
              <w:right w:val="nil"/>
            </w:tcBorders>
          </w:tcPr>
          <w:p w14:paraId="5B66FF41" w14:textId="77777777" w:rsidR="00F51435" w:rsidRPr="00F51435" w:rsidRDefault="00F51435" w:rsidP="00F51435">
            <w:pPr>
              <w:spacing w:line="360" w:lineRule="auto"/>
              <w:jc w:val="both"/>
              <w:rPr>
                <w:rFonts w:ascii="Arial" w:hAnsi="Arial" w:cs="Arial"/>
                <w:sz w:val="20"/>
                <w:szCs w:val="20"/>
              </w:rPr>
            </w:pPr>
          </w:p>
        </w:tc>
        <w:tc>
          <w:tcPr>
            <w:tcW w:w="925" w:type="pct"/>
            <w:tcBorders>
              <w:top w:val="single" w:sz="4" w:space="0" w:color="auto"/>
              <w:left w:val="nil"/>
              <w:bottom w:val="nil"/>
              <w:right w:val="nil"/>
            </w:tcBorders>
          </w:tcPr>
          <w:p w14:paraId="195B4D9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Value</w:t>
            </w:r>
          </w:p>
        </w:tc>
        <w:tc>
          <w:tcPr>
            <w:tcW w:w="925" w:type="pct"/>
            <w:tcBorders>
              <w:top w:val="single" w:sz="4" w:space="0" w:color="auto"/>
              <w:left w:val="nil"/>
              <w:bottom w:val="nil"/>
              <w:right w:val="nil"/>
            </w:tcBorders>
          </w:tcPr>
          <w:p w14:paraId="5EBB44D5"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df</w:t>
            </w:r>
          </w:p>
        </w:tc>
        <w:tc>
          <w:tcPr>
            <w:tcW w:w="1327" w:type="pct"/>
            <w:tcBorders>
              <w:top w:val="single" w:sz="4" w:space="0" w:color="auto"/>
              <w:left w:val="nil"/>
              <w:bottom w:val="nil"/>
            </w:tcBorders>
          </w:tcPr>
          <w:p w14:paraId="514C9012"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Asymptotic Significance (2-sided)</w:t>
            </w:r>
          </w:p>
        </w:tc>
      </w:tr>
      <w:tr w:rsidR="00F51435" w:rsidRPr="00F51435" w14:paraId="1BD1CC0B" w14:textId="77777777" w:rsidTr="00EB1162">
        <w:tc>
          <w:tcPr>
            <w:tcW w:w="1824" w:type="pct"/>
            <w:tcBorders>
              <w:top w:val="nil"/>
              <w:bottom w:val="nil"/>
              <w:right w:val="nil"/>
            </w:tcBorders>
          </w:tcPr>
          <w:p w14:paraId="0B0A3A8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Pearson Chi-Square</w:t>
            </w:r>
          </w:p>
        </w:tc>
        <w:tc>
          <w:tcPr>
            <w:tcW w:w="925" w:type="pct"/>
            <w:tcBorders>
              <w:top w:val="nil"/>
              <w:left w:val="nil"/>
              <w:bottom w:val="nil"/>
              <w:right w:val="nil"/>
            </w:tcBorders>
          </w:tcPr>
          <w:p w14:paraId="2272E78A"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78.670</w:t>
            </w:r>
            <w:r w:rsidRPr="00F51435">
              <w:rPr>
                <w:rFonts w:ascii="Arial" w:hAnsi="Arial" w:cs="Arial"/>
                <w:sz w:val="20"/>
                <w:szCs w:val="20"/>
                <w:vertAlign w:val="superscript"/>
              </w:rPr>
              <w:t>a</w:t>
            </w:r>
          </w:p>
        </w:tc>
        <w:tc>
          <w:tcPr>
            <w:tcW w:w="925" w:type="pct"/>
            <w:tcBorders>
              <w:top w:val="nil"/>
              <w:left w:val="nil"/>
              <w:bottom w:val="nil"/>
              <w:right w:val="nil"/>
            </w:tcBorders>
          </w:tcPr>
          <w:p w14:paraId="2D29707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76</w:t>
            </w:r>
          </w:p>
        </w:tc>
        <w:tc>
          <w:tcPr>
            <w:tcW w:w="1327" w:type="pct"/>
            <w:tcBorders>
              <w:top w:val="nil"/>
              <w:left w:val="nil"/>
              <w:bottom w:val="nil"/>
            </w:tcBorders>
          </w:tcPr>
          <w:p w14:paraId="29CC4077"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.394</w:t>
            </w:r>
          </w:p>
        </w:tc>
      </w:tr>
      <w:tr w:rsidR="00F51435" w:rsidRPr="00F51435" w14:paraId="6CA133F5" w14:textId="77777777" w:rsidTr="00EB1162">
        <w:trPr>
          <w:trHeight w:val="225"/>
        </w:trPr>
        <w:tc>
          <w:tcPr>
            <w:tcW w:w="1824" w:type="pct"/>
            <w:tcBorders>
              <w:top w:val="nil"/>
              <w:bottom w:val="nil"/>
              <w:right w:val="nil"/>
            </w:tcBorders>
          </w:tcPr>
          <w:p w14:paraId="5A8D83A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Likelihood Ratio</w:t>
            </w:r>
          </w:p>
        </w:tc>
        <w:tc>
          <w:tcPr>
            <w:tcW w:w="925" w:type="pct"/>
            <w:tcBorders>
              <w:top w:val="nil"/>
              <w:left w:val="nil"/>
              <w:bottom w:val="nil"/>
              <w:right w:val="nil"/>
            </w:tcBorders>
          </w:tcPr>
          <w:p w14:paraId="02012C2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66.999</w:t>
            </w:r>
          </w:p>
        </w:tc>
        <w:tc>
          <w:tcPr>
            <w:tcW w:w="925" w:type="pct"/>
            <w:tcBorders>
              <w:top w:val="nil"/>
              <w:left w:val="nil"/>
              <w:bottom w:val="nil"/>
              <w:right w:val="nil"/>
            </w:tcBorders>
          </w:tcPr>
          <w:p w14:paraId="02068020"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76</w:t>
            </w:r>
          </w:p>
        </w:tc>
        <w:tc>
          <w:tcPr>
            <w:tcW w:w="1327" w:type="pct"/>
            <w:tcBorders>
              <w:top w:val="nil"/>
              <w:left w:val="nil"/>
              <w:bottom w:val="nil"/>
            </w:tcBorders>
          </w:tcPr>
          <w:p w14:paraId="4E6DFD74"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.760</w:t>
            </w:r>
          </w:p>
        </w:tc>
      </w:tr>
      <w:tr w:rsidR="00F51435" w:rsidRPr="00F51435" w14:paraId="3BB3A7FE" w14:textId="77777777" w:rsidTr="00EB1162">
        <w:tc>
          <w:tcPr>
            <w:tcW w:w="1824" w:type="pct"/>
            <w:tcBorders>
              <w:top w:val="nil"/>
              <w:bottom w:val="single" w:sz="4" w:space="0" w:color="auto"/>
              <w:right w:val="nil"/>
            </w:tcBorders>
          </w:tcPr>
          <w:p w14:paraId="7F533AF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lastRenderedPageBreak/>
              <w:t>N of Valid Cases</w:t>
            </w:r>
          </w:p>
        </w:tc>
        <w:tc>
          <w:tcPr>
            <w:tcW w:w="925" w:type="pct"/>
            <w:tcBorders>
              <w:top w:val="nil"/>
              <w:left w:val="nil"/>
              <w:bottom w:val="single" w:sz="4" w:space="0" w:color="auto"/>
              <w:right w:val="nil"/>
            </w:tcBorders>
          </w:tcPr>
          <w:p w14:paraId="370AAE7D"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542</w:t>
            </w:r>
          </w:p>
        </w:tc>
        <w:tc>
          <w:tcPr>
            <w:tcW w:w="925" w:type="pct"/>
            <w:tcBorders>
              <w:top w:val="nil"/>
              <w:left w:val="nil"/>
              <w:bottom w:val="single" w:sz="4" w:space="0" w:color="auto"/>
              <w:right w:val="nil"/>
            </w:tcBorders>
          </w:tcPr>
          <w:p w14:paraId="2FD4BC44" w14:textId="77777777" w:rsidR="00F51435" w:rsidRPr="00F51435" w:rsidRDefault="00F51435" w:rsidP="00F51435">
            <w:pPr>
              <w:spacing w:line="360" w:lineRule="auto"/>
              <w:jc w:val="both"/>
              <w:rPr>
                <w:rFonts w:ascii="Arial" w:hAnsi="Arial" w:cs="Arial"/>
                <w:sz w:val="20"/>
                <w:szCs w:val="20"/>
              </w:rPr>
            </w:pPr>
          </w:p>
        </w:tc>
        <w:tc>
          <w:tcPr>
            <w:tcW w:w="1327" w:type="pct"/>
            <w:tcBorders>
              <w:top w:val="nil"/>
              <w:left w:val="nil"/>
              <w:bottom w:val="single" w:sz="4" w:space="0" w:color="auto"/>
            </w:tcBorders>
          </w:tcPr>
          <w:p w14:paraId="0F4741CA" w14:textId="77777777" w:rsidR="00F51435" w:rsidRPr="00F51435" w:rsidRDefault="00F51435" w:rsidP="00F51435">
            <w:pPr>
              <w:spacing w:line="360" w:lineRule="auto"/>
              <w:jc w:val="both"/>
              <w:rPr>
                <w:rFonts w:ascii="Arial" w:hAnsi="Arial" w:cs="Arial"/>
                <w:sz w:val="20"/>
                <w:szCs w:val="20"/>
              </w:rPr>
            </w:pPr>
          </w:p>
        </w:tc>
      </w:tr>
      <w:tr w:rsidR="00F51435" w:rsidRPr="00F51435" w14:paraId="252CBC27" w14:textId="77777777" w:rsidTr="00EB1162">
        <w:tc>
          <w:tcPr>
            <w:tcW w:w="5000" w:type="pct"/>
            <w:gridSpan w:val="4"/>
            <w:tcBorders>
              <w:top w:val="single" w:sz="4" w:space="0" w:color="auto"/>
            </w:tcBorders>
          </w:tcPr>
          <w:p w14:paraId="76408B4B" w14:textId="77777777" w:rsidR="00F51435" w:rsidRPr="00F51435" w:rsidRDefault="00F51435" w:rsidP="00F51435">
            <w:pPr>
              <w:spacing w:line="360" w:lineRule="auto"/>
              <w:jc w:val="both"/>
              <w:rPr>
                <w:rFonts w:ascii="Arial" w:hAnsi="Arial" w:cs="Arial"/>
                <w:sz w:val="20"/>
                <w:szCs w:val="20"/>
              </w:rPr>
            </w:pPr>
            <w:r w:rsidRPr="00F51435">
              <w:rPr>
                <w:rFonts w:ascii="Arial" w:hAnsi="Arial" w:cs="Arial"/>
                <w:sz w:val="20"/>
                <w:szCs w:val="20"/>
              </w:rPr>
              <w:t>a. 96 cells (96.0%) have expected count less than 5. The minimum expected count is .00.</w:t>
            </w:r>
          </w:p>
        </w:tc>
      </w:tr>
    </w:tbl>
    <w:p w14:paraId="403ADA0B" w14:textId="77777777" w:rsidR="00F51435" w:rsidRPr="00F51435" w:rsidRDefault="00F51435" w:rsidP="00F51435">
      <w:pPr>
        <w:spacing w:line="360" w:lineRule="auto"/>
        <w:jc w:val="both"/>
        <w:rPr>
          <w:rFonts w:ascii="Arial" w:hAnsi="Arial" w:cs="Arial"/>
        </w:rPr>
      </w:pPr>
      <w:r w:rsidRPr="00F51435">
        <w:rPr>
          <w:rFonts w:ascii="Arial" w:hAnsi="Arial" w:cs="Arial"/>
        </w:rPr>
        <w:t>A Chi-square test of independence was conducted to determine whether there was a statistically significant association between the time of blood donation and the type of adverse reaction experienced among donors.</w:t>
      </w:r>
    </w:p>
    <w:p w14:paraId="272059A9" w14:textId="6EF4C47B" w:rsidR="007562A0" w:rsidRDefault="00F51435" w:rsidP="00124506">
      <w:pPr>
        <w:spacing w:line="360" w:lineRule="auto"/>
        <w:jc w:val="both"/>
        <w:rPr>
          <w:rFonts w:ascii="Arial" w:hAnsi="Arial" w:cs="Arial"/>
        </w:rPr>
      </w:pPr>
      <w:r w:rsidRPr="00F51435">
        <w:rPr>
          <w:rFonts w:ascii="Arial" w:hAnsi="Arial" w:cs="Arial"/>
        </w:rPr>
        <w:t>The results showed no statistically significant association between donation time and type of adverse reaction (χ</w:t>
      </w:r>
      <w:proofErr w:type="gramStart"/>
      <w:r w:rsidRPr="00F51435">
        <w:rPr>
          <w:rFonts w:ascii="Arial" w:hAnsi="Arial" w:cs="Arial"/>
        </w:rPr>
        <w:t>²(</w:t>
      </w:r>
      <w:proofErr w:type="gramEnd"/>
      <w:r w:rsidRPr="00F51435">
        <w:rPr>
          <w:rFonts w:ascii="Arial" w:hAnsi="Arial" w:cs="Arial"/>
        </w:rPr>
        <w:t>76, N = 542) = 78.670, p = 0.394). The likelihood ratio test also confirmed the absence of a significant relationship (p = 0.760). This indicates that the type of adverse reaction experienced is independent of the time of donation.</w:t>
      </w:r>
    </w:p>
    <w:p w14:paraId="416DBDB8" w14:textId="77777777" w:rsidR="007562A0" w:rsidRDefault="007562A0" w:rsidP="00441B6F">
      <w:pPr>
        <w:pStyle w:val="Head1"/>
        <w:spacing w:after="0"/>
        <w:jc w:val="both"/>
        <w:rPr>
          <w:rFonts w:ascii="Arial" w:hAnsi="Arial" w:cs="Arial"/>
        </w:rPr>
      </w:pPr>
    </w:p>
    <w:p w14:paraId="703E0FB0" w14:textId="20A2B62A" w:rsidR="00790ADA" w:rsidRPr="00FB3A86" w:rsidRDefault="007562A0" w:rsidP="00441B6F">
      <w:pPr>
        <w:pStyle w:val="Head1"/>
        <w:spacing w:after="0"/>
        <w:jc w:val="both"/>
        <w:rPr>
          <w:rFonts w:ascii="Arial" w:hAnsi="Arial" w:cs="Arial"/>
        </w:rPr>
      </w:pPr>
      <w:r>
        <w:rPr>
          <w:rFonts w:ascii="Arial" w:hAnsi="Arial" w:cs="Arial"/>
        </w:rPr>
        <w:t>4</w:t>
      </w:r>
      <w:r w:rsidR="008F5577">
        <w:rPr>
          <w:rFonts w:ascii="Arial" w:hAnsi="Arial" w:cs="Arial"/>
        </w:rPr>
        <w:t>. DISCUSSION</w:t>
      </w:r>
    </w:p>
    <w:p w14:paraId="2A858B9B" w14:textId="77777777" w:rsidR="00D84BFA" w:rsidRPr="00D84BFA" w:rsidRDefault="00D84BFA" w:rsidP="00D84BFA">
      <w:pPr>
        <w:pStyle w:val="NormalWeb"/>
        <w:spacing w:before="0" w:beforeAutospacing="0" w:after="0" w:afterAutospacing="0" w:line="360" w:lineRule="auto"/>
        <w:jc w:val="both"/>
        <w:rPr>
          <w:rFonts w:ascii="Arial" w:hAnsi="Arial" w:cs="Arial"/>
          <w:sz w:val="20"/>
          <w:szCs w:val="20"/>
        </w:rPr>
      </w:pPr>
      <w:r w:rsidRPr="00D84BFA">
        <w:rPr>
          <w:rFonts w:ascii="Arial" w:hAnsi="Arial" w:cs="Arial"/>
          <w:sz w:val="20"/>
          <w:szCs w:val="20"/>
        </w:rPr>
        <w:t>This study assessed the influence of donors’ education level, ABO/Rhesus blood groups, and donation timing on the occurrence of blood donation-related adverse reactions (BDRARs) among voluntary donors at the Kisumu Regional Blood Transfusion Centre. The overall prevalence of BDRARs was 5.7%, indicating that blood donation is generally a safe procedure. This finding aligns with global reports, which estimate the incidence of BDRARs among whole blood donors to range between 2% and 8% (WHO, 2023; Goldman et al., 2023). The low prevalence observed in this study reflects the effectiveness of current donor selection procedures, pre-donation screening, and monitoring practices employed at the center, emphasizing that adherence to international safety standards can substantially mitigate the risk of complications.</w:t>
      </w:r>
    </w:p>
    <w:p w14:paraId="60497B18" w14:textId="77777777" w:rsidR="00D84BFA" w:rsidRPr="00D84BFA" w:rsidRDefault="00D84BFA" w:rsidP="00D84BFA">
      <w:pPr>
        <w:pStyle w:val="NormalWeb"/>
        <w:spacing w:before="0" w:beforeAutospacing="0" w:after="0" w:afterAutospacing="0" w:line="360" w:lineRule="auto"/>
        <w:jc w:val="both"/>
        <w:rPr>
          <w:rFonts w:ascii="Arial" w:hAnsi="Arial" w:cs="Arial"/>
          <w:sz w:val="20"/>
          <w:szCs w:val="20"/>
        </w:rPr>
      </w:pPr>
      <w:r w:rsidRPr="00D84BFA">
        <w:rPr>
          <w:rFonts w:ascii="Arial" w:hAnsi="Arial" w:cs="Arial"/>
          <w:sz w:val="20"/>
          <w:szCs w:val="20"/>
        </w:rPr>
        <w:t>The most frequently reported adverse reactions were sweating and dizziness, which are classic signs of vasovagal responses. Vasovagal reactions are triggered by transient hypotension or bradycardia in response to anxiety, pain, or the sight of blood, and have been consistently reported as the most common complications during blood donation (Newman, 2022; Veldhuizen et al., 2023). Although such reactions are typically mild and self-limiting, their occurrence can negatively impact donor experience and willingness to return for subsequent donations (Brunson et al., 2022). This underscores the importance of continuous donor education, supportive staff presence, and reassurance during donation to reduce anxiety and prevent vasovagal reactions, particularly among first-time donors who may be unfamiliar with the donation process.</w:t>
      </w:r>
    </w:p>
    <w:p w14:paraId="7E0433FD" w14:textId="77777777" w:rsidR="00D84BFA" w:rsidRPr="00D84BFA" w:rsidRDefault="00D84BFA" w:rsidP="00D84BFA">
      <w:pPr>
        <w:pStyle w:val="NormalWeb"/>
        <w:spacing w:before="0" w:beforeAutospacing="0" w:after="0" w:afterAutospacing="0" w:line="360" w:lineRule="auto"/>
        <w:jc w:val="both"/>
        <w:rPr>
          <w:rFonts w:ascii="Arial" w:hAnsi="Arial" w:cs="Arial"/>
          <w:sz w:val="20"/>
          <w:szCs w:val="20"/>
        </w:rPr>
      </w:pPr>
      <w:r w:rsidRPr="00D84BFA">
        <w:rPr>
          <w:rFonts w:ascii="Arial" w:hAnsi="Arial" w:cs="Arial"/>
          <w:sz w:val="20"/>
          <w:szCs w:val="20"/>
        </w:rPr>
        <w:t xml:space="preserve">The study explored whether ABO blood group influenced the likelihood of experiencing adverse reactions. Donors with blood group A recorded a slightly higher proportion of reactions compared to other blood groups, while group O donors had the lowest proportion. However, the association was not statistically significant, consistent with recent findings suggesting that ABO blood group is not a reliable predictor of donor adverse reactions </w:t>
      </w:r>
      <w:r w:rsidRPr="00D84BFA">
        <w:rPr>
          <w:rFonts w:ascii="Arial" w:hAnsi="Arial" w:cs="Arial"/>
          <w:sz w:val="20"/>
          <w:szCs w:val="20"/>
        </w:rPr>
        <w:lastRenderedPageBreak/>
        <w:t>(Schreiber et al., 2021; Goldman et al., 2023). Likewise, Rhesus status did not demonstrate any significant relationship with BDRARs, indicating that immunohematological characteristics have limited clinical relevance in predicting adverse donor outcomes. These results suggest that routine blood group screening may not provide actionable insights for donor risk stratification regarding adverse reactions.</w:t>
      </w:r>
    </w:p>
    <w:p w14:paraId="024B5CD0" w14:textId="77777777" w:rsidR="00D84BFA" w:rsidRPr="00D84BFA" w:rsidRDefault="00D84BFA" w:rsidP="00D84BFA">
      <w:pPr>
        <w:pStyle w:val="NormalWeb"/>
        <w:spacing w:before="0" w:beforeAutospacing="0" w:after="0" w:afterAutospacing="0" w:line="360" w:lineRule="auto"/>
        <w:jc w:val="both"/>
        <w:rPr>
          <w:rFonts w:ascii="Arial" w:hAnsi="Arial" w:cs="Arial"/>
          <w:sz w:val="20"/>
          <w:szCs w:val="20"/>
        </w:rPr>
      </w:pPr>
      <w:r w:rsidRPr="00D84BFA">
        <w:rPr>
          <w:rFonts w:ascii="Arial" w:hAnsi="Arial" w:cs="Arial"/>
          <w:sz w:val="20"/>
          <w:szCs w:val="20"/>
        </w:rPr>
        <w:t>Donors’ education level was also examined as a potential determinant of adverse reactions. Slightly higher rates were observed among donors with secondary education compared to those with tertiary education, but this difference was not statistically significant. Education has been hypothesized to influence donor behavior by affecting awareness, anxiety levels, and compliance with pre-donation guidelines (Tagny et al., 2022). The absence of a significant association in this study suggests that education alone may not strongly predict BDRARs, and that physiological, psychological, and environmental factors may play a more central role in influencing donor reactions.</w:t>
      </w:r>
    </w:p>
    <w:p w14:paraId="20343A42" w14:textId="77777777" w:rsidR="00D84BFA" w:rsidRPr="00D84BFA" w:rsidRDefault="00D84BFA" w:rsidP="00D84BFA">
      <w:pPr>
        <w:pStyle w:val="NormalWeb"/>
        <w:spacing w:before="0" w:beforeAutospacing="0" w:after="0" w:afterAutospacing="0" w:line="360" w:lineRule="auto"/>
        <w:jc w:val="both"/>
        <w:rPr>
          <w:rFonts w:ascii="Arial" w:hAnsi="Arial" w:cs="Arial"/>
          <w:sz w:val="20"/>
          <w:szCs w:val="20"/>
        </w:rPr>
      </w:pPr>
      <w:r w:rsidRPr="00D84BFA">
        <w:rPr>
          <w:rFonts w:ascii="Arial" w:hAnsi="Arial" w:cs="Arial"/>
          <w:sz w:val="20"/>
          <w:szCs w:val="20"/>
        </w:rPr>
        <w:t>The timing of donation was considered as a potential modifiable factor. Although slightly more reactions occurred during morning donation sessions, the difference was not statistically significant. Prior studies have suggested that factors such as hydration status, fasting, circadian rhythms, and donor fatigue can influence susceptibility to vasovagal events (Wang et al., 2019; Newman, 2022). The findings from this study indicate that donation time in isolation may not be a reliable predictor of adverse reactions, highlighting the multifactorial nature of donor responses.</w:t>
      </w:r>
    </w:p>
    <w:p w14:paraId="0EABAD48" w14:textId="77777777" w:rsidR="00D84BFA" w:rsidRPr="00D84BFA" w:rsidRDefault="00D84BFA" w:rsidP="00D84BFA">
      <w:pPr>
        <w:pStyle w:val="NormalWeb"/>
        <w:spacing w:before="0" w:beforeAutospacing="0" w:after="0" w:afterAutospacing="0" w:line="360" w:lineRule="auto"/>
        <w:jc w:val="both"/>
        <w:rPr>
          <w:rFonts w:ascii="Arial" w:hAnsi="Arial" w:cs="Arial"/>
          <w:sz w:val="20"/>
          <w:szCs w:val="20"/>
        </w:rPr>
      </w:pPr>
      <w:r w:rsidRPr="00D84BFA">
        <w:rPr>
          <w:rFonts w:ascii="Arial" w:hAnsi="Arial" w:cs="Arial"/>
          <w:sz w:val="20"/>
          <w:szCs w:val="20"/>
        </w:rPr>
        <w:t>An important observation in this study was that first-time donors constituted the majority of participants. Literature consistently reports that first-time donors are at higher risk of BDRARs due to anxiety, unfamiliarity with the procedure, and physiological factors such as lower blood volume or lower body mass index (Veldhuizen et al., 2023; Goldman et al., 2023). Although not the primary focus of this research, this factor likely contributed to some of the adverse reactions observed and underscores the need for targeted interventions aimed at supporting first-time donors.</w:t>
      </w:r>
    </w:p>
    <w:p w14:paraId="6B234938" w14:textId="77777777" w:rsidR="00D84BFA" w:rsidRDefault="00D84BFA" w:rsidP="00D84BFA">
      <w:pPr>
        <w:pStyle w:val="NormalWeb"/>
        <w:spacing w:before="0" w:beforeAutospacing="0" w:after="0" w:afterAutospacing="0" w:line="360" w:lineRule="auto"/>
        <w:jc w:val="both"/>
      </w:pPr>
      <w:r w:rsidRPr="00D84BFA">
        <w:rPr>
          <w:rFonts w:ascii="Arial" w:hAnsi="Arial" w:cs="Arial"/>
          <w:sz w:val="20"/>
          <w:szCs w:val="20"/>
        </w:rPr>
        <w:t>Overall, the findings suggest that while BDRARs occur at a relatively low frequency, the studied variables; education level, ABO/Rhesus blood group, and donation time, do not significantly predict their occurrence. This highlights the need to explore additional determinants, including donor anxiety, hydration status, body mass index, previous donation experience, and procedural factors such as phlebotomy technique. Strengthening hemovigilance systems, implementing donor-centered care strategies, and providing education and reassurance during donation remain critical for minimizing adverse reactions, improving donor satisfaction, and enhancing retention. These measures are essential for sustaining a safe and reliable blood supply in Kenya and across sub-Saharan Africa</w:t>
      </w:r>
      <w:r>
        <w:t>.</w:t>
      </w:r>
    </w:p>
    <w:p w14:paraId="4C301C74" w14:textId="77777777" w:rsidR="00790ADA" w:rsidRPr="00FB3A86" w:rsidRDefault="00790ADA" w:rsidP="00441B6F">
      <w:pPr>
        <w:pStyle w:val="Body"/>
        <w:spacing w:after="0"/>
        <w:rPr>
          <w:rFonts w:ascii="Arial" w:hAnsi="Arial" w:cs="Arial"/>
        </w:rPr>
      </w:pPr>
    </w:p>
    <w:p w14:paraId="2D33B06B" w14:textId="2C5FACCA" w:rsidR="00790ADA" w:rsidRPr="00FB3A86" w:rsidRDefault="007562A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2A24870" w14:textId="04B84CED" w:rsidR="00C74A7B" w:rsidRDefault="00C74A7B" w:rsidP="00C74A7B">
      <w:pPr>
        <w:spacing w:line="360" w:lineRule="auto"/>
        <w:jc w:val="both"/>
        <w:rPr>
          <w:rFonts w:ascii="Arial" w:hAnsi="Arial" w:cs="Arial"/>
        </w:rPr>
      </w:pPr>
      <w:r w:rsidRPr="00C74A7B">
        <w:rPr>
          <w:rFonts w:ascii="Arial" w:hAnsi="Arial" w:cs="Arial"/>
        </w:rPr>
        <w:t>This study demonstrates that blood donation is generally safe, with a low prevalence of adverse reactions among voluntary donors at the Kisumu Regional Blood Transfusion Centre. Education level, ABO/Rhesus blood group, and donation time were not significant predictors of adverse reactions. The findings highlight the importance of donor-centered care, hemovigilance, and targeted support for first-time donors to enhance safety, satisfaction, and retention, ultimately strengthening the blood transfusion system in Kenya.</w:t>
      </w:r>
    </w:p>
    <w:p w14:paraId="2D6BC8A3" w14:textId="7C1299E8" w:rsidR="00066FB4" w:rsidRDefault="00066FB4" w:rsidP="00C74A7B">
      <w:pPr>
        <w:spacing w:line="360" w:lineRule="auto"/>
        <w:jc w:val="both"/>
        <w:rPr>
          <w:rFonts w:ascii="Arial" w:hAnsi="Arial" w:cs="Arial"/>
          <w:b/>
          <w:bCs/>
        </w:rPr>
      </w:pPr>
    </w:p>
    <w:p w14:paraId="328A8DB7" w14:textId="09F6C1B5" w:rsidR="00066FB4" w:rsidRDefault="00066FB4" w:rsidP="00066FB4">
      <w:pPr>
        <w:pStyle w:val="DefAcrHead"/>
        <w:spacing w:after="0"/>
        <w:jc w:val="both"/>
        <w:rPr>
          <w:rFonts w:ascii="Arial" w:hAnsi="Arial" w:cs="Arial"/>
        </w:rPr>
      </w:pPr>
      <w:r w:rsidRPr="00FB3A86">
        <w:rPr>
          <w:rFonts w:ascii="Arial" w:hAnsi="Arial" w:cs="Arial"/>
        </w:rPr>
        <w:t>Definitions, Acronyms, Abbreviations</w:t>
      </w:r>
    </w:p>
    <w:p w14:paraId="5A71E7E9" w14:textId="77777777" w:rsidR="00066FB4" w:rsidRDefault="00066FB4" w:rsidP="00066FB4">
      <w:pPr>
        <w:pStyle w:val="DefAcrHead"/>
        <w:spacing w:after="0"/>
        <w:jc w:val="both"/>
        <w:rPr>
          <w:rFonts w:ascii="Arial" w:hAnsi="Arial" w:cs="Arial"/>
        </w:rPr>
      </w:pPr>
    </w:p>
    <w:p w14:paraId="086B7548" w14:textId="77777777" w:rsidR="00066FB4" w:rsidRPr="0009368D" w:rsidRDefault="00066FB4" w:rsidP="00066FB4">
      <w:pPr>
        <w:spacing w:line="360" w:lineRule="auto"/>
        <w:jc w:val="both"/>
        <w:rPr>
          <w:rFonts w:ascii="Arial" w:hAnsi="Arial" w:cs="Arial"/>
          <w:bCs/>
        </w:rPr>
      </w:pPr>
      <w:r w:rsidRPr="0009368D">
        <w:rPr>
          <w:rFonts w:ascii="Arial" w:hAnsi="Arial" w:cs="Arial"/>
          <w:bCs/>
        </w:rPr>
        <w:t xml:space="preserve">BDRARs: Blood Donation-Related Adverse Reactions; BMI: Body Mass Index; DBP: Diastolic Blood Pressure; EBV: Estimated Blood Volume; FFP: Fresh Frozen Plasma; HB: Hemoglobin level; KMLTTB: Kenya Medical Laboratory Technicians and Technologist Board; MOH: Ministry of Health; NACOSTI: National Commission for Science, Technology and Innovation; PDMP: Plasma Derived Medicinal products; RBTC: Regional Blood Transfusion Centers; SBP: Systolic Blood Pressure; SPSS: Statistical Package for Social Sciences; </w:t>
      </w:r>
      <w:proofErr w:type="spellStart"/>
      <w:r w:rsidRPr="0009368D">
        <w:rPr>
          <w:rFonts w:ascii="Arial" w:hAnsi="Arial" w:cs="Arial"/>
          <w:bCs/>
        </w:rPr>
        <w:t>TIVET:</w:t>
      </w:r>
      <w:r w:rsidRPr="0009368D">
        <w:rPr>
          <w:rFonts w:ascii="Arial" w:hAnsi="Arial" w:cs="Arial"/>
          <w:bCs/>
          <w:color w:val="202124"/>
          <w:shd w:val="clear" w:color="auto" w:fill="FFFFFF"/>
        </w:rPr>
        <w:t>Technical</w:t>
      </w:r>
      <w:proofErr w:type="spellEnd"/>
      <w:r w:rsidRPr="0009368D">
        <w:rPr>
          <w:rFonts w:ascii="Arial" w:hAnsi="Arial" w:cs="Arial"/>
          <w:bCs/>
          <w:color w:val="202124"/>
          <w:shd w:val="clear" w:color="auto" w:fill="FFFFFF"/>
        </w:rPr>
        <w:t xml:space="preserve"> Industrial Vocational and Entrepreneurship </w:t>
      </w:r>
      <w:proofErr w:type="spellStart"/>
      <w:r w:rsidRPr="0009368D">
        <w:rPr>
          <w:rFonts w:ascii="Arial" w:hAnsi="Arial" w:cs="Arial"/>
          <w:bCs/>
          <w:color w:val="202124"/>
          <w:shd w:val="clear" w:color="auto" w:fill="FFFFFF"/>
        </w:rPr>
        <w:t>Training</w:t>
      </w:r>
      <w:r w:rsidRPr="0009368D">
        <w:rPr>
          <w:rFonts w:ascii="Arial" w:hAnsi="Arial" w:cs="Arial"/>
          <w:bCs/>
        </w:rPr>
        <w:t>;TTIs:Transfusion-Transmissible</w:t>
      </w:r>
      <w:proofErr w:type="spellEnd"/>
      <w:r w:rsidRPr="0009368D">
        <w:rPr>
          <w:rFonts w:ascii="Arial" w:hAnsi="Arial" w:cs="Arial"/>
          <w:bCs/>
        </w:rPr>
        <w:t xml:space="preserve"> Infections; TVET: Technical and Vocational Education and Training; WHO: World Health Organization.</w:t>
      </w:r>
    </w:p>
    <w:p w14:paraId="70A76206" w14:textId="77777777" w:rsidR="00066FB4" w:rsidRPr="00C74A7B" w:rsidRDefault="00066FB4" w:rsidP="00C74A7B">
      <w:pPr>
        <w:spacing w:line="360" w:lineRule="auto"/>
        <w:jc w:val="both"/>
        <w:rPr>
          <w:rFonts w:ascii="Arial" w:hAnsi="Arial" w:cs="Arial"/>
          <w:b/>
          <w:bCs/>
        </w:rPr>
      </w:pPr>
    </w:p>
    <w:p w14:paraId="3303B20B" w14:textId="0AEB391B" w:rsidR="00B01FCD" w:rsidRDefault="00B01FCD" w:rsidP="00441B6F">
      <w:pPr>
        <w:pStyle w:val="Body"/>
        <w:spacing w:after="0"/>
        <w:rPr>
          <w:rFonts w:ascii="Arial" w:hAnsi="Arial" w:cs="Arial"/>
        </w:rPr>
      </w:pPr>
    </w:p>
    <w:p w14:paraId="2FD21A2D" w14:textId="77777777" w:rsidR="00790ADA" w:rsidRPr="00FB3A86" w:rsidRDefault="00790ADA" w:rsidP="00441B6F">
      <w:pPr>
        <w:pStyle w:val="Body"/>
        <w:spacing w:after="0"/>
        <w:rPr>
          <w:rFonts w:ascii="Arial" w:hAnsi="Arial" w:cs="Arial"/>
        </w:rPr>
      </w:pPr>
    </w:p>
    <w:p w14:paraId="5EE293B0" w14:textId="77777777" w:rsidR="00371FB6" w:rsidRPr="00371FB6" w:rsidRDefault="00371FB6" w:rsidP="00441B6F">
      <w:pPr>
        <w:pStyle w:val="ReferHead"/>
        <w:spacing w:after="0"/>
        <w:jc w:val="both"/>
        <w:rPr>
          <w:rFonts w:ascii="Arial" w:hAnsi="Arial" w:cs="Arial"/>
          <w:bCs/>
        </w:rPr>
      </w:pPr>
    </w:p>
    <w:p w14:paraId="7CDB109D" w14:textId="77777777" w:rsidR="008F5577" w:rsidRDefault="00A175CC" w:rsidP="008F5577">
      <w:pPr>
        <w:spacing w:line="480" w:lineRule="auto"/>
        <w:jc w:val="both"/>
        <w:rPr>
          <w:rFonts w:ascii="Arial" w:eastAsia="Calibri" w:hAnsi="Arial" w:cs="Arial"/>
          <w:b/>
          <w:bCs/>
          <w:kern w:val="2"/>
          <w:sz w:val="22"/>
          <w:szCs w:val="22"/>
        </w:rPr>
      </w:pPr>
      <w:r>
        <w:rPr>
          <w:rFonts w:ascii="Arial" w:eastAsia="Calibri" w:hAnsi="Arial" w:cs="Arial"/>
          <w:b/>
          <w:bCs/>
          <w:kern w:val="2"/>
          <w:sz w:val="22"/>
          <w:szCs w:val="22"/>
        </w:rPr>
        <w:t>Disclaimer (Artificial intelligence)</w:t>
      </w:r>
    </w:p>
    <w:p w14:paraId="398429AA" w14:textId="35BF0978" w:rsidR="00A175CC" w:rsidRPr="008F5577" w:rsidRDefault="00A175CC" w:rsidP="008F5577">
      <w:pPr>
        <w:spacing w:line="360" w:lineRule="auto"/>
        <w:jc w:val="both"/>
        <w:rPr>
          <w:rFonts w:ascii="Arial" w:eastAsia="Calibri" w:hAnsi="Arial" w:cs="Arial"/>
          <w:b/>
          <w:bCs/>
          <w:kern w:val="2"/>
          <w:sz w:val="22"/>
          <w:szCs w:val="22"/>
        </w:rPr>
      </w:pPr>
      <w:r w:rsidRPr="00A175CC">
        <w:rPr>
          <w:rFonts w:ascii="Arial" w:eastAsia="Calibri" w:hAnsi="Arial" w:cs="Arial"/>
          <w:kern w:val="2"/>
        </w:rPr>
        <w:t xml:space="preserve">The authors hereby declare that no generative AI technologies such as Large Language Models (ChatGPT, COPILOT, etc.) and text-to-image generators have been used during the writing or editing of this manuscript. </w:t>
      </w:r>
    </w:p>
    <w:p w14:paraId="40CAE741" w14:textId="77777777" w:rsidR="002B685A" w:rsidRDefault="002B685A" w:rsidP="00441B6F">
      <w:pPr>
        <w:pStyle w:val="ReferHead"/>
        <w:spacing w:after="0"/>
        <w:jc w:val="both"/>
        <w:rPr>
          <w:rFonts w:ascii="Arial" w:hAnsi="Arial" w:cs="Arial"/>
          <w:b w:val="0"/>
          <w:caps w:val="0"/>
          <w:sz w:val="20"/>
        </w:rPr>
      </w:pPr>
    </w:p>
    <w:p w14:paraId="3A645C3E" w14:textId="77777777" w:rsidR="006400CD" w:rsidRPr="006400CD" w:rsidRDefault="006400CD" w:rsidP="006400CD">
      <w:pPr>
        <w:keepNext/>
        <w:keepLines/>
        <w:spacing w:before="40" w:line="360" w:lineRule="auto"/>
        <w:jc w:val="both"/>
        <w:outlineLvl w:val="2"/>
        <w:rPr>
          <w:rFonts w:ascii="Arial" w:eastAsiaTheme="majorEastAsia" w:hAnsi="Arial" w:cs="Arial"/>
          <w:b/>
          <w:sz w:val="22"/>
          <w:szCs w:val="22"/>
        </w:rPr>
      </w:pPr>
      <w:r w:rsidRPr="006400CD">
        <w:rPr>
          <w:rFonts w:ascii="Arial" w:eastAsiaTheme="majorEastAsia" w:hAnsi="Arial" w:cs="Arial"/>
          <w:b/>
          <w:sz w:val="22"/>
          <w:szCs w:val="22"/>
        </w:rPr>
        <w:t>Consent</w:t>
      </w:r>
    </w:p>
    <w:p w14:paraId="37338C8B" w14:textId="77777777" w:rsidR="006400CD" w:rsidRPr="006400CD" w:rsidRDefault="006400CD" w:rsidP="006400CD">
      <w:pPr>
        <w:spacing w:line="360" w:lineRule="auto"/>
        <w:jc w:val="both"/>
        <w:rPr>
          <w:rFonts w:ascii="Arial" w:hAnsi="Arial" w:cs="Arial"/>
        </w:rPr>
      </w:pPr>
      <w:r w:rsidRPr="006400CD">
        <w:rPr>
          <w:rFonts w:ascii="Arial" w:hAnsi="Arial" w:cs="Arial"/>
        </w:rPr>
        <w:t>Written informed consent was obtained from all participants, with voluntary participation, confidentiality assured, and withdrawal permitted without consequence.</w:t>
      </w:r>
    </w:p>
    <w:p w14:paraId="29504110" w14:textId="77777777" w:rsidR="001A29D8" w:rsidRDefault="001A29D8" w:rsidP="00441B6F">
      <w:pPr>
        <w:pStyle w:val="ReferHead"/>
        <w:spacing w:after="0"/>
        <w:jc w:val="both"/>
        <w:rPr>
          <w:rFonts w:ascii="Arial" w:hAnsi="Arial" w:cs="Arial"/>
          <w:b w:val="0"/>
          <w:caps w:val="0"/>
          <w:sz w:val="20"/>
        </w:rPr>
      </w:pPr>
    </w:p>
    <w:p w14:paraId="5DCB3539" w14:textId="72E56E86"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7C5BC53" w14:textId="5FD362F0" w:rsidR="005C784C" w:rsidRDefault="002D5FDA" w:rsidP="002D5FDA">
      <w:pPr>
        <w:pStyle w:val="ReferHead"/>
        <w:spacing w:after="0" w:line="360" w:lineRule="auto"/>
        <w:jc w:val="both"/>
        <w:rPr>
          <w:rFonts w:ascii="Arial" w:hAnsi="Arial" w:cs="Arial"/>
          <w:b w:val="0"/>
          <w:bCs/>
          <w:caps w:val="0"/>
          <w:sz w:val="20"/>
        </w:rPr>
      </w:pPr>
      <w:r w:rsidRPr="002D5FDA">
        <w:rPr>
          <w:rFonts w:ascii="Arial" w:hAnsi="Arial" w:cs="Arial"/>
          <w:b w:val="0"/>
          <w:bCs/>
          <w:caps w:val="0"/>
          <w:sz w:val="20"/>
        </w:rPr>
        <w:t xml:space="preserve">Ethical approval was obtained from the relevant institutional review board, and permission to conduct the study was granted by the </w:t>
      </w:r>
      <w:proofErr w:type="spellStart"/>
      <w:r w:rsidRPr="002D5FDA">
        <w:rPr>
          <w:rFonts w:ascii="Arial" w:hAnsi="Arial" w:cs="Arial"/>
          <w:b w:val="0"/>
          <w:bCs/>
          <w:caps w:val="0"/>
          <w:sz w:val="20"/>
        </w:rPr>
        <w:t>kisumu</w:t>
      </w:r>
      <w:proofErr w:type="spellEnd"/>
      <w:r w:rsidRPr="002D5FDA">
        <w:rPr>
          <w:rFonts w:ascii="Arial" w:hAnsi="Arial" w:cs="Arial"/>
          <w:b w:val="0"/>
          <w:bCs/>
          <w:caps w:val="0"/>
          <w:sz w:val="20"/>
        </w:rPr>
        <w:t xml:space="preserve"> regional blood transfusion centre. Informed consent was obtained from all participants prior to inclusion in the study. Confidentiality and </w:t>
      </w:r>
      <w:r w:rsidRPr="002D5FDA">
        <w:rPr>
          <w:rFonts w:ascii="Arial" w:hAnsi="Arial" w:cs="Arial"/>
          <w:b w:val="0"/>
          <w:bCs/>
          <w:caps w:val="0"/>
          <w:sz w:val="20"/>
        </w:rPr>
        <w:lastRenderedPageBreak/>
        <w:t>anonymity were maintained throughout the research process in line with ethical standards for biomedical research involving human participants (who, 2023).</w:t>
      </w:r>
    </w:p>
    <w:p w14:paraId="5236053B" w14:textId="77777777" w:rsidR="0009368D" w:rsidRPr="002D5FDA" w:rsidRDefault="0009368D" w:rsidP="002D5FDA">
      <w:pPr>
        <w:pStyle w:val="ReferHead"/>
        <w:spacing w:after="0" w:line="360" w:lineRule="auto"/>
        <w:jc w:val="both"/>
        <w:rPr>
          <w:rFonts w:ascii="Arial" w:hAnsi="Arial" w:cs="Arial"/>
          <w:b w:val="0"/>
          <w:bCs/>
        </w:rPr>
      </w:pPr>
    </w:p>
    <w:p w14:paraId="64F1C720" w14:textId="77777777" w:rsidR="00860000" w:rsidRDefault="00860000" w:rsidP="00441B6F">
      <w:pPr>
        <w:pStyle w:val="ReferHead"/>
        <w:spacing w:after="0"/>
        <w:jc w:val="both"/>
        <w:rPr>
          <w:rFonts w:ascii="Arial" w:hAnsi="Arial" w:cs="Arial"/>
        </w:rPr>
      </w:pPr>
    </w:p>
    <w:p w14:paraId="2A70F51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2B50F42" w14:textId="77777777" w:rsidR="00C22955" w:rsidRPr="00C22955" w:rsidRDefault="00C22955" w:rsidP="00C22955">
      <w:pPr>
        <w:pStyle w:val="ListParagraph"/>
        <w:numPr>
          <w:ilvl w:val="0"/>
          <w:numId w:val="33"/>
        </w:numPr>
        <w:spacing w:line="360" w:lineRule="auto"/>
        <w:jc w:val="both"/>
        <w:rPr>
          <w:rFonts w:ascii="Arial" w:hAnsi="Arial" w:cs="Arial"/>
          <w:sz w:val="20"/>
          <w:szCs w:val="20"/>
        </w:rPr>
      </w:pPr>
      <w:r w:rsidRPr="00C22955">
        <w:rPr>
          <w:rFonts w:ascii="Arial" w:hAnsi="Arial" w:cs="Arial"/>
          <w:sz w:val="20"/>
          <w:szCs w:val="20"/>
        </w:rPr>
        <w:t xml:space="preserve">Bates, I., Hassall, O., &amp; Maitland, K. (2022). Blood transfusion in sub-Saharan Africa: Current challenges and future directions. </w:t>
      </w:r>
      <w:r w:rsidRPr="00C22955">
        <w:rPr>
          <w:rFonts w:ascii="Arial" w:hAnsi="Arial" w:cs="Arial"/>
          <w:i/>
          <w:iCs/>
          <w:sz w:val="20"/>
          <w:szCs w:val="20"/>
        </w:rPr>
        <w:t>The Lancet Haematology, 9</w:t>
      </w:r>
      <w:r w:rsidRPr="00C22955">
        <w:rPr>
          <w:rFonts w:ascii="Arial" w:hAnsi="Arial" w:cs="Arial"/>
          <w:sz w:val="20"/>
          <w:szCs w:val="20"/>
        </w:rPr>
        <w:t xml:space="preserve">(6), e417–e426. </w:t>
      </w:r>
      <w:hyperlink r:id="rId14" w:history="1">
        <w:r w:rsidRPr="00856B5E">
          <w:rPr>
            <w:rStyle w:val="Hyperlink"/>
            <w:rFonts w:ascii="Arial" w:hAnsi="Arial" w:cs="Arial"/>
            <w:color w:val="000000" w:themeColor="text1"/>
            <w:sz w:val="20"/>
            <w:szCs w:val="20"/>
          </w:rPr>
          <w:t>https://doi.org/10.1016/S2352-3026(22)00072-3</w:t>
        </w:r>
      </w:hyperlink>
    </w:p>
    <w:p w14:paraId="4717097A" w14:textId="77777777" w:rsidR="00C22955" w:rsidRPr="00C22955" w:rsidRDefault="00C22955" w:rsidP="00C22955">
      <w:pPr>
        <w:pStyle w:val="ListParagraph"/>
        <w:numPr>
          <w:ilvl w:val="0"/>
          <w:numId w:val="33"/>
        </w:numPr>
        <w:spacing w:line="360" w:lineRule="auto"/>
        <w:jc w:val="both"/>
        <w:rPr>
          <w:rFonts w:ascii="Arial" w:hAnsi="Arial" w:cs="Arial"/>
          <w:sz w:val="20"/>
          <w:szCs w:val="20"/>
        </w:rPr>
      </w:pPr>
      <w:r w:rsidRPr="00C22955">
        <w:rPr>
          <w:rFonts w:ascii="Arial" w:hAnsi="Arial" w:cs="Arial"/>
          <w:sz w:val="20"/>
          <w:szCs w:val="20"/>
        </w:rPr>
        <w:t xml:space="preserve">Brunson, D. C., Belanger, G. A., Sussmann, H., Fine, A. M., Pandey, S., &amp; Pham, T. D. (2022). Factors associated with first-time and repeat blood donation: Adverse reactions and effects on donor behavior. </w:t>
      </w:r>
      <w:r w:rsidRPr="00C22955">
        <w:rPr>
          <w:rFonts w:ascii="Arial" w:hAnsi="Arial" w:cs="Arial"/>
          <w:i/>
          <w:iCs/>
          <w:sz w:val="20"/>
          <w:szCs w:val="20"/>
        </w:rPr>
        <w:t>Transfusion, 62</w:t>
      </w:r>
      <w:r w:rsidRPr="00C22955">
        <w:rPr>
          <w:rFonts w:ascii="Arial" w:hAnsi="Arial" w:cs="Arial"/>
          <w:sz w:val="20"/>
          <w:szCs w:val="20"/>
        </w:rPr>
        <w:t xml:space="preserve">(6), 1269–1279. </w:t>
      </w:r>
      <w:hyperlink r:id="rId15" w:tgtFrame="_new" w:history="1">
        <w:r w:rsidRPr="007873FE">
          <w:rPr>
            <w:rFonts w:ascii="Arial" w:hAnsi="Arial" w:cs="Arial"/>
            <w:color w:val="000000" w:themeColor="text1"/>
            <w:sz w:val="20"/>
            <w:szCs w:val="20"/>
            <w:u w:val="single"/>
          </w:rPr>
          <w:t>https://doi.org/10.1111/trf.16893</w:t>
        </w:r>
      </w:hyperlink>
    </w:p>
    <w:p w14:paraId="59D3777E" w14:textId="77777777" w:rsidR="00C22955" w:rsidRPr="00C22955" w:rsidRDefault="00C22955" w:rsidP="00C22955">
      <w:pPr>
        <w:pStyle w:val="ListParagraph"/>
        <w:numPr>
          <w:ilvl w:val="0"/>
          <w:numId w:val="33"/>
        </w:numPr>
        <w:spacing w:line="360" w:lineRule="auto"/>
        <w:jc w:val="both"/>
        <w:rPr>
          <w:rFonts w:ascii="Arial" w:hAnsi="Arial" w:cs="Arial"/>
          <w:sz w:val="20"/>
          <w:szCs w:val="20"/>
        </w:rPr>
      </w:pPr>
      <w:r w:rsidRPr="00C22955">
        <w:rPr>
          <w:rFonts w:ascii="Arial" w:hAnsi="Arial" w:cs="Arial"/>
          <w:sz w:val="20"/>
          <w:szCs w:val="20"/>
        </w:rPr>
        <w:t xml:space="preserve">Goldman, M., O’Brien, S. F., &amp; Osmond, L. (2023). Determinants of adverse reactions in blood donors: A contemporary analysis. </w:t>
      </w:r>
      <w:r w:rsidRPr="00C22955">
        <w:rPr>
          <w:rFonts w:ascii="Arial" w:hAnsi="Arial" w:cs="Arial"/>
          <w:i/>
          <w:iCs/>
          <w:sz w:val="20"/>
          <w:szCs w:val="20"/>
        </w:rPr>
        <w:t>Transfusion Medicine Reviews, 37</w:t>
      </w:r>
      <w:r w:rsidRPr="00C22955">
        <w:rPr>
          <w:rFonts w:ascii="Arial" w:hAnsi="Arial" w:cs="Arial"/>
          <w:sz w:val="20"/>
          <w:szCs w:val="20"/>
        </w:rPr>
        <w:t xml:space="preserve">(1), 45–52. </w:t>
      </w:r>
      <w:hyperlink r:id="rId16" w:history="1">
        <w:r w:rsidRPr="00856B5E">
          <w:rPr>
            <w:rStyle w:val="Hyperlink"/>
            <w:rFonts w:ascii="Arial" w:hAnsi="Arial" w:cs="Arial"/>
            <w:color w:val="000000" w:themeColor="text1"/>
            <w:sz w:val="20"/>
            <w:szCs w:val="20"/>
          </w:rPr>
          <w:t>https://doi.org/10.1016/j.tmrv.2022.10.002</w:t>
        </w:r>
      </w:hyperlink>
    </w:p>
    <w:p w14:paraId="209C0560" w14:textId="77777777" w:rsidR="00C22955" w:rsidRPr="00C22955" w:rsidRDefault="00C22955" w:rsidP="00C22955">
      <w:pPr>
        <w:pStyle w:val="ListParagraph"/>
        <w:numPr>
          <w:ilvl w:val="0"/>
          <w:numId w:val="33"/>
        </w:numPr>
        <w:spacing w:line="360" w:lineRule="auto"/>
        <w:jc w:val="both"/>
        <w:rPr>
          <w:rFonts w:ascii="Arial" w:hAnsi="Arial" w:cs="Arial"/>
          <w:sz w:val="20"/>
          <w:szCs w:val="20"/>
        </w:rPr>
      </w:pPr>
      <w:r w:rsidRPr="00C22955">
        <w:rPr>
          <w:rFonts w:ascii="Arial" w:hAnsi="Arial" w:cs="Arial"/>
          <w:sz w:val="20"/>
          <w:szCs w:val="20"/>
        </w:rPr>
        <w:t xml:space="preserve">Newman, B. H. (2022). Blood donor complications and their prevention: A clinical update. </w:t>
      </w:r>
      <w:r w:rsidRPr="00C22955">
        <w:rPr>
          <w:rFonts w:ascii="Arial" w:hAnsi="Arial" w:cs="Arial"/>
          <w:i/>
          <w:iCs/>
          <w:sz w:val="20"/>
          <w:szCs w:val="20"/>
        </w:rPr>
        <w:t>Transfusion Medicine Reviews, 36</w:t>
      </w:r>
      <w:r w:rsidRPr="00C22955">
        <w:rPr>
          <w:rFonts w:ascii="Arial" w:hAnsi="Arial" w:cs="Arial"/>
          <w:sz w:val="20"/>
          <w:szCs w:val="20"/>
        </w:rPr>
        <w:t xml:space="preserve">(2), 89–96. </w:t>
      </w:r>
      <w:hyperlink r:id="rId17" w:history="1">
        <w:r w:rsidRPr="00856B5E">
          <w:rPr>
            <w:rStyle w:val="Hyperlink"/>
            <w:rFonts w:ascii="Arial" w:hAnsi="Arial" w:cs="Arial"/>
            <w:color w:val="000000" w:themeColor="text1"/>
            <w:sz w:val="20"/>
            <w:szCs w:val="20"/>
          </w:rPr>
          <w:t>https://doi.org/10.1016/j.tmrv.2021.10.001</w:t>
        </w:r>
      </w:hyperlink>
    </w:p>
    <w:p w14:paraId="1C86FD3B" w14:textId="77777777" w:rsidR="00C22955" w:rsidRPr="00C22955" w:rsidRDefault="00C22955" w:rsidP="00C22955">
      <w:pPr>
        <w:pStyle w:val="ListParagraph"/>
        <w:numPr>
          <w:ilvl w:val="0"/>
          <w:numId w:val="33"/>
        </w:numPr>
        <w:spacing w:line="360" w:lineRule="auto"/>
        <w:jc w:val="both"/>
        <w:rPr>
          <w:rFonts w:ascii="Arial" w:hAnsi="Arial" w:cs="Arial"/>
          <w:sz w:val="20"/>
          <w:szCs w:val="20"/>
        </w:rPr>
      </w:pPr>
      <w:r w:rsidRPr="00C22955">
        <w:rPr>
          <w:rFonts w:ascii="Arial" w:hAnsi="Arial" w:cs="Arial"/>
          <w:sz w:val="20"/>
          <w:szCs w:val="20"/>
        </w:rPr>
        <w:t xml:space="preserve">Schreiber, G. B., Becker, M., &amp; Glynn, S. A. (2021). Donor characteristics and adverse reactions in blood donation: Implications for donor management. </w:t>
      </w:r>
      <w:r w:rsidRPr="00C22955">
        <w:rPr>
          <w:rFonts w:ascii="Arial" w:hAnsi="Arial" w:cs="Arial"/>
          <w:i/>
          <w:iCs/>
          <w:sz w:val="20"/>
          <w:szCs w:val="20"/>
        </w:rPr>
        <w:t>Vox Sanguinis, 116</w:t>
      </w:r>
      <w:r w:rsidRPr="00C22955">
        <w:rPr>
          <w:rFonts w:ascii="Arial" w:hAnsi="Arial" w:cs="Arial"/>
          <w:sz w:val="20"/>
          <w:szCs w:val="20"/>
        </w:rPr>
        <w:t xml:space="preserve">(7), 789–798. </w:t>
      </w:r>
      <w:hyperlink r:id="rId18" w:history="1">
        <w:r w:rsidRPr="00856B5E">
          <w:rPr>
            <w:rStyle w:val="Hyperlink"/>
            <w:rFonts w:ascii="Arial" w:hAnsi="Arial" w:cs="Arial"/>
            <w:color w:val="000000" w:themeColor="text1"/>
            <w:sz w:val="20"/>
            <w:szCs w:val="20"/>
          </w:rPr>
          <w:t>https://doi.org/10.1111/vox.13045</w:t>
        </w:r>
      </w:hyperlink>
    </w:p>
    <w:p w14:paraId="01AD939C" w14:textId="77777777" w:rsidR="00C22955" w:rsidRPr="00C22955" w:rsidRDefault="00C22955" w:rsidP="00C22955">
      <w:pPr>
        <w:pStyle w:val="ListParagraph"/>
        <w:numPr>
          <w:ilvl w:val="0"/>
          <w:numId w:val="33"/>
        </w:numPr>
        <w:spacing w:line="360" w:lineRule="auto"/>
        <w:jc w:val="both"/>
        <w:rPr>
          <w:rFonts w:ascii="Arial" w:hAnsi="Arial" w:cs="Arial"/>
          <w:sz w:val="20"/>
          <w:szCs w:val="20"/>
        </w:rPr>
      </w:pPr>
      <w:r w:rsidRPr="00C22955">
        <w:rPr>
          <w:rFonts w:ascii="Arial" w:hAnsi="Arial" w:cs="Arial"/>
          <w:sz w:val="20"/>
          <w:szCs w:val="20"/>
        </w:rPr>
        <w:t>Shaz, B. H., Hillyer, C. D., &amp; Abrams, C. S. (2021). Transfusion medicine and hemostasis: Clinical and laboratory aspects (3rd ed.). Elsevier.</w:t>
      </w:r>
    </w:p>
    <w:p w14:paraId="7B046C9C" w14:textId="77777777" w:rsidR="00C22955" w:rsidRPr="00C22955" w:rsidRDefault="00C22955" w:rsidP="00C22955">
      <w:pPr>
        <w:pStyle w:val="ListParagraph"/>
        <w:numPr>
          <w:ilvl w:val="0"/>
          <w:numId w:val="33"/>
        </w:numPr>
        <w:spacing w:line="360" w:lineRule="auto"/>
        <w:jc w:val="both"/>
        <w:rPr>
          <w:rFonts w:ascii="Arial" w:hAnsi="Arial" w:cs="Arial"/>
          <w:sz w:val="20"/>
          <w:szCs w:val="20"/>
        </w:rPr>
      </w:pPr>
      <w:r w:rsidRPr="00C22955">
        <w:rPr>
          <w:rFonts w:ascii="Arial" w:hAnsi="Arial" w:cs="Arial"/>
          <w:sz w:val="20"/>
          <w:szCs w:val="20"/>
        </w:rPr>
        <w:t xml:space="preserve">Tagny, C. T., Owusu-Ofori, S., Mbanya, D., &amp; </w:t>
      </w:r>
      <w:proofErr w:type="spellStart"/>
      <w:r w:rsidRPr="00C22955">
        <w:rPr>
          <w:rFonts w:ascii="Arial" w:hAnsi="Arial" w:cs="Arial"/>
          <w:sz w:val="20"/>
          <w:szCs w:val="20"/>
        </w:rPr>
        <w:t>Deneys</w:t>
      </w:r>
      <w:proofErr w:type="spellEnd"/>
      <w:r w:rsidRPr="00C22955">
        <w:rPr>
          <w:rFonts w:ascii="Arial" w:hAnsi="Arial" w:cs="Arial"/>
          <w:sz w:val="20"/>
          <w:szCs w:val="20"/>
        </w:rPr>
        <w:t xml:space="preserve">, V. (2022). The blood donor in sub-Saharan Africa: Challenges and perspectives. </w:t>
      </w:r>
      <w:r w:rsidRPr="00C22955">
        <w:rPr>
          <w:rFonts w:ascii="Arial" w:hAnsi="Arial" w:cs="Arial"/>
          <w:i/>
          <w:iCs/>
          <w:sz w:val="20"/>
          <w:szCs w:val="20"/>
        </w:rPr>
        <w:t>Transfusion and Apheresis Science, 61</w:t>
      </w:r>
      <w:r w:rsidRPr="00C22955">
        <w:rPr>
          <w:rFonts w:ascii="Arial" w:hAnsi="Arial" w:cs="Arial"/>
          <w:sz w:val="20"/>
          <w:szCs w:val="20"/>
        </w:rPr>
        <w:t xml:space="preserve">(2), 103366. </w:t>
      </w:r>
      <w:hyperlink r:id="rId19" w:history="1">
        <w:r w:rsidRPr="00856B5E">
          <w:rPr>
            <w:rStyle w:val="Hyperlink"/>
            <w:rFonts w:ascii="Arial" w:hAnsi="Arial" w:cs="Arial"/>
            <w:color w:val="000000" w:themeColor="text1"/>
            <w:sz w:val="20"/>
            <w:szCs w:val="20"/>
          </w:rPr>
          <w:t>https://doi.org/10.1016/j.transci.2022.103366</w:t>
        </w:r>
      </w:hyperlink>
    </w:p>
    <w:p w14:paraId="73C78B91" w14:textId="77777777" w:rsidR="00C22955" w:rsidRPr="00C22955" w:rsidRDefault="00C22955" w:rsidP="00C22955">
      <w:pPr>
        <w:pStyle w:val="ListParagraph"/>
        <w:numPr>
          <w:ilvl w:val="0"/>
          <w:numId w:val="33"/>
        </w:numPr>
        <w:spacing w:line="360" w:lineRule="auto"/>
        <w:jc w:val="both"/>
        <w:rPr>
          <w:rFonts w:ascii="Arial" w:hAnsi="Arial" w:cs="Arial"/>
          <w:sz w:val="20"/>
          <w:szCs w:val="20"/>
        </w:rPr>
      </w:pPr>
      <w:r w:rsidRPr="00C22955">
        <w:rPr>
          <w:rFonts w:ascii="Arial" w:hAnsi="Arial" w:cs="Arial"/>
          <w:sz w:val="20"/>
          <w:szCs w:val="20"/>
        </w:rPr>
        <w:t xml:space="preserve">Thijsen, A., Masser, B., Gemelli, C. N., &amp; Davison, T. E. (2019). Trends in return behavior after an adverse event in whole blood donors. </w:t>
      </w:r>
      <w:r w:rsidRPr="00C22955">
        <w:rPr>
          <w:rFonts w:ascii="Arial" w:hAnsi="Arial" w:cs="Arial"/>
          <w:i/>
          <w:iCs/>
          <w:sz w:val="20"/>
          <w:szCs w:val="20"/>
        </w:rPr>
        <w:t>Transfusion, 59</w:t>
      </w:r>
      <w:r w:rsidRPr="00C22955">
        <w:rPr>
          <w:rFonts w:ascii="Arial" w:hAnsi="Arial" w:cs="Arial"/>
          <w:sz w:val="20"/>
          <w:szCs w:val="20"/>
        </w:rPr>
        <w:t xml:space="preserve">(10), 3157–3163. </w:t>
      </w:r>
      <w:hyperlink r:id="rId20" w:tgtFrame="_new" w:history="1">
        <w:r w:rsidRPr="007873FE">
          <w:rPr>
            <w:rFonts w:ascii="Arial" w:hAnsi="Arial" w:cs="Arial"/>
            <w:color w:val="000000" w:themeColor="text1"/>
            <w:sz w:val="20"/>
            <w:szCs w:val="20"/>
            <w:u w:val="single"/>
          </w:rPr>
          <w:t>https://doi.org/10.1111/trf.15475</w:t>
        </w:r>
      </w:hyperlink>
    </w:p>
    <w:p w14:paraId="49422400" w14:textId="77777777" w:rsidR="00C22955" w:rsidRPr="00C22955" w:rsidRDefault="00C22955" w:rsidP="00C22955">
      <w:pPr>
        <w:pStyle w:val="ListParagraph"/>
        <w:numPr>
          <w:ilvl w:val="0"/>
          <w:numId w:val="33"/>
        </w:numPr>
        <w:spacing w:line="360" w:lineRule="auto"/>
        <w:jc w:val="both"/>
        <w:rPr>
          <w:rFonts w:ascii="Arial" w:hAnsi="Arial" w:cs="Arial"/>
          <w:sz w:val="20"/>
          <w:szCs w:val="20"/>
        </w:rPr>
      </w:pPr>
      <w:r w:rsidRPr="00C22955">
        <w:rPr>
          <w:rFonts w:ascii="Arial" w:hAnsi="Arial" w:cs="Arial"/>
          <w:sz w:val="20"/>
          <w:szCs w:val="20"/>
        </w:rPr>
        <w:t xml:space="preserve">Veldhuizen, I. J. T., Atsma, F., &amp; de Kort, W. L. A. M. (2023). Donor adverse reactions and donor retention: A longitudinal perspective. </w:t>
      </w:r>
      <w:r w:rsidRPr="00C22955">
        <w:rPr>
          <w:rFonts w:ascii="Arial" w:hAnsi="Arial" w:cs="Arial"/>
          <w:i/>
          <w:iCs/>
          <w:sz w:val="20"/>
          <w:szCs w:val="20"/>
        </w:rPr>
        <w:t>Vox Sanguinis, 118</w:t>
      </w:r>
      <w:r w:rsidRPr="00C22955">
        <w:rPr>
          <w:rFonts w:ascii="Arial" w:hAnsi="Arial" w:cs="Arial"/>
          <w:sz w:val="20"/>
          <w:szCs w:val="20"/>
        </w:rPr>
        <w:t xml:space="preserve">(2), 150–158. </w:t>
      </w:r>
      <w:hyperlink r:id="rId21" w:history="1">
        <w:r w:rsidRPr="00856B5E">
          <w:rPr>
            <w:rStyle w:val="Hyperlink"/>
            <w:rFonts w:ascii="Arial" w:hAnsi="Arial" w:cs="Arial"/>
            <w:color w:val="000000" w:themeColor="text1"/>
            <w:sz w:val="20"/>
            <w:szCs w:val="20"/>
          </w:rPr>
          <w:t>https://doi.org/10.1111/vox.13345</w:t>
        </w:r>
      </w:hyperlink>
    </w:p>
    <w:p w14:paraId="096BE440" w14:textId="77777777" w:rsidR="00C22955" w:rsidRPr="00C22955" w:rsidRDefault="00C22955" w:rsidP="00C22955">
      <w:pPr>
        <w:pStyle w:val="ListParagraph"/>
        <w:numPr>
          <w:ilvl w:val="0"/>
          <w:numId w:val="33"/>
        </w:numPr>
        <w:spacing w:line="360" w:lineRule="auto"/>
        <w:jc w:val="both"/>
        <w:rPr>
          <w:rFonts w:ascii="Arial" w:hAnsi="Arial" w:cs="Arial"/>
          <w:sz w:val="20"/>
          <w:szCs w:val="20"/>
        </w:rPr>
      </w:pPr>
      <w:r w:rsidRPr="00C22955">
        <w:rPr>
          <w:rFonts w:ascii="Arial" w:hAnsi="Arial" w:cs="Arial"/>
          <w:sz w:val="20"/>
          <w:szCs w:val="20"/>
        </w:rPr>
        <w:t xml:space="preserve">Wang, H., Chen, P., Lin, C., Jau, R., Hsiao, S., &amp; Ko, J. (2019). Joint effects of risk factors on adverse events associated with blood donations. </w:t>
      </w:r>
      <w:r w:rsidRPr="00C22955">
        <w:rPr>
          <w:rFonts w:ascii="Arial" w:hAnsi="Arial" w:cs="Arial"/>
          <w:i/>
          <w:iCs/>
          <w:sz w:val="20"/>
          <w:szCs w:val="20"/>
        </w:rPr>
        <w:t>Medicine, 98</w:t>
      </w:r>
      <w:r w:rsidRPr="00C22955">
        <w:rPr>
          <w:rFonts w:ascii="Arial" w:hAnsi="Arial" w:cs="Arial"/>
          <w:sz w:val="20"/>
          <w:szCs w:val="20"/>
        </w:rPr>
        <w:t xml:space="preserve">(44), e17758. </w:t>
      </w:r>
      <w:hyperlink r:id="rId22" w:tgtFrame="_new" w:history="1">
        <w:r w:rsidRPr="007873FE">
          <w:rPr>
            <w:rFonts w:ascii="Arial" w:hAnsi="Arial" w:cs="Arial"/>
            <w:color w:val="000000" w:themeColor="text1"/>
            <w:sz w:val="20"/>
            <w:szCs w:val="20"/>
            <w:u w:val="single"/>
          </w:rPr>
          <w:t>https://doi.org/10.1097/MD.0000000000017758</w:t>
        </w:r>
      </w:hyperlink>
    </w:p>
    <w:p w14:paraId="0B203356" w14:textId="77777777" w:rsidR="00C22955" w:rsidRPr="00C22955" w:rsidRDefault="00C22955" w:rsidP="00C22955">
      <w:pPr>
        <w:pStyle w:val="ListParagraph"/>
        <w:numPr>
          <w:ilvl w:val="0"/>
          <w:numId w:val="33"/>
        </w:numPr>
        <w:spacing w:line="360" w:lineRule="auto"/>
        <w:jc w:val="both"/>
        <w:rPr>
          <w:rFonts w:ascii="Arial" w:hAnsi="Arial" w:cs="Arial"/>
          <w:sz w:val="20"/>
          <w:szCs w:val="20"/>
        </w:rPr>
      </w:pPr>
      <w:r w:rsidRPr="00C22955">
        <w:rPr>
          <w:rFonts w:ascii="Arial" w:hAnsi="Arial" w:cs="Arial"/>
          <w:sz w:val="20"/>
          <w:szCs w:val="20"/>
        </w:rPr>
        <w:lastRenderedPageBreak/>
        <w:t xml:space="preserve">World Health Organization. (2023). Blood safety and availability. </w:t>
      </w:r>
      <w:hyperlink r:id="rId23" w:tgtFrame="_new" w:history="1">
        <w:r w:rsidRPr="007873FE">
          <w:rPr>
            <w:rFonts w:ascii="Arial" w:hAnsi="Arial" w:cs="Arial"/>
            <w:color w:val="000000" w:themeColor="text1"/>
            <w:sz w:val="20"/>
            <w:szCs w:val="20"/>
            <w:u w:val="single"/>
          </w:rPr>
          <w:t>https://www.who.int/news-room/fact-sheets/detail/blood-safety-and-availability</w:t>
        </w:r>
      </w:hyperlink>
    </w:p>
    <w:p w14:paraId="6D5E13AD" w14:textId="77777777" w:rsidR="00C22955" w:rsidRPr="00C22955" w:rsidRDefault="00C22955" w:rsidP="00C22955">
      <w:pPr>
        <w:pStyle w:val="NormalWeb"/>
        <w:numPr>
          <w:ilvl w:val="0"/>
          <w:numId w:val="33"/>
        </w:numPr>
        <w:spacing w:before="0" w:beforeAutospacing="0" w:after="0" w:afterAutospacing="0" w:line="360" w:lineRule="auto"/>
        <w:jc w:val="both"/>
        <w:rPr>
          <w:rFonts w:ascii="Arial" w:hAnsi="Arial" w:cs="Arial"/>
          <w:sz w:val="20"/>
          <w:szCs w:val="20"/>
        </w:rPr>
      </w:pPr>
      <w:proofErr w:type="spellStart"/>
      <w:r w:rsidRPr="00C22955">
        <w:rPr>
          <w:rFonts w:ascii="Arial" w:hAnsi="Arial" w:cs="Arial"/>
          <w:sz w:val="20"/>
          <w:szCs w:val="20"/>
        </w:rPr>
        <w:t>Etikan</w:t>
      </w:r>
      <w:proofErr w:type="spellEnd"/>
      <w:r w:rsidRPr="00C22955">
        <w:rPr>
          <w:rFonts w:ascii="Arial" w:hAnsi="Arial" w:cs="Arial"/>
          <w:sz w:val="20"/>
          <w:szCs w:val="20"/>
        </w:rPr>
        <w:t xml:space="preserve">, I., &amp; Bala, K. (2017). Sampling and sampling methods. </w:t>
      </w:r>
      <w:r w:rsidRPr="00C22955">
        <w:rPr>
          <w:rStyle w:val="Emphasis"/>
          <w:rFonts w:ascii="Arial" w:eastAsiaTheme="majorEastAsia" w:hAnsi="Arial" w:cs="Arial"/>
          <w:sz w:val="20"/>
          <w:szCs w:val="20"/>
        </w:rPr>
        <w:t>Biometrics &amp; Biostatistics International Journal, 5</w:t>
      </w:r>
      <w:r w:rsidRPr="00C22955">
        <w:rPr>
          <w:rFonts w:ascii="Arial" w:hAnsi="Arial" w:cs="Arial"/>
          <w:sz w:val="20"/>
          <w:szCs w:val="20"/>
        </w:rPr>
        <w:t>(6), 00149.</w:t>
      </w:r>
      <w:r w:rsidRPr="00856B5E">
        <w:rPr>
          <w:rFonts w:ascii="Arial" w:hAnsi="Arial" w:cs="Arial"/>
          <w:color w:val="000000" w:themeColor="text1"/>
          <w:sz w:val="20"/>
          <w:szCs w:val="20"/>
        </w:rPr>
        <w:t xml:space="preserve"> </w:t>
      </w:r>
      <w:hyperlink r:id="rId24" w:tgtFrame="_new" w:history="1">
        <w:r w:rsidRPr="00856B5E">
          <w:rPr>
            <w:rStyle w:val="Hyperlink"/>
            <w:rFonts w:ascii="Arial" w:eastAsiaTheme="majorEastAsia" w:hAnsi="Arial" w:cs="Arial"/>
            <w:color w:val="000000" w:themeColor="text1"/>
            <w:sz w:val="20"/>
            <w:szCs w:val="20"/>
          </w:rPr>
          <w:t>https://doi.org/10.15406/bbij.2017.05.00149</w:t>
        </w:r>
      </w:hyperlink>
    </w:p>
    <w:p w14:paraId="4D25BED8" w14:textId="77777777" w:rsidR="00C22955" w:rsidRPr="00C22955" w:rsidRDefault="00C22955" w:rsidP="00C22955">
      <w:pPr>
        <w:pStyle w:val="NormalWeb"/>
        <w:numPr>
          <w:ilvl w:val="0"/>
          <w:numId w:val="33"/>
        </w:numPr>
        <w:spacing w:before="0" w:beforeAutospacing="0" w:after="0" w:afterAutospacing="0" w:line="360" w:lineRule="auto"/>
        <w:jc w:val="both"/>
        <w:rPr>
          <w:rFonts w:ascii="Arial" w:hAnsi="Arial" w:cs="Arial"/>
          <w:sz w:val="20"/>
          <w:szCs w:val="20"/>
        </w:rPr>
      </w:pPr>
      <w:r w:rsidRPr="00C22955">
        <w:rPr>
          <w:rFonts w:ascii="Arial" w:hAnsi="Arial" w:cs="Arial"/>
          <w:sz w:val="20"/>
          <w:szCs w:val="20"/>
        </w:rPr>
        <w:t xml:space="preserve">International Society of Blood Transfusion. (2021). </w:t>
      </w:r>
      <w:r w:rsidRPr="00C22955">
        <w:rPr>
          <w:rStyle w:val="Emphasis"/>
          <w:rFonts w:ascii="Arial" w:eastAsiaTheme="majorEastAsia" w:hAnsi="Arial" w:cs="Arial"/>
          <w:sz w:val="20"/>
          <w:szCs w:val="20"/>
        </w:rPr>
        <w:t>Standard definitions for surveillance of complications related to blood donation</w:t>
      </w:r>
      <w:r w:rsidRPr="00C22955">
        <w:rPr>
          <w:rFonts w:ascii="Arial" w:hAnsi="Arial" w:cs="Arial"/>
          <w:sz w:val="20"/>
          <w:szCs w:val="20"/>
        </w:rPr>
        <w:t xml:space="preserve">. ISBT. </w:t>
      </w:r>
      <w:hyperlink r:id="rId25" w:tgtFrame="_new" w:history="1">
        <w:r w:rsidRPr="00856B5E">
          <w:rPr>
            <w:rStyle w:val="Hyperlink"/>
            <w:rFonts w:ascii="Arial" w:eastAsiaTheme="majorEastAsia" w:hAnsi="Arial" w:cs="Arial"/>
            <w:color w:val="000000" w:themeColor="text1"/>
            <w:sz w:val="20"/>
            <w:szCs w:val="20"/>
          </w:rPr>
          <w:t>https://www.isbtweb.org</w:t>
        </w:r>
      </w:hyperlink>
    </w:p>
    <w:p w14:paraId="3C174CFF" w14:textId="77777777" w:rsidR="00C22955" w:rsidRPr="00C22955" w:rsidRDefault="00C22955" w:rsidP="00C22955">
      <w:pPr>
        <w:pStyle w:val="NormalWeb"/>
        <w:numPr>
          <w:ilvl w:val="0"/>
          <w:numId w:val="33"/>
        </w:numPr>
        <w:spacing w:before="0" w:beforeAutospacing="0" w:after="0" w:afterAutospacing="0" w:line="360" w:lineRule="auto"/>
        <w:jc w:val="both"/>
        <w:rPr>
          <w:rFonts w:ascii="Arial" w:hAnsi="Arial" w:cs="Arial"/>
          <w:sz w:val="20"/>
          <w:szCs w:val="20"/>
        </w:rPr>
      </w:pPr>
      <w:r w:rsidRPr="00C22955">
        <w:rPr>
          <w:rFonts w:ascii="Arial" w:hAnsi="Arial" w:cs="Arial"/>
          <w:sz w:val="20"/>
          <w:szCs w:val="20"/>
        </w:rPr>
        <w:t xml:space="preserve">Kirkwood, B. R., &amp; Sterne, J. A. C. (2010). </w:t>
      </w:r>
      <w:r w:rsidRPr="00C22955">
        <w:rPr>
          <w:rStyle w:val="Emphasis"/>
          <w:rFonts w:ascii="Arial" w:eastAsiaTheme="majorEastAsia" w:hAnsi="Arial" w:cs="Arial"/>
          <w:sz w:val="20"/>
          <w:szCs w:val="20"/>
        </w:rPr>
        <w:t>Essential medical statistics</w:t>
      </w:r>
      <w:r w:rsidRPr="00C22955">
        <w:rPr>
          <w:rFonts w:ascii="Arial" w:hAnsi="Arial" w:cs="Arial"/>
          <w:sz w:val="20"/>
          <w:szCs w:val="20"/>
        </w:rPr>
        <w:t xml:space="preserve"> (2nd ed.). Wiley-Blackwell.</w:t>
      </w:r>
    </w:p>
    <w:p w14:paraId="64F19505" w14:textId="77777777" w:rsidR="00C22955" w:rsidRPr="00C22955" w:rsidRDefault="00C22955" w:rsidP="00C22955">
      <w:pPr>
        <w:pStyle w:val="NormalWeb"/>
        <w:numPr>
          <w:ilvl w:val="0"/>
          <w:numId w:val="33"/>
        </w:numPr>
        <w:spacing w:before="0" w:beforeAutospacing="0" w:after="0" w:afterAutospacing="0" w:line="360" w:lineRule="auto"/>
        <w:jc w:val="both"/>
        <w:rPr>
          <w:rFonts w:ascii="Arial" w:hAnsi="Arial" w:cs="Arial"/>
          <w:sz w:val="20"/>
          <w:szCs w:val="20"/>
        </w:rPr>
      </w:pPr>
      <w:r w:rsidRPr="00C22955">
        <w:rPr>
          <w:rFonts w:ascii="Arial" w:hAnsi="Arial" w:cs="Arial"/>
          <w:sz w:val="20"/>
          <w:szCs w:val="20"/>
        </w:rPr>
        <w:t xml:space="preserve">Setia, M. S. (2016). Methodology series module 3: Cross-sectional studies. </w:t>
      </w:r>
      <w:r w:rsidRPr="00C22955">
        <w:rPr>
          <w:rStyle w:val="Emphasis"/>
          <w:rFonts w:ascii="Arial" w:eastAsiaTheme="majorEastAsia" w:hAnsi="Arial" w:cs="Arial"/>
          <w:sz w:val="20"/>
          <w:szCs w:val="20"/>
        </w:rPr>
        <w:t>Indian Journal of Dermatology, 61</w:t>
      </w:r>
      <w:r w:rsidRPr="00C22955">
        <w:rPr>
          <w:rFonts w:ascii="Arial" w:hAnsi="Arial" w:cs="Arial"/>
          <w:sz w:val="20"/>
          <w:szCs w:val="20"/>
        </w:rPr>
        <w:t>(3), 261–264.</w:t>
      </w:r>
      <w:r w:rsidRPr="00856B5E">
        <w:rPr>
          <w:rFonts w:ascii="Arial" w:hAnsi="Arial" w:cs="Arial"/>
          <w:color w:val="000000" w:themeColor="text1"/>
          <w:sz w:val="20"/>
          <w:szCs w:val="20"/>
        </w:rPr>
        <w:t xml:space="preserve"> </w:t>
      </w:r>
      <w:hyperlink r:id="rId26" w:tgtFrame="_new" w:history="1">
        <w:r w:rsidRPr="00856B5E">
          <w:rPr>
            <w:rStyle w:val="Hyperlink"/>
            <w:rFonts w:ascii="Arial" w:eastAsiaTheme="majorEastAsia" w:hAnsi="Arial" w:cs="Arial"/>
            <w:color w:val="000000" w:themeColor="text1"/>
            <w:sz w:val="20"/>
            <w:szCs w:val="20"/>
          </w:rPr>
          <w:t>https://doi.org/10.4103/0019-5154.182410</w:t>
        </w:r>
      </w:hyperlink>
    </w:p>
    <w:p w14:paraId="22EEDE79" w14:textId="77777777" w:rsidR="00C22955" w:rsidRPr="00856B5E" w:rsidRDefault="00C22955" w:rsidP="00C22955">
      <w:pPr>
        <w:pStyle w:val="NormalWeb"/>
        <w:numPr>
          <w:ilvl w:val="0"/>
          <w:numId w:val="33"/>
        </w:numPr>
        <w:spacing w:before="0" w:beforeAutospacing="0" w:after="0" w:afterAutospacing="0" w:line="360" w:lineRule="auto"/>
        <w:jc w:val="both"/>
        <w:rPr>
          <w:rFonts w:ascii="Arial" w:hAnsi="Arial" w:cs="Arial"/>
          <w:color w:val="000000" w:themeColor="text1"/>
          <w:sz w:val="20"/>
          <w:szCs w:val="20"/>
        </w:rPr>
      </w:pPr>
      <w:r w:rsidRPr="00856B5E">
        <w:rPr>
          <w:rFonts w:ascii="Arial" w:hAnsi="Arial" w:cs="Arial"/>
          <w:color w:val="000000" w:themeColor="text1"/>
          <w:sz w:val="20"/>
          <w:szCs w:val="20"/>
        </w:rPr>
        <w:t xml:space="preserve">World Health Organization. (2023). </w:t>
      </w:r>
      <w:r w:rsidRPr="00856B5E">
        <w:rPr>
          <w:rStyle w:val="Emphasis"/>
          <w:rFonts w:ascii="Arial" w:eastAsiaTheme="majorEastAsia" w:hAnsi="Arial" w:cs="Arial"/>
          <w:color w:val="000000" w:themeColor="text1"/>
          <w:sz w:val="20"/>
          <w:szCs w:val="20"/>
        </w:rPr>
        <w:t>Blood safety and availability</w:t>
      </w:r>
      <w:r w:rsidRPr="00856B5E">
        <w:rPr>
          <w:rFonts w:ascii="Arial" w:hAnsi="Arial" w:cs="Arial"/>
          <w:color w:val="000000" w:themeColor="text1"/>
          <w:sz w:val="20"/>
          <w:szCs w:val="20"/>
        </w:rPr>
        <w:t xml:space="preserve">. </w:t>
      </w:r>
      <w:hyperlink r:id="rId27" w:tgtFrame="_new" w:history="1">
        <w:r w:rsidRPr="00856B5E">
          <w:rPr>
            <w:rStyle w:val="Hyperlink"/>
            <w:rFonts w:ascii="Arial" w:eastAsiaTheme="majorEastAsia" w:hAnsi="Arial" w:cs="Arial"/>
            <w:color w:val="000000" w:themeColor="text1"/>
            <w:sz w:val="20"/>
            <w:szCs w:val="20"/>
          </w:rPr>
          <w:t>https://www.who.int/news-room/fact-sheets/detail/blood-safety-and-availability</w:t>
        </w:r>
      </w:hyperlink>
    </w:p>
    <w:p w14:paraId="40D992E3" w14:textId="77777777" w:rsidR="00C22955" w:rsidRPr="00C22955" w:rsidRDefault="00C22955" w:rsidP="00C22955">
      <w:pPr>
        <w:pStyle w:val="NormalWeb"/>
        <w:numPr>
          <w:ilvl w:val="0"/>
          <w:numId w:val="33"/>
        </w:numPr>
        <w:spacing w:before="0" w:beforeAutospacing="0" w:after="0" w:afterAutospacing="0" w:line="360" w:lineRule="auto"/>
        <w:jc w:val="both"/>
        <w:rPr>
          <w:rFonts w:ascii="Arial" w:hAnsi="Arial" w:cs="Arial"/>
          <w:sz w:val="20"/>
          <w:szCs w:val="20"/>
        </w:rPr>
      </w:pPr>
      <w:r w:rsidRPr="00C22955">
        <w:rPr>
          <w:rFonts w:ascii="Arial" w:hAnsi="Arial" w:cs="Arial"/>
          <w:sz w:val="20"/>
          <w:szCs w:val="20"/>
        </w:rPr>
        <w:t xml:space="preserve">Brunson, D. C., Belanger, G. A., Sussmann, H., Fine, A. M., Pandey, S., &amp; Pham, T. D. (2022). Factors associated with first-time and repeat blood donation: Adverse reactions and effects on donor behavior. </w:t>
      </w:r>
      <w:r w:rsidRPr="00C22955">
        <w:rPr>
          <w:rStyle w:val="Emphasis"/>
          <w:rFonts w:ascii="Arial" w:eastAsiaTheme="majorEastAsia" w:hAnsi="Arial" w:cs="Arial"/>
          <w:sz w:val="20"/>
          <w:szCs w:val="20"/>
        </w:rPr>
        <w:t>Transfusion, 62</w:t>
      </w:r>
      <w:r w:rsidRPr="00C22955">
        <w:rPr>
          <w:rFonts w:ascii="Arial" w:hAnsi="Arial" w:cs="Arial"/>
          <w:sz w:val="20"/>
          <w:szCs w:val="20"/>
        </w:rPr>
        <w:t xml:space="preserve">(6), 1269–1279. </w:t>
      </w:r>
      <w:hyperlink r:id="rId28" w:tgtFrame="_new" w:history="1">
        <w:r w:rsidRPr="00856B5E">
          <w:rPr>
            <w:rStyle w:val="Hyperlink"/>
            <w:rFonts w:ascii="Arial" w:eastAsiaTheme="majorEastAsia" w:hAnsi="Arial" w:cs="Arial"/>
            <w:color w:val="000000" w:themeColor="text1"/>
            <w:sz w:val="20"/>
            <w:szCs w:val="20"/>
          </w:rPr>
          <w:t>https://doi.org/10.1111/trf.16893</w:t>
        </w:r>
      </w:hyperlink>
    </w:p>
    <w:p w14:paraId="75E4DA84" w14:textId="77777777" w:rsidR="00C22955" w:rsidRPr="00C22955" w:rsidRDefault="00C22955" w:rsidP="00C22955">
      <w:pPr>
        <w:pStyle w:val="NormalWeb"/>
        <w:numPr>
          <w:ilvl w:val="0"/>
          <w:numId w:val="33"/>
        </w:numPr>
        <w:spacing w:before="0" w:beforeAutospacing="0" w:after="0" w:afterAutospacing="0" w:line="360" w:lineRule="auto"/>
        <w:jc w:val="both"/>
        <w:rPr>
          <w:rFonts w:ascii="Arial" w:hAnsi="Arial" w:cs="Arial"/>
          <w:sz w:val="20"/>
          <w:szCs w:val="20"/>
        </w:rPr>
      </w:pPr>
      <w:r w:rsidRPr="00C22955">
        <w:rPr>
          <w:rFonts w:ascii="Arial" w:hAnsi="Arial" w:cs="Arial"/>
          <w:sz w:val="20"/>
          <w:szCs w:val="20"/>
        </w:rPr>
        <w:t xml:space="preserve">Goldman, M., O’Brien, S. F., &amp; Osmond, L. (2023). Determinants of adverse reactions in blood donors: A contemporary analysis. </w:t>
      </w:r>
      <w:r w:rsidRPr="00C22955">
        <w:rPr>
          <w:rStyle w:val="Emphasis"/>
          <w:rFonts w:ascii="Arial" w:eastAsiaTheme="majorEastAsia" w:hAnsi="Arial" w:cs="Arial"/>
          <w:sz w:val="20"/>
          <w:szCs w:val="20"/>
        </w:rPr>
        <w:t>Transfusion Medicine Reviews, 37</w:t>
      </w:r>
      <w:r w:rsidRPr="00C22955">
        <w:rPr>
          <w:rFonts w:ascii="Arial" w:hAnsi="Arial" w:cs="Arial"/>
          <w:sz w:val="20"/>
          <w:szCs w:val="20"/>
        </w:rPr>
        <w:t>(1), 45–52. https://doi.org/10.1016/j.tmrv.2022.10.002</w:t>
      </w:r>
    </w:p>
    <w:p w14:paraId="679FE1CD" w14:textId="77777777" w:rsidR="00C22955" w:rsidRPr="00C22955" w:rsidRDefault="00C22955" w:rsidP="00C22955">
      <w:pPr>
        <w:pStyle w:val="NormalWeb"/>
        <w:numPr>
          <w:ilvl w:val="0"/>
          <w:numId w:val="33"/>
        </w:numPr>
        <w:spacing w:before="0" w:beforeAutospacing="0" w:after="0" w:afterAutospacing="0" w:line="360" w:lineRule="auto"/>
        <w:jc w:val="both"/>
        <w:rPr>
          <w:rFonts w:ascii="Arial" w:hAnsi="Arial" w:cs="Arial"/>
          <w:sz w:val="20"/>
          <w:szCs w:val="20"/>
        </w:rPr>
      </w:pPr>
      <w:r w:rsidRPr="00C22955">
        <w:rPr>
          <w:rFonts w:ascii="Arial" w:hAnsi="Arial" w:cs="Arial"/>
          <w:sz w:val="20"/>
          <w:szCs w:val="20"/>
        </w:rPr>
        <w:t xml:space="preserve">Newman, B. H. (2022). Blood donor complications and their prevention: A clinical update. </w:t>
      </w:r>
      <w:r w:rsidRPr="00C22955">
        <w:rPr>
          <w:rStyle w:val="Emphasis"/>
          <w:rFonts w:ascii="Arial" w:eastAsiaTheme="majorEastAsia" w:hAnsi="Arial" w:cs="Arial"/>
          <w:sz w:val="20"/>
          <w:szCs w:val="20"/>
        </w:rPr>
        <w:t>Transfusion Medicine Reviews, 36</w:t>
      </w:r>
      <w:r w:rsidRPr="00C22955">
        <w:rPr>
          <w:rFonts w:ascii="Arial" w:hAnsi="Arial" w:cs="Arial"/>
          <w:sz w:val="20"/>
          <w:szCs w:val="20"/>
        </w:rPr>
        <w:t>(2), 89–96. https://doi.org/10.1016/j.tmrv.2021.10.001</w:t>
      </w:r>
    </w:p>
    <w:p w14:paraId="7BA66C61" w14:textId="77777777" w:rsidR="00C22955" w:rsidRPr="00C22955" w:rsidRDefault="00C22955" w:rsidP="00C22955">
      <w:pPr>
        <w:pStyle w:val="NormalWeb"/>
        <w:numPr>
          <w:ilvl w:val="0"/>
          <w:numId w:val="33"/>
        </w:numPr>
        <w:spacing w:before="0" w:beforeAutospacing="0" w:after="0" w:afterAutospacing="0" w:line="360" w:lineRule="auto"/>
        <w:jc w:val="both"/>
        <w:rPr>
          <w:rFonts w:ascii="Arial" w:hAnsi="Arial" w:cs="Arial"/>
          <w:sz w:val="20"/>
          <w:szCs w:val="20"/>
        </w:rPr>
      </w:pPr>
      <w:r w:rsidRPr="00C22955">
        <w:rPr>
          <w:rFonts w:ascii="Arial" w:hAnsi="Arial" w:cs="Arial"/>
          <w:sz w:val="20"/>
          <w:szCs w:val="20"/>
        </w:rPr>
        <w:t xml:space="preserve">Schreiber, G. B., Becker, M., &amp; Glynn, S. A. (2021). Donor characteristics and adverse reactions in blood donation: Implications for donor management. </w:t>
      </w:r>
      <w:r w:rsidRPr="00C22955">
        <w:rPr>
          <w:rStyle w:val="Emphasis"/>
          <w:rFonts w:ascii="Arial" w:eastAsiaTheme="majorEastAsia" w:hAnsi="Arial" w:cs="Arial"/>
          <w:sz w:val="20"/>
          <w:szCs w:val="20"/>
        </w:rPr>
        <w:t>Vox Sanguinis, 116</w:t>
      </w:r>
      <w:r w:rsidRPr="00C22955">
        <w:rPr>
          <w:rFonts w:ascii="Arial" w:hAnsi="Arial" w:cs="Arial"/>
          <w:sz w:val="20"/>
          <w:szCs w:val="20"/>
        </w:rPr>
        <w:t>(7), 789–798. https://doi.org/10.1111/vox.13045</w:t>
      </w:r>
    </w:p>
    <w:p w14:paraId="3A98CF8E" w14:textId="77777777" w:rsidR="00C22955" w:rsidRPr="00C22955" w:rsidRDefault="00C22955" w:rsidP="00C22955">
      <w:pPr>
        <w:pStyle w:val="NormalWeb"/>
        <w:numPr>
          <w:ilvl w:val="0"/>
          <w:numId w:val="33"/>
        </w:numPr>
        <w:spacing w:before="0" w:beforeAutospacing="0" w:after="0" w:afterAutospacing="0" w:line="360" w:lineRule="auto"/>
        <w:jc w:val="both"/>
        <w:rPr>
          <w:rFonts w:ascii="Arial" w:hAnsi="Arial" w:cs="Arial"/>
          <w:sz w:val="20"/>
          <w:szCs w:val="20"/>
        </w:rPr>
      </w:pPr>
      <w:r w:rsidRPr="00C22955">
        <w:rPr>
          <w:rFonts w:ascii="Arial" w:hAnsi="Arial" w:cs="Arial"/>
          <w:sz w:val="20"/>
          <w:szCs w:val="20"/>
        </w:rPr>
        <w:t xml:space="preserve">Tagny, C. T., Owusu-Ofori, S., Mbanya, D., &amp; </w:t>
      </w:r>
      <w:proofErr w:type="spellStart"/>
      <w:r w:rsidRPr="00C22955">
        <w:rPr>
          <w:rFonts w:ascii="Arial" w:hAnsi="Arial" w:cs="Arial"/>
          <w:sz w:val="20"/>
          <w:szCs w:val="20"/>
        </w:rPr>
        <w:t>Deneys</w:t>
      </w:r>
      <w:proofErr w:type="spellEnd"/>
      <w:r w:rsidRPr="00C22955">
        <w:rPr>
          <w:rFonts w:ascii="Arial" w:hAnsi="Arial" w:cs="Arial"/>
          <w:sz w:val="20"/>
          <w:szCs w:val="20"/>
        </w:rPr>
        <w:t xml:space="preserve">, V. (2022). The blood donor in sub-Saharan Africa: Challenges and perspectives. </w:t>
      </w:r>
      <w:r w:rsidRPr="00C22955">
        <w:rPr>
          <w:rStyle w:val="Emphasis"/>
          <w:rFonts w:ascii="Arial" w:eastAsiaTheme="majorEastAsia" w:hAnsi="Arial" w:cs="Arial"/>
          <w:sz w:val="20"/>
          <w:szCs w:val="20"/>
        </w:rPr>
        <w:t>Transfusion and Apheresis Science, 61</w:t>
      </w:r>
      <w:r w:rsidRPr="00C22955">
        <w:rPr>
          <w:rFonts w:ascii="Arial" w:hAnsi="Arial" w:cs="Arial"/>
          <w:sz w:val="20"/>
          <w:szCs w:val="20"/>
        </w:rPr>
        <w:t>(2), 103366. https://doi.org/10.1016/j.transci.2022.103366</w:t>
      </w:r>
    </w:p>
    <w:p w14:paraId="135F606B" w14:textId="77777777" w:rsidR="00C22955" w:rsidRPr="00C22955" w:rsidRDefault="00C22955" w:rsidP="00C22955">
      <w:pPr>
        <w:pStyle w:val="NormalWeb"/>
        <w:numPr>
          <w:ilvl w:val="0"/>
          <w:numId w:val="33"/>
        </w:numPr>
        <w:spacing w:before="0" w:beforeAutospacing="0" w:after="0" w:afterAutospacing="0" w:line="360" w:lineRule="auto"/>
        <w:jc w:val="both"/>
        <w:rPr>
          <w:rFonts w:ascii="Arial" w:hAnsi="Arial" w:cs="Arial"/>
          <w:sz w:val="20"/>
          <w:szCs w:val="20"/>
        </w:rPr>
      </w:pPr>
      <w:r w:rsidRPr="00C22955">
        <w:rPr>
          <w:rFonts w:ascii="Arial" w:hAnsi="Arial" w:cs="Arial"/>
          <w:sz w:val="20"/>
          <w:szCs w:val="20"/>
        </w:rPr>
        <w:t xml:space="preserve">Veldhuizen, I. J. T., Atsma, F., &amp; de Kort, W. L. A. M. (2023). Donor adverse reactions and donor retention: A longitudinal perspective. </w:t>
      </w:r>
      <w:r w:rsidRPr="00C22955">
        <w:rPr>
          <w:rStyle w:val="Emphasis"/>
          <w:rFonts w:ascii="Arial" w:eastAsiaTheme="majorEastAsia" w:hAnsi="Arial" w:cs="Arial"/>
          <w:sz w:val="20"/>
          <w:szCs w:val="20"/>
        </w:rPr>
        <w:t>Vox Sanguinis, 118</w:t>
      </w:r>
      <w:r w:rsidRPr="00C22955">
        <w:rPr>
          <w:rFonts w:ascii="Arial" w:hAnsi="Arial" w:cs="Arial"/>
          <w:sz w:val="20"/>
          <w:szCs w:val="20"/>
        </w:rPr>
        <w:t>(2), 150–158. https://doi.org/10.1111/vox.13345</w:t>
      </w:r>
    </w:p>
    <w:p w14:paraId="4D029694" w14:textId="77777777" w:rsidR="00C22955" w:rsidRPr="00C22955" w:rsidRDefault="00C22955" w:rsidP="00C22955">
      <w:pPr>
        <w:pStyle w:val="NormalWeb"/>
        <w:numPr>
          <w:ilvl w:val="0"/>
          <w:numId w:val="33"/>
        </w:numPr>
        <w:spacing w:before="0" w:beforeAutospacing="0" w:after="0" w:afterAutospacing="0" w:line="360" w:lineRule="auto"/>
        <w:jc w:val="both"/>
        <w:rPr>
          <w:rFonts w:ascii="Arial" w:hAnsi="Arial" w:cs="Arial"/>
          <w:sz w:val="20"/>
          <w:szCs w:val="20"/>
        </w:rPr>
      </w:pPr>
      <w:r w:rsidRPr="00C22955">
        <w:rPr>
          <w:rFonts w:ascii="Arial" w:hAnsi="Arial" w:cs="Arial"/>
          <w:sz w:val="20"/>
          <w:szCs w:val="20"/>
        </w:rPr>
        <w:t xml:space="preserve">Wang, H., Chen, P., Lin, C., Jau, R., Hsiao, S., &amp; Ko, J. (2019). Joint effects of risk factors on adverse events associated with blood donations. </w:t>
      </w:r>
      <w:r w:rsidRPr="00C22955">
        <w:rPr>
          <w:rStyle w:val="Emphasis"/>
          <w:rFonts w:ascii="Arial" w:eastAsiaTheme="majorEastAsia" w:hAnsi="Arial" w:cs="Arial"/>
          <w:sz w:val="20"/>
          <w:szCs w:val="20"/>
        </w:rPr>
        <w:t>Medicine, 98</w:t>
      </w:r>
      <w:r w:rsidRPr="00C22955">
        <w:rPr>
          <w:rFonts w:ascii="Arial" w:hAnsi="Arial" w:cs="Arial"/>
          <w:sz w:val="20"/>
          <w:szCs w:val="20"/>
        </w:rPr>
        <w:t xml:space="preserve">(44), e17758. </w:t>
      </w:r>
      <w:hyperlink r:id="rId29" w:tgtFrame="_new" w:history="1">
        <w:r w:rsidRPr="00856B5E">
          <w:rPr>
            <w:rStyle w:val="Hyperlink"/>
            <w:rFonts w:ascii="Arial" w:eastAsiaTheme="majorEastAsia" w:hAnsi="Arial" w:cs="Arial"/>
            <w:color w:val="000000" w:themeColor="text1"/>
            <w:sz w:val="20"/>
            <w:szCs w:val="20"/>
          </w:rPr>
          <w:t>https://doi.org/10.1097/MD.0000000000017758</w:t>
        </w:r>
      </w:hyperlink>
    </w:p>
    <w:p w14:paraId="77577DF5" w14:textId="77777777" w:rsidR="00C22955" w:rsidRPr="00C22955" w:rsidRDefault="00C22955" w:rsidP="00C22955">
      <w:pPr>
        <w:pStyle w:val="NormalWeb"/>
        <w:numPr>
          <w:ilvl w:val="0"/>
          <w:numId w:val="33"/>
        </w:numPr>
        <w:spacing w:before="0" w:beforeAutospacing="0" w:after="0" w:afterAutospacing="0" w:line="360" w:lineRule="auto"/>
        <w:jc w:val="both"/>
        <w:rPr>
          <w:rFonts w:ascii="Arial" w:hAnsi="Arial" w:cs="Arial"/>
          <w:sz w:val="20"/>
          <w:szCs w:val="20"/>
        </w:rPr>
      </w:pPr>
      <w:r w:rsidRPr="00C22955">
        <w:rPr>
          <w:rFonts w:ascii="Arial" w:hAnsi="Arial" w:cs="Arial"/>
          <w:sz w:val="20"/>
          <w:szCs w:val="20"/>
        </w:rPr>
        <w:t xml:space="preserve">World Health Organization. (2023). </w:t>
      </w:r>
      <w:r w:rsidRPr="00C22955">
        <w:rPr>
          <w:rStyle w:val="Emphasis"/>
          <w:rFonts w:ascii="Arial" w:eastAsiaTheme="majorEastAsia" w:hAnsi="Arial" w:cs="Arial"/>
          <w:sz w:val="20"/>
          <w:szCs w:val="20"/>
        </w:rPr>
        <w:t>Blood safety and availability</w:t>
      </w:r>
      <w:r w:rsidRPr="00C22955">
        <w:rPr>
          <w:rFonts w:ascii="Arial" w:hAnsi="Arial" w:cs="Arial"/>
          <w:sz w:val="20"/>
          <w:szCs w:val="20"/>
        </w:rPr>
        <w:t xml:space="preserve">. </w:t>
      </w:r>
      <w:hyperlink r:id="rId30" w:tgtFrame="_new" w:history="1">
        <w:r w:rsidRPr="00856B5E">
          <w:rPr>
            <w:rStyle w:val="Hyperlink"/>
            <w:rFonts w:ascii="Arial" w:eastAsiaTheme="majorEastAsia" w:hAnsi="Arial" w:cs="Arial"/>
            <w:color w:val="000000" w:themeColor="text1"/>
            <w:sz w:val="20"/>
            <w:szCs w:val="20"/>
          </w:rPr>
          <w:t>https://www.who.int/news-room/fact-sheets/detail/blood-safety-and-availability</w:t>
        </w:r>
      </w:hyperlink>
    </w:p>
    <w:p w14:paraId="2609A39B" w14:textId="77777777" w:rsidR="00B01FCD" w:rsidRPr="00FB3A86" w:rsidRDefault="00B01FCD" w:rsidP="00441B6F">
      <w:pPr>
        <w:pStyle w:val="Reference"/>
        <w:numPr>
          <w:ilvl w:val="0"/>
          <w:numId w:val="0"/>
        </w:numPr>
        <w:spacing w:line="240" w:lineRule="auto"/>
        <w:rPr>
          <w:rFonts w:ascii="Arial" w:hAnsi="Arial" w:cs="Arial"/>
        </w:rPr>
      </w:pPr>
    </w:p>
    <w:p w14:paraId="2E176438" w14:textId="42EBFAE4" w:rsidR="004D4277" w:rsidRPr="00FB3A86" w:rsidRDefault="004D4277" w:rsidP="00441B6F">
      <w:pPr>
        <w:pStyle w:val="Appendix"/>
        <w:spacing w:after="0"/>
        <w:jc w:val="both"/>
        <w:rPr>
          <w:rFonts w:ascii="Arial" w:hAnsi="Arial" w:cs="Arial"/>
          <w:b w:val="0"/>
        </w:rPr>
        <w:sectPr w:rsidR="004D4277" w:rsidRPr="00FB3A86" w:rsidSect="00970C05">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
    <w:p w14:paraId="526C8691" w14:textId="77777777" w:rsidR="00B01FCD" w:rsidRPr="00FB3A86" w:rsidRDefault="00B01FCD" w:rsidP="00441B6F">
      <w:pPr>
        <w:pStyle w:val="Appendix"/>
        <w:spacing w:after="0"/>
        <w:jc w:val="both"/>
        <w:rPr>
          <w:rFonts w:ascii="Arial" w:hAnsi="Arial" w:cs="Arial"/>
          <w:b w:val="0"/>
        </w:rPr>
      </w:pPr>
    </w:p>
    <w:sectPr w:rsidR="00B01FCD" w:rsidRPr="00FB3A86" w:rsidSect="00970C0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6E325" w14:textId="77777777" w:rsidR="00701C63" w:rsidRDefault="00701C63" w:rsidP="00C37E61">
      <w:r>
        <w:separator/>
      </w:r>
    </w:p>
  </w:endnote>
  <w:endnote w:type="continuationSeparator" w:id="0">
    <w:p w14:paraId="36CE973D" w14:textId="77777777" w:rsidR="00701C63" w:rsidRDefault="00701C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6E97E" w14:textId="77777777" w:rsidR="00970C05" w:rsidRDefault="00970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21EBA" w14:textId="77777777" w:rsidR="00970C05" w:rsidRDefault="00970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F2B7A" w14:textId="448708F6" w:rsidR="00754C9A" w:rsidRPr="000A3FC9" w:rsidRDefault="00754C9A" w:rsidP="000A3FC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1485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2B2A2" w14:textId="77777777" w:rsidR="00701C63" w:rsidRDefault="00701C63" w:rsidP="00C37E61">
      <w:r>
        <w:separator/>
      </w:r>
    </w:p>
  </w:footnote>
  <w:footnote w:type="continuationSeparator" w:id="0">
    <w:p w14:paraId="53623228" w14:textId="77777777" w:rsidR="00701C63" w:rsidRDefault="00701C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25D2C" w14:textId="7EE94A21" w:rsidR="00970C05" w:rsidRDefault="00970C05">
    <w:pPr>
      <w:pStyle w:val="Header"/>
    </w:pPr>
    <w:r>
      <w:rPr>
        <w:noProof/>
      </w:rPr>
      <w:pict w14:anchorId="6FA74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0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9F7B" w14:textId="71B8EABC" w:rsidR="00970C05" w:rsidRDefault="00970C05">
    <w:pPr>
      <w:pStyle w:val="Header"/>
    </w:pPr>
    <w:r>
      <w:rPr>
        <w:noProof/>
      </w:rPr>
      <w:pict w14:anchorId="7E8FE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0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4AC24" w14:textId="1FC7A4AA" w:rsidR="00296529" w:rsidRPr="00296529" w:rsidRDefault="00970C05" w:rsidP="00296529">
    <w:pPr>
      <w:ind w:left="2160"/>
      <w:jc w:val="center"/>
      <w:rPr>
        <w:rFonts w:ascii="Times New Roman" w:eastAsia="Calibri" w:hAnsi="Times New Roman"/>
        <w:i/>
        <w:sz w:val="18"/>
        <w:szCs w:val="22"/>
      </w:rPr>
    </w:pPr>
    <w:r>
      <w:rPr>
        <w:noProof/>
      </w:rPr>
      <w:pict w14:anchorId="247E6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0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47CCD9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E75AD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94CD3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925CA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F83A3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DD625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74F55" w14:textId="3BE3852B" w:rsidR="00970C05" w:rsidRDefault="00970C05">
    <w:pPr>
      <w:pStyle w:val="Header"/>
    </w:pPr>
    <w:r>
      <w:rPr>
        <w:noProof/>
      </w:rPr>
      <w:pict w14:anchorId="4C60E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0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8762B" w14:textId="2FC5875E" w:rsidR="00970C05" w:rsidRDefault="00970C05">
    <w:pPr>
      <w:pStyle w:val="Header"/>
    </w:pPr>
    <w:r>
      <w:rPr>
        <w:noProof/>
      </w:rPr>
      <w:pict w14:anchorId="019E4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08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0B32" w14:textId="2F6089F5" w:rsidR="00970C05" w:rsidRDefault="00970C05">
    <w:pPr>
      <w:pStyle w:val="Header"/>
    </w:pPr>
    <w:r>
      <w:rPr>
        <w:noProof/>
      </w:rPr>
      <w:pict w14:anchorId="797C4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60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0389D"/>
    <w:multiLevelType w:val="multilevel"/>
    <w:tmpl w:val="28AA64B8"/>
    <w:lvl w:ilvl="0">
      <w:start w:val="4"/>
      <w:numFmt w:val="decimal"/>
      <w:lvlText w:val="%1"/>
      <w:lvlJc w:val="left"/>
      <w:pPr>
        <w:ind w:left="480" w:hanging="480"/>
      </w:pPr>
      <w:rPr>
        <w:rFonts w:eastAsia="Times New Roman" w:hint="default"/>
      </w:rPr>
    </w:lvl>
    <w:lvl w:ilvl="1">
      <w:start w:val="5"/>
      <w:numFmt w:val="decimal"/>
      <w:lvlText w:val="%1.%2"/>
      <w:lvlJc w:val="left"/>
      <w:pPr>
        <w:ind w:left="480" w:hanging="48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60628AB"/>
    <w:multiLevelType w:val="hybridMultilevel"/>
    <w:tmpl w:val="AB58FD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D163C6"/>
    <w:multiLevelType w:val="multilevel"/>
    <w:tmpl w:val="E6B8B084"/>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31"/>
  </w:num>
  <w:num w:numId="20">
    <w:abstractNumId w:val="12"/>
  </w:num>
  <w:num w:numId="21">
    <w:abstractNumId w:val="9"/>
  </w:num>
  <w:num w:numId="22">
    <w:abstractNumId w:val="14"/>
  </w:num>
  <w:num w:numId="23">
    <w:abstractNumId w:val="20"/>
  </w:num>
  <w:num w:numId="24">
    <w:abstractNumId w:val="28"/>
  </w:num>
  <w:num w:numId="25">
    <w:abstractNumId w:val="4"/>
  </w:num>
  <w:num w:numId="26">
    <w:abstractNumId w:val="17"/>
  </w:num>
  <w:num w:numId="27">
    <w:abstractNumId w:val="21"/>
  </w:num>
  <w:num w:numId="28">
    <w:abstractNumId w:val="30"/>
  </w:num>
  <w:num w:numId="29">
    <w:abstractNumId w:val="26"/>
  </w:num>
  <w:num w:numId="30">
    <w:abstractNumId w:val="10"/>
  </w:num>
  <w:num w:numId="31">
    <w:abstractNumId w:val="11"/>
  </w:num>
  <w:num w:numId="32">
    <w:abstractNumId w:val="2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6FB4"/>
    <w:rsid w:val="0009368D"/>
    <w:rsid w:val="000A3FC9"/>
    <w:rsid w:val="000A47FA"/>
    <w:rsid w:val="000A65D3"/>
    <w:rsid w:val="000B1E33"/>
    <w:rsid w:val="000D689F"/>
    <w:rsid w:val="000E7B7B"/>
    <w:rsid w:val="000E7D62"/>
    <w:rsid w:val="00103357"/>
    <w:rsid w:val="00120D76"/>
    <w:rsid w:val="00123C9F"/>
    <w:rsid w:val="00124506"/>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5807"/>
    <w:rsid w:val="00231920"/>
    <w:rsid w:val="0023195C"/>
    <w:rsid w:val="0024282C"/>
    <w:rsid w:val="002460DC"/>
    <w:rsid w:val="00250985"/>
    <w:rsid w:val="002556F6"/>
    <w:rsid w:val="00270FE5"/>
    <w:rsid w:val="00283105"/>
    <w:rsid w:val="00284C4C"/>
    <w:rsid w:val="00287E68"/>
    <w:rsid w:val="00296529"/>
    <w:rsid w:val="002B27FB"/>
    <w:rsid w:val="002B6497"/>
    <w:rsid w:val="002B685A"/>
    <w:rsid w:val="002C57D2"/>
    <w:rsid w:val="002D5FDA"/>
    <w:rsid w:val="002E0D56"/>
    <w:rsid w:val="00315186"/>
    <w:rsid w:val="0033343E"/>
    <w:rsid w:val="003512C2"/>
    <w:rsid w:val="003624D7"/>
    <w:rsid w:val="00371FB6"/>
    <w:rsid w:val="003763C1"/>
    <w:rsid w:val="00376BBE"/>
    <w:rsid w:val="0039224F"/>
    <w:rsid w:val="003A43A4"/>
    <w:rsid w:val="003A7E18"/>
    <w:rsid w:val="003C3570"/>
    <w:rsid w:val="003C4C86"/>
    <w:rsid w:val="003C6258"/>
    <w:rsid w:val="003E2904"/>
    <w:rsid w:val="00401927"/>
    <w:rsid w:val="0040467E"/>
    <w:rsid w:val="0041027F"/>
    <w:rsid w:val="00412475"/>
    <w:rsid w:val="00423789"/>
    <w:rsid w:val="00440F43"/>
    <w:rsid w:val="00441B6F"/>
    <w:rsid w:val="00443464"/>
    <w:rsid w:val="00446221"/>
    <w:rsid w:val="00450E62"/>
    <w:rsid w:val="004539DB"/>
    <w:rsid w:val="00471A80"/>
    <w:rsid w:val="004D305E"/>
    <w:rsid w:val="004D4277"/>
    <w:rsid w:val="00502516"/>
    <w:rsid w:val="00505F06"/>
    <w:rsid w:val="00506828"/>
    <w:rsid w:val="0053056E"/>
    <w:rsid w:val="00554FDA"/>
    <w:rsid w:val="005C784C"/>
    <w:rsid w:val="005D17F6"/>
    <w:rsid w:val="005E4D42"/>
    <w:rsid w:val="005E5539"/>
    <w:rsid w:val="00602BF5"/>
    <w:rsid w:val="00617FDD"/>
    <w:rsid w:val="00624733"/>
    <w:rsid w:val="00633614"/>
    <w:rsid w:val="00633F68"/>
    <w:rsid w:val="00636EB2"/>
    <w:rsid w:val="006375B8"/>
    <w:rsid w:val="006400CD"/>
    <w:rsid w:val="006454BF"/>
    <w:rsid w:val="0066510A"/>
    <w:rsid w:val="006734B9"/>
    <w:rsid w:val="00673F9F"/>
    <w:rsid w:val="00686953"/>
    <w:rsid w:val="00687DEA"/>
    <w:rsid w:val="00687E67"/>
    <w:rsid w:val="006967F7"/>
    <w:rsid w:val="006A250C"/>
    <w:rsid w:val="006B21D3"/>
    <w:rsid w:val="006B57D0"/>
    <w:rsid w:val="006D30FF"/>
    <w:rsid w:val="006D6940"/>
    <w:rsid w:val="006E78EA"/>
    <w:rsid w:val="006F11EC"/>
    <w:rsid w:val="0070082C"/>
    <w:rsid w:val="00701C63"/>
    <w:rsid w:val="007265E1"/>
    <w:rsid w:val="007369E6"/>
    <w:rsid w:val="00746E59"/>
    <w:rsid w:val="00754C9A"/>
    <w:rsid w:val="0075599A"/>
    <w:rsid w:val="007562A0"/>
    <w:rsid w:val="00761D52"/>
    <w:rsid w:val="0077146A"/>
    <w:rsid w:val="0077749E"/>
    <w:rsid w:val="007873FE"/>
    <w:rsid w:val="00790ADA"/>
    <w:rsid w:val="007D2288"/>
    <w:rsid w:val="007E088F"/>
    <w:rsid w:val="007F7B32"/>
    <w:rsid w:val="00804BC2"/>
    <w:rsid w:val="0081431A"/>
    <w:rsid w:val="0083216F"/>
    <w:rsid w:val="00856B5E"/>
    <w:rsid w:val="00860000"/>
    <w:rsid w:val="00863BD3"/>
    <w:rsid w:val="008641ED"/>
    <w:rsid w:val="00866D66"/>
    <w:rsid w:val="008671C6"/>
    <w:rsid w:val="00875803"/>
    <w:rsid w:val="008806E0"/>
    <w:rsid w:val="008B459E"/>
    <w:rsid w:val="008E13AE"/>
    <w:rsid w:val="008E1506"/>
    <w:rsid w:val="008E710C"/>
    <w:rsid w:val="008F5577"/>
    <w:rsid w:val="008F69D6"/>
    <w:rsid w:val="00902823"/>
    <w:rsid w:val="00915CA6"/>
    <w:rsid w:val="00927834"/>
    <w:rsid w:val="009500A6"/>
    <w:rsid w:val="00957C18"/>
    <w:rsid w:val="00960230"/>
    <w:rsid w:val="00964C19"/>
    <w:rsid w:val="009659BA"/>
    <w:rsid w:val="00970C05"/>
    <w:rsid w:val="00983040"/>
    <w:rsid w:val="00984363"/>
    <w:rsid w:val="009B3FB9"/>
    <w:rsid w:val="009C2465"/>
    <w:rsid w:val="009D35A0"/>
    <w:rsid w:val="009D7EB7"/>
    <w:rsid w:val="009E048A"/>
    <w:rsid w:val="009E08E9"/>
    <w:rsid w:val="009E3DB9"/>
    <w:rsid w:val="009E6E35"/>
    <w:rsid w:val="009F0EDA"/>
    <w:rsid w:val="00A03B96"/>
    <w:rsid w:val="00A05B19"/>
    <w:rsid w:val="00A1134E"/>
    <w:rsid w:val="00A175CC"/>
    <w:rsid w:val="00A24E7E"/>
    <w:rsid w:val="00A258C3"/>
    <w:rsid w:val="00A347C0"/>
    <w:rsid w:val="00A51431"/>
    <w:rsid w:val="00A539AD"/>
    <w:rsid w:val="00A94063"/>
    <w:rsid w:val="00AA6219"/>
    <w:rsid w:val="00AA74E0"/>
    <w:rsid w:val="00AB703F"/>
    <w:rsid w:val="00AC6BB8"/>
    <w:rsid w:val="00AE008F"/>
    <w:rsid w:val="00B01FCD"/>
    <w:rsid w:val="00B1776C"/>
    <w:rsid w:val="00B3114C"/>
    <w:rsid w:val="00B52583"/>
    <w:rsid w:val="00B52896"/>
    <w:rsid w:val="00B73699"/>
    <w:rsid w:val="00B95236"/>
    <w:rsid w:val="00B96BD9"/>
    <w:rsid w:val="00BA1B01"/>
    <w:rsid w:val="00BA2641"/>
    <w:rsid w:val="00BB37AA"/>
    <w:rsid w:val="00BC53A0"/>
    <w:rsid w:val="00BE62AD"/>
    <w:rsid w:val="00BF121F"/>
    <w:rsid w:val="00BF1F80"/>
    <w:rsid w:val="00C166EF"/>
    <w:rsid w:val="00C17EB0"/>
    <w:rsid w:val="00C22955"/>
    <w:rsid w:val="00C27F5F"/>
    <w:rsid w:val="00C30A0F"/>
    <w:rsid w:val="00C346F2"/>
    <w:rsid w:val="00C37E61"/>
    <w:rsid w:val="00C70F1B"/>
    <w:rsid w:val="00C71A47"/>
    <w:rsid w:val="00C7464C"/>
    <w:rsid w:val="00C74A7B"/>
    <w:rsid w:val="00C85588"/>
    <w:rsid w:val="00CD6755"/>
    <w:rsid w:val="00CD6856"/>
    <w:rsid w:val="00CE0089"/>
    <w:rsid w:val="00CE793C"/>
    <w:rsid w:val="00CF193C"/>
    <w:rsid w:val="00CF5D81"/>
    <w:rsid w:val="00D173F1"/>
    <w:rsid w:val="00D22EF4"/>
    <w:rsid w:val="00D74CB0"/>
    <w:rsid w:val="00D8295D"/>
    <w:rsid w:val="00D84BFA"/>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2588"/>
    <w:rsid w:val="00F469F0"/>
    <w:rsid w:val="00F51435"/>
    <w:rsid w:val="00F53273"/>
    <w:rsid w:val="00F755E4"/>
    <w:rsid w:val="00F77D02"/>
    <w:rsid w:val="00FB3A86"/>
    <w:rsid w:val="00FC0DF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C024C9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514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514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B6497"/>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562A0"/>
    <w:rPr>
      <w:b/>
      <w:bCs/>
    </w:rPr>
  </w:style>
  <w:style w:type="character" w:customStyle="1" w:styleId="Heading2Char">
    <w:name w:val="Heading 2 Char"/>
    <w:basedOn w:val="DefaultParagraphFont"/>
    <w:link w:val="Heading2"/>
    <w:semiHidden/>
    <w:rsid w:val="00F5143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F5143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51435"/>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72263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vox.13045" TargetMode="External"/><Relationship Id="rId26" Type="http://schemas.openxmlformats.org/officeDocument/2006/relationships/hyperlink" Target="https://doi.org/10.4103/0019-5154.182410" TargetMode="External"/><Relationship Id="rId3" Type="http://schemas.openxmlformats.org/officeDocument/2006/relationships/styles" Target="styles.xml"/><Relationship Id="rId21" Type="http://schemas.openxmlformats.org/officeDocument/2006/relationships/hyperlink" Target="https://doi.org/10.1111/vox.13345"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tmrv.2021.10.001" TargetMode="External"/><Relationship Id="rId25" Type="http://schemas.openxmlformats.org/officeDocument/2006/relationships/hyperlink" Target="https://www.isbtweb.org"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16/j.tmrv.2022.10.002" TargetMode="External"/><Relationship Id="rId20" Type="http://schemas.openxmlformats.org/officeDocument/2006/relationships/hyperlink" Target="https://doi.org/10.1111/trf.15475" TargetMode="External"/><Relationship Id="rId29" Type="http://schemas.openxmlformats.org/officeDocument/2006/relationships/hyperlink" Target="https://doi.org/10.1097/MD.00000000000177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5406/bbij.2017.05.00149"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111/trf.16893" TargetMode="External"/><Relationship Id="rId23" Type="http://schemas.openxmlformats.org/officeDocument/2006/relationships/hyperlink" Target="https://www.who.int/news-room/fact-sheets/detail/blood-safety-and-availability" TargetMode="External"/><Relationship Id="rId28" Type="http://schemas.openxmlformats.org/officeDocument/2006/relationships/hyperlink" Target="https://doi.org/10.1111/trf.16893"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j.transci.2022.103366"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S2352-3026(22)00072-3" TargetMode="External"/><Relationship Id="rId22" Type="http://schemas.openxmlformats.org/officeDocument/2006/relationships/hyperlink" Target="https://doi.org/10.1097/MD.0000000000017758" TargetMode="External"/><Relationship Id="rId27" Type="http://schemas.openxmlformats.org/officeDocument/2006/relationships/hyperlink" Target="https://www.who.int/news-room/fact-sheets/detail/blood-safety-and-availability" TargetMode="External"/><Relationship Id="rId30" Type="http://schemas.openxmlformats.org/officeDocument/2006/relationships/hyperlink" Target="https://www.who.int/news-room/fact-sheets/detail/blood-safety-and-availability"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F6779-C619-48F4-AC16-8D7ADB1C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21</Pages>
  <Words>6192</Words>
  <Characters>35296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41406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36</cp:revision>
  <cp:lastPrinted>1999-07-06T11:00:00Z</cp:lastPrinted>
  <dcterms:created xsi:type="dcterms:W3CDTF">2014-10-25T14:34:00Z</dcterms:created>
  <dcterms:modified xsi:type="dcterms:W3CDTF">2026-04-13T12:11:00Z</dcterms:modified>
</cp:coreProperties>
</file>