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4B56403" w14:textId="3DCA6822" w:rsidR="00410AA9" w:rsidRDefault="00410AA9" w:rsidP="009035B4">
      <w:pPr>
        <w:pStyle w:val="Heading1"/>
        <w:spacing w:line="480" w:lineRule="auto"/>
        <w:rPr>
          <w:rFonts w:ascii="Arial" w:hAnsi="Arial" w:cs="Arial"/>
          <w:sz w:val="22"/>
          <w:szCs w:val="22"/>
        </w:rPr>
      </w:pPr>
      <w:r w:rsidRPr="006D6167">
        <w:rPr>
          <w:rFonts w:ascii="Times New Roman" w:hAnsi="Times New Roman" w:cs="Times New Roman"/>
          <w:sz w:val="20"/>
          <w:szCs w:val="20"/>
        </w:rPr>
        <w:t>Original Research Article</w:t>
      </w:r>
    </w:p>
    <w:p w14:paraId="5CAA33F8" w14:textId="2CEC6A43" w:rsidR="009035B4" w:rsidRPr="00867931" w:rsidRDefault="00867931" w:rsidP="009035B4">
      <w:pPr>
        <w:pStyle w:val="Heading1"/>
        <w:spacing w:line="480" w:lineRule="auto"/>
        <w:rPr>
          <w:rFonts w:ascii="Arial" w:hAnsi="Arial" w:cs="Arial"/>
          <w:sz w:val="22"/>
          <w:szCs w:val="22"/>
        </w:rPr>
      </w:pPr>
      <w:r w:rsidRPr="00867931">
        <w:rPr>
          <w:rFonts w:ascii="Arial" w:hAnsi="Arial" w:cs="Arial"/>
          <w:sz w:val="22"/>
          <w:szCs w:val="22"/>
        </w:rPr>
        <w:t>Comparison of the effect on the postoperative pain between infiltration between the popliteal artery and capsule of the knee block and local infiltration anesthesia after total knee arthroplasty.</w:t>
      </w:r>
    </w:p>
    <w:p w14:paraId="262C769D" w14:textId="7683B5E2" w:rsidR="00CE77F7" w:rsidRDefault="00CE77F7" w:rsidP="00807683">
      <w:pPr>
        <w:spacing w:line="480" w:lineRule="auto"/>
        <w:rPr>
          <w:rFonts w:ascii="Arial" w:hAnsi="Arial" w:cs="Arial"/>
          <w:sz w:val="20"/>
          <w:szCs w:val="20"/>
        </w:rPr>
      </w:pPr>
    </w:p>
    <w:p w14:paraId="35E58441" w14:textId="77777777" w:rsidR="00EF497C" w:rsidRPr="00BE76E1" w:rsidRDefault="00EF497C" w:rsidP="00807683">
      <w:pPr>
        <w:spacing w:line="480" w:lineRule="auto"/>
        <w:rPr>
          <w:rFonts w:ascii="Arial" w:hAnsi="Arial" w:cs="Arial"/>
          <w:sz w:val="20"/>
          <w:szCs w:val="20"/>
        </w:rPr>
      </w:pPr>
    </w:p>
    <w:p w14:paraId="73D00D65" w14:textId="77777777" w:rsidR="006A500F" w:rsidRPr="00BE76E1" w:rsidRDefault="006A500F" w:rsidP="00807683">
      <w:pPr>
        <w:spacing w:line="480" w:lineRule="auto"/>
        <w:rPr>
          <w:rFonts w:ascii="Arial" w:hAnsi="Arial" w:cs="Arial"/>
          <w:sz w:val="20"/>
          <w:szCs w:val="20"/>
        </w:rPr>
      </w:pPr>
    </w:p>
    <w:p w14:paraId="0B27C883" w14:textId="77777777" w:rsidR="00B64B50" w:rsidRPr="003775D9" w:rsidRDefault="00B64B50" w:rsidP="00B64B50">
      <w:pPr>
        <w:spacing w:line="480" w:lineRule="auto"/>
        <w:rPr>
          <w:rFonts w:ascii="Arial" w:hAnsi="Arial" w:cs="Arial"/>
          <w:b/>
          <w:sz w:val="20"/>
          <w:szCs w:val="20"/>
        </w:rPr>
      </w:pPr>
      <w:r w:rsidRPr="003775D9">
        <w:rPr>
          <w:rFonts w:ascii="Arial" w:hAnsi="Arial" w:cs="Arial"/>
          <w:b/>
          <w:sz w:val="20"/>
          <w:szCs w:val="20"/>
        </w:rPr>
        <w:t>ABSTRACT</w:t>
      </w:r>
    </w:p>
    <w:p w14:paraId="1044029D" w14:textId="77777777" w:rsidR="00B64B50" w:rsidRPr="00BE76E1" w:rsidRDefault="00B64B50" w:rsidP="00B64B50">
      <w:pPr>
        <w:spacing w:line="480" w:lineRule="auto"/>
        <w:rPr>
          <w:rFonts w:ascii="Arial" w:eastAsia="MS Mincho" w:hAnsi="Arial" w:cs="Arial"/>
          <w:sz w:val="20"/>
          <w:szCs w:val="20"/>
        </w:rPr>
      </w:pPr>
      <w:r w:rsidRPr="00BE76E1">
        <w:rPr>
          <w:rFonts w:ascii="Arial" w:hAnsi="Arial" w:cs="Arial"/>
          <w:b/>
          <w:sz w:val="20"/>
          <w:szCs w:val="20"/>
        </w:rPr>
        <w:t>Aims</w:t>
      </w:r>
      <w:r w:rsidRPr="00BE76E1">
        <w:rPr>
          <w:rFonts w:ascii="Arial" w:hAnsi="Arial" w:cs="Arial"/>
          <w:sz w:val="20"/>
          <w:szCs w:val="20"/>
        </w:rPr>
        <w:t xml:space="preserve">: </w:t>
      </w:r>
      <w:r w:rsidRPr="009E332F">
        <w:rPr>
          <w:rFonts w:ascii="Arial" w:hAnsi="Arial" w:cs="Arial"/>
          <w:sz w:val="20"/>
          <w:szCs w:val="20"/>
        </w:rPr>
        <w:t xml:space="preserve">Infiltration between the </w:t>
      </w:r>
      <w:r>
        <w:rPr>
          <w:rFonts w:ascii="Arial" w:hAnsi="Arial" w:cs="Arial"/>
          <w:sz w:val="20"/>
          <w:szCs w:val="20"/>
        </w:rPr>
        <w:t>p</w:t>
      </w:r>
      <w:r w:rsidRPr="009E332F">
        <w:rPr>
          <w:rFonts w:ascii="Arial" w:hAnsi="Arial" w:cs="Arial"/>
          <w:sz w:val="20"/>
          <w:szCs w:val="20"/>
        </w:rPr>
        <w:t xml:space="preserve">opliteal </w:t>
      </w:r>
      <w:r>
        <w:rPr>
          <w:rFonts w:ascii="Arial" w:hAnsi="Arial" w:cs="Arial"/>
          <w:sz w:val="20"/>
          <w:szCs w:val="20"/>
        </w:rPr>
        <w:t>a</w:t>
      </w:r>
      <w:r w:rsidRPr="009E332F">
        <w:rPr>
          <w:rFonts w:ascii="Arial" w:hAnsi="Arial" w:cs="Arial"/>
          <w:sz w:val="20"/>
          <w:szCs w:val="20"/>
        </w:rPr>
        <w:t xml:space="preserve">rtery and </w:t>
      </w:r>
      <w:r>
        <w:rPr>
          <w:rFonts w:ascii="Arial" w:hAnsi="Arial" w:cs="Arial"/>
          <w:sz w:val="20"/>
          <w:szCs w:val="20"/>
        </w:rPr>
        <w:t>c</w:t>
      </w:r>
      <w:r w:rsidRPr="009E332F">
        <w:rPr>
          <w:rFonts w:ascii="Arial" w:hAnsi="Arial" w:cs="Arial"/>
          <w:sz w:val="20"/>
          <w:szCs w:val="20"/>
        </w:rPr>
        <w:t xml:space="preserve">apsule of the </w:t>
      </w:r>
      <w:r>
        <w:rPr>
          <w:rFonts w:ascii="Arial" w:hAnsi="Arial" w:cs="Arial"/>
          <w:sz w:val="20"/>
          <w:szCs w:val="20"/>
        </w:rPr>
        <w:t>k</w:t>
      </w:r>
      <w:r w:rsidRPr="009E332F">
        <w:rPr>
          <w:rFonts w:ascii="Arial" w:hAnsi="Arial" w:cs="Arial"/>
          <w:sz w:val="20"/>
          <w:szCs w:val="20"/>
        </w:rPr>
        <w:t>nee (</w:t>
      </w:r>
      <w:r>
        <w:rPr>
          <w:rFonts w:ascii="Arial" w:hAnsi="Arial" w:cs="Arial"/>
          <w:sz w:val="20"/>
          <w:szCs w:val="20"/>
        </w:rPr>
        <w:t>I</w:t>
      </w:r>
      <w:r w:rsidRPr="009E332F">
        <w:rPr>
          <w:rFonts w:ascii="Arial" w:hAnsi="Arial" w:cs="Arial"/>
          <w:sz w:val="20"/>
          <w:szCs w:val="20"/>
        </w:rPr>
        <w:t>PACK) block</w:t>
      </w:r>
      <w:r>
        <w:rPr>
          <w:rFonts w:ascii="Arial" w:hAnsi="Arial" w:cs="Arial"/>
          <w:sz w:val="20"/>
          <w:szCs w:val="20"/>
        </w:rPr>
        <w:t xml:space="preserve"> </w:t>
      </w:r>
      <w:r w:rsidRPr="009E332F">
        <w:rPr>
          <w:rFonts w:ascii="Arial" w:hAnsi="Arial" w:cs="Arial"/>
          <w:sz w:val="20"/>
          <w:szCs w:val="20"/>
        </w:rPr>
        <w:t xml:space="preserve">is useful for analgesia after </w:t>
      </w:r>
      <w:r>
        <w:rPr>
          <w:rFonts w:asciiTheme="majorHAnsi" w:hAnsiTheme="majorHAnsi" w:cstheme="majorHAnsi"/>
          <w:sz w:val="20"/>
          <w:szCs w:val="20"/>
        </w:rPr>
        <w:t>t</w:t>
      </w:r>
      <w:r w:rsidRPr="00C91F7F">
        <w:rPr>
          <w:rFonts w:asciiTheme="majorHAnsi" w:hAnsiTheme="majorHAnsi" w:cstheme="majorHAnsi"/>
          <w:sz w:val="20"/>
          <w:szCs w:val="20"/>
        </w:rPr>
        <w:t xml:space="preserve">otal </w:t>
      </w:r>
      <w:r>
        <w:rPr>
          <w:rFonts w:asciiTheme="majorHAnsi" w:hAnsiTheme="majorHAnsi" w:cstheme="majorHAnsi"/>
          <w:sz w:val="20"/>
          <w:szCs w:val="20"/>
        </w:rPr>
        <w:t>k</w:t>
      </w:r>
      <w:r w:rsidRPr="00C91F7F">
        <w:rPr>
          <w:rFonts w:asciiTheme="majorHAnsi" w:hAnsiTheme="majorHAnsi" w:cstheme="majorHAnsi"/>
          <w:sz w:val="20"/>
          <w:szCs w:val="20"/>
        </w:rPr>
        <w:t xml:space="preserve">nee </w:t>
      </w:r>
      <w:r>
        <w:rPr>
          <w:rFonts w:asciiTheme="majorHAnsi" w:hAnsiTheme="majorHAnsi" w:cstheme="majorHAnsi"/>
          <w:sz w:val="20"/>
          <w:szCs w:val="20"/>
        </w:rPr>
        <w:t>a</w:t>
      </w:r>
      <w:r w:rsidRPr="00C91F7F">
        <w:rPr>
          <w:rFonts w:asciiTheme="majorHAnsi" w:hAnsiTheme="majorHAnsi" w:cstheme="majorHAnsi"/>
          <w:sz w:val="20"/>
          <w:szCs w:val="20"/>
        </w:rPr>
        <w:t>rthroplasty</w:t>
      </w:r>
      <w:r>
        <w:rPr>
          <w:rFonts w:ascii="Arial" w:eastAsia="MS Mincho" w:hAnsi="Arial" w:cs="Arial"/>
          <w:sz w:val="20"/>
          <w:szCs w:val="20"/>
        </w:rPr>
        <w:t xml:space="preserve"> (TKA) in the posterior compartment of the knee without compromising foot strength. This study was conducted to determine whether the IPACK</w:t>
      </w:r>
      <w:r>
        <w:rPr>
          <w:rFonts w:ascii="Arial" w:hAnsi="Arial" w:cs="Arial"/>
          <w:sz w:val="20"/>
          <w:szCs w:val="20"/>
        </w:rPr>
        <w:t xml:space="preserve"> block, in combination with </w:t>
      </w:r>
      <w:r w:rsidRPr="009E332F">
        <w:rPr>
          <w:rFonts w:ascii="Arial" w:hAnsi="Arial" w:cs="Arial"/>
          <w:sz w:val="20"/>
          <w:szCs w:val="20"/>
        </w:rPr>
        <w:t>femoral nerve block (FNB)</w:t>
      </w:r>
      <w:r>
        <w:rPr>
          <w:rFonts w:ascii="Arial" w:eastAsia="MS Mincho" w:hAnsi="Arial" w:cs="Arial"/>
          <w:sz w:val="20"/>
          <w:szCs w:val="20"/>
        </w:rPr>
        <w:t>,</w:t>
      </w:r>
      <w:r>
        <w:rPr>
          <w:rFonts w:ascii="Arial" w:hAnsi="Arial" w:cs="Arial"/>
          <w:sz w:val="20"/>
          <w:szCs w:val="20"/>
        </w:rPr>
        <w:t xml:space="preserve"> improves </w:t>
      </w:r>
      <w:r>
        <w:rPr>
          <w:rFonts w:ascii="Arial" w:eastAsia="MS Mincho" w:hAnsi="Arial" w:cs="Arial"/>
          <w:sz w:val="20"/>
          <w:szCs w:val="20"/>
        </w:rPr>
        <w:t>the analgesia provided by local infiltration analgesia (</w:t>
      </w:r>
      <w:r w:rsidRPr="009E332F">
        <w:rPr>
          <w:rFonts w:ascii="Arial" w:hAnsi="Arial" w:cs="Arial"/>
          <w:sz w:val="20"/>
          <w:szCs w:val="20"/>
        </w:rPr>
        <w:t>LIA</w:t>
      </w:r>
      <w:r>
        <w:rPr>
          <w:rFonts w:ascii="Arial" w:hAnsi="Arial" w:cs="Arial"/>
          <w:sz w:val="20"/>
          <w:szCs w:val="20"/>
        </w:rPr>
        <w:t>)</w:t>
      </w:r>
      <w:r w:rsidRPr="009E332F">
        <w:rPr>
          <w:rFonts w:ascii="Arial" w:hAnsi="Arial" w:cs="Arial"/>
          <w:sz w:val="20"/>
          <w:szCs w:val="20"/>
        </w:rPr>
        <w:t xml:space="preserve"> with FNB. </w:t>
      </w:r>
    </w:p>
    <w:p w14:paraId="1C24FD48" w14:textId="77777777" w:rsidR="00B64B50" w:rsidRPr="00BE76E1" w:rsidRDefault="00B64B50" w:rsidP="00B64B50">
      <w:pPr>
        <w:spacing w:line="480" w:lineRule="auto"/>
        <w:rPr>
          <w:rFonts w:ascii="Arial" w:hAnsi="Arial" w:cs="Arial"/>
          <w:sz w:val="20"/>
          <w:szCs w:val="20"/>
        </w:rPr>
      </w:pPr>
      <w:r w:rsidRPr="00BE76E1">
        <w:rPr>
          <w:rFonts w:ascii="Arial" w:eastAsia="MS Mincho" w:hAnsi="Arial" w:cs="Arial"/>
          <w:b/>
          <w:sz w:val="20"/>
          <w:szCs w:val="20"/>
        </w:rPr>
        <w:t>Study design</w:t>
      </w:r>
      <w:r w:rsidRPr="00BE76E1">
        <w:rPr>
          <w:rFonts w:ascii="Arial" w:eastAsia="MS Mincho" w:hAnsi="Arial" w:cs="Arial"/>
          <w:sz w:val="20"/>
          <w:szCs w:val="20"/>
        </w:rPr>
        <w:t xml:space="preserve">: </w:t>
      </w:r>
      <w:r w:rsidRPr="00BE76E1">
        <w:rPr>
          <w:rFonts w:ascii="Arial" w:hAnsi="Arial" w:cs="Arial"/>
          <w:sz w:val="20"/>
          <w:szCs w:val="20"/>
        </w:rPr>
        <w:t>Prospective, randomized, open-label trial</w:t>
      </w:r>
    </w:p>
    <w:p w14:paraId="52156821" w14:textId="77777777" w:rsidR="00B64B50" w:rsidRPr="00BE76E1" w:rsidRDefault="00B64B50" w:rsidP="00B64B50">
      <w:pPr>
        <w:spacing w:line="480" w:lineRule="auto"/>
        <w:rPr>
          <w:rFonts w:ascii="Arial" w:hAnsi="Arial" w:cs="Arial"/>
          <w:sz w:val="20"/>
          <w:szCs w:val="20"/>
        </w:rPr>
      </w:pPr>
      <w:r w:rsidRPr="00BE76E1">
        <w:rPr>
          <w:rFonts w:ascii="Arial" w:hAnsi="Arial" w:cs="Arial"/>
          <w:b/>
          <w:sz w:val="20"/>
          <w:szCs w:val="20"/>
        </w:rPr>
        <w:t>Place and Duration of Study</w:t>
      </w:r>
      <w:r w:rsidRPr="00BE76E1">
        <w:rPr>
          <w:rFonts w:ascii="Arial" w:hAnsi="Arial" w:cs="Arial"/>
          <w:sz w:val="20"/>
          <w:szCs w:val="20"/>
        </w:rPr>
        <w:t xml:space="preserve">: Department of Anesthesia, Nagasaki Rosai </w:t>
      </w:r>
      <w:r>
        <w:rPr>
          <w:rFonts w:ascii="Arial" w:hAnsi="Arial" w:cs="Arial"/>
          <w:sz w:val="20"/>
          <w:szCs w:val="20"/>
        </w:rPr>
        <w:t xml:space="preserve">Hospital, Sasebo, Japan, </w:t>
      </w:r>
      <w:r w:rsidRPr="009E332F">
        <w:rPr>
          <w:rFonts w:ascii="Arial" w:hAnsi="Arial" w:cs="Arial"/>
          <w:sz w:val="20"/>
          <w:szCs w:val="20"/>
        </w:rPr>
        <w:t>from April 2020 to November 2021</w:t>
      </w:r>
      <w:r>
        <w:rPr>
          <w:rFonts w:ascii="Arial" w:hAnsi="Arial" w:cs="Arial"/>
          <w:sz w:val="20"/>
          <w:szCs w:val="20"/>
        </w:rPr>
        <w:t>.</w:t>
      </w:r>
    </w:p>
    <w:p w14:paraId="1A48A3F1" w14:textId="77777777" w:rsidR="00B64B50" w:rsidRPr="00BE76E1" w:rsidRDefault="00B64B50" w:rsidP="00B64B50">
      <w:pPr>
        <w:spacing w:line="480" w:lineRule="auto"/>
        <w:rPr>
          <w:rFonts w:ascii="Arial" w:hAnsi="Arial" w:cs="Arial"/>
          <w:sz w:val="20"/>
          <w:szCs w:val="20"/>
        </w:rPr>
      </w:pPr>
      <w:r w:rsidRPr="00BE76E1">
        <w:rPr>
          <w:rFonts w:ascii="Arial" w:hAnsi="Arial" w:cs="Arial"/>
          <w:b/>
          <w:sz w:val="20"/>
          <w:szCs w:val="20"/>
        </w:rPr>
        <w:t>Methodology</w:t>
      </w:r>
      <w:r w:rsidRPr="00BE76E1">
        <w:rPr>
          <w:rFonts w:ascii="Arial" w:hAnsi="Arial" w:cs="Arial"/>
          <w:sz w:val="20"/>
          <w:szCs w:val="20"/>
        </w:rPr>
        <w:t xml:space="preserve">: </w:t>
      </w:r>
    </w:p>
    <w:p w14:paraId="6FC601E1" w14:textId="77777777" w:rsidR="00B64B50" w:rsidRPr="009E332F" w:rsidRDefault="00B64B50" w:rsidP="00B64B50">
      <w:pPr>
        <w:spacing w:line="480" w:lineRule="auto"/>
        <w:ind w:firstLine="840"/>
        <w:rPr>
          <w:rFonts w:ascii="Arial" w:hAnsi="Arial" w:cs="Arial"/>
          <w:sz w:val="20"/>
          <w:szCs w:val="20"/>
        </w:rPr>
      </w:pPr>
      <w:r w:rsidRPr="009E332F">
        <w:rPr>
          <w:rFonts w:ascii="Arial" w:hAnsi="Arial" w:cs="Arial"/>
          <w:sz w:val="20"/>
          <w:szCs w:val="20"/>
        </w:rPr>
        <w:t xml:space="preserve">We studied 50 </w:t>
      </w:r>
      <w:r>
        <w:rPr>
          <w:rFonts w:ascii="Arial" w:hAnsi="Arial" w:cs="Arial"/>
          <w:sz w:val="20"/>
          <w:szCs w:val="20"/>
        </w:rPr>
        <w:t>patients who underwent TKA under</w:t>
      </w:r>
      <w:r w:rsidRPr="009E332F">
        <w:rPr>
          <w:rFonts w:ascii="Arial" w:hAnsi="Arial" w:cs="Arial"/>
          <w:sz w:val="20"/>
          <w:szCs w:val="20"/>
        </w:rPr>
        <w:t xml:space="preserve"> total intravenous </w:t>
      </w:r>
      <w:r>
        <w:rPr>
          <w:rFonts w:ascii="Arial" w:eastAsia="MS Mincho" w:hAnsi="Arial" w:cs="Arial"/>
          <w:sz w:val="20"/>
          <w:szCs w:val="20"/>
        </w:rPr>
        <w:t>propofol anesthesia</w:t>
      </w:r>
      <w:r w:rsidRPr="009E332F">
        <w:rPr>
          <w:rFonts w:ascii="Arial" w:hAnsi="Arial" w:cs="Arial"/>
          <w:sz w:val="20"/>
          <w:szCs w:val="20"/>
        </w:rPr>
        <w:t xml:space="preserve">. All patients underwent ultrasound-guided FNB with </w:t>
      </w:r>
      <w:r>
        <w:rPr>
          <w:rFonts w:ascii="Arial" w:eastAsia="MS Mincho" w:hAnsi="Arial" w:cs="Arial"/>
          <w:sz w:val="20"/>
          <w:szCs w:val="20"/>
        </w:rPr>
        <w:t>30 mL of 0.25% levobupivacaine</w:t>
      </w:r>
      <w:r w:rsidRPr="009E332F">
        <w:rPr>
          <w:rFonts w:ascii="Arial" w:hAnsi="Arial" w:cs="Arial"/>
          <w:sz w:val="20"/>
          <w:szCs w:val="20"/>
        </w:rPr>
        <w:t xml:space="preserve"> before the operation. In addition, 250 </w:t>
      </w:r>
      <w:proofErr w:type="spellStart"/>
      <w:r w:rsidRPr="009E332F">
        <w:rPr>
          <w:rFonts w:ascii="Arial" w:hAnsi="Arial" w:cs="Arial"/>
          <w:sz w:val="20"/>
          <w:szCs w:val="20"/>
        </w:rPr>
        <w:t>μg</w:t>
      </w:r>
      <w:proofErr w:type="spellEnd"/>
      <w:r w:rsidRPr="009E332F">
        <w:rPr>
          <w:rFonts w:ascii="Arial" w:hAnsi="Arial" w:cs="Arial"/>
          <w:sz w:val="20"/>
          <w:szCs w:val="20"/>
        </w:rPr>
        <w:t xml:space="preserve"> of fentanyl was intravenously administered at the begi</w:t>
      </w:r>
      <w:r>
        <w:rPr>
          <w:rFonts w:ascii="Arial" w:hAnsi="Arial" w:cs="Arial"/>
          <w:sz w:val="20"/>
          <w:szCs w:val="20"/>
        </w:rPr>
        <w:t xml:space="preserve">nning of surgery and </w:t>
      </w:r>
      <w:r w:rsidRPr="009E332F">
        <w:rPr>
          <w:rFonts w:ascii="Arial" w:hAnsi="Arial" w:cs="Arial"/>
          <w:sz w:val="20"/>
          <w:szCs w:val="20"/>
        </w:rPr>
        <w:t>before the end of surgery, and 1000 mg of acetaminophen was intrav</w:t>
      </w:r>
      <w:r>
        <w:rPr>
          <w:rFonts w:ascii="Arial" w:hAnsi="Arial" w:cs="Arial"/>
          <w:sz w:val="20"/>
          <w:szCs w:val="20"/>
        </w:rPr>
        <w:t xml:space="preserve">enously administered </w:t>
      </w:r>
      <w:r w:rsidRPr="009E332F">
        <w:rPr>
          <w:rFonts w:ascii="Arial" w:hAnsi="Arial" w:cs="Arial"/>
          <w:sz w:val="20"/>
          <w:szCs w:val="20"/>
        </w:rPr>
        <w:t xml:space="preserve">before the end of surgery. Patients were randomly allocated to one of two groups: Group I (n = 25), which received local infiltration anesthesia with </w:t>
      </w:r>
      <w:r>
        <w:rPr>
          <w:rFonts w:ascii="Arial" w:eastAsia="MS Mincho" w:hAnsi="Arial" w:cs="Arial"/>
          <w:sz w:val="20"/>
          <w:szCs w:val="20"/>
        </w:rPr>
        <w:t>30 mL of 0.25% levobupivacaine</w:t>
      </w:r>
      <w:r w:rsidRPr="009E332F">
        <w:rPr>
          <w:rFonts w:ascii="Arial" w:hAnsi="Arial" w:cs="Arial"/>
          <w:sz w:val="20"/>
          <w:szCs w:val="20"/>
        </w:rPr>
        <w:t xml:space="preserve"> into the posterior capsule of the knee</w:t>
      </w:r>
      <w:r>
        <w:rPr>
          <w:rFonts w:ascii="Arial" w:hAnsi="Arial" w:cs="Arial"/>
          <w:sz w:val="20"/>
          <w:szCs w:val="20"/>
        </w:rPr>
        <w:t xml:space="preserve"> before cementing and</w:t>
      </w:r>
      <w:r w:rsidRPr="009E332F">
        <w:rPr>
          <w:rFonts w:ascii="Arial" w:hAnsi="Arial" w:cs="Arial"/>
          <w:sz w:val="20"/>
          <w:szCs w:val="20"/>
        </w:rPr>
        <w:t xml:space="preserve"> Group B (n = 25), which received </w:t>
      </w:r>
      <w:r>
        <w:rPr>
          <w:rFonts w:ascii="Arial" w:eastAsia="MS Mincho" w:hAnsi="Arial" w:cs="Arial"/>
          <w:sz w:val="20"/>
          <w:szCs w:val="20"/>
        </w:rPr>
        <w:t>an ultrasound-guided IPACK block with 30 mL of 0.25% levobupivacaine</w:t>
      </w:r>
      <w:r w:rsidRPr="009E332F">
        <w:rPr>
          <w:rFonts w:ascii="Arial" w:hAnsi="Arial" w:cs="Arial"/>
          <w:sz w:val="20"/>
          <w:szCs w:val="20"/>
        </w:rPr>
        <w:t xml:space="preserve"> immediately after </w:t>
      </w:r>
      <w:r>
        <w:rPr>
          <w:rFonts w:ascii="Arial" w:eastAsia="MS Mincho" w:hAnsi="Arial" w:cs="Arial"/>
          <w:sz w:val="20"/>
          <w:szCs w:val="20"/>
        </w:rPr>
        <w:t xml:space="preserve">the FNB. </w:t>
      </w:r>
      <w:r w:rsidRPr="009E332F">
        <w:rPr>
          <w:rFonts w:ascii="Arial" w:hAnsi="Arial" w:cs="Arial"/>
          <w:sz w:val="20"/>
          <w:szCs w:val="20"/>
        </w:rPr>
        <w:t>Patients were administered 1000 mg of acetaminophen or 15</w:t>
      </w:r>
      <w:r>
        <w:rPr>
          <w:rFonts w:ascii="Arial" w:eastAsia="MS Mincho" w:hAnsi="Arial" w:cs="Arial"/>
          <w:sz w:val="20"/>
          <w:szCs w:val="20"/>
        </w:rPr>
        <w:t xml:space="preserve"> mg of pentazocine as rescue analgesics, if needed. The primary outcome was </w:t>
      </w:r>
      <w:r w:rsidRPr="009E332F">
        <w:rPr>
          <w:rFonts w:ascii="Arial" w:hAnsi="Arial" w:cs="Arial"/>
          <w:sz w:val="20"/>
          <w:szCs w:val="20"/>
        </w:rPr>
        <w:t xml:space="preserve">postoperative pain evaluated by </w:t>
      </w:r>
      <w:r>
        <w:rPr>
          <w:rFonts w:ascii="Arial" w:eastAsia="MS Mincho" w:hAnsi="Arial" w:cs="Arial"/>
          <w:sz w:val="20"/>
          <w:szCs w:val="20"/>
        </w:rPr>
        <w:t>the nursing staff</w:t>
      </w:r>
      <w:r w:rsidRPr="009E332F">
        <w:rPr>
          <w:rFonts w:ascii="Arial" w:hAnsi="Arial" w:cs="Arial"/>
          <w:sz w:val="20"/>
          <w:szCs w:val="20"/>
        </w:rPr>
        <w:t xml:space="preserve"> using a numerical rating scale (NRS) at 0, 1, 3, 6, 12, and 24 h postoperatively.</w:t>
      </w:r>
    </w:p>
    <w:p w14:paraId="1A4310D2" w14:textId="77777777" w:rsidR="00B64B50" w:rsidRPr="00BE76E1" w:rsidRDefault="00B64B50" w:rsidP="00B64B50">
      <w:pPr>
        <w:spacing w:line="480" w:lineRule="auto"/>
        <w:rPr>
          <w:rFonts w:ascii="Arial" w:hAnsi="Arial" w:cs="Arial"/>
          <w:sz w:val="20"/>
          <w:szCs w:val="20"/>
        </w:rPr>
      </w:pPr>
      <w:r w:rsidRPr="00BE76E1">
        <w:rPr>
          <w:rFonts w:ascii="Arial" w:hAnsi="Arial" w:cs="Arial"/>
          <w:b/>
          <w:sz w:val="20"/>
          <w:szCs w:val="20"/>
        </w:rPr>
        <w:lastRenderedPageBreak/>
        <w:t>Results</w:t>
      </w:r>
      <w:r w:rsidRPr="00BE76E1">
        <w:rPr>
          <w:rFonts w:ascii="Arial" w:hAnsi="Arial" w:cs="Arial"/>
          <w:sz w:val="20"/>
          <w:szCs w:val="20"/>
        </w:rPr>
        <w:t xml:space="preserve">: </w:t>
      </w:r>
      <w:r>
        <w:rPr>
          <w:rFonts w:ascii="Arial" w:hAnsi="Arial" w:cs="Arial"/>
          <w:sz w:val="20"/>
          <w:szCs w:val="20"/>
        </w:rPr>
        <w:t>N</w:t>
      </w:r>
      <w:r w:rsidRPr="00A745B7">
        <w:rPr>
          <w:rFonts w:ascii="Arial" w:hAnsi="Arial" w:cs="Arial"/>
          <w:sz w:val="20"/>
          <w:szCs w:val="20"/>
        </w:rPr>
        <w:t>o significant differences in patient chara</w:t>
      </w:r>
      <w:r>
        <w:rPr>
          <w:rFonts w:ascii="Arial" w:hAnsi="Arial" w:cs="Arial"/>
          <w:sz w:val="20"/>
          <w:szCs w:val="20"/>
        </w:rPr>
        <w:t>cteristics and NRS scores</w:t>
      </w:r>
      <w:r w:rsidRPr="00A745B7">
        <w:rPr>
          <w:rFonts w:ascii="Arial" w:hAnsi="Arial" w:cs="Arial"/>
          <w:sz w:val="20"/>
          <w:szCs w:val="20"/>
        </w:rPr>
        <w:t xml:space="preserve"> </w:t>
      </w:r>
      <w:r>
        <w:rPr>
          <w:rFonts w:ascii="Arial" w:hAnsi="Arial" w:cs="Arial"/>
          <w:sz w:val="20"/>
          <w:szCs w:val="20"/>
        </w:rPr>
        <w:t xml:space="preserve">were observed </w:t>
      </w:r>
      <w:r w:rsidRPr="00A745B7">
        <w:rPr>
          <w:rFonts w:ascii="Arial" w:hAnsi="Arial" w:cs="Arial"/>
          <w:sz w:val="20"/>
          <w:szCs w:val="20"/>
        </w:rPr>
        <w:t>between the groups.</w:t>
      </w:r>
      <w:r>
        <w:rPr>
          <w:rFonts w:ascii="Arial" w:eastAsia="MS Mincho" w:hAnsi="Arial" w:cs="Arial"/>
          <w:sz w:val="20"/>
          <w:szCs w:val="20"/>
        </w:rPr>
        <w:t xml:space="preserve"> In addition, no significant differences in the frequency of rescue analgesic</w:t>
      </w:r>
      <w:r w:rsidRPr="00A745B7">
        <w:rPr>
          <w:rFonts w:ascii="Arial" w:hAnsi="Arial" w:cs="Arial"/>
          <w:sz w:val="20"/>
          <w:szCs w:val="20"/>
        </w:rPr>
        <w:t xml:space="preserve"> use</w:t>
      </w:r>
      <w:r>
        <w:rPr>
          <w:rFonts w:ascii="Arial" w:hAnsi="Arial" w:cs="Arial"/>
          <w:sz w:val="20"/>
          <w:szCs w:val="20"/>
        </w:rPr>
        <w:t xml:space="preserve"> were observed</w:t>
      </w:r>
      <w:r w:rsidRPr="00A745B7">
        <w:rPr>
          <w:rFonts w:ascii="Arial" w:hAnsi="Arial" w:cs="Arial"/>
          <w:sz w:val="20"/>
          <w:szCs w:val="20"/>
        </w:rPr>
        <w:t xml:space="preserve"> between the groups during the study period. </w:t>
      </w:r>
    </w:p>
    <w:p w14:paraId="19E91A57" w14:textId="77777777" w:rsidR="00B64B50" w:rsidRPr="00BE76E1" w:rsidRDefault="00B64B50" w:rsidP="00B64B50">
      <w:pPr>
        <w:spacing w:line="480" w:lineRule="auto"/>
        <w:rPr>
          <w:rFonts w:ascii="Arial" w:hAnsi="Arial" w:cs="Arial"/>
          <w:sz w:val="20"/>
          <w:szCs w:val="20"/>
        </w:rPr>
      </w:pPr>
      <w:r w:rsidRPr="00BE76E1">
        <w:rPr>
          <w:rFonts w:ascii="Arial" w:hAnsi="Arial" w:cs="Arial"/>
          <w:b/>
          <w:sz w:val="20"/>
          <w:szCs w:val="20"/>
        </w:rPr>
        <w:t>Conclusion</w:t>
      </w:r>
      <w:r w:rsidRPr="00BE76E1">
        <w:rPr>
          <w:rFonts w:ascii="Arial" w:hAnsi="Arial" w:cs="Arial"/>
          <w:sz w:val="20"/>
          <w:szCs w:val="20"/>
        </w:rPr>
        <w:t xml:space="preserve">: </w:t>
      </w:r>
      <w:r w:rsidRPr="0067722F">
        <w:rPr>
          <w:rFonts w:ascii="Arial" w:hAnsi="Arial" w:cs="Arial"/>
          <w:sz w:val="20"/>
          <w:szCs w:val="20"/>
        </w:rPr>
        <w:t xml:space="preserve">We concluded that </w:t>
      </w:r>
      <w:r>
        <w:rPr>
          <w:rFonts w:ascii="Arial" w:hAnsi="Arial" w:cs="Arial"/>
          <w:sz w:val="20"/>
          <w:szCs w:val="20"/>
        </w:rPr>
        <w:t>I</w:t>
      </w:r>
      <w:r w:rsidRPr="0067722F">
        <w:rPr>
          <w:rFonts w:ascii="Arial" w:hAnsi="Arial" w:cs="Arial"/>
          <w:sz w:val="20"/>
          <w:szCs w:val="20"/>
        </w:rPr>
        <w:t xml:space="preserve">PACK with FNB and LIA with FNB have </w:t>
      </w:r>
      <w:r>
        <w:rPr>
          <w:rFonts w:ascii="Arial" w:hAnsi="Arial" w:cs="Arial"/>
          <w:sz w:val="20"/>
          <w:szCs w:val="20"/>
        </w:rPr>
        <w:t xml:space="preserve">an </w:t>
      </w:r>
      <w:r w:rsidRPr="0067722F">
        <w:rPr>
          <w:rFonts w:ascii="Arial" w:hAnsi="Arial" w:cs="Arial"/>
          <w:sz w:val="20"/>
          <w:szCs w:val="20"/>
        </w:rPr>
        <w:t>equivalent analgesic effect after TKA.</w:t>
      </w:r>
      <w:r w:rsidRPr="00BE76E1">
        <w:rPr>
          <w:rFonts w:ascii="Arial" w:hAnsi="Arial" w:cs="Arial"/>
          <w:sz w:val="20"/>
          <w:szCs w:val="20"/>
        </w:rPr>
        <w:t xml:space="preserve"> </w:t>
      </w:r>
    </w:p>
    <w:p w14:paraId="1EA42B1D" w14:textId="77777777" w:rsidR="00B64B50" w:rsidRDefault="00B64B50" w:rsidP="00B64B50">
      <w:pPr>
        <w:spacing w:line="480" w:lineRule="auto"/>
        <w:rPr>
          <w:rFonts w:ascii="Arial" w:hAnsi="Arial" w:cs="Arial"/>
          <w:sz w:val="20"/>
          <w:szCs w:val="20"/>
        </w:rPr>
      </w:pPr>
      <w:r w:rsidRPr="00BE76E1">
        <w:rPr>
          <w:rFonts w:ascii="Arial" w:hAnsi="Arial" w:cs="Arial"/>
          <w:sz w:val="20"/>
          <w:szCs w:val="20"/>
        </w:rPr>
        <w:t xml:space="preserve">Key words: </w:t>
      </w:r>
      <w:r>
        <w:rPr>
          <w:rFonts w:ascii="Arial" w:hAnsi="Arial" w:cs="Arial"/>
          <w:sz w:val="20"/>
          <w:szCs w:val="20"/>
        </w:rPr>
        <w:t>total knee</w:t>
      </w:r>
      <w:r w:rsidRPr="00A745B7">
        <w:rPr>
          <w:rFonts w:ascii="Arial" w:hAnsi="Arial" w:cs="Arial"/>
          <w:sz w:val="20"/>
          <w:szCs w:val="20"/>
        </w:rPr>
        <w:t xml:space="preserve"> arthroplasty, </w:t>
      </w:r>
      <w:r>
        <w:rPr>
          <w:rFonts w:ascii="Arial" w:hAnsi="Arial" w:cs="Arial"/>
          <w:sz w:val="20"/>
          <w:szCs w:val="20"/>
        </w:rPr>
        <w:t>infiltration between the p</w:t>
      </w:r>
      <w:r w:rsidRPr="0067722F">
        <w:rPr>
          <w:rFonts w:ascii="Arial" w:hAnsi="Arial" w:cs="Arial"/>
          <w:sz w:val="20"/>
          <w:szCs w:val="20"/>
        </w:rPr>
        <w:t xml:space="preserve">opliteal </w:t>
      </w:r>
      <w:r>
        <w:rPr>
          <w:rFonts w:ascii="Arial" w:hAnsi="Arial" w:cs="Arial"/>
          <w:sz w:val="20"/>
          <w:szCs w:val="20"/>
        </w:rPr>
        <w:t>a</w:t>
      </w:r>
      <w:r w:rsidRPr="0067722F">
        <w:rPr>
          <w:rFonts w:ascii="Arial" w:hAnsi="Arial" w:cs="Arial"/>
          <w:sz w:val="20"/>
          <w:szCs w:val="20"/>
        </w:rPr>
        <w:t xml:space="preserve">rtery </w:t>
      </w:r>
      <w:r>
        <w:rPr>
          <w:rFonts w:ascii="Arial" w:hAnsi="Arial" w:cs="Arial"/>
          <w:sz w:val="20"/>
          <w:szCs w:val="20"/>
        </w:rPr>
        <w:t>and capsule of the knee,</w:t>
      </w:r>
      <w:r w:rsidRPr="0067722F">
        <w:rPr>
          <w:rFonts w:ascii="Arial" w:hAnsi="Arial" w:cs="Arial"/>
          <w:sz w:val="20"/>
          <w:szCs w:val="20"/>
        </w:rPr>
        <w:t xml:space="preserve"> </w:t>
      </w:r>
      <w:r w:rsidRPr="00A745B7">
        <w:rPr>
          <w:rFonts w:ascii="Arial" w:hAnsi="Arial" w:cs="Arial"/>
          <w:sz w:val="20"/>
          <w:szCs w:val="20"/>
        </w:rPr>
        <w:t>femoral nerve bl</w:t>
      </w:r>
      <w:r>
        <w:rPr>
          <w:rFonts w:ascii="Arial" w:hAnsi="Arial" w:cs="Arial"/>
          <w:sz w:val="20"/>
          <w:szCs w:val="20"/>
        </w:rPr>
        <w:t>ock</w:t>
      </w:r>
      <w:r w:rsidRPr="00A745B7">
        <w:rPr>
          <w:rFonts w:ascii="Arial" w:hAnsi="Arial" w:cs="Arial"/>
          <w:sz w:val="20"/>
          <w:szCs w:val="20"/>
        </w:rPr>
        <w:t>, local infiltration anesthesia, postoperative pain</w:t>
      </w:r>
      <w:r>
        <w:rPr>
          <w:rFonts w:ascii="Arial" w:hAnsi="Arial" w:cs="Arial"/>
          <w:sz w:val="20"/>
          <w:szCs w:val="20"/>
        </w:rPr>
        <w:t>.</w:t>
      </w:r>
    </w:p>
    <w:p w14:paraId="1B16B128" w14:textId="77777777" w:rsidR="00B64B50" w:rsidRPr="00A745B7" w:rsidRDefault="00B64B50" w:rsidP="00B64B50">
      <w:pPr>
        <w:spacing w:line="480" w:lineRule="auto"/>
        <w:rPr>
          <w:rFonts w:ascii="Arial" w:hAnsi="Arial" w:cs="Arial"/>
          <w:sz w:val="20"/>
          <w:szCs w:val="20"/>
        </w:rPr>
      </w:pPr>
    </w:p>
    <w:p w14:paraId="50971928" w14:textId="77777777" w:rsidR="00B64B50" w:rsidRPr="0055527C" w:rsidRDefault="00B64B50" w:rsidP="00B64B50">
      <w:pPr>
        <w:pStyle w:val="ListParagraph"/>
        <w:numPr>
          <w:ilvl w:val="0"/>
          <w:numId w:val="6"/>
        </w:numPr>
        <w:spacing w:line="480" w:lineRule="auto"/>
        <w:ind w:leftChars="0"/>
        <w:rPr>
          <w:rFonts w:ascii="Arial" w:hAnsi="Arial" w:cs="Arial"/>
          <w:sz w:val="22"/>
        </w:rPr>
      </w:pPr>
      <w:r w:rsidRPr="00573A9F">
        <w:rPr>
          <w:rFonts w:ascii="Arial" w:hAnsi="Arial" w:cs="Arial"/>
          <w:b/>
          <w:sz w:val="22"/>
        </w:rPr>
        <w:t>INTRODUCTION</w:t>
      </w:r>
    </w:p>
    <w:p w14:paraId="4FACF443" w14:textId="77777777" w:rsidR="00B64B50" w:rsidRPr="00C91F7F" w:rsidRDefault="00B64B50" w:rsidP="00B64B50">
      <w:pPr>
        <w:spacing w:line="480" w:lineRule="auto"/>
        <w:ind w:firstLine="840"/>
        <w:rPr>
          <w:rFonts w:asciiTheme="majorHAnsi" w:hAnsiTheme="majorHAnsi" w:cstheme="majorHAnsi"/>
          <w:sz w:val="20"/>
          <w:szCs w:val="20"/>
        </w:rPr>
      </w:pPr>
      <w:r w:rsidRPr="00C91F7F">
        <w:rPr>
          <w:rFonts w:asciiTheme="majorHAnsi" w:hAnsiTheme="majorHAnsi" w:cstheme="majorHAnsi"/>
          <w:sz w:val="20"/>
          <w:szCs w:val="20"/>
        </w:rPr>
        <w:t xml:space="preserve">Total </w:t>
      </w:r>
      <w:r>
        <w:rPr>
          <w:rFonts w:asciiTheme="majorHAnsi" w:hAnsiTheme="majorHAnsi" w:cstheme="majorHAnsi"/>
          <w:sz w:val="20"/>
          <w:szCs w:val="20"/>
        </w:rPr>
        <w:t>k</w:t>
      </w:r>
      <w:r w:rsidRPr="00C91F7F">
        <w:rPr>
          <w:rFonts w:asciiTheme="majorHAnsi" w:hAnsiTheme="majorHAnsi" w:cstheme="majorHAnsi"/>
          <w:sz w:val="20"/>
          <w:szCs w:val="20"/>
        </w:rPr>
        <w:t xml:space="preserve">nee </w:t>
      </w:r>
      <w:r>
        <w:rPr>
          <w:rFonts w:asciiTheme="majorHAnsi" w:hAnsiTheme="majorHAnsi" w:cstheme="majorHAnsi"/>
          <w:sz w:val="20"/>
          <w:szCs w:val="20"/>
        </w:rPr>
        <w:t>a</w:t>
      </w:r>
      <w:r w:rsidRPr="00C91F7F">
        <w:rPr>
          <w:rFonts w:asciiTheme="majorHAnsi" w:hAnsiTheme="majorHAnsi" w:cstheme="majorHAnsi"/>
          <w:sz w:val="20"/>
          <w:szCs w:val="20"/>
        </w:rPr>
        <w:t>rthroplasty (TKA) is an effective surgical treatment for end-stage joint diseases such as osteoarthritis. However, postoperative pain remains a significant challenge that hinders early recovery and rehabilitation and necessitates effective pain management strategies.</w:t>
      </w:r>
      <w:r w:rsidRPr="00C91F7F">
        <w:rPr>
          <w:rFonts w:asciiTheme="majorHAnsi" w:hAnsiTheme="majorHAnsi" w:cstheme="majorHAnsi"/>
          <w:sz w:val="20"/>
          <w:szCs w:val="20"/>
        </w:rPr>
        <w:t xml:space="preserve">　</w:t>
      </w:r>
      <w:r w:rsidRPr="00C91F7F">
        <w:rPr>
          <w:rFonts w:asciiTheme="majorHAnsi" w:hAnsiTheme="majorHAnsi" w:cstheme="majorHAnsi"/>
          <w:sz w:val="20"/>
          <w:szCs w:val="20"/>
        </w:rPr>
        <w:t>Proper postoperative analgesia improve</w:t>
      </w:r>
      <w:r>
        <w:rPr>
          <w:rFonts w:asciiTheme="majorHAnsi" w:hAnsiTheme="majorHAnsi" w:cstheme="majorHAnsi"/>
          <w:sz w:val="20"/>
          <w:szCs w:val="20"/>
        </w:rPr>
        <w:t>s</w:t>
      </w:r>
      <w:r w:rsidRPr="00C91F7F">
        <w:rPr>
          <w:rFonts w:asciiTheme="majorHAnsi" w:hAnsiTheme="majorHAnsi" w:cstheme="majorHAnsi"/>
          <w:sz w:val="20"/>
          <w:szCs w:val="20"/>
        </w:rPr>
        <w:t xml:space="preserve"> postoperative prognosis by preventing pain-related complications [1]. Acute pain following TKA significantly affects functional recovery and patient satisfaction. Multimodal analgesia, including femoral nerve block (FNB) and local infiltration anesthesia (LIA), is effective in ameliorating early postoperative pain after TKA [2, 3]. </w:t>
      </w:r>
    </w:p>
    <w:p w14:paraId="39239B49" w14:textId="77777777" w:rsidR="00B64B50" w:rsidRPr="00C91F7F" w:rsidRDefault="00B64B50" w:rsidP="00B64B50">
      <w:pPr>
        <w:spacing w:line="480" w:lineRule="auto"/>
        <w:ind w:firstLine="840"/>
        <w:rPr>
          <w:rFonts w:asciiTheme="majorHAnsi" w:hAnsiTheme="majorHAnsi" w:cstheme="majorHAnsi"/>
          <w:sz w:val="20"/>
          <w:szCs w:val="20"/>
        </w:rPr>
      </w:pPr>
      <w:r w:rsidRPr="00C91F7F">
        <w:rPr>
          <w:rFonts w:asciiTheme="majorHAnsi" w:hAnsiTheme="majorHAnsi" w:cstheme="majorHAnsi"/>
          <w:sz w:val="20"/>
          <w:szCs w:val="20"/>
        </w:rPr>
        <w:t xml:space="preserve">Recently, </w:t>
      </w:r>
      <w:r>
        <w:rPr>
          <w:rFonts w:asciiTheme="majorHAnsi" w:hAnsiTheme="majorHAnsi" w:cstheme="majorHAnsi"/>
          <w:sz w:val="20"/>
          <w:szCs w:val="20"/>
        </w:rPr>
        <w:t>i</w:t>
      </w:r>
      <w:r w:rsidRPr="00C91F7F">
        <w:rPr>
          <w:rFonts w:asciiTheme="majorHAnsi" w:hAnsiTheme="majorHAnsi" w:cstheme="majorHAnsi"/>
          <w:sz w:val="20"/>
          <w:szCs w:val="20"/>
        </w:rPr>
        <w:t xml:space="preserve">njection of local anesthetics into the </w:t>
      </w:r>
      <w:r>
        <w:rPr>
          <w:rFonts w:asciiTheme="majorHAnsi" w:hAnsiTheme="majorHAnsi" w:cstheme="majorHAnsi"/>
          <w:sz w:val="20"/>
          <w:szCs w:val="20"/>
        </w:rPr>
        <w:t>i</w:t>
      </w:r>
      <w:r w:rsidRPr="00C91F7F">
        <w:rPr>
          <w:rFonts w:asciiTheme="majorHAnsi" w:hAnsiTheme="majorHAnsi" w:cstheme="majorHAnsi"/>
          <w:sz w:val="20"/>
          <w:szCs w:val="20"/>
        </w:rPr>
        <w:t xml:space="preserve">nterspace between the </w:t>
      </w:r>
      <w:r>
        <w:rPr>
          <w:rFonts w:asciiTheme="majorHAnsi" w:hAnsiTheme="majorHAnsi" w:cstheme="majorHAnsi"/>
          <w:sz w:val="20"/>
          <w:szCs w:val="20"/>
        </w:rPr>
        <w:t>p</w:t>
      </w:r>
      <w:r w:rsidRPr="00C91F7F">
        <w:rPr>
          <w:rFonts w:asciiTheme="majorHAnsi" w:hAnsiTheme="majorHAnsi" w:cstheme="majorHAnsi"/>
          <w:sz w:val="20"/>
          <w:szCs w:val="20"/>
        </w:rPr>
        <w:t xml:space="preserve">opliteal </w:t>
      </w:r>
      <w:r>
        <w:rPr>
          <w:rFonts w:asciiTheme="majorHAnsi" w:hAnsiTheme="majorHAnsi" w:cstheme="majorHAnsi"/>
          <w:sz w:val="20"/>
          <w:szCs w:val="20"/>
        </w:rPr>
        <w:t>a</w:t>
      </w:r>
      <w:r w:rsidRPr="00C91F7F">
        <w:rPr>
          <w:rFonts w:asciiTheme="majorHAnsi" w:hAnsiTheme="majorHAnsi" w:cstheme="majorHAnsi"/>
          <w:sz w:val="20"/>
          <w:szCs w:val="20"/>
        </w:rPr>
        <w:t xml:space="preserve">rtery and the </w:t>
      </w:r>
      <w:r>
        <w:rPr>
          <w:rFonts w:asciiTheme="majorHAnsi" w:hAnsiTheme="majorHAnsi" w:cstheme="majorHAnsi"/>
          <w:sz w:val="20"/>
          <w:szCs w:val="20"/>
        </w:rPr>
        <w:t>c</w:t>
      </w:r>
      <w:r w:rsidRPr="00C91F7F">
        <w:rPr>
          <w:rFonts w:asciiTheme="majorHAnsi" w:hAnsiTheme="majorHAnsi" w:cstheme="majorHAnsi"/>
          <w:sz w:val="20"/>
          <w:szCs w:val="20"/>
        </w:rPr>
        <w:t xml:space="preserve">apsule of the </w:t>
      </w:r>
      <w:r>
        <w:rPr>
          <w:rFonts w:asciiTheme="majorHAnsi" w:hAnsiTheme="majorHAnsi" w:cstheme="majorHAnsi"/>
          <w:sz w:val="20"/>
          <w:szCs w:val="20"/>
        </w:rPr>
        <w:t>k</w:t>
      </w:r>
      <w:r w:rsidRPr="00C91F7F">
        <w:rPr>
          <w:rFonts w:asciiTheme="majorHAnsi" w:hAnsiTheme="majorHAnsi" w:cstheme="majorHAnsi"/>
          <w:sz w:val="20"/>
          <w:szCs w:val="20"/>
        </w:rPr>
        <w:t xml:space="preserve">nee (IPACK block) has gained attention for its ability to reduce posterior knee pain while preserving motor function [4,5]. The IPACK block involves injecting local anesthetic around the popliteal artery to target </w:t>
      </w:r>
      <w:r>
        <w:rPr>
          <w:rFonts w:ascii="Arial" w:eastAsia="MS Mincho" w:hAnsi="Arial" w:cs="Arial"/>
          <w:sz w:val="20"/>
          <w:szCs w:val="20"/>
        </w:rPr>
        <w:t>the posterior knee nerves, potentially improving pos</w:t>
      </w:r>
      <w:r w:rsidRPr="00C91F7F">
        <w:rPr>
          <w:rFonts w:asciiTheme="majorHAnsi" w:hAnsiTheme="majorHAnsi" w:cstheme="majorHAnsi"/>
          <w:sz w:val="20"/>
          <w:szCs w:val="20"/>
        </w:rPr>
        <w:t xml:space="preserve">toperative pain management [4,5]. This technique offers several advantages, including preservation of quadriceps muscle strength, which facilitates early mobilization and reduces </w:t>
      </w:r>
      <w:r>
        <w:rPr>
          <w:rFonts w:asciiTheme="majorHAnsi" w:hAnsiTheme="majorHAnsi" w:cstheme="majorHAnsi"/>
          <w:sz w:val="20"/>
          <w:szCs w:val="20"/>
        </w:rPr>
        <w:t>fall</w:t>
      </w:r>
      <w:r w:rsidRPr="00C91F7F">
        <w:rPr>
          <w:rFonts w:asciiTheme="majorHAnsi" w:hAnsiTheme="majorHAnsi" w:cstheme="majorHAnsi"/>
          <w:sz w:val="20"/>
          <w:szCs w:val="20"/>
        </w:rPr>
        <w:t xml:space="preserve"> risk. Additionally, the IPACK block minimizes the need for systemic analgesics</w:t>
      </w:r>
      <w:r>
        <w:rPr>
          <w:rFonts w:ascii="Arial" w:eastAsia="MS Mincho" w:hAnsi="Arial" w:cs="Arial"/>
          <w:sz w:val="20"/>
          <w:szCs w:val="20"/>
        </w:rPr>
        <w:t>,</w:t>
      </w:r>
      <w:r>
        <w:rPr>
          <w:rFonts w:asciiTheme="majorHAnsi" w:hAnsiTheme="majorHAnsi" w:cstheme="majorHAnsi"/>
          <w:sz w:val="20"/>
          <w:szCs w:val="20"/>
        </w:rPr>
        <w:t xml:space="preserve"> including opioid</w:t>
      </w:r>
      <w:r>
        <w:rPr>
          <w:rFonts w:ascii="Arial" w:eastAsia="MS Mincho" w:hAnsi="Arial" w:cs="Arial"/>
          <w:sz w:val="20"/>
          <w:szCs w:val="20"/>
        </w:rPr>
        <w:t>s</w:t>
      </w:r>
      <w:r w:rsidRPr="00C91F7F">
        <w:rPr>
          <w:rFonts w:asciiTheme="majorHAnsi" w:hAnsiTheme="majorHAnsi" w:cstheme="majorHAnsi"/>
          <w:sz w:val="20"/>
          <w:szCs w:val="20"/>
        </w:rPr>
        <w:t>, thereby reducing potential side effects</w:t>
      </w:r>
      <w:r>
        <w:rPr>
          <w:rFonts w:ascii="Arial" w:eastAsia="MS Mincho" w:hAnsi="Arial" w:cs="Arial"/>
          <w:sz w:val="20"/>
          <w:szCs w:val="20"/>
        </w:rPr>
        <w:t>, such as nausea and sedation.</w:t>
      </w:r>
      <w:r w:rsidRPr="00C91F7F">
        <w:rPr>
          <w:rFonts w:asciiTheme="majorHAnsi" w:hAnsiTheme="majorHAnsi" w:cstheme="majorHAnsi"/>
          <w:sz w:val="20"/>
          <w:szCs w:val="20"/>
        </w:rPr>
        <w:t xml:space="preserve">　</w:t>
      </w:r>
    </w:p>
    <w:p w14:paraId="26091D68" w14:textId="77777777" w:rsidR="00B64B50" w:rsidRPr="00C91F7F" w:rsidRDefault="00B64B50" w:rsidP="00B64B50">
      <w:pPr>
        <w:spacing w:line="480" w:lineRule="auto"/>
        <w:ind w:firstLine="840"/>
        <w:rPr>
          <w:rFonts w:asciiTheme="majorHAnsi" w:hAnsiTheme="majorHAnsi" w:cstheme="majorHAnsi"/>
          <w:sz w:val="20"/>
          <w:szCs w:val="20"/>
        </w:rPr>
      </w:pPr>
      <w:r w:rsidRPr="00C91F7F">
        <w:rPr>
          <w:rFonts w:asciiTheme="majorHAnsi" w:hAnsiTheme="majorHAnsi" w:cstheme="majorHAnsi"/>
          <w:sz w:val="20"/>
          <w:szCs w:val="20"/>
        </w:rPr>
        <w:t>Local Infiltration Analgesia (LIA), performed by orthopedic surgeons, is a common technique that involves injecting anesthetics around the joint during surgery to alleviate postoperative pain [6, 7]. LIA has been reported to contribute to lower postoperative pain scores and reduced opioid consumption [6,7].</w:t>
      </w:r>
    </w:p>
    <w:p w14:paraId="46B9E91C" w14:textId="1D4ACF3E" w:rsidR="00B64B50" w:rsidRDefault="00B64B50" w:rsidP="00B64B50">
      <w:pPr>
        <w:spacing w:line="480" w:lineRule="auto"/>
        <w:ind w:firstLine="840"/>
        <w:rPr>
          <w:rFonts w:ascii="Arial" w:eastAsia="MS Mincho" w:hAnsi="Arial" w:cs="Arial"/>
          <w:sz w:val="20"/>
          <w:szCs w:val="20"/>
        </w:rPr>
      </w:pPr>
      <w:r w:rsidRPr="00C91F7F">
        <w:rPr>
          <w:rFonts w:asciiTheme="majorHAnsi" w:hAnsiTheme="majorHAnsi" w:cstheme="majorHAnsi"/>
          <w:sz w:val="20"/>
          <w:szCs w:val="20"/>
        </w:rPr>
        <w:lastRenderedPageBreak/>
        <w:t xml:space="preserve">This prospective, randomized, open-label study aimed to determine whether the </w:t>
      </w:r>
      <w:r>
        <w:rPr>
          <w:rFonts w:asciiTheme="majorHAnsi" w:hAnsiTheme="majorHAnsi" w:cstheme="majorHAnsi"/>
          <w:sz w:val="20"/>
          <w:szCs w:val="20"/>
        </w:rPr>
        <w:t>I</w:t>
      </w:r>
      <w:r w:rsidRPr="00C91F7F">
        <w:rPr>
          <w:rFonts w:asciiTheme="majorHAnsi" w:hAnsiTheme="majorHAnsi" w:cstheme="majorHAnsi"/>
          <w:sz w:val="20"/>
          <w:szCs w:val="20"/>
        </w:rPr>
        <w:t xml:space="preserve">PACK block in combination with FNB improves </w:t>
      </w:r>
      <w:r>
        <w:rPr>
          <w:rFonts w:ascii="Arial" w:eastAsia="MS Mincho" w:hAnsi="Arial" w:cs="Arial"/>
          <w:sz w:val="20"/>
          <w:szCs w:val="20"/>
        </w:rPr>
        <w:t>the analgesia provided by LIA in combination with FNB.</w:t>
      </w:r>
    </w:p>
    <w:p w14:paraId="59FD4767" w14:textId="5D40F32B" w:rsidR="00B64B50" w:rsidRDefault="00B64B50" w:rsidP="00B64B50">
      <w:pPr>
        <w:spacing w:line="480" w:lineRule="auto"/>
        <w:ind w:firstLine="840"/>
        <w:rPr>
          <w:rFonts w:ascii="Arial" w:eastAsia="MS Mincho" w:hAnsi="Arial" w:cs="Arial"/>
          <w:sz w:val="20"/>
          <w:szCs w:val="20"/>
        </w:rPr>
      </w:pPr>
    </w:p>
    <w:p w14:paraId="1FBD996E" w14:textId="5BE517DC" w:rsidR="00B64B50" w:rsidRDefault="00B64B50" w:rsidP="00B64B50">
      <w:pPr>
        <w:spacing w:line="480" w:lineRule="auto"/>
        <w:ind w:firstLine="840"/>
        <w:rPr>
          <w:rFonts w:ascii="Arial" w:eastAsia="MS Mincho" w:hAnsi="Arial" w:cs="Arial"/>
          <w:sz w:val="20"/>
          <w:szCs w:val="20"/>
        </w:rPr>
      </w:pPr>
    </w:p>
    <w:p w14:paraId="7ED12A96" w14:textId="6B59D77B" w:rsidR="00B64B50" w:rsidRDefault="00B64B50" w:rsidP="00B64B50">
      <w:pPr>
        <w:spacing w:line="480" w:lineRule="auto"/>
        <w:ind w:firstLine="840"/>
        <w:rPr>
          <w:rFonts w:ascii="Arial" w:eastAsia="MS Mincho" w:hAnsi="Arial" w:cs="Arial"/>
          <w:sz w:val="20"/>
          <w:szCs w:val="20"/>
        </w:rPr>
      </w:pPr>
    </w:p>
    <w:p w14:paraId="70AC70DB" w14:textId="0E22E0FF" w:rsidR="00B64B50" w:rsidRDefault="00B64B50" w:rsidP="00B64B50">
      <w:pPr>
        <w:spacing w:line="480" w:lineRule="auto"/>
        <w:ind w:firstLine="840"/>
        <w:rPr>
          <w:rFonts w:ascii="Arial" w:eastAsia="MS Mincho" w:hAnsi="Arial" w:cs="Arial"/>
          <w:sz w:val="20"/>
          <w:szCs w:val="20"/>
        </w:rPr>
      </w:pPr>
    </w:p>
    <w:p w14:paraId="6B1E5593" w14:textId="7F2C445B" w:rsidR="00B64B50" w:rsidRDefault="00B64B50" w:rsidP="00B64B50">
      <w:pPr>
        <w:spacing w:line="480" w:lineRule="auto"/>
        <w:ind w:firstLine="840"/>
        <w:rPr>
          <w:rFonts w:ascii="Arial" w:eastAsia="MS Mincho" w:hAnsi="Arial" w:cs="Arial"/>
          <w:sz w:val="20"/>
          <w:szCs w:val="20"/>
        </w:rPr>
      </w:pPr>
    </w:p>
    <w:p w14:paraId="60474A39" w14:textId="77777777" w:rsidR="00B64B50" w:rsidRPr="00C91F7F" w:rsidRDefault="00B64B50" w:rsidP="00B64B50">
      <w:pPr>
        <w:spacing w:line="480" w:lineRule="auto"/>
        <w:ind w:firstLine="840"/>
        <w:rPr>
          <w:rFonts w:asciiTheme="majorHAnsi" w:hAnsiTheme="majorHAnsi" w:cstheme="majorHAnsi"/>
          <w:sz w:val="20"/>
          <w:szCs w:val="20"/>
        </w:rPr>
      </w:pPr>
    </w:p>
    <w:p w14:paraId="6530B834" w14:textId="77777777" w:rsidR="00B64B50" w:rsidRPr="0022639F" w:rsidRDefault="00B64B50" w:rsidP="00B64B50">
      <w:pPr>
        <w:spacing w:line="480" w:lineRule="auto"/>
        <w:rPr>
          <w:rFonts w:asciiTheme="majorHAnsi" w:hAnsiTheme="majorHAnsi" w:cstheme="majorHAnsi"/>
          <w:b/>
          <w:sz w:val="20"/>
          <w:szCs w:val="20"/>
        </w:rPr>
      </w:pPr>
      <w:r w:rsidRPr="0022639F">
        <w:rPr>
          <w:rFonts w:asciiTheme="majorHAnsi" w:hAnsiTheme="majorHAnsi" w:cstheme="majorHAnsi"/>
          <w:b/>
          <w:sz w:val="20"/>
          <w:szCs w:val="20"/>
        </w:rPr>
        <w:t>2. MATERIAL AND METHODS</w:t>
      </w:r>
    </w:p>
    <w:p w14:paraId="19178559" w14:textId="77777777" w:rsidR="00B64B50" w:rsidRPr="0022639F" w:rsidRDefault="00B64B50" w:rsidP="00B64B50">
      <w:pPr>
        <w:spacing w:line="480" w:lineRule="auto"/>
        <w:rPr>
          <w:rFonts w:asciiTheme="majorHAnsi" w:hAnsiTheme="majorHAnsi" w:cstheme="majorHAnsi"/>
          <w:b/>
          <w:sz w:val="20"/>
          <w:szCs w:val="20"/>
        </w:rPr>
      </w:pPr>
      <w:r w:rsidRPr="0022639F">
        <w:rPr>
          <w:rFonts w:asciiTheme="majorHAnsi" w:hAnsiTheme="majorHAnsi" w:cstheme="majorHAnsi"/>
          <w:b/>
          <w:sz w:val="20"/>
          <w:szCs w:val="20"/>
        </w:rPr>
        <w:t>2.1 Patients</w:t>
      </w:r>
    </w:p>
    <w:p w14:paraId="366374BC" w14:textId="77777777" w:rsidR="00B64B50" w:rsidRPr="00C91F7F" w:rsidRDefault="00B64B50" w:rsidP="00B64B50">
      <w:pPr>
        <w:spacing w:line="480" w:lineRule="auto"/>
        <w:ind w:firstLine="840"/>
        <w:rPr>
          <w:rFonts w:asciiTheme="majorHAnsi" w:hAnsiTheme="majorHAnsi" w:cstheme="majorHAnsi"/>
          <w:sz w:val="20"/>
          <w:szCs w:val="20"/>
        </w:rPr>
      </w:pPr>
      <w:r w:rsidRPr="00C91F7F">
        <w:rPr>
          <w:rFonts w:asciiTheme="majorHAnsi" w:hAnsiTheme="majorHAnsi" w:cstheme="majorHAnsi"/>
          <w:sz w:val="20"/>
          <w:szCs w:val="20"/>
        </w:rPr>
        <w:t xml:space="preserve">This single-center, open-label, randomized clinical trial adhered to the principles of the Declaration of Helsinki. This study was approved by the Institutional Ethics Committee of Nagasaki Rosai Hospital (IRB No. 01029; </w:t>
      </w:r>
      <w:r>
        <w:rPr>
          <w:rFonts w:asciiTheme="majorHAnsi" w:hAnsiTheme="majorHAnsi" w:cstheme="majorHAnsi"/>
          <w:sz w:val="20"/>
          <w:szCs w:val="20"/>
        </w:rPr>
        <w:t xml:space="preserve">Approval date: </w:t>
      </w:r>
      <w:r w:rsidRPr="00C91F7F">
        <w:rPr>
          <w:rFonts w:asciiTheme="majorHAnsi" w:hAnsiTheme="majorHAnsi" w:cstheme="majorHAnsi"/>
          <w:sz w:val="20"/>
          <w:szCs w:val="20"/>
        </w:rPr>
        <w:t xml:space="preserve">March 16, 2020) and written informed consent was obtained from </w:t>
      </w:r>
      <w:r>
        <w:rPr>
          <w:rFonts w:asciiTheme="majorHAnsi" w:hAnsiTheme="majorHAnsi" w:cstheme="majorHAnsi"/>
          <w:sz w:val="20"/>
          <w:szCs w:val="20"/>
        </w:rPr>
        <w:t>all</w:t>
      </w:r>
      <w:r w:rsidRPr="00C91F7F">
        <w:rPr>
          <w:rFonts w:asciiTheme="majorHAnsi" w:hAnsiTheme="majorHAnsi" w:cstheme="majorHAnsi"/>
          <w:sz w:val="20"/>
          <w:szCs w:val="20"/>
        </w:rPr>
        <w:t xml:space="preserve"> patient</w:t>
      </w:r>
      <w:r>
        <w:rPr>
          <w:rFonts w:asciiTheme="majorHAnsi" w:hAnsiTheme="majorHAnsi" w:cstheme="majorHAnsi"/>
          <w:sz w:val="20"/>
          <w:szCs w:val="20"/>
        </w:rPr>
        <w:t>s</w:t>
      </w:r>
      <w:r w:rsidRPr="00C91F7F">
        <w:rPr>
          <w:rFonts w:asciiTheme="majorHAnsi" w:hAnsiTheme="majorHAnsi" w:cstheme="majorHAnsi"/>
          <w:sz w:val="20"/>
          <w:szCs w:val="20"/>
        </w:rPr>
        <w:t>. Th</w:t>
      </w:r>
      <w:r>
        <w:rPr>
          <w:rFonts w:asciiTheme="majorHAnsi" w:hAnsiTheme="majorHAnsi" w:cstheme="majorHAnsi"/>
          <w:sz w:val="20"/>
          <w:szCs w:val="20"/>
        </w:rPr>
        <w:t>e</w:t>
      </w:r>
      <w:r w:rsidRPr="00C91F7F">
        <w:rPr>
          <w:rFonts w:asciiTheme="majorHAnsi" w:hAnsiTheme="majorHAnsi" w:cstheme="majorHAnsi"/>
          <w:sz w:val="20"/>
          <w:szCs w:val="20"/>
        </w:rPr>
        <w:t xml:space="preserve"> trial was registered with the University Hospital Medical Information Network (ID: UMIN 000040124) on April 13, 2020. </w:t>
      </w:r>
      <w:r>
        <w:rPr>
          <w:rFonts w:asciiTheme="majorHAnsi" w:hAnsiTheme="majorHAnsi" w:cstheme="majorHAnsi"/>
          <w:sz w:val="20"/>
          <w:szCs w:val="20"/>
        </w:rPr>
        <w:t>It</w:t>
      </w:r>
      <w:r w:rsidRPr="00C91F7F">
        <w:rPr>
          <w:rFonts w:asciiTheme="majorHAnsi" w:hAnsiTheme="majorHAnsi" w:cstheme="majorHAnsi"/>
          <w:sz w:val="20"/>
          <w:szCs w:val="20"/>
        </w:rPr>
        <w:t xml:space="preserve"> included 50 patients with </w:t>
      </w:r>
      <w:r>
        <w:rPr>
          <w:rFonts w:ascii="Arial" w:eastAsia="MS Mincho" w:hAnsi="Arial" w:cs="Arial"/>
          <w:sz w:val="20"/>
          <w:szCs w:val="20"/>
        </w:rPr>
        <w:t>an American Society of Anesthesiologists physical status of 1</w:t>
      </w:r>
      <w:r w:rsidRPr="00C91F7F">
        <w:rPr>
          <w:rFonts w:asciiTheme="majorHAnsi" w:hAnsiTheme="majorHAnsi" w:cstheme="majorHAnsi"/>
          <w:sz w:val="20"/>
          <w:szCs w:val="20"/>
        </w:rPr>
        <w:t xml:space="preserve"> or 2 who underwent TKA under general anesthesia at the Nagasaki Rosai Hospital between April 2020 and November 2021. The exclusion criteria were as follows: hepatic and renal dysfunction, local anesthetic allergy, weight &lt; 50 kg</w:t>
      </w:r>
      <w:r>
        <w:rPr>
          <w:rFonts w:ascii="Arial" w:eastAsia="MS Mincho" w:hAnsi="Arial" w:cs="Arial"/>
          <w:sz w:val="20"/>
          <w:szCs w:val="20"/>
        </w:rPr>
        <w:t>,</w:t>
      </w:r>
      <w:r w:rsidRPr="00C91F7F">
        <w:rPr>
          <w:rFonts w:asciiTheme="majorHAnsi" w:hAnsiTheme="majorHAnsi" w:cstheme="majorHAnsi"/>
          <w:sz w:val="20"/>
          <w:szCs w:val="20"/>
        </w:rPr>
        <w:t xml:space="preserve"> and medical history of peptic ulcers and asthma. None of the patients received preanesthetic medication.</w:t>
      </w:r>
    </w:p>
    <w:p w14:paraId="20821C20" w14:textId="77777777" w:rsidR="00B64B50" w:rsidRPr="00C91F7F" w:rsidRDefault="00B64B50" w:rsidP="00B64B50">
      <w:pPr>
        <w:spacing w:line="480" w:lineRule="auto"/>
        <w:rPr>
          <w:rFonts w:asciiTheme="majorHAnsi" w:hAnsiTheme="majorHAnsi" w:cstheme="majorHAnsi"/>
          <w:sz w:val="20"/>
          <w:szCs w:val="20"/>
        </w:rPr>
      </w:pPr>
    </w:p>
    <w:p w14:paraId="3A7DCA92" w14:textId="77777777" w:rsidR="00B64B50" w:rsidRPr="0022639F" w:rsidRDefault="00B64B50" w:rsidP="00B64B50">
      <w:pPr>
        <w:spacing w:line="480" w:lineRule="auto"/>
        <w:rPr>
          <w:rFonts w:asciiTheme="majorHAnsi" w:hAnsiTheme="majorHAnsi" w:cstheme="majorHAnsi"/>
          <w:b/>
          <w:sz w:val="20"/>
          <w:szCs w:val="20"/>
        </w:rPr>
      </w:pPr>
      <w:r w:rsidRPr="0022639F">
        <w:rPr>
          <w:rFonts w:asciiTheme="majorHAnsi" w:hAnsiTheme="majorHAnsi" w:cstheme="majorHAnsi"/>
          <w:b/>
          <w:sz w:val="20"/>
          <w:szCs w:val="20"/>
        </w:rPr>
        <w:t>2.2 Study protocol</w:t>
      </w:r>
    </w:p>
    <w:p w14:paraId="06D11FCE" w14:textId="77777777" w:rsidR="00B64B50" w:rsidRDefault="00B64B50" w:rsidP="00B64B50">
      <w:pPr>
        <w:spacing w:line="480" w:lineRule="auto"/>
        <w:ind w:firstLine="840"/>
        <w:rPr>
          <w:rFonts w:asciiTheme="majorHAnsi" w:hAnsiTheme="majorHAnsi" w:cstheme="majorHAnsi"/>
          <w:sz w:val="20"/>
          <w:szCs w:val="20"/>
        </w:rPr>
      </w:pPr>
      <w:r w:rsidRPr="00C91F7F">
        <w:rPr>
          <w:rFonts w:asciiTheme="majorHAnsi" w:hAnsiTheme="majorHAnsi" w:cstheme="majorHAnsi"/>
          <w:sz w:val="20"/>
          <w:szCs w:val="20"/>
        </w:rPr>
        <w:t xml:space="preserve">To achieve the desired effect-site concentration, the patients received a continuous infusion of remifentanil 0.5 </w:t>
      </w:r>
      <w:proofErr w:type="spellStart"/>
      <w:r w:rsidRPr="00C91F7F">
        <w:rPr>
          <w:rFonts w:asciiTheme="majorHAnsi" w:hAnsiTheme="majorHAnsi" w:cstheme="majorHAnsi"/>
          <w:sz w:val="20"/>
          <w:szCs w:val="20"/>
        </w:rPr>
        <w:t>μg</w:t>
      </w:r>
      <w:proofErr w:type="spellEnd"/>
      <w:r w:rsidRPr="00C91F7F">
        <w:rPr>
          <w:rFonts w:asciiTheme="majorHAnsi" w:hAnsiTheme="majorHAnsi" w:cstheme="majorHAnsi"/>
          <w:sz w:val="20"/>
          <w:szCs w:val="20"/>
        </w:rPr>
        <w:t xml:space="preserve">/kg/min and propofol 3 </w:t>
      </w:r>
      <w:proofErr w:type="spellStart"/>
      <w:r w:rsidRPr="00C91F7F">
        <w:rPr>
          <w:rFonts w:asciiTheme="majorHAnsi" w:hAnsiTheme="majorHAnsi" w:cstheme="majorHAnsi"/>
          <w:sz w:val="20"/>
          <w:szCs w:val="20"/>
        </w:rPr>
        <w:t>μg</w:t>
      </w:r>
      <w:proofErr w:type="spellEnd"/>
      <w:r w:rsidRPr="00C91F7F">
        <w:rPr>
          <w:rFonts w:asciiTheme="majorHAnsi" w:hAnsiTheme="majorHAnsi" w:cstheme="majorHAnsi"/>
          <w:sz w:val="20"/>
          <w:szCs w:val="20"/>
        </w:rPr>
        <w:t>/mL via a target</w:t>
      </w:r>
      <w:r>
        <w:rPr>
          <w:rFonts w:asciiTheme="majorHAnsi" w:hAnsiTheme="majorHAnsi" w:cstheme="majorHAnsi"/>
          <w:sz w:val="20"/>
          <w:szCs w:val="20"/>
        </w:rPr>
        <w:t>-</w:t>
      </w:r>
      <w:r w:rsidRPr="00C91F7F">
        <w:rPr>
          <w:rFonts w:asciiTheme="majorHAnsi" w:hAnsiTheme="majorHAnsi" w:cstheme="majorHAnsi"/>
          <w:sz w:val="20"/>
          <w:szCs w:val="20"/>
        </w:rPr>
        <w:t xml:space="preserve">controlled infusion (TCI) system (TCI pump, Terumo, Tokyo, Japan). Rocuronium (0.8 mg/kg) was administered to facilitate tracheal intubation after </w:t>
      </w:r>
      <w:r>
        <w:rPr>
          <w:rFonts w:ascii="Arial" w:eastAsia="MS Mincho" w:hAnsi="Arial" w:cs="Arial"/>
          <w:sz w:val="20"/>
          <w:szCs w:val="20"/>
        </w:rPr>
        <w:t xml:space="preserve">the loss of consciousness. The effect-site concentrations of propofol and remifentanil were titrated to maintain a </w:t>
      </w:r>
      <w:proofErr w:type="spellStart"/>
      <w:r>
        <w:rPr>
          <w:rFonts w:ascii="Arial" w:eastAsia="MS Mincho" w:hAnsi="Arial" w:cs="Arial"/>
          <w:sz w:val="20"/>
          <w:szCs w:val="20"/>
        </w:rPr>
        <w:t>bispectral</w:t>
      </w:r>
      <w:proofErr w:type="spellEnd"/>
      <w:r>
        <w:rPr>
          <w:rFonts w:ascii="Arial" w:eastAsia="MS Mincho" w:hAnsi="Arial" w:cs="Arial"/>
          <w:sz w:val="20"/>
          <w:szCs w:val="20"/>
        </w:rPr>
        <w:t xml:space="preserve"> index score </w:t>
      </w:r>
      <w:r w:rsidRPr="00C91F7F">
        <w:rPr>
          <w:rFonts w:asciiTheme="majorHAnsi" w:hAnsiTheme="majorHAnsi" w:cstheme="majorHAnsi"/>
          <w:sz w:val="20"/>
          <w:szCs w:val="20"/>
        </w:rPr>
        <w:t xml:space="preserve">of 40–60 after tracheal intubation. </w:t>
      </w:r>
      <w:r>
        <w:rPr>
          <w:rFonts w:asciiTheme="majorHAnsi" w:hAnsiTheme="majorHAnsi" w:cstheme="majorHAnsi"/>
          <w:sz w:val="20"/>
          <w:szCs w:val="20"/>
        </w:rPr>
        <w:t>A</w:t>
      </w:r>
      <w:r w:rsidRPr="00876DF9">
        <w:rPr>
          <w:rFonts w:asciiTheme="majorHAnsi" w:hAnsiTheme="majorHAnsi" w:cstheme="majorHAnsi"/>
          <w:sz w:val="20"/>
          <w:szCs w:val="20"/>
        </w:rPr>
        <w:t xml:space="preserve">ll patients underwent ultrasound-guided FNB with </w:t>
      </w:r>
      <w:r>
        <w:rPr>
          <w:rFonts w:ascii="Arial" w:eastAsia="MS Mincho" w:hAnsi="Arial" w:cs="Arial"/>
          <w:sz w:val="20"/>
          <w:szCs w:val="20"/>
        </w:rPr>
        <w:t>30 mL of 0</w:t>
      </w:r>
      <w:r>
        <w:rPr>
          <w:rFonts w:asciiTheme="majorHAnsi" w:hAnsiTheme="majorHAnsi" w:cstheme="majorHAnsi"/>
          <w:sz w:val="20"/>
          <w:szCs w:val="20"/>
        </w:rPr>
        <w:t>.25% levobupivacaine before</w:t>
      </w:r>
      <w:r w:rsidRPr="00876DF9">
        <w:rPr>
          <w:rFonts w:asciiTheme="majorHAnsi" w:hAnsiTheme="majorHAnsi" w:cstheme="majorHAnsi"/>
          <w:sz w:val="20"/>
          <w:szCs w:val="20"/>
        </w:rPr>
        <w:t xml:space="preserve"> the operation. In addition, 250 </w:t>
      </w:r>
      <w:proofErr w:type="spellStart"/>
      <w:r w:rsidRPr="00876DF9">
        <w:rPr>
          <w:rFonts w:asciiTheme="majorHAnsi" w:hAnsiTheme="majorHAnsi" w:cstheme="majorHAnsi"/>
          <w:sz w:val="20"/>
          <w:szCs w:val="20"/>
        </w:rPr>
        <w:t>μg</w:t>
      </w:r>
      <w:proofErr w:type="spellEnd"/>
      <w:r w:rsidRPr="00876DF9">
        <w:rPr>
          <w:rFonts w:asciiTheme="majorHAnsi" w:hAnsiTheme="majorHAnsi" w:cstheme="majorHAnsi"/>
          <w:sz w:val="20"/>
          <w:szCs w:val="20"/>
        </w:rPr>
        <w:t xml:space="preserve"> of fentanyl was intravenously administered at the beginning of </w:t>
      </w:r>
      <w:r w:rsidRPr="00876DF9">
        <w:rPr>
          <w:rFonts w:asciiTheme="majorHAnsi" w:hAnsiTheme="majorHAnsi" w:cstheme="majorHAnsi"/>
          <w:sz w:val="20"/>
          <w:szCs w:val="20"/>
        </w:rPr>
        <w:lastRenderedPageBreak/>
        <w:t>surgery and 15 min before the end of surgery, and 1000 mg of acetaminophen was intravenously administered 15 min before the end of surgery. Patients were randomly allocated to one of two groups</w:t>
      </w:r>
      <w:r>
        <w:rPr>
          <w:rFonts w:asciiTheme="majorHAnsi" w:hAnsiTheme="majorHAnsi" w:cstheme="majorHAnsi"/>
          <w:sz w:val="20"/>
          <w:szCs w:val="20"/>
        </w:rPr>
        <w:t xml:space="preserve"> </w:t>
      </w:r>
      <w:r w:rsidRPr="00876DF9">
        <w:rPr>
          <w:rFonts w:asciiTheme="majorHAnsi" w:hAnsiTheme="majorHAnsi" w:cstheme="majorHAnsi"/>
          <w:sz w:val="20"/>
          <w:szCs w:val="20"/>
        </w:rPr>
        <w:t xml:space="preserve">using the sealed envelope method. Group I (n = 25) received local infiltration anesthesia with </w:t>
      </w:r>
      <w:r>
        <w:rPr>
          <w:rFonts w:ascii="Arial" w:eastAsia="MS Mincho" w:hAnsi="Arial" w:cs="Arial"/>
          <w:sz w:val="20"/>
          <w:szCs w:val="20"/>
        </w:rPr>
        <w:t>30 mL of 0.25% levobupivacaine</w:t>
      </w:r>
      <w:r w:rsidRPr="00876DF9">
        <w:rPr>
          <w:rFonts w:asciiTheme="majorHAnsi" w:hAnsiTheme="majorHAnsi" w:cstheme="majorHAnsi"/>
          <w:sz w:val="20"/>
          <w:szCs w:val="20"/>
        </w:rPr>
        <w:t xml:space="preserve"> into the posterior capsule of the knee before cementing the components</w:t>
      </w:r>
      <w:r>
        <w:rPr>
          <w:rFonts w:asciiTheme="majorHAnsi" w:hAnsiTheme="majorHAnsi" w:cstheme="majorHAnsi"/>
          <w:sz w:val="20"/>
          <w:szCs w:val="20"/>
        </w:rPr>
        <w:t xml:space="preserve"> by the surgeon</w:t>
      </w:r>
      <w:r w:rsidRPr="00876DF9">
        <w:rPr>
          <w:rFonts w:asciiTheme="majorHAnsi" w:hAnsiTheme="majorHAnsi" w:cstheme="majorHAnsi"/>
          <w:sz w:val="20"/>
          <w:szCs w:val="20"/>
        </w:rPr>
        <w:t>. Group B (n = 25)</w:t>
      </w:r>
      <w:r>
        <w:rPr>
          <w:rFonts w:asciiTheme="majorHAnsi" w:hAnsiTheme="majorHAnsi" w:cstheme="majorHAnsi"/>
          <w:sz w:val="20"/>
          <w:szCs w:val="20"/>
        </w:rPr>
        <w:t xml:space="preserve"> received </w:t>
      </w:r>
      <w:r>
        <w:rPr>
          <w:rFonts w:ascii="Arial" w:eastAsia="MS Mincho" w:hAnsi="Arial" w:cs="Arial"/>
          <w:sz w:val="20"/>
          <w:szCs w:val="20"/>
        </w:rPr>
        <w:t xml:space="preserve">an ultrasound-guided </w:t>
      </w:r>
      <w:r>
        <w:rPr>
          <w:rFonts w:asciiTheme="majorHAnsi" w:hAnsiTheme="majorHAnsi" w:cstheme="majorHAnsi" w:hint="eastAsia"/>
          <w:sz w:val="20"/>
          <w:szCs w:val="20"/>
        </w:rPr>
        <w:t>I</w:t>
      </w:r>
      <w:r w:rsidRPr="00876DF9">
        <w:rPr>
          <w:rFonts w:asciiTheme="majorHAnsi" w:hAnsiTheme="majorHAnsi" w:cstheme="majorHAnsi"/>
          <w:sz w:val="20"/>
          <w:szCs w:val="20"/>
        </w:rPr>
        <w:t xml:space="preserve">PACK block with </w:t>
      </w:r>
      <w:r>
        <w:rPr>
          <w:rFonts w:ascii="Arial" w:eastAsia="MS Mincho" w:hAnsi="Arial" w:cs="Arial"/>
          <w:sz w:val="20"/>
          <w:szCs w:val="20"/>
        </w:rPr>
        <w:t>30 mL of 0.25% levobupivacaine</w:t>
      </w:r>
      <w:r w:rsidRPr="00876DF9">
        <w:rPr>
          <w:rFonts w:asciiTheme="majorHAnsi" w:hAnsiTheme="majorHAnsi" w:cstheme="majorHAnsi"/>
          <w:sz w:val="20"/>
          <w:szCs w:val="20"/>
        </w:rPr>
        <w:t xml:space="preserve"> immediately after FNB. Patients were administered 1000 mg of acetaminophen or 15</w:t>
      </w:r>
      <w:r>
        <w:rPr>
          <w:rFonts w:ascii="Arial" w:eastAsia="MS Mincho" w:hAnsi="Arial" w:cs="Arial"/>
          <w:sz w:val="20"/>
          <w:szCs w:val="20"/>
        </w:rPr>
        <w:t xml:space="preserve"> mg of pentazocine as rescue analgesics, if needed. </w:t>
      </w:r>
      <w:r w:rsidRPr="00C91F7F">
        <w:rPr>
          <w:rFonts w:asciiTheme="majorHAnsi" w:hAnsiTheme="majorHAnsi" w:cstheme="majorHAnsi"/>
          <w:sz w:val="20"/>
          <w:szCs w:val="20"/>
        </w:rPr>
        <w:t xml:space="preserve">Prior to surgery, both nerve blocks were performed in the supine position </w:t>
      </w:r>
      <w:r>
        <w:rPr>
          <w:rFonts w:ascii="Arial" w:eastAsia="MS Mincho" w:hAnsi="Arial" w:cs="Arial"/>
          <w:sz w:val="20"/>
          <w:szCs w:val="20"/>
        </w:rPr>
        <w:t>by experienced anesthesiologists using high-</w:t>
      </w:r>
      <w:r w:rsidRPr="00C91F7F">
        <w:rPr>
          <w:rFonts w:asciiTheme="majorHAnsi" w:hAnsiTheme="majorHAnsi" w:cstheme="majorHAnsi"/>
          <w:sz w:val="20"/>
          <w:szCs w:val="20"/>
        </w:rPr>
        <w:t>frequency li</w:t>
      </w:r>
      <w:r>
        <w:rPr>
          <w:rFonts w:asciiTheme="majorHAnsi" w:hAnsiTheme="majorHAnsi" w:cstheme="majorHAnsi"/>
          <w:sz w:val="20"/>
          <w:szCs w:val="20"/>
        </w:rPr>
        <w:t>near ultrasonography. In FN</w:t>
      </w:r>
      <w:r>
        <w:rPr>
          <w:rFonts w:asciiTheme="majorHAnsi" w:hAnsiTheme="majorHAnsi" w:cstheme="majorHAnsi" w:hint="eastAsia"/>
          <w:sz w:val="20"/>
          <w:szCs w:val="20"/>
        </w:rPr>
        <w:t>B</w:t>
      </w:r>
      <w:r w:rsidRPr="00C91F7F">
        <w:rPr>
          <w:rFonts w:asciiTheme="majorHAnsi" w:hAnsiTheme="majorHAnsi" w:cstheme="majorHAnsi"/>
          <w:sz w:val="20"/>
          <w:szCs w:val="20"/>
        </w:rPr>
        <w:t xml:space="preserve">, the ultrasound probe was placed in </w:t>
      </w:r>
      <w:r>
        <w:rPr>
          <w:rFonts w:ascii="Arial" w:eastAsia="MS Mincho" w:hAnsi="Arial" w:cs="Arial"/>
          <w:sz w:val="20"/>
          <w:szCs w:val="20"/>
        </w:rPr>
        <w:t>a transverse orientation on the upper thigh, just inferior to the inguinal ligament. After skin disinfection, a 23-gauge needle was inserted from the outside to the inside</w:t>
      </w:r>
      <w:r w:rsidRPr="00C91F7F">
        <w:rPr>
          <w:rFonts w:asciiTheme="majorHAnsi" w:hAnsiTheme="majorHAnsi" w:cstheme="majorHAnsi"/>
          <w:sz w:val="20"/>
          <w:szCs w:val="20"/>
        </w:rPr>
        <w:t xml:space="preserve"> toward the </w:t>
      </w:r>
      <w:r>
        <w:rPr>
          <w:rFonts w:asciiTheme="majorHAnsi" w:hAnsiTheme="majorHAnsi" w:cstheme="majorHAnsi"/>
          <w:sz w:val="20"/>
          <w:szCs w:val="20"/>
        </w:rPr>
        <w:t>femoral nerve</w:t>
      </w:r>
      <w:r w:rsidRPr="00C91F7F">
        <w:rPr>
          <w:rFonts w:asciiTheme="majorHAnsi" w:hAnsiTheme="majorHAnsi" w:cstheme="majorHAnsi"/>
          <w:sz w:val="20"/>
          <w:szCs w:val="20"/>
        </w:rPr>
        <w:t xml:space="preserve"> using an</w:t>
      </w:r>
      <w:r>
        <w:rPr>
          <w:rFonts w:asciiTheme="majorHAnsi" w:hAnsiTheme="majorHAnsi" w:cstheme="majorHAnsi"/>
          <w:sz w:val="20"/>
          <w:szCs w:val="20"/>
        </w:rPr>
        <w:t xml:space="preserve"> in-plane technique. In the IPACK</w:t>
      </w:r>
      <w:r w:rsidRPr="00C91F7F">
        <w:rPr>
          <w:rFonts w:asciiTheme="majorHAnsi" w:hAnsiTheme="majorHAnsi" w:cstheme="majorHAnsi"/>
          <w:sz w:val="20"/>
          <w:szCs w:val="20"/>
        </w:rPr>
        <w:t xml:space="preserve"> block, an ultrasound probe was placed </w:t>
      </w:r>
      <w:r>
        <w:rPr>
          <w:rFonts w:asciiTheme="majorHAnsi" w:hAnsiTheme="majorHAnsi" w:cstheme="majorHAnsi"/>
          <w:sz w:val="20"/>
          <w:szCs w:val="20"/>
        </w:rPr>
        <w:t>at the junction of the femoral condyles and the femoral shaft. The popliteal artery tibial, and peroneal nerves were visualized</w:t>
      </w:r>
      <w:r>
        <w:rPr>
          <w:rFonts w:ascii="Arial" w:eastAsia="MS Mincho" w:hAnsi="Arial" w:cs="Arial"/>
          <w:sz w:val="20"/>
          <w:szCs w:val="20"/>
        </w:rPr>
        <w:t>, and the space between the femur and poplit</w:t>
      </w:r>
      <w:r>
        <w:rPr>
          <w:rFonts w:asciiTheme="majorHAnsi" w:hAnsiTheme="majorHAnsi" w:cstheme="majorHAnsi"/>
          <w:sz w:val="20"/>
          <w:szCs w:val="20"/>
        </w:rPr>
        <w:t>eal artery was determined. A 22-gauge needle,</w:t>
      </w:r>
      <w:r w:rsidRPr="00831FFE">
        <w:rPr>
          <w:rFonts w:ascii="Arial" w:eastAsia="MS Mincho" w:hAnsi="Arial" w:cs="Arial"/>
          <w:sz w:val="20"/>
          <w:szCs w:val="20"/>
        </w:rPr>
        <w:t xml:space="preserve"> </w:t>
      </w:r>
      <w:r>
        <w:rPr>
          <w:rFonts w:ascii="Arial" w:eastAsia="MS Mincho" w:hAnsi="Arial" w:cs="Arial"/>
          <w:sz w:val="20"/>
          <w:szCs w:val="20"/>
        </w:rPr>
        <w:t xml:space="preserve">called the </w:t>
      </w:r>
      <w:r>
        <w:rPr>
          <w:rFonts w:asciiTheme="majorHAnsi" w:hAnsiTheme="majorHAnsi" w:cstheme="majorHAnsi" w:hint="eastAsia"/>
          <w:sz w:val="20"/>
          <w:szCs w:val="20"/>
        </w:rPr>
        <w:t>I</w:t>
      </w:r>
      <w:r>
        <w:rPr>
          <w:rFonts w:asciiTheme="majorHAnsi" w:hAnsiTheme="majorHAnsi" w:cstheme="majorHAnsi"/>
          <w:sz w:val="20"/>
          <w:szCs w:val="20"/>
        </w:rPr>
        <w:t>PACK</w:t>
      </w:r>
      <w:r>
        <w:rPr>
          <w:rFonts w:ascii="Arial" w:eastAsia="MS Mincho" w:hAnsi="Arial" w:cs="Arial"/>
          <w:sz w:val="20"/>
          <w:szCs w:val="20"/>
        </w:rPr>
        <w:t>,</w:t>
      </w:r>
      <w:r>
        <w:rPr>
          <w:rFonts w:asciiTheme="majorHAnsi" w:hAnsiTheme="majorHAnsi" w:cstheme="majorHAnsi"/>
          <w:sz w:val="20"/>
          <w:szCs w:val="20"/>
        </w:rPr>
        <w:t xml:space="preserve"> was advanced </w:t>
      </w:r>
      <w:r>
        <w:rPr>
          <w:rFonts w:ascii="Arial" w:eastAsia="MS Mincho" w:hAnsi="Arial" w:cs="Arial"/>
          <w:sz w:val="20"/>
          <w:szCs w:val="20"/>
        </w:rPr>
        <w:t>into this area using the medial</w:t>
      </w:r>
      <w:r>
        <w:rPr>
          <w:rFonts w:asciiTheme="majorHAnsi" w:hAnsiTheme="majorHAnsi" w:cstheme="majorHAnsi"/>
          <w:sz w:val="20"/>
          <w:szCs w:val="20"/>
        </w:rPr>
        <w:t>-to-lateral in-plane technique.</w:t>
      </w:r>
      <w:r w:rsidRPr="00C91F7F">
        <w:rPr>
          <w:rFonts w:asciiTheme="majorHAnsi" w:hAnsiTheme="majorHAnsi" w:cstheme="majorHAnsi"/>
          <w:sz w:val="20"/>
          <w:szCs w:val="20"/>
        </w:rPr>
        <w:t xml:space="preserve"> Real-time imaging </w:t>
      </w:r>
      <w:r>
        <w:rPr>
          <w:rFonts w:asciiTheme="majorHAnsi" w:hAnsiTheme="majorHAnsi" w:cstheme="majorHAnsi"/>
          <w:sz w:val="20"/>
          <w:szCs w:val="20"/>
        </w:rPr>
        <w:t>confirmed</w:t>
      </w:r>
      <w:r w:rsidRPr="00C91F7F">
        <w:rPr>
          <w:rFonts w:asciiTheme="majorHAnsi" w:hAnsiTheme="majorHAnsi" w:cstheme="majorHAnsi"/>
          <w:sz w:val="20"/>
          <w:szCs w:val="20"/>
        </w:rPr>
        <w:t xml:space="preserve"> that the local anesthetic had spread</w:t>
      </w:r>
      <w:r>
        <w:rPr>
          <w:rFonts w:asciiTheme="majorHAnsi" w:hAnsiTheme="majorHAnsi" w:cstheme="majorHAnsi"/>
          <w:sz w:val="20"/>
          <w:szCs w:val="20"/>
        </w:rPr>
        <w:t xml:space="preserve">. </w:t>
      </w:r>
    </w:p>
    <w:p w14:paraId="1FBDD05E" w14:textId="77777777" w:rsidR="00B64B50" w:rsidRPr="00C91F7F" w:rsidRDefault="00B64B50" w:rsidP="00B64B50">
      <w:pPr>
        <w:spacing w:line="480" w:lineRule="auto"/>
        <w:ind w:firstLine="840"/>
        <w:rPr>
          <w:rFonts w:asciiTheme="majorHAnsi" w:hAnsiTheme="majorHAnsi" w:cstheme="majorHAnsi"/>
          <w:sz w:val="20"/>
          <w:szCs w:val="20"/>
        </w:rPr>
      </w:pPr>
      <w:r w:rsidRPr="00C91F7F">
        <w:rPr>
          <w:rFonts w:asciiTheme="majorHAnsi" w:hAnsiTheme="majorHAnsi" w:cstheme="majorHAnsi"/>
          <w:sz w:val="20"/>
          <w:szCs w:val="20"/>
        </w:rPr>
        <w:t xml:space="preserve">The nursing staff evaluated postoperative pain using a numerical rating scale (NRS; 10 points from 0 to 10) at </w:t>
      </w:r>
      <w:r>
        <w:rPr>
          <w:rFonts w:asciiTheme="majorHAnsi" w:hAnsiTheme="majorHAnsi" w:cstheme="majorHAnsi"/>
          <w:sz w:val="20"/>
          <w:szCs w:val="20"/>
        </w:rPr>
        <w:t xml:space="preserve">rest at </w:t>
      </w:r>
      <w:r w:rsidRPr="00C91F7F">
        <w:rPr>
          <w:rFonts w:asciiTheme="majorHAnsi" w:hAnsiTheme="majorHAnsi" w:cstheme="majorHAnsi"/>
          <w:sz w:val="20"/>
          <w:szCs w:val="20"/>
        </w:rPr>
        <w:t xml:space="preserve">0, 1, 3, 6, 12, 18, and 24 h postoperatively. At 12 and 24 h postoperatively, the number of analgesics required </w:t>
      </w:r>
      <w:r>
        <w:rPr>
          <w:rFonts w:asciiTheme="majorHAnsi" w:hAnsiTheme="majorHAnsi" w:cstheme="majorHAnsi"/>
          <w:sz w:val="20"/>
          <w:szCs w:val="20"/>
        </w:rPr>
        <w:t>and</w:t>
      </w:r>
      <w:r w:rsidRPr="0022639F">
        <w:rPr>
          <w:rFonts w:asciiTheme="majorHAnsi" w:hAnsiTheme="majorHAnsi" w:cstheme="majorHAnsi"/>
          <w:sz w:val="20"/>
          <w:szCs w:val="20"/>
        </w:rPr>
        <w:t xml:space="preserve"> the incidence of postoperative nausea and vomiting (PONV) 24 h after surgery</w:t>
      </w:r>
      <w:r>
        <w:rPr>
          <w:rFonts w:ascii="Arial" w:eastAsia="MS Mincho" w:hAnsi="Arial" w:cs="Arial"/>
          <w:sz w:val="20"/>
          <w:szCs w:val="20"/>
        </w:rPr>
        <w:t xml:space="preserve"> were recorded.</w:t>
      </w:r>
    </w:p>
    <w:p w14:paraId="4FEF7845" w14:textId="77777777" w:rsidR="00B64B50" w:rsidRPr="00C91F7F" w:rsidRDefault="00B64B50" w:rsidP="00B64B50">
      <w:pPr>
        <w:spacing w:line="480" w:lineRule="auto"/>
        <w:rPr>
          <w:rFonts w:asciiTheme="majorHAnsi" w:hAnsiTheme="majorHAnsi" w:cstheme="majorHAnsi"/>
          <w:sz w:val="20"/>
          <w:szCs w:val="20"/>
        </w:rPr>
      </w:pPr>
    </w:p>
    <w:p w14:paraId="30E5CBE7" w14:textId="77777777" w:rsidR="00B64B50" w:rsidRPr="0022639F" w:rsidRDefault="00B64B50" w:rsidP="00B64B50">
      <w:pPr>
        <w:spacing w:line="480" w:lineRule="auto"/>
        <w:rPr>
          <w:rFonts w:asciiTheme="majorHAnsi" w:hAnsiTheme="majorHAnsi" w:cstheme="majorHAnsi"/>
          <w:b/>
          <w:sz w:val="20"/>
          <w:szCs w:val="20"/>
        </w:rPr>
      </w:pPr>
      <w:r w:rsidRPr="0022639F">
        <w:rPr>
          <w:rFonts w:asciiTheme="majorHAnsi" w:hAnsiTheme="majorHAnsi" w:cstheme="majorHAnsi"/>
          <w:b/>
          <w:sz w:val="20"/>
          <w:szCs w:val="20"/>
        </w:rPr>
        <w:t>2.3 Measurement</w:t>
      </w:r>
    </w:p>
    <w:p w14:paraId="7ACC38C7" w14:textId="77777777" w:rsidR="00B64B50" w:rsidRPr="0022639F" w:rsidRDefault="00B64B50" w:rsidP="00B64B50">
      <w:pPr>
        <w:spacing w:line="480" w:lineRule="auto"/>
        <w:ind w:firstLine="840"/>
        <w:rPr>
          <w:rFonts w:asciiTheme="majorHAnsi" w:hAnsiTheme="majorHAnsi" w:cstheme="majorHAnsi"/>
          <w:sz w:val="20"/>
          <w:szCs w:val="20"/>
        </w:rPr>
      </w:pPr>
      <w:r w:rsidRPr="00C91F7F">
        <w:rPr>
          <w:rFonts w:asciiTheme="majorHAnsi" w:hAnsiTheme="majorHAnsi" w:cstheme="majorHAnsi"/>
          <w:sz w:val="20"/>
          <w:szCs w:val="20"/>
        </w:rPr>
        <w:t xml:space="preserve">The primary outcome was </w:t>
      </w:r>
      <w:r>
        <w:rPr>
          <w:rFonts w:ascii="Arial" w:eastAsia="MS Mincho" w:hAnsi="Arial" w:cs="Arial"/>
          <w:sz w:val="20"/>
          <w:szCs w:val="20"/>
        </w:rPr>
        <w:t>the NRS at rest at 0, 1, 3, 6, 12, 18, and 24 h postoperat</w:t>
      </w:r>
      <w:r>
        <w:rPr>
          <w:rFonts w:asciiTheme="majorHAnsi" w:hAnsiTheme="majorHAnsi" w:cstheme="majorHAnsi"/>
          <w:sz w:val="20"/>
          <w:szCs w:val="20"/>
        </w:rPr>
        <w:t>ively, and the secondary outcomes were</w:t>
      </w:r>
      <w:r w:rsidRPr="00C91F7F">
        <w:rPr>
          <w:rFonts w:asciiTheme="majorHAnsi" w:hAnsiTheme="majorHAnsi" w:cstheme="majorHAnsi"/>
          <w:sz w:val="20"/>
          <w:szCs w:val="20"/>
        </w:rPr>
        <w:t xml:space="preserve"> the number of </w:t>
      </w:r>
      <w:r>
        <w:rPr>
          <w:rFonts w:asciiTheme="majorHAnsi" w:hAnsiTheme="majorHAnsi" w:cstheme="majorHAnsi"/>
          <w:sz w:val="20"/>
          <w:szCs w:val="20"/>
        </w:rPr>
        <w:t xml:space="preserve">required </w:t>
      </w:r>
      <w:proofErr w:type="gramStart"/>
      <w:r w:rsidRPr="00C91F7F">
        <w:rPr>
          <w:rFonts w:asciiTheme="majorHAnsi" w:hAnsiTheme="majorHAnsi" w:cstheme="majorHAnsi"/>
          <w:sz w:val="20"/>
          <w:szCs w:val="20"/>
        </w:rPr>
        <w:t>analgesic</w:t>
      </w:r>
      <w:proofErr w:type="gramEnd"/>
      <w:r w:rsidRPr="00C91F7F">
        <w:rPr>
          <w:rFonts w:asciiTheme="majorHAnsi" w:hAnsiTheme="majorHAnsi" w:cstheme="majorHAnsi"/>
          <w:sz w:val="20"/>
          <w:szCs w:val="20"/>
        </w:rPr>
        <w:t xml:space="preserve"> </w:t>
      </w:r>
      <w:r>
        <w:rPr>
          <w:rFonts w:asciiTheme="majorHAnsi" w:hAnsiTheme="majorHAnsi" w:cstheme="majorHAnsi"/>
          <w:sz w:val="20"/>
          <w:szCs w:val="20"/>
        </w:rPr>
        <w:t>at 12 and 24 h postoperatively and t</w:t>
      </w:r>
      <w:r w:rsidRPr="0022639F">
        <w:rPr>
          <w:rFonts w:asciiTheme="majorHAnsi" w:hAnsiTheme="majorHAnsi" w:cstheme="majorHAnsi"/>
          <w:sz w:val="20"/>
          <w:szCs w:val="20"/>
        </w:rPr>
        <w:t>he incidence of PONV 24 h after surgery.</w:t>
      </w:r>
    </w:p>
    <w:p w14:paraId="07AB1EA9" w14:textId="77777777" w:rsidR="00B64B50" w:rsidRPr="0022639F" w:rsidRDefault="00B64B50" w:rsidP="00B64B50">
      <w:pPr>
        <w:spacing w:line="480" w:lineRule="auto"/>
        <w:rPr>
          <w:rFonts w:asciiTheme="majorHAnsi" w:hAnsiTheme="majorHAnsi" w:cstheme="majorHAnsi"/>
          <w:sz w:val="20"/>
          <w:szCs w:val="20"/>
        </w:rPr>
      </w:pPr>
    </w:p>
    <w:p w14:paraId="4AC3F051" w14:textId="77777777" w:rsidR="00B64B50" w:rsidRPr="0022639F" w:rsidRDefault="00B64B50" w:rsidP="00B64B50">
      <w:pPr>
        <w:spacing w:line="480" w:lineRule="auto"/>
        <w:rPr>
          <w:rFonts w:asciiTheme="majorHAnsi" w:hAnsiTheme="majorHAnsi" w:cstheme="majorHAnsi"/>
          <w:b/>
          <w:sz w:val="20"/>
          <w:szCs w:val="20"/>
        </w:rPr>
      </w:pPr>
      <w:r w:rsidRPr="0022639F">
        <w:rPr>
          <w:rFonts w:asciiTheme="majorHAnsi" w:hAnsiTheme="majorHAnsi" w:cstheme="majorHAnsi"/>
          <w:b/>
          <w:sz w:val="20"/>
          <w:szCs w:val="20"/>
        </w:rPr>
        <w:t>2.4 Statistical Analysis</w:t>
      </w:r>
    </w:p>
    <w:p w14:paraId="59E732BC" w14:textId="77777777" w:rsidR="00B64B50" w:rsidRPr="00C91F7F" w:rsidRDefault="00B64B50" w:rsidP="00B64B50">
      <w:pPr>
        <w:spacing w:line="480" w:lineRule="auto"/>
        <w:ind w:firstLine="840"/>
        <w:rPr>
          <w:rFonts w:asciiTheme="majorHAnsi" w:hAnsiTheme="majorHAnsi" w:cstheme="majorHAnsi"/>
          <w:sz w:val="20"/>
          <w:szCs w:val="20"/>
        </w:rPr>
      </w:pPr>
      <w:r w:rsidRPr="00C91F7F">
        <w:rPr>
          <w:rFonts w:asciiTheme="majorHAnsi" w:hAnsiTheme="majorHAnsi" w:cstheme="majorHAnsi"/>
          <w:sz w:val="20"/>
          <w:szCs w:val="20"/>
        </w:rPr>
        <w:t xml:space="preserve">The results are expressed as </w:t>
      </w:r>
      <w:r>
        <w:rPr>
          <w:rFonts w:ascii="Arial" w:eastAsia="MS Mincho" w:hAnsi="Arial" w:cs="Arial"/>
          <w:sz w:val="20"/>
          <w:szCs w:val="20"/>
        </w:rPr>
        <w:t xml:space="preserve">median (interquartile range). To analyze the interaction between time and the two groups, a two-way repeated-measure analysis of variance was </w:t>
      </w:r>
      <w:r>
        <w:rPr>
          <w:rFonts w:ascii="Arial" w:eastAsia="MS Mincho" w:hAnsi="Arial" w:cs="Arial"/>
          <w:sz w:val="20"/>
          <w:szCs w:val="20"/>
        </w:rPr>
        <w:lastRenderedPageBreak/>
        <w:t>conducted. A post</w:t>
      </w:r>
      <w:r>
        <w:rPr>
          <w:rFonts w:asciiTheme="majorHAnsi" w:hAnsiTheme="majorHAnsi" w:cstheme="majorHAnsi"/>
          <w:sz w:val="20"/>
          <w:szCs w:val="20"/>
        </w:rPr>
        <w:t xml:space="preserve"> </w:t>
      </w:r>
      <w:r w:rsidRPr="00C91F7F">
        <w:rPr>
          <w:rFonts w:asciiTheme="majorHAnsi" w:hAnsiTheme="majorHAnsi" w:cstheme="majorHAnsi"/>
          <w:sz w:val="20"/>
          <w:szCs w:val="20"/>
        </w:rPr>
        <w:t>hoc comparison between groups at each time point and among the repeated measures in each group was conducted using the Bonferroni</w:t>
      </w:r>
      <w:r>
        <w:t>–</w:t>
      </w:r>
      <w:r>
        <w:rPr>
          <w:rFonts w:asciiTheme="majorHAnsi" w:hAnsiTheme="majorHAnsi" w:cstheme="majorHAnsi"/>
          <w:sz w:val="20"/>
          <w:szCs w:val="20"/>
        </w:rPr>
        <w:t>Dunn</w:t>
      </w:r>
      <w:r w:rsidRPr="00C91F7F">
        <w:rPr>
          <w:rFonts w:asciiTheme="majorHAnsi" w:hAnsiTheme="majorHAnsi" w:cstheme="majorHAnsi"/>
          <w:sz w:val="20"/>
          <w:szCs w:val="20"/>
        </w:rPr>
        <w:t xml:space="preserve"> </w:t>
      </w:r>
      <w:r>
        <w:rPr>
          <w:rFonts w:asciiTheme="majorHAnsi" w:hAnsiTheme="majorHAnsi" w:cstheme="majorHAnsi"/>
          <w:sz w:val="20"/>
          <w:szCs w:val="20"/>
        </w:rPr>
        <w:t>test</w:t>
      </w:r>
      <w:r w:rsidRPr="00C91F7F">
        <w:rPr>
          <w:rFonts w:asciiTheme="majorHAnsi" w:hAnsiTheme="majorHAnsi" w:cstheme="majorHAnsi"/>
          <w:sz w:val="20"/>
          <w:szCs w:val="20"/>
        </w:rPr>
        <w:t xml:space="preserve">, if appropriate. Continuous data for patient characteristics were analyzed using the Mann–Whitney U test. Dichotomous variables were analyzed using the chi-square test. Statistical significance was set at P-value of &lt; .05. </w:t>
      </w:r>
    </w:p>
    <w:p w14:paraId="159231F0" w14:textId="77777777" w:rsidR="00B64B50" w:rsidRDefault="00B64B50" w:rsidP="00B64B50">
      <w:pPr>
        <w:spacing w:line="480" w:lineRule="auto"/>
        <w:rPr>
          <w:rFonts w:asciiTheme="majorHAnsi" w:hAnsiTheme="majorHAnsi" w:cstheme="majorHAnsi"/>
          <w:sz w:val="20"/>
          <w:szCs w:val="20"/>
        </w:rPr>
      </w:pPr>
      <w:r w:rsidRPr="00C91F7F">
        <w:rPr>
          <w:rFonts w:asciiTheme="majorHAnsi" w:hAnsiTheme="majorHAnsi" w:cstheme="majorHAnsi"/>
          <w:sz w:val="20"/>
          <w:szCs w:val="20"/>
        </w:rPr>
        <w:t xml:space="preserve"> </w:t>
      </w:r>
      <w:r>
        <w:rPr>
          <w:rFonts w:asciiTheme="majorHAnsi" w:hAnsiTheme="majorHAnsi" w:cstheme="majorHAnsi"/>
          <w:sz w:val="20"/>
          <w:szCs w:val="20"/>
        </w:rPr>
        <w:tab/>
        <w:t>S</w:t>
      </w:r>
      <w:r w:rsidRPr="00C91F7F">
        <w:rPr>
          <w:rFonts w:asciiTheme="majorHAnsi" w:hAnsiTheme="majorHAnsi" w:cstheme="majorHAnsi"/>
          <w:sz w:val="20"/>
          <w:szCs w:val="20"/>
        </w:rPr>
        <w:t xml:space="preserve">ample size was determined </w:t>
      </w:r>
      <w:r>
        <w:rPr>
          <w:rFonts w:asciiTheme="majorHAnsi" w:hAnsiTheme="majorHAnsi" w:cstheme="majorHAnsi"/>
          <w:sz w:val="20"/>
          <w:szCs w:val="20"/>
        </w:rPr>
        <w:t>based on</w:t>
      </w:r>
      <w:r w:rsidRPr="00C91F7F">
        <w:rPr>
          <w:rFonts w:asciiTheme="majorHAnsi" w:hAnsiTheme="majorHAnsi" w:cstheme="majorHAnsi"/>
          <w:sz w:val="20"/>
          <w:szCs w:val="20"/>
        </w:rPr>
        <w:t xml:space="preserve"> </w:t>
      </w:r>
      <w:r>
        <w:rPr>
          <w:rFonts w:asciiTheme="majorHAnsi" w:hAnsiTheme="majorHAnsi" w:cstheme="majorHAnsi"/>
          <w:sz w:val="20"/>
          <w:szCs w:val="20"/>
        </w:rPr>
        <w:t>the</w:t>
      </w:r>
      <w:r w:rsidRPr="00C91F7F">
        <w:rPr>
          <w:rFonts w:asciiTheme="majorHAnsi" w:hAnsiTheme="majorHAnsi" w:cstheme="majorHAnsi"/>
          <w:sz w:val="20"/>
          <w:szCs w:val="20"/>
        </w:rPr>
        <w:t xml:space="preserve"> previous study</w:t>
      </w:r>
      <w:r>
        <w:rPr>
          <w:rFonts w:asciiTheme="majorHAnsi" w:hAnsiTheme="majorHAnsi" w:cstheme="majorHAnsi"/>
          <w:sz w:val="20"/>
          <w:szCs w:val="20"/>
        </w:rPr>
        <w:t xml:space="preserve"> [8]</w:t>
      </w:r>
      <w:r w:rsidRPr="00C91F7F">
        <w:rPr>
          <w:rFonts w:asciiTheme="majorHAnsi" w:hAnsiTheme="majorHAnsi" w:cstheme="majorHAnsi"/>
          <w:sz w:val="20"/>
          <w:szCs w:val="20"/>
        </w:rPr>
        <w:t xml:space="preserve"> (standard deviation, </w:t>
      </w:r>
      <w:r>
        <w:rPr>
          <w:rFonts w:asciiTheme="majorHAnsi" w:hAnsiTheme="majorHAnsi" w:cstheme="majorHAnsi"/>
          <w:sz w:val="20"/>
          <w:szCs w:val="20"/>
        </w:rPr>
        <w:t>2.</w:t>
      </w:r>
      <w:r w:rsidRPr="00C91F7F">
        <w:rPr>
          <w:rFonts w:asciiTheme="majorHAnsi" w:hAnsiTheme="majorHAnsi" w:cstheme="majorHAnsi"/>
          <w:sz w:val="20"/>
          <w:szCs w:val="20"/>
        </w:rPr>
        <w:t xml:space="preserve">4), </w:t>
      </w:r>
      <w:r>
        <w:rPr>
          <w:rFonts w:asciiTheme="majorHAnsi" w:hAnsiTheme="majorHAnsi" w:cstheme="majorHAnsi"/>
          <w:sz w:val="20"/>
          <w:szCs w:val="20"/>
        </w:rPr>
        <w:t>which indicated that with 23</w:t>
      </w:r>
      <w:r w:rsidRPr="00C91F7F">
        <w:rPr>
          <w:rFonts w:asciiTheme="majorHAnsi" w:hAnsiTheme="majorHAnsi" w:cstheme="majorHAnsi"/>
          <w:sz w:val="20"/>
          <w:szCs w:val="20"/>
        </w:rPr>
        <w:t xml:space="preserve"> patients in each group, a power of 80% would be required to detect a difference of 2 in the NRS value between the two groups at a 5% significance</w:t>
      </w:r>
      <w:r>
        <w:rPr>
          <w:rFonts w:ascii="Arial" w:eastAsia="MS Mincho" w:hAnsi="Arial" w:cs="Arial"/>
          <w:sz w:val="20"/>
          <w:szCs w:val="20"/>
        </w:rPr>
        <w:t xml:space="preserve"> level. </w:t>
      </w:r>
    </w:p>
    <w:p w14:paraId="3740EF15" w14:textId="75DA8BB0" w:rsidR="00F0597D" w:rsidRDefault="00F0597D" w:rsidP="007404F1">
      <w:pPr>
        <w:spacing w:line="480" w:lineRule="auto"/>
        <w:rPr>
          <w:rFonts w:asciiTheme="majorHAnsi" w:hAnsiTheme="majorHAnsi" w:cstheme="majorHAnsi"/>
          <w:sz w:val="20"/>
          <w:szCs w:val="20"/>
        </w:rPr>
      </w:pPr>
    </w:p>
    <w:p w14:paraId="5C2DD865" w14:textId="526DA285" w:rsidR="00F0597D" w:rsidRDefault="00F0597D" w:rsidP="007404F1">
      <w:pPr>
        <w:spacing w:line="480" w:lineRule="auto"/>
        <w:rPr>
          <w:rFonts w:asciiTheme="majorHAnsi" w:hAnsiTheme="majorHAnsi" w:cstheme="majorHAnsi"/>
          <w:sz w:val="20"/>
          <w:szCs w:val="20"/>
        </w:rPr>
      </w:pPr>
    </w:p>
    <w:p w14:paraId="5300B197" w14:textId="18BA054F" w:rsidR="00F0597D" w:rsidRDefault="00F0597D" w:rsidP="007404F1">
      <w:pPr>
        <w:spacing w:line="480" w:lineRule="auto"/>
        <w:rPr>
          <w:rFonts w:asciiTheme="majorHAnsi" w:hAnsiTheme="majorHAnsi" w:cstheme="majorHAnsi"/>
          <w:sz w:val="20"/>
          <w:szCs w:val="20"/>
        </w:rPr>
      </w:pPr>
    </w:p>
    <w:p w14:paraId="336A62E5" w14:textId="3C461DB5" w:rsidR="00F0597D" w:rsidRDefault="00F0597D" w:rsidP="007404F1">
      <w:pPr>
        <w:spacing w:line="480" w:lineRule="auto"/>
        <w:rPr>
          <w:rFonts w:asciiTheme="majorHAnsi" w:hAnsiTheme="majorHAnsi" w:cstheme="majorHAnsi"/>
          <w:sz w:val="20"/>
          <w:szCs w:val="20"/>
        </w:rPr>
      </w:pPr>
    </w:p>
    <w:p w14:paraId="68EE7301" w14:textId="10C52923" w:rsidR="00F0597D" w:rsidRDefault="00F0597D" w:rsidP="007404F1">
      <w:pPr>
        <w:spacing w:line="480" w:lineRule="auto"/>
        <w:rPr>
          <w:rFonts w:asciiTheme="majorHAnsi" w:hAnsiTheme="majorHAnsi" w:cstheme="majorHAnsi"/>
          <w:sz w:val="20"/>
          <w:szCs w:val="20"/>
        </w:rPr>
      </w:pPr>
    </w:p>
    <w:p w14:paraId="76C7D9E3" w14:textId="17443B0C" w:rsidR="00F0597D" w:rsidRDefault="00F0597D" w:rsidP="007404F1">
      <w:pPr>
        <w:spacing w:line="480" w:lineRule="auto"/>
        <w:rPr>
          <w:rFonts w:asciiTheme="majorHAnsi" w:hAnsiTheme="majorHAnsi" w:cstheme="majorHAnsi"/>
          <w:sz w:val="20"/>
          <w:szCs w:val="20"/>
        </w:rPr>
      </w:pPr>
    </w:p>
    <w:p w14:paraId="2F99E9F7" w14:textId="579BB298" w:rsidR="00F0597D" w:rsidRDefault="00F0597D" w:rsidP="007404F1">
      <w:pPr>
        <w:spacing w:line="480" w:lineRule="auto"/>
        <w:rPr>
          <w:rFonts w:asciiTheme="majorHAnsi" w:hAnsiTheme="majorHAnsi" w:cstheme="majorHAnsi"/>
          <w:sz w:val="20"/>
          <w:szCs w:val="20"/>
        </w:rPr>
      </w:pPr>
    </w:p>
    <w:p w14:paraId="0B1F6523" w14:textId="7C3A29E2" w:rsidR="00F0597D" w:rsidRDefault="00F0597D" w:rsidP="007404F1">
      <w:pPr>
        <w:spacing w:line="480" w:lineRule="auto"/>
        <w:rPr>
          <w:rFonts w:asciiTheme="majorHAnsi" w:hAnsiTheme="majorHAnsi" w:cstheme="majorHAnsi"/>
          <w:sz w:val="20"/>
          <w:szCs w:val="20"/>
        </w:rPr>
      </w:pPr>
    </w:p>
    <w:p w14:paraId="5E65AC4D" w14:textId="2EDB03DC" w:rsidR="00F0597D" w:rsidRDefault="00F0597D" w:rsidP="007404F1">
      <w:pPr>
        <w:spacing w:line="480" w:lineRule="auto"/>
        <w:rPr>
          <w:rFonts w:asciiTheme="majorHAnsi" w:hAnsiTheme="majorHAnsi" w:cstheme="majorHAnsi"/>
          <w:sz w:val="20"/>
          <w:szCs w:val="20"/>
        </w:rPr>
      </w:pPr>
    </w:p>
    <w:p w14:paraId="232FD5C5" w14:textId="2F0BFA34" w:rsidR="00F0597D" w:rsidRDefault="00F0597D" w:rsidP="007404F1">
      <w:pPr>
        <w:spacing w:line="480" w:lineRule="auto"/>
        <w:rPr>
          <w:rFonts w:asciiTheme="majorHAnsi" w:hAnsiTheme="majorHAnsi" w:cstheme="majorHAnsi"/>
          <w:sz w:val="20"/>
          <w:szCs w:val="20"/>
        </w:rPr>
      </w:pPr>
    </w:p>
    <w:p w14:paraId="798A73BB" w14:textId="6991A186" w:rsidR="00F0597D" w:rsidRDefault="00F0597D" w:rsidP="007404F1">
      <w:pPr>
        <w:spacing w:line="480" w:lineRule="auto"/>
        <w:rPr>
          <w:rFonts w:asciiTheme="majorHAnsi" w:hAnsiTheme="majorHAnsi" w:cstheme="majorHAnsi"/>
          <w:sz w:val="20"/>
          <w:szCs w:val="20"/>
        </w:rPr>
      </w:pPr>
    </w:p>
    <w:p w14:paraId="12EE7C9B" w14:textId="688E4455" w:rsidR="00F0597D" w:rsidRDefault="00F0597D" w:rsidP="007404F1">
      <w:pPr>
        <w:spacing w:line="480" w:lineRule="auto"/>
        <w:rPr>
          <w:rFonts w:asciiTheme="majorHAnsi" w:hAnsiTheme="majorHAnsi" w:cstheme="majorHAnsi"/>
          <w:sz w:val="20"/>
          <w:szCs w:val="20"/>
        </w:rPr>
      </w:pPr>
    </w:p>
    <w:p w14:paraId="34E0708F" w14:textId="6E3CE2A4" w:rsidR="00F0597D" w:rsidRDefault="00F0597D" w:rsidP="007404F1">
      <w:pPr>
        <w:spacing w:line="480" w:lineRule="auto"/>
        <w:rPr>
          <w:rFonts w:asciiTheme="majorHAnsi" w:hAnsiTheme="majorHAnsi" w:cstheme="majorHAnsi"/>
          <w:sz w:val="20"/>
          <w:szCs w:val="20"/>
        </w:rPr>
      </w:pPr>
    </w:p>
    <w:p w14:paraId="30CFACCF" w14:textId="545C1A9D" w:rsidR="00F0597D" w:rsidRDefault="00F0597D" w:rsidP="007404F1">
      <w:pPr>
        <w:spacing w:line="480" w:lineRule="auto"/>
        <w:rPr>
          <w:rFonts w:asciiTheme="majorHAnsi" w:hAnsiTheme="majorHAnsi" w:cstheme="majorHAnsi"/>
          <w:sz w:val="20"/>
          <w:szCs w:val="20"/>
        </w:rPr>
      </w:pPr>
    </w:p>
    <w:p w14:paraId="6C75E860" w14:textId="408E1BBB" w:rsidR="00F0597D" w:rsidRDefault="00F0597D" w:rsidP="007404F1">
      <w:pPr>
        <w:spacing w:line="480" w:lineRule="auto"/>
        <w:rPr>
          <w:rFonts w:asciiTheme="majorHAnsi" w:hAnsiTheme="majorHAnsi" w:cstheme="majorHAnsi"/>
          <w:sz w:val="20"/>
          <w:szCs w:val="20"/>
        </w:rPr>
      </w:pPr>
    </w:p>
    <w:p w14:paraId="26CAAA0E" w14:textId="48995D21" w:rsidR="00F0597D" w:rsidRDefault="00F0597D" w:rsidP="007404F1">
      <w:pPr>
        <w:spacing w:line="480" w:lineRule="auto"/>
        <w:rPr>
          <w:rFonts w:asciiTheme="majorHAnsi" w:hAnsiTheme="majorHAnsi" w:cstheme="majorHAnsi"/>
          <w:sz w:val="20"/>
          <w:szCs w:val="20"/>
        </w:rPr>
      </w:pPr>
    </w:p>
    <w:p w14:paraId="3E9690EE" w14:textId="697D829E" w:rsidR="00F0597D" w:rsidRDefault="00F0597D" w:rsidP="007404F1">
      <w:pPr>
        <w:spacing w:line="480" w:lineRule="auto"/>
        <w:rPr>
          <w:rFonts w:asciiTheme="majorHAnsi" w:hAnsiTheme="majorHAnsi" w:cstheme="majorHAnsi"/>
          <w:sz w:val="20"/>
          <w:szCs w:val="20"/>
        </w:rPr>
      </w:pPr>
    </w:p>
    <w:p w14:paraId="0F08E7FB" w14:textId="1D12A4B2" w:rsidR="00F0597D" w:rsidRDefault="00F0597D" w:rsidP="007404F1">
      <w:pPr>
        <w:spacing w:line="480" w:lineRule="auto"/>
        <w:rPr>
          <w:rFonts w:asciiTheme="majorHAnsi" w:hAnsiTheme="majorHAnsi" w:cstheme="majorHAnsi"/>
          <w:sz w:val="20"/>
          <w:szCs w:val="20"/>
        </w:rPr>
      </w:pPr>
    </w:p>
    <w:p w14:paraId="6F450B71" w14:textId="03422CD5" w:rsidR="00F0597D" w:rsidRDefault="00F0597D" w:rsidP="007404F1">
      <w:pPr>
        <w:spacing w:line="480" w:lineRule="auto"/>
        <w:rPr>
          <w:rFonts w:asciiTheme="majorHAnsi" w:hAnsiTheme="majorHAnsi" w:cstheme="majorHAnsi"/>
          <w:sz w:val="20"/>
          <w:szCs w:val="20"/>
        </w:rPr>
      </w:pPr>
    </w:p>
    <w:p w14:paraId="1CBE97A3" w14:textId="0A16A804" w:rsidR="00F0597D" w:rsidRDefault="00F0597D" w:rsidP="007404F1">
      <w:pPr>
        <w:spacing w:line="480" w:lineRule="auto"/>
        <w:rPr>
          <w:rFonts w:asciiTheme="majorHAnsi" w:hAnsiTheme="majorHAnsi" w:cstheme="majorHAnsi"/>
          <w:sz w:val="20"/>
          <w:szCs w:val="20"/>
        </w:rPr>
      </w:pPr>
    </w:p>
    <w:p w14:paraId="223857A1" w14:textId="0DE63CE0" w:rsidR="00F0597D" w:rsidRDefault="00F0597D" w:rsidP="007404F1">
      <w:pPr>
        <w:spacing w:line="480" w:lineRule="auto"/>
        <w:rPr>
          <w:rFonts w:asciiTheme="majorHAnsi" w:hAnsiTheme="majorHAnsi" w:cstheme="majorHAnsi"/>
          <w:sz w:val="20"/>
          <w:szCs w:val="20"/>
        </w:rPr>
      </w:pPr>
    </w:p>
    <w:p w14:paraId="54BA235B" w14:textId="5B72477F" w:rsidR="00F0597D" w:rsidRDefault="00F0597D" w:rsidP="007404F1">
      <w:pPr>
        <w:spacing w:line="480" w:lineRule="auto"/>
        <w:rPr>
          <w:rFonts w:asciiTheme="majorHAnsi" w:hAnsiTheme="majorHAnsi" w:cstheme="majorHAnsi"/>
          <w:sz w:val="20"/>
          <w:szCs w:val="20"/>
        </w:rPr>
      </w:pPr>
    </w:p>
    <w:p w14:paraId="4A2DA8EE" w14:textId="213EFCF9" w:rsidR="00F0597D" w:rsidRDefault="00F0597D" w:rsidP="007404F1">
      <w:pPr>
        <w:spacing w:line="480" w:lineRule="auto"/>
        <w:rPr>
          <w:rFonts w:asciiTheme="majorHAnsi" w:hAnsiTheme="majorHAnsi" w:cstheme="majorHAnsi"/>
          <w:sz w:val="20"/>
          <w:szCs w:val="20"/>
        </w:rPr>
      </w:pPr>
    </w:p>
    <w:p w14:paraId="087BA691" w14:textId="69C721BA" w:rsidR="00F0597D" w:rsidRDefault="00F0597D" w:rsidP="007404F1">
      <w:pPr>
        <w:spacing w:line="480" w:lineRule="auto"/>
        <w:rPr>
          <w:rFonts w:asciiTheme="majorHAnsi" w:hAnsiTheme="majorHAnsi" w:cstheme="majorHAnsi"/>
          <w:sz w:val="20"/>
          <w:szCs w:val="20"/>
        </w:rPr>
      </w:pPr>
    </w:p>
    <w:p w14:paraId="1765CBD7" w14:textId="25D5D76E" w:rsidR="00F0597D" w:rsidRDefault="00F0597D" w:rsidP="007404F1">
      <w:pPr>
        <w:spacing w:line="480" w:lineRule="auto"/>
        <w:rPr>
          <w:rFonts w:asciiTheme="majorHAnsi" w:hAnsiTheme="majorHAnsi" w:cstheme="majorHAnsi"/>
          <w:sz w:val="20"/>
          <w:szCs w:val="20"/>
        </w:rPr>
      </w:pPr>
    </w:p>
    <w:p w14:paraId="17B64AE4" w14:textId="4E5B0458" w:rsidR="00F0597D" w:rsidRDefault="00F0597D" w:rsidP="007404F1">
      <w:pPr>
        <w:spacing w:line="480" w:lineRule="auto"/>
        <w:rPr>
          <w:rFonts w:asciiTheme="majorHAnsi" w:hAnsiTheme="majorHAnsi" w:cstheme="majorHAnsi"/>
          <w:sz w:val="20"/>
          <w:szCs w:val="20"/>
        </w:rPr>
      </w:pPr>
    </w:p>
    <w:p w14:paraId="14C2823B" w14:textId="5D2D138E" w:rsidR="00F0597D" w:rsidRDefault="00F0597D" w:rsidP="007404F1">
      <w:pPr>
        <w:spacing w:line="480" w:lineRule="auto"/>
        <w:rPr>
          <w:rFonts w:asciiTheme="majorHAnsi" w:hAnsiTheme="majorHAnsi" w:cstheme="majorHAnsi"/>
          <w:sz w:val="20"/>
          <w:szCs w:val="20"/>
        </w:rPr>
      </w:pPr>
    </w:p>
    <w:p w14:paraId="2554226D" w14:textId="77777777" w:rsidR="00B64B50" w:rsidRPr="00C91F7F" w:rsidRDefault="00B64B50" w:rsidP="007404F1">
      <w:pPr>
        <w:spacing w:line="480" w:lineRule="auto"/>
        <w:rPr>
          <w:rFonts w:asciiTheme="majorHAnsi" w:hAnsiTheme="majorHAnsi" w:cstheme="majorHAnsi"/>
          <w:sz w:val="20"/>
          <w:szCs w:val="20"/>
        </w:rPr>
      </w:pPr>
    </w:p>
    <w:p w14:paraId="40141BD9" w14:textId="2C7710BD" w:rsidR="007F369D" w:rsidRPr="001642C7" w:rsidRDefault="007F369D" w:rsidP="001642C7">
      <w:pPr>
        <w:pStyle w:val="ListParagraph"/>
        <w:numPr>
          <w:ilvl w:val="0"/>
          <w:numId w:val="6"/>
        </w:numPr>
        <w:spacing w:line="480" w:lineRule="auto"/>
        <w:ind w:leftChars="0"/>
        <w:rPr>
          <w:rFonts w:ascii="Arial" w:hAnsi="Arial" w:cs="Arial"/>
          <w:b/>
          <w:sz w:val="22"/>
        </w:rPr>
      </w:pPr>
      <w:r w:rsidRPr="001642C7">
        <w:rPr>
          <w:rFonts w:ascii="Arial" w:hAnsi="Arial" w:cs="Arial"/>
          <w:b/>
          <w:sz w:val="22"/>
        </w:rPr>
        <w:t>Results</w:t>
      </w:r>
      <w:r w:rsidR="00D6230E">
        <w:rPr>
          <w:rFonts w:ascii="Arial" w:hAnsi="Arial" w:cs="Arial"/>
          <w:b/>
          <w:sz w:val="22"/>
        </w:rPr>
        <w:t xml:space="preserve"> and </w:t>
      </w:r>
      <w:r w:rsidR="00D6230E" w:rsidRPr="00D6230E">
        <w:rPr>
          <w:rFonts w:ascii="Arial" w:hAnsi="Arial" w:cs="Arial"/>
          <w:b/>
          <w:sz w:val="22"/>
        </w:rPr>
        <w:t>Discussion</w:t>
      </w:r>
    </w:p>
    <w:p w14:paraId="13D4E480" w14:textId="5AB52756" w:rsidR="00F0597D" w:rsidRPr="00F0597D" w:rsidRDefault="00F0597D" w:rsidP="007F369D">
      <w:pPr>
        <w:spacing w:line="480" w:lineRule="auto"/>
        <w:rPr>
          <w:rFonts w:ascii="Arial" w:hAnsi="Arial" w:cs="Arial"/>
          <w:sz w:val="20"/>
          <w:szCs w:val="20"/>
        </w:rPr>
      </w:pPr>
      <w:r>
        <w:rPr>
          <w:rFonts w:ascii="Arial" w:hAnsi="Arial" w:cs="Arial"/>
          <w:sz w:val="22"/>
        </w:rPr>
        <w:tab/>
      </w:r>
      <w:r w:rsidR="00B64B50" w:rsidRPr="00F0597D">
        <w:rPr>
          <w:rFonts w:ascii="Arial" w:hAnsi="Arial" w:cs="Arial"/>
          <w:sz w:val="20"/>
          <w:szCs w:val="20"/>
        </w:rPr>
        <w:t xml:space="preserve">Table 1 shows that no significant differences in </w:t>
      </w:r>
      <w:r w:rsidR="00B64B50">
        <w:rPr>
          <w:rFonts w:ascii="Arial" w:eastAsia="MS Mincho" w:hAnsi="Arial" w:cs="Arial"/>
          <w:sz w:val="20"/>
          <w:szCs w:val="20"/>
        </w:rPr>
        <w:t>the patient</w:t>
      </w:r>
      <w:r w:rsidR="00B64B50" w:rsidRPr="00F0597D">
        <w:rPr>
          <w:rFonts w:ascii="Arial" w:hAnsi="Arial" w:cs="Arial"/>
          <w:sz w:val="20"/>
          <w:szCs w:val="20"/>
        </w:rPr>
        <w:t xml:space="preserve"> characteristics </w:t>
      </w:r>
      <w:r w:rsidR="00B64B50">
        <w:rPr>
          <w:rFonts w:ascii="Arial" w:hAnsi="Arial" w:cs="Arial"/>
          <w:sz w:val="20"/>
          <w:szCs w:val="20"/>
        </w:rPr>
        <w:t xml:space="preserve">were observed </w:t>
      </w:r>
      <w:r w:rsidR="00B64B50" w:rsidRPr="00F0597D">
        <w:rPr>
          <w:rFonts w:ascii="Arial" w:hAnsi="Arial" w:cs="Arial"/>
          <w:sz w:val="20"/>
          <w:szCs w:val="20"/>
        </w:rPr>
        <w:t>between the groups</w:t>
      </w:r>
      <w:r w:rsidRPr="00F0597D">
        <w:rPr>
          <w:rFonts w:ascii="Arial" w:hAnsi="Arial" w:cs="Arial"/>
          <w:sz w:val="20"/>
          <w:szCs w:val="20"/>
        </w:rPr>
        <w:t>.</w:t>
      </w:r>
    </w:p>
    <w:p w14:paraId="7D03258C" w14:textId="77777777" w:rsidR="00F0597D" w:rsidRDefault="00F0597D" w:rsidP="00F0597D">
      <w:r>
        <w:rPr>
          <w:rFonts w:hint="eastAsia"/>
        </w:rPr>
        <w:t xml:space="preserve">Table 1 Patients </w:t>
      </w:r>
      <w:r>
        <w:t>characteristics</w:t>
      </w:r>
    </w:p>
    <w:tbl>
      <w:tblPr>
        <w:tblStyle w:val="TableGrid"/>
        <w:tblW w:w="85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52"/>
        <w:gridCol w:w="2551"/>
        <w:gridCol w:w="2268"/>
        <w:gridCol w:w="1134"/>
      </w:tblGrid>
      <w:tr w:rsidR="00F0597D" w14:paraId="6ECCC689" w14:textId="77777777" w:rsidTr="00242188">
        <w:tc>
          <w:tcPr>
            <w:tcW w:w="2552" w:type="dxa"/>
            <w:tcBorders>
              <w:top w:val="single" w:sz="4" w:space="0" w:color="auto"/>
              <w:bottom w:val="single" w:sz="4" w:space="0" w:color="auto"/>
            </w:tcBorders>
          </w:tcPr>
          <w:p w14:paraId="7CC4731A" w14:textId="77777777" w:rsidR="00F0597D" w:rsidRDefault="00F0597D" w:rsidP="00242188"/>
        </w:tc>
        <w:tc>
          <w:tcPr>
            <w:tcW w:w="2551" w:type="dxa"/>
            <w:tcBorders>
              <w:top w:val="single" w:sz="4" w:space="0" w:color="auto"/>
              <w:bottom w:val="single" w:sz="4" w:space="0" w:color="auto"/>
            </w:tcBorders>
          </w:tcPr>
          <w:p w14:paraId="1780A768" w14:textId="77777777" w:rsidR="00F0597D" w:rsidRPr="003D7A31" w:rsidRDefault="00F0597D" w:rsidP="00242188">
            <w:pPr>
              <w:rPr>
                <w:sz w:val="20"/>
                <w:szCs w:val="20"/>
              </w:rPr>
            </w:pPr>
            <w:proofErr w:type="spellStart"/>
            <w:r>
              <w:rPr>
                <w:rFonts w:hint="eastAsia"/>
                <w:sz w:val="20"/>
                <w:szCs w:val="20"/>
              </w:rPr>
              <w:t>i</w:t>
            </w:r>
            <w:r>
              <w:rPr>
                <w:sz w:val="20"/>
                <w:szCs w:val="20"/>
              </w:rPr>
              <w:t>PACK</w:t>
            </w:r>
            <w:proofErr w:type="spellEnd"/>
            <w:r>
              <w:rPr>
                <w:rFonts w:hint="eastAsia"/>
                <w:sz w:val="20"/>
                <w:szCs w:val="20"/>
              </w:rPr>
              <w:t xml:space="preserve"> group</w:t>
            </w:r>
          </w:p>
        </w:tc>
        <w:tc>
          <w:tcPr>
            <w:tcW w:w="2268" w:type="dxa"/>
            <w:tcBorders>
              <w:top w:val="single" w:sz="4" w:space="0" w:color="auto"/>
              <w:bottom w:val="single" w:sz="4" w:space="0" w:color="auto"/>
            </w:tcBorders>
          </w:tcPr>
          <w:p w14:paraId="3DA2F71B" w14:textId="77777777" w:rsidR="00F0597D" w:rsidRPr="003D7A31" w:rsidRDefault="00F0597D" w:rsidP="00242188">
            <w:pPr>
              <w:rPr>
                <w:sz w:val="20"/>
                <w:szCs w:val="20"/>
              </w:rPr>
            </w:pPr>
            <w:r>
              <w:rPr>
                <w:rFonts w:hint="eastAsia"/>
                <w:sz w:val="20"/>
                <w:szCs w:val="20"/>
              </w:rPr>
              <w:t>LIA group</w:t>
            </w:r>
          </w:p>
        </w:tc>
        <w:tc>
          <w:tcPr>
            <w:tcW w:w="1134" w:type="dxa"/>
            <w:tcBorders>
              <w:top w:val="single" w:sz="4" w:space="0" w:color="auto"/>
              <w:bottom w:val="single" w:sz="4" w:space="0" w:color="auto"/>
            </w:tcBorders>
          </w:tcPr>
          <w:p w14:paraId="2FEE94BC" w14:textId="77777777" w:rsidR="00F0597D" w:rsidRPr="003D7A31" w:rsidRDefault="00F0597D" w:rsidP="00242188">
            <w:pPr>
              <w:rPr>
                <w:sz w:val="20"/>
                <w:szCs w:val="20"/>
              </w:rPr>
            </w:pPr>
            <w:r>
              <w:rPr>
                <w:rFonts w:hint="eastAsia"/>
                <w:sz w:val="20"/>
                <w:szCs w:val="20"/>
              </w:rPr>
              <w:t>p</w:t>
            </w:r>
          </w:p>
        </w:tc>
      </w:tr>
      <w:tr w:rsidR="00F0597D" w14:paraId="0F9AE04E" w14:textId="77777777" w:rsidTr="00242188">
        <w:tc>
          <w:tcPr>
            <w:tcW w:w="2552" w:type="dxa"/>
            <w:tcBorders>
              <w:top w:val="single" w:sz="4" w:space="0" w:color="auto"/>
            </w:tcBorders>
          </w:tcPr>
          <w:p w14:paraId="40E97898" w14:textId="77777777" w:rsidR="00F0597D" w:rsidRPr="00A86C7E" w:rsidRDefault="00F0597D" w:rsidP="00242188">
            <w:pPr>
              <w:rPr>
                <w:rFonts w:eastAsia="MS Mincho"/>
                <w:sz w:val="20"/>
                <w:szCs w:val="20"/>
              </w:rPr>
            </w:pPr>
            <w:r w:rsidRPr="00A86C7E">
              <w:rPr>
                <w:rFonts w:eastAsia="MS Mincho"/>
                <w:sz w:val="20"/>
                <w:szCs w:val="20"/>
              </w:rPr>
              <w:t>Patients</w:t>
            </w:r>
            <w:r>
              <w:rPr>
                <w:rFonts w:eastAsia="MS Mincho"/>
                <w:sz w:val="20"/>
                <w:szCs w:val="20"/>
              </w:rPr>
              <w:t xml:space="preserve"> (n)</w:t>
            </w:r>
          </w:p>
        </w:tc>
        <w:tc>
          <w:tcPr>
            <w:tcW w:w="2551" w:type="dxa"/>
            <w:tcBorders>
              <w:top w:val="single" w:sz="4" w:space="0" w:color="auto"/>
            </w:tcBorders>
          </w:tcPr>
          <w:p w14:paraId="57C43EC0" w14:textId="77777777" w:rsidR="00F0597D" w:rsidRPr="003D7A31" w:rsidRDefault="00F0597D" w:rsidP="00242188">
            <w:pPr>
              <w:ind w:firstLineChars="100" w:firstLine="200"/>
              <w:rPr>
                <w:sz w:val="20"/>
                <w:szCs w:val="20"/>
              </w:rPr>
            </w:pPr>
            <w:r>
              <w:rPr>
                <w:rFonts w:hint="eastAsia"/>
                <w:sz w:val="20"/>
                <w:szCs w:val="20"/>
              </w:rPr>
              <w:t>25</w:t>
            </w:r>
          </w:p>
        </w:tc>
        <w:tc>
          <w:tcPr>
            <w:tcW w:w="2268" w:type="dxa"/>
            <w:tcBorders>
              <w:top w:val="single" w:sz="4" w:space="0" w:color="auto"/>
            </w:tcBorders>
          </w:tcPr>
          <w:p w14:paraId="1EA83C4B" w14:textId="77777777" w:rsidR="00F0597D" w:rsidRPr="003D7A31" w:rsidRDefault="00F0597D" w:rsidP="00242188">
            <w:pPr>
              <w:ind w:firstLineChars="100" w:firstLine="200"/>
              <w:rPr>
                <w:sz w:val="20"/>
                <w:szCs w:val="20"/>
              </w:rPr>
            </w:pPr>
            <w:r>
              <w:rPr>
                <w:rFonts w:hint="eastAsia"/>
                <w:sz w:val="20"/>
                <w:szCs w:val="20"/>
              </w:rPr>
              <w:t>25</w:t>
            </w:r>
          </w:p>
        </w:tc>
        <w:tc>
          <w:tcPr>
            <w:tcW w:w="1134" w:type="dxa"/>
            <w:tcBorders>
              <w:top w:val="single" w:sz="4" w:space="0" w:color="auto"/>
            </w:tcBorders>
          </w:tcPr>
          <w:p w14:paraId="371DDC58" w14:textId="77777777" w:rsidR="00F0597D" w:rsidRPr="003D7A31" w:rsidRDefault="00F0597D" w:rsidP="00242188">
            <w:pPr>
              <w:ind w:firstLineChars="50" w:firstLine="100"/>
              <w:rPr>
                <w:sz w:val="20"/>
                <w:szCs w:val="20"/>
              </w:rPr>
            </w:pPr>
          </w:p>
        </w:tc>
      </w:tr>
      <w:tr w:rsidR="00F0597D" w14:paraId="1362877F" w14:textId="77777777" w:rsidTr="00242188">
        <w:tc>
          <w:tcPr>
            <w:tcW w:w="2552" w:type="dxa"/>
          </w:tcPr>
          <w:p w14:paraId="439BDCFD" w14:textId="77777777" w:rsidR="00F0597D" w:rsidRPr="00340C48" w:rsidRDefault="00F0597D" w:rsidP="00242188">
            <w:pPr>
              <w:rPr>
                <w:rFonts w:eastAsia="MS Mincho"/>
                <w:sz w:val="20"/>
                <w:szCs w:val="20"/>
              </w:rPr>
            </w:pPr>
            <w:r w:rsidRPr="00340C48">
              <w:rPr>
                <w:rFonts w:eastAsia="MS Mincho"/>
                <w:sz w:val="20"/>
                <w:szCs w:val="20"/>
              </w:rPr>
              <w:t>Age (years)</w:t>
            </w:r>
          </w:p>
        </w:tc>
        <w:tc>
          <w:tcPr>
            <w:tcW w:w="2551" w:type="dxa"/>
          </w:tcPr>
          <w:p w14:paraId="4D79A8C8" w14:textId="77777777" w:rsidR="00F0597D" w:rsidRPr="00340C48" w:rsidRDefault="00F0597D" w:rsidP="00242188">
            <w:pPr>
              <w:ind w:firstLineChars="100" w:firstLine="200"/>
              <w:rPr>
                <w:sz w:val="20"/>
                <w:szCs w:val="20"/>
              </w:rPr>
            </w:pPr>
            <w:r>
              <w:rPr>
                <w:sz w:val="20"/>
                <w:szCs w:val="20"/>
              </w:rPr>
              <w:t>77 (71, 82</w:t>
            </w:r>
            <w:r w:rsidRPr="00340C48">
              <w:rPr>
                <w:sz w:val="20"/>
                <w:szCs w:val="20"/>
              </w:rPr>
              <w:t>)</w:t>
            </w:r>
          </w:p>
        </w:tc>
        <w:tc>
          <w:tcPr>
            <w:tcW w:w="2268" w:type="dxa"/>
          </w:tcPr>
          <w:p w14:paraId="4F4CD673" w14:textId="77777777" w:rsidR="00F0597D" w:rsidRPr="00340C48" w:rsidRDefault="00F0597D" w:rsidP="00242188">
            <w:pPr>
              <w:ind w:firstLineChars="100" w:firstLine="200"/>
              <w:rPr>
                <w:sz w:val="20"/>
                <w:szCs w:val="20"/>
              </w:rPr>
            </w:pPr>
            <w:r>
              <w:rPr>
                <w:sz w:val="20"/>
                <w:szCs w:val="20"/>
              </w:rPr>
              <w:t>77 (73, 82</w:t>
            </w:r>
            <w:r w:rsidRPr="00340C48">
              <w:rPr>
                <w:sz w:val="20"/>
                <w:szCs w:val="20"/>
              </w:rPr>
              <w:t>)</w:t>
            </w:r>
          </w:p>
        </w:tc>
        <w:tc>
          <w:tcPr>
            <w:tcW w:w="1134" w:type="dxa"/>
          </w:tcPr>
          <w:p w14:paraId="51CBD2CB" w14:textId="77777777" w:rsidR="00F0597D" w:rsidRPr="003D7A31" w:rsidRDefault="00F0597D" w:rsidP="00242188">
            <w:pPr>
              <w:ind w:firstLineChars="50" w:firstLine="100"/>
              <w:rPr>
                <w:sz w:val="20"/>
                <w:szCs w:val="20"/>
              </w:rPr>
            </w:pPr>
            <w:r>
              <w:rPr>
                <w:rFonts w:hint="eastAsia"/>
                <w:sz w:val="20"/>
                <w:szCs w:val="20"/>
              </w:rPr>
              <w:t>0.</w:t>
            </w:r>
            <w:r>
              <w:rPr>
                <w:sz w:val="20"/>
                <w:szCs w:val="20"/>
              </w:rPr>
              <w:t>91</w:t>
            </w:r>
          </w:p>
        </w:tc>
      </w:tr>
      <w:tr w:rsidR="00F0597D" w14:paraId="53DCD0FA" w14:textId="77777777" w:rsidTr="00242188">
        <w:tc>
          <w:tcPr>
            <w:tcW w:w="2552" w:type="dxa"/>
          </w:tcPr>
          <w:p w14:paraId="45F4CD22" w14:textId="77777777" w:rsidR="00F0597D" w:rsidRPr="00340C48" w:rsidRDefault="00F0597D" w:rsidP="00242188">
            <w:pPr>
              <w:rPr>
                <w:rFonts w:eastAsia="MS Mincho"/>
                <w:sz w:val="20"/>
                <w:szCs w:val="20"/>
              </w:rPr>
            </w:pPr>
            <w:r w:rsidRPr="00340C48">
              <w:rPr>
                <w:rFonts w:eastAsia="MS Mincho"/>
                <w:sz w:val="20"/>
                <w:szCs w:val="20"/>
              </w:rPr>
              <w:t>Height (cm)</w:t>
            </w:r>
          </w:p>
        </w:tc>
        <w:tc>
          <w:tcPr>
            <w:tcW w:w="2551" w:type="dxa"/>
          </w:tcPr>
          <w:p w14:paraId="5B6E5B74" w14:textId="77777777" w:rsidR="00F0597D" w:rsidRPr="00340C48" w:rsidRDefault="00F0597D" w:rsidP="00242188">
            <w:pPr>
              <w:ind w:firstLineChars="50" w:firstLine="100"/>
              <w:rPr>
                <w:sz w:val="20"/>
                <w:szCs w:val="20"/>
              </w:rPr>
            </w:pPr>
            <w:r>
              <w:rPr>
                <w:sz w:val="20"/>
                <w:szCs w:val="20"/>
              </w:rPr>
              <w:t>154 (148, 155</w:t>
            </w:r>
            <w:r w:rsidRPr="00340C48">
              <w:rPr>
                <w:sz w:val="20"/>
                <w:szCs w:val="20"/>
              </w:rPr>
              <w:t>)</w:t>
            </w:r>
          </w:p>
        </w:tc>
        <w:tc>
          <w:tcPr>
            <w:tcW w:w="2268" w:type="dxa"/>
          </w:tcPr>
          <w:p w14:paraId="33B763A2" w14:textId="77777777" w:rsidR="00F0597D" w:rsidRPr="00340C48" w:rsidRDefault="00F0597D" w:rsidP="00242188">
            <w:pPr>
              <w:ind w:firstLineChars="50" w:firstLine="100"/>
              <w:rPr>
                <w:sz w:val="20"/>
                <w:szCs w:val="20"/>
              </w:rPr>
            </w:pPr>
            <w:r>
              <w:rPr>
                <w:sz w:val="20"/>
                <w:szCs w:val="20"/>
              </w:rPr>
              <w:t>153</w:t>
            </w:r>
            <w:r w:rsidRPr="00340C48">
              <w:rPr>
                <w:sz w:val="20"/>
                <w:szCs w:val="20"/>
              </w:rPr>
              <w:t xml:space="preserve"> </w:t>
            </w:r>
            <w:r>
              <w:rPr>
                <w:sz w:val="20"/>
                <w:szCs w:val="20"/>
              </w:rPr>
              <w:t>(146, 158</w:t>
            </w:r>
            <w:r w:rsidRPr="00340C48">
              <w:rPr>
                <w:sz w:val="20"/>
                <w:szCs w:val="20"/>
              </w:rPr>
              <w:t>)</w:t>
            </w:r>
          </w:p>
        </w:tc>
        <w:tc>
          <w:tcPr>
            <w:tcW w:w="1134" w:type="dxa"/>
          </w:tcPr>
          <w:p w14:paraId="1D76064F" w14:textId="77777777" w:rsidR="00F0597D" w:rsidRPr="003D7A31" w:rsidRDefault="00F0597D" w:rsidP="00242188">
            <w:pPr>
              <w:ind w:firstLineChars="50" w:firstLine="100"/>
              <w:rPr>
                <w:sz w:val="20"/>
                <w:szCs w:val="20"/>
              </w:rPr>
            </w:pPr>
            <w:r>
              <w:rPr>
                <w:rFonts w:hint="eastAsia"/>
                <w:sz w:val="20"/>
                <w:szCs w:val="20"/>
              </w:rPr>
              <w:t>0.</w:t>
            </w:r>
            <w:r>
              <w:rPr>
                <w:sz w:val="20"/>
                <w:szCs w:val="20"/>
              </w:rPr>
              <w:t>89</w:t>
            </w:r>
          </w:p>
        </w:tc>
      </w:tr>
      <w:tr w:rsidR="00F0597D" w14:paraId="4FC21BB3" w14:textId="77777777" w:rsidTr="00242188">
        <w:tc>
          <w:tcPr>
            <w:tcW w:w="2552" w:type="dxa"/>
          </w:tcPr>
          <w:p w14:paraId="5949DD36" w14:textId="77777777" w:rsidR="00F0597D" w:rsidRPr="00340C48" w:rsidRDefault="00F0597D" w:rsidP="00242188">
            <w:pPr>
              <w:rPr>
                <w:rFonts w:eastAsia="MS Mincho"/>
                <w:sz w:val="20"/>
                <w:szCs w:val="20"/>
              </w:rPr>
            </w:pPr>
            <w:r w:rsidRPr="00340C48">
              <w:rPr>
                <w:rFonts w:eastAsia="MS Mincho"/>
                <w:sz w:val="20"/>
                <w:szCs w:val="20"/>
              </w:rPr>
              <w:t>Weight (kg)</w:t>
            </w:r>
          </w:p>
        </w:tc>
        <w:tc>
          <w:tcPr>
            <w:tcW w:w="2551" w:type="dxa"/>
          </w:tcPr>
          <w:p w14:paraId="01B84B05" w14:textId="77777777" w:rsidR="00F0597D" w:rsidRPr="00340C48" w:rsidRDefault="00F0597D" w:rsidP="00242188">
            <w:pPr>
              <w:ind w:firstLineChars="100" w:firstLine="200"/>
              <w:rPr>
                <w:sz w:val="20"/>
                <w:szCs w:val="20"/>
              </w:rPr>
            </w:pPr>
            <w:r>
              <w:rPr>
                <w:sz w:val="20"/>
                <w:szCs w:val="20"/>
              </w:rPr>
              <w:t>60 (58, 71</w:t>
            </w:r>
            <w:r w:rsidRPr="00340C48">
              <w:rPr>
                <w:sz w:val="20"/>
                <w:szCs w:val="20"/>
              </w:rPr>
              <w:t>)</w:t>
            </w:r>
          </w:p>
        </w:tc>
        <w:tc>
          <w:tcPr>
            <w:tcW w:w="2268" w:type="dxa"/>
          </w:tcPr>
          <w:p w14:paraId="1622AF99" w14:textId="77777777" w:rsidR="00F0597D" w:rsidRPr="00340C48" w:rsidRDefault="00F0597D" w:rsidP="00242188">
            <w:pPr>
              <w:ind w:firstLineChars="100" w:firstLine="200"/>
              <w:rPr>
                <w:sz w:val="20"/>
                <w:szCs w:val="20"/>
              </w:rPr>
            </w:pPr>
            <w:r>
              <w:rPr>
                <w:sz w:val="20"/>
                <w:szCs w:val="20"/>
              </w:rPr>
              <w:t>60 (54, 69</w:t>
            </w:r>
            <w:r w:rsidRPr="00340C48">
              <w:rPr>
                <w:sz w:val="20"/>
                <w:szCs w:val="20"/>
              </w:rPr>
              <w:t>)</w:t>
            </w:r>
          </w:p>
        </w:tc>
        <w:tc>
          <w:tcPr>
            <w:tcW w:w="1134" w:type="dxa"/>
          </w:tcPr>
          <w:p w14:paraId="4BB73D93" w14:textId="77777777" w:rsidR="00F0597D" w:rsidRPr="003D7A31" w:rsidRDefault="00F0597D" w:rsidP="00242188">
            <w:pPr>
              <w:ind w:firstLineChars="50" w:firstLine="100"/>
              <w:rPr>
                <w:sz w:val="20"/>
                <w:szCs w:val="20"/>
              </w:rPr>
            </w:pPr>
            <w:r>
              <w:rPr>
                <w:rFonts w:hint="eastAsia"/>
                <w:sz w:val="20"/>
                <w:szCs w:val="20"/>
              </w:rPr>
              <w:t>0.</w:t>
            </w:r>
            <w:r>
              <w:rPr>
                <w:sz w:val="20"/>
                <w:szCs w:val="20"/>
              </w:rPr>
              <w:t>27</w:t>
            </w:r>
          </w:p>
        </w:tc>
      </w:tr>
      <w:tr w:rsidR="00F0597D" w14:paraId="4CBEBD79" w14:textId="77777777" w:rsidTr="00242188">
        <w:tc>
          <w:tcPr>
            <w:tcW w:w="2552" w:type="dxa"/>
          </w:tcPr>
          <w:p w14:paraId="64AD800F" w14:textId="77777777" w:rsidR="00F0597D" w:rsidRPr="00340C48" w:rsidRDefault="00F0597D" w:rsidP="00242188">
            <w:pPr>
              <w:rPr>
                <w:rFonts w:eastAsia="MS Mincho"/>
                <w:sz w:val="20"/>
                <w:szCs w:val="20"/>
              </w:rPr>
            </w:pPr>
            <w:r w:rsidRPr="00340C48">
              <w:rPr>
                <w:rFonts w:eastAsia="MS Mincho"/>
                <w:sz w:val="20"/>
                <w:szCs w:val="20"/>
              </w:rPr>
              <w:t>BMI (kg/m</w:t>
            </w:r>
            <w:r w:rsidRPr="00340C48">
              <w:rPr>
                <w:rFonts w:eastAsia="MS Mincho"/>
                <w:sz w:val="20"/>
                <w:szCs w:val="20"/>
                <w:vertAlign w:val="superscript"/>
              </w:rPr>
              <w:t>2</w:t>
            </w:r>
            <w:r w:rsidRPr="00340C48">
              <w:rPr>
                <w:rFonts w:eastAsia="MS Mincho"/>
                <w:sz w:val="20"/>
                <w:szCs w:val="20"/>
              </w:rPr>
              <w:t>)</w:t>
            </w:r>
          </w:p>
        </w:tc>
        <w:tc>
          <w:tcPr>
            <w:tcW w:w="2551" w:type="dxa"/>
          </w:tcPr>
          <w:p w14:paraId="6F16BE13" w14:textId="77777777" w:rsidR="00F0597D" w:rsidRPr="00340C48" w:rsidRDefault="00F0597D" w:rsidP="00242188">
            <w:pPr>
              <w:ind w:firstLineChars="50" w:firstLine="100"/>
              <w:rPr>
                <w:sz w:val="20"/>
                <w:szCs w:val="20"/>
              </w:rPr>
            </w:pPr>
            <w:r>
              <w:rPr>
                <w:sz w:val="20"/>
                <w:szCs w:val="20"/>
              </w:rPr>
              <w:t>26.2 (24.9, 30.0</w:t>
            </w:r>
            <w:r w:rsidRPr="00340C48">
              <w:rPr>
                <w:sz w:val="20"/>
                <w:szCs w:val="20"/>
              </w:rPr>
              <w:t>)</w:t>
            </w:r>
          </w:p>
        </w:tc>
        <w:tc>
          <w:tcPr>
            <w:tcW w:w="2268" w:type="dxa"/>
          </w:tcPr>
          <w:p w14:paraId="5686DE0E" w14:textId="77777777" w:rsidR="00F0597D" w:rsidRPr="00340C48" w:rsidRDefault="00F0597D" w:rsidP="00242188">
            <w:pPr>
              <w:ind w:firstLineChars="50" w:firstLine="100"/>
              <w:rPr>
                <w:sz w:val="20"/>
                <w:szCs w:val="20"/>
              </w:rPr>
            </w:pPr>
            <w:r>
              <w:rPr>
                <w:sz w:val="20"/>
                <w:szCs w:val="20"/>
              </w:rPr>
              <w:t>25.6 (24.0, 27.4</w:t>
            </w:r>
            <w:r w:rsidRPr="00340C48">
              <w:rPr>
                <w:sz w:val="20"/>
                <w:szCs w:val="20"/>
              </w:rPr>
              <w:t>)</w:t>
            </w:r>
          </w:p>
        </w:tc>
        <w:tc>
          <w:tcPr>
            <w:tcW w:w="1134" w:type="dxa"/>
          </w:tcPr>
          <w:p w14:paraId="0F01A25F" w14:textId="77777777" w:rsidR="00F0597D" w:rsidRPr="003D7A31" w:rsidRDefault="00F0597D" w:rsidP="00242188">
            <w:pPr>
              <w:ind w:firstLineChars="50" w:firstLine="100"/>
              <w:rPr>
                <w:sz w:val="20"/>
                <w:szCs w:val="20"/>
              </w:rPr>
            </w:pPr>
            <w:r>
              <w:rPr>
                <w:rFonts w:hint="eastAsia"/>
                <w:sz w:val="20"/>
                <w:szCs w:val="20"/>
              </w:rPr>
              <w:t>0.</w:t>
            </w:r>
            <w:r>
              <w:rPr>
                <w:sz w:val="20"/>
                <w:szCs w:val="20"/>
              </w:rPr>
              <w:t>20</w:t>
            </w:r>
          </w:p>
        </w:tc>
      </w:tr>
      <w:tr w:rsidR="00F0597D" w14:paraId="52931ADA" w14:textId="77777777" w:rsidTr="00242188">
        <w:tc>
          <w:tcPr>
            <w:tcW w:w="2552" w:type="dxa"/>
          </w:tcPr>
          <w:p w14:paraId="4C77B62E" w14:textId="77777777" w:rsidR="00F0597D" w:rsidRPr="00340C48" w:rsidRDefault="00F0597D" w:rsidP="00242188">
            <w:pPr>
              <w:rPr>
                <w:rFonts w:eastAsia="MS Mincho"/>
                <w:sz w:val="20"/>
                <w:szCs w:val="20"/>
              </w:rPr>
            </w:pPr>
            <w:r w:rsidRPr="00340C48">
              <w:rPr>
                <w:rFonts w:eastAsia="MS Mincho"/>
                <w:sz w:val="20"/>
                <w:szCs w:val="20"/>
              </w:rPr>
              <w:t>Male gender</w:t>
            </w:r>
          </w:p>
        </w:tc>
        <w:tc>
          <w:tcPr>
            <w:tcW w:w="2551" w:type="dxa"/>
          </w:tcPr>
          <w:p w14:paraId="2794D9C8" w14:textId="77777777" w:rsidR="00F0597D" w:rsidRPr="00340C48" w:rsidRDefault="00F0597D" w:rsidP="00242188">
            <w:pPr>
              <w:ind w:firstLineChars="150" w:firstLine="300"/>
              <w:rPr>
                <w:sz w:val="20"/>
                <w:szCs w:val="20"/>
              </w:rPr>
            </w:pPr>
            <w:r>
              <w:rPr>
                <w:sz w:val="20"/>
                <w:szCs w:val="20"/>
              </w:rPr>
              <w:t>5</w:t>
            </w:r>
          </w:p>
        </w:tc>
        <w:tc>
          <w:tcPr>
            <w:tcW w:w="2268" w:type="dxa"/>
          </w:tcPr>
          <w:p w14:paraId="147383AF" w14:textId="77777777" w:rsidR="00F0597D" w:rsidRPr="00340C48" w:rsidRDefault="00F0597D" w:rsidP="00242188">
            <w:pPr>
              <w:ind w:firstLineChars="150" w:firstLine="300"/>
              <w:rPr>
                <w:sz w:val="20"/>
                <w:szCs w:val="20"/>
              </w:rPr>
            </w:pPr>
            <w:r>
              <w:rPr>
                <w:sz w:val="20"/>
                <w:szCs w:val="20"/>
              </w:rPr>
              <w:t>7</w:t>
            </w:r>
          </w:p>
        </w:tc>
        <w:tc>
          <w:tcPr>
            <w:tcW w:w="1134" w:type="dxa"/>
          </w:tcPr>
          <w:p w14:paraId="2E8F82A1" w14:textId="77777777" w:rsidR="00F0597D" w:rsidRPr="003D7A31" w:rsidRDefault="00F0597D" w:rsidP="00242188">
            <w:pPr>
              <w:ind w:firstLineChars="50" w:firstLine="100"/>
              <w:rPr>
                <w:sz w:val="20"/>
                <w:szCs w:val="20"/>
              </w:rPr>
            </w:pPr>
            <w:r>
              <w:rPr>
                <w:rFonts w:hint="eastAsia"/>
                <w:sz w:val="20"/>
                <w:szCs w:val="20"/>
              </w:rPr>
              <w:t>0.</w:t>
            </w:r>
            <w:r>
              <w:rPr>
                <w:sz w:val="20"/>
                <w:szCs w:val="20"/>
              </w:rPr>
              <w:t>74</w:t>
            </w:r>
          </w:p>
        </w:tc>
      </w:tr>
      <w:tr w:rsidR="00F0597D" w14:paraId="159EA479" w14:textId="77777777" w:rsidTr="00242188">
        <w:tc>
          <w:tcPr>
            <w:tcW w:w="2552" w:type="dxa"/>
          </w:tcPr>
          <w:p w14:paraId="7079F828" w14:textId="77777777" w:rsidR="00F0597D" w:rsidRPr="00340C48" w:rsidRDefault="00F0597D" w:rsidP="00242188">
            <w:pPr>
              <w:rPr>
                <w:rFonts w:eastAsia="MS Mincho"/>
                <w:sz w:val="20"/>
                <w:szCs w:val="20"/>
              </w:rPr>
            </w:pPr>
            <w:r>
              <w:rPr>
                <w:rFonts w:eastAsia="MS Mincho"/>
                <w:sz w:val="20"/>
                <w:szCs w:val="20"/>
              </w:rPr>
              <w:t xml:space="preserve">Anesthetic time </w:t>
            </w:r>
            <w:r w:rsidRPr="00340C48">
              <w:rPr>
                <w:rFonts w:eastAsia="MS Mincho"/>
                <w:sz w:val="20"/>
                <w:szCs w:val="20"/>
              </w:rPr>
              <w:t>(min)</w:t>
            </w:r>
          </w:p>
        </w:tc>
        <w:tc>
          <w:tcPr>
            <w:tcW w:w="2551" w:type="dxa"/>
          </w:tcPr>
          <w:p w14:paraId="12320401" w14:textId="77777777" w:rsidR="00F0597D" w:rsidRPr="00835011" w:rsidRDefault="00F0597D" w:rsidP="00242188">
            <w:pPr>
              <w:ind w:firstLineChars="50" w:firstLine="100"/>
              <w:rPr>
                <w:sz w:val="20"/>
                <w:szCs w:val="20"/>
              </w:rPr>
            </w:pPr>
            <w:r>
              <w:rPr>
                <w:rFonts w:hint="eastAsia"/>
                <w:sz w:val="20"/>
                <w:szCs w:val="20"/>
              </w:rPr>
              <w:t>1</w:t>
            </w:r>
            <w:r>
              <w:rPr>
                <w:sz w:val="20"/>
                <w:szCs w:val="20"/>
              </w:rPr>
              <w:t>68</w:t>
            </w:r>
            <w:r>
              <w:rPr>
                <w:rFonts w:hint="eastAsia"/>
                <w:sz w:val="20"/>
                <w:szCs w:val="20"/>
              </w:rPr>
              <w:t xml:space="preserve"> (1</w:t>
            </w:r>
            <w:r>
              <w:rPr>
                <w:sz w:val="20"/>
                <w:szCs w:val="20"/>
              </w:rPr>
              <w:t>49</w:t>
            </w:r>
            <w:r>
              <w:rPr>
                <w:rFonts w:hint="eastAsia"/>
                <w:sz w:val="20"/>
                <w:szCs w:val="20"/>
              </w:rPr>
              <w:t xml:space="preserve">, </w:t>
            </w:r>
            <w:r>
              <w:rPr>
                <w:sz w:val="20"/>
                <w:szCs w:val="20"/>
              </w:rPr>
              <w:t>191</w:t>
            </w:r>
            <w:r w:rsidRPr="00835011">
              <w:rPr>
                <w:rFonts w:hint="eastAsia"/>
                <w:sz w:val="20"/>
                <w:szCs w:val="20"/>
              </w:rPr>
              <w:t>)</w:t>
            </w:r>
          </w:p>
        </w:tc>
        <w:tc>
          <w:tcPr>
            <w:tcW w:w="2268" w:type="dxa"/>
          </w:tcPr>
          <w:p w14:paraId="23D05C61" w14:textId="77777777" w:rsidR="00F0597D" w:rsidRPr="00835011" w:rsidRDefault="00F0597D" w:rsidP="00242188">
            <w:pPr>
              <w:ind w:firstLineChars="50" w:firstLine="100"/>
              <w:rPr>
                <w:sz w:val="20"/>
                <w:szCs w:val="20"/>
              </w:rPr>
            </w:pPr>
            <w:r>
              <w:rPr>
                <w:rFonts w:hint="eastAsia"/>
                <w:sz w:val="20"/>
                <w:szCs w:val="20"/>
              </w:rPr>
              <w:t>1</w:t>
            </w:r>
            <w:r>
              <w:rPr>
                <w:sz w:val="20"/>
                <w:szCs w:val="20"/>
              </w:rPr>
              <w:t>75</w:t>
            </w:r>
            <w:r>
              <w:rPr>
                <w:rFonts w:hint="eastAsia"/>
                <w:sz w:val="20"/>
                <w:szCs w:val="20"/>
              </w:rPr>
              <w:t xml:space="preserve"> (</w:t>
            </w:r>
            <w:r>
              <w:rPr>
                <w:sz w:val="20"/>
                <w:szCs w:val="20"/>
              </w:rPr>
              <w:t>157</w:t>
            </w:r>
            <w:r>
              <w:rPr>
                <w:rFonts w:hint="eastAsia"/>
                <w:sz w:val="20"/>
                <w:szCs w:val="20"/>
              </w:rPr>
              <w:t xml:space="preserve">, </w:t>
            </w:r>
            <w:r>
              <w:rPr>
                <w:sz w:val="20"/>
                <w:szCs w:val="20"/>
              </w:rPr>
              <w:t>195</w:t>
            </w:r>
            <w:r w:rsidRPr="00835011">
              <w:rPr>
                <w:rFonts w:hint="eastAsia"/>
                <w:sz w:val="20"/>
                <w:szCs w:val="20"/>
              </w:rPr>
              <w:t>)</w:t>
            </w:r>
          </w:p>
        </w:tc>
        <w:tc>
          <w:tcPr>
            <w:tcW w:w="1134" w:type="dxa"/>
          </w:tcPr>
          <w:p w14:paraId="0B74A9B1" w14:textId="77777777" w:rsidR="00F0597D" w:rsidRPr="00835011" w:rsidRDefault="00F0597D" w:rsidP="00242188">
            <w:pPr>
              <w:ind w:firstLineChars="50" w:firstLine="100"/>
              <w:rPr>
                <w:sz w:val="20"/>
                <w:szCs w:val="20"/>
              </w:rPr>
            </w:pPr>
            <w:r>
              <w:rPr>
                <w:rFonts w:hint="eastAsia"/>
                <w:sz w:val="20"/>
                <w:szCs w:val="20"/>
              </w:rPr>
              <w:t>0.</w:t>
            </w:r>
            <w:r>
              <w:rPr>
                <w:sz w:val="20"/>
                <w:szCs w:val="20"/>
              </w:rPr>
              <w:t>59</w:t>
            </w:r>
          </w:p>
        </w:tc>
      </w:tr>
      <w:tr w:rsidR="00F0597D" w14:paraId="51DF32F3" w14:textId="77777777" w:rsidTr="00242188">
        <w:tc>
          <w:tcPr>
            <w:tcW w:w="2552" w:type="dxa"/>
          </w:tcPr>
          <w:p w14:paraId="02188024" w14:textId="77777777" w:rsidR="00F0597D" w:rsidRPr="00340C48" w:rsidRDefault="00F0597D" w:rsidP="00242188">
            <w:pPr>
              <w:rPr>
                <w:rFonts w:eastAsia="MS Mincho"/>
                <w:sz w:val="20"/>
                <w:szCs w:val="20"/>
              </w:rPr>
            </w:pPr>
            <w:r>
              <w:rPr>
                <w:rFonts w:eastAsia="MS Mincho"/>
                <w:sz w:val="20"/>
                <w:szCs w:val="20"/>
              </w:rPr>
              <w:t>Operative time</w:t>
            </w:r>
            <w:r w:rsidRPr="00340C48">
              <w:rPr>
                <w:rFonts w:eastAsia="MS Mincho"/>
                <w:sz w:val="20"/>
                <w:szCs w:val="20"/>
              </w:rPr>
              <w:t xml:space="preserve"> (min)</w:t>
            </w:r>
          </w:p>
        </w:tc>
        <w:tc>
          <w:tcPr>
            <w:tcW w:w="2551" w:type="dxa"/>
          </w:tcPr>
          <w:p w14:paraId="00F891D1" w14:textId="77777777" w:rsidR="00F0597D" w:rsidRPr="00835011" w:rsidRDefault="00F0597D" w:rsidP="00242188">
            <w:pPr>
              <w:ind w:firstLineChars="100" w:firstLine="200"/>
              <w:rPr>
                <w:sz w:val="20"/>
                <w:szCs w:val="20"/>
              </w:rPr>
            </w:pPr>
            <w:r>
              <w:rPr>
                <w:sz w:val="20"/>
                <w:szCs w:val="20"/>
              </w:rPr>
              <w:t>91</w:t>
            </w:r>
            <w:r>
              <w:rPr>
                <w:rFonts w:hint="eastAsia"/>
                <w:sz w:val="20"/>
                <w:szCs w:val="20"/>
              </w:rPr>
              <w:t xml:space="preserve"> </w:t>
            </w:r>
            <w:proofErr w:type="gramStart"/>
            <w:r>
              <w:rPr>
                <w:rFonts w:hint="eastAsia"/>
                <w:sz w:val="20"/>
                <w:szCs w:val="20"/>
              </w:rPr>
              <w:t>(</w:t>
            </w:r>
            <w:r>
              <w:rPr>
                <w:sz w:val="20"/>
                <w:szCs w:val="20"/>
              </w:rPr>
              <w:t xml:space="preserve"> 80</w:t>
            </w:r>
            <w:proofErr w:type="gramEnd"/>
            <w:r w:rsidRPr="00835011">
              <w:rPr>
                <w:rFonts w:hint="eastAsia"/>
                <w:sz w:val="20"/>
                <w:szCs w:val="20"/>
              </w:rPr>
              <w:t xml:space="preserve">, </w:t>
            </w:r>
            <w:r>
              <w:rPr>
                <w:rFonts w:hint="eastAsia"/>
                <w:sz w:val="20"/>
                <w:szCs w:val="20"/>
              </w:rPr>
              <w:t>1</w:t>
            </w:r>
            <w:r>
              <w:rPr>
                <w:sz w:val="20"/>
                <w:szCs w:val="20"/>
              </w:rPr>
              <w:t>12</w:t>
            </w:r>
            <w:r w:rsidRPr="00835011">
              <w:rPr>
                <w:rFonts w:hint="eastAsia"/>
                <w:sz w:val="20"/>
                <w:szCs w:val="20"/>
              </w:rPr>
              <w:t>)</w:t>
            </w:r>
          </w:p>
        </w:tc>
        <w:tc>
          <w:tcPr>
            <w:tcW w:w="2268" w:type="dxa"/>
          </w:tcPr>
          <w:p w14:paraId="5AFE9CE6" w14:textId="77777777" w:rsidR="00F0597D" w:rsidRPr="00835011" w:rsidRDefault="00F0597D" w:rsidP="00242188">
            <w:pPr>
              <w:ind w:firstLineChars="50" w:firstLine="100"/>
              <w:rPr>
                <w:sz w:val="20"/>
                <w:szCs w:val="20"/>
              </w:rPr>
            </w:pPr>
            <w:r>
              <w:rPr>
                <w:sz w:val="20"/>
                <w:szCs w:val="20"/>
              </w:rPr>
              <w:t>103</w:t>
            </w:r>
            <w:r>
              <w:rPr>
                <w:rFonts w:hint="eastAsia"/>
                <w:sz w:val="20"/>
                <w:szCs w:val="20"/>
              </w:rPr>
              <w:t xml:space="preserve"> (</w:t>
            </w:r>
            <w:r>
              <w:rPr>
                <w:sz w:val="20"/>
                <w:szCs w:val="20"/>
              </w:rPr>
              <w:t>86</w:t>
            </w:r>
            <w:r>
              <w:rPr>
                <w:rFonts w:hint="eastAsia"/>
                <w:sz w:val="20"/>
                <w:szCs w:val="20"/>
              </w:rPr>
              <w:t>, 1</w:t>
            </w:r>
            <w:r>
              <w:rPr>
                <w:sz w:val="20"/>
                <w:szCs w:val="20"/>
              </w:rPr>
              <w:t>20</w:t>
            </w:r>
            <w:r w:rsidRPr="00835011">
              <w:rPr>
                <w:rFonts w:hint="eastAsia"/>
                <w:sz w:val="20"/>
                <w:szCs w:val="20"/>
              </w:rPr>
              <w:t>)</w:t>
            </w:r>
          </w:p>
        </w:tc>
        <w:tc>
          <w:tcPr>
            <w:tcW w:w="1134" w:type="dxa"/>
          </w:tcPr>
          <w:p w14:paraId="74D60733" w14:textId="77777777" w:rsidR="00F0597D" w:rsidRPr="00835011" w:rsidRDefault="00F0597D" w:rsidP="00242188">
            <w:pPr>
              <w:ind w:firstLineChars="50" w:firstLine="100"/>
              <w:rPr>
                <w:sz w:val="20"/>
                <w:szCs w:val="20"/>
              </w:rPr>
            </w:pPr>
            <w:r>
              <w:rPr>
                <w:rFonts w:hint="eastAsia"/>
                <w:sz w:val="20"/>
                <w:szCs w:val="20"/>
              </w:rPr>
              <w:t>0.</w:t>
            </w:r>
            <w:r>
              <w:rPr>
                <w:sz w:val="20"/>
                <w:szCs w:val="20"/>
              </w:rPr>
              <w:t>35</w:t>
            </w:r>
          </w:p>
        </w:tc>
      </w:tr>
      <w:tr w:rsidR="00F0597D" w14:paraId="0F1E38A0" w14:textId="77777777" w:rsidTr="00242188">
        <w:tc>
          <w:tcPr>
            <w:tcW w:w="2552" w:type="dxa"/>
            <w:tcBorders>
              <w:bottom w:val="single" w:sz="4" w:space="0" w:color="auto"/>
            </w:tcBorders>
          </w:tcPr>
          <w:p w14:paraId="7AB28531" w14:textId="77777777" w:rsidR="00F0597D" w:rsidRPr="00340C48" w:rsidRDefault="00F0597D" w:rsidP="00242188">
            <w:pPr>
              <w:rPr>
                <w:rFonts w:eastAsia="MS Mincho"/>
                <w:sz w:val="20"/>
                <w:szCs w:val="20"/>
              </w:rPr>
            </w:pPr>
            <w:r w:rsidRPr="00340C48">
              <w:rPr>
                <w:rFonts w:eastAsia="MS Mincho"/>
                <w:sz w:val="20"/>
                <w:szCs w:val="20"/>
              </w:rPr>
              <w:t>Operative blood loss (g)</w:t>
            </w:r>
          </w:p>
        </w:tc>
        <w:tc>
          <w:tcPr>
            <w:tcW w:w="2551" w:type="dxa"/>
            <w:tcBorders>
              <w:bottom w:val="single" w:sz="4" w:space="0" w:color="auto"/>
            </w:tcBorders>
          </w:tcPr>
          <w:p w14:paraId="2DAC9EBD" w14:textId="77777777" w:rsidR="00F0597D" w:rsidRPr="00835011" w:rsidRDefault="00F0597D" w:rsidP="00242188">
            <w:pPr>
              <w:ind w:firstLineChars="100" w:firstLine="200"/>
              <w:rPr>
                <w:sz w:val="20"/>
                <w:szCs w:val="20"/>
              </w:rPr>
            </w:pPr>
            <w:r>
              <w:rPr>
                <w:sz w:val="20"/>
                <w:szCs w:val="20"/>
              </w:rPr>
              <w:t xml:space="preserve">10 </w:t>
            </w:r>
            <w:r w:rsidRPr="00835011">
              <w:rPr>
                <w:rFonts w:hint="eastAsia"/>
                <w:sz w:val="20"/>
                <w:szCs w:val="20"/>
              </w:rPr>
              <w:t>(</w:t>
            </w:r>
            <w:r>
              <w:rPr>
                <w:sz w:val="20"/>
                <w:szCs w:val="20"/>
              </w:rPr>
              <w:t>5</w:t>
            </w:r>
            <w:r>
              <w:rPr>
                <w:rFonts w:hint="eastAsia"/>
                <w:sz w:val="20"/>
                <w:szCs w:val="20"/>
              </w:rPr>
              <w:t xml:space="preserve">, </w:t>
            </w:r>
            <w:r>
              <w:rPr>
                <w:sz w:val="20"/>
                <w:szCs w:val="20"/>
              </w:rPr>
              <w:t>16</w:t>
            </w:r>
            <w:r w:rsidRPr="00835011">
              <w:rPr>
                <w:rFonts w:hint="eastAsia"/>
                <w:sz w:val="20"/>
                <w:szCs w:val="20"/>
              </w:rPr>
              <w:t>)</w:t>
            </w:r>
          </w:p>
        </w:tc>
        <w:tc>
          <w:tcPr>
            <w:tcW w:w="2268" w:type="dxa"/>
            <w:tcBorders>
              <w:bottom w:val="single" w:sz="4" w:space="0" w:color="auto"/>
            </w:tcBorders>
          </w:tcPr>
          <w:p w14:paraId="52528EE7" w14:textId="77777777" w:rsidR="00F0597D" w:rsidRPr="00835011" w:rsidRDefault="00F0597D" w:rsidP="00242188">
            <w:pPr>
              <w:ind w:firstLineChars="150" w:firstLine="300"/>
              <w:rPr>
                <w:sz w:val="20"/>
                <w:szCs w:val="20"/>
              </w:rPr>
            </w:pPr>
            <w:r>
              <w:rPr>
                <w:sz w:val="20"/>
                <w:szCs w:val="20"/>
              </w:rPr>
              <w:t>5</w:t>
            </w:r>
            <w:r>
              <w:rPr>
                <w:rFonts w:hint="eastAsia"/>
                <w:sz w:val="20"/>
                <w:szCs w:val="20"/>
              </w:rPr>
              <w:t xml:space="preserve"> (</w:t>
            </w:r>
            <w:r>
              <w:rPr>
                <w:sz w:val="20"/>
                <w:szCs w:val="20"/>
              </w:rPr>
              <w:t>5</w:t>
            </w:r>
            <w:r>
              <w:rPr>
                <w:rFonts w:hint="eastAsia"/>
                <w:sz w:val="20"/>
                <w:szCs w:val="20"/>
              </w:rPr>
              <w:t xml:space="preserve">, </w:t>
            </w:r>
            <w:r>
              <w:rPr>
                <w:sz w:val="20"/>
                <w:szCs w:val="20"/>
              </w:rPr>
              <w:t>13</w:t>
            </w:r>
            <w:r w:rsidRPr="00835011">
              <w:rPr>
                <w:rFonts w:hint="eastAsia"/>
                <w:sz w:val="20"/>
                <w:szCs w:val="20"/>
              </w:rPr>
              <w:t>)</w:t>
            </w:r>
          </w:p>
        </w:tc>
        <w:tc>
          <w:tcPr>
            <w:tcW w:w="1134" w:type="dxa"/>
            <w:tcBorders>
              <w:bottom w:val="single" w:sz="4" w:space="0" w:color="auto"/>
            </w:tcBorders>
          </w:tcPr>
          <w:p w14:paraId="44411061" w14:textId="77777777" w:rsidR="00F0597D" w:rsidRPr="00835011" w:rsidRDefault="00F0597D" w:rsidP="00242188">
            <w:pPr>
              <w:ind w:firstLineChars="50" w:firstLine="100"/>
              <w:rPr>
                <w:sz w:val="20"/>
                <w:szCs w:val="20"/>
              </w:rPr>
            </w:pPr>
            <w:r>
              <w:rPr>
                <w:sz w:val="20"/>
                <w:szCs w:val="20"/>
              </w:rPr>
              <w:t>0.55</w:t>
            </w:r>
          </w:p>
        </w:tc>
      </w:tr>
    </w:tbl>
    <w:p w14:paraId="156F0E5F" w14:textId="25C866B2" w:rsidR="00F0597D" w:rsidRDefault="00F0597D" w:rsidP="00F0597D">
      <w:pPr>
        <w:rPr>
          <w:rFonts w:asciiTheme="majorHAnsi" w:hAnsiTheme="majorHAnsi" w:cstheme="majorHAnsi"/>
          <w:noProof/>
          <w:sz w:val="20"/>
          <w:szCs w:val="20"/>
        </w:rPr>
      </w:pPr>
      <w:r>
        <w:rPr>
          <w:rFonts w:hint="eastAsia"/>
        </w:rPr>
        <w:t>Values are median (IQR) or number.</w:t>
      </w:r>
      <w:r>
        <w:t xml:space="preserve"> </w:t>
      </w:r>
      <w:proofErr w:type="spellStart"/>
      <w:r>
        <w:t>iPACK</w:t>
      </w:r>
      <w:proofErr w:type="spellEnd"/>
      <w:r>
        <w:t xml:space="preserve">, </w:t>
      </w:r>
      <w:r w:rsidRPr="006C5A56">
        <w:t>The infiltration between the Popliteal</w:t>
      </w:r>
      <w:r>
        <w:t xml:space="preserve"> Artery and Capsule of the Knee; LIA, local infiltration anesthesia; BMI, body mass index; n, number; </w:t>
      </w:r>
    </w:p>
    <w:p w14:paraId="14188D63" w14:textId="75F2F497" w:rsidR="00EA48AC" w:rsidRDefault="00EA48AC" w:rsidP="005E422E">
      <w:pPr>
        <w:spacing w:line="480" w:lineRule="auto"/>
        <w:rPr>
          <w:rFonts w:asciiTheme="majorHAnsi" w:hAnsiTheme="majorHAnsi" w:cstheme="majorHAnsi"/>
          <w:noProof/>
          <w:sz w:val="20"/>
          <w:szCs w:val="20"/>
        </w:rPr>
      </w:pPr>
    </w:p>
    <w:p w14:paraId="1D50623C" w14:textId="68D91BA2" w:rsidR="00427825" w:rsidRDefault="00B64B50" w:rsidP="005E422E">
      <w:pPr>
        <w:spacing w:line="480" w:lineRule="auto"/>
        <w:ind w:firstLine="840"/>
      </w:pPr>
      <w:r w:rsidRPr="00B64B50">
        <w:t>Repeated-measures ANOVA revealed no significant differences in the NRS scores between the groups during the study period (Fig. 1). The NRS score at 18h postoperatively was higher in Group I than that at 0 h in Group B.</w:t>
      </w:r>
    </w:p>
    <w:p w14:paraId="745F9C59" w14:textId="41741298" w:rsidR="00F0597D" w:rsidRDefault="009A2EA2" w:rsidP="00F0597D">
      <w:r>
        <w:rPr>
          <w:noProof/>
        </w:rPr>
        <w:lastRenderedPageBreak/>
        <w:drawing>
          <wp:inline distT="0" distB="0" distL="0" distR="0" wp14:anchorId="1CFA1A93" wp14:editId="0A98E71F">
            <wp:extent cx="5295900" cy="5387883"/>
            <wp:effectExtent l="0" t="0" r="0" b="381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350589" cy="5443522"/>
                    </a:xfrm>
                    <a:prstGeom prst="rect">
                      <a:avLst/>
                    </a:prstGeom>
                    <a:noFill/>
                    <a:ln>
                      <a:noFill/>
                    </a:ln>
                  </pic:spPr>
                </pic:pic>
              </a:graphicData>
            </a:graphic>
          </wp:inline>
        </w:drawing>
      </w:r>
    </w:p>
    <w:p w14:paraId="18E8C245" w14:textId="77777777" w:rsidR="00B64B50" w:rsidRPr="009B4061" w:rsidRDefault="00DB589B" w:rsidP="00B64B50">
      <w:pPr>
        <w:spacing w:line="480" w:lineRule="auto"/>
        <w:rPr>
          <w:rFonts w:ascii="Arial" w:hAnsi="Arial" w:cs="Arial"/>
          <w:sz w:val="20"/>
          <w:szCs w:val="20"/>
        </w:rPr>
      </w:pPr>
      <w:r>
        <w:tab/>
      </w:r>
      <w:r w:rsidR="00B64B50">
        <w:t xml:space="preserve">Table 2 shows </w:t>
      </w:r>
      <w:r w:rsidR="00B64B50">
        <w:rPr>
          <w:rFonts w:ascii="Century" w:eastAsia="MS Mincho" w:hAnsi="Century" w:cs="Arial"/>
        </w:rPr>
        <w:t xml:space="preserve">that </w:t>
      </w:r>
      <w:r w:rsidR="00B64B50" w:rsidRPr="00DB589B">
        <w:t>no significant differences in the frequency of rescue analgesics</w:t>
      </w:r>
      <w:r w:rsidR="00B64B50">
        <w:t xml:space="preserve"> and PONV incidence was observed </w:t>
      </w:r>
      <w:r w:rsidR="00B64B50" w:rsidRPr="00DB589B">
        <w:t>between the groups</w:t>
      </w:r>
      <w:r w:rsidR="00B64B50">
        <w:rPr>
          <w:rFonts w:ascii="Century" w:eastAsia="MS Mincho" w:hAnsi="Century" w:cs="Arial"/>
        </w:rPr>
        <w:t xml:space="preserve"> during the study period.</w:t>
      </w:r>
      <w:r w:rsidR="00B64B50">
        <w:t xml:space="preserve"> </w:t>
      </w:r>
    </w:p>
    <w:p w14:paraId="142E3C38" w14:textId="77777777" w:rsidR="009A2EA2" w:rsidRPr="00DB589B" w:rsidRDefault="009A2EA2" w:rsidP="00F0597D"/>
    <w:p w14:paraId="373709FF" w14:textId="77777777" w:rsidR="00F0597D" w:rsidRDefault="00F0597D" w:rsidP="00F0597D">
      <w:r>
        <w:rPr>
          <w:rFonts w:hint="eastAsia"/>
        </w:rPr>
        <w:t>Table 2. Postoperative valuables</w:t>
      </w:r>
    </w:p>
    <w:tbl>
      <w:tblPr>
        <w:tblStyle w:val="TableGrid"/>
        <w:tblW w:w="8505"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6"/>
        <w:gridCol w:w="2126"/>
        <w:gridCol w:w="1701"/>
        <w:gridCol w:w="992"/>
      </w:tblGrid>
      <w:tr w:rsidR="00F0597D" w14:paraId="23F0310B" w14:textId="77777777" w:rsidTr="00242188">
        <w:tc>
          <w:tcPr>
            <w:tcW w:w="3686" w:type="dxa"/>
            <w:tcBorders>
              <w:top w:val="single" w:sz="4" w:space="0" w:color="auto"/>
              <w:bottom w:val="single" w:sz="4" w:space="0" w:color="auto"/>
            </w:tcBorders>
          </w:tcPr>
          <w:p w14:paraId="55874F55" w14:textId="77777777" w:rsidR="00F0597D" w:rsidRDefault="00F0597D" w:rsidP="00242188"/>
        </w:tc>
        <w:tc>
          <w:tcPr>
            <w:tcW w:w="2126" w:type="dxa"/>
            <w:tcBorders>
              <w:top w:val="single" w:sz="4" w:space="0" w:color="auto"/>
              <w:bottom w:val="single" w:sz="4" w:space="0" w:color="auto"/>
            </w:tcBorders>
          </w:tcPr>
          <w:p w14:paraId="42FB4599" w14:textId="77777777" w:rsidR="00F0597D" w:rsidRPr="003D7A31" w:rsidRDefault="00F0597D" w:rsidP="00242188">
            <w:pPr>
              <w:rPr>
                <w:sz w:val="20"/>
                <w:szCs w:val="20"/>
              </w:rPr>
            </w:pPr>
            <w:proofErr w:type="spellStart"/>
            <w:r>
              <w:rPr>
                <w:sz w:val="20"/>
                <w:szCs w:val="20"/>
              </w:rPr>
              <w:t>iPACK</w:t>
            </w:r>
            <w:proofErr w:type="spellEnd"/>
            <w:r>
              <w:rPr>
                <w:sz w:val="20"/>
                <w:szCs w:val="20"/>
              </w:rPr>
              <w:t xml:space="preserve"> group</w:t>
            </w:r>
          </w:p>
        </w:tc>
        <w:tc>
          <w:tcPr>
            <w:tcW w:w="1701" w:type="dxa"/>
            <w:tcBorders>
              <w:top w:val="single" w:sz="4" w:space="0" w:color="auto"/>
              <w:bottom w:val="single" w:sz="4" w:space="0" w:color="auto"/>
            </w:tcBorders>
          </w:tcPr>
          <w:p w14:paraId="3CA9D0A1" w14:textId="77777777" w:rsidR="00F0597D" w:rsidRPr="003D7A31" w:rsidRDefault="00F0597D" w:rsidP="00242188">
            <w:pPr>
              <w:rPr>
                <w:sz w:val="20"/>
                <w:szCs w:val="20"/>
              </w:rPr>
            </w:pPr>
            <w:r>
              <w:rPr>
                <w:sz w:val="20"/>
                <w:szCs w:val="20"/>
              </w:rPr>
              <w:t>LIA group</w:t>
            </w:r>
          </w:p>
        </w:tc>
        <w:tc>
          <w:tcPr>
            <w:tcW w:w="992" w:type="dxa"/>
            <w:tcBorders>
              <w:top w:val="single" w:sz="4" w:space="0" w:color="auto"/>
              <w:bottom w:val="single" w:sz="4" w:space="0" w:color="auto"/>
            </w:tcBorders>
          </w:tcPr>
          <w:p w14:paraId="59B5865B" w14:textId="77777777" w:rsidR="00F0597D" w:rsidRPr="003D7A31" w:rsidRDefault="00F0597D" w:rsidP="00242188">
            <w:pPr>
              <w:rPr>
                <w:sz w:val="20"/>
                <w:szCs w:val="20"/>
              </w:rPr>
            </w:pPr>
            <w:r>
              <w:rPr>
                <w:rFonts w:hint="eastAsia"/>
                <w:sz w:val="20"/>
                <w:szCs w:val="20"/>
              </w:rPr>
              <w:t>p</w:t>
            </w:r>
          </w:p>
        </w:tc>
      </w:tr>
      <w:tr w:rsidR="00F0597D" w14:paraId="414A0243" w14:textId="77777777" w:rsidTr="00242188">
        <w:tc>
          <w:tcPr>
            <w:tcW w:w="3686" w:type="dxa"/>
          </w:tcPr>
          <w:p w14:paraId="5096409F" w14:textId="77777777" w:rsidR="00F0597D" w:rsidRPr="00AD4371" w:rsidRDefault="00F0597D" w:rsidP="00242188">
            <w:pPr>
              <w:rPr>
                <w:rFonts w:eastAsia="MS Mincho"/>
                <w:sz w:val="20"/>
                <w:szCs w:val="20"/>
              </w:rPr>
            </w:pPr>
            <w:r w:rsidRPr="00AD4371">
              <w:rPr>
                <w:rFonts w:eastAsia="MS Mincho"/>
                <w:sz w:val="20"/>
                <w:szCs w:val="20"/>
              </w:rPr>
              <w:t>PONV (n)</w:t>
            </w:r>
          </w:p>
        </w:tc>
        <w:tc>
          <w:tcPr>
            <w:tcW w:w="2126" w:type="dxa"/>
          </w:tcPr>
          <w:p w14:paraId="2F39F47F" w14:textId="77777777" w:rsidR="00F0597D" w:rsidRPr="00835011" w:rsidRDefault="00F0597D" w:rsidP="00242188">
            <w:pPr>
              <w:ind w:firstLineChars="50" w:firstLine="100"/>
              <w:rPr>
                <w:sz w:val="20"/>
                <w:szCs w:val="20"/>
              </w:rPr>
            </w:pPr>
            <w:r>
              <w:rPr>
                <w:rFonts w:hint="eastAsia"/>
                <w:sz w:val="20"/>
                <w:szCs w:val="20"/>
              </w:rPr>
              <w:t xml:space="preserve"> </w:t>
            </w:r>
            <w:r>
              <w:rPr>
                <w:sz w:val="20"/>
                <w:szCs w:val="20"/>
              </w:rPr>
              <w:t>15</w:t>
            </w:r>
          </w:p>
        </w:tc>
        <w:tc>
          <w:tcPr>
            <w:tcW w:w="1701" w:type="dxa"/>
          </w:tcPr>
          <w:p w14:paraId="5D6572B8" w14:textId="77777777" w:rsidR="00F0597D" w:rsidRPr="00835011" w:rsidRDefault="00F0597D" w:rsidP="00242188">
            <w:pPr>
              <w:rPr>
                <w:sz w:val="20"/>
                <w:szCs w:val="20"/>
              </w:rPr>
            </w:pPr>
            <w:r>
              <w:rPr>
                <w:rFonts w:hint="eastAsia"/>
                <w:sz w:val="20"/>
                <w:szCs w:val="20"/>
              </w:rPr>
              <w:t xml:space="preserve"> 10</w:t>
            </w:r>
          </w:p>
        </w:tc>
        <w:tc>
          <w:tcPr>
            <w:tcW w:w="992" w:type="dxa"/>
          </w:tcPr>
          <w:p w14:paraId="17EEDABB" w14:textId="77777777" w:rsidR="00F0597D" w:rsidRPr="00835011" w:rsidRDefault="00F0597D" w:rsidP="00242188">
            <w:pPr>
              <w:ind w:firstLineChars="50" w:firstLine="100"/>
              <w:rPr>
                <w:sz w:val="20"/>
                <w:szCs w:val="20"/>
              </w:rPr>
            </w:pPr>
            <w:r>
              <w:rPr>
                <w:rFonts w:hint="eastAsia"/>
                <w:sz w:val="20"/>
                <w:szCs w:val="20"/>
              </w:rPr>
              <w:t>0.</w:t>
            </w:r>
            <w:r>
              <w:rPr>
                <w:sz w:val="20"/>
                <w:szCs w:val="20"/>
              </w:rPr>
              <w:t>99</w:t>
            </w:r>
          </w:p>
        </w:tc>
      </w:tr>
      <w:tr w:rsidR="00F0597D" w14:paraId="03DFB7AE" w14:textId="77777777" w:rsidTr="00242188">
        <w:tc>
          <w:tcPr>
            <w:tcW w:w="3686" w:type="dxa"/>
          </w:tcPr>
          <w:p w14:paraId="4F45A55F" w14:textId="77777777" w:rsidR="00F0597D" w:rsidRPr="00AD4371" w:rsidRDefault="00F0597D" w:rsidP="00242188">
            <w:pPr>
              <w:rPr>
                <w:rFonts w:eastAsia="MS Mincho"/>
                <w:sz w:val="20"/>
                <w:szCs w:val="20"/>
              </w:rPr>
            </w:pPr>
            <w:r>
              <w:rPr>
                <w:rFonts w:eastAsia="MS Mincho"/>
                <w:sz w:val="20"/>
                <w:szCs w:val="20"/>
              </w:rPr>
              <w:t>R</w:t>
            </w:r>
            <w:r w:rsidRPr="00AD4371">
              <w:rPr>
                <w:rFonts w:eastAsia="MS Mincho"/>
                <w:sz w:val="20"/>
                <w:szCs w:val="20"/>
              </w:rPr>
              <w:t xml:space="preserve">escue analgesics for 12 </w:t>
            </w:r>
            <w:proofErr w:type="spellStart"/>
            <w:r w:rsidRPr="00AD4371">
              <w:rPr>
                <w:rFonts w:eastAsia="MS Mincho"/>
                <w:sz w:val="20"/>
                <w:szCs w:val="20"/>
              </w:rPr>
              <w:t>hr</w:t>
            </w:r>
            <w:proofErr w:type="spellEnd"/>
            <w:r w:rsidRPr="00AD4371">
              <w:rPr>
                <w:rFonts w:eastAsia="MS Mincho"/>
                <w:sz w:val="20"/>
                <w:szCs w:val="20"/>
              </w:rPr>
              <w:t xml:space="preserve"> (n)</w:t>
            </w:r>
          </w:p>
        </w:tc>
        <w:tc>
          <w:tcPr>
            <w:tcW w:w="2126" w:type="dxa"/>
          </w:tcPr>
          <w:p w14:paraId="3DE60FF8" w14:textId="77777777" w:rsidR="00F0597D" w:rsidRPr="00835011" w:rsidRDefault="00F0597D" w:rsidP="00242188">
            <w:pPr>
              <w:ind w:firstLineChars="50" w:firstLine="100"/>
              <w:rPr>
                <w:sz w:val="20"/>
                <w:szCs w:val="20"/>
              </w:rPr>
            </w:pPr>
            <w:r>
              <w:rPr>
                <w:sz w:val="20"/>
                <w:szCs w:val="20"/>
              </w:rPr>
              <w:t>1</w:t>
            </w:r>
            <w:r>
              <w:rPr>
                <w:rFonts w:hint="eastAsia"/>
                <w:sz w:val="20"/>
                <w:szCs w:val="20"/>
              </w:rPr>
              <w:t xml:space="preserve"> (0, 1)</w:t>
            </w:r>
            <w:r>
              <w:rPr>
                <w:sz w:val="20"/>
                <w:szCs w:val="20"/>
              </w:rPr>
              <w:t xml:space="preserve"> </w:t>
            </w:r>
          </w:p>
        </w:tc>
        <w:tc>
          <w:tcPr>
            <w:tcW w:w="1701" w:type="dxa"/>
          </w:tcPr>
          <w:p w14:paraId="3DFF6A7F" w14:textId="77777777" w:rsidR="00F0597D" w:rsidRPr="00835011" w:rsidRDefault="00F0597D" w:rsidP="00242188">
            <w:pPr>
              <w:ind w:firstLineChars="50" w:firstLine="100"/>
              <w:rPr>
                <w:sz w:val="20"/>
                <w:szCs w:val="20"/>
              </w:rPr>
            </w:pPr>
            <w:r>
              <w:rPr>
                <w:sz w:val="20"/>
                <w:szCs w:val="20"/>
              </w:rPr>
              <w:t>1</w:t>
            </w:r>
            <w:r>
              <w:rPr>
                <w:rFonts w:hint="eastAsia"/>
                <w:sz w:val="20"/>
                <w:szCs w:val="20"/>
              </w:rPr>
              <w:t xml:space="preserve"> (0, 1</w:t>
            </w:r>
            <w:r w:rsidRPr="00835011">
              <w:rPr>
                <w:rFonts w:hint="eastAsia"/>
                <w:sz w:val="20"/>
                <w:szCs w:val="20"/>
              </w:rPr>
              <w:t>)</w:t>
            </w:r>
            <w:r>
              <w:rPr>
                <w:sz w:val="20"/>
                <w:szCs w:val="20"/>
              </w:rPr>
              <w:t xml:space="preserve"> </w:t>
            </w:r>
          </w:p>
        </w:tc>
        <w:tc>
          <w:tcPr>
            <w:tcW w:w="992" w:type="dxa"/>
          </w:tcPr>
          <w:p w14:paraId="0AA555F8" w14:textId="77777777" w:rsidR="00F0597D" w:rsidRPr="00835011" w:rsidRDefault="00F0597D" w:rsidP="00242188">
            <w:pPr>
              <w:ind w:firstLineChars="50" w:firstLine="100"/>
              <w:rPr>
                <w:sz w:val="20"/>
                <w:szCs w:val="20"/>
              </w:rPr>
            </w:pPr>
            <w:r>
              <w:rPr>
                <w:rFonts w:hint="eastAsia"/>
                <w:sz w:val="20"/>
                <w:szCs w:val="20"/>
              </w:rPr>
              <w:t>0.</w:t>
            </w:r>
            <w:r>
              <w:rPr>
                <w:sz w:val="20"/>
                <w:szCs w:val="20"/>
              </w:rPr>
              <w:t>72</w:t>
            </w:r>
          </w:p>
        </w:tc>
      </w:tr>
      <w:tr w:rsidR="00F0597D" w14:paraId="57EE8EDA" w14:textId="77777777" w:rsidTr="00242188">
        <w:tc>
          <w:tcPr>
            <w:tcW w:w="3686" w:type="dxa"/>
          </w:tcPr>
          <w:p w14:paraId="3896449C" w14:textId="77777777" w:rsidR="00F0597D" w:rsidRPr="00AD4371" w:rsidRDefault="00F0597D" w:rsidP="00242188">
            <w:pPr>
              <w:rPr>
                <w:sz w:val="20"/>
                <w:szCs w:val="20"/>
              </w:rPr>
            </w:pPr>
            <w:r>
              <w:rPr>
                <w:sz w:val="20"/>
                <w:szCs w:val="20"/>
              </w:rPr>
              <w:t>Rescue analgesics for 24</w:t>
            </w:r>
            <w:r w:rsidRPr="00AD4371">
              <w:rPr>
                <w:sz w:val="20"/>
                <w:szCs w:val="20"/>
              </w:rPr>
              <w:t xml:space="preserve"> </w:t>
            </w:r>
            <w:proofErr w:type="spellStart"/>
            <w:r w:rsidRPr="00AD4371">
              <w:rPr>
                <w:sz w:val="20"/>
                <w:szCs w:val="20"/>
              </w:rPr>
              <w:t>hr</w:t>
            </w:r>
            <w:proofErr w:type="spellEnd"/>
            <w:r w:rsidRPr="00AD4371">
              <w:rPr>
                <w:sz w:val="20"/>
                <w:szCs w:val="20"/>
              </w:rPr>
              <w:t xml:space="preserve"> (n)</w:t>
            </w:r>
          </w:p>
        </w:tc>
        <w:tc>
          <w:tcPr>
            <w:tcW w:w="2126" w:type="dxa"/>
          </w:tcPr>
          <w:p w14:paraId="77D2E990" w14:textId="77777777" w:rsidR="00F0597D" w:rsidRPr="00835011" w:rsidRDefault="00F0597D" w:rsidP="00242188">
            <w:pPr>
              <w:ind w:firstLineChars="50" w:firstLine="100"/>
              <w:rPr>
                <w:sz w:val="20"/>
                <w:szCs w:val="20"/>
              </w:rPr>
            </w:pPr>
            <w:r>
              <w:rPr>
                <w:sz w:val="20"/>
                <w:szCs w:val="20"/>
              </w:rPr>
              <w:t>2</w:t>
            </w:r>
            <w:r w:rsidRPr="00835011">
              <w:rPr>
                <w:rFonts w:hint="eastAsia"/>
                <w:sz w:val="20"/>
                <w:szCs w:val="20"/>
              </w:rPr>
              <w:t xml:space="preserve"> (</w:t>
            </w:r>
            <w:r>
              <w:rPr>
                <w:sz w:val="20"/>
                <w:szCs w:val="20"/>
              </w:rPr>
              <w:t>1</w:t>
            </w:r>
            <w:r>
              <w:rPr>
                <w:rFonts w:hint="eastAsia"/>
                <w:sz w:val="20"/>
                <w:szCs w:val="20"/>
              </w:rPr>
              <w:t xml:space="preserve">, </w:t>
            </w:r>
            <w:r>
              <w:rPr>
                <w:sz w:val="20"/>
                <w:szCs w:val="20"/>
              </w:rPr>
              <w:t>3</w:t>
            </w:r>
            <w:r w:rsidRPr="00835011">
              <w:rPr>
                <w:rFonts w:hint="eastAsia"/>
                <w:sz w:val="20"/>
                <w:szCs w:val="20"/>
              </w:rPr>
              <w:t>)</w:t>
            </w:r>
            <w:r>
              <w:rPr>
                <w:sz w:val="20"/>
                <w:szCs w:val="20"/>
              </w:rPr>
              <w:t xml:space="preserve"> </w:t>
            </w:r>
          </w:p>
        </w:tc>
        <w:tc>
          <w:tcPr>
            <w:tcW w:w="1701" w:type="dxa"/>
          </w:tcPr>
          <w:p w14:paraId="715731CB" w14:textId="77777777" w:rsidR="00F0597D" w:rsidRPr="00835011" w:rsidRDefault="00F0597D" w:rsidP="00242188">
            <w:pPr>
              <w:ind w:firstLineChars="50" w:firstLine="100"/>
              <w:rPr>
                <w:sz w:val="20"/>
                <w:szCs w:val="20"/>
              </w:rPr>
            </w:pPr>
            <w:r>
              <w:rPr>
                <w:sz w:val="20"/>
                <w:szCs w:val="20"/>
              </w:rPr>
              <w:t>2</w:t>
            </w:r>
            <w:r>
              <w:rPr>
                <w:rFonts w:hint="eastAsia"/>
                <w:sz w:val="20"/>
                <w:szCs w:val="20"/>
              </w:rPr>
              <w:t xml:space="preserve"> (</w:t>
            </w:r>
            <w:r>
              <w:rPr>
                <w:sz w:val="20"/>
                <w:szCs w:val="20"/>
              </w:rPr>
              <w:t>1</w:t>
            </w:r>
            <w:r>
              <w:rPr>
                <w:rFonts w:hint="eastAsia"/>
                <w:sz w:val="20"/>
                <w:szCs w:val="20"/>
              </w:rPr>
              <w:t xml:space="preserve">, </w:t>
            </w:r>
            <w:r>
              <w:rPr>
                <w:sz w:val="20"/>
                <w:szCs w:val="20"/>
              </w:rPr>
              <w:t>3</w:t>
            </w:r>
            <w:r w:rsidRPr="00835011">
              <w:rPr>
                <w:rFonts w:hint="eastAsia"/>
                <w:sz w:val="20"/>
                <w:szCs w:val="20"/>
              </w:rPr>
              <w:t>)</w:t>
            </w:r>
            <w:r>
              <w:rPr>
                <w:sz w:val="20"/>
                <w:szCs w:val="20"/>
              </w:rPr>
              <w:t xml:space="preserve"> </w:t>
            </w:r>
          </w:p>
        </w:tc>
        <w:tc>
          <w:tcPr>
            <w:tcW w:w="992" w:type="dxa"/>
          </w:tcPr>
          <w:p w14:paraId="391E3BF2" w14:textId="77777777" w:rsidR="00F0597D" w:rsidRPr="00835011" w:rsidRDefault="00F0597D" w:rsidP="00242188">
            <w:pPr>
              <w:ind w:firstLineChars="50" w:firstLine="100"/>
              <w:rPr>
                <w:sz w:val="20"/>
                <w:szCs w:val="20"/>
              </w:rPr>
            </w:pPr>
            <w:r>
              <w:rPr>
                <w:rFonts w:hint="eastAsia"/>
                <w:sz w:val="20"/>
                <w:szCs w:val="20"/>
              </w:rPr>
              <w:t>0.</w:t>
            </w:r>
            <w:r>
              <w:rPr>
                <w:sz w:val="20"/>
                <w:szCs w:val="20"/>
              </w:rPr>
              <w:t>76</w:t>
            </w:r>
          </w:p>
        </w:tc>
      </w:tr>
    </w:tbl>
    <w:p w14:paraId="75EB1629" w14:textId="77777777" w:rsidR="00F0597D" w:rsidRDefault="00F0597D" w:rsidP="00F0597D">
      <w:r>
        <w:rPr>
          <w:rFonts w:hint="eastAsia"/>
        </w:rPr>
        <w:t>Values are median (IQR) or number.</w:t>
      </w:r>
      <w:r>
        <w:t xml:space="preserve"> </w:t>
      </w:r>
      <w:proofErr w:type="spellStart"/>
      <w:r w:rsidRPr="006C5A56">
        <w:t>iPACK</w:t>
      </w:r>
      <w:proofErr w:type="spellEnd"/>
      <w:r w:rsidRPr="006C5A56">
        <w:t>, The infiltration between the Popliteal</w:t>
      </w:r>
      <w:r>
        <w:t xml:space="preserve"> Artery and Capsule of the Knee; LIA, local infiltration anesthesia; n, number; </w:t>
      </w:r>
      <w:r>
        <w:rPr>
          <w:rFonts w:hint="eastAsia"/>
        </w:rPr>
        <w:t>PONV, postoperative nausea and vomiting</w:t>
      </w:r>
      <w:r>
        <w:t>;</w:t>
      </w:r>
    </w:p>
    <w:p w14:paraId="56BE2259" w14:textId="77777777" w:rsidR="00F0597D" w:rsidRDefault="00F0597D" w:rsidP="00F0597D"/>
    <w:p w14:paraId="5738891F" w14:textId="77777777" w:rsidR="00F0597D" w:rsidRDefault="00F0597D" w:rsidP="00F0597D"/>
    <w:p w14:paraId="15186318" w14:textId="5D32285F" w:rsidR="00DB589B" w:rsidRPr="00FD3ADC" w:rsidRDefault="00DB589B" w:rsidP="007F369D">
      <w:pPr>
        <w:spacing w:line="480" w:lineRule="auto"/>
        <w:rPr>
          <w:rFonts w:ascii="Arial" w:hAnsi="Arial" w:cs="Arial"/>
          <w:sz w:val="22"/>
        </w:rPr>
      </w:pPr>
    </w:p>
    <w:p w14:paraId="170EA874" w14:textId="3246DD87" w:rsidR="00B64B50" w:rsidRPr="00D6230E" w:rsidRDefault="00B64B50" w:rsidP="00D6230E">
      <w:pPr>
        <w:spacing w:line="480" w:lineRule="auto"/>
        <w:rPr>
          <w:rFonts w:asciiTheme="majorHAnsi" w:hAnsiTheme="majorHAnsi" w:cstheme="majorHAnsi"/>
          <w:b/>
          <w:sz w:val="20"/>
          <w:szCs w:val="20"/>
        </w:rPr>
      </w:pPr>
      <w:r w:rsidRPr="00D6230E">
        <w:rPr>
          <w:rFonts w:asciiTheme="majorHAnsi" w:hAnsiTheme="majorHAnsi" w:cstheme="majorHAnsi"/>
          <w:b/>
          <w:sz w:val="20"/>
          <w:szCs w:val="20"/>
        </w:rPr>
        <w:lastRenderedPageBreak/>
        <w:t xml:space="preserve"> </w:t>
      </w:r>
    </w:p>
    <w:p w14:paraId="286121E4" w14:textId="77777777" w:rsidR="00B64B50" w:rsidRPr="008C0374" w:rsidRDefault="00B64B50" w:rsidP="00B64B50">
      <w:pPr>
        <w:spacing w:line="480" w:lineRule="auto"/>
        <w:ind w:firstLine="840"/>
        <w:rPr>
          <w:rFonts w:asciiTheme="majorHAnsi" w:hAnsiTheme="majorHAnsi" w:cstheme="majorHAnsi"/>
          <w:sz w:val="20"/>
          <w:szCs w:val="20"/>
        </w:rPr>
      </w:pPr>
      <w:r w:rsidRPr="008C0374">
        <w:rPr>
          <w:rFonts w:asciiTheme="majorHAnsi" w:hAnsiTheme="majorHAnsi" w:cstheme="majorHAnsi"/>
          <w:sz w:val="20"/>
          <w:szCs w:val="20"/>
        </w:rPr>
        <w:t xml:space="preserve">This study showed that the combination of FNB and IPACK block did not reduce the NRS scores or the frequency of rescue analgesics compared with </w:t>
      </w:r>
      <w:r>
        <w:rPr>
          <w:rFonts w:asciiTheme="majorHAnsi" w:hAnsiTheme="majorHAnsi" w:cstheme="majorHAnsi"/>
          <w:sz w:val="20"/>
          <w:szCs w:val="20"/>
        </w:rPr>
        <w:t xml:space="preserve">those of </w:t>
      </w:r>
      <w:r>
        <w:rPr>
          <w:rFonts w:ascii="Arial" w:eastAsia="MS Mincho" w:hAnsi="Arial" w:cs="Arial"/>
          <w:sz w:val="20"/>
          <w:szCs w:val="20"/>
        </w:rPr>
        <w:t>the FNB and LIA combination. This study showed that</w:t>
      </w:r>
      <w:r>
        <w:rPr>
          <w:rFonts w:asciiTheme="majorHAnsi" w:hAnsiTheme="majorHAnsi" w:cstheme="majorHAnsi"/>
          <w:sz w:val="20"/>
          <w:szCs w:val="20"/>
        </w:rPr>
        <w:t xml:space="preserve"> </w:t>
      </w:r>
      <w:r>
        <w:rPr>
          <w:rFonts w:ascii="Arial" w:eastAsia="MS Mincho" w:hAnsi="Arial" w:cs="Arial"/>
          <w:sz w:val="20"/>
          <w:szCs w:val="20"/>
        </w:rPr>
        <w:t>the IPACK block and LIA</w:t>
      </w:r>
      <w:r w:rsidRPr="008C0374">
        <w:rPr>
          <w:rFonts w:asciiTheme="majorHAnsi" w:hAnsiTheme="majorHAnsi" w:cstheme="majorHAnsi"/>
          <w:sz w:val="20"/>
          <w:szCs w:val="20"/>
        </w:rPr>
        <w:t xml:space="preserve"> were equivalent and effective adjuvants for FNB after TKA. </w:t>
      </w:r>
    </w:p>
    <w:p w14:paraId="315DE0B3" w14:textId="77777777" w:rsidR="00B64B50" w:rsidRPr="008E326D" w:rsidRDefault="00B64B50" w:rsidP="00B64B50">
      <w:pPr>
        <w:spacing w:line="480" w:lineRule="auto"/>
        <w:ind w:firstLine="840"/>
        <w:rPr>
          <w:rFonts w:asciiTheme="majorHAnsi" w:hAnsiTheme="majorHAnsi" w:cstheme="majorHAnsi"/>
          <w:sz w:val="20"/>
          <w:szCs w:val="20"/>
        </w:rPr>
      </w:pPr>
      <w:r w:rsidRPr="008C0374">
        <w:rPr>
          <w:rFonts w:asciiTheme="majorHAnsi" w:hAnsiTheme="majorHAnsi" w:cstheme="majorHAnsi"/>
          <w:sz w:val="20"/>
          <w:szCs w:val="20"/>
        </w:rPr>
        <w:t>The IPACK block is a motor-sparing posterior knee analgesic technique designed to reduce posterior knee pain after TKA while preserving motor function. Evidence from randomized trials and meta-analyses</w:t>
      </w:r>
      <w:r>
        <w:rPr>
          <w:rFonts w:asciiTheme="majorHAnsi" w:hAnsiTheme="majorHAnsi" w:cstheme="majorHAnsi"/>
          <w:sz w:val="20"/>
          <w:szCs w:val="20"/>
        </w:rPr>
        <w:t xml:space="preserve"> [8,9]</w:t>
      </w:r>
      <w:r w:rsidRPr="008C0374">
        <w:rPr>
          <w:rFonts w:asciiTheme="majorHAnsi" w:hAnsiTheme="majorHAnsi" w:cstheme="majorHAnsi"/>
          <w:sz w:val="20"/>
          <w:szCs w:val="20"/>
        </w:rPr>
        <w:t xml:space="preserve"> shows that adding an IPACK block to multimodal analgesia, </w:t>
      </w:r>
      <w:r>
        <w:rPr>
          <w:rFonts w:asciiTheme="majorHAnsi" w:hAnsiTheme="majorHAnsi" w:cstheme="majorHAnsi"/>
          <w:sz w:val="20"/>
          <w:szCs w:val="20"/>
        </w:rPr>
        <w:t>particularly</w:t>
      </w:r>
      <w:r w:rsidRPr="008C0374">
        <w:rPr>
          <w:rFonts w:asciiTheme="majorHAnsi" w:hAnsiTheme="majorHAnsi" w:cstheme="majorHAnsi"/>
          <w:sz w:val="20"/>
          <w:szCs w:val="20"/>
        </w:rPr>
        <w:t xml:space="preserve"> when combined with an adductor canal block</w:t>
      </w:r>
      <w:r>
        <w:rPr>
          <w:rFonts w:asciiTheme="majorHAnsi" w:hAnsiTheme="majorHAnsi" w:cstheme="majorHAnsi"/>
          <w:sz w:val="20"/>
          <w:szCs w:val="20"/>
        </w:rPr>
        <w:t xml:space="preserve"> (ACB)</w:t>
      </w:r>
      <w:r w:rsidRPr="008C0374">
        <w:rPr>
          <w:rFonts w:asciiTheme="majorHAnsi" w:hAnsiTheme="majorHAnsi" w:cstheme="majorHAnsi"/>
          <w:sz w:val="20"/>
          <w:szCs w:val="20"/>
        </w:rPr>
        <w:t xml:space="preserve"> or FNB, improves pain control without impairing quadriceps strength. The IPACK block targets </w:t>
      </w:r>
      <w:r>
        <w:rPr>
          <w:rFonts w:ascii="Arial" w:eastAsia="MS Mincho" w:hAnsi="Arial" w:cs="Arial"/>
          <w:sz w:val="20"/>
          <w:szCs w:val="20"/>
        </w:rPr>
        <w:t xml:space="preserve">the terminal sensory branches </w:t>
      </w:r>
      <w:r w:rsidRPr="008C0374">
        <w:rPr>
          <w:rFonts w:asciiTheme="majorHAnsi" w:hAnsiTheme="majorHAnsi" w:cstheme="majorHAnsi"/>
          <w:sz w:val="20"/>
          <w:szCs w:val="20"/>
        </w:rPr>
        <w:t xml:space="preserve">of the tibial and obturator nerves that innervate the posterior knee capsule. Therefore, this block reduces posterior knee pain, which is often inadequately controlled using FNB alone. </w:t>
      </w:r>
      <w:r>
        <w:rPr>
          <w:rFonts w:asciiTheme="majorHAnsi" w:hAnsiTheme="majorHAnsi" w:cstheme="majorHAnsi"/>
          <w:sz w:val="20"/>
          <w:szCs w:val="20"/>
        </w:rPr>
        <w:t>A meta-</w:t>
      </w:r>
      <w:r w:rsidRPr="008C0374">
        <w:rPr>
          <w:rFonts w:asciiTheme="majorHAnsi" w:hAnsiTheme="majorHAnsi" w:cstheme="majorHAnsi"/>
          <w:sz w:val="20"/>
          <w:szCs w:val="20"/>
        </w:rPr>
        <w:t>analysis</w:t>
      </w:r>
      <w:r>
        <w:rPr>
          <w:rFonts w:asciiTheme="majorHAnsi" w:hAnsiTheme="majorHAnsi" w:cstheme="majorHAnsi"/>
          <w:sz w:val="20"/>
          <w:szCs w:val="20"/>
        </w:rPr>
        <w:t xml:space="preserve"> [8]</w:t>
      </w:r>
      <w:r w:rsidRPr="008C0374">
        <w:rPr>
          <w:rFonts w:asciiTheme="majorHAnsi" w:hAnsiTheme="majorHAnsi" w:cstheme="majorHAnsi"/>
          <w:sz w:val="20"/>
          <w:szCs w:val="20"/>
        </w:rPr>
        <w:t xml:space="preserve"> of randomized controlled trials found that adding the IPACK block to multimodal analgesia for primary TKA significantly reduce</w:t>
      </w:r>
      <w:r>
        <w:rPr>
          <w:rFonts w:asciiTheme="majorHAnsi" w:hAnsiTheme="majorHAnsi" w:cstheme="majorHAnsi"/>
          <w:sz w:val="20"/>
          <w:szCs w:val="20"/>
        </w:rPr>
        <w:t>s</w:t>
      </w:r>
      <w:r w:rsidRPr="008C0374">
        <w:rPr>
          <w:rFonts w:asciiTheme="majorHAnsi" w:hAnsiTheme="majorHAnsi" w:cstheme="majorHAnsi"/>
          <w:sz w:val="20"/>
          <w:szCs w:val="20"/>
        </w:rPr>
        <w:t xml:space="preserve"> postoperative pain scores and improved analgesic outcomes. </w:t>
      </w:r>
      <w:r>
        <w:rPr>
          <w:rFonts w:asciiTheme="majorHAnsi" w:hAnsiTheme="majorHAnsi" w:cstheme="majorHAnsi"/>
          <w:sz w:val="20"/>
          <w:szCs w:val="20"/>
        </w:rPr>
        <w:t xml:space="preserve">A </w:t>
      </w:r>
      <w:r w:rsidRPr="008C0374">
        <w:rPr>
          <w:rFonts w:asciiTheme="majorHAnsi" w:hAnsiTheme="majorHAnsi" w:cstheme="majorHAnsi"/>
          <w:sz w:val="20"/>
          <w:szCs w:val="20"/>
        </w:rPr>
        <w:t>randomized trial</w:t>
      </w:r>
      <w:r>
        <w:rPr>
          <w:rFonts w:asciiTheme="majorHAnsi" w:hAnsiTheme="majorHAnsi" w:cstheme="majorHAnsi"/>
          <w:sz w:val="20"/>
          <w:szCs w:val="20"/>
        </w:rPr>
        <w:t xml:space="preserve"> [9]</w:t>
      </w:r>
      <w:r w:rsidRPr="008C0374">
        <w:rPr>
          <w:rFonts w:asciiTheme="majorHAnsi" w:hAnsiTheme="majorHAnsi" w:cstheme="majorHAnsi"/>
          <w:sz w:val="20"/>
          <w:szCs w:val="20"/>
        </w:rPr>
        <w:t xml:space="preserve"> comparing ACB + IPACK and ACB + selective tibial nerve block showed that the IPACK combination provide</w:t>
      </w:r>
      <w:r>
        <w:rPr>
          <w:rFonts w:asciiTheme="majorHAnsi" w:hAnsiTheme="majorHAnsi" w:cstheme="majorHAnsi"/>
          <w:sz w:val="20"/>
          <w:szCs w:val="20"/>
        </w:rPr>
        <w:t>s</w:t>
      </w:r>
      <w:r w:rsidRPr="008C0374">
        <w:rPr>
          <w:rFonts w:asciiTheme="majorHAnsi" w:hAnsiTheme="majorHAnsi" w:cstheme="majorHAnsi"/>
          <w:sz w:val="20"/>
          <w:szCs w:val="20"/>
        </w:rPr>
        <w:t xml:space="preserve"> effective posterior knee analgesia and support</w:t>
      </w:r>
      <w:r>
        <w:rPr>
          <w:rFonts w:asciiTheme="majorHAnsi" w:hAnsiTheme="majorHAnsi" w:cstheme="majorHAnsi"/>
          <w:sz w:val="20"/>
          <w:szCs w:val="20"/>
        </w:rPr>
        <w:t>s</w:t>
      </w:r>
      <w:r w:rsidRPr="008C0374">
        <w:rPr>
          <w:rFonts w:asciiTheme="majorHAnsi" w:hAnsiTheme="majorHAnsi" w:cstheme="majorHAnsi"/>
          <w:sz w:val="20"/>
          <w:szCs w:val="20"/>
        </w:rPr>
        <w:t xml:space="preserve"> functional recovery.</w:t>
      </w:r>
    </w:p>
    <w:p w14:paraId="798207B1" w14:textId="77777777" w:rsidR="00B64B50" w:rsidRPr="00757FDA" w:rsidRDefault="00B64B50" w:rsidP="00B64B50">
      <w:pPr>
        <w:spacing w:line="480" w:lineRule="auto"/>
        <w:ind w:firstLine="840"/>
        <w:rPr>
          <w:rFonts w:asciiTheme="majorHAnsi" w:hAnsiTheme="majorHAnsi" w:cstheme="majorHAnsi"/>
          <w:sz w:val="20"/>
          <w:szCs w:val="20"/>
        </w:rPr>
      </w:pPr>
      <w:r w:rsidRPr="008E326D">
        <w:rPr>
          <w:rFonts w:asciiTheme="majorHAnsi" w:hAnsiTheme="majorHAnsi" w:cstheme="majorHAnsi"/>
          <w:sz w:val="20"/>
          <w:szCs w:val="20"/>
        </w:rPr>
        <w:t xml:space="preserve">Local anesthetic infiltration into the posterior capsule during TKA provides a significant reduction of posterior knee pain, particularly </w:t>
      </w:r>
      <w:r>
        <w:rPr>
          <w:rFonts w:ascii="Arial" w:eastAsia="MS Mincho" w:hAnsi="Arial" w:cs="Arial"/>
          <w:sz w:val="20"/>
          <w:szCs w:val="20"/>
        </w:rPr>
        <w:t>during the early postoperative period. However, its analgesic effect is limited in duration</w:t>
      </w:r>
      <w:r w:rsidRPr="008E326D">
        <w:rPr>
          <w:rFonts w:asciiTheme="majorHAnsi" w:hAnsiTheme="majorHAnsi" w:cstheme="majorHAnsi"/>
          <w:sz w:val="20"/>
          <w:szCs w:val="20"/>
        </w:rPr>
        <w:t>, and the precisi</w:t>
      </w:r>
      <w:r>
        <w:rPr>
          <w:rFonts w:asciiTheme="majorHAnsi" w:hAnsiTheme="majorHAnsi" w:cstheme="majorHAnsi"/>
          <w:sz w:val="20"/>
          <w:szCs w:val="20"/>
        </w:rPr>
        <w:t xml:space="preserve">on of infiltration is variable. </w:t>
      </w:r>
      <w:r w:rsidRPr="008E326D">
        <w:rPr>
          <w:rFonts w:asciiTheme="majorHAnsi" w:hAnsiTheme="majorHAnsi" w:cstheme="majorHAnsi"/>
          <w:sz w:val="20"/>
          <w:szCs w:val="20"/>
        </w:rPr>
        <w:t>The posterior capsule is a major source of postoperative pain because it is stretched during knee extension, manipulated during bone cuts, and contains sensory branches from the tibial, common peroneal, and sciatic nerve</w:t>
      </w:r>
      <w:r>
        <w:rPr>
          <w:rFonts w:ascii="Arial" w:eastAsia="MS Mincho" w:hAnsi="Arial" w:cs="Arial"/>
          <w:sz w:val="20"/>
          <w:szCs w:val="20"/>
        </w:rPr>
        <w:t>s.</w:t>
      </w:r>
      <w:r>
        <w:rPr>
          <w:rFonts w:asciiTheme="majorHAnsi" w:hAnsiTheme="majorHAnsi" w:cstheme="majorHAnsi" w:hint="eastAsia"/>
          <w:sz w:val="20"/>
          <w:szCs w:val="20"/>
        </w:rPr>
        <w:t xml:space="preserve"> </w:t>
      </w:r>
      <w:r w:rsidRPr="008E326D">
        <w:rPr>
          <w:rFonts w:asciiTheme="majorHAnsi" w:hAnsiTheme="majorHAnsi" w:cstheme="majorHAnsi"/>
          <w:sz w:val="20"/>
          <w:szCs w:val="20"/>
        </w:rPr>
        <w:t>Posterior capsular LIA reduce</w:t>
      </w:r>
      <w:r>
        <w:rPr>
          <w:rFonts w:asciiTheme="majorHAnsi" w:hAnsiTheme="majorHAnsi" w:cstheme="majorHAnsi"/>
          <w:sz w:val="20"/>
          <w:szCs w:val="20"/>
        </w:rPr>
        <w:t>s</w:t>
      </w:r>
      <w:r w:rsidRPr="008E326D">
        <w:rPr>
          <w:rFonts w:asciiTheme="majorHAnsi" w:hAnsiTheme="majorHAnsi" w:cstheme="majorHAnsi"/>
          <w:sz w:val="20"/>
          <w:szCs w:val="20"/>
        </w:rPr>
        <w:t xml:space="preserve"> posterior knee pain compared with no infiltration, </w:t>
      </w:r>
      <w:r>
        <w:rPr>
          <w:rFonts w:ascii="Arial" w:eastAsia="MS Mincho" w:hAnsi="Arial" w:cs="Arial"/>
          <w:sz w:val="20"/>
          <w:szCs w:val="20"/>
        </w:rPr>
        <w:t>although sciatic nerve block provides stronger analgesia</w:t>
      </w:r>
      <w:r>
        <w:rPr>
          <w:rFonts w:asciiTheme="majorHAnsi" w:hAnsiTheme="majorHAnsi" w:cstheme="majorHAnsi"/>
          <w:sz w:val="20"/>
          <w:szCs w:val="20"/>
        </w:rPr>
        <w:t xml:space="preserve"> [3]</w:t>
      </w:r>
      <w:r w:rsidRPr="008E326D">
        <w:rPr>
          <w:rFonts w:asciiTheme="majorHAnsi" w:hAnsiTheme="majorHAnsi" w:cstheme="majorHAnsi"/>
          <w:sz w:val="20"/>
          <w:szCs w:val="20"/>
        </w:rPr>
        <w:t>.</w:t>
      </w:r>
      <w:r>
        <w:rPr>
          <w:rFonts w:asciiTheme="majorHAnsi" w:hAnsiTheme="majorHAnsi" w:cstheme="majorHAnsi"/>
          <w:sz w:val="20"/>
          <w:szCs w:val="20"/>
        </w:rPr>
        <w:t xml:space="preserve"> </w:t>
      </w:r>
      <w:r w:rsidRPr="008E326D">
        <w:rPr>
          <w:rFonts w:asciiTheme="majorHAnsi" w:hAnsiTheme="majorHAnsi" w:cstheme="majorHAnsi"/>
          <w:sz w:val="20"/>
          <w:szCs w:val="20"/>
        </w:rPr>
        <w:t>LIA improves early postoperative pain (24–48 h), reduces opioid consumption, and supports early mobilization</w:t>
      </w:r>
      <w:r>
        <w:rPr>
          <w:rFonts w:asciiTheme="majorHAnsi" w:hAnsiTheme="majorHAnsi" w:cstheme="majorHAnsi"/>
          <w:sz w:val="20"/>
          <w:szCs w:val="20"/>
        </w:rPr>
        <w:t xml:space="preserve"> [6]</w:t>
      </w:r>
      <w:r w:rsidRPr="008E326D">
        <w:rPr>
          <w:rFonts w:asciiTheme="majorHAnsi" w:hAnsiTheme="majorHAnsi" w:cstheme="majorHAnsi"/>
          <w:sz w:val="20"/>
          <w:szCs w:val="20"/>
        </w:rPr>
        <w:t>.</w:t>
      </w:r>
      <w:r>
        <w:rPr>
          <w:rFonts w:asciiTheme="majorHAnsi" w:hAnsiTheme="majorHAnsi" w:cstheme="majorHAnsi" w:hint="eastAsia"/>
          <w:sz w:val="20"/>
          <w:szCs w:val="20"/>
        </w:rPr>
        <w:t xml:space="preserve"> </w:t>
      </w:r>
      <w:r w:rsidRPr="008E326D">
        <w:rPr>
          <w:rFonts w:asciiTheme="majorHAnsi" w:hAnsiTheme="majorHAnsi" w:cstheme="majorHAnsi"/>
          <w:sz w:val="20"/>
          <w:szCs w:val="20"/>
        </w:rPr>
        <w:t>LIA</w:t>
      </w:r>
      <w:r>
        <w:rPr>
          <w:rFonts w:ascii="Arial" w:eastAsia="MS Mincho" w:hAnsi="Arial" w:cs="Arial"/>
          <w:sz w:val="20"/>
          <w:szCs w:val="20"/>
        </w:rPr>
        <w:t>, including posterior infiltration, provide</w:t>
      </w:r>
      <w:r w:rsidRPr="008E326D">
        <w:rPr>
          <w:rFonts w:asciiTheme="majorHAnsi" w:hAnsiTheme="majorHAnsi" w:cstheme="majorHAnsi"/>
          <w:sz w:val="20"/>
          <w:szCs w:val="20"/>
        </w:rPr>
        <w:t>s analgesia comparable to epidural analgesia with faster mobilization</w:t>
      </w:r>
      <w:r>
        <w:rPr>
          <w:rFonts w:asciiTheme="majorHAnsi" w:hAnsiTheme="majorHAnsi" w:cstheme="majorHAnsi"/>
          <w:sz w:val="20"/>
          <w:szCs w:val="20"/>
        </w:rPr>
        <w:t xml:space="preserve"> [7]</w:t>
      </w:r>
      <w:r w:rsidRPr="008E326D">
        <w:rPr>
          <w:rFonts w:asciiTheme="majorHAnsi" w:hAnsiTheme="majorHAnsi" w:cstheme="majorHAnsi"/>
          <w:sz w:val="20"/>
          <w:szCs w:val="20"/>
        </w:rPr>
        <w:t>.</w:t>
      </w:r>
      <w:r>
        <w:rPr>
          <w:rFonts w:asciiTheme="majorHAnsi" w:hAnsiTheme="majorHAnsi" w:cstheme="majorHAnsi"/>
          <w:sz w:val="20"/>
          <w:szCs w:val="20"/>
        </w:rPr>
        <w:t xml:space="preserve"> </w:t>
      </w:r>
      <w:r w:rsidRPr="00757FDA">
        <w:rPr>
          <w:rFonts w:asciiTheme="majorHAnsi" w:hAnsiTheme="majorHAnsi" w:cstheme="majorHAnsi"/>
          <w:sz w:val="20"/>
          <w:szCs w:val="20"/>
        </w:rPr>
        <w:t>However, its analgesic effect is limited in duration, and the precision of infiltration is variable.</w:t>
      </w:r>
    </w:p>
    <w:p w14:paraId="0C6E1B3F" w14:textId="77777777" w:rsidR="00B64B50" w:rsidRPr="00387DE1" w:rsidRDefault="00B64B50" w:rsidP="00B64B50">
      <w:pPr>
        <w:spacing w:line="480" w:lineRule="auto"/>
        <w:ind w:firstLine="840"/>
        <w:rPr>
          <w:rFonts w:asciiTheme="majorHAnsi" w:hAnsiTheme="majorHAnsi" w:cstheme="majorHAnsi"/>
          <w:sz w:val="20"/>
          <w:szCs w:val="20"/>
        </w:rPr>
      </w:pPr>
      <w:r w:rsidRPr="008E326D">
        <w:rPr>
          <w:rFonts w:asciiTheme="majorHAnsi" w:hAnsiTheme="majorHAnsi" w:cstheme="majorHAnsi"/>
          <w:sz w:val="20"/>
          <w:szCs w:val="20"/>
        </w:rPr>
        <w:t xml:space="preserve">The posterior capsular LIA reduces posterior knee pain after TKA and improves early </w:t>
      </w:r>
      <w:r w:rsidRPr="008E326D">
        <w:rPr>
          <w:rFonts w:asciiTheme="majorHAnsi" w:hAnsiTheme="majorHAnsi" w:cstheme="majorHAnsi"/>
          <w:sz w:val="20"/>
          <w:szCs w:val="20"/>
        </w:rPr>
        <w:lastRenderedPageBreak/>
        <w:t xml:space="preserve">mobilization; however, its short duration and limited precision make </w:t>
      </w:r>
      <w:r>
        <w:rPr>
          <w:rFonts w:asciiTheme="majorHAnsi" w:hAnsiTheme="majorHAnsi" w:cstheme="majorHAnsi"/>
          <w:sz w:val="20"/>
          <w:szCs w:val="20"/>
        </w:rPr>
        <w:t>I</w:t>
      </w:r>
      <w:r w:rsidRPr="008E326D">
        <w:rPr>
          <w:rFonts w:asciiTheme="majorHAnsi" w:hAnsiTheme="majorHAnsi" w:cstheme="majorHAnsi"/>
          <w:sz w:val="20"/>
          <w:szCs w:val="20"/>
        </w:rPr>
        <w:t>PACK a more reliable option for modern multimodal analgesia protocols.</w:t>
      </w:r>
      <w:r>
        <w:rPr>
          <w:rFonts w:asciiTheme="majorHAnsi" w:hAnsiTheme="majorHAnsi" w:cstheme="majorHAnsi"/>
          <w:sz w:val="20"/>
          <w:szCs w:val="20"/>
        </w:rPr>
        <w:t xml:space="preserve"> However, our results showed </w:t>
      </w:r>
      <w:r>
        <w:rPr>
          <w:rFonts w:ascii="Arial" w:eastAsia="MS Mincho" w:hAnsi="Arial" w:cs="Arial"/>
          <w:sz w:val="20"/>
          <w:szCs w:val="20"/>
        </w:rPr>
        <w:t xml:space="preserve">that the </w:t>
      </w:r>
      <w:r w:rsidRPr="00387DE1">
        <w:rPr>
          <w:rFonts w:asciiTheme="majorHAnsi" w:hAnsiTheme="majorHAnsi" w:cstheme="majorHAnsi"/>
          <w:sz w:val="20"/>
          <w:szCs w:val="20"/>
        </w:rPr>
        <w:t>IPACK block and LIA are equivalent and effective adjuvants for FNB after TKA.</w:t>
      </w:r>
      <w:r>
        <w:rPr>
          <w:rFonts w:asciiTheme="majorHAnsi" w:hAnsiTheme="majorHAnsi" w:cstheme="majorHAnsi"/>
          <w:sz w:val="20"/>
          <w:szCs w:val="20"/>
        </w:rPr>
        <w:t xml:space="preserve"> </w:t>
      </w:r>
      <w:r w:rsidRPr="001642C7">
        <w:rPr>
          <w:rFonts w:asciiTheme="majorHAnsi" w:hAnsiTheme="majorHAnsi" w:cstheme="majorHAnsi"/>
          <w:sz w:val="20"/>
          <w:szCs w:val="20"/>
        </w:rPr>
        <w:t xml:space="preserve">One possible </w:t>
      </w:r>
      <w:r>
        <w:rPr>
          <w:rFonts w:asciiTheme="majorHAnsi" w:hAnsiTheme="majorHAnsi" w:cstheme="majorHAnsi"/>
          <w:sz w:val="20"/>
          <w:szCs w:val="20"/>
        </w:rPr>
        <w:t>explanation for this</w:t>
      </w:r>
      <w:r>
        <w:rPr>
          <w:rFonts w:ascii="Arial" w:eastAsia="MS Mincho" w:hAnsi="Arial" w:cs="Arial"/>
          <w:sz w:val="20"/>
          <w:szCs w:val="20"/>
        </w:rPr>
        <w:t xml:space="preserve"> is that LIA </w:t>
      </w:r>
      <w:r w:rsidRPr="001642C7">
        <w:rPr>
          <w:rFonts w:asciiTheme="majorHAnsi" w:hAnsiTheme="majorHAnsi" w:cstheme="majorHAnsi"/>
          <w:sz w:val="20"/>
          <w:szCs w:val="20"/>
        </w:rPr>
        <w:t>was performed by a single skilled orthopedic surgeon.</w:t>
      </w:r>
    </w:p>
    <w:p w14:paraId="771802CB" w14:textId="77777777" w:rsidR="00B64B50" w:rsidRPr="000525B9" w:rsidRDefault="00B64B50" w:rsidP="00B64B50">
      <w:pPr>
        <w:autoSpaceDE w:val="0"/>
        <w:autoSpaceDN w:val="0"/>
        <w:adjustRightInd w:val="0"/>
        <w:spacing w:line="480" w:lineRule="auto"/>
        <w:jc w:val="left"/>
        <w:rPr>
          <w:rFonts w:ascii="Arial" w:hAnsi="Arial" w:cs="Arial"/>
          <w:b/>
          <w:sz w:val="22"/>
        </w:rPr>
      </w:pPr>
      <w:r w:rsidRPr="000525B9">
        <w:rPr>
          <w:rFonts w:ascii="Arial" w:hAnsi="Arial" w:cs="Arial"/>
          <w:b/>
          <w:sz w:val="22"/>
        </w:rPr>
        <w:t>5. CONCLUSION</w:t>
      </w:r>
    </w:p>
    <w:p w14:paraId="6F302DD0" w14:textId="041F69C6" w:rsidR="00B64B50" w:rsidRDefault="00B64B50" w:rsidP="00B64B50">
      <w:pPr>
        <w:autoSpaceDE w:val="0"/>
        <w:autoSpaceDN w:val="0"/>
        <w:adjustRightInd w:val="0"/>
        <w:spacing w:line="480" w:lineRule="auto"/>
        <w:ind w:firstLineChars="354" w:firstLine="708"/>
        <w:jc w:val="left"/>
        <w:rPr>
          <w:rFonts w:ascii="Arial" w:hAnsi="Arial" w:cs="Arial"/>
          <w:sz w:val="20"/>
          <w:szCs w:val="20"/>
        </w:rPr>
      </w:pPr>
      <w:r w:rsidRPr="00B31854">
        <w:rPr>
          <w:rFonts w:ascii="Arial" w:hAnsi="Arial" w:cs="Arial"/>
          <w:sz w:val="20"/>
          <w:szCs w:val="20"/>
        </w:rPr>
        <w:t xml:space="preserve">We conclude that </w:t>
      </w:r>
      <w:r>
        <w:rPr>
          <w:rFonts w:ascii="Arial" w:eastAsia="MS Mincho" w:hAnsi="Arial" w:cs="Arial"/>
          <w:sz w:val="20"/>
          <w:szCs w:val="20"/>
        </w:rPr>
        <w:t xml:space="preserve">the </w:t>
      </w:r>
      <w:r w:rsidRPr="001642C7">
        <w:rPr>
          <w:rFonts w:ascii="Arial" w:hAnsi="Arial" w:cs="Arial"/>
          <w:sz w:val="20"/>
          <w:szCs w:val="20"/>
        </w:rPr>
        <w:t>IPACK block and LIA are equivalent and effective adjuvants for FNB after TKA.</w:t>
      </w:r>
    </w:p>
    <w:p w14:paraId="4429744C" w14:textId="2734F421" w:rsidR="00B64B50" w:rsidRDefault="00B64B50" w:rsidP="00B64B50">
      <w:pPr>
        <w:autoSpaceDE w:val="0"/>
        <w:autoSpaceDN w:val="0"/>
        <w:adjustRightInd w:val="0"/>
        <w:spacing w:line="480" w:lineRule="auto"/>
        <w:ind w:firstLineChars="354" w:firstLine="708"/>
        <w:jc w:val="left"/>
        <w:rPr>
          <w:rFonts w:ascii="Arial" w:hAnsi="Arial" w:cs="Arial"/>
          <w:sz w:val="20"/>
          <w:szCs w:val="20"/>
        </w:rPr>
      </w:pPr>
    </w:p>
    <w:p w14:paraId="35866603" w14:textId="70126273" w:rsidR="00B64B50" w:rsidRDefault="00B64B50" w:rsidP="00B64B50">
      <w:pPr>
        <w:autoSpaceDE w:val="0"/>
        <w:autoSpaceDN w:val="0"/>
        <w:adjustRightInd w:val="0"/>
        <w:spacing w:line="480" w:lineRule="auto"/>
        <w:ind w:firstLineChars="354" w:firstLine="708"/>
        <w:jc w:val="left"/>
        <w:rPr>
          <w:rFonts w:ascii="Arial" w:hAnsi="Arial" w:cs="Arial"/>
          <w:sz w:val="20"/>
          <w:szCs w:val="20"/>
        </w:rPr>
      </w:pPr>
    </w:p>
    <w:p w14:paraId="0C57CE57" w14:textId="5B4D13E7" w:rsidR="00B64B50" w:rsidRDefault="00B64B50" w:rsidP="00B64B50">
      <w:pPr>
        <w:autoSpaceDE w:val="0"/>
        <w:autoSpaceDN w:val="0"/>
        <w:adjustRightInd w:val="0"/>
        <w:spacing w:line="480" w:lineRule="auto"/>
        <w:ind w:firstLineChars="354" w:firstLine="708"/>
        <w:jc w:val="left"/>
        <w:rPr>
          <w:rFonts w:ascii="Arial" w:hAnsi="Arial" w:cs="Arial"/>
          <w:sz w:val="20"/>
          <w:szCs w:val="20"/>
        </w:rPr>
      </w:pPr>
    </w:p>
    <w:p w14:paraId="370166DA" w14:textId="0EB54045" w:rsidR="00B64B50" w:rsidRDefault="00B64B50" w:rsidP="00B64B50">
      <w:pPr>
        <w:autoSpaceDE w:val="0"/>
        <w:autoSpaceDN w:val="0"/>
        <w:adjustRightInd w:val="0"/>
        <w:spacing w:line="480" w:lineRule="auto"/>
        <w:ind w:firstLineChars="354" w:firstLine="708"/>
        <w:jc w:val="left"/>
        <w:rPr>
          <w:rFonts w:ascii="Arial" w:hAnsi="Arial" w:cs="Arial"/>
          <w:sz w:val="20"/>
          <w:szCs w:val="20"/>
        </w:rPr>
      </w:pPr>
    </w:p>
    <w:p w14:paraId="5A6F58DA" w14:textId="61D10F37" w:rsidR="00B64B50" w:rsidRDefault="00B64B50" w:rsidP="00B64B50">
      <w:pPr>
        <w:autoSpaceDE w:val="0"/>
        <w:autoSpaceDN w:val="0"/>
        <w:adjustRightInd w:val="0"/>
        <w:spacing w:line="480" w:lineRule="auto"/>
        <w:ind w:firstLineChars="354" w:firstLine="708"/>
        <w:jc w:val="left"/>
        <w:rPr>
          <w:rFonts w:ascii="Arial" w:hAnsi="Arial" w:cs="Arial"/>
          <w:sz w:val="20"/>
          <w:szCs w:val="20"/>
        </w:rPr>
      </w:pPr>
    </w:p>
    <w:p w14:paraId="2C419576" w14:textId="005A0573" w:rsidR="00B64B50" w:rsidRDefault="00B64B50" w:rsidP="00B64B50">
      <w:pPr>
        <w:autoSpaceDE w:val="0"/>
        <w:autoSpaceDN w:val="0"/>
        <w:adjustRightInd w:val="0"/>
        <w:spacing w:line="480" w:lineRule="auto"/>
        <w:ind w:firstLineChars="354" w:firstLine="708"/>
        <w:jc w:val="left"/>
        <w:rPr>
          <w:rFonts w:ascii="Arial" w:hAnsi="Arial" w:cs="Arial"/>
          <w:sz w:val="20"/>
          <w:szCs w:val="20"/>
        </w:rPr>
      </w:pPr>
    </w:p>
    <w:p w14:paraId="188FAFB2" w14:textId="440246B0" w:rsidR="00B64B50" w:rsidRDefault="00B64B50" w:rsidP="00B64B50">
      <w:pPr>
        <w:autoSpaceDE w:val="0"/>
        <w:autoSpaceDN w:val="0"/>
        <w:adjustRightInd w:val="0"/>
        <w:spacing w:line="480" w:lineRule="auto"/>
        <w:ind w:firstLineChars="354" w:firstLine="708"/>
        <w:jc w:val="left"/>
        <w:rPr>
          <w:rFonts w:ascii="Arial" w:hAnsi="Arial" w:cs="Arial"/>
          <w:sz w:val="20"/>
          <w:szCs w:val="20"/>
        </w:rPr>
      </w:pPr>
    </w:p>
    <w:p w14:paraId="265EA262" w14:textId="4B86E169" w:rsidR="00B64B50" w:rsidRDefault="00B64B50" w:rsidP="00B64B50">
      <w:pPr>
        <w:autoSpaceDE w:val="0"/>
        <w:autoSpaceDN w:val="0"/>
        <w:adjustRightInd w:val="0"/>
        <w:spacing w:line="480" w:lineRule="auto"/>
        <w:ind w:firstLineChars="354" w:firstLine="708"/>
        <w:jc w:val="left"/>
        <w:rPr>
          <w:rFonts w:ascii="Arial" w:hAnsi="Arial" w:cs="Arial"/>
          <w:sz w:val="20"/>
          <w:szCs w:val="20"/>
        </w:rPr>
      </w:pPr>
    </w:p>
    <w:p w14:paraId="10824C18" w14:textId="11DF84D0" w:rsidR="00B64B50" w:rsidRDefault="00B64B50" w:rsidP="00B64B50">
      <w:pPr>
        <w:autoSpaceDE w:val="0"/>
        <w:autoSpaceDN w:val="0"/>
        <w:adjustRightInd w:val="0"/>
        <w:spacing w:line="480" w:lineRule="auto"/>
        <w:ind w:firstLineChars="354" w:firstLine="708"/>
        <w:jc w:val="left"/>
        <w:rPr>
          <w:rFonts w:ascii="Arial" w:hAnsi="Arial" w:cs="Arial"/>
          <w:sz w:val="20"/>
          <w:szCs w:val="20"/>
        </w:rPr>
      </w:pPr>
    </w:p>
    <w:p w14:paraId="46F6E732" w14:textId="57F5CDFB" w:rsidR="00B64B50" w:rsidRDefault="00B64B50" w:rsidP="00B64B50">
      <w:pPr>
        <w:autoSpaceDE w:val="0"/>
        <w:autoSpaceDN w:val="0"/>
        <w:adjustRightInd w:val="0"/>
        <w:spacing w:line="480" w:lineRule="auto"/>
        <w:ind w:firstLineChars="354" w:firstLine="708"/>
        <w:jc w:val="left"/>
        <w:rPr>
          <w:rFonts w:ascii="Arial" w:hAnsi="Arial" w:cs="Arial"/>
          <w:sz w:val="20"/>
          <w:szCs w:val="20"/>
        </w:rPr>
      </w:pPr>
    </w:p>
    <w:p w14:paraId="0BEBEADB" w14:textId="4A8CCDD0" w:rsidR="00B64B50" w:rsidRDefault="00B64B50" w:rsidP="00B64B50">
      <w:pPr>
        <w:autoSpaceDE w:val="0"/>
        <w:autoSpaceDN w:val="0"/>
        <w:adjustRightInd w:val="0"/>
        <w:spacing w:line="480" w:lineRule="auto"/>
        <w:ind w:firstLineChars="354" w:firstLine="708"/>
        <w:jc w:val="left"/>
        <w:rPr>
          <w:rFonts w:ascii="Arial" w:hAnsi="Arial" w:cs="Arial"/>
          <w:sz w:val="20"/>
          <w:szCs w:val="20"/>
        </w:rPr>
      </w:pPr>
    </w:p>
    <w:p w14:paraId="16C08EE3" w14:textId="4C3C7A44" w:rsidR="00B64B50" w:rsidRDefault="00B64B50" w:rsidP="00B64B50">
      <w:pPr>
        <w:autoSpaceDE w:val="0"/>
        <w:autoSpaceDN w:val="0"/>
        <w:adjustRightInd w:val="0"/>
        <w:spacing w:line="480" w:lineRule="auto"/>
        <w:ind w:firstLineChars="354" w:firstLine="708"/>
        <w:jc w:val="left"/>
        <w:rPr>
          <w:rFonts w:ascii="Arial" w:hAnsi="Arial" w:cs="Arial"/>
          <w:sz w:val="20"/>
          <w:szCs w:val="20"/>
        </w:rPr>
      </w:pPr>
    </w:p>
    <w:p w14:paraId="472B6B14" w14:textId="3D381C08" w:rsidR="00B64B50" w:rsidRDefault="00B64B50" w:rsidP="00B64B50">
      <w:pPr>
        <w:autoSpaceDE w:val="0"/>
        <w:autoSpaceDN w:val="0"/>
        <w:adjustRightInd w:val="0"/>
        <w:spacing w:line="480" w:lineRule="auto"/>
        <w:ind w:firstLineChars="354" w:firstLine="708"/>
        <w:jc w:val="left"/>
        <w:rPr>
          <w:rFonts w:ascii="Arial" w:hAnsi="Arial" w:cs="Arial"/>
          <w:sz w:val="20"/>
          <w:szCs w:val="20"/>
        </w:rPr>
      </w:pPr>
    </w:p>
    <w:p w14:paraId="2C984230" w14:textId="13C1DC18" w:rsidR="00B64B50" w:rsidRDefault="00B64B50" w:rsidP="00B64B50">
      <w:pPr>
        <w:autoSpaceDE w:val="0"/>
        <w:autoSpaceDN w:val="0"/>
        <w:adjustRightInd w:val="0"/>
        <w:spacing w:line="480" w:lineRule="auto"/>
        <w:ind w:firstLineChars="354" w:firstLine="708"/>
        <w:jc w:val="left"/>
        <w:rPr>
          <w:rFonts w:ascii="Arial" w:hAnsi="Arial" w:cs="Arial"/>
          <w:sz w:val="20"/>
          <w:szCs w:val="20"/>
        </w:rPr>
      </w:pPr>
    </w:p>
    <w:p w14:paraId="0F254B74" w14:textId="2404DFF1" w:rsidR="00B64B50" w:rsidRDefault="00B64B50" w:rsidP="00B64B50">
      <w:pPr>
        <w:autoSpaceDE w:val="0"/>
        <w:autoSpaceDN w:val="0"/>
        <w:adjustRightInd w:val="0"/>
        <w:spacing w:line="480" w:lineRule="auto"/>
        <w:ind w:firstLineChars="354" w:firstLine="708"/>
        <w:jc w:val="left"/>
        <w:rPr>
          <w:rFonts w:ascii="Arial" w:hAnsi="Arial" w:cs="Arial"/>
          <w:sz w:val="20"/>
          <w:szCs w:val="20"/>
        </w:rPr>
      </w:pPr>
    </w:p>
    <w:p w14:paraId="6A0FF8D0" w14:textId="7AE8EE88" w:rsidR="00B64B50" w:rsidRDefault="00B64B50" w:rsidP="00B64B50">
      <w:pPr>
        <w:autoSpaceDE w:val="0"/>
        <w:autoSpaceDN w:val="0"/>
        <w:adjustRightInd w:val="0"/>
        <w:spacing w:line="480" w:lineRule="auto"/>
        <w:ind w:firstLineChars="354" w:firstLine="708"/>
        <w:jc w:val="left"/>
        <w:rPr>
          <w:rFonts w:ascii="Arial" w:hAnsi="Arial" w:cs="Arial"/>
          <w:sz w:val="20"/>
          <w:szCs w:val="20"/>
        </w:rPr>
      </w:pPr>
    </w:p>
    <w:p w14:paraId="5513C939" w14:textId="57516030" w:rsidR="00B64B50" w:rsidRDefault="00B64B50" w:rsidP="00B64B50">
      <w:pPr>
        <w:autoSpaceDE w:val="0"/>
        <w:autoSpaceDN w:val="0"/>
        <w:adjustRightInd w:val="0"/>
        <w:spacing w:line="480" w:lineRule="auto"/>
        <w:ind w:firstLineChars="354" w:firstLine="708"/>
        <w:jc w:val="left"/>
        <w:rPr>
          <w:rFonts w:ascii="Arial" w:hAnsi="Arial" w:cs="Arial"/>
          <w:sz w:val="20"/>
          <w:szCs w:val="20"/>
        </w:rPr>
      </w:pPr>
    </w:p>
    <w:p w14:paraId="67E3F889" w14:textId="125B1353" w:rsidR="00B64B50" w:rsidRDefault="00B64B50" w:rsidP="00B64B50">
      <w:pPr>
        <w:autoSpaceDE w:val="0"/>
        <w:autoSpaceDN w:val="0"/>
        <w:adjustRightInd w:val="0"/>
        <w:spacing w:line="480" w:lineRule="auto"/>
        <w:ind w:firstLineChars="354" w:firstLine="708"/>
        <w:jc w:val="left"/>
        <w:rPr>
          <w:rFonts w:ascii="Arial" w:hAnsi="Arial" w:cs="Arial"/>
          <w:sz w:val="20"/>
          <w:szCs w:val="20"/>
        </w:rPr>
      </w:pPr>
    </w:p>
    <w:p w14:paraId="4B010AA1" w14:textId="043B9C20" w:rsidR="00B64B50" w:rsidRDefault="00B64B50" w:rsidP="00B64B50">
      <w:pPr>
        <w:autoSpaceDE w:val="0"/>
        <w:autoSpaceDN w:val="0"/>
        <w:adjustRightInd w:val="0"/>
        <w:spacing w:line="480" w:lineRule="auto"/>
        <w:ind w:firstLineChars="354" w:firstLine="708"/>
        <w:jc w:val="left"/>
        <w:rPr>
          <w:rFonts w:ascii="Arial" w:hAnsi="Arial" w:cs="Arial"/>
          <w:sz w:val="20"/>
          <w:szCs w:val="20"/>
        </w:rPr>
      </w:pPr>
    </w:p>
    <w:p w14:paraId="7DE126E7" w14:textId="57BEB490" w:rsidR="00B64B50" w:rsidRDefault="00B64B50" w:rsidP="00B64B50">
      <w:pPr>
        <w:autoSpaceDE w:val="0"/>
        <w:autoSpaceDN w:val="0"/>
        <w:adjustRightInd w:val="0"/>
        <w:spacing w:line="480" w:lineRule="auto"/>
        <w:ind w:firstLineChars="354" w:firstLine="708"/>
        <w:jc w:val="left"/>
        <w:rPr>
          <w:rFonts w:ascii="Arial" w:hAnsi="Arial" w:cs="Arial"/>
          <w:sz w:val="20"/>
          <w:szCs w:val="20"/>
        </w:rPr>
      </w:pPr>
    </w:p>
    <w:p w14:paraId="4A21E495" w14:textId="77777777" w:rsidR="00B64B50" w:rsidRDefault="00B64B50" w:rsidP="00B64B50">
      <w:pPr>
        <w:autoSpaceDE w:val="0"/>
        <w:autoSpaceDN w:val="0"/>
        <w:adjustRightInd w:val="0"/>
        <w:spacing w:line="480" w:lineRule="auto"/>
        <w:ind w:firstLineChars="354" w:firstLine="708"/>
        <w:jc w:val="left"/>
        <w:rPr>
          <w:rFonts w:ascii="Arial" w:hAnsi="Arial" w:cs="Arial"/>
          <w:sz w:val="20"/>
          <w:szCs w:val="20"/>
        </w:rPr>
      </w:pPr>
    </w:p>
    <w:p w14:paraId="0DE9C9F0" w14:textId="0E75C087" w:rsidR="00573A9F" w:rsidRDefault="00573A9F" w:rsidP="00EA1D7C">
      <w:pPr>
        <w:spacing w:line="480" w:lineRule="auto"/>
        <w:rPr>
          <w:rFonts w:ascii="Arial" w:eastAsia="MS PGothic" w:hAnsi="Arial" w:cs="Arial"/>
          <w:b/>
          <w:kern w:val="0"/>
          <w:sz w:val="22"/>
        </w:rPr>
      </w:pPr>
      <w:bookmarkStart w:id="0" w:name="_GoBack"/>
      <w:bookmarkEnd w:id="0"/>
      <w:r w:rsidRPr="00573A9F">
        <w:rPr>
          <w:rFonts w:ascii="Arial" w:eastAsia="MS PGothic" w:hAnsi="Arial" w:cs="Arial"/>
          <w:b/>
          <w:kern w:val="0"/>
          <w:sz w:val="22"/>
        </w:rPr>
        <w:lastRenderedPageBreak/>
        <w:t>Consent</w:t>
      </w:r>
    </w:p>
    <w:p w14:paraId="5667A7B3" w14:textId="46B1C374" w:rsidR="00573A9F" w:rsidRDefault="00573A9F" w:rsidP="00EA1D7C">
      <w:pPr>
        <w:spacing w:line="480" w:lineRule="auto"/>
        <w:rPr>
          <w:rFonts w:ascii="Arial" w:hAnsi="Arial" w:cs="Arial"/>
          <w:sz w:val="20"/>
          <w:szCs w:val="20"/>
        </w:rPr>
      </w:pPr>
      <w:r>
        <w:rPr>
          <w:rFonts w:ascii="Arial" w:eastAsia="MS PGothic" w:hAnsi="Arial" w:cs="Arial"/>
          <w:b/>
          <w:kern w:val="0"/>
          <w:sz w:val="22"/>
        </w:rPr>
        <w:tab/>
      </w:r>
      <w:r w:rsidRPr="00BE76E1">
        <w:rPr>
          <w:rFonts w:ascii="Arial" w:hAnsi="Arial" w:cs="Arial"/>
          <w:sz w:val="20"/>
          <w:szCs w:val="20"/>
        </w:rPr>
        <w:t xml:space="preserve">The study protocol was approved by the Institutional Research and Ethics Committee </w:t>
      </w:r>
      <w:r w:rsidRPr="00BE76E1">
        <w:rPr>
          <w:rFonts w:ascii="Arial" w:eastAsia="MS Mincho" w:hAnsi="Arial" w:cs="Arial"/>
          <w:sz w:val="20"/>
          <w:szCs w:val="20"/>
        </w:rPr>
        <w:t xml:space="preserve">of Nagasaki Rosai Hospital on </w:t>
      </w:r>
      <w:r w:rsidR="00E72EB6">
        <w:rPr>
          <w:rFonts w:ascii="Arial" w:hAnsi="Arial" w:cs="Arial"/>
          <w:sz w:val="20"/>
          <w:szCs w:val="20"/>
        </w:rPr>
        <w:t>March 16, 2020 (No. 01029</w:t>
      </w:r>
      <w:r w:rsidR="00F443BA">
        <w:rPr>
          <w:rFonts w:ascii="Arial" w:hAnsi="Arial" w:cs="Arial"/>
          <w:sz w:val="20"/>
          <w:szCs w:val="20"/>
        </w:rPr>
        <w:t>)</w:t>
      </w:r>
      <w:r w:rsidR="00044396">
        <w:rPr>
          <w:rFonts w:ascii="Arial" w:hAnsi="Arial" w:cs="Arial"/>
          <w:sz w:val="20"/>
          <w:szCs w:val="20"/>
        </w:rPr>
        <w:t xml:space="preserve">. </w:t>
      </w:r>
      <w:r w:rsidRPr="00BE76E1">
        <w:rPr>
          <w:rFonts w:ascii="Arial" w:hAnsi="Arial" w:cs="Arial"/>
          <w:sz w:val="20"/>
          <w:szCs w:val="20"/>
        </w:rPr>
        <w:t>Written informed consent was obtained from all participants.</w:t>
      </w:r>
    </w:p>
    <w:p w14:paraId="4F6CD65F" w14:textId="77777777" w:rsidR="00573A9F" w:rsidRDefault="00573A9F" w:rsidP="00573A9F">
      <w:pPr>
        <w:spacing w:line="480" w:lineRule="auto"/>
        <w:rPr>
          <w:rFonts w:asciiTheme="majorHAnsi" w:hAnsiTheme="majorHAnsi" w:cstheme="majorHAnsi"/>
          <w:b/>
          <w:sz w:val="22"/>
        </w:rPr>
      </w:pPr>
      <w:r w:rsidRPr="00F14592">
        <w:rPr>
          <w:rFonts w:asciiTheme="majorHAnsi" w:hAnsiTheme="majorHAnsi" w:cstheme="majorHAnsi" w:hint="eastAsia"/>
          <w:b/>
          <w:sz w:val="22"/>
        </w:rPr>
        <w:t>Approval</w:t>
      </w:r>
    </w:p>
    <w:p w14:paraId="1D68C824" w14:textId="77777777" w:rsidR="00573A9F" w:rsidRDefault="00573A9F" w:rsidP="00573A9F">
      <w:pPr>
        <w:spacing w:line="480" w:lineRule="auto"/>
        <w:rPr>
          <w:rFonts w:asciiTheme="majorHAnsi" w:hAnsiTheme="majorHAnsi" w:cstheme="majorHAnsi"/>
          <w:sz w:val="20"/>
          <w:szCs w:val="20"/>
        </w:rPr>
      </w:pPr>
      <w:r>
        <w:rPr>
          <w:rFonts w:asciiTheme="majorHAnsi" w:hAnsiTheme="majorHAnsi" w:cstheme="majorHAnsi" w:hint="eastAsia"/>
          <w:b/>
          <w:sz w:val="22"/>
        </w:rPr>
        <w:tab/>
      </w:r>
      <w:r w:rsidRPr="00F14592">
        <w:rPr>
          <w:rFonts w:asciiTheme="majorHAnsi" w:hAnsiTheme="majorHAnsi" w:cstheme="majorHAnsi" w:hint="eastAsia"/>
          <w:sz w:val="20"/>
          <w:szCs w:val="20"/>
        </w:rPr>
        <w:t xml:space="preserve">All authors hereby declare that all experiments have been examined and approved by the </w:t>
      </w:r>
      <w:r w:rsidRPr="00F14592">
        <w:rPr>
          <w:rFonts w:asciiTheme="majorHAnsi" w:hAnsiTheme="majorHAnsi" w:cstheme="majorHAnsi"/>
          <w:sz w:val="20"/>
          <w:szCs w:val="20"/>
        </w:rPr>
        <w:t>appropriate</w:t>
      </w:r>
      <w:r w:rsidRPr="00F14592">
        <w:rPr>
          <w:rFonts w:asciiTheme="majorHAnsi" w:hAnsiTheme="majorHAnsi" w:cstheme="majorHAnsi" w:hint="eastAsia"/>
          <w:sz w:val="20"/>
          <w:szCs w:val="20"/>
        </w:rPr>
        <w:t xml:space="preserve"> ethics committee and have therefore been performed in accordance with the ethical standards laid down in the 1964 Declaration of Helsinki.</w:t>
      </w:r>
    </w:p>
    <w:p w14:paraId="02982042" w14:textId="04D359AD" w:rsidR="00595FB4" w:rsidRPr="00595FB4" w:rsidRDefault="00573A9F" w:rsidP="00595FB4">
      <w:pPr>
        <w:spacing w:line="480" w:lineRule="auto"/>
        <w:rPr>
          <w:rFonts w:asciiTheme="majorHAnsi" w:hAnsiTheme="majorHAnsi" w:cstheme="majorHAnsi"/>
          <w:b/>
          <w:sz w:val="22"/>
        </w:rPr>
      </w:pPr>
      <w:r>
        <w:rPr>
          <w:rFonts w:asciiTheme="majorHAnsi" w:hAnsiTheme="majorHAnsi" w:cstheme="majorHAnsi" w:hint="eastAsia"/>
          <w:b/>
          <w:sz w:val="22"/>
        </w:rPr>
        <w:t>A</w:t>
      </w:r>
      <w:r w:rsidRPr="00027383">
        <w:rPr>
          <w:rFonts w:asciiTheme="majorHAnsi" w:hAnsiTheme="majorHAnsi" w:cstheme="majorHAnsi"/>
          <w:b/>
          <w:sz w:val="22"/>
        </w:rPr>
        <w:t>bbreviations</w:t>
      </w:r>
    </w:p>
    <w:p w14:paraId="4C3A4D5C" w14:textId="0550BBCA" w:rsidR="00573A9F" w:rsidRPr="00227CB0" w:rsidRDefault="00595FB4" w:rsidP="00595FB4">
      <w:pPr>
        <w:spacing w:line="480" w:lineRule="auto"/>
        <w:ind w:firstLine="840"/>
        <w:rPr>
          <w:rFonts w:ascii="Arial" w:eastAsia="MS Mincho" w:hAnsi="Arial" w:cs="Arial"/>
          <w:sz w:val="20"/>
          <w:szCs w:val="20"/>
        </w:rPr>
      </w:pPr>
      <w:r w:rsidRPr="00595FB4">
        <w:rPr>
          <w:rFonts w:ascii="Arial" w:hAnsi="Arial" w:cs="Arial"/>
          <w:sz w:val="20"/>
          <w:szCs w:val="20"/>
        </w:rPr>
        <w:t xml:space="preserve">TKA: total knee arthroplasty; FNB: femoral nerve block; LIA: local infiltration anesthesia; </w:t>
      </w:r>
      <w:proofErr w:type="spellStart"/>
      <w:r w:rsidR="005E422E">
        <w:rPr>
          <w:rFonts w:ascii="Arial" w:hAnsi="Arial" w:cs="Arial"/>
          <w:sz w:val="20"/>
          <w:szCs w:val="20"/>
        </w:rPr>
        <w:t>i</w:t>
      </w:r>
      <w:r w:rsidR="00D354A7">
        <w:rPr>
          <w:rFonts w:ascii="Arial" w:hAnsi="Arial" w:cs="Arial" w:hint="eastAsia"/>
          <w:sz w:val="20"/>
          <w:szCs w:val="20"/>
        </w:rPr>
        <w:t>PACK</w:t>
      </w:r>
      <w:proofErr w:type="spellEnd"/>
      <w:r w:rsidR="00D354A7">
        <w:rPr>
          <w:rFonts w:ascii="Arial" w:hAnsi="Arial" w:cs="Arial" w:hint="eastAsia"/>
          <w:sz w:val="20"/>
          <w:szCs w:val="20"/>
        </w:rPr>
        <w:t>:</w:t>
      </w:r>
      <w:r w:rsidR="005E422E" w:rsidRPr="005E422E">
        <w:t xml:space="preserve"> </w:t>
      </w:r>
      <w:r w:rsidR="005E422E">
        <w:rPr>
          <w:rFonts w:ascii="Arial" w:hAnsi="Arial" w:cs="Arial"/>
          <w:sz w:val="20"/>
          <w:szCs w:val="20"/>
        </w:rPr>
        <w:t>infiltration between the popliteal artery and c</w:t>
      </w:r>
      <w:r w:rsidR="005E422E" w:rsidRPr="005E422E">
        <w:rPr>
          <w:rFonts w:ascii="Arial" w:hAnsi="Arial" w:cs="Arial"/>
          <w:sz w:val="20"/>
          <w:szCs w:val="20"/>
        </w:rPr>
        <w:t>apsule of the Knee</w:t>
      </w:r>
      <w:r w:rsidR="005E422E">
        <w:rPr>
          <w:rFonts w:ascii="Arial" w:hAnsi="Arial" w:cs="Arial"/>
          <w:sz w:val="20"/>
          <w:szCs w:val="20"/>
        </w:rPr>
        <w:t>;</w:t>
      </w:r>
      <w:r w:rsidR="00D354A7">
        <w:rPr>
          <w:rFonts w:ascii="Arial" w:hAnsi="Arial" w:cs="Arial" w:hint="eastAsia"/>
          <w:sz w:val="20"/>
          <w:szCs w:val="20"/>
        </w:rPr>
        <w:t xml:space="preserve"> </w:t>
      </w:r>
      <w:r w:rsidRPr="00595FB4">
        <w:rPr>
          <w:rFonts w:ascii="Arial" w:hAnsi="Arial" w:cs="Arial"/>
          <w:sz w:val="20"/>
          <w:szCs w:val="20"/>
        </w:rPr>
        <w:t xml:space="preserve">PONV: postoperative nausea and vomiting; </w:t>
      </w:r>
      <w:r w:rsidR="005E422E">
        <w:rPr>
          <w:rFonts w:ascii="Arial" w:hAnsi="Arial" w:cs="Arial"/>
          <w:sz w:val="20"/>
          <w:szCs w:val="20"/>
        </w:rPr>
        <w:t xml:space="preserve">I: </w:t>
      </w:r>
      <w:r w:rsidR="005E422E" w:rsidRPr="005E422E">
        <w:rPr>
          <w:rFonts w:ascii="Arial" w:hAnsi="Arial" w:cs="Arial"/>
          <w:sz w:val="20"/>
          <w:szCs w:val="20"/>
        </w:rPr>
        <w:t>local infiltration anesthesia;</w:t>
      </w:r>
      <w:r w:rsidR="005E422E">
        <w:rPr>
          <w:rFonts w:ascii="Arial" w:hAnsi="Arial" w:cs="Arial"/>
          <w:sz w:val="20"/>
          <w:szCs w:val="20"/>
        </w:rPr>
        <w:t xml:space="preserve"> B; </w:t>
      </w:r>
      <w:r w:rsidR="005E422E" w:rsidRPr="005E422E">
        <w:rPr>
          <w:rFonts w:ascii="Arial" w:hAnsi="Arial" w:cs="Arial"/>
          <w:sz w:val="20"/>
          <w:szCs w:val="20"/>
        </w:rPr>
        <w:t>infiltration between the popli</w:t>
      </w:r>
      <w:r w:rsidR="005E422E">
        <w:rPr>
          <w:rFonts w:ascii="Arial" w:hAnsi="Arial" w:cs="Arial"/>
          <w:sz w:val="20"/>
          <w:szCs w:val="20"/>
        </w:rPr>
        <w:t>teal artery and capsule of the k</w:t>
      </w:r>
      <w:r w:rsidR="005E422E" w:rsidRPr="005E422E">
        <w:rPr>
          <w:rFonts w:ascii="Arial" w:hAnsi="Arial" w:cs="Arial"/>
          <w:sz w:val="20"/>
          <w:szCs w:val="20"/>
        </w:rPr>
        <w:t>nee</w:t>
      </w:r>
      <w:r w:rsidR="005E422E">
        <w:rPr>
          <w:rFonts w:ascii="Arial" w:hAnsi="Arial" w:cs="Arial"/>
          <w:sz w:val="20"/>
          <w:szCs w:val="20"/>
        </w:rPr>
        <w:t xml:space="preserve"> block</w:t>
      </w:r>
      <w:r w:rsidR="005E422E" w:rsidRPr="005E422E">
        <w:rPr>
          <w:rFonts w:ascii="Arial" w:hAnsi="Arial" w:cs="Arial"/>
          <w:sz w:val="20"/>
          <w:szCs w:val="20"/>
        </w:rPr>
        <w:t>;</w:t>
      </w:r>
      <w:r w:rsidR="005E422E">
        <w:rPr>
          <w:rFonts w:ascii="Arial" w:hAnsi="Arial" w:cs="Arial"/>
          <w:sz w:val="20"/>
          <w:szCs w:val="20"/>
        </w:rPr>
        <w:t xml:space="preserve"> </w:t>
      </w:r>
      <w:r w:rsidRPr="00595FB4">
        <w:rPr>
          <w:rFonts w:ascii="Arial" w:hAnsi="Arial" w:cs="Arial"/>
          <w:sz w:val="20"/>
          <w:szCs w:val="20"/>
        </w:rPr>
        <w:t>TCI: target-controlled infusion; NRS: numerical rating scale; ANOVA: A factorial analysis of variance;</w:t>
      </w:r>
      <w:r w:rsidR="00403D61" w:rsidRPr="00403D61">
        <w:t xml:space="preserve"> </w:t>
      </w:r>
      <w:r w:rsidR="00403D61">
        <w:t xml:space="preserve">ACB: </w:t>
      </w:r>
      <w:r w:rsidR="00403D61">
        <w:rPr>
          <w:rFonts w:ascii="Arial" w:hAnsi="Arial" w:cs="Arial"/>
          <w:sz w:val="20"/>
          <w:szCs w:val="20"/>
        </w:rPr>
        <w:t>adductor canal block;</w:t>
      </w:r>
      <w:r w:rsidRPr="00595FB4">
        <w:rPr>
          <w:rFonts w:ascii="Arial" w:hAnsi="Arial" w:cs="Arial"/>
          <w:sz w:val="20"/>
          <w:szCs w:val="20"/>
        </w:rPr>
        <w:t xml:space="preserve"> </w:t>
      </w:r>
      <w:r w:rsidR="00573A9F" w:rsidRPr="00027383">
        <w:rPr>
          <w:rFonts w:asciiTheme="majorHAnsi" w:hAnsiTheme="majorHAnsi" w:cstheme="majorHAnsi"/>
          <w:sz w:val="20"/>
          <w:szCs w:val="20"/>
        </w:rPr>
        <w:t xml:space="preserve">ASA: American Society of Anesthesiologists; </w:t>
      </w:r>
    </w:p>
    <w:p w14:paraId="0D3A7279" w14:textId="77777777" w:rsidR="00C54410" w:rsidRDefault="00C54410" w:rsidP="00EA1D7C">
      <w:pPr>
        <w:spacing w:line="480" w:lineRule="auto"/>
        <w:rPr>
          <w:rFonts w:ascii="Arial" w:hAnsi="Arial" w:cs="Arial"/>
          <w:sz w:val="20"/>
          <w:szCs w:val="20"/>
        </w:rPr>
      </w:pPr>
    </w:p>
    <w:p w14:paraId="7D843B4A" w14:textId="77777777" w:rsidR="00C54410" w:rsidRDefault="00C54410" w:rsidP="00EA1D7C">
      <w:pPr>
        <w:spacing w:line="480" w:lineRule="auto"/>
        <w:rPr>
          <w:rFonts w:ascii="Arial" w:hAnsi="Arial" w:cs="Arial"/>
          <w:sz w:val="20"/>
          <w:szCs w:val="20"/>
        </w:rPr>
      </w:pPr>
    </w:p>
    <w:p w14:paraId="22EE71EB" w14:textId="77777777" w:rsidR="00C54410" w:rsidRDefault="00C54410" w:rsidP="00EA1D7C">
      <w:pPr>
        <w:spacing w:line="480" w:lineRule="auto"/>
        <w:rPr>
          <w:rFonts w:ascii="Arial" w:hAnsi="Arial" w:cs="Arial"/>
          <w:sz w:val="20"/>
          <w:szCs w:val="20"/>
        </w:rPr>
      </w:pPr>
    </w:p>
    <w:p w14:paraId="5537C889" w14:textId="77777777" w:rsidR="00C54410" w:rsidRDefault="00C54410" w:rsidP="00EA1D7C">
      <w:pPr>
        <w:spacing w:line="480" w:lineRule="auto"/>
        <w:rPr>
          <w:rFonts w:ascii="Arial" w:hAnsi="Arial" w:cs="Arial"/>
          <w:sz w:val="20"/>
          <w:szCs w:val="20"/>
        </w:rPr>
      </w:pPr>
    </w:p>
    <w:p w14:paraId="5ECEEC3F" w14:textId="2128232F" w:rsidR="00EA1D7C" w:rsidRPr="005E7B32" w:rsidRDefault="00EA1D7C" w:rsidP="005E7B32">
      <w:pPr>
        <w:spacing w:line="480" w:lineRule="auto"/>
        <w:rPr>
          <w:rFonts w:ascii="Arial" w:eastAsia="MS PGothic" w:hAnsi="Arial" w:cs="Arial"/>
          <w:kern w:val="0"/>
          <w:sz w:val="20"/>
          <w:szCs w:val="20"/>
        </w:rPr>
      </w:pPr>
      <w:r w:rsidRPr="008C0669">
        <w:rPr>
          <w:rFonts w:ascii="Arial" w:hAnsi="Arial" w:cs="Arial"/>
          <w:b/>
          <w:sz w:val="22"/>
        </w:rPr>
        <w:t>References</w:t>
      </w:r>
    </w:p>
    <w:p w14:paraId="1A8F8223" w14:textId="7A83851A" w:rsidR="000F3BF0" w:rsidRPr="00E02F7C" w:rsidRDefault="000F3BF0" w:rsidP="00E02F7C">
      <w:pPr>
        <w:pStyle w:val="ListParagraph"/>
        <w:numPr>
          <w:ilvl w:val="0"/>
          <w:numId w:val="2"/>
        </w:numPr>
        <w:autoSpaceDE w:val="0"/>
        <w:autoSpaceDN w:val="0"/>
        <w:adjustRightInd w:val="0"/>
        <w:spacing w:line="480" w:lineRule="auto"/>
        <w:ind w:leftChars="0"/>
        <w:jc w:val="left"/>
        <w:rPr>
          <w:rFonts w:asciiTheme="majorHAnsi" w:hAnsiTheme="majorHAnsi" w:cstheme="majorHAnsi"/>
          <w:sz w:val="20"/>
          <w:szCs w:val="20"/>
        </w:rPr>
      </w:pPr>
      <w:r w:rsidRPr="000F3BF0">
        <w:rPr>
          <w:rFonts w:asciiTheme="majorHAnsi" w:hAnsiTheme="majorHAnsi" w:cstheme="majorHAnsi"/>
          <w:sz w:val="20"/>
          <w:szCs w:val="20"/>
        </w:rPr>
        <w:t>Amar S, Chitranjan S. Pain management and accelerated rehabilitation for total hip and total knee arthroplasty. J Arthroplasty. 2007; 22: 12-5</w:t>
      </w:r>
      <w:r w:rsidR="00E02F7C">
        <w:rPr>
          <w:rFonts w:asciiTheme="majorHAnsi" w:hAnsiTheme="majorHAnsi" w:cstheme="majorHAnsi" w:hint="eastAsia"/>
          <w:sz w:val="20"/>
          <w:szCs w:val="20"/>
        </w:rPr>
        <w:t>.</w:t>
      </w:r>
      <w:r w:rsidRPr="000F3BF0">
        <w:rPr>
          <w:rFonts w:asciiTheme="majorHAnsi" w:hAnsiTheme="majorHAnsi" w:cstheme="majorHAnsi"/>
          <w:sz w:val="20"/>
          <w:szCs w:val="20"/>
        </w:rPr>
        <w:t xml:space="preserve"> </w:t>
      </w:r>
      <w:r w:rsidR="00E02F7C">
        <w:rPr>
          <w:rFonts w:asciiTheme="majorHAnsi" w:hAnsiTheme="majorHAnsi" w:cstheme="majorHAnsi"/>
          <w:sz w:val="20"/>
          <w:szCs w:val="20"/>
        </w:rPr>
        <w:t>[</w:t>
      </w:r>
      <w:r w:rsidR="00B50981" w:rsidRPr="00B50981">
        <w:rPr>
          <w:rFonts w:asciiTheme="majorHAnsi" w:hAnsiTheme="majorHAnsi" w:cstheme="majorHAnsi"/>
          <w:sz w:val="20"/>
          <w:szCs w:val="20"/>
        </w:rPr>
        <w:t>PMID: 17919586</w:t>
      </w:r>
      <w:r w:rsidR="00E02F7C">
        <w:rPr>
          <w:rFonts w:asciiTheme="majorHAnsi" w:hAnsiTheme="majorHAnsi" w:cstheme="majorHAnsi"/>
          <w:sz w:val="20"/>
          <w:szCs w:val="20"/>
        </w:rPr>
        <w:t xml:space="preserve"> </w:t>
      </w:r>
      <w:r w:rsidR="00B50981" w:rsidRPr="00E02F7C">
        <w:rPr>
          <w:rFonts w:asciiTheme="majorHAnsi" w:hAnsiTheme="majorHAnsi" w:cstheme="majorHAnsi"/>
          <w:sz w:val="20"/>
          <w:szCs w:val="20"/>
        </w:rPr>
        <w:t>DOI: 10.1016/j.arth.2007.03.034</w:t>
      </w:r>
      <w:r w:rsidR="00E02F7C">
        <w:rPr>
          <w:rFonts w:asciiTheme="majorHAnsi" w:hAnsiTheme="majorHAnsi" w:cstheme="majorHAnsi"/>
          <w:sz w:val="20"/>
          <w:szCs w:val="20"/>
        </w:rPr>
        <w:t>]</w:t>
      </w:r>
    </w:p>
    <w:p w14:paraId="0E803C4E" w14:textId="2C5FF947" w:rsidR="000F3BF0" w:rsidRPr="00E02F7C" w:rsidRDefault="000F3BF0" w:rsidP="00E02F7C">
      <w:pPr>
        <w:pStyle w:val="ListParagraph"/>
        <w:numPr>
          <w:ilvl w:val="0"/>
          <w:numId w:val="2"/>
        </w:numPr>
        <w:autoSpaceDE w:val="0"/>
        <w:autoSpaceDN w:val="0"/>
        <w:adjustRightInd w:val="0"/>
        <w:spacing w:line="480" w:lineRule="auto"/>
        <w:ind w:leftChars="0"/>
        <w:jc w:val="left"/>
        <w:rPr>
          <w:rFonts w:asciiTheme="majorHAnsi" w:hAnsiTheme="majorHAnsi" w:cstheme="majorHAnsi"/>
          <w:sz w:val="20"/>
          <w:szCs w:val="20"/>
        </w:rPr>
      </w:pPr>
      <w:proofErr w:type="spellStart"/>
      <w:r w:rsidRPr="000F3BF0">
        <w:rPr>
          <w:rFonts w:asciiTheme="majorHAnsi" w:hAnsiTheme="majorHAnsi" w:cstheme="majorHAnsi"/>
          <w:sz w:val="20"/>
          <w:szCs w:val="20"/>
        </w:rPr>
        <w:t>Terkawi</w:t>
      </w:r>
      <w:proofErr w:type="spellEnd"/>
      <w:r w:rsidRPr="000F3BF0">
        <w:rPr>
          <w:rFonts w:asciiTheme="majorHAnsi" w:hAnsiTheme="majorHAnsi" w:cstheme="majorHAnsi"/>
          <w:sz w:val="20"/>
          <w:szCs w:val="20"/>
        </w:rPr>
        <w:t xml:space="preserve"> AS, </w:t>
      </w:r>
      <w:proofErr w:type="spellStart"/>
      <w:r w:rsidRPr="000F3BF0">
        <w:rPr>
          <w:rFonts w:asciiTheme="majorHAnsi" w:hAnsiTheme="majorHAnsi" w:cstheme="majorHAnsi"/>
          <w:sz w:val="20"/>
          <w:szCs w:val="20"/>
        </w:rPr>
        <w:t>Mavridis</w:t>
      </w:r>
      <w:proofErr w:type="spellEnd"/>
      <w:r w:rsidRPr="000F3BF0">
        <w:rPr>
          <w:rFonts w:asciiTheme="majorHAnsi" w:hAnsiTheme="majorHAnsi" w:cstheme="majorHAnsi"/>
          <w:sz w:val="20"/>
          <w:szCs w:val="20"/>
        </w:rPr>
        <w:t xml:space="preserve"> D, </w:t>
      </w:r>
      <w:proofErr w:type="spellStart"/>
      <w:r w:rsidRPr="000F3BF0">
        <w:rPr>
          <w:rFonts w:asciiTheme="majorHAnsi" w:hAnsiTheme="majorHAnsi" w:cstheme="majorHAnsi"/>
          <w:sz w:val="20"/>
          <w:szCs w:val="20"/>
        </w:rPr>
        <w:t>SEssler</w:t>
      </w:r>
      <w:proofErr w:type="spellEnd"/>
      <w:r w:rsidRPr="000F3BF0">
        <w:rPr>
          <w:rFonts w:asciiTheme="majorHAnsi" w:hAnsiTheme="majorHAnsi" w:cstheme="majorHAnsi"/>
          <w:sz w:val="20"/>
          <w:szCs w:val="20"/>
        </w:rPr>
        <w:t xml:space="preserve"> DI, </w:t>
      </w:r>
      <w:proofErr w:type="spellStart"/>
      <w:r w:rsidRPr="000F3BF0">
        <w:rPr>
          <w:rFonts w:asciiTheme="majorHAnsi" w:hAnsiTheme="majorHAnsi" w:cstheme="majorHAnsi"/>
          <w:sz w:val="20"/>
          <w:szCs w:val="20"/>
        </w:rPr>
        <w:t>Nunemaker</w:t>
      </w:r>
      <w:proofErr w:type="spellEnd"/>
      <w:r w:rsidRPr="000F3BF0">
        <w:rPr>
          <w:rFonts w:asciiTheme="majorHAnsi" w:hAnsiTheme="majorHAnsi" w:cstheme="majorHAnsi"/>
          <w:sz w:val="20"/>
          <w:szCs w:val="20"/>
        </w:rPr>
        <w:t xml:space="preserve"> MS, </w:t>
      </w:r>
      <w:proofErr w:type="spellStart"/>
      <w:r w:rsidRPr="000F3BF0">
        <w:rPr>
          <w:rFonts w:asciiTheme="majorHAnsi" w:hAnsiTheme="majorHAnsi" w:cstheme="majorHAnsi"/>
          <w:sz w:val="20"/>
          <w:szCs w:val="20"/>
        </w:rPr>
        <w:t>Doais</w:t>
      </w:r>
      <w:proofErr w:type="spellEnd"/>
      <w:r w:rsidRPr="000F3BF0">
        <w:rPr>
          <w:rFonts w:asciiTheme="majorHAnsi" w:hAnsiTheme="majorHAnsi" w:cstheme="majorHAnsi"/>
          <w:sz w:val="20"/>
          <w:szCs w:val="20"/>
        </w:rPr>
        <w:t xml:space="preserve"> KS, </w:t>
      </w:r>
      <w:proofErr w:type="spellStart"/>
      <w:r w:rsidRPr="000F3BF0">
        <w:rPr>
          <w:rFonts w:asciiTheme="majorHAnsi" w:hAnsiTheme="majorHAnsi" w:cstheme="majorHAnsi"/>
          <w:sz w:val="20"/>
          <w:szCs w:val="20"/>
        </w:rPr>
        <w:t>Terkawi</w:t>
      </w:r>
      <w:proofErr w:type="spellEnd"/>
      <w:r w:rsidRPr="000F3BF0">
        <w:rPr>
          <w:rFonts w:asciiTheme="majorHAnsi" w:hAnsiTheme="majorHAnsi" w:cstheme="majorHAnsi"/>
          <w:sz w:val="20"/>
          <w:szCs w:val="20"/>
        </w:rPr>
        <w:t xml:space="preserve"> RS, et al. Pain management modalities after total knee arthroplasty. A network meta-analysis of 170 randomized controlled trial. Anesthesiology. 2017; 126: 923-37.</w:t>
      </w:r>
      <w:r w:rsidR="00E02F7C">
        <w:rPr>
          <w:rFonts w:asciiTheme="majorHAnsi" w:hAnsiTheme="majorHAnsi" w:cstheme="majorHAnsi"/>
          <w:sz w:val="20"/>
          <w:szCs w:val="20"/>
        </w:rPr>
        <w:t xml:space="preserve"> [</w:t>
      </w:r>
      <w:r w:rsidR="00E02F7C" w:rsidRPr="00E02F7C">
        <w:rPr>
          <w:rFonts w:asciiTheme="majorHAnsi" w:hAnsiTheme="majorHAnsi" w:cstheme="majorHAnsi"/>
          <w:sz w:val="20"/>
          <w:szCs w:val="20"/>
        </w:rPr>
        <w:t>PMID: 28383323</w:t>
      </w:r>
      <w:r w:rsidR="00E02F7C">
        <w:rPr>
          <w:rFonts w:asciiTheme="majorHAnsi" w:hAnsiTheme="majorHAnsi" w:cstheme="majorHAnsi"/>
          <w:sz w:val="20"/>
          <w:szCs w:val="20"/>
        </w:rPr>
        <w:t xml:space="preserve"> </w:t>
      </w:r>
      <w:r w:rsidR="00E02F7C" w:rsidRPr="00E02F7C">
        <w:rPr>
          <w:rFonts w:asciiTheme="majorHAnsi" w:hAnsiTheme="majorHAnsi" w:cstheme="majorHAnsi"/>
          <w:sz w:val="20"/>
          <w:szCs w:val="20"/>
        </w:rPr>
        <w:t>DOI: 10.1097/ALN.0000000000001607</w:t>
      </w:r>
      <w:r w:rsidR="00E02F7C">
        <w:rPr>
          <w:rFonts w:asciiTheme="majorHAnsi" w:hAnsiTheme="majorHAnsi" w:cstheme="majorHAnsi"/>
          <w:sz w:val="20"/>
          <w:szCs w:val="20"/>
        </w:rPr>
        <w:t>]</w:t>
      </w:r>
      <w:r w:rsidRPr="00E02F7C">
        <w:rPr>
          <w:rFonts w:asciiTheme="majorHAnsi" w:hAnsiTheme="majorHAnsi" w:cstheme="majorHAnsi"/>
          <w:sz w:val="20"/>
          <w:szCs w:val="20"/>
        </w:rPr>
        <w:t xml:space="preserve">  </w:t>
      </w:r>
    </w:p>
    <w:p w14:paraId="45597513" w14:textId="2815F0DF" w:rsidR="00E175BB" w:rsidRPr="00E02F7C" w:rsidRDefault="000F3BF0" w:rsidP="00E02F7C">
      <w:pPr>
        <w:pStyle w:val="ListParagraph"/>
        <w:numPr>
          <w:ilvl w:val="0"/>
          <w:numId w:val="2"/>
        </w:numPr>
        <w:autoSpaceDE w:val="0"/>
        <w:autoSpaceDN w:val="0"/>
        <w:adjustRightInd w:val="0"/>
        <w:spacing w:line="480" w:lineRule="auto"/>
        <w:ind w:leftChars="0"/>
        <w:jc w:val="left"/>
        <w:rPr>
          <w:rFonts w:asciiTheme="majorHAnsi" w:hAnsiTheme="majorHAnsi" w:cstheme="majorHAnsi"/>
          <w:sz w:val="20"/>
          <w:szCs w:val="20"/>
        </w:rPr>
      </w:pPr>
      <w:r w:rsidRPr="000F3BF0">
        <w:rPr>
          <w:rFonts w:asciiTheme="majorHAnsi" w:hAnsiTheme="majorHAnsi" w:cstheme="majorHAnsi"/>
          <w:sz w:val="20"/>
          <w:szCs w:val="20"/>
        </w:rPr>
        <w:t xml:space="preserve">Gi Eri, Yamauchi M, </w:t>
      </w:r>
      <w:proofErr w:type="spellStart"/>
      <w:r w:rsidRPr="000F3BF0">
        <w:rPr>
          <w:rFonts w:asciiTheme="majorHAnsi" w:hAnsiTheme="majorHAnsi" w:cstheme="majorHAnsi"/>
          <w:sz w:val="20"/>
          <w:szCs w:val="20"/>
        </w:rPr>
        <w:t>Yamakage</w:t>
      </w:r>
      <w:proofErr w:type="spellEnd"/>
      <w:r w:rsidRPr="000F3BF0">
        <w:rPr>
          <w:rFonts w:asciiTheme="majorHAnsi" w:hAnsiTheme="majorHAnsi" w:cstheme="majorHAnsi"/>
          <w:sz w:val="20"/>
          <w:szCs w:val="20"/>
        </w:rPr>
        <w:t xml:space="preserve"> M, Kikuchi C, Shimizu H, Okada Y, et al.  Effects of local </w:t>
      </w:r>
      <w:r w:rsidRPr="000F3BF0">
        <w:rPr>
          <w:rFonts w:asciiTheme="majorHAnsi" w:hAnsiTheme="majorHAnsi" w:cstheme="majorHAnsi"/>
          <w:sz w:val="20"/>
          <w:szCs w:val="20"/>
        </w:rPr>
        <w:lastRenderedPageBreak/>
        <w:t xml:space="preserve">infiltration analgesia for posterior knee pain after total knee arthroplasty: comparison with sciatic nerve block. J </w:t>
      </w:r>
      <w:proofErr w:type="spellStart"/>
      <w:r w:rsidRPr="000F3BF0">
        <w:rPr>
          <w:rFonts w:asciiTheme="majorHAnsi" w:hAnsiTheme="majorHAnsi" w:cstheme="majorHAnsi"/>
          <w:sz w:val="20"/>
          <w:szCs w:val="20"/>
        </w:rPr>
        <w:t>Anesth</w:t>
      </w:r>
      <w:proofErr w:type="spellEnd"/>
      <w:r w:rsidRPr="000F3BF0">
        <w:rPr>
          <w:rFonts w:asciiTheme="majorHAnsi" w:hAnsiTheme="majorHAnsi" w:cstheme="majorHAnsi"/>
          <w:sz w:val="20"/>
          <w:szCs w:val="20"/>
        </w:rPr>
        <w:t xml:space="preserve"> 2014; 28: 696-701.</w:t>
      </w:r>
      <w:r w:rsidR="00E02F7C">
        <w:rPr>
          <w:rFonts w:asciiTheme="majorHAnsi" w:hAnsiTheme="majorHAnsi" w:cstheme="majorHAnsi"/>
          <w:sz w:val="20"/>
          <w:szCs w:val="20"/>
        </w:rPr>
        <w:t xml:space="preserve"> [</w:t>
      </w:r>
      <w:r w:rsidR="00E02F7C" w:rsidRPr="00E02F7C">
        <w:rPr>
          <w:rFonts w:asciiTheme="majorHAnsi" w:hAnsiTheme="majorHAnsi" w:cstheme="majorHAnsi"/>
          <w:sz w:val="20"/>
          <w:szCs w:val="20"/>
        </w:rPr>
        <w:t>PMID: 24744168</w:t>
      </w:r>
      <w:r w:rsidR="00E02F7C">
        <w:rPr>
          <w:rFonts w:asciiTheme="majorHAnsi" w:hAnsiTheme="majorHAnsi" w:cstheme="majorHAnsi"/>
          <w:sz w:val="20"/>
          <w:szCs w:val="20"/>
        </w:rPr>
        <w:t xml:space="preserve"> </w:t>
      </w:r>
      <w:r w:rsidR="00E02F7C" w:rsidRPr="00E02F7C">
        <w:rPr>
          <w:rFonts w:asciiTheme="majorHAnsi" w:hAnsiTheme="majorHAnsi" w:cstheme="majorHAnsi"/>
          <w:sz w:val="20"/>
          <w:szCs w:val="20"/>
        </w:rPr>
        <w:t>DOI: 10.1007/s00540-014-1800-4</w:t>
      </w:r>
      <w:r w:rsidR="00E02F7C">
        <w:rPr>
          <w:rFonts w:asciiTheme="majorHAnsi" w:hAnsiTheme="majorHAnsi" w:cstheme="majorHAnsi"/>
          <w:sz w:val="20"/>
          <w:szCs w:val="20"/>
        </w:rPr>
        <w:t>]</w:t>
      </w:r>
    </w:p>
    <w:p w14:paraId="63C024F9" w14:textId="2FAEEBB7" w:rsidR="00E175BB" w:rsidRPr="00E175BB" w:rsidRDefault="00E175BB" w:rsidP="00E175BB">
      <w:pPr>
        <w:pStyle w:val="ListParagraph"/>
        <w:numPr>
          <w:ilvl w:val="0"/>
          <w:numId w:val="2"/>
        </w:numPr>
        <w:spacing w:line="480" w:lineRule="auto"/>
        <w:ind w:leftChars="0" w:left="357" w:hanging="357"/>
        <w:rPr>
          <w:rFonts w:asciiTheme="majorHAnsi" w:hAnsiTheme="majorHAnsi" w:cstheme="majorHAnsi"/>
          <w:sz w:val="20"/>
          <w:szCs w:val="20"/>
        </w:rPr>
      </w:pPr>
      <w:proofErr w:type="spellStart"/>
      <w:r w:rsidRPr="00E175BB">
        <w:rPr>
          <w:rFonts w:asciiTheme="majorHAnsi" w:hAnsiTheme="majorHAnsi" w:cstheme="majorHAnsi"/>
          <w:sz w:val="20"/>
          <w:szCs w:val="20"/>
        </w:rPr>
        <w:t>Ohgoshi</w:t>
      </w:r>
      <w:proofErr w:type="spellEnd"/>
      <w:r w:rsidRPr="00E175BB">
        <w:rPr>
          <w:rFonts w:asciiTheme="majorHAnsi" w:hAnsiTheme="majorHAnsi" w:cstheme="majorHAnsi"/>
          <w:sz w:val="20"/>
          <w:szCs w:val="20"/>
        </w:rPr>
        <w:t xml:space="preserve"> Y, </w:t>
      </w:r>
      <w:proofErr w:type="spellStart"/>
      <w:r w:rsidRPr="00E175BB">
        <w:rPr>
          <w:rFonts w:asciiTheme="majorHAnsi" w:hAnsiTheme="majorHAnsi" w:cstheme="majorHAnsi"/>
          <w:sz w:val="20"/>
          <w:szCs w:val="20"/>
        </w:rPr>
        <w:t>Ikari</w:t>
      </w:r>
      <w:proofErr w:type="spellEnd"/>
      <w:r w:rsidRPr="00E175BB">
        <w:rPr>
          <w:rFonts w:asciiTheme="majorHAnsi" w:hAnsiTheme="majorHAnsi" w:cstheme="majorHAnsi"/>
          <w:sz w:val="20"/>
          <w:szCs w:val="20"/>
        </w:rPr>
        <w:t xml:space="preserve"> K, Ando A, </w:t>
      </w:r>
      <w:r w:rsidR="00F97E5D">
        <w:rPr>
          <w:rFonts w:asciiTheme="majorHAnsi" w:hAnsiTheme="majorHAnsi" w:cstheme="majorHAnsi"/>
          <w:sz w:val="20"/>
          <w:szCs w:val="20"/>
        </w:rPr>
        <w:t xml:space="preserve">Kawamata N, </w:t>
      </w:r>
      <w:proofErr w:type="spellStart"/>
      <w:r w:rsidR="00F97E5D">
        <w:rPr>
          <w:rFonts w:asciiTheme="majorHAnsi" w:hAnsiTheme="majorHAnsi" w:cstheme="majorHAnsi"/>
          <w:sz w:val="20"/>
          <w:szCs w:val="20"/>
        </w:rPr>
        <w:t>Fujiki</w:t>
      </w:r>
      <w:proofErr w:type="spellEnd"/>
      <w:r w:rsidR="00F97E5D">
        <w:rPr>
          <w:rFonts w:asciiTheme="majorHAnsi" w:hAnsiTheme="majorHAnsi" w:cstheme="majorHAnsi"/>
          <w:sz w:val="20"/>
          <w:szCs w:val="20"/>
        </w:rPr>
        <w:t xml:space="preserve"> S, </w:t>
      </w:r>
      <w:proofErr w:type="spellStart"/>
      <w:r w:rsidR="00F97E5D">
        <w:rPr>
          <w:rFonts w:asciiTheme="majorHAnsi" w:hAnsiTheme="majorHAnsi" w:cstheme="majorHAnsi"/>
          <w:sz w:val="20"/>
          <w:szCs w:val="20"/>
        </w:rPr>
        <w:t>Nagamoto</w:t>
      </w:r>
      <w:proofErr w:type="spellEnd"/>
      <w:r w:rsidR="00F97E5D">
        <w:rPr>
          <w:rFonts w:asciiTheme="majorHAnsi" w:hAnsiTheme="majorHAnsi" w:cstheme="majorHAnsi"/>
          <w:sz w:val="20"/>
          <w:szCs w:val="20"/>
        </w:rPr>
        <w:t xml:space="preserve"> S, </w:t>
      </w:r>
      <w:r w:rsidRPr="00E175BB">
        <w:rPr>
          <w:rFonts w:asciiTheme="majorHAnsi" w:hAnsiTheme="majorHAnsi" w:cstheme="majorHAnsi"/>
          <w:sz w:val="20"/>
          <w:szCs w:val="20"/>
        </w:rPr>
        <w:t>et al.</w:t>
      </w:r>
      <w:r w:rsidR="00F97E5D">
        <w:rPr>
          <w:rFonts w:asciiTheme="majorHAnsi" w:hAnsiTheme="majorHAnsi" w:cstheme="majorHAnsi"/>
          <w:sz w:val="20"/>
          <w:szCs w:val="20"/>
        </w:rPr>
        <w:t xml:space="preserve"> </w:t>
      </w:r>
      <w:r w:rsidRPr="00E175BB">
        <w:rPr>
          <w:rFonts w:asciiTheme="majorHAnsi" w:hAnsiTheme="majorHAnsi" w:cstheme="majorHAnsi"/>
          <w:sz w:val="20"/>
          <w:szCs w:val="20"/>
        </w:rPr>
        <w:t>Comparison of IPACK block and selective tibial nerve block combined with continuous femoral triangle block for analgesia after total knee arthroplasty: a randomized control trial.</w:t>
      </w:r>
      <w:r w:rsidR="00595FB4">
        <w:rPr>
          <w:rFonts w:asciiTheme="majorHAnsi" w:hAnsiTheme="majorHAnsi" w:cstheme="majorHAnsi"/>
          <w:sz w:val="20"/>
          <w:szCs w:val="20"/>
        </w:rPr>
        <w:t xml:space="preserve"> </w:t>
      </w:r>
      <w:r w:rsidRPr="00E175BB">
        <w:rPr>
          <w:rFonts w:asciiTheme="majorHAnsi" w:hAnsiTheme="majorHAnsi" w:cstheme="majorHAnsi"/>
          <w:sz w:val="20"/>
          <w:szCs w:val="20"/>
        </w:rPr>
        <w:t>Masui. 2023;72(2):102–107.</w:t>
      </w:r>
    </w:p>
    <w:p w14:paraId="582A6DBF" w14:textId="487E729B" w:rsidR="005A3882" w:rsidRPr="00E02F7C" w:rsidRDefault="000F3BF0" w:rsidP="00E02F7C">
      <w:pPr>
        <w:pStyle w:val="ListParagraph"/>
        <w:numPr>
          <w:ilvl w:val="0"/>
          <w:numId w:val="2"/>
        </w:numPr>
        <w:autoSpaceDE w:val="0"/>
        <w:autoSpaceDN w:val="0"/>
        <w:adjustRightInd w:val="0"/>
        <w:spacing w:line="480" w:lineRule="auto"/>
        <w:ind w:leftChars="0"/>
        <w:jc w:val="left"/>
        <w:rPr>
          <w:rFonts w:asciiTheme="majorHAnsi" w:hAnsiTheme="majorHAnsi" w:cstheme="majorHAnsi"/>
          <w:sz w:val="20"/>
          <w:szCs w:val="20"/>
        </w:rPr>
      </w:pPr>
      <w:r w:rsidRPr="000F3BF0">
        <w:rPr>
          <w:rFonts w:asciiTheme="majorHAnsi" w:hAnsiTheme="majorHAnsi" w:cstheme="majorHAnsi"/>
          <w:sz w:val="20"/>
          <w:szCs w:val="20"/>
        </w:rPr>
        <w:t xml:space="preserve"> </w:t>
      </w:r>
      <w:proofErr w:type="spellStart"/>
      <w:r w:rsidR="005A3882" w:rsidRPr="00E175BB">
        <w:rPr>
          <w:rFonts w:asciiTheme="majorHAnsi" w:hAnsiTheme="majorHAnsi" w:cstheme="majorHAnsi"/>
          <w:sz w:val="20"/>
          <w:szCs w:val="20"/>
        </w:rPr>
        <w:t>Kertkiatkachorn</w:t>
      </w:r>
      <w:proofErr w:type="spellEnd"/>
      <w:r w:rsidR="005A3882" w:rsidRPr="00E175BB">
        <w:rPr>
          <w:rFonts w:asciiTheme="majorHAnsi" w:hAnsiTheme="majorHAnsi" w:cstheme="majorHAnsi"/>
          <w:sz w:val="20"/>
          <w:szCs w:val="20"/>
        </w:rPr>
        <w:t xml:space="preserve"> W, </w:t>
      </w:r>
      <w:proofErr w:type="spellStart"/>
      <w:r w:rsidR="005A3882" w:rsidRPr="00E175BB">
        <w:rPr>
          <w:rFonts w:asciiTheme="majorHAnsi" w:hAnsiTheme="majorHAnsi" w:cstheme="majorHAnsi"/>
          <w:sz w:val="20"/>
          <w:szCs w:val="20"/>
        </w:rPr>
        <w:t>Kampitak</w:t>
      </w:r>
      <w:proofErr w:type="spellEnd"/>
      <w:r w:rsidR="005A3882" w:rsidRPr="00E175BB">
        <w:rPr>
          <w:rFonts w:asciiTheme="majorHAnsi" w:hAnsiTheme="majorHAnsi" w:cstheme="majorHAnsi"/>
          <w:sz w:val="20"/>
          <w:szCs w:val="20"/>
        </w:rPr>
        <w:t xml:space="preserve"> W, </w:t>
      </w:r>
      <w:proofErr w:type="spellStart"/>
      <w:r w:rsidR="005A3882" w:rsidRPr="00E175BB">
        <w:rPr>
          <w:rFonts w:asciiTheme="majorHAnsi" w:hAnsiTheme="majorHAnsi" w:cstheme="majorHAnsi"/>
          <w:sz w:val="20"/>
          <w:szCs w:val="20"/>
        </w:rPr>
        <w:t>Tanavalee</w:t>
      </w:r>
      <w:proofErr w:type="spellEnd"/>
      <w:r w:rsidR="005A3882" w:rsidRPr="00E175BB">
        <w:rPr>
          <w:rFonts w:asciiTheme="majorHAnsi" w:hAnsiTheme="majorHAnsi" w:cstheme="majorHAnsi"/>
          <w:sz w:val="20"/>
          <w:szCs w:val="20"/>
        </w:rPr>
        <w:t xml:space="preserve"> A, </w:t>
      </w:r>
      <w:proofErr w:type="spellStart"/>
      <w:r w:rsidR="00B613C0" w:rsidRPr="00B613C0">
        <w:rPr>
          <w:rFonts w:asciiTheme="majorHAnsi" w:hAnsiTheme="majorHAnsi" w:cstheme="majorHAnsi"/>
          <w:sz w:val="20"/>
          <w:szCs w:val="20"/>
        </w:rPr>
        <w:t>Ngarmukos</w:t>
      </w:r>
      <w:proofErr w:type="spellEnd"/>
      <w:r w:rsidR="00B613C0">
        <w:rPr>
          <w:rFonts w:asciiTheme="majorHAnsi" w:hAnsiTheme="majorHAnsi" w:cstheme="majorHAnsi"/>
          <w:sz w:val="20"/>
          <w:szCs w:val="20"/>
        </w:rPr>
        <w:t xml:space="preserve"> </w:t>
      </w:r>
      <w:proofErr w:type="spellStart"/>
      <w:proofErr w:type="gramStart"/>
      <w:r w:rsidR="00B613C0">
        <w:rPr>
          <w:rFonts w:asciiTheme="majorHAnsi" w:hAnsiTheme="majorHAnsi" w:cstheme="majorHAnsi"/>
          <w:sz w:val="20"/>
          <w:szCs w:val="20"/>
        </w:rPr>
        <w:t>S</w:t>
      </w:r>
      <w:r w:rsidR="00B613C0" w:rsidRPr="00B613C0">
        <w:rPr>
          <w:rFonts w:asciiTheme="majorHAnsi" w:hAnsiTheme="majorHAnsi" w:cstheme="majorHAnsi" w:hint="eastAsia"/>
          <w:sz w:val="20"/>
          <w:szCs w:val="20"/>
        </w:rPr>
        <w:t>.</w:t>
      </w:r>
      <w:r w:rsidR="005A3882" w:rsidRPr="00B613C0">
        <w:rPr>
          <w:rFonts w:asciiTheme="majorHAnsi" w:hAnsiTheme="majorHAnsi" w:cstheme="majorHAnsi"/>
          <w:sz w:val="20"/>
          <w:szCs w:val="20"/>
        </w:rPr>
        <w:t>.Adductor</w:t>
      </w:r>
      <w:proofErr w:type="spellEnd"/>
      <w:proofErr w:type="gramEnd"/>
      <w:r w:rsidR="005A3882" w:rsidRPr="00B613C0">
        <w:rPr>
          <w:rFonts w:asciiTheme="majorHAnsi" w:hAnsiTheme="majorHAnsi" w:cstheme="majorHAnsi"/>
          <w:sz w:val="20"/>
          <w:szCs w:val="20"/>
        </w:rPr>
        <w:t xml:space="preserve"> Canal Block Combined With </w:t>
      </w:r>
      <w:proofErr w:type="spellStart"/>
      <w:r w:rsidR="005A3882" w:rsidRPr="00B613C0">
        <w:rPr>
          <w:rFonts w:asciiTheme="majorHAnsi" w:hAnsiTheme="majorHAnsi" w:cstheme="majorHAnsi"/>
          <w:sz w:val="20"/>
          <w:szCs w:val="20"/>
        </w:rPr>
        <w:t>iPACK</w:t>
      </w:r>
      <w:proofErr w:type="spellEnd"/>
      <w:r w:rsidR="005A3882" w:rsidRPr="00B613C0">
        <w:rPr>
          <w:rFonts w:asciiTheme="majorHAnsi" w:hAnsiTheme="majorHAnsi" w:cstheme="majorHAnsi"/>
          <w:sz w:val="20"/>
          <w:szCs w:val="20"/>
        </w:rPr>
        <w:t xml:space="preserve"> Block vs Periarticular Injection for Analgesia After Total Knee Arthroplasty: A Randomized Noninferiority Trial</w:t>
      </w:r>
      <w:r w:rsidR="00595FB4" w:rsidRPr="00B613C0">
        <w:rPr>
          <w:rFonts w:asciiTheme="majorHAnsi" w:hAnsiTheme="majorHAnsi" w:cstheme="majorHAnsi"/>
          <w:sz w:val="20"/>
          <w:szCs w:val="20"/>
        </w:rPr>
        <w:t xml:space="preserve">. </w:t>
      </w:r>
      <w:r w:rsidR="005A3882" w:rsidRPr="00B613C0">
        <w:rPr>
          <w:rFonts w:asciiTheme="majorHAnsi" w:hAnsiTheme="majorHAnsi" w:cstheme="majorHAnsi"/>
          <w:sz w:val="20"/>
          <w:szCs w:val="20"/>
        </w:rPr>
        <w:t>Journal of Arthroplasty. 2021;36(1):122–129.e1.</w:t>
      </w:r>
      <w:r w:rsidR="00E02F7C">
        <w:rPr>
          <w:rFonts w:asciiTheme="majorHAnsi" w:hAnsiTheme="majorHAnsi" w:cstheme="majorHAnsi"/>
          <w:sz w:val="20"/>
          <w:szCs w:val="20"/>
        </w:rPr>
        <w:t xml:space="preserve"> [</w:t>
      </w:r>
      <w:r w:rsidR="00E02F7C" w:rsidRPr="00E02F7C">
        <w:rPr>
          <w:rFonts w:asciiTheme="majorHAnsi" w:hAnsiTheme="majorHAnsi" w:cstheme="majorHAnsi"/>
          <w:sz w:val="20"/>
          <w:szCs w:val="20"/>
        </w:rPr>
        <w:t>PMID: 32713730</w:t>
      </w:r>
      <w:r w:rsidR="00E02F7C">
        <w:rPr>
          <w:rFonts w:asciiTheme="majorHAnsi" w:hAnsiTheme="majorHAnsi" w:cstheme="majorHAnsi"/>
          <w:sz w:val="20"/>
          <w:szCs w:val="20"/>
        </w:rPr>
        <w:t xml:space="preserve"> </w:t>
      </w:r>
      <w:r w:rsidR="00E02F7C" w:rsidRPr="00E02F7C">
        <w:rPr>
          <w:rFonts w:asciiTheme="majorHAnsi" w:hAnsiTheme="majorHAnsi" w:cstheme="majorHAnsi"/>
          <w:sz w:val="20"/>
          <w:szCs w:val="20"/>
        </w:rPr>
        <w:t>DOI: 10.1016/j.arth.2020.06.032</w:t>
      </w:r>
      <w:r w:rsidR="00E02F7C">
        <w:rPr>
          <w:rFonts w:asciiTheme="majorHAnsi" w:hAnsiTheme="majorHAnsi" w:cstheme="majorHAnsi"/>
          <w:sz w:val="20"/>
          <w:szCs w:val="20"/>
        </w:rPr>
        <w:t>]</w:t>
      </w:r>
    </w:p>
    <w:p w14:paraId="1048714A" w14:textId="447E7F8E" w:rsidR="005A3882" w:rsidRPr="00E02F7C" w:rsidRDefault="005A3882" w:rsidP="00E02F7C">
      <w:pPr>
        <w:pStyle w:val="ListParagraph"/>
        <w:numPr>
          <w:ilvl w:val="0"/>
          <w:numId w:val="2"/>
        </w:numPr>
        <w:autoSpaceDE w:val="0"/>
        <w:autoSpaceDN w:val="0"/>
        <w:adjustRightInd w:val="0"/>
        <w:spacing w:line="480" w:lineRule="auto"/>
        <w:ind w:leftChars="0"/>
        <w:jc w:val="left"/>
        <w:rPr>
          <w:rFonts w:asciiTheme="majorHAnsi" w:hAnsiTheme="majorHAnsi" w:cstheme="majorHAnsi"/>
          <w:sz w:val="20"/>
          <w:szCs w:val="20"/>
        </w:rPr>
      </w:pPr>
      <w:proofErr w:type="spellStart"/>
      <w:r w:rsidRPr="005A3882">
        <w:rPr>
          <w:rFonts w:asciiTheme="majorHAnsi" w:hAnsiTheme="majorHAnsi" w:cstheme="majorHAnsi"/>
          <w:sz w:val="20"/>
          <w:szCs w:val="20"/>
        </w:rPr>
        <w:t>Seangleulur</w:t>
      </w:r>
      <w:proofErr w:type="spellEnd"/>
      <w:r w:rsidRPr="005A3882">
        <w:rPr>
          <w:rFonts w:asciiTheme="majorHAnsi" w:hAnsiTheme="majorHAnsi" w:cstheme="majorHAnsi"/>
          <w:sz w:val="20"/>
          <w:szCs w:val="20"/>
        </w:rPr>
        <w:t xml:space="preserve"> A, </w:t>
      </w:r>
      <w:proofErr w:type="spellStart"/>
      <w:r w:rsidR="00B613C0" w:rsidRPr="00B613C0">
        <w:rPr>
          <w:rFonts w:asciiTheme="majorHAnsi" w:hAnsiTheme="majorHAnsi" w:cstheme="majorHAnsi"/>
          <w:sz w:val="20"/>
          <w:szCs w:val="20"/>
        </w:rPr>
        <w:t>Vanasbodeekul</w:t>
      </w:r>
      <w:proofErr w:type="spellEnd"/>
      <w:r w:rsidR="00B613C0">
        <w:rPr>
          <w:rFonts w:asciiTheme="majorHAnsi" w:hAnsiTheme="majorHAnsi" w:cstheme="majorHAnsi"/>
          <w:sz w:val="20"/>
          <w:szCs w:val="20"/>
        </w:rPr>
        <w:t xml:space="preserve"> P, </w:t>
      </w:r>
      <w:proofErr w:type="spellStart"/>
      <w:r w:rsidR="00B613C0" w:rsidRPr="00B613C0">
        <w:rPr>
          <w:rFonts w:asciiTheme="majorHAnsi" w:hAnsiTheme="majorHAnsi" w:cstheme="majorHAnsi"/>
          <w:sz w:val="20"/>
          <w:szCs w:val="20"/>
        </w:rPr>
        <w:t>Prapaitrakool</w:t>
      </w:r>
      <w:proofErr w:type="spellEnd"/>
      <w:r w:rsidR="00B613C0">
        <w:rPr>
          <w:rFonts w:asciiTheme="majorHAnsi" w:hAnsiTheme="majorHAnsi" w:cstheme="majorHAnsi"/>
          <w:sz w:val="20"/>
          <w:szCs w:val="20"/>
        </w:rPr>
        <w:t xml:space="preserve"> S, </w:t>
      </w:r>
      <w:proofErr w:type="spellStart"/>
      <w:r w:rsidR="00B613C0" w:rsidRPr="00B613C0">
        <w:rPr>
          <w:rFonts w:asciiTheme="majorHAnsi" w:hAnsiTheme="majorHAnsi" w:cstheme="majorHAnsi"/>
          <w:sz w:val="20"/>
          <w:szCs w:val="20"/>
        </w:rPr>
        <w:t>Worathongchai</w:t>
      </w:r>
      <w:proofErr w:type="spellEnd"/>
      <w:r w:rsidR="00B613C0">
        <w:rPr>
          <w:rFonts w:asciiTheme="majorHAnsi" w:hAnsiTheme="majorHAnsi" w:cstheme="majorHAnsi"/>
          <w:sz w:val="20"/>
          <w:szCs w:val="20"/>
        </w:rPr>
        <w:t xml:space="preserve"> S, </w:t>
      </w:r>
      <w:proofErr w:type="spellStart"/>
      <w:r w:rsidR="00B613C0">
        <w:rPr>
          <w:rFonts w:asciiTheme="majorHAnsi" w:hAnsiTheme="majorHAnsi" w:cstheme="majorHAnsi"/>
          <w:sz w:val="20"/>
          <w:szCs w:val="20"/>
        </w:rPr>
        <w:t>Anothaisintawee</w:t>
      </w:r>
      <w:proofErr w:type="spellEnd"/>
      <w:r w:rsidR="00B613C0">
        <w:rPr>
          <w:rFonts w:asciiTheme="majorHAnsi" w:hAnsiTheme="majorHAnsi" w:cstheme="majorHAnsi"/>
          <w:sz w:val="20"/>
          <w:szCs w:val="20"/>
        </w:rPr>
        <w:t xml:space="preserve"> T, </w:t>
      </w:r>
      <w:proofErr w:type="spellStart"/>
      <w:r w:rsidR="00B613C0">
        <w:rPr>
          <w:rFonts w:asciiTheme="majorHAnsi" w:hAnsiTheme="majorHAnsi" w:cstheme="majorHAnsi"/>
          <w:sz w:val="20"/>
          <w:szCs w:val="20"/>
        </w:rPr>
        <w:t>Vanasbodeekul</w:t>
      </w:r>
      <w:proofErr w:type="spellEnd"/>
      <w:r w:rsidR="00B613C0">
        <w:rPr>
          <w:rFonts w:asciiTheme="majorHAnsi" w:hAnsiTheme="majorHAnsi" w:cstheme="majorHAnsi"/>
          <w:sz w:val="20"/>
          <w:szCs w:val="20"/>
        </w:rPr>
        <w:t xml:space="preserve"> SP, et al.  </w:t>
      </w:r>
      <w:r w:rsidRPr="00B613C0">
        <w:rPr>
          <w:rFonts w:asciiTheme="majorHAnsi" w:hAnsiTheme="majorHAnsi" w:cstheme="majorHAnsi"/>
          <w:sz w:val="20"/>
          <w:szCs w:val="20"/>
        </w:rPr>
        <w:t>The efficacy of local infiltration analgesia in the early postoperative period after total knee arthroplasty: A systematic review and meta-analysis.</w:t>
      </w:r>
      <w:r w:rsidR="00595FB4" w:rsidRPr="00B613C0">
        <w:rPr>
          <w:rFonts w:asciiTheme="majorHAnsi" w:hAnsiTheme="majorHAnsi" w:cstheme="majorHAnsi"/>
          <w:sz w:val="20"/>
          <w:szCs w:val="20"/>
        </w:rPr>
        <w:t xml:space="preserve"> </w:t>
      </w:r>
      <w:r w:rsidRPr="00B613C0">
        <w:rPr>
          <w:rFonts w:asciiTheme="majorHAnsi" w:hAnsiTheme="majorHAnsi" w:cstheme="majorHAnsi"/>
          <w:sz w:val="20"/>
          <w:szCs w:val="20"/>
        </w:rPr>
        <w:t xml:space="preserve">Eur J </w:t>
      </w:r>
      <w:proofErr w:type="spellStart"/>
      <w:r w:rsidRPr="00B613C0">
        <w:rPr>
          <w:rFonts w:asciiTheme="majorHAnsi" w:hAnsiTheme="majorHAnsi" w:cstheme="majorHAnsi"/>
          <w:sz w:val="20"/>
          <w:szCs w:val="20"/>
        </w:rPr>
        <w:t>Anaesthesiol</w:t>
      </w:r>
      <w:proofErr w:type="spellEnd"/>
      <w:r w:rsidRPr="00B613C0">
        <w:rPr>
          <w:rFonts w:asciiTheme="majorHAnsi" w:hAnsiTheme="majorHAnsi" w:cstheme="majorHAnsi"/>
          <w:sz w:val="20"/>
          <w:szCs w:val="20"/>
        </w:rPr>
        <w:t>. 2016;33(11):816–831.</w:t>
      </w:r>
      <w:r w:rsidR="00E02F7C">
        <w:rPr>
          <w:rFonts w:asciiTheme="majorHAnsi" w:hAnsiTheme="majorHAnsi" w:cstheme="majorHAnsi"/>
          <w:sz w:val="20"/>
          <w:szCs w:val="20"/>
        </w:rPr>
        <w:t xml:space="preserve"> [</w:t>
      </w:r>
      <w:r w:rsidR="00E02F7C" w:rsidRPr="00E02F7C">
        <w:rPr>
          <w:rFonts w:asciiTheme="majorHAnsi" w:hAnsiTheme="majorHAnsi" w:cstheme="majorHAnsi"/>
          <w:sz w:val="20"/>
          <w:szCs w:val="20"/>
        </w:rPr>
        <w:t>PMID: 27500950</w:t>
      </w:r>
      <w:r w:rsidR="00E02F7C">
        <w:rPr>
          <w:rFonts w:asciiTheme="majorHAnsi" w:hAnsiTheme="majorHAnsi" w:cstheme="majorHAnsi"/>
          <w:sz w:val="20"/>
          <w:szCs w:val="20"/>
        </w:rPr>
        <w:t xml:space="preserve"> </w:t>
      </w:r>
      <w:r w:rsidR="00E02F7C" w:rsidRPr="00E02F7C">
        <w:rPr>
          <w:rFonts w:asciiTheme="majorHAnsi" w:hAnsiTheme="majorHAnsi" w:cstheme="majorHAnsi"/>
          <w:sz w:val="20"/>
          <w:szCs w:val="20"/>
        </w:rPr>
        <w:t>DOI: 10.1097/EJA.0000000000000492</w:t>
      </w:r>
      <w:r w:rsidR="00E02F7C">
        <w:rPr>
          <w:rFonts w:asciiTheme="majorHAnsi" w:hAnsiTheme="majorHAnsi" w:cstheme="majorHAnsi"/>
          <w:sz w:val="20"/>
          <w:szCs w:val="20"/>
        </w:rPr>
        <w:t>]</w:t>
      </w:r>
    </w:p>
    <w:p w14:paraId="0F60184B" w14:textId="450D7486" w:rsidR="00E175BB" w:rsidRPr="00E175BB" w:rsidRDefault="00C1503A" w:rsidP="00E175BB">
      <w:pPr>
        <w:pStyle w:val="ListParagraph"/>
        <w:numPr>
          <w:ilvl w:val="0"/>
          <w:numId w:val="2"/>
        </w:numPr>
        <w:spacing w:line="480" w:lineRule="auto"/>
        <w:ind w:leftChars="0" w:left="357" w:hanging="357"/>
        <w:rPr>
          <w:rFonts w:asciiTheme="majorHAnsi" w:hAnsiTheme="majorHAnsi" w:cstheme="majorHAnsi"/>
          <w:sz w:val="20"/>
          <w:szCs w:val="20"/>
        </w:rPr>
      </w:pPr>
      <w:r>
        <w:rPr>
          <w:rFonts w:asciiTheme="majorHAnsi" w:hAnsiTheme="majorHAnsi" w:cstheme="majorHAnsi"/>
          <w:sz w:val="20"/>
          <w:szCs w:val="20"/>
        </w:rPr>
        <w:t>Hidaka M, Nakagawa I, Okada Y, Kuwahara Y, Yokota M, Narasaki S</w:t>
      </w:r>
      <w:r w:rsidR="00E175BB" w:rsidRPr="00E175BB">
        <w:rPr>
          <w:rFonts w:asciiTheme="majorHAnsi" w:hAnsiTheme="majorHAnsi" w:cstheme="majorHAnsi"/>
          <w:sz w:val="20"/>
          <w:szCs w:val="20"/>
        </w:rPr>
        <w:t>, et al.</w:t>
      </w:r>
      <w:r>
        <w:rPr>
          <w:rFonts w:asciiTheme="majorHAnsi" w:hAnsiTheme="majorHAnsi" w:cstheme="majorHAnsi"/>
          <w:sz w:val="20"/>
          <w:szCs w:val="20"/>
        </w:rPr>
        <w:t xml:space="preserve"> Intra-articular and local analgesia for </w:t>
      </w:r>
      <w:r w:rsidR="00E175BB" w:rsidRPr="00E175BB">
        <w:rPr>
          <w:rFonts w:asciiTheme="majorHAnsi" w:hAnsiTheme="majorHAnsi" w:cstheme="majorHAnsi"/>
          <w:sz w:val="20"/>
          <w:szCs w:val="20"/>
        </w:rPr>
        <w:t>total knee arthroplasty: Comparison with epidural analgesia.</w:t>
      </w:r>
      <w:r w:rsidR="00595FB4">
        <w:rPr>
          <w:rFonts w:asciiTheme="majorHAnsi" w:hAnsiTheme="majorHAnsi" w:cstheme="majorHAnsi"/>
          <w:sz w:val="20"/>
          <w:szCs w:val="20"/>
        </w:rPr>
        <w:t xml:space="preserve"> </w:t>
      </w:r>
      <w:r w:rsidR="00E175BB" w:rsidRPr="00E175BB">
        <w:rPr>
          <w:rFonts w:asciiTheme="majorHAnsi" w:hAnsiTheme="majorHAnsi" w:cstheme="majorHAnsi"/>
          <w:sz w:val="20"/>
          <w:szCs w:val="20"/>
        </w:rPr>
        <w:t>Masui. 2020;69(8):844–850.</w:t>
      </w:r>
    </w:p>
    <w:p w14:paraId="74D848BD" w14:textId="5E1A3C11" w:rsidR="008C0374" w:rsidRPr="008C0374" w:rsidRDefault="008C0374" w:rsidP="00B50981">
      <w:pPr>
        <w:pStyle w:val="ListParagraph"/>
        <w:numPr>
          <w:ilvl w:val="0"/>
          <w:numId w:val="2"/>
        </w:numPr>
        <w:autoSpaceDE w:val="0"/>
        <w:autoSpaceDN w:val="0"/>
        <w:adjustRightInd w:val="0"/>
        <w:spacing w:line="480" w:lineRule="auto"/>
        <w:ind w:leftChars="0"/>
        <w:jc w:val="left"/>
        <w:rPr>
          <w:rFonts w:asciiTheme="majorHAnsi" w:hAnsiTheme="majorHAnsi" w:cstheme="majorHAnsi"/>
          <w:sz w:val="20"/>
          <w:szCs w:val="20"/>
        </w:rPr>
      </w:pPr>
      <w:r w:rsidRPr="008C0374">
        <w:rPr>
          <w:rFonts w:asciiTheme="majorHAnsi" w:hAnsiTheme="majorHAnsi" w:cstheme="majorHAnsi"/>
          <w:sz w:val="20"/>
          <w:szCs w:val="20"/>
        </w:rPr>
        <w:t xml:space="preserve">Tang X, Lai Y, Du S, Ning N. Analgesic efficacy of adding the IPACK block to multimodal analgesia protocol for primary total knee arthroplasty: a meta-analysis of randomized controlled trials. J </w:t>
      </w:r>
      <w:proofErr w:type="spellStart"/>
      <w:r w:rsidRPr="008C0374">
        <w:rPr>
          <w:rFonts w:asciiTheme="majorHAnsi" w:hAnsiTheme="majorHAnsi" w:cstheme="majorHAnsi"/>
          <w:sz w:val="20"/>
          <w:szCs w:val="20"/>
        </w:rPr>
        <w:t>Orthop</w:t>
      </w:r>
      <w:proofErr w:type="spellEnd"/>
      <w:r w:rsidRPr="008C0374">
        <w:rPr>
          <w:rFonts w:asciiTheme="majorHAnsi" w:hAnsiTheme="majorHAnsi" w:cstheme="majorHAnsi"/>
          <w:sz w:val="20"/>
          <w:szCs w:val="20"/>
        </w:rPr>
        <w:t xml:space="preserve"> Surg Res. </w:t>
      </w:r>
      <w:r>
        <w:rPr>
          <w:rFonts w:asciiTheme="majorHAnsi" w:hAnsiTheme="majorHAnsi" w:cstheme="majorHAnsi" w:hint="eastAsia"/>
          <w:sz w:val="20"/>
          <w:szCs w:val="20"/>
        </w:rPr>
        <w:t>2022</w:t>
      </w:r>
      <w:r>
        <w:rPr>
          <w:rFonts w:asciiTheme="majorHAnsi" w:hAnsiTheme="majorHAnsi" w:cstheme="majorHAnsi" w:hint="eastAsia"/>
          <w:sz w:val="20"/>
          <w:szCs w:val="20"/>
        </w:rPr>
        <w:t>；</w:t>
      </w:r>
      <w:r w:rsidRPr="008C0374">
        <w:rPr>
          <w:rFonts w:asciiTheme="majorHAnsi" w:hAnsiTheme="majorHAnsi" w:cstheme="majorHAnsi"/>
          <w:sz w:val="20"/>
          <w:szCs w:val="20"/>
        </w:rPr>
        <w:t>17</w:t>
      </w:r>
      <w:r>
        <w:rPr>
          <w:rFonts w:asciiTheme="majorHAnsi" w:hAnsiTheme="majorHAnsi" w:cstheme="majorHAnsi"/>
          <w:sz w:val="20"/>
          <w:szCs w:val="20"/>
        </w:rPr>
        <w:t>(1): 429</w:t>
      </w:r>
      <w:r w:rsidR="00B50981">
        <w:rPr>
          <w:rFonts w:asciiTheme="majorHAnsi" w:hAnsiTheme="majorHAnsi" w:cstheme="majorHAnsi"/>
          <w:sz w:val="20"/>
          <w:szCs w:val="20"/>
        </w:rPr>
        <w:t xml:space="preserve">. </w:t>
      </w:r>
      <w:r w:rsidR="00B50981" w:rsidRPr="00B50981">
        <w:rPr>
          <w:rFonts w:asciiTheme="majorHAnsi" w:hAnsiTheme="majorHAnsi" w:cstheme="majorHAnsi"/>
          <w:sz w:val="20"/>
          <w:szCs w:val="20"/>
        </w:rPr>
        <w:t>[PMID: 36175927 DOI: 10.1186/s13018-022-03266-3</w:t>
      </w:r>
      <w:r w:rsidR="00E02F7C">
        <w:rPr>
          <w:rFonts w:asciiTheme="majorHAnsi" w:hAnsiTheme="majorHAnsi" w:cstheme="majorHAnsi"/>
          <w:sz w:val="20"/>
          <w:szCs w:val="20"/>
        </w:rPr>
        <w:t>]</w:t>
      </w:r>
    </w:p>
    <w:p w14:paraId="5116BB85" w14:textId="75EC02E4" w:rsidR="00B50981" w:rsidRPr="00B50981" w:rsidRDefault="008C0374" w:rsidP="00B50981">
      <w:pPr>
        <w:pStyle w:val="ListParagraph"/>
        <w:numPr>
          <w:ilvl w:val="0"/>
          <w:numId w:val="2"/>
        </w:numPr>
        <w:autoSpaceDE w:val="0"/>
        <w:autoSpaceDN w:val="0"/>
        <w:adjustRightInd w:val="0"/>
        <w:spacing w:line="480" w:lineRule="auto"/>
        <w:ind w:leftChars="0"/>
        <w:jc w:val="left"/>
        <w:rPr>
          <w:rFonts w:asciiTheme="majorHAnsi" w:hAnsiTheme="majorHAnsi" w:cstheme="majorHAnsi"/>
          <w:sz w:val="20"/>
          <w:szCs w:val="20"/>
        </w:rPr>
      </w:pPr>
      <w:proofErr w:type="spellStart"/>
      <w:r w:rsidRPr="008C0374">
        <w:rPr>
          <w:rFonts w:asciiTheme="majorHAnsi" w:hAnsiTheme="majorHAnsi" w:cstheme="majorHAnsi"/>
          <w:sz w:val="20"/>
          <w:szCs w:val="20"/>
        </w:rPr>
        <w:t>Abogabal</w:t>
      </w:r>
      <w:proofErr w:type="spellEnd"/>
      <w:r w:rsidRPr="008C0374">
        <w:rPr>
          <w:rFonts w:asciiTheme="majorHAnsi" w:hAnsiTheme="majorHAnsi" w:cstheme="majorHAnsi"/>
          <w:sz w:val="20"/>
          <w:szCs w:val="20"/>
        </w:rPr>
        <w:t xml:space="preserve"> MA, Zahra SW, Abdel-</w:t>
      </w:r>
      <w:proofErr w:type="spellStart"/>
      <w:r w:rsidRPr="008C0374">
        <w:rPr>
          <w:rFonts w:asciiTheme="majorHAnsi" w:hAnsiTheme="majorHAnsi" w:cstheme="majorHAnsi"/>
          <w:sz w:val="20"/>
          <w:szCs w:val="20"/>
        </w:rPr>
        <w:t>Elsalam</w:t>
      </w:r>
      <w:proofErr w:type="spellEnd"/>
      <w:r w:rsidRPr="008C0374">
        <w:rPr>
          <w:rFonts w:asciiTheme="majorHAnsi" w:hAnsiTheme="majorHAnsi" w:cstheme="majorHAnsi"/>
          <w:sz w:val="20"/>
          <w:szCs w:val="20"/>
        </w:rPr>
        <w:t xml:space="preserve"> WM, </w:t>
      </w:r>
      <w:proofErr w:type="spellStart"/>
      <w:r w:rsidRPr="008C0374">
        <w:rPr>
          <w:rFonts w:asciiTheme="majorHAnsi" w:hAnsiTheme="majorHAnsi" w:cstheme="majorHAnsi"/>
          <w:sz w:val="20"/>
          <w:szCs w:val="20"/>
        </w:rPr>
        <w:t>Abdelwahed</w:t>
      </w:r>
      <w:proofErr w:type="spellEnd"/>
      <w:r w:rsidRPr="008C0374">
        <w:rPr>
          <w:rFonts w:asciiTheme="majorHAnsi" w:hAnsiTheme="majorHAnsi" w:cstheme="majorHAnsi"/>
          <w:sz w:val="20"/>
          <w:szCs w:val="20"/>
        </w:rPr>
        <w:t xml:space="preserve"> WM. A randomized clinical trial of addition of IPACK block or selective tibial nerve block to adductor canal block for postoperative pain management after total knee arthroplasty. </w:t>
      </w:r>
      <w:proofErr w:type="spellStart"/>
      <w:r w:rsidRPr="008C0374">
        <w:rPr>
          <w:rFonts w:asciiTheme="majorHAnsi" w:hAnsiTheme="majorHAnsi" w:cstheme="majorHAnsi"/>
          <w:sz w:val="20"/>
          <w:szCs w:val="20"/>
        </w:rPr>
        <w:t>Anaesthesia</w:t>
      </w:r>
      <w:proofErr w:type="spellEnd"/>
      <w:r w:rsidRPr="008C0374">
        <w:rPr>
          <w:rFonts w:asciiTheme="majorHAnsi" w:hAnsiTheme="majorHAnsi" w:cstheme="majorHAnsi"/>
          <w:sz w:val="20"/>
          <w:szCs w:val="20"/>
        </w:rPr>
        <w:t xml:space="preserve">, Pain &amp; </w:t>
      </w:r>
      <w:r w:rsidR="00B50981">
        <w:rPr>
          <w:rFonts w:asciiTheme="majorHAnsi" w:hAnsiTheme="majorHAnsi" w:cstheme="majorHAnsi"/>
          <w:sz w:val="20"/>
          <w:szCs w:val="20"/>
        </w:rPr>
        <w:t xml:space="preserve">Intensive Care. 2023; </w:t>
      </w:r>
      <w:r w:rsidR="00B50981" w:rsidRPr="00B50981">
        <w:rPr>
          <w:rFonts w:asciiTheme="majorHAnsi" w:hAnsiTheme="majorHAnsi" w:cstheme="majorHAnsi"/>
          <w:sz w:val="20"/>
          <w:szCs w:val="20"/>
        </w:rPr>
        <w:t>27</w:t>
      </w:r>
      <w:r w:rsidR="00B50981">
        <w:rPr>
          <w:rFonts w:asciiTheme="majorHAnsi" w:hAnsiTheme="majorHAnsi" w:cstheme="majorHAnsi"/>
          <w:sz w:val="20"/>
          <w:szCs w:val="20"/>
        </w:rPr>
        <w:t>(5): 567-574. [DOI: 10.35975/</w:t>
      </w:r>
      <w:proofErr w:type="gramStart"/>
      <w:r w:rsidR="00B50981">
        <w:rPr>
          <w:rFonts w:asciiTheme="majorHAnsi" w:hAnsiTheme="majorHAnsi" w:cstheme="majorHAnsi"/>
          <w:sz w:val="20"/>
          <w:szCs w:val="20"/>
        </w:rPr>
        <w:t>apic.v</w:t>
      </w:r>
      <w:proofErr w:type="gramEnd"/>
      <w:r w:rsidR="00B50981">
        <w:rPr>
          <w:rFonts w:asciiTheme="majorHAnsi" w:hAnsiTheme="majorHAnsi" w:cstheme="majorHAnsi"/>
          <w:sz w:val="20"/>
          <w:szCs w:val="20"/>
        </w:rPr>
        <w:t>27i5.2313]</w:t>
      </w:r>
    </w:p>
    <w:p w14:paraId="6B636454" w14:textId="1C0B036E" w:rsidR="003C3B52" w:rsidRPr="00AF7E70" w:rsidRDefault="00EA1D7C" w:rsidP="00DE719F">
      <w:pPr>
        <w:spacing w:line="480" w:lineRule="auto"/>
        <w:rPr>
          <w:rFonts w:ascii="Arial" w:eastAsia="MS PGothic" w:hAnsi="Arial" w:cs="Arial"/>
          <w:kern w:val="0"/>
          <w:sz w:val="20"/>
          <w:szCs w:val="20"/>
        </w:rPr>
      </w:pPr>
      <w:r w:rsidRPr="00AF7E70">
        <w:rPr>
          <w:rFonts w:ascii="Arial" w:eastAsia="MS PGothic" w:hAnsi="Arial" w:cs="Arial"/>
          <w:kern w:val="0"/>
          <w:sz w:val="20"/>
          <w:szCs w:val="20"/>
        </w:rPr>
        <w:t xml:space="preserve"> </w:t>
      </w:r>
    </w:p>
    <w:sectPr w:rsidR="003C3B52" w:rsidRPr="00AF7E70" w:rsidSect="005B366D">
      <w:headerReference w:type="even" r:id="rId9"/>
      <w:headerReference w:type="default" r:id="rId10"/>
      <w:footerReference w:type="even" r:id="rId11"/>
      <w:footerReference w:type="default" r:id="rId12"/>
      <w:headerReference w:type="first" r:id="rId13"/>
      <w:footerReference w:type="first" r:id="rId14"/>
      <w:pgSz w:w="11906" w:h="16838" w:code="9"/>
      <w:pgMar w:top="1985" w:right="1701" w:bottom="1701" w:left="1701"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F42A522" w14:textId="77777777" w:rsidR="00531671" w:rsidRDefault="00531671">
      <w:r>
        <w:separator/>
      </w:r>
    </w:p>
  </w:endnote>
  <w:endnote w:type="continuationSeparator" w:id="0">
    <w:p w14:paraId="03F488A0" w14:textId="77777777" w:rsidR="00531671" w:rsidRDefault="00531671">
      <w:r>
        <w:continuationSeparator/>
      </w:r>
    </w:p>
  </w:endnote>
  <w:endnote w:type="continuationNotice" w:id="1">
    <w:p w14:paraId="032436C9" w14:textId="77777777" w:rsidR="00531671" w:rsidRDefault="0053167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MS Mincho">
    <w:altName w:val="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BE84EA" w14:textId="77777777" w:rsidR="00EF497C" w:rsidRDefault="00EF497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94462672"/>
      <w:docPartObj>
        <w:docPartGallery w:val="Page Numbers (Bottom of Page)"/>
        <w:docPartUnique/>
      </w:docPartObj>
    </w:sdtPr>
    <w:sdtEndPr/>
    <w:sdtContent>
      <w:p w14:paraId="1E1569D8" w14:textId="7854D047" w:rsidR="007F369D" w:rsidRDefault="007F369D">
        <w:pPr>
          <w:pStyle w:val="Footer"/>
          <w:jc w:val="center"/>
        </w:pPr>
        <w:r>
          <w:fldChar w:fldCharType="begin"/>
        </w:r>
        <w:r>
          <w:instrText>PAGE   \* MERGEFORMAT</w:instrText>
        </w:r>
        <w:r>
          <w:fldChar w:fldCharType="separate"/>
        </w:r>
        <w:r w:rsidR="00B64B50" w:rsidRPr="00B64B50">
          <w:rPr>
            <w:noProof/>
            <w:lang w:val="ja-JP"/>
          </w:rPr>
          <w:t>13</w:t>
        </w:r>
        <w:r>
          <w:fldChar w:fldCharType="end"/>
        </w:r>
      </w:p>
    </w:sdtContent>
  </w:sdt>
  <w:p w14:paraId="4618D020" w14:textId="77777777" w:rsidR="007F369D" w:rsidRPr="00C97F99" w:rsidRDefault="007F369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86CBDC" w14:textId="77777777" w:rsidR="00EF497C" w:rsidRDefault="00EF497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D5D68C" w14:textId="77777777" w:rsidR="00531671" w:rsidRDefault="00531671">
      <w:r>
        <w:separator/>
      </w:r>
    </w:p>
  </w:footnote>
  <w:footnote w:type="continuationSeparator" w:id="0">
    <w:p w14:paraId="6C827497" w14:textId="77777777" w:rsidR="00531671" w:rsidRDefault="00531671">
      <w:r>
        <w:continuationSeparator/>
      </w:r>
    </w:p>
  </w:footnote>
  <w:footnote w:type="continuationNotice" w:id="1">
    <w:p w14:paraId="4BE125AF" w14:textId="77777777" w:rsidR="00531671" w:rsidRDefault="0053167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A7A455" w14:textId="5FF46EFB" w:rsidR="00EF497C" w:rsidRDefault="00EF497C">
    <w:pPr>
      <w:pStyle w:val="Header"/>
    </w:pPr>
    <w:r>
      <w:rPr>
        <w:noProof/>
      </w:rPr>
      <w:pict w14:anchorId="0FD4560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4602391" o:spid="_x0000_s2050" type="#_x0000_t136" style="position:absolute;left:0;text-align:left;margin-left:0;margin-top:0;width:546.4pt;height:52.95pt;rotation:315;z-index:-251655168;mso-position-horizontal:center;mso-position-horizontal-relative:margin;mso-position-vertical:center;mso-position-vertical-relative:margin" o:allowincell="f" fillcolor="silver" stroked="f">
          <v:fill opacity=".5"/>
          <v:textpath style="font-family:&quot;Century&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6CAB94" w14:textId="3B722184" w:rsidR="00EF497C" w:rsidRDefault="00EF497C">
    <w:pPr>
      <w:pStyle w:val="Header"/>
    </w:pPr>
    <w:r>
      <w:rPr>
        <w:noProof/>
      </w:rPr>
      <w:pict w14:anchorId="6708109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4602392" o:spid="_x0000_s2051" type="#_x0000_t136" style="position:absolute;left:0;text-align:left;margin-left:0;margin-top:0;width:546.4pt;height:52.95pt;rotation:315;z-index:-251653120;mso-position-horizontal:center;mso-position-horizontal-relative:margin;mso-position-vertical:center;mso-position-vertical-relative:margin" o:allowincell="f" fillcolor="silver" stroked="f">
          <v:fill opacity=".5"/>
          <v:textpath style="font-family:&quot;Century&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20D121" w14:textId="0032CDFC" w:rsidR="00EF497C" w:rsidRDefault="00EF497C">
    <w:pPr>
      <w:pStyle w:val="Header"/>
    </w:pPr>
    <w:r>
      <w:rPr>
        <w:noProof/>
      </w:rPr>
      <w:pict w14:anchorId="3752D7E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4602390" o:spid="_x0000_s2049" type="#_x0000_t136" style="position:absolute;left:0;text-align:left;margin-left:0;margin-top:0;width:546.4pt;height:52.95pt;rotation:315;z-index:-251657216;mso-position-horizontal:center;mso-position-horizontal-relative:margin;mso-position-vertical:center;mso-position-vertical-relative:margin" o:allowincell="f" fillcolor="silver" stroked="f">
          <v:fill opacity=".5"/>
          <v:textpath style="font-family:&quot;Century&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562D78"/>
    <w:multiLevelType w:val="hybridMultilevel"/>
    <w:tmpl w:val="D550E7D8"/>
    <w:lvl w:ilvl="0" w:tplc="5A76E586">
      <w:start w:val="4"/>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6380569"/>
    <w:multiLevelType w:val="hybridMultilevel"/>
    <w:tmpl w:val="0B806722"/>
    <w:lvl w:ilvl="0" w:tplc="605292C4">
      <w:start w:val="1"/>
      <w:numFmt w:val="decimal"/>
      <w:lvlText w:val="%1."/>
      <w:lvlJc w:val="left"/>
      <w:pPr>
        <w:ind w:left="360" w:hanging="360"/>
      </w:pPr>
      <w:rPr>
        <w:rFonts w:hint="default"/>
      </w:rPr>
    </w:lvl>
    <w:lvl w:ilvl="1" w:tplc="CED2D022" w:tentative="1">
      <w:start w:val="1"/>
      <w:numFmt w:val="aiueoFullWidth"/>
      <w:lvlText w:val="(%2)"/>
      <w:lvlJc w:val="left"/>
      <w:pPr>
        <w:ind w:left="840" w:hanging="420"/>
      </w:pPr>
    </w:lvl>
    <w:lvl w:ilvl="2" w:tplc="5D726966" w:tentative="1">
      <w:start w:val="1"/>
      <w:numFmt w:val="decimalEnclosedCircle"/>
      <w:lvlText w:val="%3"/>
      <w:lvlJc w:val="left"/>
      <w:pPr>
        <w:ind w:left="1260" w:hanging="420"/>
      </w:pPr>
    </w:lvl>
    <w:lvl w:ilvl="3" w:tplc="D5FA684A" w:tentative="1">
      <w:start w:val="1"/>
      <w:numFmt w:val="decimal"/>
      <w:lvlText w:val="%4."/>
      <w:lvlJc w:val="left"/>
      <w:pPr>
        <w:ind w:left="1680" w:hanging="420"/>
      </w:pPr>
    </w:lvl>
    <w:lvl w:ilvl="4" w:tplc="4772778C" w:tentative="1">
      <w:start w:val="1"/>
      <w:numFmt w:val="aiueoFullWidth"/>
      <w:lvlText w:val="(%5)"/>
      <w:lvlJc w:val="left"/>
      <w:pPr>
        <w:ind w:left="2100" w:hanging="420"/>
      </w:pPr>
    </w:lvl>
    <w:lvl w:ilvl="5" w:tplc="A3ACB012" w:tentative="1">
      <w:start w:val="1"/>
      <w:numFmt w:val="decimalEnclosedCircle"/>
      <w:lvlText w:val="%6"/>
      <w:lvlJc w:val="left"/>
      <w:pPr>
        <w:ind w:left="2520" w:hanging="420"/>
      </w:pPr>
    </w:lvl>
    <w:lvl w:ilvl="6" w:tplc="2494B2F2" w:tentative="1">
      <w:start w:val="1"/>
      <w:numFmt w:val="decimal"/>
      <w:lvlText w:val="%7."/>
      <w:lvlJc w:val="left"/>
      <w:pPr>
        <w:ind w:left="2940" w:hanging="420"/>
      </w:pPr>
    </w:lvl>
    <w:lvl w:ilvl="7" w:tplc="9F78668C" w:tentative="1">
      <w:start w:val="1"/>
      <w:numFmt w:val="aiueoFullWidth"/>
      <w:lvlText w:val="(%8)"/>
      <w:lvlJc w:val="left"/>
      <w:pPr>
        <w:ind w:left="3360" w:hanging="420"/>
      </w:pPr>
    </w:lvl>
    <w:lvl w:ilvl="8" w:tplc="6ECE5642" w:tentative="1">
      <w:start w:val="1"/>
      <w:numFmt w:val="decimalEnclosedCircle"/>
      <w:lvlText w:val="%9"/>
      <w:lvlJc w:val="left"/>
      <w:pPr>
        <w:ind w:left="3780" w:hanging="420"/>
      </w:pPr>
    </w:lvl>
  </w:abstractNum>
  <w:abstractNum w:abstractNumId="2" w15:restartNumberingAfterBreak="0">
    <w:nsid w:val="22F832EF"/>
    <w:multiLevelType w:val="hybridMultilevel"/>
    <w:tmpl w:val="B28AF48A"/>
    <w:lvl w:ilvl="0" w:tplc="050C0EA4">
      <w:start w:val="1"/>
      <w:numFmt w:val="decimal"/>
      <w:lvlText w:val="%1)"/>
      <w:lvlJc w:val="left"/>
      <w:pPr>
        <w:ind w:left="360" w:hanging="360"/>
      </w:pPr>
      <w:rPr>
        <w:rFonts w:asciiTheme="minorHAnsi" w:eastAsiaTheme="minorEastAsia" w:hAnsiTheme="minorHAnsi" w:cstheme="minorBidi"/>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7E07371"/>
    <w:multiLevelType w:val="hybridMultilevel"/>
    <w:tmpl w:val="4DFAED22"/>
    <w:lvl w:ilvl="0" w:tplc="EF5C2726">
      <w:start w:val="1"/>
      <w:numFmt w:val="decimal"/>
      <w:lvlText w:val="%1."/>
      <w:lvlJc w:val="left"/>
      <w:pPr>
        <w:ind w:left="720" w:hanging="360"/>
      </w:pPr>
      <w:rPr>
        <w:rFonts w:hint="default"/>
        <w:b/>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4" w15:restartNumberingAfterBreak="0">
    <w:nsid w:val="2F103C15"/>
    <w:multiLevelType w:val="hybridMultilevel"/>
    <w:tmpl w:val="052CB460"/>
    <w:lvl w:ilvl="0" w:tplc="7960E348">
      <w:start w:val="1"/>
      <w:numFmt w:val="decimal"/>
      <w:lvlText w:val="%1."/>
      <w:lvlJc w:val="left"/>
      <w:pPr>
        <w:ind w:left="360" w:hanging="360"/>
      </w:pPr>
      <w:rPr>
        <w:rFonts w:hint="default"/>
        <w:b/>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3F6A7AA5"/>
    <w:multiLevelType w:val="hybridMultilevel"/>
    <w:tmpl w:val="AC2204F6"/>
    <w:lvl w:ilvl="0" w:tplc="917234A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653B669D"/>
    <w:multiLevelType w:val="hybridMultilevel"/>
    <w:tmpl w:val="1B9A36E6"/>
    <w:lvl w:ilvl="0" w:tplc="C444F1F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2"/>
  </w:num>
  <w:num w:numId="3">
    <w:abstractNumId w:val="5"/>
  </w:num>
  <w:num w:numId="4">
    <w:abstractNumId w:val="3"/>
  </w:num>
  <w:num w:numId="5">
    <w:abstractNumId w:val="6"/>
  </w:num>
  <w:num w:numId="6">
    <w:abstractNumId w:val="4"/>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6"/>
  <w:removeDateAndTime/>
  <w:bordersDoNotSurroundHeader/>
  <w:bordersDoNotSurroundFooter/>
  <w:activeWritingStyle w:appName="MSWord" w:lang="en-US" w:vendorID="64" w:dllVersion="0" w:nlCheck="1" w:checkStyle="0"/>
  <w:activeWritingStyle w:appName="MSWord" w:lang="en-GB" w:vendorID="64" w:dllVersion="0" w:nlCheck="1" w:checkStyle="0"/>
  <w:activeWritingStyle w:appName="MSWord" w:lang="en-US" w:vendorID="64" w:dllVersion="6" w:nlCheck="1" w:checkStyle="0"/>
  <w:activeWritingStyle w:appName="MSWord" w:lang="ja-JP" w:vendorID="64" w:dllVersion="6" w:nlCheck="1" w:checkStyle="1"/>
  <w:activeWritingStyle w:appName="MSWord" w:lang="en-US" w:vendorID="64" w:dllVersion="4096" w:nlCheck="1" w:checkStyle="0"/>
  <w:activeWritingStyle w:appName="MSWord" w:lang="en-IN" w:vendorID="64" w:dllVersion="4096" w:nlCheck="1" w:checkStyle="0"/>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2">
      <v:textbox inset="5.85pt,.7pt,5.85pt,.7pt"/>
    </o:shapedefaults>
    <o:shapelayout v:ext="edit">
      <o:idmap v:ext="edit" data="2"/>
    </o:shapelayout>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7C63"/>
    <w:rsid w:val="000000F1"/>
    <w:rsid w:val="0000036B"/>
    <w:rsid w:val="0000145A"/>
    <w:rsid w:val="00002644"/>
    <w:rsid w:val="00002767"/>
    <w:rsid w:val="00003C91"/>
    <w:rsid w:val="00005C12"/>
    <w:rsid w:val="00005CC1"/>
    <w:rsid w:val="00006F98"/>
    <w:rsid w:val="00007006"/>
    <w:rsid w:val="00017143"/>
    <w:rsid w:val="00017DF9"/>
    <w:rsid w:val="00023B1A"/>
    <w:rsid w:val="0002772C"/>
    <w:rsid w:val="00027DD3"/>
    <w:rsid w:val="00027EDB"/>
    <w:rsid w:val="00031209"/>
    <w:rsid w:val="000313D6"/>
    <w:rsid w:val="0003157E"/>
    <w:rsid w:val="00032C67"/>
    <w:rsid w:val="00035C8F"/>
    <w:rsid w:val="00037D4E"/>
    <w:rsid w:val="00040DBB"/>
    <w:rsid w:val="00041787"/>
    <w:rsid w:val="00043AAA"/>
    <w:rsid w:val="00044396"/>
    <w:rsid w:val="00044674"/>
    <w:rsid w:val="00051090"/>
    <w:rsid w:val="000525B9"/>
    <w:rsid w:val="0005339D"/>
    <w:rsid w:val="00054081"/>
    <w:rsid w:val="0005747D"/>
    <w:rsid w:val="00057E70"/>
    <w:rsid w:val="00061040"/>
    <w:rsid w:val="00061E2C"/>
    <w:rsid w:val="0006276D"/>
    <w:rsid w:val="00062F06"/>
    <w:rsid w:val="00067157"/>
    <w:rsid w:val="00070843"/>
    <w:rsid w:val="00073751"/>
    <w:rsid w:val="00074000"/>
    <w:rsid w:val="0007789D"/>
    <w:rsid w:val="0008089A"/>
    <w:rsid w:val="00081357"/>
    <w:rsid w:val="00083035"/>
    <w:rsid w:val="000939B4"/>
    <w:rsid w:val="000A3393"/>
    <w:rsid w:val="000B133F"/>
    <w:rsid w:val="000B35AB"/>
    <w:rsid w:val="000B36CC"/>
    <w:rsid w:val="000B3B9D"/>
    <w:rsid w:val="000B3C50"/>
    <w:rsid w:val="000B3CA3"/>
    <w:rsid w:val="000B400E"/>
    <w:rsid w:val="000B42A3"/>
    <w:rsid w:val="000B6E17"/>
    <w:rsid w:val="000B7EF1"/>
    <w:rsid w:val="000C1F83"/>
    <w:rsid w:val="000D0841"/>
    <w:rsid w:val="000D208D"/>
    <w:rsid w:val="000D2BBA"/>
    <w:rsid w:val="000E28A9"/>
    <w:rsid w:val="000E4C34"/>
    <w:rsid w:val="000F3BF0"/>
    <w:rsid w:val="000F7719"/>
    <w:rsid w:val="00100E02"/>
    <w:rsid w:val="0010114C"/>
    <w:rsid w:val="00102328"/>
    <w:rsid w:val="00103C1A"/>
    <w:rsid w:val="001049EC"/>
    <w:rsid w:val="00107613"/>
    <w:rsid w:val="001102D5"/>
    <w:rsid w:val="00111F4F"/>
    <w:rsid w:val="00113862"/>
    <w:rsid w:val="00114C49"/>
    <w:rsid w:val="00121E43"/>
    <w:rsid w:val="001247C0"/>
    <w:rsid w:val="00124C37"/>
    <w:rsid w:val="00126A8B"/>
    <w:rsid w:val="0012741F"/>
    <w:rsid w:val="0013374A"/>
    <w:rsid w:val="00134F25"/>
    <w:rsid w:val="001358A0"/>
    <w:rsid w:val="001358F2"/>
    <w:rsid w:val="00136CAF"/>
    <w:rsid w:val="00140D61"/>
    <w:rsid w:val="00144D44"/>
    <w:rsid w:val="00150C1E"/>
    <w:rsid w:val="00154525"/>
    <w:rsid w:val="00162B71"/>
    <w:rsid w:val="001642C7"/>
    <w:rsid w:val="00166313"/>
    <w:rsid w:val="00166790"/>
    <w:rsid w:val="00167B8A"/>
    <w:rsid w:val="00167FBD"/>
    <w:rsid w:val="001739B9"/>
    <w:rsid w:val="00175F27"/>
    <w:rsid w:val="00176652"/>
    <w:rsid w:val="00177081"/>
    <w:rsid w:val="00180BDA"/>
    <w:rsid w:val="00187577"/>
    <w:rsid w:val="00190756"/>
    <w:rsid w:val="00192514"/>
    <w:rsid w:val="00192F1B"/>
    <w:rsid w:val="001944E9"/>
    <w:rsid w:val="00194AD2"/>
    <w:rsid w:val="00197607"/>
    <w:rsid w:val="001A006A"/>
    <w:rsid w:val="001A0075"/>
    <w:rsid w:val="001A06B9"/>
    <w:rsid w:val="001A3A53"/>
    <w:rsid w:val="001A4622"/>
    <w:rsid w:val="001A5A0E"/>
    <w:rsid w:val="001B4C06"/>
    <w:rsid w:val="001B59A2"/>
    <w:rsid w:val="001B6063"/>
    <w:rsid w:val="001B6DF3"/>
    <w:rsid w:val="001C58A4"/>
    <w:rsid w:val="001C71A7"/>
    <w:rsid w:val="001D1B0C"/>
    <w:rsid w:val="001D21BA"/>
    <w:rsid w:val="001D708F"/>
    <w:rsid w:val="001E10B0"/>
    <w:rsid w:val="001E1D29"/>
    <w:rsid w:val="001E5B26"/>
    <w:rsid w:val="001E6336"/>
    <w:rsid w:val="001E64DB"/>
    <w:rsid w:val="001F13EC"/>
    <w:rsid w:val="001F5F30"/>
    <w:rsid w:val="00201283"/>
    <w:rsid w:val="00202CA9"/>
    <w:rsid w:val="00203C24"/>
    <w:rsid w:val="002052CD"/>
    <w:rsid w:val="00207A69"/>
    <w:rsid w:val="00210A23"/>
    <w:rsid w:val="00211FED"/>
    <w:rsid w:val="0021404D"/>
    <w:rsid w:val="00217A35"/>
    <w:rsid w:val="002203F1"/>
    <w:rsid w:val="00222CDC"/>
    <w:rsid w:val="002255F6"/>
    <w:rsid w:val="00225C19"/>
    <w:rsid w:val="0022639F"/>
    <w:rsid w:val="00227CB0"/>
    <w:rsid w:val="00232711"/>
    <w:rsid w:val="002364D8"/>
    <w:rsid w:val="0024260D"/>
    <w:rsid w:val="0024462A"/>
    <w:rsid w:val="00251296"/>
    <w:rsid w:val="00254CA1"/>
    <w:rsid w:val="00260621"/>
    <w:rsid w:val="00260CBD"/>
    <w:rsid w:val="002628F3"/>
    <w:rsid w:val="00264ED1"/>
    <w:rsid w:val="002702EC"/>
    <w:rsid w:val="00272D4A"/>
    <w:rsid w:val="00273E8C"/>
    <w:rsid w:val="00276881"/>
    <w:rsid w:val="002770F9"/>
    <w:rsid w:val="00282C9A"/>
    <w:rsid w:val="00284E2C"/>
    <w:rsid w:val="002871E5"/>
    <w:rsid w:val="00290CCD"/>
    <w:rsid w:val="00293282"/>
    <w:rsid w:val="0029602B"/>
    <w:rsid w:val="00296F30"/>
    <w:rsid w:val="002A30C9"/>
    <w:rsid w:val="002A50F6"/>
    <w:rsid w:val="002A7E4E"/>
    <w:rsid w:val="002B0331"/>
    <w:rsid w:val="002B255F"/>
    <w:rsid w:val="002B2574"/>
    <w:rsid w:val="002B3978"/>
    <w:rsid w:val="002B3E70"/>
    <w:rsid w:val="002B40D8"/>
    <w:rsid w:val="002B4671"/>
    <w:rsid w:val="002C01FD"/>
    <w:rsid w:val="002C023B"/>
    <w:rsid w:val="002C3877"/>
    <w:rsid w:val="002C4378"/>
    <w:rsid w:val="002D08E8"/>
    <w:rsid w:val="002D44A4"/>
    <w:rsid w:val="002D5C51"/>
    <w:rsid w:val="002D6CC9"/>
    <w:rsid w:val="002D71B4"/>
    <w:rsid w:val="002D74ED"/>
    <w:rsid w:val="002E232D"/>
    <w:rsid w:val="002E2BE3"/>
    <w:rsid w:val="002E3504"/>
    <w:rsid w:val="002E6D16"/>
    <w:rsid w:val="002F12D0"/>
    <w:rsid w:val="002F2842"/>
    <w:rsid w:val="002F4145"/>
    <w:rsid w:val="002F7E56"/>
    <w:rsid w:val="0030141B"/>
    <w:rsid w:val="003014A1"/>
    <w:rsid w:val="00304354"/>
    <w:rsid w:val="003050D0"/>
    <w:rsid w:val="003056AC"/>
    <w:rsid w:val="00306761"/>
    <w:rsid w:val="00307FED"/>
    <w:rsid w:val="003123EA"/>
    <w:rsid w:val="0031242F"/>
    <w:rsid w:val="00312E0E"/>
    <w:rsid w:val="003139E4"/>
    <w:rsid w:val="0031500D"/>
    <w:rsid w:val="0031592B"/>
    <w:rsid w:val="00315CB4"/>
    <w:rsid w:val="00315FFE"/>
    <w:rsid w:val="00322271"/>
    <w:rsid w:val="00322F46"/>
    <w:rsid w:val="003310F0"/>
    <w:rsid w:val="003320E6"/>
    <w:rsid w:val="003334FA"/>
    <w:rsid w:val="00340E29"/>
    <w:rsid w:val="00346E26"/>
    <w:rsid w:val="003507D0"/>
    <w:rsid w:val="00360388"/>
    <w:rsid w:val="00360A37"/>
    <w:rsid w:val="00363CE3"/>
    <w:rsid w:val="00364B7A"/>
    <w:rsid w:val="003660FF"/>
    <w:rsid w:val="00370116"/>
    <w:rsid w:val="0037184E"/>
    <w:rsid w:val="00372600"/>
    <w:rsid w:val="00373BCA"/>
    <w:rsid w:val="0037416A"/>
    <w:rsid w:val="00376AA3"/>
    <w:rsid w:val="003775D9"/>
    <w:rsid w:val="003815B3"/>
    <w:rsid w:val="00381DA0"/>
    <w:rsid w:val="00383099"/>
    <w:rsid w:val="00383B66"/>
    <w:rsid w:val="00384172"/>
    <w:rsid w:val="003852EB"/>
    <w:rsid w:val="00386526"/>
    <w:rsid w:val="003875F7"/>
    <w:rsid w:val="0038764B"/>
    <w:rsid w:val="00387DE1"/>
    <w:rsid w:val="00391546"/>
    <w:rsid w:val="00392788"/>
    <w:rsid w:val="003947F3"/>
    <w:rsid w:val="00394A45"/>
    <w:rsid w:val="00396307"/>
    <w:rsid w:val="0039656E"/>
    <w:rsid w:val="00396B43"/>
    <w:rsid w:val="00397A4A"/>
    <w:rsid w:val="003A5054"/>
    <w:rsid w:val="003B3A98"/>
    <w:rsid w:val="003B56E9"/>
    <w:rsid w:val="003B6AF4"/>
    <w:rsid w:val="003B70F0"/>
    <w:rsid w:val="003B7D03"/>
    <w:rsid w:val="003C3B52"/>
    <w:rsid w:val="003C64CB"/>
    <w:rsid w:val="003D2A9C"/>
    <w:rsid w:val="003D55EC"/>
    <w:rsid w:val="003E1106"/>
    <w:rsid w:val="003E3C5E"/>
    <w:rsid w:val="003E3F0F"/>
    <w:rsid w:val="003E437C"/>
    <w:rsid w:val="003E4856"/>
    <w:rsid w:val="003E4B5A"/>
    <w:rsid w:val="003E53D7"/>
    <w:rsid w:val="003E68C2"/>
    <w:rsid w:val="003F14BA"/>
    <w:rsid w:val="003F49B8"/>
    <w:rsid w:val="003F622A"/>
    <w:rsid w:val="00403D61"/>
    <w:rsid w:val="00407DAE"/>
    <w:rsid w:val="00410AA9"/>
    <w:rsid w:val="004115BE"/>
    <w:rsid w:val="00413053"/>
    <w:rsid w:val="00413C7B"/>
    <w:rsid w:val="00413E27"/>
    <w:rsid w:val="00414184"/>
    <w:rsid w:val="00415AC5"/>
    <w:rsid w:val="00425B99"/>
    <w:rsid w:val="00427825"/>
    <w:rsid w:val="004330B5"/>
    <w:rsid w:val="00434E94"/>
    <w:rsid w:val="0044160E"/>
    <w:rsid w:val="004438B1"/>
    <w:rsid w:val="00444C6E"/>
    <w:rsid w:val="004474FB"/>
    <w:rsid w:val="00452CF2"/>
    <w:rsid w:val="004579BE"/>
    <w:rsid w:val="0046377D"/>
    <w:rsid w:val="00465A17"/>
    <w:rsid w:val="00470DE2"/>
    <w:rsid w:val="00470E34"/>
    <w:rsid w:val="00476231"/>
    <w:rsid w:val="0047791B"/>
    <w:rsid w:val="00481883"/>
    <w:rsid w:val="00481F80"/>
    <w:rsid w:val="004825E4"/>
    <w:rsid w:val="00483345"/>
    <w:rsid w:val="00485643"/>
    <w:rsid w:val="00485D71"/>
    <w:rsid w:val="00486A04"/>
    <w:rsid w:val="00486FF5"/>
    <w:rsid w:val="0048761D"/>
    <w:rsid w:val="00493D22"/>
    <w:rsid w:val="00494DAA"/>
    <w:rsid w:val="004A0A40"/>
    <w:rsid w:val="004A3786"/>
    <w:rsid w:val="004A4430"/>
    <w:rsid w:val="004A45B1"/>
    <w:rsid w:val="004B3355"/>
    <w:rsid w:val="004B43C0"/>
    <w:rsid w:val="004B4633"/>
    <w:rsid w:val="004C23C3"/>
    <w:rsid w:val="004C62E4"/>
    <w:rsid w:val="004C644D"/>
    <w:rsid w:val="004D1FCC"/>
    <w:rsid w:val="004D2E9A"/>
    <w:rsid w:val="004D5452"/>
    <w:rsid w:val="004E283F"/>
    <w:rsid w:val="004E5B4B"/>
    <w:rsid w:val="004F32AE"/>
    <w:rsid w:val="004F5066"/>
    <w:rsid w:val="005021C4"/>
    <w:rsid w:val="00505147"/>
    <w:rsid w:val="005174D0"/>
    <w:rsid w:val="00520028"/>
    <w:rsid w:val="005208B8"/>
    <w:rsid w:val="0052477E"/>
    <w:rsid w:val="00525043"/>
    <w:rsid w:val="00527094"/>
    <w:rsid w:val="0052787F"/>
    <w:rsid w:val="0053024C"/>
    <w:rsid w:val="00530F46"/>
    <w:rsid w:val="00531671"/>
    <w:rsid w:val="00531763"/>
    <w:rsid w:val="00532760"/>
    <w:rsid w:val="0053461B"/>
    <w:rsid w:val="00534873"/>
    <w:rsid w:val="0053644E"/>
    <w:rsid w:val="005369DF"/>
    <w:rsid w:val="00541CAE"/>
    <w:rsid w:val="00543AB4"/>
    <w:rsid w:val="00543C04"/>
    <w:rsid w:val="00546434"/>
    <w:rsid w:val="00546FD1"/>
    <w:rsid w:val="00547A79"/>
    <w:rsid w:val="00547AB1"/>
    <w:rsid w:val="005500E7"/>
    <w:rsid w:val="00551912"/>
    <w:rsid w:val="00553AAF"/>
    <w:rsid w:val="0055527C"/>
    <w:rsid w:val="0055585A"/>
    <w:rsid w:val="00556BA3"/>
    <w:rsid w:val="00556FF8"/>
    <w:rsid w:val="00557424"/>
    <w:rsid w:val="00560725"/>
    <w:rsid w:val="005611EE"/>
    <w:rsid w:val="00561FB0"/>
    <w:rsid w:val="00572360"/>
    <w:rsid w:val="00573A9F"/>
    <w:rsid w:val="0057486F"/>
    <w:rsid w:val="00574B39"/>
    <w:rsid w:val="005806B5"/>
    <w:rsid w:val="005842C4"/>
    <w:rsid w:val="00590E7F"/>
    <w:rsid w:val="005911AD"/>
    <w:rsid w:val="005948E5"/>
    <w:rsid w:val="00594E0D"/>
    <w:rsid w:val="00594E7F"/>
    <w:rsid w:val="00595FB4"/>
    <w:rsid w:val="005A0194"/>
    <w:rsid w:val="005A0AE8"/>
    <w:rsid w:val="005A0C95"/>
    <w:rsid w:val="005A2243"/>
    <w:rsid w:val="005A2440"/>
    <w:rsid w:val="005A281F"/>
    <w:rsid w:val="005A37A8"/>
    <w:rsid w:val="005A3882"/>
    <w:rsid w:val="005A484B"/>
    <w:rsid w:val="005A49D3"/>
    <w:rsid w:val="005A5491"/>
    <w:rsid w:val="005B1153"/>
    <w:rsid w:val="005B1F77"/>
    <w:rsid w:val="005B222A"/>
    <w:rsid w:val="005B366D"/>
    <w:rsid w:val="005B4FD6"/>
    <w:rsid w:val="005B5BFB"/>
    <w:rsid w:val="005B7609"/>
    <w:rsid w:val="005C0A0D"/>
    <w:rsid w:val="005D6905"/>
    <w:rsid w:val="005D6CFE"/>
    <w:rsid w:val="005D6F24"/>
    <w:rsid w:val="005E2748"/>
    <w:rsid w:val="005E40D8"/>
    <w:rsid w:val="005E422E"/>
    <w:rsid w:val="005E4752"/>
    <w:rsid w:val="005E677D"/>
    <w:rsid w:val="005E6B66"/>
    <w:rsid w:val="005E7B32"/>
    <w:rsid w:val="005F09F3"/>
    <w:rsid w:val="005F0E58"/>
    <w:rsid w:val="005F3288"/>
    <w:rsid w:val="005F3D2A"/>
    <w:rsid w:val="005F4D49"/>
    <w:rsid w:val="005F64EF"/>
    <w:rsid w:val="005F67F1"/>
    <w:rsid w:val="005F7204"/>
    <w:rsid w:val="006043CB"/>
    <w:rsid w:val="0061491C"/>
    <w:rsid w:val="006219E5"/>
    <w:rsid w:val="006228DC"/>
    <w:rsid w:val="00622D4F"/>
    <w:rsid w:val="00623C42"/>
    <w:rsid w:val="00623E0B"/>
    <w:rsid w:val="00626E71"/>
    <w:rsid w:val="00633F6F"/>
    <w:rsid w:val="0063480F"/>
    <w:rsid w:val="00634B77"/>
    <w:rsid w:val="006350EF"/>
    <w:rsid w:val="00636B72"/>
    <w:rsid w:val="00640CFD"/>
    <w:rsid w:val="00641C2F"/>
    <w:rsid w:val="006420BF"/>
    <w:rsid w:val="00642554"/>
    <w:rsid w:val="00642977"/>
    <w:rsid w:val="006448A6"/>
    <w:rsid w:val="0064688A"/>
    <w:rsid w:val="00647521"/>
    <w:rsid w:val="00652F48"/>
    <w:rsid w:val="00654B13"/>
    <w:rsid w:val="0065617D"/>
    <w:rsid w:val="0066410D"/>
    <w:rsid w:val="00664BEE"/>
    <w:rsid w:val="006666A1"/>
    <w:rsid w:val="00666F0C"/>
    <w:rsid w:val="00667DE4"/>
    <w:rsid w:val="00672606"/>
    <w:rsid w:val="00676EFB"/>
    <w:rsid w:val="0067722F"/>
    <w:rsid w:val="00682976"/>
    <w:rsid w:val="00682BAB"/>
    <w:rsid w:val="0068365F"/>
    <w:rsid w:val="00684D3F"/>
    <w:rsid w:val="006862E1"/>
    <w:rsid w:val="00687C49"/>
    <w:rsid w:val="00695363"/>
    <w:rsid w:val="00696E6D"/>
    <w:rsid w:val="006A1572"/>
    <w:rsid w:val="006A458C"/>
    <w:rsid w:val="006A4FE4"/>
    <w:rsid w:val="006A500F"/>
    <w:rsid w:val="006A77AD"/>
    <w:rsid w:val="006B0ECB"/>
    <w:rsid w:val="006B5EEC"/>
    <w:rsid w:val="006B6C60"/>
    <w:rsid w:val="006D05A7"/>
    <w:rsid w:val="006D2632"/>
    <w:rsid w:val="006D38F3"/>
    <w:rsid w:val="006D4B36"/>
    <w:rsid w:val="006D4F32"/>
    <w:rsid w:val="006D56A7"/>
    <w:rsid w:val="006D65AA"/>
    <w:rsid w:val="006D7337"/>
    <w:rsid w:val="006D7A0C"/>
    <w:rsid w:val="006D7E41"/>
    <w:rsid w:val="006E74A0"/>
    <w:rsid w:val="006F2932"/>
    <w:rsid w:val="006F3DE2"/>
    <w:rsid w:val="006F5873"/>
    <w:rsid w:val="006F5EBB"/>
    <w:rsid w:val="007074E1"/>
    <w:rsid w:val="007102CC"/>
    <w:rsid w:val="00711C06"/>
    <w:rsid w:val="00724422"/>
    <w:rsid w:val="007244B3"/>
    <w:rsid w:val="00726829"/>
    <w:rsid w:val="00726B6F"/>
    <w:rsid w:val="00730F92"/>
    <w:rsid w:val="00732C66"/>
    <w:rsid w:val="00735877"/>
    <w:rsid w:val="0073698F"/>
    <w:rsid w:val="007373FB"/>
    <w:rsid w:val="0073792D"/>
    <w:rsid w:val="007404F1"/>
    <w:rsid w:val="00743283"/>
    <w:rsid w:val="00743A20"/>
    <w:rsid w:val="00750593"/>
    <w:rsid w:val="00751D18"/>
    <w:rsid w:val="007522A7"/>
    <w:rsid w:val="00754F04"/>
    <w:rsid w:val="00757FDA"/>
    <w:rsid w:val="00760ABE"/>
    <w:rsid w:val="00761606"/>
    <w:rsid w:val="0076420F"/>
    <w:rsid w:val="00765708"/>
    <w:rsid w:val="00765A6F"/>
    <w:rsid w:val="00765EC2"/>
    <w:rsid w:val="00766523"/>
    <w:rsid w:val="00770AC1"/>
    <w:rsid w:val="00770FCC"/>
    <w:rsid w:val="00774055"/>
    <w:rsid w:val="0077566F"/>
    <w:rsid w:val="007826DA"/>
    <w:rsid w:val="00787DD5"/>
    <w:rsid w:val="007913E5"/>
    <w:rsid w:val="007A1560"/>
    <w:rsid w:val="007B1B9C"/>
    <w:rsid w:val="007B2E8A"/>
    <w:rsid w:val="007B687D"/>
    <w:rsid w:val="007C250C"/>
    <w:rsid w:val="007C2B9A"/>
    <w:rsid w:val="007C5698"/>
    <w:rsid w:val="007C6CA6"/>
    <w:rsid w:val="007D04E9"/>
    <w:rsid w:val="007D2527"/>
    <w:rsid w:val="007D2B1B"/>
    <w:rsid w:val="007D4E4A"/>
    <w:rsid w:val="007D4EF8"/>
    <w:rsid w:val="007D5C14"/>
    <w:rsid w:val="007E1B91"/>
    <w:rsid w:val="007E413B"/>
    <w:rsid w:val="007F1159"/>
    <w:rsid w:val="007F369D"/>
    <w:rsid w:val="007F3F10"/>
    <w:rsid w:val="007F4CF2"/>
    <w:rsid w:val="00800E8A"/>
    <w:rsid w:val="00804BAB"/>
    <w:rsid w:val="008075D3"/>
    <w:rsid w:val="00807683"/>
    <w:rsid w:val="00811324"/>
    <w:rsid w:val="008158BB"/>
    <w:rsid w:val="00816527"/>
    <w:rsid w:val="008203F9"/>
    <w:rsid w:val="0082535B"/>
    <w:rsid w:val="0082628E"/>
    <w:rsid w:val="00826920"/>
    <w:rsid w:val="00832A98"/>
    <w:rsid w:val="00840582"/>
    <w:rsid w:val="0084180C"/>
    <w:rsid w:val="00846920"/>
    <w:rsid w:val="00850FB5"/>
    <w:rsid w:val="008518B3"/>
    <w:rsid w:val="008546EC"/>
    <w:rsid w:val="00855234"/>
    <w:rsid w:val="008601B6"/>
    <w:rsid w:val="00861A9F"/>
    <w:rsid w:val="00867795"/>
    <w:rsid w:val="00867931"/>
    <w:rsid w:val="00871BA3"/>
    <w:rsid w:val="00873A6A"/>
    <w:rsid w:val="0087492E"/>
    <w:rsid w:val="0087559F"/>
    <w:rsid w:val="00876DF9"/>
    <w:rsid w:val="008806A8"/>
    <w:rsid w:val="00881F95"/>
    <w:rsid w:val="00882484"/>
    <w:rsid w:val="008865EF"/>
    <w:rsid w:val="00886A19"/>
    <w:rsid w:val="00890955"/>
    <w:rsid w:val="00894AD1"/>
    <w:rsid w:val="00895941"/>
    <w:rsid w:val="008A2D08"/>
    <w:rsid w:val="008B0B1F"/>
    <w:rsid w:val="008B1143"/>
    <w:rsid w:val="008B119E"/>
    <w:rsid w:val="008B77DA"/>
    <w:rsid w:val="008C0374"/>
    <w:rsid w:val="008C0669"/>
    <w:rsid w:val="008C414B"/>
    <w:rsid w:val="008C490C"/>
    <w:rsid w:val="008C5879"/>
    <w:rsid w:val="008D4600"/>
    <w:rsid w:val="008D486A"/>
    <w:rsid w:val="008D4F01"/>
    <w:rsid w:val="008D62D8"/>
    <w:rsid w:val="008E2203"/>
    <w:rsid w:val="008E326D"/>
    <w:rsid w:val="008E40BA"/>
    <w:rsid w:val="008E4EEB"/>
    <w:rsid w:val="008F1D7D"/>
    <w:rsid w:val="008F3B0C"/>
    <w:rsid w:val="008F5EF0"/>
    <w:rsid w:val="008F6451"/>
    <w:rsid w:val="008F71ED"/>
    <w:rsid w:val="008F791D"/>
    <w:rsid w:val="008F7C7D"/>
    <w:rsid w:val="009005D2"/>
    <w:rsid w:val="009035B4"/>
    <w:rsid w:val="009037C9"/>
    <w:rsid w:val="00904FD6"/>
    <w:rsid w:val="00907616"/>
    <w:rsid w:val="00911D53"/>
    <w:rsid w:val="00912009"/>
    <w:rsid w:val="00914BC2"/>
    <w:rsid w:val="009178CE"/>
    <w:rsid w:val="00922267"/>
    <w:rsid w:val="00932450"/>
    <w:rsid w:val="00932752"/>
    <w:rsid w:val="00934318"/>
    <w:rsid w:val="009347D6"/>
    <w:rsid w:val="00934BF8"/>
    <w:rsid w:val="00941862"/>
    <w:rsid w:val="00943117"/>
    <w:rsid w:val="0094784A"/>
    <w:rsid w:val="00950795"/>
    <w:rsid w:val="00952582"/>
    <w:rsid w:val="0095301E"/>
    <w:rsid w:val="0095392A"/>
    <w:rsid w:val="009543DE"/>
    <w:rsid w:val="00954C7C"/>
    <w:rsid w:val="009565DF"/>
    <w:rsid w:val="00956F56"/>
    <w:rsid w:val="00957556"/>
    <w:rsid w:val="00961FEB"/>
    <w:rsid w:val="009643A3"/>
    <w:rsid w:val="009675C4"/>
    <w:rsid w:val="00971817"/>
    <w:rsid w:val="00977E73"/>
    <w:rsid w:val="00980E6C"/>
    <w:rsid w:val="00981EFC"/>
    <w:rsid w:val="00982C4D"/>
    <w:rsid w:val="00984375"/>
    <w:rsid w:val="00986207"/>
    <w:rsid w:val="00986363"/>
    <w:rsid w:val="00986367"/>
    <w:rsid w:val="0099087E"/>
    <w:rsid w:val="00991666"/>
    <w:rsid w:val="00991831"/>
    <w:rsid w:val="009A154A"/>
    <w:rsid w:val="009A266E"/>
    <w:rsid w:val="009A2EA2"/>
    <w:rsid w:val="009A56B5"/>
    <w:rsid w:val="009A61D6"/>
    <w:rsid w:val="009B49A9"/>
    <w:rsid w:val="009B5089"/>
    <w:rsid w:val="009C046D"/>
    <w:rsid w:val="009C05A0"/>
    <w:rsid w:val="009C2484"/>
    <w:rsid w:val="009C29B0"/>
    <w:rsid w:val="009C39F4"/>
    <w:rsid w:val="009C4D75"/>
    <w:rsid w:val="009C51C9"/>
    <w:rsid w:val="009C5357"/>
    <w:rsid w:val="009C7329"/>
    <w:rsid w:val="009D2341"/>
    <w:rsid w:val="009D4E5F"/>
    <w:rsid w:val="009D59FA"/>
    <w:rsid w:val="009E332F"/>
    <w:rsid w:val="009E4503"/>
    <w:rsid w:val="009E70E0"/>
    <w:rsid w:val="009F1221"/>
    <w:rsid w:val="009F1567"/>
    <w:rsid w:val="009F1C31"/>
    <w:rsid w:val="009F2352"/>
    <w:rsid w:val="00A00D8E"/>
    <w:rsid w:val="00A11FBD"/>
    <w:rsid w:val="00A127AD"/>
    <w:rsid w:val="00A14F4B"/>
    <w:rsid w:val="00A20412"/>
    <w:rsid w:val="00A37B2A"/>
    <w:rsid w:val="00A413B2"/>
    <w:rsid w:val="00A41632"/>
    <w:rsid w:val="00A41AF3"/>
    <w:rsid w:val="00A44B3C"/>
    <w:rsid w:val="00A45E0C"/>
    <w:rsid w:val="00A46DD5"/>
    <w:rsid w:val="00A5102D"/>
    <w:rsid w:val="00A51700"/>
    <w:rsid w:val="00A5283D"/>
    <w:rsid w:val="00A56B54"/>
    <w:rsid w:val="00A60A15"/>
    <w:rsid w:val="00A60B9D"/>
    <w:rsid w:val="00A6194D"/>
    <w:rsid w:val="00A64A8E"/>
    <w:rsid w:val="00A65384"/>
    <w:rsid w:val="00A65570"/>
    <w:rsid w:val="00A657EE"/>
    <w:rsid w:val="00A670B3"/>
    <w:rsid w:val="00A7087A"/>
    <w:rsid w:val="00A739E7"/>
    <w:rsid w:val="00A745B7"/>
    <w:rsid w:val="00A75DBC"/>
    <w:rsid w:val="00A769FD"/>
    <w:rsid w:val="00A77CFA"/>
    <w:rsid w:val="00A822F4"/>
    <w:rsid w:val="00A84A7D"/>
    <w:rsid w:val="00A84B8C"/>
    <w:rsid w:val="00A90EEC"/>
    <w:rsid w:val="00A91BCA"/>
    <w:rsid w:val="00A9420F"/>
    <w:rsid w:val="00AA0844"/>
    <w:rsid w:val="00AA0FF1"/>
    <w:rsid w:val="00AA1D03"/>
    <w:rsid w:val="00AA288D"/>
    <w:rsid w:val="00AA3A94"/>
    <w:rsid w:val="00AB0473"/>
    <w:rsid w:val="00AB5BC8"/>
    <w:rsid w:val="00AB646B"/>
    <w:rsid w:val="00AB654F"/>
    <w:rsid w:val="00AB7645"/>
    <w:rsid w:val="00AB7718"/>
    <w:rsid w:val="00AD2B06"/>
    <w:rsid w:val="00AD500F"/>
    <w:rsid w:val="00AD5BDB"/>
    <w:rsid w:val="00AD6A6E"/>
    <w:rsid w:val="00AD7BF0"/>
    <w:rsid w:val="00AE095E"/>
    <w:rsid w:val="00AE1A80"/>
    <w:rsid w:val="00AE29D2"/>
    <w:rsid w:val="00AE309B"/>
    <w:rsid w:val="00AE3B83"/>
    <w:rsid w:val="00AE5D79"/>
    <w:rsid w:val="00AE5F62"/>
    <w:rsid w:val="00AE5F98"/>
    <w:rsid w:val="00AE640F"/>
    <w:rsid w:val="00AE76FB"/>
    <w:rsid w:val="00AF3A85"/>
    <w:rsid w:val="00AF4BCB"/>
    <w:rsid w:val="00AF797A"/>
    <w:rsid w:val="00AF7B13"/>
    <w:rsid w:val="00AF7E70"/>
    <w:rsid w:val="00B03477"/>
    <w:rsid w:val="00B041B1"/>
    <w:rsid w:val="00B07D07"/>
    <w:rsid w:val="00B13E71"/>
    <w:rsid w:val="00B177D6"/>
    <w:rsid w:val="00B222DB"/>
    <w:rsid w:val="00B25A17"/>
    <w:rsid w:val="00B263C4"/>
    <w:rsid w:val="00B26EAA"/>
    <w:rsid w:val="00B3155B"/>
    <w:rsid w:val="00B31854"/>
    <w:rsid w:val="00B31B6F"/>
    <w:rsid w:val="00B32323"/>
    <w:rsid w:val="00B32E90"/>
    <w:rsid w:val="00B358B4"/>
    <w:rsid w:val="00B35F3F"/>
    <w:rsid w:val="00B40027"/>
    <w:rsid w:val="00B4140D"/>
    <w:rsid w:val="00B424BF"/>
    <w:rsid w:val="00B4607D"/>
    <w:rsid w:val="00B50981"/>
    <w:rsid w:val="00B53170"/>
    <w:rsid w:val="00B55E85"/>
    <w:rsid w:val="00B613C0"/>
    <w:rsid w:val="00B6193F"/>
    <w:rsid w:val="00B62257"/>
    <w:rsid w:val="00B63224"/>
    <w:rsid w:val="00B64B50"/>
    <w:rsid w:val="00B66667"/>
    <w:rsid w:val="00B67BC7"/>
    <w:rsid w:val="00B71580"/>
    <w:rsid w:val="00B735F8"/>
    <w:rsid w:val="00B80444"/>
    <w:rsid w:val="00B81895"/>
    <w:rsid w:val="00B81FF9"/>
    <w:rsid w:val="00B84600"/>
    <w:rsid w:val="00B863CC"/>
    <w:rsid w:val="00B96098"/>
    <w:rsid w:val="00BA1B5E"/>
    <w:rsid w:val="00BA3FF1"/>
    <w:rsid w:val="00BA5A13"/>
    <w:rsid w:val="00BA7B5B"/>
    <w:rsid w:val="00BB4373"/>
    <w:rsid w:val="00BB6CE3"/>
    <w:rsid w:val="00BC04DD"/>
    <w:rsid w:val="00BC13FC"/>
    <w:rsid w:val="00BC3DD2"/>
    <w:rsid w:val="00BC7336"/>
    <w:rsid w:val="00BD134F"/>
    <w:rsid w:val="00BD358D"/>
    <w:rsid w:val="00BD361E"/>
    <w:rsid w:val="00BD399D"/>
    <w:rsid w:val="00BD476C"/>
    <w:rsid w:val="00BD799F"/>
    <w:rsid w:val="00BD7E12"/>
    <w:rsid w:val="00BD7E8A"/>
    <w:rsid w:val="00BE02DD"/>
    <w:rsid w:val="00BE76E1"/>
    <w:rsid w:val="00BF0859"/>
    <w:rsid w:val="00BF34F7"/>
    <w:rsid w:val="00BF6DC8"/>
    <w:rsid w:val="00BF75C4"/>
    <w:rsid w:val="00C01EDC"/>
    <w:rsid w:val="00C01F6E"/>
    <w:rsid w:val="00C01FB5"/>
    <w:rsid w:val="00C059D6"/>
    <w:rsid w:val="00C073B7"/>
    <w:rsid w:val="00C0798E"/>
    <w:rsid w:val="00C10CE2"/>
    <w:rsid w:val="00C11010"/>
    <w:rsid w:val="00C12911"/>
    <w:rsid w:val="00C12C58"/>
    <w:rsid w:val="00C13240"/>
    <w:rsid w:val="00C14F8F"/>
    <w:rsid w:val="00C1503A"/>
    <w:rsid w:val="00C15E60"/>
    <w:rsid w:val="00C16EF7"/>
    <w:rsid w:val="00C17171"/>
    <w:rsid w:val="00C20712"/>
    <w:rsid w:val="00C2249C"/>
    <w:rsid w:val="00C22F7D"/>
    <w:rsid w:val="00C25EEC"/>
    <w:rsid w:val="00C2758F"/>
    <w:rsid w:val="00C3028B"/>
    <w:rsid w:val="00C306F9"/>
    <w:rsid w:val="00C32B8A"/>
    <w:rsid w:val="00C34C96"/>
    <w:rsid w:val="00C40245"/>
    <w:rsid w:val="00C41060"/>
    <w:rsid w:val="00C424CF"/>
    <w:rsid w:val="00C458EF"/>
    <w:rsid w:val="00C463C2"/>
    <w:rsid w:val="00C5212C"/>
    <w:rsid w:val="00C54410"/>
    <w:rsid w:val="00C62408"/>
    <w:rsid w:val="00C63B08"/>
    <w:rsid w:val="00C705B7"/>
    <w:rsid w:val="00C70634"/>
    <w:rsid w:val="00C7490E"/>
    <w:rsid w:val="00C74A49"/>
    <w:rsid w:val="00C75027"/>
    <w:rsid w:val="00C76353"/>
    <w:rsid w:val="00C80C3C"/>
    <w:rsid w:val="00C8116D"/>
    <w:rsid w:val="00C81DB3"/>
    <w:rsid w:val="00C821AB"/>
    <w:rsid w:val="00C91F7F"/>
    <w:rsid w:val="00C9475C"/>
    <w:rsid w:val="00C97410"/>
    <w:rsid w:val="00C979AD"/>
    <w:rsid w:val="00C97F99"/>
    <w:rsid w:val="00CA1E3F"/>
    <w:rsid w:val="00CA4036"/>
    <w:rsid w:val="00CA492E"/>
    <w:rsid w:val="00CA672C"/>
    <w:rsid w:val="00CB06BF"/>
    <w:rsid w:val="00CB4663"/>
    <w:rsid w:val="00CB6262"/>
    <w:rsid w:val="00CB62B4"/>
    <w:rsid w:val="00CB7C88"/>
    <w:rsid w:val="00CC22FC"/>
    <w:rsid w:val="00CD19B2"/>
    <w:rsid w:val="00CD2A04"/>
    <w:rsid w:val="00CD552B"/>
    <w:rsid w:val="00CD55EE"/>
    <w:rsid w:val="00CE1BC1"/>
    <w:rsid w:val="00CE2A22"/>
    <w:rsid w:val="00CE2B2B"/>
    <w:rsid w:val="00CE2D5C"/>
    <w:rsid w:val="00CE73DB"/>
    <w:rsid w:val="00CE77F7"/>
    <w:rsid w:val="00CF0270"/>
    <w:rsid w:val="00CF1B89"/>
    <w:rsid w:val="00CF2753"/>
    <w:rsid w:val="00CF7422"/>
    <w:rsid w:val="00CF74D8"/>
    <w:rsid w:val="00D02DB3"/>
    <w:rsid w:val="00D03A04"/>
    <w:rsid w:val="00D06356"/>
    <w:rsid w:val="00D07360"/>
    <w:rsid w:val="00D11276"/>
    <w:rsid w:val="00D11E90"/>
    <w:rsid w:val="00D12297"/>
    <w:rsid w:val="00D163D9"/>
    <w:rsid w:val="00D214F5"/>
    <w:rsid w:val="00D24316"/>
    <w:rsid w:val="00D26365"/>
    <w:rsid w:val="00D3245F"/>
    <w:rsid w:val="00D3263C"/>
    <w:rsid w:val="00D354A7"/>
    <w:rsid w:val="00D3766D"/>
    <w:rsid w:val="00D37C63"/>
    <w:rsid w:val="00D37C9F"/>
    <w:rsid w:val="00D405C6"/>
    <w:rsid w:val="00D42A80"/>
    <w:rsid w:val="00D42AC4"/>
    <w:rsid w:val="00D438EA"/>
    <w:rsid w:val="00D46927"/>
    <w:rsid w:val="00D47504"/>
    <w:rsid w:val="00D50397"/>
    <w:rsid w:val="00D50712"/>
    <w:rsid w:val="00D51E5E"/>
    <w:rsid w:val="00D5438E"/>
    <w:rsid w:val="00D57F43"/>
    <w:rsid w:val="00D6230E"/>
    <w:rsid w:val="00D62E85"/>
    <w:rsid w:val="00D6338F"/>
    <w:rsid w:val="00D64CB9"/>
    <w:rsid w:val="00D6606B"/>
    <w:rsid w:val="00D71937"/>
    <w:rsid w:val="00D74AA8"/>
    <w:rsid w:val="00D774D6"/>
    <w:rsid w:val="00D7796A"/>
    <w:rsid w:val="00D77A59"/>
    <w:rsid w:val="00D83BBB"/>
    <w:rsid w:val="00D91B70"/>
    <w:rsid w:val="00D93681"/>
    <w:rsid w:val="00D941CD"/>
    <w:rsid w:val="00DA13B1"/>
    <w:rsid w:val="00DA2369"/>
    <w:rsid w:val="00DA62E5"/>
    <w:rsid w:val="00DA7092"/>
    <w:rsid w:val="00DA7719"/>
    <w:rsid w:val="00DB3815"/>
    <w:rsid w:val="00DB4DF0"/>
    <w:rsid w:val="00DB589B"/>
    <w:rsid w:val="00DC0045"/>
    <w:rsid w:val="00DC0442"/>
    <w:rsid w:val="00DC5C6C"/>
    <w:rsid w:val="00DC7184"/>
    <w:rsid w:val="00DD5550"/>
    <w:rsid w:val="00DE0542"/>
    <w:rsid w:val="00DE18CC"/>
    <w:rsid w:val="00DE4621"/>
    <w:rsid w:val="00DE719F"/>
    <w:rsid w:val="00DF0785"/>
    <w:rsid w:val="00DF47C1"/>
    <w:rsid w:val="00DF52EA"/>
    <w:rsid w:val="00DF58C3"/>
    <w:rsid w:val="00DF728E"/>
    <w:rsid w:val="00DF7560"/>
    <w:rsid w:val="00E02F7C"/>
    <w:rsid w:val="00E10385"/>
    <w:rsid w:val="00E12CF1"/>
    <w:rsid w:val="00E15F40"/>
    <w:rsid w:val="00E175BB"/>
    <w:rsid w:val="00E17DA3"/>
    <w:rsid w:val="00E25769"/>
    <w:rsid w:val="00E26F3A"/>
    <w:rsid w:val="00E307AF"/>
    <w:rsid w:val="00E31008"/>
    <w:rsid w:val="00E31390"/>
    <w:rsid w:val="00E324FE"/>
    <w:rsid w:val="00E33E1E"/>
    <w:rsid w:val="00E34DA9"/>
    <w:rsid w:val="00E355B7"/>
    <w:rsid w:val="00E369C5"/>
    <w:rsid w:val="00E443DE"/>
    <w:rsid w:val="00E45CFB"/>
    <w:rsid w:val="00E46BDF"/>
    <w:rsid w:val="00E5113F"/>
    <w:rsid w:val="00E513FE"/>
    <w:rsid w:val="00E53FDE"/>
    <w:rsid w:val="00E54812"/>
    <w:rsid w:val="00E62A32"/>
    <w:rsid w:val="00E7177A"/>
    <w:rsid w:val="00E72D3D"/>
    <w:rsid w:val="00E72EB6"/>
    <w:rsid w:val="00E7485A"/>
    <w:rsid w:val="00E74A0A"/>
    <w:rsid w:val="00E769FF"/>
    <w:rsid w:val="00E81836"/>
    <w:rsid w:val="00E8274C"/>
    <w:rsid w:val="00E83B59"/>
    <w:rsid w:val="00E854DD"/>
    <w:rsid w:val="00E93ED3"/>
    <w:rsid w:val="00E9662F"/>
    <w:rsid w:val="00EA1C66"/>
    <w:rsid w:val="00EA1D7C"/>
    <w:rsid w:val="00EA21B2"/>
    <w:rsid w:val="00EA3C73"/>
    <w:rsid w:val="00EA3FD7"/>
    <w:rsid w:val="00EA48AC"/>
    <w:rsid w:val="00EA4F87"/>
    <w:rsid w:val="00EA500B"/>
    <w:rsid w:val="00EA7FC2"/>
    <w:rsid w:val="00EB17FC"/>
    <w:rsid w:val="00EB4444"/>
    <w:rsid w:val="00EB7136"/>
    <w:rsid w:val="00EC1CE4"/>
    <w:rsid w:val="00EC498C"/>
    <w:rsid w:val="00EC4AF5"/>
    <w:rsid w:val="00ED2359"/>
    <w:rsid w:val="00ED3B93"/>
    <w:rsid w:val="00ED6767"/>
    <w:rsid w:val="00EE1EFE"/>
    <w:rsid w:val="00EE434B"/>
    <w:rsid w:val="00EE5A2B"/>
    <w:rsid w:val="00EE78B9"/>
    <w:rsid w:val="00EE78EE"/>
    <w:rsid w:val="00EE7BB6"/>
    <w:rsid w:val="00EF289C"/>
    <w:rsid w:val="00EF3836"/>
    <w:rsid w:val="00EF497C"/>
    <w:rsid w:val="00EF5F96"/>
    <w:rsid w:val="00F0398E"/>
    <w:rsid w:val="00F05912"/>
    <w:rsid w:val="00F0597D"/>
    <w:rsid w:val="00F13118"/>
    <w:rsid w:val="00F15199"/>
    <w:rsid w:val="00F17A67"/>
    <w:rsid w:val="00F21859"/>
    <w:rsid w:val="00F2210F"/>
    <w:rsid w:val="00F22533"/>
    <w:rsid w:val="00F251D7"/>
    <w:rsid w:val="00F25354"/>
    <w:rsid w:val="00F26746"/>
    <w:rsid w:val="00F26BF2"/>
    <w:rsid w:val="00F322FC"/>
    <w:rsid w:val="00F36E79"/>
    <w:rsid w:val="00F37182"/>
    <w:rsid w:val="00F37AFA"/>
    <w:rsid w:val="00F42C21"/>
    <w:rsid w:val="00F443BA"/>
    <w:rsid w:val="00F45918"/>
    <w:rsid w:val="00F509ED"/>
    <w:rsid w:val="00F5154D"/>
    <w:rsid w:val="00F51659"/>
    <w:rsid w:val="00F53C8A"/>
    <w:rsid w:val="00F5461A"/>
    <w:rsid w:val="00F630BE"/>
    <w:rsid w:val="00F63349"/>
    <w:rsid w:val="00F639D2"/>
    <w:rsid w:val="00F66ADC"/>
    <w:rsid w:val="00F67A8C"/>
    <w:rsid w:val="00F73534"/>
    <w:rsid w:val="00F8270C"/>
    <w:rsid w:val="00F8589E"/>
    <w:rsid w:val="00F931D8"/>
    <w:rsid w:val="00F93732"/>
    <w:rsid w:val="00F97E5D"/>
    <w:rsid w:val="00FA5E6E"/>
    <w:rsid w:val="00FA75CD"/>
    <w:rsid w:val="00FA7BAE"/>
    <w:rsid w:val="00FB1B32"/>
    <w:rsid w:val="00FB45C6"/>
    <w:rsid w:val="00FB4D85"/>
    <w:rsid w:val="00FB4E64"/>
    <w:rsid w:val="00FB6214"/>
    <w:rsid w:val="00FC0CB7"/>
    <w:rsid w:val="00FC1232"/>
    <w:rsid w:val="00FC305F"/>
    <w:rsid w:val="00FC5614"/>
    <w:rsid w:val="00FC58C5"/>
    <w:rsid w:val="00FD06C8"/>
    <w:rsid w:val="00FD1027"/>
    <w:rsid w:val="00FD3ADC"/>
    <w:rsid w:val="00FD67D3"/>
    <w:rsid w:val="00FD6858"/>
    <w:rsid w:val="00FD7796"/>
    <w:rsid w:val="00FD7AFE"/>
    <w:rsid w:val="00FE52D2"/>
    <w:rsid w:val="00FF0135"/>
    <w:rsid w:val="00FF19A2"/>
    <w:rsid w:val="00FF4668"/>
    <w:rsid w:val="00FF6EC1"/>
    <w:rsid w:val="00FF7F0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2">
      <v:textbox inset="5.85pt,.7pt,5.85pt,.7pt"/>
    </o:shapedefaults>
    <o:shapelayout v:ext="edit">
      <o:idmap v:ext="edit" data="1"/>
    </o:shapelayout>
  </w:shapeDefaults>
  <w:decimalSymbol w:val="."/>
  <w:listSeparator w:val=","/>
  <w14:docId w14:val="3605B411"/>
  <w15:docId w15:val="{32C9FF7F-30D6-4E5B-B932-CC6D8578B5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37C63"/>
    <w:pPr>
      <w:widowControl w:val="0"/>
      <w:jc w:val="both"/>
    </w:pPr>
  </w:style>
  <w:style w:type="paragraph" w:styleId="Heading1">
    <w:name w:val="heading 1"/>
    <w:basedOn w:val="Normal"/>
    <w:next w:val="Normal"/>
    <w:link w:val="Heading1Char"/>
    <w:uiPriority w:val="9"/>
    <w:qFormat/>
    <w:rsid w:val="0076420F"/>
    <w:pPr>
      <w:keepNext/>
      <w:outlineLvl w:val="0"/>
    </w:pPr>
    <w:rPr>
      <w:rFonts w:asciiTheme="majorHAnsi" w:eastAsiaTheme="majorEastAsia" w:hAnsiTheme="majorHAnsi" w:cstheme="majorBidi"/>
      <w:sz w:val="24"/>
      <w:szCs w:val="24"/>
    </w:rPr>
  </w:style>
  <w:style w:type="paragraph" w:styleId="Heading2">
    <w:name w:val="heading 2"/>
    <w:basedOn w:val="Normal"/>
    <w:next w:val="Normal"/>
    <w:link w:val="Heading2Char"/>
    <w:uiPriority w:val="9"/>
    <w:unhideWhenUsed/>
    <w:qFormat/>
    <w:rsid w:val="0076420F"/>
    <w:pPr>
      <w:keepNext/>
      <w:outlineLvl w:val="1"/>
    </w:pPr>
    <w:rPr>
      <w:rFonts w:asciiTheme="majorHAnsi" w:eastAsiaTheme="majorEastAsia" w:hAnsiTheme="majorHAnsi"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2B255F"/>
    <w:pPr>
      <w:tabs>
        <w:tab w:val="center" w:pos="4252"/>
        <w:tab w:val="right" w:pos="8504"/>
      </w:tabs>
      <w:snapToGrid w:val="0"/>
    </w:pPr>
  </w:style>
  <w:style w:type="character" w:customStyle="1" w:styleId="HeaderChar">
    <w:name w:val="Header Char"/>
    <w:basedOn w:val="DefaultParagraphFont"/>
    <w:link w:val="Header"/>
    <w:rsid w:val="002B255F"/>
  </w:style>
  <w:style w:type="paragraph" w:styleId="Footer">
    <w:name w:val="footer"/>
    <w:basedOn w:val="Normal"/>
    <w:link w:val="FooterChar"/>
    <w:uiPriority w:val="99"/>
    <w:unhideWhenUsed/>
    <w:rsid w:val="002B255F"/>
    <w:pPr>
      <w:tabs>
        <w:tab w:val="center" w:pos="4252"/>
        <w:tab w:val="right" w:pos="8504"/>
      </w:tabs>
      <w:snapToGrid w:val="0"/>
    </w:pPr>
  </w:style>
  <w:style w:type="character" w:customStyle="1" w:styleId="FooterChar">
    <w:name w:val="Footer Char"/>
    <w:basedOn w:val="DefaultParagraphFont"/>
    <w:link w:val="Footer"/>
    <w:uiPriority w:val="99"/>
    <w:rsid w:val="002B255F"/>
  </w:style>
  <w:style w:type="character" w:customStyle="1" w:styleId="Heading1Char">
    <w:name w:val="Heading 1 Char"/>
    <w:basedOn w:val="DefaultParagraphFont"/>
    <w:link w:val="Heading1"/>
    <w:uiPriority w:val="9"/>
    <w:rsid w:val="0076420F"/>
    <w:rPr>
      <w:rFonts w:asciiTheme="majorHAnsi" w:eastAsiaTheme="majorEastAsia" w:hAnsiTheme="majorHAnsi" w:cstheme="majorBidi"/>
      <w:sz w:val="24"/>
      <w:szCs w:val="24"/>
    </w:rPr>
  </w:style>
  <w:style w:type="character" w:customStyle="1" w:styleId="Heading2Char">
    <w:name w:val="Heading 2 Char"/>
    <w:basedOn w:val="DefaultParagraphFont"/>
    <w:link w:val="Heading2"/>
    <w:uiPriority w:val="9"/>
    <w:rsid w:val="0076420F"/>
    <w:rPr>
      <w:rFonts w:asciiTheme="majorHAnsi" w:eastAsiaTheme="majorEastAsia" w:hAnsiTheme="majorHAnsi" w:cstheme="majorBidi"/>
    </w:rPr>
  </w:style>
  <w:style w:type="character" w:styleId="Hyperlink">
    <w:name w:val="Hyperlink"/>
    <w:basedOn w:val="DefaultParagraphFont"/>
    <w:uiPriority w:val="99"/>
    <w:unhideWhenUsed/>
    <w:rsid w:val="00991831"/>
    <w:rPr>
      <w:color w:val="0000FF"/>
      <w:u w:val="single"/>
    </w:rPr>
  </w:style>
  <w:style w:type="paragraph" w:styleId="BodyText">
    <w:name w:val="Body Text"/>
    <w:basedOn w:val="Normal"/>
    <w:link w:val="BodyTextChar"/>
    <w:unhideWhenUsed/>
    <w:rsid w:val="00E54812"/>
    <w:pPr>
      <w:widowControl/>
      <w:jc w:val="left"/>
    </w:pPr>
    <w:rPr>
      <w:rFonts w:ascii="MS Mincho" w:eastAsia="MS PGothic" w:hAnsi="Times New Roman" w:cs="Times New Roman"/>
      <w:color w:val="000000"/>
      <w:sz w:val="24"/>
      <w:szCs w:val="20"/>
    </w:rPr>
  </w:style>
  <w:style w:type="character" w:customStyle="1" w:styleId="BodyTextChar">
    <w:name w:val="Body Text Char"/>
    <w:basedOn w:val="DefaultParagraphFont"/>
    <w:link w:val="BodyText"/>
    <w:rsid w:val="00E54812"/>
    <w:rPr>
      <w:rFonts w:ascii="MS Mincho" w:eastAsia="MS PGothic" w:hAnsi="Times New Roman" w:cs="Times New Roman"/>
      <w:color w:val="000000"/>
      <w:sz w:val="24"/>
      <w:szCs w:val="20"/>
    </w:rPr>
  </w:style>
  <w:style w:type="paragraph" w:styleId="BalloonText">
    <w:name w:val="Balloon Text"/>
    <w:basedOn w:val="Normal"/>
    <w:link w:val="BalloonTextChar"/>
    <w:uiPriority w:val="99"/>
    <w:semiHidden/>
    <w:unhideWhenUsed/>
    <w:rsid w:val="00C059D6"/>
    <w:rPr>
      <w:rFonts w:asciiTheme="majorHAnsi" w:eastAsiaTheme="majorEastAsia" w:hAnsiTheme="majorHAnsi" w:cstheme="majorBidi"/>
      <w:sz w:val="18"/>
      <w:szCs w:val="18"/>
    </w:rPr>
  </w:style>
  <w:style w:type="character" w:customStyle="1" w:styleId="BalloonTextChar">
    <w:name w:val="Balloon Text Char"/>
    <w:basedOn w:val="DefaultParagraphFont"/>
    <w:link w:val="BalloonText"/>
    <w:uiPriority w:val="99"/>
    <w:semiHidden/>
    <w:rsid w:val="00C059D6"/>
    <w:rPr>
      <w:rFonts w:asciiTheme="majorHAnsi" w:eastAsiaTheme="majorEastAsia" w:hAnsiTheme="majorHAnsi" w:cstheme="majorBidi"/>
      <w:sz w:val="18"/>
      <w:szCs w:val="18"/>
    </w:rPr>
  </w:style>
  <w:style w:type="character" w:styleId="CommentReference">
    <w:name w:val="annotation reference"/>
    <w:basedOn w:val="DefaultParagraphFont"/>
    <w:uiPriority w:val="99"/>
    <w:semiHidden/>
    <w:unhideWhenUsed/>
    <w:rsid w:val="004F5066"/>
    <w:rPr>
      <w:sz w:val="18"/>
      <w:szCs w:val="18"/>
    </w:rPr>
  </w:style>
  <w:style w:type="paragraph" w:styleId="CommentText">
    <w:name w:val="annotation text"/>
    <w:basedOn w:val="Normal"/>
    <w:link w:val="CommentTextChar"/>
    <w:uiPriority w:val="99"/>
    <w:semiHidden/>
    <w:unhideWhenUsed/>
    <w:rsid w:val="004F5066"/>
    <w:pPr>
      <w:jc w:val="left"/>
    </w:pPr>
  </w:style>
  <w:style w:type="character" w:customStyle="1" w:styleId="CommentTextChar">
    <w:name w:val="Comment Text Char"/>
    <w:basedOn w:val="DefaultParagraphFont"/>
    <w:link w:val="CommentText"/>
    <w:uiPriority w:val="99"/>
    <w:semiHidden/>
    <w:rsid w:val="004F5066"/>
  </w:style>
  <w:style w:type="paragraph" w:styleId="CommentSubject">
    <w:name w:val="annotation subject"/>
    <w:basedOn w:val="CommentText"/>
    <w:next w:val="CommentText"/>
    <w:link w:val="CommentSubjectChar"/>
    <w:uiPriority w:val="99"/>
    <w:semiHidden/>
    <w:unhideWhenUsed/>
    <w:rsid w:val="004F5066"/>
    <w:rPr>
      <w:b/>
      <w:bCs/>
    </w:rPr>
  </w:style>
  <w:style w:type="character" w:customStyle="1" w:styleId="CommentSubjectChar">
    <w:name w:val="Comment Subject Char"/>
    <w:basedOn w:val="CommentTextChar"/>
    <w:link w:val="CommentSubject"/>
    <w:uiPriority w:val="99"/>
    <w:semiHidden/>
    <w:rsid w:val="004F5066"/>
    <w:rPr>
      <w:b/>
      <w:bCs/>
    </w:rPr>
  </w:style>
  <w:style w:type="paragraph" w:styleId="ListParagraph">
    <w:name w:val="List Paragraph"/>
    <w:basedOn w:val="Normal"/>
    <w:uiPriority w:val="34"/>
    <w:qFormat/>
    <w:rsid w:val="00730F92"/>
    <w:pPr>
      <w:ind w:leftChars="400" w:left="840"/>
    </w:pPr>
  </w:style>
  <w:style w:type="paragraph" w:styleId="Revision">
    <w:name w:val="Revision"/>
    <w:hidden/>
    <w:uiPriority w:val="99"/>
    <w:semiHidden/>
    <w:rsid w:val="00816527"/>
  </w:style>
  <w:style w:type="table" w:styleId="TableGrid">
    <w:name w:val="Table Grid"/>
    <w:basedOn w:val="TableNormal"/>
    <w:uiPriority w:val="39"/>
    <w:rsid w:val="000525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0525B9"/>
    <w:pPr>
      <w:widowControl/>
      <w:spacing w:before="100" w:beforeAutospacing="1" w:after="100" w:afterAutospacing="1"/>
      <w:jc w:val="left"/>
    </w:pPr>
    <w:rPr>
      <w:rFonts w:ascii="MS PGothic" w:eastAsia="MS PGothic" w:hAnsi="MS PGothic" w:cs="MS PGothic"/>
      <w:kern w:val="0"/>
      <w:sz w:val="24"/>
      <w:szCs w:val="24"/>
    </w:rPr>
  </w:style>
  <w:style w:type="character" w:styleId="UnresolvedMention">
    <w:name w:val="Unresolved Mention"/>
    <w:basedOn w:val="DefaultParagraphFont"/>
    <w:uiPriority w:val="99"/>
    <w:semiHidden/>
    <w:unhideWhenUsed/>
    <w:rsid w:val="00AE5F9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20964466">
      <w:bodyDiv w:val="1"/>
      <w:marLeft w:val="0"/>
      <w:marRight w:val="0"/>
      <w:marTop w:val="0"/>
      <w:marBottom w:val="0"/>
      <w:divBdr>
        <w:top w:val="none" w:sz="0" w:space="0" w:color="auto"/>
        <w:left w:val="none" w:sz="0" w:space="0" w:color="auto"/>
        <w:bottom w:val="none" w:sz="0" w:space="0" w:color="auto"/>
        <w:right w:val="none" w:sz="0" w:space="0" w:color="auto"/>
      </w:divBdr>
    </w:div>
    <w:div w:id="989139120">
      <w:bodyDiv w:val="1"/>
      <w:marLeft w:val="0"/>
      <w:marRight w:val="0"/>
      <w:marTop w:val="0"/>
      <w:marBottom w:val="0"/>
      <w:divBdr>
        <w:top w:val="none" w:sz="0" w:space="0" w:color="auto"/>
        <w:left w:val="none" w:sz="0" w:space="0" w:color="auto"/>
        <w:bottom w:val="none" w:sz="0" w:space="0" w:color="auto"/>
        <w:right w:val="none" w:sz="0" w:space="0" w:color="auto"/>
      </w:divBdr>
    </w:div>
    <w:div w:id="1011300489">
      <w:bodyDiv w:val="1"/>
      <w:marLeft w:val="0"/>
      <w:marRight w:val="0"/>
      <w:marTop w:val="0"/>
      <w:marBottom w:val="0"/>
      <w:divBdr>
        <w:top w:val="none" w:sz="0" w:space="0" w:color="auto"/>
        <w:left w:val="none" w:sz="0" w:space="0" w:color="auto"/>
        <w:bottom w:val="none" w:sz="0" w:space="0" w:color="auto"/>
        <w:right w:val="none" w:sz="0" w:space="0" w:color="auto"/>
      </w:divBdr>
    </w:div>
    <w:div w:id="10908121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9675FB-D40D-4E13-B2A8-A99C83C64C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11</Pages>
  <Words>2496</Words>
  <Characters>14229</Characters>
  <Application>Microsoft Office Word</Application>
  <DocSecurity>0</DocSecurity>
  <Lines>118</Lines>
  <Paragraphs>33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iizuka</dc:creator>
  <cp:lastModifiedBy>SDI 1084</cp:lastModifiedBy>
  <cp:revision>7</cp:revision>
  <cp:lastPrinted>2026-03-13T02:08:00Z</cp:lastPrinted>
  <dcterms:created xsi:type="dcterms:W3CDTF">2026-03-23T09:21:00Z</dcterms:created>
  <dcterms:modified xsi:type="dcterms:W3CDTF">2026-03-24T11:54:00Z</dcterms:modified>
</cp:coreProperties>
</file>