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D980" w14:textId="3DAC1AEB" w:rsidR="007C1ECD" w:rsidRDefault="00037C06">
      <w:pPr>
        <w:widowControl w:val="0"/>
        <w:spacing w:line="480" w:lineRule="auto"/>
        <w:ind w:left="769"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Hlk22256379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COMPARISM OF PULSE OXIMETRY AND ANKLE BRACHIAL INDEX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SCREENING FOR ISCHEMIA IN DIABETIC FOOT ULCERS</w:t>
      </w:r>
    </w:p>
    <w:p w14:paraId="41496FD6" w14:textId="0BC8B1BA" w:rsidR="007C1ECD" w:rsidRDefault="007C1ECD">
      <w:pPr>
        <w:widowControl w:val="0"/>
        <w:spacing w:line="480" w:lineRule="auto"/>
        <w:ind w:left="769"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56D5DB" w14:textId="77570F9E" w:rsidR="00B93BC1" w:rsidRDefault="00B93BC1">
      <w:pPr>
        <w:widowControl w:val="0"/>
        <w:spacing w:line="480" w:lineRule="auto"/>
        <w:ind w:left="769"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FF112A" w14:textId="11426056" w:rsidR="00B93BC1" w:rsidRDefault="00B93BC1">
      <w:pPr>
        <w:widowControl w:val="0"/>
        <w:spacing w:line="480" w:lineRule="auto"/>
        <w:ind w:left="769"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A76822F" w14:textId="77777777" w:rsidR="00B93BC1" w:rsidRDefault="00B93BC1">
      <w:pPr>
        <w:widowControl w:val="0"/>
        <w:spacing w:line="480" w:lineRule="auto"/>
        <w:ind w:left="769"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39542961" w14:textId="77777777" w:rsidR="007C1ECD" w:rsidRDefault="00037C06">
      <w:pPr>
        <w:widowControl w:val="0"/>
        <w:spacing w:line="480" w:lineRule="auto"/>
        <w:ind w:right="835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ABSTRACT</w:t>
      </w:r>
    </w:p>
    <w:p w14:paraId="6CC43BDD" w14:textId="77777777" w:rsidR="007C1ECD" w:rsidRDefault="00037C06">
      <w:pPr>
        <w:widowControl w:val="0"/>
        <w:spacing w:line="480" w:lineRule="auto"/>
        <w:ind w:righ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Introduction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Peripheral arterial disease is implicated in the pathogenesis of foot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ulcers  amongst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diabetics, and also has a strong predictive value for cardiovascular mortality.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Ankle  brachial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index, which is the commonest and standard clinical screening tool requires elaborate  training, is time consuming, and difficult to do in a busy clinic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aim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 this study is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assess the sensitivity of pulse oximeter in diagnosing peripheral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 disease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amongst diabetics with foot ulcers, and to compare it to that of Ankle Brachial Index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F396E05" w14:textId="77777777" w:rsidR="007C1ECD" w:rsidRDefault="00037C06">
      <w:pPr>
        <w:pStyle w:val="BodyText"/>
        <w:spacing w:before="199" w:line="480" w:lineRule="auto"/>
        <w:ind w:right="716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M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val="en-US"/>
        </w:rPr>
        <w:t>aterials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and methods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This is a prospective, comparative study carried out over one year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Diabetic subjects within the age range 18-70 years with foot</w:t>
      </w:r>
      <w:r>
        <w:rPr>
          <w:rFonts w:ascii="Times New Roman" w:eastAsia="Times New Roman" w:hAnsi="Times New Roman" w:cs="Times New Roman"/>
          <w:color w:val="000000"/>
        </w:rPr>
        <w:t xml:space="preserve"> ulcers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were  screened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for inclusion criteria. The ABI and oxygen saturation were measured in both the diseased and normal limbs, </w:t>
      </w:r>
      <w:r>
        <w:rPr>
          <w:rFonts w:ascii="Times New Roman" w:hAnsi="Times New Roman" w:cs="Times New Roman"/>
        </w:rPr>
        <w:t>Analysis of data was done using Statistical Package for Social Sciences (SPSS) version 20.0.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eastAsia="SimSun" w:hAnsi="Times New Roman" w:cs="Times New Roman"/>
          <w:color w:val="000000"/>
          <w:lang w:eastAsia="zh-CN" w:bidi="ar"/>
        </w:rPr>
        <w:t>Calculations of mean, standard de</w:t>
      </w:r>
      <w:r>
        <w:rPr>
          <w:rFonts w:ascii="Times New Roman" w:eastAsia="SimSun" w:hAnsi="Times New Roman" w:cs="Times New Roman"/>
          <w:color w:val="000000"/>
          <w:lang w:eastAsia="zh-CN" w:bidi="ar"/>
        </w:rPr>
        <w:t>viations, and associations between the variables were tested for statistical significance using appropriate statistical tools. p-values less than 0.05 were considered significant.</w:t>
      </w:r>
    </w:p>
    <w:p w14:paraId="193E7C7A" w14:textId="77777777" w:rsidR="007C1ECD" w:rsidRDefault="00037C06">
      <w:pPr>
        <w:widowControl w:val="0"/>
        <w:spacing w:before="251" w:line="480" w:lineRule="auto"/>
        <w:ind w:right="238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esults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eventy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subjects participated in the study,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female sex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ratio 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1.12:1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Mean age of participate was 57.69, and mean Diabetes mellitus duration was 9.80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years.  Mean foot ulcer duration was 13.17 weeks. Subjects mean ABI for diseased leg was 1.02, and </w:t>
      </w:r>
    </w:p>
    <w:p w14:paraId="0D3A12D0" w14:textId="77777777" w:rsidR="007C1ECD" w:rsidRDefault="00037C06">
      <w:pPr>
        <w:widowControl w:val="0"/>
        <w:spacing w:line="480" w:lineRule="auto"/>
        <w:ind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1.00 for normal leg. We found 32.8% of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ubjects had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peripheral arterial disease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diagnosed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ABI, and 20.3%  diagnosed using pulse oximeter.  Pulse oximeter had a sensitivity and specificity of 23.81%, and 83.70%, respectively. </w:t>
      </w:r>
    </w:p>
    <w:p w14:paraId="07F07BC6" w14:textId="77777777" w:rsidR="007C1ECD" w:rsidRDefault="00037C06">
      <w:pPr>
        <w:widowControl w:val="0"/>
        <w:spacing w:before="271" w:line="480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Conclusion: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This study showed that ABI has a higher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sensitivity in comparison with pulse oximeter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detecting ischemia among diabetics with foot ulcers.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With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sensitivity of 23.8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%,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pulse oximeter may not be a good screening tool in detecting ischemia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among  diabetics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foot ulcer.</w:t>
      </w:r>
    </w:p>
    <w:p w14:paraId="2FC915F9" w14:textId="77777777" w:rsidR="007C1ECD" w:rsidRDefault="00037C06">
      <w:pPr>
        <w:widowControl w:val="0"/>
        <w:spacing w:line="480" w:lineRule="auto"/>
        <w:ind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Keywords: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Pulse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oximet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nkle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brachial index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Ischemia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Diabetic foot ulcers.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05CD064" w14:textId="77777777" w:rsidR="007C1ECD" w:rsidRDefault="007C1ECD">
      <w:pPr>
        <w:widowControl w:val="0"/>
        <w:spacing w:line="480" w:lineRule="auto"/>
        <w:ind w:right="835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3B36B7D" w14:textId="77777777" w:rsidR="007C1ECD" w:rsidRDefault="00037C06">
      <w:pPr>
        <w:widowControl w:val="0"/>
        <w:spacing w:line="480" w:lineRule="auto"/>
        <w:ind w:right="83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Introduction </w:t>
      </w:r>
    </w:p>
    <w:p w14:paraId="652F681C" w14:textId="77777777" w:rsidR="007C1ECD" w:rsidRDefault="00037C06">
      <w:pPr>
        <w:widowControl w:val="0"/>
        <w:spacing w:line="480" w:lineRule="auto"/>
        <w:ind w:right="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Peripheral arterial disease is atherosclerosis leading to narrowing of the major arteries distal to  the arch of aorta.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can involve both the upper and lower limbs.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progressive occlusion  results in arterial stenosis, reduced blood flow and ischaemia.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most common clinical  presentation of peripheral vascular diseases is intermittent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claudication.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Claudication is  defined as muscles discomfort in the calf that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reproduced by exercise and relieved by rest  within 10 minute.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However, only about 10% of patients with peripheral vascular diseases have classic claudication.  Others have atypical leg pain (50%) or are asymptomatic 40%.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a group of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claudicants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called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atypical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claudicants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who may feel the cramps in the gluteal muscles, instead of the  calf.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Within five years of diagnosis, 10-15 percent of patients with claudication will die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 cardiovascular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disease.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Furthermore, there are some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clinical conditions that closely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mimic  intermittent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claudication. Such clinical conditions include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spinal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stenosis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peripheral neuropathies, musculoskeletal disorders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deep vein thrombosis.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1,3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B9E1DF" w14:textId="77777777" w:rsidR="007C1ECD" w:rsidRDefault="00037C06">
      <w:pPr>
        <w:widowControl w:val="0"/>
        <w:spacing w:before="266" w:line="480" w:lineRule="auto"/>
        <w:ind w:left="169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clinically significant condition. Due to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progressive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narrowing 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arteries in the condition, tissues are deprived of perfusion and oxygen. Depending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 clinical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stage of the patient, peripheral arterial disease may be asymptomatic or present as  intermittent claudication, rest pain, chronic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critical limb ischemia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1B10D7" w14:textId="77777777" w:rsidR="007C1ECD" w:rsidRDefault="00037C06">
      <w:pPr>
        <w:widowControl w:val="0"/>
        <w:spacing w:before="266" w:line="480" w:lineRule="auto"/>
        <w:ind w:left="169"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 need for early detection and intervention to stop progression of disease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 estimated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1% of patients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 with evidence of tissue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loss, gangrene or chronic pain at rest. Such symptoms sugg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 critical limb ischemia.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Untreated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lead to foot ulceration, gangrene and amputation. </w:t>
      </w:r>
    </w:p>
    <w:p w14:paraId="1D61C001" w14:textId="77777777" w:rsidR="007C1ECD" w:rsidRDefault="00037C06">
      <w:pPr>
        <w:widowControl w:val="0"/>
        <w:spacing w:before="251" w:line="480" w:lineRule="auto"/>
        <w:ind w:left="169" w:right="2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been called a silent killer with strong predictive value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 cardiovascular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mortality.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Patients with PAD develop more widespread atherosclerosis,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  more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ischaemic cardiovascular events, including myocardial infarction and cerebrovascular  accident. Thus, PAD is used as a surrogate marker for cardiovascular diseases 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0FAD2C" w14:textId="77777777" w:rsidR="007C1ECD" w:rsidRDefault="00037C06">
      <w:pPr>
        <w:widowControl w:val="0"/>
        <w:spacing w:before="266" w:line="480" w:lineRule="auto"/>
        <w:ind w:left="166" w:right="239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Peripheral arterial disease is more prevalent amongst diabetic subjects 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pared to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general  population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8,9,45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Studies in Nigeria found a prevalence of 13.4% in diabetics without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foot  ulcers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as high as 76.4% in those with foot ulcer.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8,10 ,45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15% of diabetics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 estimated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develop PAD 10 years after diagnosis 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this is expected to increase to 45%  in 20 years.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Therefore, there is need for early detection and intervention to stop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progression 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disease.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733D69" w14:textId="77777777" w:rsidR="007C1ECD" w:rsidRDefault="00037C06">
      <w:pPr>
        <w:widowControl w:val="0"/>
        <w:spacing w:before="268" w:line="480" w:lineRule="auto"/>
        <w:ind w:left="166" w:right="240" w:firstLin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Peripheral  arterial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diseases are common in diabetic subjects, but frequently under diagnosed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high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rate 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under-diagnosis is largely due to the blunted pain sensation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this group occasioned by  concomitant peripheral neuropathy, which is quite common in diabetic individuals.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3,5,6,8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07C97A" w14:textId="77777777" w:rsidR="007C1ECD" w:rsidRDefault="00037C06">
      <w:pPr>
        <w:widowControl w:val="0"/>
        <w:spacing w:before="257" w:line="480" w:lineRule="auto"/>
        <w:ind w:left="166" w:right="238" w:firstLine="5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Consequently, they may not report symptoms of claudication. Even the use of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validated  structured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questionnaire to detect PAD in diabetics has shown low sensitivity.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Ankle  brachial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index (ABI) is the ratio of the systolic blood pressure at the 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to that measured at the  arm. It has a normal range of 0.9 to 1.3, and values below 0.9 indicate PAD.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1,2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Measurement of </w:t>
      </w:r>
    </w:p>
    <w:p w14:paraId="2BC9091D" w14:textId="77777777" w:rsidR="007C1ECD" w:rsidRDefault="00037C06">
      <w:pPr>
        <w:widowControl w:val="0"/>
        <w:spacing w:line="480" w:lineRule="auto"/>
        <w:ind w:left="177" w:right="239" w:hanging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ABI is a recommended approach of screening for PAD due to its non-invasiveness, high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sensitivity and specificity.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3,12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However, it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requires the use of a Continuous-wave Doppler machine, which warrants some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level  of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training to use.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may take an average of 10 minute to perform in a subject, so might not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 time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efficient in a busy clinic such as ours. An additional limitation 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inaccurate measurement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 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result of calcified or incompressible vessels in the diabetic subjects. This leads to a false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 ABI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 in the presence of severe PAD. The presence of subclavian artery stenosis could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 elevate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readings on the side 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stenosis.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9, 12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6F756D" w14:textId="77777777" w:rsidR="007C1ECD" w:rsidRDefault="00037C06">
      <w:pPr>
        <w:widowControl w:val="0"/>
        <w:spacing w:before="263" w:line="480" w:lineRule="auto"/>
        <w:ind w:left="166" w:right="238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mitigate against some of the above mentioned limitations, the Pulse Oximetry has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  proposed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non-invasive and a faster screening method to detect low oxygen haemoglobin  saturation in the fingers and toes.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13,14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Its simplicity of use and fast reading can be beneficial 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 busy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clinic. However, there is a paucity of studies that have compared the diagnostic utility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Pulse Oximeter to that of the already established ankle brachial index.  </w:t>
      </w:r>
    </w:p>
    <w:p w14:paraId="00F8B2EA" w14:textId="77777777" w:rsidR="007C1ECD" w:rsidRDefault="00037C06">
      <w:pPr>
        <w:widowControl w:val="0"/>
        <w:spacing w:before="260" w:line="480" w:lineRule="auto"/>
        <w:ind w:left="169" w:righ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purpose of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 study is to compare the sensitivity, specificity, and accuracy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pulse  oximetry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that of time tested ABI, in screening for ischemia in diabetic foot ulcers.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Thus  investigating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potential use of pulse oximetry as a reliable alternative to Ankle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rachial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Index  as a screening tool for PAD.</w:t>
      </w:r>
    </w:p>
    <w:p w14:paraId="5FF46617" w14:textId="77777777" w:rsidR="007C1ECD" w:rsidRDefault="00037C06">
      <w:pPr>
        <w:widowControl w:val="0"/>
        <w:spacing w:before="260" w:line="480" w:lineRule="auto"/>
        <w:ind w:left="169" w:right="2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Materials and methods. </w:t>
      </w:r>
    </w:p>
    <w:p w14:paraId="3DFD6B34" w14:textId="77777777" w:rsidR="007C1ECD" w:rsidRDefault="00037C06">
      <w:pPr>
        <w:widowControl w:val="0"/>
        <w:spacing w:before="260" w:line="480" w:lineRule="auto"/>
        <w:ind w:left="169" w:righ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is prospective comparative study between two diagnostic methods. The study was conducted at the National Orthopaedic Hospital, Enugu (NOHE)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Federal  medical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Owerri .They 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both tertiary hospitals in the south eastern region of Nigeria.. The study was done over a period of one yea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study population was diabetic subjects between 18years and 70 years with foot ulcers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  present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clinics or the wards and give cons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to participate in the study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Patients who had c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ognitive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impairment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Wagner stage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diabetic foot ulcers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or who r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efus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give consent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were excluded from this study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E068FF2" w14:textId="77777777" w:rsidR="007C1ECD" w:rsidRDefault="00037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Consecutive patients who fulfilled the inclusion criteria were enrolled into the st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udy as they presented to the accident and emergency room. The objectives of the study were explained to each patient at the time of enrolment. A detailed clinical history was taken from all patients who met the inclusion criteria, and full physical examina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tion performed on them.</w:t>
      </w:r>
    </w:p>
    <w:p w14:paraId="1CCCF987" w14:textId="77777777" w:rsidR="007C1ECD" w:rsidRDefault="00037C06">
      <w:pPr>
        <w:widowControl w:val="0"/>
        <w:spacing w:before="260" w:line="480" w:lineRule="auto"/>
        <w:ind w:left="169" w:right="23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total of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70  patients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were recruited into this study during the one year study period.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Ethical approval was obtained from Ethical Committees of both National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Orthopedic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Hospital  Enugu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 Federal Medical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Owerri.  </w:t>
      </w:r>
    </w:p>
    <w:p w14:paraId="7E8D75DF" w14:textId="77777777" w:rsidR="007C1ECD" w:rsidRDefault="00037C06">
      <w:pPr>
        <w:widowControl w:val="0"/>
        <w:spacing w:before="271" w:line="480" w:lineRule="auto"/>
        <w:ind w:left="166" w:right="238" w:firstLine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ankle brachial index were measured with the 8-MHz Edan SD3 continuous wave hand-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held  vascular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Doppler. A blood pressure mercury sphygmomanometer (ACOSSON) was used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 measure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ankle( Posterior Tibal artery, and dorsalis pedis), and arm (Brachial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rtery)  pressures of the limbs for the ABI measurements. The final reading was made using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Huntleigh  ABPI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Calculator. The pulse oximetry was measured with a digital Pulse Oximeter (CONTEC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®  CMS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50F), The fasting blood glucose was measured with a portable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ucometer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Accuchek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Active). Other relevant biodata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collected with a structured questionnaire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Data were entered in a spread sheet and analyzed using IBM® SPSS (Statistical Package for Social Sciences) version 21. The statistical analysis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were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done us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ing the appropriate formulas.</w:t>
      </w:r>
    </w:p>
    <w:p w14:paraId="13EFF74E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77EF3895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Seventy subjects were recruited and completed the study, with 37 males and 33 females giving a male to female sex ratio of 1.12:1 (figure 1).</w:t>
      </w:r>
    </w:p>
    <w:p w14:paraId="2F5AB6BF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5F347" wp14:editId="6C02DF9B">
            <wp:extent cx="6121400" cy="4273550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62198B9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 The sex distribution of the study group.</w:t>
      </w:r>
    </w:p>
    <w:p w14:paraId="11ECDB29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participants mean ag</w:t>
      </w:r>
      <w:r>
        <w:rPr>
          <w:rFonts w:ascii="Times New Roman" w:hAnsi="Times New Roman" w:cs="Times New Roman"/>
          <w:sz w:val="24"/>
          <w:szCs w:val="24"/>
        </w:rPr>
        <w:t>e was 57.69 years (SD = 14.09). Middle-aged adults (45–64 years) were the most frequently affected with diabetic foot ulcers in this study, followed by the elderly (Table 1).</w:t>
      </w:r>
    </w:p>
    <w:p w14:paraId="46A0613A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65949796"/>
      <w:r>
        <w:rPr>
          <w:rFonts w:ascii="Times New Roman" w:hAnsi="Times New Roman" w:cs="Times New Roman"/>
          <w:sz w:val="24"/>
          <w:szCs w:val="24"/>
        </w:rPr>
        <w:t>Table 1 The frequency of the various age categories in the study.</w:t>
      </w:r>
      <w:bookmarkEnd w:id="2"/>
    </w:p>
    <w:tbl>
      <w:tblPr>
        <w:tblStyle w:val="ckeshowborder"/>
        <w:tblW w:w="0" w:type="auto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71"/>
        <w:gridCol w:w="3074"/>
      </w:tblGrid>
      <w:tr w:rsidR="007C1ECD" w14:paraId="36BAF000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11BEC3CB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 age categor</w:t>
            </w:r>
            <w:r>
              <w:rPr>
                <w:rFonts w:ascii="Times New Roman" w:eastAsia="Calibri Light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y (years)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5E69EE6E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20ECC7D5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7C1ECD" w14:paraId="536953BF" w14:textId="77777777">
        <w:tc>
          <w:tcPr>
            <w:tcW w:w="3116" w:type="dxa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08" w:type="dxa"/>
            </w:tcMar>
          </w:tcPr>
          <w:p w14:paraId="3C95FDA0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612FC3DB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</w:tcMar>
          </w:tcPr>
          <w:p w14:paraId="00799582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16E283DA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0ABEB715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i/>
                <w:iCs/>
                <w:color w:val="000000"/>
                <w:sz w:val="24"/>
                <w:szCs w:val="24"/>
              </w:rPr>
              <w:t>18–44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518266C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12AD2148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</w:tr>
      <w:tr w:rsidR="007C1ECD" w14:paraId="73191557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0AE8FA9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26E3509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7998B9B4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53C607BC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24549AA0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i/>
                <w:iCs/>
                <w:color w:val="000000"/>
                <w:sz w:val="24"/>
                <w:szCs w:val="24"/>
              </w:rPr>
              <w:t>45–64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5CBCB4E1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4E7403E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</w:t>
            </w:r>
          </w:p>
        </w:tc>
      </w:tr>
      <w:tr w:rsidR="007C1ECD" w14:paraId="29F5CA06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6F23A331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45387E38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234F0815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104CEFA8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55540B17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i/>
                <w:iCs/>
                <w:color w:val="000000"/>
                <w:sz w:val="24"/>
                <w:szCs w:val="24"/>
              </w:rPr>
              <w:t>&gt;64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143A5311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1C916142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31.3</w:t>
            </w:r>
          </w:p>
        </w:tc>
      </w:tr>
      <w:tr w:rsidR="007C1ECD" w14:paraId="6719D06B" w14:textId="77777777">
        <w:tc>
          <w:tcPr>
            <w:tcW w:w="3116" w:type="dxa"/>
            <w:tcBorders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08" w:type="dxa"/>
            </w:tcMar>
          </w:tcPr>
          <w:p w14:paraId="7292A8DD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7F652642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</w:tcMar>
          </w:tcPr>
          <w:p w14:paraId="6679BB78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7C4CF15B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08" w:type="dxa"/>
            </w:tcMar>
          </w:tcPr>
          <w:p w14:paraId="645D934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i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74E8E988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</w:tcMar>
          </w:tcPr>
          <w:p w14:paraId="2653EA36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</w:tbl>
    <w:p w14:paraId="2ED424CC" w14:textId="77777777" w:rsidR="007C1ECD" w:rsidRDefault="007C1EC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1B947FF3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participants’ mean diabetes mellitus duration was 9.80 years (SD = 7.71). Most of the subjects had been diagnosed with diabetes longer than ten years; table 2.</w:t>
      </w:r>
    </w:p>
    <w:p w14:paraId="2AFD5EF3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 The frequency of the duration of diabetes mellitus (DM) in the study.</w:t>
      </w:r>
    </w:p>
    <w:tbl>
      <w:tblPr>
        <w:tblStyle w:val="ckeshowborder"/>
        <w:tblW w:w="0" w:type="auto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71"/>
        <w:gridCol w:w="3074"/>
      </w:tblGrid>
      <w:tr w:rsidR="007C1ECD" w14:paraId="1DF6DCF9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553069AA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 duration of DM (years)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3D529359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23EB8916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7C1ECD" w14:paraId="624A1654" w14:textId="77777777">
        <w:tc>
          <w:tcPr>
            <w:tcW w:w="3116" w:type="dxa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08" w:type="dxa"/>
            </w:tcMar>
          </w:tcPr>
          <w:p w14:paraId="2287F6FA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551AA957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</w:tcMar>
          </w:tcPr>
          <w:p w14:paraId="7ADF443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76FBBC30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4F476EA7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&lt;1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026CEA38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276208E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</w:tr>
      <w:tr w:rsidR="007C1ECD" w14:paraId="23AA05BF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326F7879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796D7752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77877BEC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4658FB6A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4CAB3159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2–5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5E910FA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7E1352B6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</w:tr>
      <w:tr w:rsidR="007C1ECD" w14:paraId="0E90E7C6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5EB1EF8B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6B3F7FC2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7E1534A0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6903EDF8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68183DF7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6–9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050E1EE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09C516AF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</w:tr>
      <w:tr w:rsidR="007C1ECD" w14:paraId="12BA3EB4" w14:textId="77777777">
        <w:trPr>
          <w:trHeight w:val="90"/>
        </w:trPr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56CD3E5A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1ADDD4D2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4B3A32C3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488091B7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0E044D65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&gt;9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5619D28A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37AED079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52.9</w:t>
            </w:r>
          </w:p>
        </w:tc>
      </w:tr>
      <w:tr w:rsidR="007C1ECD" w14:paraId="14A7FA79" w14:textId="77777777">
        <w:tc>
          <w:tcPr>
            <w:tcW w:w="3116" w:type="dxa"/>
            <w:tcBorders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08" w:type="dxa"/>
            </w:tcMar>
          </w:tcPr>
          <w:p w14:paraId="0762F891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7AE69968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</w:tcMar>
          </w:tcPr>
          <w:p w14:paraId="7B98169A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595AE152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08" w:type="dxa"/>
            </w:tcMar>
          </w:tcPr>
          <w:p w14:paraId="0B40B66C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4CA30521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</w:tcMar>
          </w:tcPr>
          <w:p w14:paraId="2508B029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</w:tbl>
    <w:p w14:paraId="0E82EB1F" w14:textId="77777777" w:rsidR="007C1ECD" w:rsidRDefault="007C1EC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4F82C00E" w14:textId="77777777" w:rsidR="007C1ECD" w:rsidRDefault="00037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The subjects’ mean foot ulcer duration was 13.17 weeks (SD =</w:t>
      </w:r>
      <w:r>
        <w:rPr>
          <w:rFonts w:ascii="Times New Roman" w:hAnsi="Times New Roman" w:cs="Times New Roman"/>
          <w:sz w:val="24"/>
          <w:szCs w:val="24"/>
        </w:rPr>
        <w:t xml:space="preserve"> 22.23). Most participants presented with an ulcer duration shorter than six weeks (Table 3).</w:t>
      </w:r>
    </w:p>
    <w:p w14:paraId="660EB0FA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lk65999357"/>
      <w:r>
        <w:rPr>
          <w:rFonts w:ascii="Times New Roman" w:hAnsi="Times New Roman" w:cs="Times New Roman"/>
          <w:sz w:val="24"/>
          <w:szCs w:val="24"/>
        </w:rPr>
        <w:t>Table 3 The frequency of the diabetic foot ulcer duration (DFU) in the study.</w:t>
      </w:r>
      <w:bookmarkEnd w:id="3"/>
    </w:p>
    <w:tbl>
      <w:tblPr>
        <w:tblStyle w:val="ckeshowborder"/>
        <w:tblW w:w="0" w:type="auto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71"/>
        <w:gridCol w:w="3074"/>
      </w:tblGrid>
      <w:tr w:rsidR="007C1ECD" w14:paraId="3C1BDD98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5CA84321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 duration of DFU (weeks)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3E2440C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0FD6BCF6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</w:tr>
      <w:tr w:rsidR="007C1ECD" w14:paraId="7236ECBB" w14:textId="77777777">
        <w:tc>
          <w:tcPr>
            <w:tcW w:w="3116" w:type="dxa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08" w:type="dxa"/>
            </w:tcMar>
          </w:tcPr>
          <w:p w14:paraId="1410DADA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65A88D5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</w:tcMar>
          </w:tcPr>
          <w:p w14:paraId="0E446DDA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209FE240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4024A60A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&lt;6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59029AE2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53FCB45B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7C1ECD" w14:paraId="2D66991D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30B766E6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06F3617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41EFF3BE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18D76D70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540CC640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6–12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091E617E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6D8EC2E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</w:t>
            </w:r>
          </w:p>
        </w:tc>
      </w:tr>
      <w:tr w:rsidR="007C1ECD" w14:paraId="5DE456A3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1B8E159E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34DFFD28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0FFFA833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067DED78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1BDC8834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&gt;12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7661F65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2733BA47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</w:t>
            </w:r>
          </w:p>
        </w:tc>
      </w:tr>
      <w:tr w:rsidR="007C1ECD" w14:paraId="4C499FB1" w14:textId="77777777">
        <w:tc>
          <w:tcPr>
            <w:tcW w:w="3116" w:type="dxa"/>
            <w:tcBorders>
              <w:right w:val="single" w:sz="6" w:space="0" w:color="7F7F7F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280BC67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66CACEED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FFFFFF"/>
            <w:tcMar>
              <w:top w:w="5" w:type="dxa"/>
              <w:left w:w="113" w:type="dxa"/>
              <w:bottom w:w="5" w:type="dxa"/>
            </w:tcMar>
          </w:tcPr>
          <w:p w14:paraId="0D713D4E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085BF580" w14:textId="77777777">
        <w:tc>
          <w:tcPr>
            <w:tcW w:w="3116" w:type="dxa"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08" w:type="dxa"/>
            </w:tcMar>
          </w:tcPr>
          <w:p w14:paraId="3F8038A5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3509E8A2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</w:tcMar>
          </w:tcPr>
          <w:p w14:paraId="582E6EC2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</w:tbl>
    <w:p w14:paraId="4AE5EDFD" w14:textId="77777777" w:rsidR="007C1ECD" w:rsidRDefault="007C1EC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71E7EF7B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Wagner grade II occurred with the highest frequency in this work, with an incidence of 52 (74.3 %). This is followed by grade III in 15 subjects (21.4 %), while grade I ulcer is the least frequent with a frequency of two (2.9 %), </w:t>
      </w:r>
      <w:r>
        <w:rPr>
          <w:rFonts w:ascii="Times New Roman" w:hAnsi="Times New Roman" w:cs="Times New Roman"/>
          <w:sz w:val="24"/>
          <w:szCs w:val="24"/>
        </w:rPr>
        <w:t>Figure 2.</w:t>
      </w:r>
    </w:p>
    <w:p w14:paraId="69DB2317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5491E0B" wp14:editId="211252A8">
            <wp:extent cx="6134100" cy="4371975"/>
            <wp:effectExtent l="0" t="0" r="0" b="0"/>
            <wp:docPr id="100002" name="Picture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Picture 100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E084B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2 The frequencies of the Wagner grades of the foot ulcers</w:t>
      </w:r>
    </w:p>
    <w:p w14:paraId="5EF0DE0A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ulcer occurred in the right leg in 37 subjects (52.9%) and the left leg in 33 patients (47.1%), Figure 3. </w:t>
      </w:r>
    </w:p>
    <w:p w14:paraId="598319B2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F9B585" wp14:editId="44B59BE3">
            <wp:extent cx="5975350" cy="4089400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7DA95E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3 The distribution of the ulcer between the right and left </w:t>
      </w:r>
      <w:r>
        <w:rPr>
          <w:rFonts w:ascii="Times New Roman" w:hAnsi="Times New Roman" w:cs="Times New Roman"/>
          <w:sz w:val="24"/>
          <w:szCs w:val="24"/>
        </w:rPr>
        <w:t>legs.</w:t>
      </w:r>
    </w:p>
    <w:p w14:paraId="10D73D9D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participants’ mean fasting blood glucose was 169.55 mg/dl (SD = 74.43), while their mean Packed cell volume (PCV) was 31.16% (SD = 5.39). </w:t>
      </w:r>
      <w:bookmarkStart w:id="4" w:name="_Hlk66020075"/>
      <w:r>
        <w:rPr>
          <w:rFonts w:ascii="Times New Roman" w:hAnsi="Times New Roman" w:cs="Times New Roman"/>
          <w:sz w:val="24"/>
          <w:szCs w:val="24"/>
        </w:rPr>
        <w:t>The subjects’ mean oxygen saturation (SpO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in the pathological leg (with foot ulcer) was 93.75% (SD = 13.35</w:t>
      </w:r>
      <w:r>
        <w:rPr>
          <w:rFonts w:ascii="Times New Roman" w:hAnsi="Times New Roman" w:cs="Times New Roman"/>
          <w:sz w:val="24"/>
          <w:szCs w:val="24"/>
        </w:rPr>
        <w:t>) while it was 94.86% (SD = 12.62) in the normal leg (without foot ulcer). A paired samples t-test showed no statistically significant difference in the mean oxygen saturation between the pathological and nonpathological leg, Table 4.</w:t>
      </w:r>
      <w:bookmarkEnd w:id="4"/>
    </w:p>
    <w:p w14:paraId="2C6367EF" w14:textId="77777777" w:rsidR="007C1ECD" w:rsidRDefault="00037C06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lk60569884"/>
      <w:bookmarkStart w:id="6" w:name="_Hlk6602017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Table 4</w:t>
      </w:r>
      <w:bookmarkStart w:id="7" w:name="_Hlk60838382"/>
      <w:bookmarkEnd w:id="6"/>
      <w:r>
        <w:rPr>
          <w:rFonts w:ascii="Times New Roman" w:hAnsi="Times New Roman" w:cs="Times New Roman"/>
          <w:sz w:val="24"/>
          <w:szCs w:val="24"/>
        </w:rPr>
        <w:t xml:space="preserve">Comparison of </w:t>
      </w:r>
      <w:r>
        <w:rPr>
          <w:rFonts w:ascii="Times New Roman" w:hAnsi="Times New Roman" w:cs="Times New Roman"/>
          <w:sz w:val="24"/>
          <w:szCs w:val="24"/>
        </w:rPr>
        <w:t xml:space="preserve">the mean </w:t>
      </w:r>
      <w:bookmarkEnd w:id="7"/>
      <w:r>
        <w:rPr>
          <w:rFonts w:ascii="Times New Roman" w:hAnsi="Times New Roman" w:cs="Times New Roman"/>
          <w:sz w:val="24"/>
          <w:szCs w:val="24"/>
        </w:rPr>
        <w:t>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between the pathological leg and normal leg in the subjects. Standard deviations of the means are enclosed in brackets.</w:t>
      </w:r>
    </w:p>
    <w:tbl>
      <w:tblPr>
        <w:tblStyle w:val="ckeshowborder"/>
        <w:tblW w:w="5000" w:type="pct"/>
        <w:tblInd w:w="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490"/>
        <w:gridCol w:w="1338"/>
        <w:gridCol w:w="1236"/>
        <w:gridCol w:w="794"/>
        <w:gridCol w:w="1656"/>
        <w:gridCol w:w="771"/>
        <w:gridCol w:w="960"/>
      </w:tblGrid>
      <w:tr w:rsidR="007C1ECD" w14:paraId="3544D3B1" w14:textId="77777777">
        <w:tc>
          <w:tcPr>
            <w:tcW w:w="5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7C9702A1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484CCD47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Pathological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leg</w:t>
            </w:r>
          </w:p>
        </w:tc>
        <w:tc>
          <w:tcPr>
            <w:tcW w:w="72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456C011F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Normal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leg</w:t>
            </w:r>
          </w:p>
        </w:tc>
        <w:tc>
          <w:tcPr>
            <w:tcW w:w="65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5B73E46B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Mean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difference</w:t>
            </w:r>
          </w:p>
        </w:tc>
        <w:tc>
          <w:tcPr>
            <w:tcW w:w="42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080EB4C4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Std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error</w:t>
            </w:r>
          </w:p>
        </w:tc>
        <w:tc>
          <w:tcPr>
            <w:tcW w:w="89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37397927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95% CI</w:t>
            </w:r>
          </w:p>
        </w:tc>
        <w:tc>
          <w:tcPr>
            <w:tcW w:w="41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32E99E9E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t-stat</w:t>
            </w:r>
          </w:p>
        </w:tc>
        <w:tc>
          <w:tcPr>
            <w:tcW w:w="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4776D7E2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value</w:t>
            </w:r>
          </w:p>
        </w:tc>
      </w:tr>
      <w:tr w:rsidR="007C1ECD" w14:paraId="6C9690AD" w14:textId="77777777">
        <w:tc>
          <w:tcPr>
            <w:tcW w:w="581" w:type="pct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08" w:type="dxa"/>
            </w:tcMar>
          </w:tcPr>
          <w:p w14:paraId="2C79F7EE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18" w:type="dxa"/>
            </w:tcMar>
          </w:tcPr>
          <w:p w14:paraId="5E293C00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6EEFC455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7F4BE623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1DC8D742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3CF6D345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6413E52A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6A4B7A0F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4171E5F6" w14:textId="77777777">
        <w:tc>
          <w:tcPr>
            <w:tcW w:w="581" w:type="pct"/>
            <w:tcBorders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08" w:type="dxa"/>
            </w:tcMar>
          </w:tcPr>
          <w:p w14:paraId="6739270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Mean SpO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18" w:type="dxa"/>
            </w:tcMar>
          </w:tcPr>
          <w:p w14:paraId="169AD37E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(13.35)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4CB05919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94.86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(12.62)</w:t>
            </w:r>
          </w:p>
        </w:tc>
        <w:tc>
          <w:tcPr>
            <w:tcW w:w="655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2456E322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-1.11</w:t>
            </w:r>
          </w:p>
        </w:tc>
        <w:tc>
          <w:tcPr>
            <w:tcW w:w="429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34545B08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2.32</w:t>
            </w:r>
          </w:p>
        </w:tc>
        <w:tc>
          <w:tcPr>
            <w:tcW w:w="890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233506EB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(-5.74 to 3.55)</w:t>
            </w:r>
          </w:p>
        </w:tc>
        <w:tc>
          <w:tcPr>
            <w:tcW w:w="416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44572403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-0.47</w:t>
            </w:r>
          </w:p>
        </w:tc>
        <w:tc>
          <w:tcPr>
            <w:tcW w:w="517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5E0D5B3C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.640</w:t>
            </w:r>
          </w:p>
        </w:tc>
      </w:tr>
    </w:tbl>
    <w:p w14:paraId="498FEE0D" w14:textId="77777777" w:rsidR="007C1ECD" w:rsidRDefault="007C1EC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31AC40D7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subjects’ mean ankle-brachial index (ABI) in the pathological leg (with foot ulcer) was 1.02 (SD = 0.25) while it was 1.01 (SD = 0.22) in the normal leg (without foot ulcer). A paired samples t-test </w:t>
      </w:r>
      <w:r>
        <w:rPr>
          <w:rFonts w:ascii="Times New Roman" w:hAnsi="Times New Roman" w:cs="Times New Roman"/>
          <w:sz w:val="24"/>
          <w:szCs w:val="24"/>
        </w:rPr>
        <w:t>showed no statistically significant difference in the mean ABI between the pathological and nonpathological leg (Table 5).</w:t>
      </w:r>
    </w:p>
    <w:p w14:paraId="384042F6" w14:textId="77777777" w:rsidR="007C1ECD" w:rsidRDefault="00037C06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5</w:t>
      </w:r>
      <w:r>
        <w:rPr>
          <w:rFonts w:ascii="Times New Roman" w:hAnsi="Times New Roman" w:cs="Times New Roman"/>
          <w:sz w:val="24"/>
          <w:szCs w:val="24"/>
        </w:rPr>
        <w:t xml:space="preserve"> Comparison of the mean ABI between the pathological leg and normal leg in the subjects. Standard deviations of the means are </w:t>
      </w:r>
      <w:r>
        <w:rPr>
          <w:rFonts w:ascii="Times New Roman" w:hAnsi="Times New Roman" w:cs="Times New Roman"/>
          <w:sz w:val="24"/>
          <w:szCs w:val="24"/>
        </w:rPr>
        <w:t>enclosed in brackets.</w:t>
      </w:r>
    </w:p>
    <w:tbl>
      <w:tblPr>
        <w:tblStyle w:val="ckeshowborder"/>
        <w:tblW w:w="5000" w:type="pct"/>
        <w:tblInd w:w="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490"/>
        <w:gridCol w:w="1341"/>
        <w:gridCol w:w="1236"/>
        <w:gridCol w:w="797"/>
        <w:gridCol w:w="1658"/>
        <w:gridCol w:w="773"/>
        <w:gridCol w:w="962"/>
      </w:tblGrid>
      <w:tr w:rsidR="007C1ECD" w14:paraId="35FD2021" w14:textId="77777777">
        <w:tc>
          <w:tcPr>
            <w:tcW w:w="58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14559C74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335FD3C0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Pathological leg</w:t>
            </w:r>
          </w:p>
        </w:tc>
        <w:tc>
          <w:tcPr>
            <w:tcW w:w="72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7E4B3CC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Normal leg</w:t>
            </w:r>
          </w:p>
        </w:tc>
        <w:tc>
          <w:tcPr>
            <w:tcW w:w="65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27675179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42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41AD44D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Std error</w:t>
            </w:r>
          </w:p>
        </w:tc>
        <w:tc>
          <w:tcPr>
            <w:tcW w:w="89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2F3669DC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95% CI</w:t>
            </w:r>
          </w:p>
        </w:tc>
        <w:tc>
          <w:tcPr>
            <w:tcW w:w="41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5587E587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t-stat</w:t>
            </w:r>
          </w:p>
        </w:tc>
        <w:tc>
          <w:tcPr>
            <w:tcW w:w="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597D464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p-value</w:t>
            </w:r>
          </w:p>
        </w:tc>
      </w:tr>
      <w:tr w:rsidR="007C1ECD" w14:paraId="0F30347D" w14:textId="77777777">
        <w:tc>
          <w:tcPr>
            <w:tcW w:w="581" w:type="pct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08" w:type="dxa"/>
            </w:tcMar>
          </w:tcPr>
          <w:p w14:paraId="4AC656C6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18" w:type="dxa"/>
            </w:tcMar>
          </w:tcPr>
          <w:p w14:paraId="35FBBA07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151C7F0E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0142EDC4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7FA83C16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7416078F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0C2CF02A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33062E6F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38C90197" w14:textId="77777777">
        <w:tc>
          <w:tcPr>
            <w:tcW w:w="581" w:type="pct"/>
            <w:tcBorders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08" w:type="dxa"/>
            </w:tcMar>
          </w:tcPr>
          <w:p w14:paraId="475A62EC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Mean ABI</w:t>
            </w:r>
          </w:p>
        </w:tc>
        <w:tc>
          <w:tcPr>
            <w:tcW w:w="791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18" w:type="dxa"/>
            </w:tcMar>
          </w:tcPr>
          <w:p w14:paraId="7191C47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1.02 (0.25)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002ABCB6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1.01 (0.22)</w:t>
            </w:r>
          </w:p>
        </w:tc>
        <w:tc>
          <w:tcPr>
            <w:tcW w:w="655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02963D8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429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58C237DC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890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2DE5CB67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(-0.05 to 0.04)</w:t>
            </w:r>
          </w:p>
        </w:tc>
        <w:tc>
          <w:tcPr>
            <w:tcW w:w="416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63B8F5D3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-0.20</w:t>
            </w:r>
          </w:p>
        </w:tc>
        <w:tc>
          <w:tcPr>
            <w:tcW w:w="517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49BB7D76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.843</w:t>
            </w:r>
          </w:p>
        </w:tc>
      </w:tr>
    </w:tbl>
    <w:p w14:paraId="124EE303" w14:textId="77777777" w:rsidR="007C1ECD" w:rsidRDefault="007C1E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767A5CE" w14:textId="77777777" w:rsidR="007C1ECD" w:rsidRDefault="00037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Twenty-one subjects (30.0%) had peripheral arterial disease (PAD) as </w:t>
      </w:r>
      <w:r>
        <w:rPr>
          <w:rFonts w:ascii="Times New Roman" w:hAnsi="Times New Roman" w:cs="Times New Roman"/>
          <w:sz w:val="24"/>
          <w:szCs w:val="24"/>
        </w:rPr>
        <w:t>diagnosed by an ABI of less than 0.9. In contrast, using the pulse oximetry and a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less than 95%, only 13 subjects (18.6%) were diagnosed with PAD. However, an exact McNemar Chi-square test showed that this difference in proportion was not statistic</w:t>
      </w:r>
      <w:r>
        <w:rPr>
          <w:rFonts w:ascii="Times New Roman" w:hAnsi="Times New Roman" w:cs="Times New Roman"/>
          <w:sz w:val="24"/>
          <w:szCs w:val="24"/>
        </w:rPr>
        <w:t>ally significant (Table 6).</w:t>
      </w:r>
    </w:p>
    <w:p w14:paraId="5E50C71F" w14:textId="77777777" w:rsidR="007C1ECD" w:rsidRDefault="00037C06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6</w:t>
      </w:r>
      <w:r>
        <w:rPr>
          <w:rFonts w:ascii="Times New Roman" w:hAnsi="Times New Roman" w:cs="Times New Roman"/>
          <w:sz w:val="24"/>
          <w:szCs w:val="24"/>
        </w:rPr>
        <w:t xml:space="preserve"> Comparison of the proportions of subjects diagnosed with PAD by ABI and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ckeshowborder"/>
        <w:tblW w:w="5000" w:type="pct"/>
        <w:tblInd w:w="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00"/>
        <w:gridCol w:w="1054"/>
        <w:gridCol w:w="1334"/>
        <w:gridCol w:w="2186"/>
        <w:gridCol w:w="1316"/>
        <w:gridCol w:w="1168"/>
      </w:tblGrid>
      <w:tr w:rsidR="007C1ECD" w14:paraId="24B138C6" w14:textId="77777777">
        <w:tc>
          <w:tcPr>
            <w:tcW w:w="6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5BF3D0B1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339A0DBD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By ABI</w:t>
            </w:r>
          </w:p>
        </w:tc>
        <w:tc>
          <w:tcPr>
            <w:tcW w:w="6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380DD3AB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By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SpO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057E0FF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Proportion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difference</w:t>
            </w:r>
          </w:p>
        </w:tc>
        <w:tc>
          <w:tcPr>
            <w:tcW w:w="121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5036CC65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         95% CI</w:t>
            </w:r>
          </w:p>
        </w:tc>
        <w:tc>
          <w:tcPr>
            <w:tcW w:w="4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614C26D7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McNemar-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stat</w:t>
            </w:r>
          </w:p>
        </w:tc>
        <w:tc>
          <w:tcPr>
            <w:tcW w:w="66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8" w:type="dxa"/>
              <w:right w:w="118" w:type="dxa"/>
            </w:tcMar>
          </w:tcPr>
          <w:p w14:paraId="417AF26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p-value</w:t>
            </w:r>
          </w:p>
        </w:tc>
      </w:tr>
      <w:tr w:rsidR="007C1ECD" w14:paraId="767844AE" w14:textId="77777777">
        <w:tc>
          <w:tcPr>
            <w:tcW w:w="698" w:type="pct"/>
            <w:tcBorders>
              <w:top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08" w:type="dxa"/>
            </w:tcMar>
          </w:tcPr>
          <w:p w14:paraId="3DDBCCFC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  <w:right w:w="118" w:type="dxa"/>
            </w:tcMar>
          </w:tcPr>
          <w:p w14:paraId="3453BD35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0B8E760B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73534B06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5D722CE0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0030656C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8" w:type="dxa"/>
              <w:bottom w:w="10" w:type="dxa"/>
            </w:tcMar>
          </w:tcPr>
          <w:p w14:paraId="5BAF7DC1" w14:textId="77777777" w:rsidR="007C1ECD" w:rsidRDefault="007C1ECD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63767177" w14:textId="77777777">
        <w:tc>
          <w:tcPr>
            <w:tcW w:w="698" w:type="pct"/>
            <w:tcBorders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08" w:type="dxa"/>
            </w:tcMar>
          </w:tcPr>
          <w:p w14:paraId="7EEFC13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 proportion of patients with PAD</w:t>
            </w:r>
          </w:p>
        </w:tc>
        <w:tc>
          <w:tcPr>
            <w:tcW w:w="607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  <w:right w:w="118" w:type="dxa"/>
            </w:tcMar>
          </w:tcPr>
          <w:p w14:paraId="4ED369EA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30.0%</w:t>
            </w:r>
          </w:p>
        </w:tc>
        <w:tc>
          <w:tcPr>
            <w:tcW w:w="606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1F930C4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18.6%</w:t>
            </w:r>
          </w:p>
        </w:tc>
        <w:tc>
          <w:tcPr>
            <w:tcW w:w="756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6749CFB6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11.40%</w:t>
            </w:r>
          </w:p>
        </w:tc>
        <w:tc>
          <w:tcPr>
            <w:tcW w:w="1212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15B25881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(-2.68% to 26.97%)</w:t>
            </w:r>
          </w:p>
        </w:tc>
        <w:tc>
          <w:tcPr>
            <w:tcW w:w="454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75FA091A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2.667</w:t>
            </w:r>
          </w:p>
        </w:tc>
        <w:tc>
          <w:tcPr>
            <w:tcW w:w="668" w:type="pct"/>
            <w:tcBorders>
              <w:bottom w:val="single" w:sz="6" w:space="0" w:color="000000"/>
            </w:tcBorders>
            <w:shd w:val="clear" w:color="auto" w:fill="FFFFFF"/>
            <w:tcMar>
              <w:top w:w="10" w:type="dxa"/>
              <w:left w:w="118" w:type="dxa"/>
              <w:bottom w:w="8" w:type="dxa"/>
            </w:tcMar>
          </w:tcPr>
          <w:p w14:paraId="143C2C26" w14:textId="77777777" w:rsidR="007C1ECD" w:rsidRDefault="00037C06">
            <w:pPr>
              <w:widowControl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.152</w:t>
            </w:r>
          </w:p>
        </w:tc>
      </w:tr>
    </w:tbl>
    <w:p w14:paraId="51EBBCE5" w14:textId="77777777" w:rsidR="007C1ECD" w:rsidRDefault="007C1E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BA6EC9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Error matrix below provides values to calculate the sensitivity, specificity and accuracy of the pulse oximetry against the ankle-brachial index as the standard.</w:t>
      </w:r>
    </w:p>
    <w:p w14:paraId="1A390DCE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7 The cross-tabulation showing the diagnosis of PAD </w:t>
      </w:r>
      <w:r>
        <w:rPr>
          <w:rFonts w:ascii="Times New Roman" w:hAnsi="Times New Roman" w:cs="Times New Roman"/>
          <w:sz w:val="24"/>
          <w:szCs w:val="24"/>
        </w:rPr>
        <w:t>by ABI and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tbl>
      <w:tblPr>
        <w:tblStyle w:val="ckeshowborder"/>
        <w:tblW w:w="10129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117"/>
      </w:tblGrid>
      <w:tr w:rsidR="007C1ECD" w14:paraId="555729A3" w14:textId="77777777">
        <w:tc>
          <w:tcPr>
            <w:tcW w:w="233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19D36A2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5E9D5873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PAD by ABI</w:t>
            </w:r>
          </w:p>
        </w:tc>
      </w:tr>
      <w:tr w:rsidR="007C1ECD" w14:paraId="71C3171A" w14:textId="77777777">
        <w:tc>
          <w:tcPr>
            <w:tcW w:w="233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0BE547B5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75FC9709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Yes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763B1B85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1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549BA2D8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C1ECD" w14:paraId="1A479238" w14:textId="77777777">
        <w:tc>
          <w:tcPr>
            <w:tcW w:w="23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08" w:type="dxa"/>
            </w:tcMar>
          </w:tcPr>
          <w:p w14:paraId="645A2A18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PAD              Yes</w:t>
            </w:r>
          </w:p>
          <w:p w14:paraId="720DB90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by</w:t>
            </w:r>
          </w:p>
          <w:p w14:paraId="13811BD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SpO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No</w:t>
            </w:r>
          </w:p>
          <w:p w14:paraId="5B16B5B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  <w:tcBorders>
              <w:top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13" w:type="dxa"/>
            </w:tcMar>
          </w:tcPr>
          <w:p w14:paraId="1147064E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(TP)</w:t>
            </w:r>
          </w:p>
        </w:tc>
        <w:tc>
          <w:tcPr>
            <w:tcW w:w="233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5" w:type="dxa"/>
              <w:right w:w="108" w:type="dxa"/>
            </w:tcMar>
          </w:tcPr>
          <w:p w14:paraId="6CC98E5D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(FP)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8" w:type="dxa"/>
              <w:left w:w="108" w:type="dxa"/>
              <w:bottom w:w="5" w:type="dxa"/>
              <w:right w:w="113" w:type="dxa"/>
            </w:tcMar>
          </w:tcPr>
          <w:p w14:paraId="0B677030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C1ECD" w14:paraId="35A74102" w14:textId="77777777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vAlign w:val="center"/>
          </w:tcPr>
          <w:p w14:paraId="46C12B56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FFF"/>
            <w:tcMar>
              <w:top w:w="5" w:type="dxa"/>
              <w:left w:w="113" w:type="dxa"/>
              <w:bottom w:w="5" w:type="dxa"/>
              <w:right w:w="113" w:type="dxa"/>
            </w:tcMar>
          </w:tcPr>
          <w:p w14:paraId="7BA85688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tcBorders>
              <w:right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5" w:type="dxa"/>
              <w:right w:w="108" w:type="dxa"/>
            </w:tcMar>
          </w:tcPr>
          <w:p w14:paraId="040CACE0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6" w:space="0" w:color="000000"/>
            </w:tcBorders>
            <w:shd w:val="clear" w:color="auto" w:fill="FFFFFF"/>
            <w:tcMar>
              <w:top w:w="5" w:type="dxa"/>
              <w:left w:w="108" w:type="dxa"/>
              <w:bottom w:w="5" w:type="dxa"/>
              <w:right w:w="113" w:type="dxa"/>
            </w:tcMar>
          </w:tcPr>
          <w:p w14:paraId="7550BE73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ECD" w14:paraId="2DE25AFC" w14:textId="77777777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vAlign w:val="center"/>
          </w:tcPr>
          <w:p w14:paraId="6C75ADA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13" w:type="dxa"/>
            </w:tcMar>
          </w:tcPr>
          <w:p w14:paraId="7995091C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(FN)</w:t>
            </w:r>
          </w:p>
        </w:tc>
        <w:tc>
          <w:tcPr>
            <w:tcW w:w="23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" w:type="dxa"/>
              <w:left w:w="113" w:type="dxa"/>
              <w:bottom w:w="8" w:type="dxa"/>
              <w:right w:w="108" w:type="dxa"/>
            </w:tcMar>
          </w:tcPr>
          <w:p w14:paraId="658B5ECC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(TN)</w:t>
            </w:r>
          </w:p>
        </w:tc>
        <w:tc>
          <w:tcPr>
            <w:tcW w:w="31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5" w:type="dxa"/>
              <w:left w:w="108" w:type="dxa"/>
              <w:bottom w:w="8" w:type="dxa"/>
              <w:right w:w="113" w:type="dxa"/>
            </w:tcMar>
          </w:tcPr>
          <w:p w14:paraId="2EC09A0B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7C1ECD" w14:paraId="1736C9A9" w14:textId="77777777">
        <w:tc>
          <w:tcPr>
            <w:tcW w:w="2337" w:type="dxa"/>
            <w:tcBorders>
              <w:top w:val="single" w:sz="6" w:space="0" w:color="000000"/>
              <w:bottom w:val="single" w:sz="6" w:space="0" w:color="000000"/>
              <w:right w:val="single" w:sz="6" w:space="0" w:color="7F7F7F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08" w:type="dxa"/>
            </w:tcMar>
          </w:tcPr>
          <w:p w14:paraId="5FC937DB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  <w:right w:w="113" w:type="dxa"/>
            </w:tcMar>
          </w:tcPr>
          <w:p w14:paraId="4570C33F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</w:tcMar>
          </w:tcPr>
          <w:p w14:paraId="11FF16F0" w14:textId="77777777" w:rsidR="007C1ECD" w:rsidRDefault="00037C06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8" w:type="dxa"/>
              <w:left w:w="113" w:type="dxa"/>
              <w:bottom w:w="8" w:type="dxa"/>
            </w:tcMar>
          </w:tcPr>
          <w:p w14:paraId="021FC0DF" w14:textId="77777777" w:rsidR="007C1ECD" w:rsidRDefault="007C1ECD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BE3170A" w14:textId="77777777" w:rsidR="007C1ECD" w:rsidRDefault="007C1ECD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</w:p>
    <w:p w14:paraId="41F79F6B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Error matrix above, the sensitivity of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is calculated as true positives (TP)/ true positives + False negatives (FN). Hence, from the table, the sensitivity is 5 / (5 + 16) = 23.81%. Similarly, the specificity is calculated as True negatives (TN)/ True negatives + False positives (FP). Again, fr</w:t>
      </w:r>
      <w:r>
        <w:rPr>
          <w:rFonts w:ascii="Times New Roman" w:hAnsi="Times New Roman" w:cs="Times New Roman"/>
          <w:sz w:val="24"/>
          <w:szCs w:val="24"/>
        </w:rPr>
        <w:t xml:space="preserve">om the table, the specificity is 41/ (41 + 8) = 83.70%. Finally, the accuracy is calculated as TP + TN/ (TP + TN + FP + FN). Hence, from the table the accuracy is (5 + 41)/ (5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+ 41 + 8 + 16) = 65.71%. Summarising, the sensitivity, specificity and accuracy </w:t>
      </w:r>
      <w:r>
        <w:rPr>
          <w:rFonts w:ascii="Times New Roman" w:hAnsi="Times New Roman" w:cs="Times New Roman"/>
          <w:sz w:val="24"/>
          <w:szCs w:val="24"/>
        </w:rPr>
        <w:t>of the pulse oximetry compared to the ABI in diagnosing PAD in diabetic foot ulcers are 23.81%, 83.70% and 65.71%.</w:t>
      </w:r>
    </w:p>
    <w:p w14:paraId="53AB9BF8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significant correlation between the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and ABI among the subjects in this study, r = -.131, p = .284. Figure 4 is a scatterplot</w:t>
      </w:r>
      <w:r>
        <w:rPr>
          <w:rFonts w:ascii="Times New Roman" w:hAnsi="Times New Roman" w:cs="Times New Roman"/>
          <w:sz w:val="24"/>
          <w:szCs w:val="24"/>
        </w:rPr>
        <w:t xml:space="preserve"> showing the values of the two measurements in the pathological leg.</w:t>
      </w:r>
    </w:p>
    <w:p w14:paraId="798B5999" w14:textId="77777777" w:rsidR="007C1ECD" w:rsidRDefault="00037C06">
      <w:pPr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2A34E0" wp14:editId="1C3B2DF3">
            <wp:extent cx="6067425" cy="4181475"/>
            <wp:effectExtent l="0" t="0" r="0" b="0"/>
            <wp:docPr id="100004" name="Picture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Picture 1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940FC" w14:textId="77777777" w:rsidR="007C1ECD" w:rsidRDefault="00037C06">
      <w:pPr>
        <w:spacing w:after="16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4 Scatter plot showing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significant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correlation between the ABI and SpO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23EEDE0" w14:textId="77777777" w:rsidR="007C1ECD" w:rsidRDefault="00037C06">
      <w:pPr>
        <w:pStyle w:val="Heading3"/>
        <w:keepNext w:val="0"/>
        <w:keepLines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14:paraId="43385443" w14:textId="77777777" w:rsidR="007C1ECD" w:rsidRDefault="00037C06">
      <w:pPr>
        <w:pStyle w:val="NormalWeb"/>
        <w:spacing w:line="480" w:lineRule="auto"/>
      </w:pPr>
      <w:r>
        <w:t>Accurate assessment of peripheral arterial disease (PAD) is essential in the management</w:t>
      </w:r>
      <w:r>
        <w:t xml:space="preserve"> of diabetic foot ulcers. However, evidence suggests that training of medical students and junior </w:t>
      </w:r>
      <w:r>
        <w:lastRenderedPageBreak/>
        <w:t xml:space="preserve">doctors in ankle–brachial index (ABI) measurement during early residency is limited, often resulting in unreliable and false measurements⁴⁹. Given that pulse </w:t>
      </w:r>
      <w:r>
        <w:t>oximetry is inexpensive, widely available, and easy to use, this study evaluated its sensitivity and specificity as a screening tool for PAD compared with the time-tested ABI.</w:t>
      </w:r>
    </w:p>
    <w:p w14:paraId="6305566C" w14:textId="77777777" w:rsidR="007C1ECD" w:rsidRDefault="00037C06">
      <w:pPr>
        <w:pStyle w:val="NormalWeb"/>
        <w:spacing w:line="480" w:lineRule="auto"/>
      </w:pPr>
      <w:r>
        <w:t>Seventy subjects completed the study, with a male-to-female ratio of 1.12:1, ind</w:t>
      </w:r>
      <w:r>
        <w:t>icating a slight male preponderance. This finding aligns with other regional studies⁵¹˒⁵² but contrasts with a cross-sectional study conducted at FM Owerri by Patrick Obi et al⁵⁵, which reported a female predominance (63.7%). The discrepancy may be attribu</w:t>
      </w:r>
      <w:r>
        <w:t xml:space="preserve">ted to differences in sample size and study population. While the present study included 70 diabetic patients with foot ulcers, the Owerri study recruited 405 participants comprising type 2 diabetics and non-diabetics without ulcers. The higher proportion </w:t>
      </w:r>
      <w:r>
        <w:t>of males in this study may also reflect greater social activity and trauma exposure among men, which often precedes ulcer formation.</w:t>
      </w:r>
    </w:p>
    <w:p w14:paraId="5ED15409" w14:textId="77777777" w:rsidR="007C1ECD" w:rsidRDefault="00037C06">
      <w:pPr>
        <w:pStyle w:val="NormalWeb"/>
        <w:spacing w:line="480" w:lineRule="auto"/>
      </w:pPr>
      <w:r>
        <w:t>Most participants presented with ulcer duration of less than six weeks, with a mean ulcer duration of 13.55 weeks (Table 3)</w:t>
      </w:r>
      <w:r>
        <w:t>. The mean age was 58.31 years, and the mean duration of diabetes mellitus was 10.46 years. These findings are comparable to those reported by Isiguzo and Jack-Okereke at ESUT Teaching Hospital, who documented a diabetes duration of 10–15 years prior to ul</w:t>
      </w:r>
      <w:r>
        <w:t>cer onset and a mean age of 55.5 years⁵¹. Similar lifestyle patterns in Enugu and Owerri populations may explain these comparable observations.</w:t>
      </w:r>
    </w:p>
    <w:p w14:paraId="1F91BF34" w14:textId="77777777" w:rsidR="007C1ECD" w:rsidRDefault="00037C06">
      <w:pPr>
        <w:pStyle w:val="NormalWeb"/>
        <w:spacing w:line="480" w:lineRule="auto"/>
      </w:pPr>
      <w:r>
        <w:t>Wagner grade II ulcers accounted for the highest frequency (75.0%), consistent with findings by Isiguzo and Jack</w:t>
      </w:r>
      <w:r>
        <w:t>-Okereke and Nyamu et al⁵¹˒⁵². Early presentation may explain this pattern, as patients are more likely to seek prompt medical attention due to the functional importance of the foot.</w:t>
      </w:r>
    </w:p>
    <w:p w14:paraId="3560F0E1" w14:textId="77777777" w:rsidR="007C1ECD" w:rsidRDefault="00037C06">
      <w:pPr>
        <w:pStyle w:val="NormalWeb"/>
        <w:spacing w:line="480" w:lineRule="auto"/>
      </w:pPr>
      <w:r>
        <w:lastRenderedPageBreak/>
        <w:t xml:space="preserve">The mean ABI in the pathological limb was 1.02 compared with 1.00 in the </w:t>
      </w:r>
      <w:r>
        <w:t>contralateral limb. This does not follow the expected trend where ABI values below 0.9 are typically associated with chronic ischemia in long-standing ulcers¹²˒⁴⁵. Medial arterial calcification, which renders vessels incompressible and falsely elevates ABI</w:t>
      </w:r>
      <w:r>
        <w:t xml:space="preserve"> values, may explain this observation. This limitation of ABI has been previously documented³˒²⁴.</w:t>
      </w:r>
    </w:p>
    <w:p w14:paraId="6305AA0C" w14:textId="77777777" w:rsidR="007C1ECD" w:rsidRDefault="00037C06">
      <w:pPr>
        <w:pStyle w:val="NormalWeb"/>
        <w:spacing w:line="480" w:lineRule="auto"/>
      </w:pPr>
      <w:r>
        <w:t>Using ABI &lt; 0.9 as the diagnostic criterion, 30.0% of participants had PAD, whereas pulse oximetry (SpO₂ &lt; 95%) identified 18.6%. However, the Exact McNemar c</w:t>
      </w:r>
      <w:r>
        <w:t>hi-square test demonstrated no statistically significant difference between the two proportions (Table 6). The predominance of early-stage ulcers (Wagner II, 75%) may account for the low sensitivity of pulse oximetry observed. This finding agrees with Jawa</w:t>
      </w:r>
      <w:r>
        <w:t>har et al, who concluded that pulse oximetry is not sensitive for detecting early PAD⁴⁷.</w:t>
      </w:r>
    </w:p>
    <w:p w14:paraId="6B59850B" w14:textId="77777777" w:rsidR="007C1ECD" w:rsidRDefault="00037C06">
      <w:pPr>
        <w:pStyle w:val="NormalWeb"/>
        <w:spacing w:line="480" w:lineRule="auto"/>
      </w:pPr>
      <w:r>
        <w:t xml:space="preserve">The mean SpO₂ was 93.75% in ulcerated limbs and 94.86% in non-ulcerated limbs. The higher oxygen saturation in unaffected limbs is expected, as ulcerated limbs are </w:t>
      </w:r>
      <w:r>
        <w:t>often compromised by infection and ischemia, leading to increased metabolic demand and reduced tissue oxygenation⁵¹. A paired t-test showed no statistically significant difference between ABI values of pathological and non-pathological limbs.</w:t>
      </w:r>
    </w:p>
    <w:p w14:paraId="6451EC68" w14:textId="77777777" w:rsidR="007C1ECD" w:rsidRDefault="00037C06">
      <w:pPr>
        <w:pStyle w:val="NormalWeb"/>
        <w:spacing w:line="480" w:lineRule="auto"/>
      </w:pPr>
      <w:r>
        <w:t xml:space="preserve">Error matrix </w:t>
      </w:r>
      <w:r>
        <w:t xml:space="preserve">analysis revealed a sensitivity of 23.81%, specificity of 83.70%, and overall diagnostic accuracy of 65.71% for pulse oximetry. Similar findings were reported by Javier Ena et al in Spain, with sensitivity of 42.6% and specificity of 77.2%⁴⁸. In contrast, </w:t>
      </w:r>
      <w:r>
        <w:t xml:space="preserve">an Indian study reported that pulse oximetry was comparable to ABI in screening asymptomatic patients¹³. The discrepancy may stem from methodological differences: the Indian study used a finger-toe oxygen saturation difference &gt;2% as a marker of ischemia, </w:t>
      </w:r>
      <w:r>
        <w:t xml:space="preserve">whereas the present study used an </w:t>
      </w:r>
      <w:r>
        <w:lastRenderedPageBreak/>
        <w:t>absolute SpO₂ cutoff of 95%. Differences in sample size and study population may also have contributed.</w:t>
      </w:r>
    </w:p>
    <w:p w14:paraId="35E743E6" w14:textId="77777777" w:rsidR="007C1ECD" w:rsidRDefault="00037C06">
      <w:pPr>
        <w:pStyle w:val="NormalWeb"/>
        <w:spacing w:line="480" w:lineRule="auto"/>
      </w:pPr>
      <w:r>
        <w:t xml:space="preserve">The present findings further align with Jawahar et al⁴⁷ and with Jung-Nam Kwon and </w:t>
      </w:r>
      <w:proofErr w:type="spellStart"/>
      <w:r>
        <w:t>Whan-Bonj</w:t>
      </w:r>
      <w:proofErr w:type="spellEnd"/>
      <w:r>
        <w:t xml:space="preserve"> Lee, who demonstrated low sensitivity (16%) of pulse oximetry when ABI &lt; 0.9 defined PAD, although pulse oximetry correlated better with angiographic findings than with ABI¹⁴. Their reported sensitivity and specificity values (44.4% and 96.1%) approximate</w:t>
      </w:r>
      <w:r>
        <w:t xml:space="preserve"> those observed in this study. No significant correlation was found between pulse oximetry and ABI measurements (Figure 4), consistent with the Korean study findings¹⁴.</w:t>
      </w:r>
    </w:p>
    <w:p w14:paraId="04249A89" w14:textId="77777777" w:rsidR="007C1ECD" w:rsidRDefault="00037C06">
      <w:pPr>
        <w:pStyle w:val="NormalWeb"/>
        <w:spacing w:line="480" w:lineRule="auto"/>
      </w:pPr>
      <w:r>
        <w:t>Medina et al observed no statistically significant differences in SpO₂ distribution acr</w:t>
      </w:r>
      <w:r>
        <w:t>oss ABI categories but suggested that pulse oximetry might be useful in assessing asymptomatic patients with PAD risk factors⁵³. Notably, their study involved asymptomatic non-diabetic subjects, which may explain differences from the present findings. Vari</w:t>
      </w:r>
      <w:r>
        <w:t>ations in study location and sample size may also account for discrepancies.</w:t>
      </w:r>
    </w:p>
    <w:p w14:paraId="0B49344B" w14:textId="77777777" w:rsidR="007C1ECD" w:rsidRDefault="00037C06">
      <w:pPr>
        <w:pStyle w:val="NormalWeb"/>
        <w:spacing w:line="480" w:lineRule="auto"/>
      </w:pPr>
      <w:r>
        <w:t>Similarly, a study conducted at the University of Santo Tomas Hospital in the Philippines reported higher sensitivity of pulse oximetry compared to ABI in diabetic patients aged ≥</w:t>
      </w:r>
      <w:r>
        <w:t>50 years⁵⁰. Methodological differences likely explain the contrasting results. That study restricted participants to those aged ≥50 years (mean age 65.6 years), whereas the present study included individuals aged 18–70 years (mean 58.31 years). Additionall</w:t>
      </w:r>
      <w:r>
        <w:t>y, ABI measurements in the Philippine study were performed by a hired technician of unspecified expertise, and ischemia was defined using a finger-toe saturation difference &gt;2%, unlike the absolute cutoff used here. Geographic and population differences ma</w:t>
      </w:r>
      <w:r>
        <w:t>y also have influenced outcomes.</w:t>
      </w:r>
    </w:p>
    <w:p w14:paraId="1267CF68" w14:textId="77777777" w:rsidR="007C1ECD" w:rsidRDefault="00037C06">
      <w:pPr>
        <w:pStyle w:val="Heading3"/>
        <w:keepNext w:val="0"/>
        <w:keepLines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14:paraId="338C7810" w14:textId="77777777" w:rsidR="007C1ECD" w:rsidRDefault="00037C06">
      <w:pPr>
        <w:pStyle w:val="NormalWeb"/>
        <w:spacing w:line="480" w:lineRule="auto"/>
      </w:pPr>
      <w:r>
        <w:lastRenderedPageBreak/>
        <w:t>This study demonstrates that pulse oximetry has low sensitivity compared with ABI in detecting ischemia among diabetics with foot ulcers. With a sensitivity of 23.81%, pulse oximetry does not meet the fundamental</w:t>
      </w:r>
      <w:r>
        <w:t xml:space="preserve"> requirement of high sensitivity expected of an effective screening tool. Therefore, it may not be suitable as a standalone screening modality for PAD in this patient population.</w:t>
      </w:r>
    </w:p>
    <w:p w14:paraId="2EE6C8E4" w14:textId="77777777" w:rsidR="007C1ECD" w:rsidRDefault="007C1ECD">
      <w:pPr>
        <w:widowControl w:val="0"/>
        <w:spacing w:before="52" w:line="480" w:lineRule="auto"/>
        <w:ind w:left="171" w:right="242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5ACD1" w14:textId="77777777" w:rsidR="007C1ECD" w:rsidRDefault="007C1ECD">
      <w:pPr>
        <w:widowControl w:val="0"/>
        <w:spacing w:before="52" w:line="480" w:lineRule="auto"/>
        <w:ind w:left="171" w:right="242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3AD88" w14:textId="77777777" w:rsidR="007C1ECD" w:rsidRDefault="00037C06">
      <w:pPr>
        <w:spacing w:before="155" w:line="18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REFERENCES</w:t>
      </w:r>
    </w:p>
    <w:p w14:paraId="221531EB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 Hennion RD, Siano KA. Diagnosis and treatment of peripheral art</w:t>
      </w:r>
      <w:r>
        <w:t>erial disease. Am Fam Physician. 2013;88(5):306–310.</w:t>
      </w:r>
    </w:p>
    <w:p w14:paraId="2228D35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 Sontheimer DL. Peripheral vascular disease: diagnosis and treatment. Am Fam Physician. 2006;73(11):1971–1976.</w:t>
      </w:r>
    </w:p>
    <w:p w14:paraId="1340C20B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Rabia K, Khoo EM. Is the Edinburgh Claudication Questionnaire a good screening tool for dete</w:t>
      </w:r>
      <w:r>
        <w:t>ction of peripheral arterial disease in diabetic patients? 2007;6(1).</w:t>
      </w:r>
    </w:p>
    <w:p w14:paraId="3660E921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Boras J. Peripheral arterial disease education. Intern Med News. 2009;39(21):45.</w:t>
      </w:r>
    </w:p>
    <w:p w14:paraId="3EDC5541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Morley RL, Sharma A, Horsch AD, Hinchliffe RJ. Peripheral arterial disease. BMJ. 2018;</w:t>
      </w:r>
      <w:proofErr w:type="gramStart"/>
      <w:r>
        <w:t>360:k</w:t>
      </w:r>
      <w:proofErr w:type="gramEnd"/>
      <w:r>
        <w:t>5842.</w:t>
      </w:r>
    </w:p>
    <w:p w14:paraId="25BF7648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Guirguis</w:t>
      </w:r>
      <w:r>
        <w:t xml:space="preserve">-Blake JM, Evans CV, Redmond N, Lin JS. Screening for peripheral artery disease using the ankle-brachial index: updated evidence </w:t>
      </w:r>
      <w:proofErr w:type="gramStart"/>
      <w:r>
        <w:t>report</w:t>
      </w:r>
      <w:proofErr w:type="gramEnd"/>
      <w:r>
        <w:t xml:space="preserve"> and systematic review for the US Preventive Services Task Force. JAMA. 2018;320(2):184–196.</w:t>
      </w:r>
    </w:p>
    <w:p w14:paraId="3D296F90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Bendermacher</w:t>
      </w:r>
      <w:proofErr w:type="spellEnd"/>
      <w:r>
        <w:t xml:space="preserve"> BLW, </w:t>
      </w:r>
      <w:proofErr w:type="spellStart"/>
      <w:r>
        <w:t>Teijink</w:t>
      </w:r>
      <w:proofErr w:type="spellEnd"/>
      <w:r>
        <w:t xml:space="preserve"> JA</w:t>
      </w:r>
      <w:r>
        <w:t xml:space="preserve">W, </w:t>
      </w:r>
      <w:proofErr w:type="spellStart"/>
      <w:r>
        <w:t>Willigendael</w:t>
      </w:r>
      <w:proofErr w:type="spellEnd"/>
      <w:r>
        <w:t xml:space="preserve"> EM, </w:t>
      </w:r>
      <w:proofErr w:type="spellStart"/>
      <w:r>
        <w:t>Bartelink</w:t>
      </w:r>
      <w:proofErr w:type="spellEnd"/>
      <w:r>
        <w:t xml:space="preserve"> ML, Peters RJG, Büller HR, et al. A clinical prediction model for the presence of peripheral arterial disease—the benefit of </w:t>
      </w:r>
      <w:r>
        <w:lastRenderedPageBreak/>
        <w:t xml:space="preserve">screening individuals before initiation of ankle-brachial index measurement. </w:t>
      </w:r>
      <w:proofErr w:type="spellStart"/>
      <w:r>
        <w:t>Vasc</w:t>
      </w:r>
      <w:proofErr w:type="spellEnd"/>
      <w:r>
        <w:t xml:space="preserve"> Med. 2007;12(1):5–1</w:t>
      </w:r>
      <w:r>
        <w:t>1.</w:t>
      </w:r>
    </w:p>
    <w:p w14:paraId="79A9C51F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 Mwebaze RM, Kibirige D. Peripheral arterial disease among adult diabetic patients attending a large outpatient diabetic clinic at a national referral hospital in Uganda: a descriptive cross-sectional study. </w:t>
      </w:r>
      <w:proofErr w:type="spellStart"/>
      <w:r>
        <w:t>PLoS</w:t>
      </w:r>
      <w:proofErr w:type="spellEnd"/>
      <w:r>
        <w:t xml:space="preserve"> One. 2014;9(8</w:t>
      </w:r>
      <w:proofErr w:type="gramStart"/>
      <w:r>
        <w:t>):e</w:t>
      </w:r>
      <w:proofErr w:type="gramEnd"/>
      <w:r>
        <w:t>105211.</w:t>
      </w:r>
    </w:p>
    <w:p w14:paraId="00FC1FFD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Mañas</w:t>
      </w:r>
      <w:proofErr w:type="spellEnd"/>
      <w:r>
        <w:t xml:space="preserve"> LR, </w:t>
      </w:r>
      <w:proofErr w:type="spellStart"/>
      <w:r>
        <w:t>Bouzon</w:t>
      </w:r>
      <w:proofErr w:type="spellEnd"/>
      <w:r>
        <w:t xml:space="preserve"> CA, Rodríguez MC. Peripheral arterial disease in old people with diabetes. Diabetes Old Age. 2009;26(12):39–49.</w:t>
      </w:r>
    </w:p>
    <w:p w14:paraId="6363EBC6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Shammas NW. Epidemiology, classification, and modifiable risk factors of peripheral arterial disease. </w:t>
      </w:r>
      <w:proofErr w:type="spellStart"/>
      <w:r>
        <w:t>Vasc</w:t>
      </w:r>
      <w:proofErr w:type="spellEnd"/>
      <w:r>
        <w:t xml:space="preserve"> Health Risk </w:t>
      </w:r>
      <w:proofErr w:type="spellStart"/>
      <w:r>
        <w:t>Manag</w:t>
      </w:r>
      <w:proofErr w:type="spellEnd"/>
      <w:r>
        <w:t>. 2007;3(2):229–234</w:t>
      </w:r>
      <w:r>
        <w:t>.</w:t>
      </w:r>
    </w:p>
    <w:p w14:paraId="0B58F3FC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Singh N, Armstrong DG, Lipsky BA. Preventing foot ulcers in patients with diabetes. Aust </w:t>
      </w:r>
      <w:proofErr w:type="spellStart"/>
      <w:r>
        <w:t>Prescr</w:t>
      </w:r>
      <w:proofErr w:type="spellEnd"/>
      <w:r>
        <w:t>. 2008;31(4):94–96.</w:t>
      </w:r>
    </w:p>
    <w:p w14:paraId="6E94BC7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Yakubu PD, Khanna NN, Bakari AG, Garko SB, Abubakar AB. Assessment of predictors and prevalence of peripheral artery disease among type 2 d</w:t>
      </w:r>
      <w:r>
        <w:t xml:space="preserve">iabetic patients in Zaria, Northern Nigeria. Int J Clin </w:t>
      </w:r>
      <w:proofErr w:type="spellStart"/>
      <w:r>
        <w:t>Cardiol</w:t>
      </w:r>
      <w:proofErr w:type="spellEnd"/>
      <w:r>
        <w:t xml:space="preserve"> Res. 2018;2(1):8–13.</w:t>
      </w:r>
    </w:p>
    <w:p w14:paraId="5B0E6091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Kumar MS, </w:t>
      </w:r>
      <w:proofErr w:type="spellStart"/>
      <w:r>
        <w:t>Lohiya</w:t>
      </w:r>
      <w:proofErr w:type="spellEnd"/>
      <w:r>
        <w:t xml:space="preserve"> A, Ramesh V, Behera P. Sensitivity and specificity of pulse oximetry and ankle-brachial index for screening asymptomatic peripheral vascular disease in ty</w:t>
      </w:r>
      <w:r>
        <w:t>pe 2 diabetes mellitus. J Family Med Prim Care. 2016;5(1):38–43.</w:t>
      </w:r>
    </w:p>
    <w:p w14:paraId="519B7DF4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Kwon JN, Lee WB. Utility of digital pulse oximetry in the screening of lower extremity arterial disease. J Korean Surg Soc. 2012;82(2):94–100.</w:t>
      </w:r>
    </w:p>
    <w:p w14:paraId="553BED54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Deedwania</w:t>
      </w:r>
      <w:proofErr w:type="spellEnd"/>
      <w:r>
        <w:t xml:space="preserve"> P, Srikanth S. Diabetes and vascular disease. Expert Rev Cardiovasc Ther. 2008;6(1):127–138.</w:t>
      </w:r>
    </w:p>
    <w:p w14:paraId="770C9ABC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Hirsch AT, Treat-Jacobson D, Krook SH, Hunninghake DB, </w:t>
      </w:r>
      <w:proofErr w:type="spellStart"/>
      <w:r>
        <w:t>Criqui</w:t>
      </w:r>
      <w:proofErr w:type="spellEnd"/>
      <w:r>
        <w:t xml:space="preserve"> MH, </w:t>
      </w:r>
      <w:proofErr w:type="spellStart"/>
      <w:r>
        <w:t>Regensteiner</w:t>
      </w:r>
      <w:proofErr w:type="spellEnd"/>
      <w:r>
        <w:t xml:space="preserve"> JG, et al. Peripheral arterial disease detection, awareness, and treatment in prima</w:t>
      </w:r>
      <w:r>
        <w:t>ry care. JAMA. 2001;286(11):1317–1324.</w:t>
      </w:r>
    </w:p>
    <w:p w14:paraId="39991BBA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lastRenderedPageBreak/>
        <w:t>Codjo</w:t>
      </w:r>
      <w:proofErr w:type="spellEnd"/>
      <w:r>
        <w:t xml:space="preserve"> HL, </w:t>
      </w:r>
      <w:proofErr w:type="spellStart"/>
      <w:r>
        <w:t>Sonou</w:t>
      </w:r>
      <w:proofErr w:type="spellEnd"/>
      <w:r>
        <w:t xml:space="preserve"> A, </w:t>
      </w:r>
      <w:proofErr w:type="spellStart"/>
      <w:r>
        <w:t>Wanvoegbe</w:t>
      </w:r>
      <w:proofErr w:type="spellEnd"/>
      <w:r>
        <w:t xml:space="preserve"> A. Epidemiology of peripheral artery disease of lower limbs among workers in Cotonou in 2013. Clin Res Foot Ankle. 2017;5(2):2–7.</w:t>
      </w:r>
    </w:p>
    <w:p w14:paraId="41C98B1B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Kumar A, Mash B, Reid G. Peripheral arterial disease: high</w:t>
      </w:r>
      <w:r>
        <w:t xml:space="preserve"> prevalence in rural black South Africans. S </w:t>
      </w:r>
      <w:proofErr w:type="spellStart"/>
      <w:r>
        <w:t>Afr</w:t>
      </w:r>
      <w:proofErr w:type="spellEnd"/>
      <w:r>
        <w:t xml:space="preserve"> Med J. 2007;97(4):285–286.</w:t>
      </w:r>
    </w:p>
    <w:p w14:paraId="6BEA712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Rabia K, Khoo EM. Prevalence of peripheral arterial disease in patients with diabetes mellitus in a primary care setting. Med J Malaysia. 2007;62(2):130–133.</w:t>
      </w:r>
    </w:p>
    <w:p w14:paraId="1C04106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Hirsch AT, Criqui MH, </w:t>
      </w:r>
      <w:r>
        <w:t xml:space="preserve">Treat-Jacobson D, </w:t>
      </w:r>
      <w:proofErr w:type="spellStart"/>
      <w:r>
        <w:t>Regensteiner</w:t>
      </w:r>
      <w:proofErr w:type="spellEnd"/>
      <w:r>
        <w:t xml:space="preserve"> JG, Creager MA, Olin JW, et al. Peripheral arterial disease detection, awareness, and treatment in primary care. JAMA. 2001;286(11):1317–1324.</w:t>
      </w:r>
    </w:p>
    <w:p w14:paraId="62F53506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Davies JH, </w:t>
      </w:r>
      <w:proofErr w:type="spellStart"/>
      <w:r>
        <w:t>Kenkre</w:t>
      </w:r>
      <w:proofErr w:type="spellEnd"/>
      <w:r>
        <w:t xml:space="preserve"> JE, Williams EM. Current utility of the ankle-brachial index (AB</w:t>
      </w:r>
      <w:r>
        <w:t xml:space="preserve">I) in general practice: implications for its use in cardiovascular disease screening. BMC Fam </w:t>
      </w:r>
      <w:proofErr w:type="spellStart"/>
      <w:r>
        <w:t>Pract</w:t>
      </w:r>
      <w:proofErr w:type="spellEnd"/>
      <w:r>
        <w:t xml:space="preserve">. </w:t>
      </w:r>
      <w:proofErr w:type="gramStart"/>
      <w:r>
        <w:t>2014;15:69</w:t>
      </w:r>
      <w:proofErr w:type="gramEnd"/>
      <w:r>
        <w:t>.</w:t>
      </w:r>
    </w:p>
    <w:p w14:paraId="7400149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Aboleineen</w:t>
      </w:r>
      <w:proofErr w:type="spellEnd"/>
      <w:r>
        <w:t xml:space="preserve"> MW, Mahfouz RA, Moustapha TM, et al. Pattern of peripheral arterial disease in diabetic and non-diabetic patients: association and r</w:t>
      </w:r>
      <w:r>
        <w:t>isk correlation. Zagazig Univ Med J. 2020;26(3).</w:t>
      </w:r>
    </w:p>
    <w:p w14:paraId="42222CBC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Creager MA, Luscher TF, Cosentino F, Beckman JA. Diabetes and vascular disease: pathophysiology, clinical consequences, and medical therapy: Part I. Circulation. 2003;108(12):1527–1532.</w:t>
      </w:r>
    </w:p>
    <w:p w14:paraId="341B0057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Attinger CE, Edmonds </w:t>
      </w:r>
      <w:r>
        <w:t>M, Januzzi JL. Peripheral arterial disease in people with diabetes. Diabetes Care. 2003;26(12):3333–3341.</w:t>
      </w:r>
    </w:p>
    <w:p w14:paraId="0AE8CD7E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Abdulhannan P, Russell DA, Homer-</w:t>
      </w:r>
      <w:proofErr w:type="spellStart"/>
      <w:r>
        <w:t>Vanniasinkam</w:t>
      </w:r>
      <w:proofErr w:type="spellEnd"/>
      <w:r>
        <w:t xml:space="preserve"> S. Peripheral arterial disease: a literature review. Br Med Bull. </w:t>
      </w:r>
      <w:proofErr w:type="gramStart"/>
      <w:r>
        <w:t>2012;104:21</w:t>
      </w:r>
      <w:proofErr w:type="gramEnd"/>
      <w:r>
        <w:t>–39.</w:t>
      </w:r>
    </w:p>
    <w:p w14:paraId="202023FB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Tyagi A, Lavanya S, Pr</w:t>
      </w:r>
      <w:r>
        <w:t>asad GH. A clinical study of peripheral vascular disease due to atherosclerosis in diabetic foot infections. Int Surg J. 2018;5(3):931–936.</w:t>
      </w:r>
    </w:p>
    <w:p w14:paraId="0C11196C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lastRenderedPageBreak/>
        <w:t>Faglia</w:t>
      </w:r>
      <w:proofErr w:type="spellEnd"/>
      <w:r>
        <w:t xml:space="preserve"> E. Characteristics of peripheral arterial disease and its relevance to the diabetic population. Int J Low </w:t>
      </w:r>
      <w:proofErr w:type="spellStart"/>
      <w:r>
        <w:t>Ext</w:t>
      </w:r>
      <w:r>
        <w:t>rem</w:t>
      </w:r>
      <w:proofErr w:type="spellEnd"/>
      <w:r>
        <w:t xml:space="preserve"> Wounds. 2011;10(1):11–18.</w:t>
      </w:r>
    </w:p>
    <w:p w14:paraId="0708F16C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Boulton AJM, Armstrong DG, Kirsner RS, Attinger CE, Lavery LA, Lipsky BA, et al. Diagnosis and management of diabetic foot complications. Diabetes </w:t>
      </w:r>
      <w:proofErr w:type="spellStart"/>
      <w:r>
        <w:t>Metab</w:t>
      </w:r>
      <w:proofErr w:type="spellEnd"/>
      <w:r>
        <w:t xml:space="preserve"> Res Rev. 2018;34(Suppl 1</w:t>
      </w:r>
      <w:proofErr w:type="gramStart"/>
      <w:r>
        <w:t>):e</w:t>
      </w:r>
      <w:proofErr w:type="gramEnd"/>
      <w:r>
        <w:t>3266.</w:t>
      </w:r>
    </w:p>
    <w:p w14:paraId="7D225DA6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Armstrong DG, Boulton AJM, Bus SA. Diabetic foot ulcers and their recurrence. N Engl J Med. </w:t>
      </w:r>
      <w:proofErr w:type="gramStart"/>
      <w:r>
        <w:t>2017;376:2367</w:t>
      </w:r>
      <w:proofErr w:type="gramEnd"/>
      <w:r>
        <w:t>–2375.</w:t>
      </w:r>
    </w:p>
    <w:p w14:paraId="2A6FA9F5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Mavrogenis</w:t>
      </w:r>
      <w:proofErr w:type="spellEnd"/>
      <w:r>
        <w:t xml:space="preserve"> AF, Antoniadou T, </w:t>
      </w:r>
      <w:proofErr w:type="spellStart"/>
      <w:r>
        <w:t>Dimopoulos</w:t>
      </w:r>
      <w:proofErr w:type="spellEnd"/>
      <w:r>
        <w:t xml:space="preserve"> L, </w:t>
      </w:r>
      <w:proofErr w:type="spellStart"/>
      <w:r>
        <w:t>Sfyroeras</w:t>
      </w:r>
      <w:proofErr w:type="spellEnd"/>
      <w:r>
        <w:t xml:space="preserve"> GS, </w:t>
      </w:r>
      <w:proofErr w:type="spellStart"/>
      <w:r>
        <w:t>Lazaris</w:t>
      </w:r>
      <w:proofErr w:type="spellEnd"/>
      <w:r>
        <w:t xml:space="preserve"> A. Current concepts for the evaluation and management of diabetic foot ulcers. </w:t>
      </w:r>
      <w:r>
        <w:t>Foot Ankle Surg. 2018;24(4):296–302.</w:t>
      </w:r>
    </w:p>
    <w:p w14:paraId="18D7F133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Muduli</w:t>
      </w:r>
      <w:proofErr w:type="spellEnd"/>
      <w:r>
        <w:t xml:space="preserve"> IC, </w:t>
      </w:r>
      <w:proofErr w:type="spellStart"/>
      <w:r>
        <w:t>Padhy</w:t>
      </w:r>
      <w:proofErr w:type="spellEnd"/>
      <w:r>
        <w:t xml:space="preserve"> A, Panda C, Behera NC. Diabetic foot ulcer complications and its management—a medical college-based descriptive study in Odisha, an eastern state of India. Indian J Surg. 2015;77(Suppl 2):270–274.</w:t>
      </w:r>
    </w:p>
    <w:p w14:paraId="2F4CF92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Pakar</w:t>
      </w:r>
      <w:r>
        <w:t xml:space="preserve"> H, Nur A. The psychological impact of diabetic limb problems. </w:t>
      </w:r>
      <w:proofErr w:type="gramStart"/>
      <w:r>
        <w:t>2015;3410:3</w:t>
      </w:r>
      <w:proofErr w:type="gramEnd"/>
      <w:r>
        <w:t>–8.</w:t>
      </w:r>
    </w:p>
    <w:p w14:paraId="36FF663F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Dada M, </w:t>
      </w:r>
      <w:proofErr w:type="spellStart"/>
      <w:r>
        <w:t>Awoyomi</w:t>
      </w:r>
      <w:proofErr w:type="spellEnd"/>
      <w:r>
        <w:t xml:space="preserve"> B. Is the trend of amputations in Nigeria changing? A review of 51 consecutive cases seen at Federal Medical Centre, Ebute Metta, Lagos, Nigeria. Niger Med J. 201</w:t>
      </w:r>
      <w:r>
        <w:t>8;51(4):167–169.</w:t>
      </w:r>
    </w:p>
    <w:p w14:paraId="7F025C3E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Zhang P, Lu J, Jing Y, Tang S, Zhu D, Bi Y. Global epidemiology of diabetic foot ulceration: a systematic review and meta-analysis. Ann Med. 2017;49(2):106–116.</w:t>
      </w:r>
    </w:p>
    <w:p w14:paraId="1899C32B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Waters N, Holloway S. Personal perceptions of the impact of diabetic foot dise</w:t>
      </w:r>
      <w:r>
        <w:t xml:space="preserve">ase on employment. </w:t>
      </w:r>
      <w:proofErr w:type="spellStart"/>
      <w:r>
        <w:t>Diabet</w:t>
      </w:r>
      <w:proofErr w:type="spellEnd"/>
      <w:r>
        <w:t xml:space="preserve"> Foot J. 2013;16(2):76–80.</w:t>
      </w:r>
    </w:p>
    <w:p w14:paraId="5DE0F9D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Price P. The diabetic foot: quality of life. Clin Infect Dis. 2004;39(Suppl 2</w:t>
      </w:r>
      <w:proofErr w:type="gramStart"/>
      <w:r>
        <w:t>):S</w:t>
      </w:r>
      <w:proofErr w:type="gramEnd"/>
      <w:r>
        <w:t>129–S131.</w:t>
      </w:r>
    </w:p>
    <w:p w14:paraId="1ADDE0A3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Reiber GE, McFarland LV, Rieber GE. Epidemiology and health care costs for diabetic foot problems. 2007.</w:t>
      </w:r>
    </w:p>
    <w:p w14:paraId="4CFF88C8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lastRenderedPageBreak/>
        <w:t>Frederiks</w:t>
      </w:r>
      <w:r>
        <w:t xml:space="preserve"> JP, Uys OT, Roux US. The rehabilitation </w:t>
      </w:r>
      <w:proofErr w:type="spellStart"/>
      <w:r>
        <w:t>programme</w:t>
      </w:r>
      <w:proofErr w:type="spellEnd"/>
      <w:r>
        <w:t xml:space="preserve"> and functional outcomes of persons with lower limb amputations at a primary level rehabilitation </w:t>
      </w:r>
      <w:proofErr w:type="spellStart"/>
      <w:r>
        <w:t>centre</w:t>
      </w:r>
      <w:proofErr w:type="spellEnd"/>
      <w:r>
        <w:t xml:space="preserve">. S </w:t>
      </w:r>
      <w:proofErr w:type="spellStart"/>
      <w:r>
        <w:t>Afr</w:t>
      </w:r>
      <w:proofErr w:type="spellEnd"/>
      <w:r>
        <w:t xml:space="preserve"> J </w:t>
      </w:r>
      <w:proofErr w:type="spellStart"/>
      <w:r>
        <w:t>Physiother</w:t>
      </w:r>
      <w:proofErr w:type="spellEnd"/>
      <w:r>
        <w:t>. 2013;43(3):10–16.</w:t>
      </w:r>
    </w:p>
    <w:p w14:paraId="022F4A0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Atsma</w:t>
      </w:r>
      <w:proofErr w:type="spellEnd"/>
      <w:r>
        <w:t xml:space="preserve"> F, </w:t>
      </w:r>
      <w:proofErr w:type="spellStart"/>
      <w:r>
        <w:t>Bartelink</w:t>
      </w:r>
      <w:proofErr w:type="spellEnd"/>
      <w:r>
        <w:t xml:space="preserve"> MEL, </w:t>
      </w:r>
      <w:proofErr w:type="spellStart"/>
      <w:r>
        <w:t>Grobbee</w:t>
      </w:r>
      <w:proofErr w:type="spellEnd"/>
      <w:r>
        <w:t xml:space="preserve"> DE, van der Schouw YT. Best re</w:t>
      </w:r>
      <w:r>
        <w:t xml:space="preserve">producibility of the ankle-arm index calculated using Doppler and dividing highest ankle pressure by highest arm pressure. Eur J </w:t>
      </w:r>
      <w:proofErr w:type="spellStart"/>
      <w:r>
        <w:t>Vasc</w:t>
      </w:r>
      <w:proofErr w:type="spellEnd"/>
      <w:r>
        <w:t xml:space="preserve"> </w:t>
      </w:r>
      <w:proofErr w:type="spellStart"/>
      <w:r>
        <w:t>Endovasc</w:t>
      </w:r>
      <w:proofErr w:type="spellEnd"/>
      <w:r>
        <w:t xml:space="preserve"> Surg. </w:t>
      </w:r>
      <w:proofErr w:type="gramStart"/>
      <w:r>
        <w:t>2005;58:1282</w:t>
      </w:r>
      <w:proofErr w:type="gramEnd"/>
      <w:r>
        <w:t>–1288.</w:t>
      </w:r>
    </w:p>
    <w:p w14:paraId="6B36F10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Chan ED, Chan MM, Chan MM. Pulse oximetry: understanding its basic principles facilitate</w:t>
      </w:r>
      <w:r>
        <w:t>s appreciation of its limitations. Respir Med. 2013;107(6):789–799.</w:t>
      </w:r>
    </w:p>
    <w:p w14:paraId="35C9DCF6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Ignjatović N, </w:t>
      </w:r>
      <w:proofErr w:type="spellStart"/>
      <w:r>
        <w:t>Vasiljević</w:t>
      </w:r>
      <w:proofErr w:type="spellEnd"/>
      <w:r>
        <w:t xml:space="preserve"> M, </w:t>
      </w:r>
      <w:proofErr w:type="spellStart"/>
      <w:r>
        <w:t>Milić</w:t>
      </w:r>
      <w:proofErr w:type="spellEnd"/>
      <w:r>
        <w:t xml:space="preserve"> D, Stefanović J, </w:t>
      </w:r>
      <w:proofErr w:type="spellStart"/>
      <w:r>
        <w:t>Stojanović</w:t>
      </w:r>
      <w:proofErr w:type="spellEnd"/>
      <w:r>
        <w:t xml:space="preserve"> M, </w:t>
      </w:r>
      <w:proofErr w:type="spellStart"/>
      <w:r>
        <w:t>Karanikolić</w:t>
      </w:r>
      <w:proofErr w:type="spellEnd"/>
      <w:r>
        <w:t xml:space="preserve"> A, et al. Diagnostic importance of pulse oximetry in the determination of the stage of chronic arterial insuffi</w:t>
      </w:r>
      <w:r>
        <w:t xml:space="preserve">ciency of lower extremities. </w:t>
      </w:r>
      <w:proofErr w:type="spellStart"/>
      <w:r>
        <w:t>Srp</w:t>
      </w:r>
      <w:proofErr w:type="spellEnd"/>
      <w:r>
        <w:t xml:space="preserve"> </w:t>
      </w:r>
      <w:proofErr w:type="spellStart"/>
      <w:r>
        <w:t>Arh</w:t>
      </w:r>
      <w:proofErr w:type="spellEnd"/>
      <w:r>
        <w:t xml:space="preserve"> </w:t>
      </w:r>
      <w:proofErr w:type="spellStart"/>
      <w:r>
        <w:t>Celok</w:t>
      </w:r>
      <w:proofErr w:type="spellEnd"/>
      <w:r>
        <w:t xml:space="preserve"> </w:t>
      </w:r>
      <w:proofErr w:type="spellStart"/>
      <w:r>
        <w:t>Lek</w:t>
      </w:r>
      <w:proofErr w:type="spellEnd"/>
      <w:r>
        <w:t>. 2010;138(5–6):300–304.</w:t>
      </w:r>
    </w:p>
    <w:p w14:paraId="1C2E892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proofErr w:type="spellStart"/>
      <w:r>
        <w:t>Špan</w:t>
      </w:r>
      <w:proofErr w:type="spellEnd"/>
      <w:r>
        <w:t xml:space="preserve"> M, </w:t>
      </w:r>
      <w:proofErr w:type="spellStart"/>
      <w:r>
        <w:t>Geršak</w:t>
      </w:r>
      <w:proofErr w:type="spellEnd"/>
      <w:r>
        <w:t xml:space="preserve"> G, </w:t>
      </w:r>
      <w:proofErr w:type="spellStart"/>
      <w:r>
        <w:t>Meža</w:t>
      </w:r>
      <w:proofErr w:type="spellEnd"/>
      <w:r>
        <w:t xml:space="preserve"> M, </w:t>
      </w:r>
      <w:proofErr w:type="spellStart"/>
      <w:r>
        <w:t>Košir</w:t>
      </w:r>
      <w:proofErr w:type="spellEnd"/>
      <w:r>
        <w:t xml:space="preserve"> A. Comparison of Doppler probe method and </w:t>
      </w:r>
      <w:proofErr w:type="spellStart"/>
      <w:r>
        <w:t>oscillometric</w:t>
      </w:r>
      <w:proofErr w:type="spellEnd"/>
      <w:r>
        <w:t xml:space="preserve"> method in determining ankle-brachial index. 2008;1–8.</w:t>
      </w:r>
    </w:p>
    <w:p w14:paraId="404FA6EE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Guirguis-Blake JM, Evans CV, Redmond N, Lin JS. Screening for peripheral artery disease using the ankle-brachial index: updated evidence </w:t>
      </w:r>
      <w:proofErr w:type="gramStart"/>
      <w:r>
        <w:t>report</w:t>
      </w:r>
      <w:proofErr w:type="gramEnd"/>
      <w:r>
        <w:t xml:space="preserve"> for the US Preventive Services Task Force. JAMA. 2018;320(2):184–196.</w:t>
      </w:r>
    </w:p>
    <w:p w14:paraId="4AC3E089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Caruana MF, Bradbury AW, Adam DJ. The vali</w:t>
      </w:r>
      <w:r>
        <w:t xml:space="preserve">dity, reliability, reproducibility, and extended utility of ankle to brachial pressure index in current vascular surgical practice. Eur J </w:t>
      </w:r>
      <w:proofErr w:type="spellStart"/>
      <w:r>
        <w:t>Vasc</w:t>
      </w:r>
      <w:proofErr w:type="spellEnd"/>
      <w:r>
        <w:t xml:space="preserve"> </w:t>
      </w:r>
      <w:proofErr w:type="spellStart"/>
      <w:r>
        <w:t>Endovasc</w:t>
      </w:r>
      <w:proofErr w:type="spellEnd"/>
      <w:r>
        <w:t xml:space="preserve"> Surg. </w:t>
      </w:r>
      <w:proofErr w:type="gramStart"/>
      <w:r>
        <w:t>2005;29:443</w:t>
      </w:r>
      <w:proofErr w:type="gramEnd"/>
      <w:r>
        <w:t>–451.</w:t>
      </w:r>
    </w:p>
    <w:p w14:paraId="5789CD12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 xml:space="preserve">Ikem RT, Adebayo OJ, </w:t>
      </w:r>
      <w:proofErr w:type="spellStart"/>
      <w:r>
        <w:t>Soyoye</w:t>
      </w:r>
      <w:proofErr w:type="spellEnd"/>
      <w:r>
        <w:t xml:space="preserve"> DO. An assessment of peripheral vascular disease in p</w:t>
      </w:r>
      <w:r>
        <w:t>atients with diabetic foot ulcer. Foot (Edinb). 2010;20(4):114–117.</w:t>
      </w:r>
    </w:p>
    <w:p w14:paraId="5C8D1B8E" w14:textId="77777777" w:rsidR="007C1ECD" w:rsidRDefault="00037C06">
      <w:pPr>
        <w:pStyle w:val="NormalWeb"/>
        <w:numPr>
          <w:ilvl w:val="0"/>
          <w:numId w:val="3"/>
        </w:numPr>
        <w:spacing w:line="480" w:lineRule="auto"/>
      </w:pPr>
      <w:r>
        <w:t>World Health Organization. Pulse oximetry training manual. Geneva: WHO; 2011. p. 7–24.</w:t>
      </w:r>
    </w:p>
    <w:p w14:paraId="2C6705A2" w14:textId="77777777" w:rsidR="007C1ECD" w:rsidRDefault="00037C06">
      <w:pPr>
        <w:pStyle w:val="NormalWeb"/>
        <w:numPr>
          <w:ilvl w:val="0"/>
          <w:numId w:val="3"/>
        </w:numPr>
        <w:spacing w:line="480" w:lineRule="auto"/>
        <w:rPr>
          <w:rFonts w:eastAsia="Times New Roman"/>
          <w:color w:val="000000"/>
        </w:rPr>
      </w:pPr>
      <w:r>
        <w:t>Jawahar D, Rachamalla HR, et al. Role of pulse oximetry in evaluation of peripheral arterial disease.</w:t>
      </w:r>
      <w:r>
        <w:t xml:space="preserve"> Angiology. 1997;48(8):721–724</w:t>
      </w:r>
    </w:p>
    <w:p w14:paraId="074FD2AD" w14:textId="77777777" w:rsidR="007C1ECD" w:rsidRDefault="00037C06">
      <w:pPr>
        <w:spacing w:before="70" w:line="19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48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Javier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pocket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pulse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oximeter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detecting peripheral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arterial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</w:p>
    <w:p w14:paraId="1C51DA84" w14:textId="77777777" w:rsidR="007C1ECD" w:rsidRDefault="007C1ECD">
      <w:pPr>
        <w:spacing w:line="263" w:lineRule="auto"/>
        <w:rPr>
          <w:sz w:val="21"/>
        </w:rPr>
      </w:pPr>
    </w:p>
    <w:p w14:paraId="0B38BF1E" w14:textId="77777777" w:rsidR="007C1ECD" w:rsidRDefault="00037C06">
      <w:pPr>
        <w:spacing w:before="70" w:line="190" w:lineRule="auto"/>
        <w:ind w:left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diabetes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ellitus.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2013:Vol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79-85.</w:t>
      </w:r>
    </w:p>
    <w:p w14:paraId="1B08881D" w14:textId="77777777" w:rsidR="007C1ECD" w:rsidRDefault="007C1ECD">
      <w:pPr>
        <w:spacing w:line="262" w:lineRule="auto"/>
        <w:rPr>
          <w:sz w:val="21"/>
        </w:rPr>
      </w:pPr>
    </w:p>
    <w:p w14:paraId="315A8C70" w14:textId="77777777" w:rsidR="007C1ECD" w:rsidRDefault="00037C06">
      <w:pPr>
        <w:spacing w:before="69" w:line="482" w:lineRule="auto"/>
        <w:ind w:left="458" w:right="5" w:hanging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Efstratios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Georgakerakos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al.Training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measure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Ankle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Brachial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graduate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level:</w:t>
      </w:r>
      <w:r>
        <w:rPr>
          <w:rFonts w:ascii="Times New Roman" w:eastAsia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successful?.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extremity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wounds.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167-</w:t>
      </w:r>
    </w:p>
    <w:p w14:paraId="79CA7E99" w14:textId="77777777" w:rsidR="007C1ECD" w:rsidRDefault="00037C06">
      <w:pPr>
        <w:spacing w:line="186" w:lineRule="auto"/>
        <w:ind w:left="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171.</w:t>
      </w:r>
    </w:p>
    <w:p w14:paraId="6867B295" w14:textId="77777777" w:rsidR="007C1ECD" w:rsidRDefault="007C1ECD">
      <w:pPr>
        <w:spacing w:line="263" w:lineRule="auto"/>
        <w:rPr>
          <w:sz w:val="21"/>
        </w:rPr>
      </w:pPr>
    </w:p>
    <w:p w14:paraId="6D3AF9D5" w14:textId="77777777" w:rsidR="007C1ECD" w:rsidRDefault="00037C06">
      <w:pPr>
        <w:spacing w:before="69" w:line="190" w:lineRule="auto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SiaoRM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Gomez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Pulse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imetery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screening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Hemodynamically</w:t>
      </w:r>
    </w:p>
    <w:p w14:paraId="0A8F5C50" w14:textId="77777777" w:rsidR="007C1ECD" w:rsidRDefault="007C1ECD">
      <w:pPr>
        <w:spacing w:line="262" w:lineRule="auto"/>
        <w:rPr>
          <w:sz w:val="21"/>
        </w:rPr>
      </w:pPr>
    </w:p>
    <w:p w14:paraId="38D52D53" w14:textId="77777777" w:rsidR="007C1ECD" w:rsidRDefault="00037C06">
      <w:pPr>
        <w:spacing w:before="70" w:line="552" w:lineRule="exact"/>
        <w:ind w:lef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21"/>
          <w:w w:val="101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7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extremity</w:t>
      </w:r>
      <w:r>
        <w:rPr>
          <w:rFonts w:ascii="Times New Roman" w:eastAsia="Times New Roman" w:hAnsi="Times New Roman" w:cs="Times New Roman"/>
          <w:spacing w:val="4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Periheral</w:t>
      </w:r>
      <w:proofErr w:type="spellEnd"/>
      <w:r>
        <w:rPr>
          <w:rFonts w:ascii="Times New Roman" w:eastAsia="Times New Roman" w:hAnsi="Times New Roman" w:cs="Times New Roman"/>
          <w:spacing w:val="2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Arterial</w:t>
      </w:r>
      <w:r>
        <w:rPr>
          <w:rFonts w:ascii="Times New Roman" w:eastAsia="Times New Roman" w:hAnsi="Times New Roman" w:cs="Times New Roman"/>
          <w:spacing w:val="4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6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Adults</w:t>
      </w:r>
      <w:r>
        <w:rPr>
          <w:rFonts w:ascii="Times New Roman" w:eastAsia="Times New Roman" w:hAnsi="Times New Roman" w:cs="Times New Roman"/>
          <w:spacing w:val="2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7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Type</w:t>
      </w:r>
      <w:r>
        <w:rPr>
          <w:rFonts w:ascii="Times New Roman" w:eastAsia="Times New Roman" w:hAnsi="Times New Roman" w:cs="Times New Roman"/>
          <w:spacing w:val="5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Diabetes</w:t>
      </w:r>
      <w:r>
        <w:rPr>
          <w:rFonts w:ascii="Times New Roman" w:eastAsia="Times New Roman" w:hAnsi="Times New Roman" w:cs="Times New Roman"/>
          <w:spacing w:val="2"/>
          <w:position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mellitus.J</w:t>
      </w:r>
      <w:proofErr w:type="spellEnd"/>
      <w:proofErr w:type="gramEnd"/>
    </w:p>
    <w:p w14:paraId="65388ED5" w14:textId="77777777" w:rsidR="007C1ECD" w:rsidRDefault="00037C06">
      <w:pPr>
        <w:spacing w:before="1" w:line="19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ASEAN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Endocr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Soc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[internet]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Oct.1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[cited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2021Mar.1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4]33(2):130.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</w:p>
    <w:p w14:paraId="45CC7EBC" w14:textId="77777777" w:rsidR="007C1ECD" w:rsidRDefault="007C1ECD">
      <w:pPr>
        <w:spacing w:line="262" w:lineRule="auto"/>
        <w:rPr>
          <w:sz w:val="21"/>
        </w:rPr>
      </w:pPr>
    </w:p>
    <w:p w14:paraId="5126C7B7" w14:textId="77777777" w:rsidR="007C1ECD" w:rsidRDefault="00037C06">
      <w:pPr>
        <w:spacing w:before="69" w:line="19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http//www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asean-endocrinejournal.org/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indexphp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/article/view/457.</w:t>
      </w:r>
    </w:p>
    <w:p w14:paraId="57C89404" w14:textId="77777777" w:rsidR="007C1ECD" w:rsidRDefault="007C1ECD">
      <w:pPr>
        <w:spacing w:line="262" w:lineRule="auto"/>
        <w:rPr>
          <w:sz w:val="21"/>
        </w:rPr>
      </w:pPr>
    </w:p>
    <w:p w14:paraId="44E343CE" w14:textId="77777777" w:rsidR="007C1ECD" w:rsidRDefault="00037C06">
      <w:pPr>
        <w:spacing w:before="70" w:line="552" w:lineRule="exact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51</w:t>
      </w:r>
      <w:r>
        <w:rPr>
          <w:rFonts w:ascii="Times New Roman" w:eastAsia="Times New Roman" w:hAnsi="Times New Roman" w:cs="Times New Roman"/>
          <w:spacing w:val="3"/>
          <w:position w:val="28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Isiguzo</w:t>
      </w:r>
      <w:proofErr w:type="spellEnd"/>
      <w:r>
        <w:rPr>
          <w:rFonts w:ascii="Times New Roman" w:eastAsia="Times New Roman" w:hAnsi="Times New Roman" w:cs="Times New Roman"/>
          <w:spacing w:val="10"/>
          <w:position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CM,Jack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-Okereke</w:t>
      </w:r>
      <w:r>
        <w:rPr>
          <w:rFonts w:ascii="Times New Roman" w:eastAsia="Times New Roman" w:hAnsi="Times New Roman" w:cs="Times New Roman"/>
          <w:spacing w:val="7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C,Diabetic</w:t>
      </w:r>
      <w:proofErr w:type="spellEnd"/>
      <w:r>
        <w:rPr>
          <w:rFonts w:ascii="Times New Roman" w:eastAsia="Times New Roman" w:hAnsi="Times New Roman" w:cs="Times New Roman"/>
          <w:spacing w:val="9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spacing w:val="1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Ulcers-A</w:t>
      </w:r>
      <w:r>
        <w:rPr>
          <w:rFonts w:ascii="Times New Roman" w:eastAsia="Times New Roman" w:hAnsi="Times New Roman" w:cs="Times New Roman"/>
          <w:spacing w:val="28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2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months</w:t>
      </w:r>
      <w:r>
        <w:rPr>
          <w:rFonts w:ascii="Times New Roman" w:eastAsia="Times New Roman" w:hAnsi="Times New Roman" w:cs="Times New Roman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prospective</w:t>
      </w:r>
      <w:r>
        <w:rPr>
          <w:rFonts w:ascii="Times New Roman" w:eastAsia="Times New Roman" w:hAnsi="Times New Roman" w:cs="Times New Roman"/>
          <w:spacing w:val="10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study</w:t>
      </w:r>
      <w:r>
        <w:rPr>
          <w:rFonts w:ascii="Times New Roman" w:eastAsia="Times New Roman" w:hAnsi="Times New Roman" w:cs="Times New Roman"/>
          <w:spacing w:val="5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7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of</w:t>
      </w:r>
    </w:p>
    <w:p w14:paraId="5DAD1452" w14:textId="77777777" w:rsidR="007C1ECD" w:rsidRDefault="00037C06">
      <w:pPr>
        <w:spacing w:before="1" w:line="18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pattern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Enugu</w:t>
      </w:r>
      <w:r>
        <w:rPr>
          <w:rFonts w:ascii="Times New Roman" w:eastAsia="Times New Roman" w:hAnsi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 University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Technology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Hospital,Parklane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14:paraId="53F16980" w14:textId="77777777" w:rsidR="007C1ECD" w:rsidRDefault="007C1ECD">
      <w:pPr>
        <w:spacing w:line="262" w:lineRule="auto"/>
        <w:rPr>
          <w:sz w:val="21"/>
        </w:rPr>
      </w:pPr>
    </w:p>
    <w:p w14:paraId="6F6939ED" w14:textId="77777777" w:rsidR="007C1ECD" w:rsidRDefault="00037C06">
      <w:pPr>
        <w:spacing w:before="70" w:line="190" w:lineRule="auto"/>
        <w:ind w:left="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Enugu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foot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Clinic?Nigerian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Medicine.2015: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24,125-</w:t>
      </w:r>
      <w:r>
        <w:rPr>
          <w:rFonts w:ascii="Times New Roman" w:eastAsia="Times New Roman" w:hAnsi="Times New Roman" w:cs="Times New Roman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130</w:t>
      </w:r>
    </w:p>
    <w:p w14:paraId="32E01E8D" w14:textId="77777777" w:rsidR="007C1ECD" w:rsidRDefault="007C1ECD">
      <w:pPr>
        <w:spacing w:line="262" w:lineRule="auto"/>
        <w:rPr>
          <w:sz w:val="21"/>
        </w:rPr>
      </w:pPr>
    </w:p>
    <w:p w14:paraId="5B00DEF6" w14:textId="77777777" w:rsidR="007C1ECD" w:rsidRDefault="00037C06">
      <w:pPr>
        <w:spacing w:before="70" w:line="552" w:lineRule="exact"/>
        <w:ind w:left="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pacing w:val="14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Nyamu</w:t>
      </w:r>
      <w:proofErr w:type="spellEnd"/>
      <w:r>
        <w:rPr>
          <w:rFonts w:ascii="Times New Roman" w:eastAsia="Times New Roman" w:hAnsi="Times New Roman" w:cs="Times New Roman"/>
          <w:spacing w:val="4"/>
          <w:position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PN,Otieno</w:t>
      </w:r>
      <w:proofErr w:type="spellEnd"/>
      <w:proofErr w:type="gramEnd"/>
      <w:r>
        <w:rPr>
          <w:rFonts w:ascii="Times New Roman" w:eastAsia="Times New Roman" w:hAnsi="Times New Roman" w:cs="Times New Roman"/>
          <w:spacing w:val="8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CF,Amayo</w:t>
      </w:r>
      <w:proofErr w:type="spellEnd"/>
      <w:r>
        <w:rPr>
          <w:rFonts w:ascii="Times New Roman" w:eastAsia="Times New Roman" w:hAnsi="Times New Roman" w:cs="Times New Roman"/>
          <w:spacing w:val="5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EO,McLigeyo</w:t>
      </w:r>
      <w:proofErr w:type="spellEnd"/>
      <w:r>
        <w:rPr>
          <w:rFonts w:ascii="Times New Roman" w:eastAsia="Times New Roman" w:hAnsi="Times New Roman" w:cs="Times New Roman"/>
          <w:spacing w:val="15"/>
          <w:w w:val="101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SO.Risk</w:t>
      </w:r>
      <w:proofErr w:type="spellEnd"/>
      <w:r>
        <w:rPr>
          <w:rFonts w:ascii="Times New Roman" w:eastAsia="Times New Roman" w:hAnsi="Times New Roman" w:cs="Times New Roman"/>
          <w:spacing w:val="8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factors</w:t>
      </w:r>
      <w:r>
        <w:rPr>
          <w:rFonts w:ascii="Times New Roman" w:eastAsia="Times New Roman" w:hAnsi="Times New Roman" w:cs="Times New Roman"/>
          <w:spacing w:val="8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andPrevalence</w:t>
      </w:r>
      <w:proofErr w:type="spellEnd"/>
      <w:r>
        <w:rPr>
          <w:rFonts w:ascii="Times New Roman" w:eastAsia="Times New Roman" w:hAnsi="Times New Roman" w:cs="Times New Roman"/>
          <w:spacing w:val="11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7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diabetic</w:t>
      </w:r>
      <w:r>
        <w:rPr>
          <w:rFonts w:ascii="Times New Roman" w:eastAsia="Times New Roman" w:hAnsi="Times New Roman" w:cs="Times New Roman"/>
          <w:spacing w:val="9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foot</w:t>
      </w:r>
    </w:p>
    <w:p w14:paraId="4B76781B" w14:textId="77777777" w:rsidR="007C1ECD" w:rsidRDefault="00037C06">
      <w:pPr>
        <w:spacing w:before="1" w:line="19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ulcers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Kenyatta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Hospital.East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African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medical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journal2003;80(1):36-43</w:t>
      </w:r>
    </w:p>
    <w:p w14:paraId="1AEA7D80" w14:textId="77777777" w:rsidR="007C1ECD" w:rsidRDefault="007C1ECD">
      <w:pPr>
        <w:spacing w:line="262" w:lineRule="auto"/>
        <w:rPr>
          <w:sz w:val="21"/>
        </w:rPr>
      </w:pPr>
    </w:p>
    <w:p w14:paraId="30DD5B3D" w14:textId="77777777" w:rsidR="007C1ECD" w:rsidRDefault="00037C06">
      <w:pPr>
        <w:spacing w:before="69" w:line="553" w:lineRule="exact"/>
        <w:ind w:lef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spacing w:val="5"/>
          <w:position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7"/>
          <w:sz w:val="24"/>
          <w:szCs w:val="24"/>
        </w:rPr>
        <w:t>Juan</w:t>
      </w:r>
      <w:r>
        <w:rPr>
          <w:rFonts w:ascii="Times New Roman" w:eastAsia="Times New Roman" w:hAnsi="Times New Roman" w:cs="Times New Roman"/>
          <w:spacing w:val="15"/>
          <w:position w:val="27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27"/>
          <w:sz w:val="24"/>
          <w:szCs w:val="24"/>
        </w:rPr>
        <w:t>Sanjuan</w:t>
      </w:r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27"/>
          <w:sz w:val="24"/>
          <w:szCs w:val="24"/>
        </w:rPr>
        <w:t>Edwin</w:t>
      </w:r>
      <w:proofErr w:type="spellEnd"/>
      <w:proofErr w:type="gramEnd"/>
      <w:r>
        <w:rPr>
          <w:rFonts w:ascii="Times New Roman" w:eastAsia="Times New Roman" w:hAnsi="Times New Roman" w:cs="Times New Roman"/>
          <w:spacing w:val="6"/>
          <w:position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7"/>
          <w:sz w:val="24"/>
          <w:szCs w:val="24"/>
        </w:rPr>
        <w:t>Romero</w:t>
      </w:r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position w:val="27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lando</w:t>
      </w:r>
      <w:proofErr w:type="spellEnd"/>
      <w:r>
        <w:rPr>
          <w:rFonts w:ascii="Times New Roman" w:eastAsia="Times New Roman" w:hAnsi="Times New Roman" w:cs="Times New Roman"/>
          <w:spacing w:val="4"/>
          <w:position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Medina,Wilmer</w:t>
      </w:r>
      <w:proofErr w:type="spellEnd"/>
      <w:r>
        <w:rPr>
          <w:rFonts w:ascii="Times New Roman" w:eastAsia="Times New Roman" w:hAnsi="Times New Roman" w:cs="Times New Roman"/>
          <w:spacing w:val="2"/>
          <w:position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Botache,Gabriela</w:t>
      </w:r>
      <w:proofErr w:type="spellEnd"/>
      <w:r>
        <w:rPr>
          <w:rFonts w:ascii="Times New Roman" w:eastAsia="Times New Roman" w:hAnsi="Times New Roman" w:cs="Times New Roman"/>
          <w:spacing w:val="3"/>
          <w:position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7"/>
          <w:sz w:val="24"/>
          <w:szCs w:val="24"/>
        </w:rPr>
        <w:t>Ruiz,Andres</w:t>
      </w:r>
      <w:proofErr w:type="spellEnd"/>
    </w:p>
    <w:p w14:paraId="3701EE6E" w14:textId="77777777" w:rsidR="007C1ECD" w:rsidRDefault="00037C06">
      <w:pPr>
        <w:spacing w:line="190" w:lineRule="auto"/>
        <w:ind w:left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Ramirez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alCorrelation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Ankle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Bachial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index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limb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pulse</w:t>
      </w:r>
    </w:p>
    <w:p w14:paraId="6024BF6F" w14:textId="77777777" w:rsidR="007C1ECD" w:rsidRDefault="007C1ECD">
      <w:pPr>
        <w:spacing w:line="262" w:lineRule="auto"/>
        <w:rPr>
          <w:sz w:val="21"/>
        </w:rPr>
      </w:pPr>
    </w:p>
    <w:p w14:paraId="7CD0FE7B" w14:textId="77777777" w:rsidR="007C1ECD" w:rsidRDefault="00037C06">
      <w:pPr>
        <w:spacing w:before="69" w:line="19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Oximetry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Arefferal</w:t>
      </w:r>
      <w:proofErr w:type="spellEnd"/>
      <w:proofErr w:type="gram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center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Prevalence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Cureus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2020;(1)e6762</w:t>
      </w:r>
    </w:p>
    <w:p w14:paraId="78BFA9DE" w14:textId="77777777" w:rsidR="007C1ECD" w:rsidRDefault="007C1ECD">
      <w:pPr>
        <w:spacing w:line="190" w:lineRule="auto"/>
        <w:rPr>
          <w:rFonts w:ascii="Times New Roman" w:eastAsia="Times New Roman" w:hAnsi="Times New Roman" w:cs="Times New Roman"/>
          <w:sz w:val="24"/>
          <w:szCs w:val="24"/>
        </w:rPr>
        <w:sectPr w:rsidR="007C1E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46" w:right="1463" w:bottom="1186" w:left="1439" w:header="0" w:footer="990" w:gutter="0"/>
          <w:cols w:space="720"/>
        </w:sectPr>
      </w:pPr>
    </w:p>
    <w:p w14:paraId="6BE4AD25" w14:textId="77777777" w:rsidR="007C1ECD" w:rsidRDefault="00037C06">
      <w:pPr>
        <w:spacing w:before="150" w:line="552" w:lineRule="exact"/>
        <w:ind w:left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54</w:t>
      </w:r>
      <w:r>
        <w:rPr>
          <w:rFonts w:ascii="Times New Roman" w:eastAsia="Times New Roman" w:hAnsi="Times New Roman" w:cs="Times New Roman"/>
          <w:spacing w:val="4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Parameswaran</w:t>
      </w:r>
      <w:r>
        <w:rPr>
          <w:rFonts w:ascii="Times New Roman" w:eastAsia="Times New Roman" w:hAnsi="Times New Roman" w:cs="Times New Roman"/>
          <w:spacing w:val="9"/>
          <w:position w:val="2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Brand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Dolan</w:t>
      </w:r>
      <w:proofErr w:type="spellEnd"/>
      <w:r>
        <w:rPr>
          <w:rFonts w:ascii="Times New Roman" w:eastAsia="Times New Roman" w:hAnsi="Times New Roman" w:cs="Times New Roman"/>
          <w:spacing w:val="5"/>
          <w:position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Pulse</w:t>
      </w:r>
      <w:proofErr w:type="spellEnd"/>
      <w:r>
        <w:rPr>
          <w:rFonts w:ascii="Times New Roman" w:eastAsia="Times New Roman" w:hAnsi="Times New Roman" w:cs="Times New Roman"/>
          <w:spacing w:val="8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oximetry</w:t>
      </w:r>
      <w:r>
        <w:rPr>
          <w:rFonts w:ascii="Times New Roman" w:eastAsia="Times New Roman" w:hAnsi="Times New Roman" w:cs="Times New Roman"/>
          <w:spacing w:val="8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9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a potential</w:t>
      </w:r>
      <w:r>
        <w:rPr>
          <w:rFonts w:ascii="Times New Roman" w:eastAsia="Times New Roman" w:hAnsi="Times New Roman" w:cs="Times New Roman"/>
          <w:spacing w:val="11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screening</w:t>
      </w:r>
      <w:r>
        <w:rPr>
          <w:rFonts w:ascii="Times New Roman" w:eastAsia="Times New Roman" w:hAnsi="Times New Roman" w:cs="Times New Roman"/>
          <w:spacing w:val="3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tool</w:t>
      </w:r>
      <w:r>
        <w:rPr>
          <w:rFonts w:ascii="Times New Roman" w:eastAsia="Times New Roman" w:hAnsi="Times New Roman" w:cs="Times New Roman"/>
          <w:spacing w:val="9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8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5"/>
          <w:positio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8"/>
          <w:sz w:val="24"/>
          <w:szCs w:val="24"/>
        </w:rPr>
        <w:t>lower</w:t>
      </w:r>
    </w:p>
    <w:p w14:paraId="3ED35C41" w14:textId="77777777" w:rsidR="007C1ECD" w:rsidRDefault="00037C06">
      <w:pPr>
        <w:spacing w:line="189" w:lineRule="auto"/>
        <w:ind w:left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extremity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arterial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disease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asymptomatic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diabetes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mellitusArch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</w:t>
      </w:r>
    </w:p>
    <w:p w14:paraId="4D86EE2C" w14:textId="77777777" w:rsidR="007C1ECD" w:rsidRDefault="007C1ECD">
      <w:pPr>
        <w:spacing w:line="263" w:lineRule="auto"/>
        <w:rPr>
          <w:sz w:val="21"/>
        </w:rPr>
      </w:pPr>
    </w:p>
    <w:p w14:paraId="4C6BEF8A" w14:textId="77777777" w:rsidR="007C1ECD" w:rsidRDefault="00037C06">
      <w:pPr>
        <w:spacing w:before="69" w:line="19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med2005;165(4)442-6</w:t>
      </w:r>
    </w:p>
    <w:p w14:paraId="63D16E00" w14:textId="77777777" w:rsidR="007C1ECD" w:rsidRDefault="007C1ECD">
      <w:pPr>
        <w:pStyle w:val="NormalWeb"/>
        <w:spacing w:line="480" w:lineRule="auto"/>
        <w:rPr>
          <w:rFonts w:eastAsia="Times New Roman"/>
          <w:color w:val="000000"/>
        </w:rPr>
      </w:pPr>
    </w:p>
    <w:sectPr w:rsidR="007C1ECD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/>
      <w:pgMar w:top="1391" w:right="1140" w:bottom="651" w:left="1275" w:header="0" w:footer="720" w:gutter="0"/>
      <w:cols w:space="720" w:equalWidth="0">
        <w:col w:w="98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BA271" w14:textId="77777777" w:rsidR="00037C06" w:rsidRDefault="00037C06">
      <w:pPr>
        <w:spacing w:line="240" w:lineRule="auto"/>
      </w:pPr>
      <w:r>
        <w:separator/>
      </w:r>
    </w:p>
  </w:endnote>
  <w:endnote w:type="continuationSeparator" w:id="0">
    <w:p w14:paraId="4C215704" w14:textId="77777777" w:rsidR="00037C06" w:rsidRDefault="00037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5812" w14:textId="77777777" w:rsidR="00B93BC1" w:rsidRDefault="00B93B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9EAC" w14:textId="77777777" w:rsidR="007C1ECD" w:rsidRDefault="00037C06">
    <w:pPr>
      <w:spacing w:line="182" w:lineRule="auto"/>
      <w:ind w:left="4573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pacing w:val="8"/>
        <w:sz w:val="20"/>
        <w:szCs w:val="20"/>
      </w:rPr>
      <w:t>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8D45" w14:textId="77777777" w:rsidR="00B93BC1" w:rsidRDefault="00B93B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8DC6" w14:textId="77777777" w:rsidR="007C1ECD" w:rsidRDefault="00037C06">
    <w:pPr>
      <w:spacing w:line="182" w:lineRule="auto"/>
      <w:ind w:left="4576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pacing w:val="5"/>
        <w:sz w:val="20"/>
        <w:szCs w:val="20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D191" w14:textId="77777777" w:rsidR="00037C06" w:rsidRDefault="00037C06">
      <w:r>
        <w:separator/>
      </w:r>
    </w:p>
  </w:footnote>
  <w:footnote w:type="continuationSeparator" w:id="0">
    <w:p w14:paraId="481D4E46" w14:textId="77777777" w:rsidR="00037C06" w:rsidRDefault="0003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E49D" w14:textId="1D433FDC" w:rsidR="00B93BC1" w:rsidRDefault="00B93BC1">
    <w:pPr>
      <w:pStyle w:val="Header"/>
    </w:pPr>
    <w:r>
      <w:rPr>
        <w:noProof/>
      </w:rPr>
      <w:pict w14:anchorId="52518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91.45pt;height:6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5BA1D" w14:textId="0753E51D" w:rsidR="00B93BC1" w:rsidRDefault="00B93BC1">
    <w:pPr>
      <w:pStyle w:val="Header"/>
    </w:pPr>
    <w:r>
      <w:rPr>
        <w:noProof/>
      </w:rPr>
      <w:pict w14:anchorId="71DEB1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91.45pt;height:6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F9552" w14:textId="3B218124" w:rsidR="00B93BC1" w:rsidRDefault="00B93BC1">
    <w:pPr>
      <w:pStyle w:val="Header"/>
    </w:pPr>
    <w:r>
      <w:rPr>
        <w:noProof/>
      </w:rPr>
      <w:pict w14:anchorId="4E9166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91.45pt;height:6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E62DA" w14:textId="6429AB13" w:rsidR="00B93BC1" w:rsidRDefault="00B93BC1">
    <w:pPr>
      <w:pStyle w:val="Header"/>
    </w:pPr>
    <w:r>
      <w:rPr>
        <w:noProof/>
      </w:rPr>
      <w:pict w14:anchorId="2916A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91.45pt;height:66.7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4113" w14:textId="6EE1A3D4" w:rsidR="00B93BC1" w:rsidRDefault="00B93BC1">
    <w:pPr>
      <w:pStyle w:val="Header"/>
    </w:pPr>
    <w:r>
      <w:rPr>
        <w:noProof/>
      </w:rPr>
      <w:pict w14:anchorId="62E10D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91.45pt;height:66.7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A988D" w14:textId="0D8FFF92" w:rsidR="00B93BC1" w:rsidRDefault="00B93BC1">
    <w:pPr>
      <w:pStyle w:val="Header"/>
    </w:pPr>
    <w:r>
      <w:rPr>
        <w:noProof/>
      </w:rPr>
      <w:pict w14:anchorId="7F3ACB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591.45pt;height:66.7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B8D7F8"/>
    <w:multiLevelType w:val="singleLevel"/>
    <w:tmpl w:val="A9B8D7F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B701BC"/>
    <w:multiLevelType w:val="singleLevel"/>
    <w:tmpl w:val="CDB701BC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0455BEC"/>
    <w:multiLevelType w:val="singleLevel"/>
    <w:tmpl w:val="E0455BE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CD"/>
    <w:rsid w:val="00037C06"/>
    <w:rsid w:val="000A7543"/>
    <w:rsid w:val="000D2D73"/>
    <w:rsid w:val="007C1ECD"/>
    <w:rsid w:val="007D018B"/>
    <w:rsid w:val="00B93BC1"/>
    <w:rsid w:val="0DC45BAB"/>
    <w:rsid w:val="0EF93580"/>
    <w:rsid w:val="144D7048"/>
    <w:rsid w:val="148E0E42"/>
    <w:rsid w:val="1C311C4C"/>
    <w:rsid w:val="1CBE5055"/>
    <w:rsid w:val="1EE559BD"/>
    <w:rsid w:val="1F68030B"/>
    <w:rsid w:val="1FCD1E63"/>
    <w:rsid w:val="23A432B5"/>
    <w:rsid w:val="27660F9E"/>
    <w:rsid w:val="28B11A87"/>
    <w:rsid w:val="2BD71597"/>
    <w:rsid w:val="30400D90"/>
    <w:rsid w:val="32F049FA"/>
    <w:rsid w:val="335939D7"/>
    <w:rsid w:val="354F6E4A"/>
    <w:rsid w:val="3ED757B8"/>
    <w:rsid w:val="43076B66"/>
    <w:rsid w:val="435E2ECD"/>
    <w:rsid w:val="4B9D7ED2"/>
    <w:rsid w:val="4D131782"/>
    <w:rsid w:val="5D4C3E4F"/>
    <w:rsid w:val="61D61927"/>
    <w:rsid w:val="681B213F"/>
    <w:rsid w:val="6AA60F4B"/>
    <w:rsid w:val="715141EB"/>
    <w:rsid w:val="7A0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D1D1B7C"/>
  <w15:docId w15:val="{632793BE-56BE-47F1-9420-9945433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ckeshowborder">
    <w:name w:val="cke_show_border"/>
    <w:basedOn w:val="TableNormal"/>
    <w:qFormat/>
    <w:rPr>
      <w:rFonts w:eastAsia="Times New Roman"/>
    </w:rPr>
    <w:tblPr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rsid w:val="007D01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1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93B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93BC1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93B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93BC1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</c:spPr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8FD2-4DF2-8E39-AF76F7B1DC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8FD2-4DF2-8E39-AF76F7B1DC2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50000"/>
                      <a:lumOff val="50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Sheet1!$A$1:$B$1</c:f>
              <c:strCache>
                <c:ptCount val="2"/>
                <c:pt idx="0">
                  <c:v>males</c:v>
                </c:pt>
                <c:pt idx="1">
                  <c:v>females</c:v>
                </c:pt>
              </c:strCache>
            </c:strRef>
          </c:cat>
          <c:val>
            <c:numRef>
              <c:f>Sheet1!$A$2:$B$2</c:f>
              <c:numCache>
                <c:formatCode>0.00%</c:formatCode>
                <c:ptCount val="2"/>
                <c:pt idx="0">
                  <c:v>0.52900000000000003</c:v>
                </c:pt>
                <c:pt idx="1">
                  <c:v>0.47099999999999997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D2-4DF2-8E39-AF76F7B1DC2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uri="{0b15fc19-7d7d-44ad-8c2d-2c3a37ce22c3}">
        <chartProps xmlns="https://web.wps.cn/et/2018/main" chartId="{bed086c2-687a-4bbc-975c-1b96476324ea}"/>
      </c:ext>
    </c:extLst>
  </c:chart>
  <c:spPr>
    <a:noFill/>
    <a:ln w="9525" cap="flat" cmpd="sng" algn="ctr">
      <a:noFill/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BFD-45DC-8143-D5540100D3D1}"/>
              </c:ext>
            </c:extLst>
          </c:dPt>
          <c:cat>
            <c:strRef>
              <c:f>Sheet1!$A$1:$B$1</c:f>
              <c:strCache>
                <c:ptCount val="2"/>
                <c:pt idx="0">
                  <c:v>right leg</c:v>
                </c:pt>
                <c:pt idx="1">
                  <c:v>left leg</c:v>
                </c:pt>
              </c:strCache>
            </c:strRef>
          </c:cat>
          <c:val>
            <c:numRef>
              <c:f>Sheet1!$A$2:$B$2</c:f>
              <c:numCache>
                <c:formatCode>0.00%</c:formatCode>
                <c:ptCount val="2"/>
                <c:pt idx="0">
                  <c:v>0.52900000000000003</c:v>
                </c:pt>
                <c:pt idx="1">
                  <c:v>0.47099999999999997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FD-45DC-8143-D5540100D3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6285440"/>
        <c:axId val="76287360"/>
      </c:barChart>
      <c:catAx>
        <c:axId val="762854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ulcer location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87360"/>
        <c:crosses val="autoZero"/>
        <c:auto val="1"/>
        <c:lblAlgn val="ctr"/>
        <c:lblOffset val="100"/>
        <c:noMultiLvlLbl val="0"/>
      </c:catAx>
      <c:valAx>
        <c:axId val="76287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28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07e4d7c-d1fb-44f5-8344-80d616b57f6b}"/>
      </c:ext>
    </c:extLst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4398</Words>
  <Characters>25075</Characters>
  <Application>Microsoft Office Word</Application>
  <DocSecurity>0</DocSecurity>
  <Lines>208</Lines>
  <Paragraphs>58</Paragraphs>
  <ScaleCrop>false</ScaleCrop>
  <Company/>
  <LinksUpToDate>false</LinksUpToDate>
  <CharactersWithSpaces>29415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1084</cp:lastModifiedBy>
  <cp:revision>3</cp:revision>
  <dcterms:created xsi:type="dcterms:W3CDTF">2025-08-01T00:36:00Z</dcterms:created>
  <dcterms:modified xsi:type="dcterms:W3CDTF">2026-02-21T10:37:00Z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3C199ED91ACF401D8CC0099C9A3E2B76_12</vt:lpwstr>
  </property>
</Properties>
</file>