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76316A" w14:textId="77777777" w:rsidR="00833A4C" w:rsidRPr="00383EEA" w:rsidRDefault="00833A4C" w:rsidP="00833A4C">
      <w:pPr>
        <w:jc w:val="both"/>
        <w:rPr>
          <w:b/>
          <w:bCs/>
        </w:rPr>
      </w:pPr>
      <w:r w:rsidRPr="00383EEA">
        <w:rPr>
          <w:b/>
          <w:bCs/>
        </w:rPr>
        <w:t>Named Entity Recognition System for Igala Language: Design, Implementation and Evaluation</w:t>
      </w:r>
    </w:p>
    <w:p w14:paraId="14E8C60B" w14:textId="3B37C03F" w:rsidR="00383EEA" w:rsidRDefault="00383EEA" w:rsidP="00245BCD">
      <w:pPr>
        <w:pStyle w:val="NoSpacing"/>
        <w:jc w:val="center"/>
      </w:pPr>
    </w:p>
    <w:p w14:paraId="64D71656" w14:textId="2A80DF33" w:rsidR="009B2AED" w:rsidRDefault="009B2AED" w:rsidP="00245BCD">
      <w:pPr>
        <w:pStyle w:val="NoSpacing"/>
        <w:jc w:val="center"/>
      </w:pPr>
    </w:p>
    <w:p w14:paraId="2CFF67F8" w14:textId="77777777" w:rsidR="009B2AED" w:rsidRPr="00383EEA" w:rsidRDefault="009B2AED" w:rsidP="00245BCD">
      <w:pPr>
        <w:pStyle w:val="NoSpacing"/>
        <w:jc w:val="center"/>
      </w:pPr>
    </w:p>
    <w:p w14:paraId="2885FDCF" w14:textId="77777777" w:rsidR="00833A4C" w:rsidRPr="00383EEA" w:rsidRDefault="00833A4C" w:rsidP="00833A4C">
      <w:pPr>
        <w:jc w:val="both"/>
        <w:rPr>
          <w:b/>
          <w:bCs/>
        </w:rPr>
      </w:pPr>
      <w:r w:rsidRPr="00383EEA">
        <w:rPr>
          <w:b/>
          <w:bCs/>
        </w:rPr>
        <w:t>Abstract</w:t>
      </w:r>
    </w:p>
    <w:p w14:paraId="3766AA38" w14:textId="77777777" w:rsidR="00833A4C" w:rsidRPr="00383EEA" w:rsidRDefault="00833A4C" w:rsidP="00833A4C">
      <w:pPr>
        <w:jc w:val="both"/>
      </w:pPr>
      <w:r w:rsidRPr="00383EEA">
        <w:t xml:space="preserve">The development of natural language processing resources for low-resource languages remains a critical challenge in computational linguistics, particularly for languages with millions of speakers but limited digital representation. This study presents the design, implementation, and evaluation of the first dedicated Named Entity Recognition (NER) system for the Igala language, a </w:t>
      </w:r>
      <w:proofErr w:type="spellStart"/>
      <w:r w:rsidRPr="00383EEA">
        <w:t>Yoruboid</w:t>
      </w:r>
      <w:proofErr w:type="spellEnd"/>
      <w:r w:rsidRPr="00383EEA">
        <w:t xml:space="preserve"> language spoken by approximately two million people in Kogi State, Nigeria. The research addresses the fundamental resource gap by creating a manually annotated Igala NER corpus comprising 35,000 sentences with 425,000 tokens, annotated for four entity types: person names, locations, organisations, and date expressions. Three NER architectures were implemented and evaluated: a Conditional Random Field (CRF) baseline model, a Bidirectional Long Short-Term Memory with Conditional Random Field (</w:t>
      </w:r>
      <w:proofErr w:type="spellStart"/>
      <w:r w:rsidRPr="00383EEA">
        <w:t>BiLSTM</w:t>
      </w:r>
      <w:proofErr w:type="spellEnd"/>
      <w:r w:rsidRPr="00383EEA">
        <w:t>-CRF) neural model, and a fine-tuned African-focused transformer model (</w:t>
      </w:r>
      <w:proofErr w:type="spellStart"/>
      <w:r w:rsidRPr="00383EEA">
        <w:t>AfroXLMR</w:t>
      </w:r>
      <w:proofErr w:type="spellEnd"/>
      <w:r w:rsidRPr="00383EEA">
        <w:t xml:space="preserve">-base). The </w:t>
      </w:r>
      <w:proofErr w:type="spellStart"/>
      <w:r w:rsidRPr="00383EEA">
        <w:t>BiLSTM</w:t>
      </w:r>
      <w:proofErr w:type="spellEnd"/>
      <w:r w:rsidRPr="00383EEA">
        <w:t xml:space="preserve">-CRF model achieved the highest overall performance with an F1-score of 86.4%, followed by </w:t>
      </w:r>
      <w:proofErr w:type="spellStart"/>
      <w:r w:rsidRPr="00383EEA">
        <w:t>AfroXLMR</w:t>
      </w:r>
      <w:proofErr w:type="spellEnd"/>
      <w:r w:rsidRPr="00383EEA">
        <w:t>-base with 84.7% and CRF with 79.2%. Error analysis revealed that person names achieved the highest recognition accuracy at 89.1%, while organisations proved most challenging at 81.3% due to morphological complexity and limited contextual patterns. The system demonstrates that high-performing NER resources can be developed for low-resource Nigerian languages through careful corpus design and appropriate model selection. This work contributes the first annotated Igala NER corpus, establishes baseline performance benchmarks, and provides a replicable methodological framework for NER development in other under-resourced African languages. The findings have significant implications for downstream applications including machine translation, information retrieval, and digital language preservation initiatives.</w:t>
      </w:r>
    </w:p>
    <w:p w14:paraId="789CECC6" w14:textId="77777777" w:rsidR="00833A4C" w:rsidRPr="00383EEA" w:rsidRDefault="00833A4C" w:rsidP="00833A4C">
      <w:pPr>
        <w:jc w:val="both"/>
      </w:pPr>
      <w:r w:rsidRPr="00383EEA">
        <w:rPr>
          <w:b/>
          <w:bCs/>
        </w:rPr>
        <w:t>Keywords:</w:t>
      </w:r>
      <w:r w:rsidRPr="00383EEA">
        <w:t xml:space="preserve"> Igala language, named entity recognition, low-resource NLP, African languages, deep learning</w:t>
      </w:r>
    </w:p>
    <w:p w14:paraId="37345E3E" w14:textId="77777777" w:rsidR="00833A4C" w:rsidRPr="00383EEA" w:rsidRDefault="00833A4C" w:rsidP="00833A4C">
      <w:pPr>
        <w:jc w:val="both"/>
        <w:rPr>
          <w:b/>
          <w:bCs/>
        </w:rPr>
      </w:pPr>
      <w:r w:rsidRPr="00383EEA">
        <w:rPr>
          <w:b/>
          <w:bCs/>
        </w:rPr>
        <w:t>1. Introduction</w:t>
      </w:r>
    </w:p>
    <w:p w14:paraId="6F10432B" w14:textId="77777777" w:rsidR="00833A4C" w:rsidRPr="00383EEA" w:rsidRDefault="00833A4C" w:rsidP="00833A4C">
      <w:pPr>
        <w:jc w:val="both"/>
      </w:pPr>
      <w:r w:rsidRPr="00383EEA">
        <w:t>Named Entity Recognition (NER) constitutes a fundamental task in natural language processing that involves identifying and classifying named entities within unstructured text into predefined categories such as person names, locations, organisations, and temporal expressions (Li et al., 2022). The task serves as a critical preprocessing component for numerous downstream applications including machine translation, information retrieval, question answering systems, and knowledge base construction. While NER systems have achieved remarkable performance for high-resource languages such as English, Chinese, and Arabic, the development of such resources for low-resource languages remains significantly underrepresented in computational linguistics research (Hedderich et al., 2021).</w:t>
      </w:r>
    </w:p>
    <w:p w14:paraId="5DEDAFDF" w14:textId="77777777" w:rsidR="00833A4C" w:rsidRPr="00383EEA" w:rsidRDefault="00833A4C" w:rsidP="00833A4C">
      <w:pPr>
        <w:jc w:val="both"/>
      </w:pPr>
      <w:r w:rsidRPr="00383EEA">
        <w:t>The African continent presents a particularly striking disparity in NLP resource allocation. Despite hosting over 2,000 languages spoken by approximately 1.4 billion people, African languages account for less than 3% of published NLP research and an even smaller fraction of available digital language resources (</w:t>
      </w:r>
      <w:proofErr w:type="spellStart"/>
      <w:r w:rsidRPr="00383EEA">
        <w:t>Nekoto</w:t>
      </w:r>
      <w:proofErr w:type="spellEnd"/>
      <w:r w:rsidRPr="00383EEA">
        <w:t xml:space="preserve"> et al., 2020). This underrepresentation has profound implications for digital inclusion, as millions of African language speakers are excluded from accessing information technologies in their native languages. The situation is particularly acute for Nigerian languages, where over 500 languages are spoken but only three—Hausa, Yoruba, and Igbo—have received any substantial computational attention (</w:t>
      </w:r>
      <w:proofErr w:type="spellStart"/>
      <w:r w:rsidRPr="00383EEA">
        <w:t>Emedem</w:t>
      </w:r>
      <w:proofErr w:type="spellEnd"/>
      <w:r w:rsidRPr="00383EEA">
        <w:t xml:space="preserve"> et al., 2025).</w:t>
      </w:r>
    </w:p>
    <w:p w14:paraId="0280E38B" w14:textId="77777777" w:rsidR="00833A4C" w:rsidRPr="00383EEA" w:rsidRDefault="00833A4C" w:rsidP="00833A4C">
      <w:pPr>
        <w:jc w:val="both"/>
      </w:pPr>
      <w:r w:rsidRPr="00383EEA">
        <w:lastRenderedPageBreak/>
        <w:t xml:space="preserve">The Igala language, classified within the </w:t>
      </w:r>
      <w:proofErr w:type="spellStart"/>
      <w:r w:rsidRPr="00383EEA">
        <w:t>Yoruboid</w:t>
      </w:r>
      <w:proofErr w:type="spellEnd"/>
      <w:r w:rsidRPr="00383EEA">
        <w:t xml:space="preserve"> branch of the Benue-Congo language family, is spoken by approximately two million people primarily in Kogi State, Nigeria (Omachonu, 2021). Despite its substantial speaker population and rich linguistic heritage, Igala remains virtually untouched by NLP research, with no existing resources for named entity recognition or related computational tasks. The absence of such foundational tools creates a cascading barrier to developing more sophisticated language technologies, as NER systems typically serve as essential components for information extraction, machine translation, and digital corpus development (Adedeji &amp; Akinwale, 2023).</w:t>
      </w:r>
    </w:p>
    <w:p w14:paraId="25A603B2" w14:textId="77777777" w:rsidR="00833A4C" w:rsidRPr="00383EEA" w:rsidRDefault="00833A4C" w:rsidP="00833A4C">
      <w:pPr>
        <w:jc w:val="both"/>
      </w:pPr>
      <w:r w:rsidRPr="00383EEA">
        <w:t>The need for Igala language NER capabilities extends beyond academic interest to practical applications with tangible community benefits. Digital preservation efforts for Igala oral literature, folklore, and historical records require automated tools for indexing and retrieving culturally significant content (</w:t>
      </w:r>
      <w:proofErr w:type="spellStart"/>
      <w:r w:rsidRPr="00383EEA">
        <w:t>Ochala</w:t>
      </w:r>
      <w:proofErr w:type="spellEnd"/>
      <w:r w:rsidRPr="00383EEA">
        <w:t xml:space="preserve">&amp; </w:t>
      </w:r>
      <w:proofErr w:type="spellStart"/>
      <w:r w:rsidRPr="00383EEA">
        <w:t>Mbah</w:t>
      </w:r>
      <w:proofErr w:type="spellEnd"/>
      <w:r w:rsidRPr="00383EEA">
        <w:t>, 2024). Educational technology initiatives aiming to develop Igala language learning materials need NER systems to process and organise pedagogical content. Healthcare information systems targeting Igala-speaking communities require entity extraction to process patient records and deliver culturally appropriate health information (</w:t>
      </w:r>
      <w:proofErr w:type="spellStart"/>
      <w:r w:rsidRPr="00383EEA">
        <w:t>Sallauka</w:t>
      </w:r>
      <w:proofErr w:type="spellEnd"/>
      <w:r w:rsidRPr="00383EEA">
        <w:t xml:space="preserve"> et al., 2025). These applications underscore the urgent need for foundational NLP resources in the language.</w:t>
      </w:r>
    </w:p>
    <w:p w14:paraId="6CE87FFB" w14:textId="77777777" w:rsidR="00833A4C" w:rsidRPr="00383EEA" w:rsidRDefault="00833A4C" w:rsidP="00833A4C">
      <w:pPr>
        <w:jc w:val="both"/>
      </w:pPr>
      <w:r w:rsidRPr="00383EEA">
        <w:t>This research addresses the identified gap through the design, implementation, and evaluation of a dedicated Named Entity Recognition system for the Igala language. The study pursues three primary objectives: first, to create a manually annotated Igala NER corpus with high-quality entity annotations; second, to implement and evaluate multiple NER architectures ranging from traditional machine learning to state-of-the-art deep learning approaches; and third, to establish baseline performance benchmarks that can guide future research and system development for Igala and related low-resource languages.</w:t>
      </w:r>
    </w:p>
    <w:p w14:paraId="2E82B97E" w14:textId="77777777" w:rsidR="00833A4C" w:rsidRPr="00383EEA" w:rsidRDefault="00833A4C" w:rsidP="00833A4C">
      <w:pPr>
        <w:jc w:val="both"/>
      </w:pPr>
      <w:r w:rsidRPr="00383EEA">
        <w:t>The significance of this work extends beyond the immediate contributions to Igala language technology. The methodological framework developed in this study offers replicable strategies for NER resource creation in other under-resourced African languages facing similar challenges of limited digital data, morphological complexity, and scarce computational expertise (</w:t>
      </w:r>
      <w:proofErr w:type="spellStart"/>
      <w:r w:rsidRPr="00383EEA">
        <w:t>Chukwuneke</w:t>
      </w:r>
      <w:proofErr w:type="spellEnd"/>
      <w:r w:rsidRPr="00383EEA">
        <w:t>, 2025). The comparative evaluation of different architectural approaches provides empirical evidence regarding the trade-offs between model complexity, data requirements, and achievable performance in low-resource settings. Furthermore, the annotated corpus and trained models constitute permanent contributions to the computational linguistics community, enabling future research on Igala and facilitating cross-lingual transfer learning for related languages.</w:t>
      </w:r>
    </w:p>
    <w:p w14:paraId="6812F39C" w14:textId="77777777" w:rsidR="00833A4C" w:rsidRPr="00383EEA" w:rsidRDefault="00833A4C" w:rsidP="00833A4C">
      <w:pPr>
        <w:jc w:val="both"/>
      </w:pPr>
      <w:r w:rsidRPr="00383EEA">
        <w:t>The remainder of this paper is organised as follows. Section 2 presents a comprehensive review of related literature spanning NER methodologies, low-resource language approaches, and African language NLP development. Section 3 details the methodological framework including corpus design, annotation procedures, and model architectures. Section 4 presents experimental results and systematic analysis of system performance. Section 5 discusses the implications of findings and identifies limitations and future directions. Section 6 concludes the study with recommendations for research and practice.</w:t>
      </w:r>
    </w:p>
    <w:p w14:paraId="3A188389" w14:textId="77777777" w:rsidR="00833A4C" w:rsidRPr="00383EEA" w:rsidRDefault="00833A4C" w:rsidP="00833A4C">
      <w:pPr>
        <w:jc w:val="both"/>
        <w:rPr>
          <w:b/>
          <w:bCs/>
        </w:rPr>
      </w:pPr>
      <w:r w:rsidRPr="00383EEA">
        <w:rPr>
          <w:b/>
          <w:bCs/>
        </w:rPr>
        <w:t>2. Literature Review</w:t>
      </w:r>
    </w:p>
    <w:p w14:paraId="597AECC5" w14:textId="77777777" w:rsidR="00833A4C" w:rsidRPr="00383EEA" w:rsidRDefault="00833A4C" w:rsidP="00833A4C">
      <w:pPr>
        <w:jc w:val="both"/>
        <w:rPr>
          <w:b/>
          <w:bCs/>
        </w:rPr>
      </w:pPr>
      <w:r w:rsidRPr="00383EEA">
        <w:rPr>
          <w:b/>
          <w:bCs/>
        </w:rPr>
        <w:t>2.1 Evolution of Named Entity Recognition Methodologies</w:t>
      </w:r>
    </w:p>
    <w:p w14:paraId="5BDA1EC7" w14:textId="77777777" w:rsidR="00833A4C" w:rsidRPr="00383EEA" w:rsidRDefault="00833A4C" w:rsidP="00833A4C">
      <w:pPr>
        <w:jc w:val="both"/>
      </w:pPr>
      <w:r w:rsidRPr="00383EEA">
        <w:t xml:space="preserve">Named Entity Recognition has evolved through several distinct methodological paradigms since its introduction at the Sixth Message Understanding Conference in 1995. The earliest approaches relied on hand-crafted rules and lexicon-based matching, where linguists and domain experts developed </w:t>
      </w:r>
      <w:r w:rsidRPr="00383EEA">
        <w:lastRenderedPageBreak/>
        <w:t>extensive sets of patterns, regular expressions, and gazetteers to identify entity mentions in text (Grishman &amp; Sundheim, 1996). These rule-based systems achieved reasonable precision within narrow domains but suffered from poor recall and required substantial manual effort to adapt to new domains or languages. The rule-based paradigm, while largely superseded by statistical approaches, continues to influence contemporary NER development for low-resource languages where annotated data is scarce and linguistic expertise can be encoded directly into system design (Kamau, 2025).</w:t>
      </w:r>
    </w:p>
    <w:p w14:paraId="59DB90A2" w14:textId="77777777" w:rsidR="00833A4C" w:rsidRPr="00383EEA" w:rsidRDefault="00833A4C" w:rsidP="00833A4C">
      <w:pPr>
        <w:jc w:val="both"/>
      </w:pPr>
      <w:r w:rsidRPr="00383EEA">
        <w:t>The introduction of statistical machine learning methods marked a significant advancement in NER capabilities. Hidden Markov Models and Maximum Entropy classifiers represented early attempts to frame entity recognition as a sequence labelling problem, learning patterns from annotated corpora rather than relying on explicit rules (Bikel et al., 1999). The Conditional Random Field (CRF) framework, introduced by Lafferty et al. (2001), emerged as the dominant statistical approach for NER due to its ability to model dependencies between adjacent labels while relaxing the independence assumptions of generative models. CRF-based systems achieved state-of-the-art performance throughout the 2000s and remain valuable baselines for low-resource scenarios due to their effectiveness with modest training data sizes and their interpretable feature-based architecture (Sutton &amp; McCallum, 2012).</w:t>
      </w:r>
    </w:p>
    <w:p w14:paraId="5748769C" w14:textId="77777777" w:rsidR="00833A4C" w:rsidRPr="00383EEA" w:rsidRDefault="00833A4C" w:rsidP="00833A4C">
      <w:pPr>
        <w:jc w:val="both"/>
      </w:pPr>
      <w:r w:rsidRPr="00383EEA">
        <w:t xml:space="preserve">The deep learning revolution transformed NER methodology through the application of neural network architectures capable of learning hierarchical representations directly from text. </w:t>
      </w:r>
      <w:proofErr w:type="spellStart"/>
      <w:r w:rsidRPr="00383EEA">
        <w:t>Collobert</w:t>
      </w:r>
      <w:proofErr w:type="spellEnd"/>
      <w:r w:rsidRPr="00383EEA">
        <w:t xml:space="preserve"> et al. (2011) demonstrated that convolutional neural networks could achieve competitive NER performance without task-specific feature engineering. The introduction of recurrent neural networks, particularly Long Short-Term Memory (LSTM) architectures, enabled models to capture long-range contextual dependencies crucial for accurate entity classification (</w:t>
      </w:r>
      <w:proofErr w:type="spellStart"/>
      <w:r w:rsidRPr="00383EEA">
        <w:t>Hochreiter</w:t>
      </w:r>
      <w:proofErr w:type="spellEnd"/>
      <w:r w:rsidRPr="00383EEA">
        <w:t xml:space="preserve"> &amp;</w:t>
      </w:r>
      <w:proofErr w:type="spellStart"/>
      <w:r w:rsidRPr="00383EEA">
        <w:t>Schmidhuber</w:t>
      </w:r>
      <w:proofErr w:type="spellEnd"/>
      <w:r w:rsidRPr="00383EEA">
        <w:t>, 1997). The bidirectional LSTM (</w:t>
      </w:r>
      <w:proofErr w:type="spellStart"/>
      <w:r w:rsidRPr="00383EEA">
        <w:t>BiLSTM</w:t>
      </w:r>
      <w:proofErr w:type="spellEnd"/>
      <w:r w:rsidRPr="00383EEA">
        <w:t>) variant, which processes sequences in both forward and backward directions, proved especially effective for NER by incorporating context from both preceding and following tokens (Graves &amp;</w:t>
      </w:r>
      <w:proofErr w:type="spellStart"/>
      <w:r w:rsidRPr="00383EEA">
        <w:t>Schmidhuber</w:t>
      </w:r>
      <w:proofErr w:type="spellEnd"/>
      <w:r w:rsidRPr="00383EEA">
        <w:t>, 2005).</w:t>
      </w:r>
    </w:p>
    <w:p w14:paraId="11FB1DC2" w14:textId="77777777" w:rsidR="00833A4C" w:rsidRPr="00383EEA" w:rsidRDefault="00833A4C" w:rsidP="00833A4C">
      <w:pPr>
        <w:jc w:val="both"/>
      </w:pPr>
      <w:r w:rsidRPr="00383EEA">
        <w:t xml:space="preserve">The combination of </w:t>
      </w:r>
      <w:proofErr w:type="spellStart"/>
      <w:r w:rsidRPr="00383EEA">
        <w:t>BiLSTM</w:t>
      </w:r>
      <w:proofErr w:type="spellEnd"/>
      <w:r w:rsidRPr="00383EEA">
        <w:t xml:space="preserve"> layers with CRF decoding emerged as the predominant neural architecture for NER throughout the late 2010s. The </w:t>
      </w:r>
      <w:proofErr w:type="spellStart"/>
      <w:r w:rsidRPr="00383EEA">
        <w:t>BiLSTM</w:t>
      </w:r>
      <w:proofErr w:type="spellEnd"/>
      <w:r w:rsidRPr="00383EEA">
        <w:t xml:space="preserve">-CRF model leverages the sequential modelling capabilities of recurrent networks while ensuring coherent label sequences through the CRF layer's transition constraints (Huang et al., 2015). This architecture achieved state-of-the-art results across multiple languages and domains, demonstrating particular effectiveness for morphologically rich languages where entity boundaries can be ambiguous. Research by Lample et al. (2016) established </w:t>
      </w:r>
      <w:proofErr w:type="spellStart"/>
      <w:r w:rsidRPr="00383EEA">
        <w:t>BiLSTM</w:t>
      </w:r>
      <w:proofErr w:type="spellEnd"/>
      <w:r w:rsidRPr="00383EEA">
        <w:t>-CRF with character-level embeddings as a robust architecture that generalised well across languages with minimal language-specific adaptation.</w:t>
      </w:r>
    </w:p>
    <w:p w14:paraId="69B16235" w14:textId="77777777" w:rsidR="00833A4C" w:rsidRPr="00383EEA" w:rsidRDefault="00833A4C" w:rsidP="00833A4C">
      <w:pPr>
        <w:jc w:val="both"/>
      </w:pPr>
      <w:r w:rsidRPr="00383EEA">
        <w:t>The introduction of transformer architectures represented another paradigm shift in NLP methodology. The self-attention mechanism proposed by Vaswani et al. (2017) enabled models to capture dependencies between all positions in a sequence simultaneously, overcoming the sequential processing limitations of recurrent networks. Pre-trained transformer models such as BERT (Devlin et al., 2019) and its multilingual variants demonstrated that language models pre-trained on massive corpora could be fine-tuned for NER tasks with relatively small amounts of annotated data, achieving performance that surpassed previous approaches. The success of transformer-based NER hinges on the rich contextual representations learned during pre-training, which capture syntactic, semantic, and world knowledge relevant to entity recognition (Li et al., 2022).</w:t>
      </w:r>
    </w:p>
    <w:p w14:paraId="55117713" w14:textId="77777777" w:rsidR="00833A4C" w:rsidRPr="00383EEA" w:rsidRDefault="00833A4C" w:rsidP="00833A4C">
      <w:pPr>
        <w:jc w:val="both"/>
        <w:rPr>
          <w:b/>
          <w:bCs/>
        </w:rPr>
      </w:pPr>
      <w:r w:rsidRPr="00383EEA">
        <w:rPr>
          <w:b/>
          <w:bCs/>
        </w:rPr>
        <w:t>2.2 Named Entity Recognition for Low-Resource Languages</w:t>
      </w:r>
    </w:p>
    <w:p w14:paraId="1A11FC5B" w14:textId="77777777" w:rsidR="00833A4C" w:rsidRPr="00383EEA" w:rsidRDefault="00833A4C" w:rsidP="00833A4C">
      <w:pPr>
        <w:jc w:val="both"/>
      </w:pPr>
      <w:r w:rsidRPr="00383EEA">
        <w:lastRenderedPageBreak/>
        <w:t>The application of NER techniques to low-resource languages presents distinct challenges that differentiate this research domain from high-resource language work. Hedderich et al. (2021) provide a comprehensive taxonomy of low-resource NER challenges, identifying data scarcity, domain mismatch, morphological complexity, and script diversity as primary obstacles. The scarcity of annotated corpora remains the most fundamental constraint, as supervised learning approaches require substantial quantities of labelled data to achieve acceptable performance. For the vast majority of the world's languages, no NER-annotated corpora exist whatsoever, creating a complete barrier to system development (</w:t>
      </w:r>
      <w:proofErr w:type="spellStart"/>
      <w:r w:rsidRPr="00383EEA">
        <w:t>Magueresse</w:t>
      </w:r>
      <w:proofErr w:type="spellEnd"/>
      <w:r w:rsidRPr="00383EEA">
        <w:t xml:space="preserve"> et al., 2020).</w:t>
      </w:r>
    </w:p>
    <w:p w14:paraId="3F0AEA7A" w14:textId="77777777" w:rsidR="00833A4C" w:rsidRPr="00383EEA" w:rsidRDefault="00833A4C" w:rsidP="00833A4C">
      <w:pPr>
        <w:jc w:val="both"/>
      </w:pPr>
      <w:r w:rsidRPr="00383EEA">
        <w:t xml:space="preserve">Transfer learning has emerged as a primary strategy for addressing data scarcity in low-resource NER. The approach leverages knowledge acquired from high-resource source languages or domains to improve performance on low-resource targets. Early transfer learning work focused on model parameter sharing and multi-task learning, where models trained on high-resource languages were adapted through fine-tuning on limited target language data (Zhou et al., 2019). The development of multilingual pre-trained models such as </w:t>
      </w:r>
      <w:proofErr w:type="spellStart"/>
      <w:r w:rsidRPr="00383EEA">
        <w:t>mBERT</w:t>
      </w:r>
      <w:proofErr w:type="spellEnd"/>
      <w:r w:rsidRPr="00383EEA">
        <w:t xml:space="preserve"> and XLM-R significantly enhanced transfer learning capabilities by providing shared representation spaces across languages, enabling zero-shot and few-shot transfer even between typologically distant languages (Pires et al., 2019; </w:t>
      </w:r>
      <w:proofErr w:type="spellStart"/>
      <w:r w:rsidRPr="00383EEA">
        <w:t>Conneau</w:t>
      </w:r>
      <w:proofErr w:type="spellEnd"/>
      <w:r w:rsidRPr="00383EEA">
        <w:t xml:space="preserve"> et al., 2020).</w:t>
      </w:r>
    </w:p>
    <w:p w14:paraId="20D225BC" w14:textId="77777777" w:rsidR="00833A4C" w:rsidRPr="00383EEA" w:rsidRDefault="00833A4C" w:rsidP="00833A4C">
      <w:pPr>
        <w:jc w:val="both"/>
      </w:pPr>
      <w:r w:rsidRPr="00383EEA">
        <w:t>Cross-lingual transfer for NER has been extensively studied for low-resource European and Asian languages, but African languages remain severely underrepresented in this research. Studies by Rahimi et al. (2019) demonstrated that zero-shot transfer from high-resource languages to low-resource targets achieves variable performance depending on linguistic similarity and script compatibility. Languages sharing writing systems and typological features benefit more substantially from transfer, suggesting that African language NER development may benefit from strategic selection of source languages within the same language families or geographical regions (Adelani et al., 2021).</w:t>
      </w:r>
    </w:p>
    <w:p w14:paraId="38FE67DA" w14:textId="77777777" w:rsidR="00833A4C" w:rsidRPr="00383EEA" w:rsidRDefault="00833A4C" w:rsidP="00833A4C">
      <w:pPr>
        <w:jc w:val="both"/>
      </w:pPr>
      <w:r w:rsidRPr="00383EEA">
        <w:t>Data augmentation techniques offer complementary strategies for expanding effective training data in low-resource settings. Simple approaches such as synonym replacement and entity substitution can generate synthetic training examples from limited annotated corpora (Wei &amp; Zou, 2019). More sophisticated methods leverage parallel corpora to project entity annotations from high-resource to low-resource languages, a technique successfully applied in the development of Igbo NER resources (</w:t>
      </w:r>
      <w:proofErr w:type="spellStart"/>
      <w:r w:rsidRPr="00383EEA">
        <w:t>Chukwuneke</w:t>
      </w:r>
      <w:proofErr w:type="spellEnd"/>
      <w:r w:rsidRPr="00383EEA">
        <w:t>, 2025). The projection approach requires high-quality word alignment and faces challenges with divergent entity mention patterns across languages, but offers a pathway to rapid corpus development when parallel texts exist.</w:t>
      </w:r>
    </w:p>
    <w:p w14:paraId="12E2E5C6" w14:textId="77777777" w:rsidR="00833A4C" w:rsidRPr="00383EEA" w:rsidRDefault="00833A4C" w:rsidP="00833A4C">
      <w:pPr>
        <w:jc w:val="both"/>
      </w:pPr>
      <w:r w:rsidRPr="00383EEA">
        <w:t>Active learning and semi-supervised learning represent additional paradigms for maximising value from limited annotation budgets. Active learning systems iteratively select the most informative unlabelled examples for manual annotation, reducing the total annotation effort required to achieve target performance levels (Settles, 2012). For NER, uncertainty sampling and diversity sampling have proven effective in selecting examples that maximise model improvement per annotated instance (Shen et al., 2017). Semi-supervised approaches leverage large quantities of unlabelled text through self-training or co-training, where model predictions on unlabelled data are used to generate additional training examples with appropriate confidence filtering (Liang et al., 2020).</w:t>
      </w:r>
    </w:p>
    <w:p w14:paraId="25958CA9" w14:textId="77777777" w:rsidR="00833A4C" w:rsidRPr="00383EEA" w:rsidRDefault="00833A4C" w:rsidP="00833A4C">
      <w:pPr>
        <w:jc w:val="both"/>
        <w:rPr>
          <w:b/>
          <w:bCs/>
        </w:rPr>
      </w:pPr>
      <w:r w:rsidRPr="00383EEA">
        <w:rPr>
          <w:b/>
          <w:bCs/>
        </w:rPr>
        <w:t>2.3 African Language NLP: Progress and Persistent Gaps</w:t>
      </w:r>
    </w:p>
    <w:p w14:paraId="7541FDEB" w14:textId="77777777" w:rsidR="00833A4C" w:rsidRPr="00383EEA" w:rsidRDefault="00833A4C" w:rsidP="00833A4C">
      <w:pPr>
        <w:jc w:val="both"/>
      </w:pPr>
      <w:r w:rsidRPr="00383EEA">
        <w:t>The past five years have witnessed growing attention to African language NLP, catalysed by initiatives such as Masakhane, a grassroots community of researchers dedicated to advancing NLP for African languages (</w:t>
      </w:r>
      <w:proofErr w:type="spellStart"/>
      <w:r w:rsidRPr="00383EEA">
        <w:t>Nekoto</w:t>
      </w:r>
      <w:proofErr w:type="spellEnd"/>
      <w:r w:rsidRPr="00383EEA">
        <w:t xml:space="preserve"> et al., 2020). Masakhane has coordinated numerous efforts including machine </w:t>
      </w:r>
      <w:r w:rsidRPr="00383EEA">
        <w:lastRenderedPageBreak/>
        <w:t>translation benchmark development, part-of-speech tagging resource creation, and named entity recognition dataset construction across multiple African languages. The community's participatory approach, emphasising involvement of native speakers and local researchers, has established a sustainable model for African language technology development that prioritises community needs and linguistic authenticity.</w:t>
      </w:r>
    </w:p>
    <w:p w14:paraId="7FB707FE" w14:textId="77777777" w:rsidR="00833A4C" w:rsidRPr="00383EEA" w:rsidRDefault="00833A4C" w:rsidP="00833A4C">
      <w:pPr>
        <w:jc w:val="both"/>
      </w:pPr>
      <w:r w:rsidRPr="00383EEA">
        <w:t xml:space="preserve">Named entity recognition for African languages has progressed through several notable projects targeting specific languages and language families. The development of </w:t>
      </w:r>
      <w:proofErr w:type="spellStart"/>
      <w:r w:rsidRPr="00383EEA">
        <w:t>IgboNER</w:t>
      </w:r>
      <w:proofErr w:type="spellEnd"/>
      <w:r w:rsidRPr="00383EEA">
        <w:t>, the first dedicated NER system for the Igbo language, established a methodological template subsequently adapted for other Nigerian languages (</w:t>
      </w:r>
      <w:proofErr w:type="spellStart"/>
      <w:r w:rsidRPr="00383EEA">
        <w:t>Chukwuneke</w:t>
      </w:r>
      <w:proofErr w:type="spellEnd"/>
      <w:r w:rsidRPr="00383EEA">
        <w:t xml:space="preserve">, 2025). The </w:t>
      </w:r>
      <w:proofErr w:type="spellStart"/>
      <w:r w:rsidRPr="00383EEA">
        <w:t>IgboNER</w:t>
      </w:r>
      <w:proofErr w:type="spellEnd"/>
      <w:r w:rsidRPr="00383EEA">
        <w:t xml:space="preserve"> project created an annotated corpus through annotation projection from English, leveraging a parallel English-Igbo corpus and word alignment techniques to transfer entity labels from English to Igbo sentences. The resulting system achieved F1-scores exceeding 80% for person and location entities, demonstrating the viability of projection-based approaches for African language NER development.</w:t>
      </w:r>
    </w:p>
    <w:p w14:paraId="2BBAA392" w14:textId="77777777" w:rsidR="00833A4C" w:rsidRPr="00383EEA" w:rsidRDefault="00833A4C" w:rsidP="00833A4C">
      <w:pPr>
        <w:jc w:val="both"/>
      </w:pPr>
      <w:r w:rsidRPr="00383EEA">
        <w:t>The WAZOBIA-NER project extended NER coverage to Nigeria's three major languages—Hausa, Yoruba, and Igbo—through a unified system supporting multiple entity types (</w:t>
      </w:r>
      <w:proofErr w:type="spellStart"/>
      <w:r w:rsidRPr="00383EEA">
        <w:t>Emedem</w:t>
      </w:r>
      <w:proofErr w:type="spellEnd"/>
      <w:r w:rsidRPr="00383EEA">
        <w:t xml:space="preserve"> et al., 2025). This research evaluated multiple architectural approaches including CRF, </w:t>
      </w:r>
      <w:proofErr w:type="spellStart"/>
      <w:r w:rsidRPr="00383EEA">
        <w:t>BiLSTM</w:t>
      </w:r>
      <w:proofErr w:type="spellEnd"/>
      <w:r w:rsidRPr="00383EEA">
        <w:t>, and transformer-based models, finding that fine-tuned transformer models achieved the highest performance across all three languages. The WAZOBIA system also incorporated optical character recognition capabilities, enabling entity extraction from image inputs and broadening potential applications to digitised documents and photographed text. The project's cross-lingual architecture demonstrates the feasibility of developing NER systems that generalise across multiple African languages within a single framework.</w:t>
      </w:r>
    </w:p>
    <w:p w14:paraId="3221DB1A" w14:textId="77777777" w:rsidR="00833A4C" w:rsidRPr="00383EEA" w:rsidRDefault="00833A4C" w:rsidP="00833A4C">
      <w:pPr>
        <w:jc w:val="both"/>
      </w:pPr>
      <w:r w:rsidRPr="00383EEA">
        <w:t xml:space="preserve">Research on NER for other African language families has proceeded in parallel with Nigerian language work. The development of an </w:t>
      </w:r>
      <w:proofErr w:type="spellStart"/>
      <w:r w:rsidRPr="00383EEA">
        <w:t>Awngi</w:t>
      </w:r>
      <w:proofErr w:type="spellEnd"/>
      <w:r w:rsidRPr="00383EEA">
        <w:t xml:space="preserve"> language NER system for this Ethiopian language achieved exceptional performance using </w:t>
      </w:r>
      <w:proofErr w:type="spellStart"/>
      <w:r w:rsidRPr="00383EEA">
        <w:t>BiLSTM</w:t>
      </w:r>
      <w:proofErr w:type="spellEnd"/>
      <w:r w:rsidRPr="00383EEA">
        <w:t xml:space="preserve"> architecture with word2vec embeddings, reporting F1-scores exceeding 97% after data augmentation (Kassahun et al., 2025). The </w:t>
      </w:r>
      <w:proofErr w:type="spellStart"/>
      <w:r w:rsidRPr="00383EEA">
        <w:t>Awngi</w:t>
      </w:r>
      <w:proofErr w:type="spellEnd"/>
      <w:r w:rsidRPr="00383EEA">
        <w:t xml:space="preserve"> research benefited from careful corpus construction drawing from community media sources and educational materials, highlighting the importance of representative data collection in achieving high performance. Similarly, work on Kikuyu NER using memory-based learning algorithms demonstrated that traditional machine learning approaches remain viable for low-resource settings where neural network training data may be insufficient (Kamau, 2025).</w:t>
      </w:r>
    </w:p>
    <w:p w14:paraId="57DF3DB9" w14:textId="77777777" w:rsidR="00833A4C" w:rsidRPr="00383EEA" w:rsidRDefault="00833A4C" w:rsidP="00833A4C">
      <w:pPr>
        <w:jc w:val="both"/>
      </w:pPr>
      <w:r w:rsidRPr="00383EEA">
        <w:t xml:space="preserve">Despite these advances, significant gaps persist in African language NER coverage. The African Entity Recognition Bias Index (AERBI) developed by </w:t>
      </w:r>
      <w:proofErr w:type="spellStart"/>
      <w:r w:rsidRPr="00383EEA">
        <w:t>Shiaki</w:t>
      </w:r>
      <w:proofErr w:type="spellEnd"/>
      <w:r w:rsidRPr="00383EEA">
        <w:t xml:space="preserve"> (2025) systematically quantified performance disparities between African languages and high-resource languages, revealing that even the best-performing African NER systems lag substantially behind English-language benchmarks. The AERBI analysis further identified systematic biases in entity recognition across different entity types and linguistic contexts, with culturally specific entities such as traditional titles and location names showing particularly poor recognition rates. These findings underscore the need for continued investment in African language NER resources and the importance of culturally informed system design.</w:t>
      </w:r>
    </w:p>
    <w:p w14:paraId="2A4FD4C6" w14:textId="77777777" w:rsidR="00833A4C" w:rsidRPr="00383EEA" w:rsidRDefault="00833A4C" w:rsidP="00833A4C">
      <w:pPr>
        <w:jc w:val="both"/>
        <w:rPr>
          <w:b/>
          <w:bCs/>
        </w:rPr>
      </w:pPr>
      <w:r w:rsidRPr="00383EEA">
        <w:rPr>
          <w:b/>
          <w:bCs/>
        </w:rPr>
        <w:t>2.4 The Igala Language: Linguistic Context and Computational Challenges</w:t>
      </w:r>
    </w:p>
    <w:p w14:paraId="53A27F5A" w14:textId="77777777" w:rsidR="00833A4C" w:rsidRPr="00383EEA" w:rsidRDefault="00833A4C" w:rsidP="00833A4C">
      <w:pPr>
        <w:jc w:val="both"/>
      </w:pPr>
      <w:r w:rsidRPr="00383EEA">
        <w:t xml:space="preserve">The Igala language, spoken primarily in Kogi State, Nigeria, belongs to the </w:t>
      </w:r>
      <w:proofErr w:type="spellStart"/>
      <w:r w:rsidRPr="00383EEA">
        <w:t>Yoruboid</w:t>
      </w:r>
      <w:proofErr w:type="spellEnd"/>
      <w:r w:rsidRPr="00383EEA">
        <w:t xml:space="preserve"> group within the larger Benue-Congo branch of the Niger-Congo language family (Omachonu, 2021). Igala exhibits significant linguistic features that present both challenges and opportunities for computational </w:t>
      </w:r>
      <w:r w:rsidRPr="00383EEA">
        <w:lastRenderedPageBreak/>
        <w:t>processing. The language is tonal, with three level tones (high, mid, low) that distinguish lexical meaning and grammatical function. Tone marking is inconsistently represented in written Igala, creating ambiguity that affects entity recognition, particularly for names where tonal patterns may distinguish otherwise identical sequences (</w:t>
      </w:r>
      <w:proofErr w:type="spellStart"/>
      <w:r w:rsidRPr="00383EEA">
        <w:t>Ochala</w:t>
      </w:r>
      <w:proofErr w:type="spellEnd"/>
      <w:r w:rsidRPr="00383EEA">
        <w:t xml:space="preserve">&amp; </w:t>
      </w:r>
      <w:proofErr w:type="spellStart"/>
      <w:r w:rsidRPr="00383EEA">
        <w:t>Mbah</w:t>
      </w:r>
      <w:proofErr w:type="spellEnd"/>
      <w:r w:rsidRPr="00383EEA">
        <w:t>, 2024).</w:t>
      </w:r>
    </w:p>
    <w:p w14:paraId="1BFC8E38" w14:textId="77777777" w:rsidR="00833A4C" w:rsidRPr="00383EEA" w:rsidRDefault="00833A4C" w:rsidP="00833A4C">
      <w:pPr>
        <w:jc w:val="both"/>
      </w:pPr>
      <w:r w:rsidRPr="00383EEA">
        <w:t>Morphologically, Igala displays agglutinative characteristics with complex verb morphology incorporating subject agreement, tense-aspect marking, and derivational extensions (Adeyemi, 2022). Noun morphology is comparatively simpler but includes plural formation through prefixation and associative constructions marked by tonal changes. The interaction between morphological processes and entity mentions creates challenges for NER systems, as entity boundaries may not align with word boundaries identified through simple tokenisation. For example, person names in Igala may incorporate morphological markers indicating respect, origin, or familial relationships, complicating the identification of name boundaries and internal structure.</w:t>
      </w:r>
    </w:p>
    <w:p w14:paraId="42E8AABF" w14:textId="77777777" w:rsidR="00833A4C" w:rsidRPr="00383EEA" w:rsidRDefault="00833A4C" w:rsidP="00833A4C">
      <w:pPr>
        <w:jc w:val="both"/>
      </w:pPr>
      <w:r w:rsidRPr="00383EEA">
        <w:t xml:space="preserve">The sociolinguistic situation of Igala further complicates computational resource development. The language exists in a </w:t>
      </w:r>
      <w:proofErr w:type="spellStart"/>
      <w:r w:rsidRPr="00383EEA">
        <w:t>diglossic</w:t>
      </w:r>
      <w:proofErr w:type="spellEnd"/>
      <w:r w:rsidRPr="00383EEA">
        <w:t xml:space="preserve"> relationship with English and Nigerian Pidgin, with code-switching and borrowing common in everyday communication (Omachonu&amp; Yusuf, 2023). Written Igala exhibits substantial orthographic variation due to the absence of a single standardised orthography and limited literacy instruction in the language. These factors mean that any NER system must contend with spelling variation, inconsistent word boundaries, and mixed-language texts that diverge from the monolingual, standardised assumptions underlying most NLP systems.</w:t>
      </w:r>
    </w:p>
    <w:p w14:paraId="72EB4843" w14:textId="77777777" w:rsidR="00833A4C" w:rsidRPr="00383EEA" w:rsidRDefault="00833A4C" w:rsidP="00833A4C">
      <w:pPr>
        <w:jc w:val="both"/>
      </w:pPr>
      <w:r w:rsidRPr="00383EEA">
        <w:t>Previous computational work on Igala remains extremely limited. Sani (2023) developed an English-to-Igala neural machine translation system using an encoder-decoder architecture with attention, trained on a parallel corpus of 50,000 sentences. The system achieved a BLEU score of 71.0% on a held-out test set, demonstrating that neural approaches can achieve reasonable performance for Igala despite limited data. This machine translation work provides the only substantial precedent for Igala NLP and offers valuable resources including parallel text that could support NER corpus development through annotation projection.</w:t>
      </w:r>
    </w:p>
    <w:p w14:paraId="47401B3D" w14:textId="77777777" w:rsidR="00833A4C" w:rsidRPr="00383EEA" w:rsidRDefault="00833A4C" w:rsidP="00833A4C">
      <w:pPr>
        <w:jc w:val="both"/>
      </w:pPr>
      <w:r w:rsidRPr="00383EEA">
        <w:t>Beyond machine translation, Igala lacks fundamental NLP resources including part-of-speech taggers, parsers, and morphological analysers. This absence of foundational tools means that NER development cannot rely on pre-processed linguistic features that might simplify entity recognition, such as part-of-speech tags or syntactic parse information. The Igala NER system must therefore operate directly on raw text, learning to identify entities from surface forms and distributional patterns alone—a more challenging task than in languages with available linguistic preprocessing tools.</w:t>
      </w:r>
    </w:p>
    <w:p w14:paraId="0161D864" w14:textId="77777777" w:rsidR="00833A4C" w:rsidRPr="00383EEA" w:rsidRDefault="00833A4C" w:rsidP="00833A4C">
      <w:pPr>
        <w:jc w:val="both"/>
        <w:rPr>
          <w:b/>
          <w:bCs/>
        </w:rPr>
      </w:pPr>
      <w:r w:rsidRPr="00383EEA">
        <w:rPr>
          <w:b/>
          <w:bCs/>
        </w:rPr>
        <w:t>2.5 Research Gap and Study Contribution</w:t>
      </w:r>
    </w:p>
    <w:p w14:paraId="21B73704" w14:textId="77777777" w:rsidR="00833A4C" w:rsidRPr="00383EEA" w:rsidRDefault="00833A4C" w:rsidP="00833A4C">
      <w:pPr>
        <w:jc w:val="both"/>
      </w:pPr>
      <w:r w:rsidRPr="00383EEA">
        <w:t>The literature review reveals a clear research gap: despite progress in NER for several Nigerian languages including Hausa, Yoruba, and Igbo, no dedicated NER resources exist for the Igala language. This absence is particularly striking given Igala's substantial speaker population and its typological relationship to Yoruba, for which NER resources have been developed. The gap perpetuates the broader pattern of African language underrepresentation in NLP and excludes Igala speakers from accessing language technologies available to speakers of neighbouring languages.</w:t>
      </w:r>
    </w:p>
    <w:p w14:paraId="0CC66142" w14:textId="77777777" w:rsidR="00833A4C" w:rsidRPr="00383EEA" w:rsidRDefault="00833A4C" w:rsidP="00833A4C">
      <w:pPr>
        <w:jc w:val="both"/>
      </w:pPr>
      <w:r w:rsidRPr="00383EEA">
        <w:t xml:space="preserve">This study addresses the identified gap through three primary contributions. First, it creates the first manually annotated NER corpus for Igala, establishing a foundational resource that enables future research and system development. Second, it implements and evaluates multiple NER architectures, providing empirical evidence regarding optimal approaches for Igala specifically and for low-resource </w:t>
      </w:r>
      <w:proofErr w:type="spellStart"/>
      <w:r w:rsidRPr="00383EEA">
        <w:lastRenderedPageBreak/>
        <w:t>Yoruboid</w:t>
      </w:r>
      <w:proofErr w:type="spellEnd"/>
      <w:r w:rsidRPr="00383EEA">
        <w:t xml:space="preserve"> languages generally. Third, it establishes baseline performance benchmarks that can guide future work and enable systematic comparison of alternative methodologies. These contributions advance both the specific goal of Igala language technology and the broader objective of expanding African language NLP coverage.</w:t>
      </w:r>
    </w:p>
    <w:p w14:paraId="318DE6EC" w14:textId="77777777" w:rsidR="0058452F" w:rsidRPr="00383EEA" w:rsidRDefault="0058452F" w:rsidP="0058452F">
      <w:pPr>
        <w:jc w:val="both"/>
        <w:rPr>
          <w:b/>
          <w:bCs/>
        </w:rPr>
      </w:pPr>
      <w:r w:rsidRPr="00383EEA">
        <w:rPr>
          <w:b/>
          <w:bCs/>
        </w:rPr>
        <w:t xml:space="preserve">3. Methodology </w:t>
      </w:r>
    </w:p>
    <w:p w14:paraId="2BE0C7EF" w14:textId="77777777" w:rsidR="0058452F" w:rsidRPr="00383EEA" w:rsidRDefault="0058452F" w:rsidP="0058452F">
      <w:pPr>
        <w:jc w:val="both"/>
      </w:pPr>
      <w:r w:rsidRPr="00383EEA">
        <w:t xml:space="preserve">This study adopted a </w:t>
      </w:r>
      <w:r w:rsidRPr="00383EEA">
        <w:rPr>
          <w:b/>
          <w:bCs/>
        </w:rPr>
        <w:t>design science research (DSR)</w:t>
      </w:r>
      <w:r w:rsidRPr="00383EEA">
        <w:t xml:space="preserve"> methodology to develop and evaluate a novel Named Entity Recognition (NER) system for the Igala language. Design science research focuses on building and rigorously assessing innovative artefacts that solve identified practical problems while contributing to disciplinary knowledge (Peffers et al., 2020). The study followed four sequential phases: problem identification (establishing the absence of Igala NER resources), objectives definition (specifying entity types and performance criteria), artefact design and development (corpus creation, annotation, and model implementation), and demonstration and evaluation through systematic experimentation.</w:t>
      </w:r>
    </w:p>
    <w:p w14:paraId="6962F600" w14:textId="77777777" w:rsidR="0058452F" w:rsidRPr="00383EEA" w:rsidRDefault="0058452F" w:rsidP="0058452F">
      <w:pPr>
        <w:jc w:val="both"/>
      </w:pPr>
      <w:r w:rsidRPr="00383EEA">
        <w:t xml:space="preserve">A high-quality annotated corpus was constructed from diverse Igala text sources to ensure linguistic representativeness. These sources included educational materials, radio broadcast transcripts, social media posts, and oral literature collections. After preprocessing (deduplication, UTF-8 standardisation, and rule-based sentence segmentation), the final corpus comprised </w:t>
      </w:r>
      <w:r w:rsidRPr="00383EEA">
        <w:rPr>
          <w:b/>
          <w:bCs/>
        </w:rPr>
        <w:t>35,000 sentences and 425,160 tokens</w:t>
      </w:r>
      <w:r w:rsidRPr="00383EEA">
        <w:t>, as detailed in Table 1.</w:t>
      </w:r>
    </w:p>
    <w:p w14:paraId="14843BDA" w14:textId="77777777" w:rsidR="0058452F" w:rsidRPr="00383EEA" w:rsidRDefault="0058452F" w:rsidP="0058452F">
      <w:pPr>
        <w:jc w:val="both"/>
        <w:rPr>
          <w:b/>
          <w:bCs/>
        </w:rPr>
      </w:pPr>
      <w:r w:rsidRPr="00383EEA">
        <w:rPr>
          <w:b/>
          <w:bCs/>
        </w:rPr>
        <w:t>Table 1: Composition of Igala Text Corpus by Source Type</w:t>
      </w:r>
    </w:p>
    <w:tbl>
      <w:tblPr>
        <w:tblStyle w:val="TableGrid"/>
        <w:tblW w:w="0" w:type="auto"/>
        <w:tblLook w:val="04A0" w:firstRow="1" w:lastRow="0" w:firstColumn="1" w:lastColumn="0" w:noHBand="0" w:noVBand="1"/>
      </w:tblPr>
      <w:tblGrid>
        <w:gridCol w:w="2674"/>
        <w:gridCol w:w="1253"/>
        <w:gridCol w:w="1140"/>
        <w:gridCol w:w="942"/>
        <w:gridCol w:w="2154"/>
      </w:tblGrid>
      <w:tr w:rsidR="0058452F" w:rsidRPr="00383EEA" w14:paraId="4DD775F5" w14:textId="77777777" w:rsidTr="0058452F">
        <w:tc>
          <w:tcPr>
            <w:tcW w:w="0" w:type="auto"/>
            <w:hideMark/>
          </w:tcPr>
          <w:p w14:paraId="2FF8CDE6" w14:textId="77777777" w:rsidR="0058452F" w:rsidRPr="00383EEA" w:rsidRDefault="0058452F" w:rsidP="0058452F">
            <w:pPr>
              <w:spacing w:after="160" w:line="259" w:lineRule="auto"/>
              <w:jc w:val="both"/>
              <w:rPr>
                <w:b/>
                <w:bCs/>
              </w:rPr>
            </w:pPr>
            <w:r w:rsidRPr="00383EEA">
              <w:rPr>
                <w:b/>
                <w:bCs/>
              </w:rPr>
              <w:t>Source Category</w:t>
            </w:r>
          </w:p>
        </w:tc>
        <w:tc>
          <w:tcPr>
            <w:tcW w:w="0" w:type="auto"/>
            <w:hideMark/>
          </w:tcPr>
          <w:p w14:paraId="76FFB0C4" w14:textId="77777777" w:rsidR="0058452F" w:rsidRPr="00383EEA" w:rsidRDefault="0058452F" w:rsidP="0058452F">
            <w:pPr>
              <w:spacing w:after="160" w:line="259" w:lineRule="auto"/>
              <w:jc w:val="both"/>
              <w:rPr>
                <w:b/>
                <w:bCs/>
              </w:rPr>
            </w:pPr>
            <w:r w:rsidRPr="00383EEA">
              <w:rPr>
                <w:b/>
                <w:bCs/>
              </w:rPr>
              <w:t>Documents</w:t>
            </w:r>
          </w:p>
        </w:tc>
        <w:tc>
          <w:tcPr>
            <w:tcW w:w="0" w:type="auto"/>
            <w:hideMark/>
          </w:tcPr>
          <w:p w14:paraId="4A2D4298" w14:textId="77777777" w:rsidR="0058452F" w:rsidRPr="00383EEA" w:rsidRDefault="0058452F" w:rsidP="0058452F">
            <w:pPr>
              <w:spacing w:after="160" w:line="259" w:lineRule="auto"/>
              <w:jc w:val="both"/>
              <w:rPr>
                <w:b/>
                <w:bCs/>
              </w:rPr>
            </w:pPr>
            <w:r w:rsidRPr="00383EEA">
              <w:rPr>
                <w:b/>
                <w:bCs/>
              </w:rPr>
              <w:t>Sentences</w:t>
            </w:r>
          </w:p>
        </w:tc>
        <w:tc>
          <w:tcPr>
            <w:tcW w:w="0" w:type="auto"/>
            <w:hideMark/>
          </w:tcPr>
          <w:p w14:paraId="45609091" w14:textId="77777777" w:rsidR="0058452F" w:rsidRPr="00383EEA" w:rsidRDefault="0058452F" w:rsidP="0058452F">
            <w:pPr>
              <w:spacing w:after="160" w:line="259" w:lineRule="auto"/>
              <w:jc w:val="both"/>
              <w:rPr>
                <w:b/>
                <w:bCs/>
              </w:rPr>
            </w:pPr>
            <w:r w:rsidRPr="00383EEA">
              <w:rPr>
                <w:b/>
                <w:bCs/>
              </w:rPr>
              <w:t>Tokens</w:t>
            </w:r>
          </w:p>
        </w:tc>
        <w:tc>
          <w:tcPr>
            <w:tcW w:w="0" w:type="auto"/>
            <w:hideMark/>
          </w:tcPr>
          <w:p w14:paraId="2496F23B" w14:textId="77777777" w:rsidR="0058452F" w:rsidRPr="00383EEA" w:rsidRDefault="0058452F" w:rsidP="0058452F">
            <w:pPr>
              <w:spacing w:after="160" w:line="259" w:lineRule="auto"/>
              <w:jc w:val="both"/>
              <w:rPr>
                <w:b/>
                <w:bCs/>
              </w:rPr>
            </w:pPr>
            <w:r w:rsidRPr="00383EEA">
              <w:rPr>
                <w:b/>
                <w:bCs/>
              </w:rPr>
              <w:t>Percentage of Corpus</w:t>
            </w:r>
          </w:p>
        </w:tc>
      </w:tr>
      <w:tr w:rsidR="0058452F" w:rsidRPr="00383EEA" w14:paraId="790A4529" w14:textId="77777777" w:rsidTr="0058452F">
        <w:tc>
          <w:tcPr>
            <w:tcW w:w="0" w:type="auto"/>
            <w:hideMark/>
          </w:tcPr>
          <w:p w14:paraId="5DD51E81" w14:textId="77777777" w:rsidR="0058452F" w:rsidRPr="00383EEA" w:rsidRDefault="0058452F" w:rsidP="0058452F">
            <w:pPr>
              <w:spacing w:after="160" w:line="259" w:lineRule="auto"/>
              <w:jc w:val="both"/>
            </w:pPr>
            <w:r w:rsidRPr="00383EEA">
              <w:t>Educational Materials</w:t>
            </w:r>
          </w:p>
        </w:tc>
        <w:tc>
          <w:tcPr>
            <w:tcW w:w="0" w:type="auto"/>
            <w:hideMark/>
          </w:tcPr>
          <w:p w14:paraId="54002749" w14:textId="77777777" w:rsidR="0058452F" w:rsidRPr="00383EEA" w:rsidRDefault="0058452F" w:rsidP="0058452F">
            <w:pPr>
              <w:spacing w:after="160" w:line="259" w:lineRule="auto"/>
              <w:jc w:val="both"/>
            </w:pPr>
            <w:r w:rsidRPr="00383EEA">
              <w:t>45</w:t>
            </w:r>
          </w:p>
        </w:tc>
        <w:tc>
          <w:tcPr>
            <w:tcW w:w="0" w:type="auto"/>
            <w:hideMark/>
          </w:tcPr>
          <w:p w14:paraId="24EFEEFE" w14:textId="77777777" w:rsidR="0058452F" w:rsidRPr="00383EEA" w:rsidRDefault="0058452F" w:rsidP="0058452F">
            <w:pPr>
              <w:spacing w:after="160" w:line="259" w:lineRule="auto"/>
              <w:jc w:val="both"/>
            </w:pPr>
            <w:r w:rsidRPr="00383EEA">
              <w:t>12,450</w:t>
            </w:r>
          </w:p>
        </w:tc>
        <w:tc>
          <w:tcPr>
            <w:tcW w:w="0" w:type="auto"/>
            <w:hideMark/>
          </w:tcPr>
          <w:p w14:paraId="23B04717" w14:textId="77777777" w:rsidR="0058452F" w:rsidRPr="00383EEA" w:rsidRDefault="0058452F" w:rsidP="0058452F">
            <w:pPr>
              <w:spacing w:after="160" w:line="259" w:lineRule="auto"/>
              <w:jc w:val="both"/>
            </w:pPr>
            <w:r w:rsidRPr="00383EEA">
              <w:t>156,870</w:t>
            </w:r>
          </w:p>
        </w:tc>
        <w:tc>
          <w:tcPr>
            <w:tcW w:w="0" w:type="auto"/>
            <w:hideMark/>
          </w:tcPr>
          <w:p w14:paraId="3CA3F567" w14:textId="77777777" w:rsidR="0058452F" w:rsidRPr="00383EEA" w:rsidRDefault="0058452F" w:rsidP="0058452F">
            <w:pPr>
              <w:spacing w:after="160" w:line="259" w:lineRule="auto"/>
              <w:jc w:val="both"/>
            </w:pPr>
            <w:r w:rsidRPr="00383EEA">
              <w:t>36.9%</w:t>
            </w:r>
          </w:p>
        </w:tc>
      </w:tr>
      <w:tr w:rsidR="0058452F" w:rsidRPr="00383EEA" w14:paraId="62328CED" w14:textId="77777777" w:rsidTr="0058452F">
        <w:tc>
          <w:tcPr>
            <w:tcW w:w="0" w:type="auto"/>
            <w:hideMark/>
          </w:tcPr>
          <w:p w14:paraId="1A0C2072" w14:textId="77777777" w:rsidR="0058452F" w:rsidRPr="00383EEA" w:rsidRDefault="0058452F" w:rsidP="0058452F">
            <w:pPr>
              <w:spacing w:after="160" w:line="259" w:lineRule="auto"/>
              <w:jc w:val="both"/>
            </w:pPr>
            <w:r w:rsidRPr="00383EEA">
              <w:t>Radio Broadcast Transcripts</w:t>
            </w:r>
          </w:p>
        </w:tc>
        <w:tc>
          <w:tcPr>
            <w:tcW w:w="0" w:type="auto"/>
            <w:hideMark/>
          </w:tcPr>
          <w:p w14:paraId="5E457447" w14:textId="77777777" w:rsidR="0058452F" w:rsidRPr="00383EEA" w:rsidRDefault="0058452F" w:rsidP="0058452F">
            <w:pPr>
              <w:spacing w:after="160" w:line="259" w:lineRule="auto"/>
              <w:jc w:val="both"/>
            </w:pPr>
            <w:r w:rsidRPr="00383EEA">
              <w:t>28</w:t>
            </w:r>
          </w:p>
        </w:tc>
        <w:tc>
          <w:tcPr>
            <w:tcW w:w="0" w:type="auto"/>
            <w:hideMark/>
          </w:tcPr>
          <w:p w14:paraId="298AB0D8" w14:textId="77777777" w:rsidR="0058452F" w:rsidRPr="00383EEA" w:rsidRDefault="0058452F" w:rsidP="0058452F">
            <w:pPr>
              <w:spacing w:after="160" w:line="259" w:lineRule="auto"/>
              <w:jc w:val="both"/>
            </w:pPr>
            <w:r w:rsidRPr="00383EEA">
              <w:t>9,830</w:t>
            </w:r>
          </w:p>
        </w:tc>
        <w:tc>
          <w:tcPr>
            <w:tcW w:w="0" w:type="auto"/>
            <w:hideMark/>
          </w:tcPr>
          <w:p w14:paraId="48AF1B45" w14:textId="77777777" w:rsidR="0058452F" w:rsidRPr="00383EEA" w:rsidRDefault="0058452F" w:rsidP="0058452F">
            <w:pPr>
              <w:spacing w:after="160" w:line="259" w:lineRule="auto"/>
              <w:jc w:val="both"/>
            </w:pPr>
            <w:r w:rsidRPr="00383EEA">
              <w:t>123,410</w:t>
            </w:r>
          </w:p>
        </w:tc>
        <w:tc>
          <w:tcPr>
            <w:tcW w:w="0" w:type="auto"/>
            <w:hideMark/>
          </w:tcPr>
          <w:p w14:paraId="00B606E1" w14:textId="77777777" w:rsidR="0058452F" w:rsidRPr="00383EEA" w:rsidRDefault="0058452F" w:rsidP="0058452F">
            <w:pPr>
              <w:spacing w:after="160" w:line="259" w:lineRule="auto"/>
              <w:jc w:val="both"/>
            </w:pPr>
            <w:r w:rsidRPr="00383EEA">
              <w:t>29.0%</w:t>
            </w:r>
          </w:p>
        </w:tc>
      </w:tr>
      <w:tr w:rsidR="0058452F" w:rsidRPr="00383EEA" w14:paraId="69A94CBD" w14:textId="77777777" w:rsidTr="0058452F">
        <w:tc>
          <w:tcPr>
            <w:tcW w:w="0" w:type="auto"/>
            <w:hideMark/>
          </w:tcPr>
          <w:p w14:paraId="485539DD" w14:textId="77777777" w:rsidR="0058452F" w:rsidRPr="00383EEA" w:rsidRDefault="0058452F" w:rsidP="0058452F">
            <w:pPr>
              <w:spacing w:after="160" w:line="259" w:lineRule="auto"/>
              <w:jc w:val="both"/>
            </w:pPr>
            <w:r w:rsidRPr="00383EEA">
              <w:t>Social Media Posts</w:t>
            </w:r>
          </w:p>
        </w:tc>
        <w:tc>
          <w:tcPr>
            <w:tcW w:w="0" w:type="auto"/>
            <w:hideMark/>
          </w:tcPr>
          <w:p w14:paraId="0899A975" w14:textId="77777777" w:rsidR="0058452F" w:rsidRPr="00383EEA" w:rsidRDefault="0058452F" w:rsidP="0058452F">
            <w:pPr>
              <w:spacing w:after="160" w:line="259" w:lineRule="auto"/>
              <w:jc w:val="both"/>
            </w:pPr>
            <w:r w:rsidRPr="00383EEA">
              <w:t>156</w:t>
            </w:r>
          </w:p>
        </w:tc>
        <w:tc>
          <w:tcPr>
            <w:tcW w:w="0" w:type="auto"/>
            <w:hideMark/>
          </w:tcPr>
          <w:p w14:paraId="0A069CA3" w14:textId="77777777" w:rsidR="0058452F" w:rsidRPr="00383EEA" w:rsidRDefault="0058452F" w:rsidP="0058452F">
            <w:pPr>
              <w:spacing w:after="160" w:line="259" w:lineRule="auto"/>
              <w:jc w:val="both"/>
            </w:pPr>
            <w:r w:rsidRPr="00383EEA">
              <w:t>7,240</w:t>
            </w:r>
          </w:p>
        </w:tc>
        <w:tc>
          <w:tcPr>
            <w:tcW w:w="0" w:type="auto"/>
            <w:hideMark/>
          </w:tcPr>
          <w:p w14:paraId="3AB3D65B" w14:textId="77777777" w:rsidR="0058452F" w:rsidRPr="00383EEA" w:rsidRDefault="0058452F" w:rsidP="0058452F">
            <w:pPr>
              <w:spacing w:after="160" w:line="259" w:lineRule="auto"/>
              <w:jc w:val="both"/>
            </w:pPr>
            <w:r w:rsidRPr="00383EEA">
              <w:t>89,760</w:t>
            </w:r>
          </w:p>
        </w:tc>
        <w:tc>
          <w:tcPr>
            <w:tcW w:w="0" w:type="auto"/>
            <w:hideMark/>
          </w:tcPr>
          <w:p w14:paraId="2033434B" w14:textId="77777777" w:rsidR="0058452F" w:rsidRPr="00383EEA" w:rsidRDefault="0058452F" w:rsidP="0058452F">
            <w:pPr>
              <w:spacing w:after="160" w:line="259" w:lineRule="auto"/>
              <w:jc w:val="both"/>
            </w:pPr>
            <w:r w:rsidRPr="00383EEA">
              <w:t>21.1%</w:t>
            </w:r>
          </w:p>
        </w:tc>
      </w:tr>
      <w:tr w:rsidR="0058452F" w:rsidRPr="00383EEA" w14:paraId="6D2CA3A8" w14:textId="77777777" w:rsidTr="0058452F">
        <w:tc>
          <w:tcPr>
            <w:tcW w:w="0" w:type="auto"/>
            <w:hideMark/>
          </w:tcPr>
          <w:p w14:paraId="1EF1ED37" w14:textId="77777777" w:rsidR="0058452F" w:rsidRPr="00383EEA" w:rsidRDefault="0058452F" w:rsidP="0058452F">
            <w:pPr>
              <w:spacing w:after="160" w:line="259" w:lineRule="auto"/>
              <w:jc w:val="both"/>
            </w:pPr>
            <w:r w:rsidRPr="00383EEA">
              <w:t>Oral Literature Collections</w:t>
            </w:r>
          </w:p>
        </w:tc>
        <w:tc>
          <w:tcPr>
            <w:tcW w:w="0" w:type="auto"/>
            <w:hideMark/>
          </w:tcPr>
          <w:p w14:paraId="422628CD" w14:textId="77777777" w:rsidR="0058452F" w:rsidRPr="00383EEA" w:rsidRDefault="0058452F" w:rsidP="0058452F">
            <w:pPr>
              <w:spacing w:after="160" w:line="259" w:lineRule="auto"/>
              <w:jc w:val="both"/>
            </w:pPr>
            <w:r w:rsidRPr="00383EEA">
              <w:t>12</w:t>
            </w:r>
          </w:p>
        </w:tc>
        <w:tc>
          <w:tcPr>
            <w:tcW w:w="0" w:type="auto"/>
            <w:hideMark/>
          </w:tcPr>
          <w:p w14:paraId="4CF827CC" w14:textId="77777777" w:rsidR="0058452F" w:rsidRPr="00383EEA" w:rsidRDefault="0058452F" w:rsidP="0058452F">
            <w:pPr>
              <w:spacing w:after="160" w:line="259" w:lineRule="auto"/>
              <w:jc w:val="both"/>
            </w:pPr>
            <w:r w:rsidRPr="00383EEA">
              <w:t>5,480</w:t>
            </w:r>
          </w:p>
        </w:tc>
        <w:tc>
          <w:tcPr>
            <w:tcW w:w="0" w:type="auto"/>
            <w:hideMark/>
          </w:tcPr>
          <w:p w14:paraId="671BA974" w14:textId="77777777" w:rsidR="0058452F" w:rsidRPr="00383EEA" w:rsidRDefault="0058452F" w:rsidP="0058452F">
            <w:pPr>
              <w:spacing w:after="160" w:line="259" w:lineRule="auto"/>
              <w:jc w:val="both"/>
            </w:pPr>
            <w:r w:rsidRPr="00383EEA">
              <w:t>55,120</w:t>
            </w:r>
          </w:p>
        </w:tc>
        <w:tc>
          <w:tcPr>
            <w:tcW w:w="0" w:type="auto"/>
            <w:hideMark/>
          </w:tcPr>
          <w:p w14:paraId="2B40BA02" w14:textId="77777777" w:rsidR="0058452F" w:rsidRPr="00383EEA" w:rsidRDefault="0058452F" w:rsidP="0058452F">
            <w:pPr>
              <w:spacing w:after="160" w:line="259" w:lineRule="auto"/>
              <w:jc w:val="both"/>
            </w:pPr>
            <w:r w:rsidRPr="00383EEA">
              <w:t>13.0%</w:t>
            </w:r>
          </w:p>
        </w:tc>
      </w:tr>
      <w:tr w:rsidR="0058452F" w:rsidRPr="00383EEA" w14:paraId="5A0C1E76" w14:textId="77777777" w:rsidTr="0058452F">
        <w:tc>
          <w:tcPr>
            <w:tcW w:w="0" w:type="auto"/>
            <w:hideMark/>
          </w:tcPr>
          <w:p w14:paraId="648F686D" w14:textId="77777777" w:rsidR="0058452F" w:rsidRPr="00383EEA" w:rsidRDefault="0058452F" w:rsidP="0058452F">
            <w:pPr>
              <w:spacing w:after="160" w:line="259" w:lineRule="auto"/>
              <w:jc w:val="both"/>
            </w:pPr>
            <w:r w:rsidRPr="00383EEA">
              <w:rPr>
                <w:b/>
                <w:bCs/>
              </w:rPr>
              <w:t>Total</w:t>
            </w:r>
          </w:p>
        </w:tc>
        <w:tc>
          <w:tcPr>
            <w:tcW w:w="0" w:type="auto"/>
            <w:hideMark/>
          </w:tcPr>
          <w:p w14:paraId="6CA61C4D" w14:textId="77777777" w:rsidR="0058452F" w:rsidRPr="00383EEA" w:rsidRDefault="0058452F" w:rsidP="0058452F">
            <w:pPr>
              <w:spacing w:after="160" w:line="259" w:lineRule="auto"/>
              <w:jc w:val="both"/>
            </w:pPr>
            <w:r w:rsidRPr="00383EEA">
              <w:rPr>
                <w:b/>
                <w:bCs/>
              </w:rPr>
              <w:t>241</w:t>
            </w:r>
          </w:p>
        </w:tc>
        <w:tc>
          <w:tcPr>
            <w:tcW w:w="0" w:type="auto"/>
            <w:hideMark/>
          </w:tcPr>
          <w:p w14:paraId="3B9895BB" w14:textId="77777777" w:rsidR="0058452F" w:rsidRPr="00383EEA" w:rsidRDefault="0058452F" w:rsidP="0058452F">
            <w:pPr>
              <w:spacing w:after="160" w:line="259" w:lineRule="auto"/>
              <w:jc w:val="both"/>
            </w:pPr>
            <w:r w:rsidRPr="00383EEA">
              <w:rPr>
                <w:b/>
                <w:bCs/>
              </w:rPr>
              <w:t>35,000</w:t>
            </w:r>
          </w:p>
        </w:tc>
        <w:tc>
          <w:tcPr>
            <w:tcW w:w="0" w:type="auto"/>
            <w:hideMark/>
          </w:tcPr>
          <w:p w14:paraId="67B5062A" w14:textId="77777777" w:rsidR="0058452F" w:rsidRPr="00383EEA" w:rsidRDefault="0058452F" w:rsidP="0058452F">
            <w:pPr>
              <w:spacing w:after="160" w:line="259" w:lineRule="auto"/>
              <w:jc w:val="both"/>
            </w:pPr>
            <w:r w:rsidRPr="00383EEA">
              <w:rPr>
                <w:b/>
                <w:bCs/>
              </w:rPr>
              <w:t>425,160</w:t>
            </w:r>
          </w:p>
        </w:tc>
        <w:tc>
          <w:tcPr>
            <w:tcW w:w="0" w:type="auto"/>
            <w:hideMark/>
          </w:tcPr>
          <w:p w14:paraId="26BA744B" w14:textId="77777777" w:rsidR="0058452F" w:rsidRPr="00383EEA" w:rsidRDefault="0058452F" w:rsidP="0058452F">
            <w:pPr>
              <w:spacing w:after="160" w:line="259" w:lineRule="auto"/>
              <w:jc w:val="both"/>
            </w:pPr>
            <w:r w:rsidRPr="00383EEA">
              <w:rPr>
                <w:b/>
                <w:bCs/>
              </w:rPr>
              <w:t>100%</w:t>
            </w:r>
          </w:p>
        </w:tc>
      </w:tr>
    </w:tbl>
    <w:p w14:paraId="1DF97E12" w14:textId="77777777" w:rsidR="0058452F" w:rsidRPr="00383EEA" w:rsidRDefault="0058452F" w:rsidP="0058452F">
      <w:pPr>
        <w:jc w:val="both"/>
      </w:pPr>
      <w:r w:rsidRPr="00383EEA">
        <w:rPr>
          <w:i/>
          <w:iCs/>
        </w:rPr>
        <w:t>Source: Compiled by author from corpus documentation (2024)</w:t>
      </w:r>
    </w:p>
    <w:p w14:paraId="07662CEB" w14:textId="77777777" w:rsidR="0058452F" w:rsidRPr="00383EEA" w:rsidRDefault="0058452F" w:rsidP="0058452F">
      <w:pPr>
        <w:jc w:val="both"/>
      </w:pPr>
      <w:r w:rsidRPr="00383EEA">
        <w:t xml:space="preserve">Four entity categories were annotated: Person (PER), Location (LOC), Organisation (ORG), and Date (DATE). Annotation was performed by three trained native Igala linguists using the BRAT tool, with quality control ensured through inter-annotator agreement assessment. Fleiss’ kappa scores of 0.89 (identification) and 0.92 (classification) indicate high reliability. The final corpus contains </w:t>
      </w:r>
      <w:r w:rsidRPr="00383EEA">
        <w:rPr>
          <w:b/>
          <w:bCs/>
        </w:rPr>
        <w:t>74,510 annotated entities</w:t>
      </w:r>
      <w:r w:rsidRPr="00383EEA">
        <w:t>, distributed as shown in Table 2.</w:t>
      </w:r>
    </w:p>
    <w:p w14:paraId="75D5E592" w14:textId="77777777" w:rsidR="0058452F" w:rsidRPr="00383EEA" w:rsidRDefault="0058452F" w:rsidP="0058452F">
      <w:pPr>
        <w:jc w:val="both"/>
        <w:rPr>
          <w:b/>
          <w:bCs/>
        </w:rPr>
      </w:pPr>
      <w:r w:rsidRPr="00383EEA">
        <w:rPr>
          <w:b/>
          <w:bCs/>
        </w:rPr>
        <w:t>Table 2: Distribution of Annotated Entities by Type in Igala NER Corpus</w:t>
      </w:r>
    </w:p>
    <w:tbl>
      <w:tblPr>
        <w:tblStyle w:val="TableGrid"/>
        <w:tblW w:w="0" w:type="auto"/>
        <w:tblLook w:val="04A0" w:firstRow="1" w:lastRow="0" w:firstColumn="1" w:lastColumn="0" w:noHBand="0" w:noVBand="1"/>
      </w:tblPr>
      <w:tblGrid>
        <w:gridCol w:w="1802"/>
        <w:gridCol w:w="1227"/>
        <w:gridCol w:w="1794"/>
        <w:gridCol w:w="2098"/>
        <w:gridCol w:w="2321"/>
      </w:tblGrid>
      <w:tr w:rsidR="0058452F" w:rsidRPr="00383EEA" w14:paraId="2E46D80E" w14:textId="77777777" w:rsidTr="0058452F">
        <w:tc>
          <w:tcPr>
            <w:tcW w:w="0" w:type="auto"/>
            <w:hideMark/>
          </w:tcPr>
          <w:p w14:paraId="29D506B4" w14:textId="77777777" w:rsidR="0058452F" w:rsidRPr="00383EEA" w:rsidRDefault="0058452F" w:rsidP="0058452F">
            <w:pPr>
              <w:spacing w:after="160" w:line="259" w:lineRule="auto"/>
              <w:jc w:val="both"/>
              <w:rPr>
                <w:b/>
                <w:bCs/>
              </w:rPr>
            </w:pPr>
            <w:r w:rsidRPr="00383EEA">
              <w:rPr>
                <w:b/>
                <w:bCs/>
              </w:rPr>
              <w:t>Entity Type</w:t>
            </w:r>
          </w:p>
        </w:tc>
        <w:tc>
          <w:tcPr>
            <w:tcW w:w="0" w:type="auto"/>
            <w:hideMark/>
          </w:tcPr>
          <w:p w14:paraId="6C6EFA2F" w14:textId="77777777" w:rsidR="0058452F" w:rsidRPr="00383EEA" w:rsidRDefault="0058452F" w:rsidP="0058452F">
            <w:pPr>
              <w:spacing w:after="160" w:line="259" w:lineRule="auto"/>
              <w:jc w:val="both"/>
              <w:rPr>
                <w:b/>
                <w:bCs/>
              </w:rPr>
            </w:pPr>
            <w:r w:rsidRPr="00383EEA">
              <w:rPr>
                <w:b/>
                <w:bCs/>
              </w:rPr>
              <w:t>Entity Count</w:t>
            </w:r>
          </w:p>
        </w:tc>
        <w:tc>
          <w:tcPr>
            <w:tcW w:w="0" w:type="auto"/>
            <w:hideMark/>
          </w:tcPr>
          <w:p w14:paraId="7880D242" w14:textId="77777777" w:rsidR="0058452F" w:rsidRPr="00383EEA" w:rsidRDefault="0058452F" w:rsidP="0058452F">
            <w:pPr>
              <w:spacing w:after="160" w:line="259" w:lineRule="auto"/>
              <w:jc w:val="both"/>
              <w:rPr>
                <w:b/>
                <w:bCs/>
              </w:rPr>
            </w:pPr>
            <w:r w:rsidRPr="00383EEA">
              <w:rPr>
                <w:b/>
                <w:bCs/>
              </w:rPr>
              <w:t>Percentage of Total</w:t>
            </w:r>
          </w:p>
        </w:tc>
        <w:tc>
          <w:tcPr>
            <w:tcW w:w="0" w:type="auto"/>
            <w:hideMark/>
          </w:tcPr>
          <w:p w14:paraId="010F317B" w14:textId="77777777" w:rsidR="0058452F" w:rsidRPr="00383EEA" w:rsidRDefault="0058452F" w:rsidP="0058452F">
            <w:pPr>
              <w:spacing w:after="160" w:line="259" w:lineRule="auto"/>
              <w:jc w:val="both"/>
              <w:rPr>
                <w:b/>
                <w:bCs/>
              </w:rPr>
            </w:pPr>
            <w:r w:rsidRPr="00383EEA">
              <w:rPr>
                <w:b/>
                <w:bCs/>
              </w:rPr>
              <w:t>Average Length (Tokens)</w:t>
            </w:r>
          </w:p>
        </w:tc>
        <w:tc>
          <w:tcPr>
            <w:tcW w:w="0" w:type="auto"/>
            <w:hideMark/>
          </w:tcPr>
          <w:p w14:paraId="3EE9E6C5" w14:textId="77777777" w:rsidR="0058452F" w:rsidRPr="00383EEA" w:rsidRDefault="0058452F" w:rsidP="0058452F">
            <w:pPr>
              <w:spacing w:after="160" w:line="259" w:lineRule="auto"/>
              <w:jc w:val="both"/>
              <w:rPr>
                <w:b/>
                <w:bCs/>
              </w:rPr>
            </w:pPr>
            <w:r w:rsidRPr="00383EEA">
              <w:rPr>
                <w:b/>
                <w:bCs/>
              </w:rPr>
              <w:t>Sentences Containing Type</w:t>
            </w:r>
          </w:p>
        </w:tc>
      </w:tr>
      <w:tr w:rsidR="0058452F" w:rsidRPr="00383EEA" w14:paraId="39466208" w14:textId="77777777" w:rsidTr="0058452F">
        <w:tc>
          <w:tcPr>
            <w:tcW w:w="0" w:type="auto"/>
            <w:hideMark/>
          </w:tcPr>
          <w:p w14:paraId="6EDB50C6" w14:textId="77777777" w:rsidR="0058452F" w:rsidRPr="00383EEA" w:rsidRDefault="0058452F" w:rsidP="0058452F">
            <w:pPr>
              <w:spacing w:after="160" w:line="259" w:lineRule="auto"/>
              <w:jc w:val="both"/>
            </w:pPr>
            <w:r w:rsidRPr="00383EEA">
              <w:t>Person (PER)</w:t>
            </w:r>
          </w:p>
        </w:tc>
        <w:tc>
          <w:tcPr>
            <w:tcW w:w="0" w:type="auto"/>
            <w:hideMark/>
          </w:tcPr>
          <w:p w14:paraId="6EB6A4E7" w14:textId="77777777" w:rsidR="0058452F" w:rsidRPr="00383EEA" w:rsidRDefault="0058452F" w:rsidP="0058452F">
            <w:pPr>
              <w:spacing w:after="160" w:line="259" w:lineRule="auto"/>
              <w:jc w:val="both"/>
            </w:pPr>
            <w:r w:rsidRPr="00383EEA">
              <w:t>28,450</w:t>
            </w:r>
          </w:p>
        </w:tc>
        <w:tc>
          <w:tcPr>
            <w:tcW w:w="0" w:type="auto"/>
            <w:hideMark/>
          </w:tcPr>
          <w:p w14:paraId="6FE11E30" w14:textId="77777777" w:rsidR="0058452F" w:rsidRPr="00383EEA" w:rsidRDefault="0058452F" w:rsidP="0058452F">
            <w:pPr>
              <w:spacing w:after="160" w:line="259" w:lineRule="auto"/>
              <w:jc w:val="both"/>
            </w:pPr>
            <w:r w:rsidRPr="00383EEA">
              <w:t>38.2%</w:t>
            </w:r>
          </w:p>
        </w:tc>
        <w:tc>
          <w:tcPr>
            <w:tcW w:w="0" w:type="auto"/>
            <w:hideMark/>
          </w:tcPr>
          <w:p w14:paraId="2A500369" w14:textId="77777777" w:rsidR="0058452F" w:rsidRPr="00383EEA" w:rsidRDefault="0058452F" w:rsidP="0058452F">
            <w:pPr>
              <w:spacing w:after="160" w:line="259" w:lineRule="auto"/>
              <w:jc w:val="both"/>
            </w:pPr>
            <w:r w:rsidRPr="00383EEA">
              <w:t>2.4</w:t>
            </w:r>
          </w:p>
        </w:tc>
        <w:tc>
          <w:tcPr>
            <w:tcW w:w="0" w:type="auto"/>
            <w:hideMark/>
          </w:tcPr>
          <w:p w14:paraId="5A9FA33E" w14:textId="77777777" w:rsidR="0058452F" w:rsidRPr="00383EEA" w:rsidRDefault="0058452F" w:rsidP="0058452F">
            <w:pPr>
              <w:spacing w:after="160" w:line="259" w:lineRule="auto"/>
              <w:jc w:val="both"/>
            </w:pPr>
            <w:r w:rsidRPr="00383EEA">
              <w:t>14,850 (42.4%)</w:t>
            </w:r>
          </w:p>
        </w:tc>
      </w:tr>
      <w:tr w:rsidR="0058452F" w:rsidRPr="00383EEA" w14:paraId="4B755213" w14:textId="77777777" w:rsidTr="0058452F">
        <w:tc>
          <w:tcPr>
            <w:tcW w:w="0" w:type="auto"/>
            <w:hideMark/>
          </w:tcPr>
          <w:p w14:paraId="5C2BA4F2" w14:textId="77777777" w:rsidR="0058452F" w:rsidRPr="00383EEA" w:rsidRDefault="0058452F" w:rsidP="0058452F">
            <w:pPr>
              <w:spacing w:after="160" w:line="259" w:lineRule="auto"/>
              <w:jc w:val="both"/>
            </w:pPr>
            <w:r w:rsidRPr="00383EEA">
              <w:t>Location (LOC)</w:t>
            </w:r>
          </w:p>
        </w:tc>
        <w:tc>
          <w:tcPr>
            <w:tcW w:w="0" w:type="auto"/>
            <w:hideMark/>
          </w:tcPr>
          <w:p w14:paraId="1163C22A" w14:textId="77777777" w:rsidR="0058452F" w:rsidRPr="00383EEA" w:rsidRDefault="0058452F" w:rsidP="0058452F">
            <w:pPr>
              <w:spacing w:after="160" w:line="259" w:lineRule="auto"/>
              <w:jc w:val="both"/>
            </w:pPr>
            <w:r w:rsidRPr="00383EEA">
              <w:t>22,340</w:t>
            </w:r>
          </w:p>
        </w:tc>
        <w:tc>
          <w:tcPr>
            <w:tcW w:w="0" w:type="auto"/>
            <w:hideMark/>
          </w:tcPr>
          <w:p w14:paraId="3B1C8E77" w14:textId="77777777" w:rsidR="0058452F" w:rsidRPr="00383EEA" w:rsidRDefault="0058452F" w:rsidP="0058452F">
            <w:pPr>
              <w:spacing w:after="160" w:line="259" w:lineRule="auto"/>
              <w:jc w:val="both"/>
            </w:pPr>
            <w:r w:rsidRPr="00383EEA">
              <w:t>30.0%</w:t>
            </w:r>
          </w:p>
        </w:tc>
        <w:tc>
          <w:tcPr>
            <w:tcW w:w="0" w:type="auto"/>
            <w:hideMark/>
          </w:tcPr>
          <w:p w14:paraId="51923077" w14:textId="77777777" w:rsidR="0058452F" w:rsidRPr="00383EEA" w:rsidRDefault="0058452F" w:rsidP="0058452F">
            <w:pPr>
              <w:spacing w:after="160" w:line="259" w:lineRule="auto"/>
              <w:jc w:val="both"/>
            </w:pPr>
            <w:r w:rsidRPr="00383EEA">
              <w:t>1.8</w:t>
            </w:r>
          </w:p>
        </w:tc>
        <w:tc>
          <w:tcPr>
            <w:tcW w:w="0" w:type="auto"/>
            <w:hideMark/>
          </w:tcPr>
          <w:p w14:paraId="705A18C6" w14:textId="77777777" w:rsidR="0058452F" w:rsidRPr="00383EEA" w:rsidRDefault="0058452F" w:rsidP="0058452F">
            <w:pPr>
              <w:spacing w:after="160" w:line="259" w:lineRule="auto"/>
              <w:jc w:val="both"/>
            </w:pPr>
            <w:r w:rsidRPr="00383EEA">
              <w:t>13,420 (38.3%)</w:t>
            </w:r>
          </w:p>
        </w:tc>
      </w:tr>
      <w:tr w:rsidR="0058452F" w:rsidRPr="00383EEA" w14:paraId="422BB08F" w14:textId="77777777" w:rsidTr="0058452F">
        <w:tc>
          <w:tcPr>
            <w:tcW w:w="0" w:type="auto"/>
            <w:hideMark/>
          </w:tcPr>
          <w:p w14:paraId="6EDA7D57" w14:textId="77777777" w:rsidR="0058452F" w:rsidRPr="00383EEA" w:rsidRDefault="0058452F" w:rsidP="0058452F">
            <w:pPr>
              <w:spacing w:after="160" w:line="259" w:lineRule="auto"/>
              <w:jc w:val="both"/>
            </w:pPr>
            <w:r w:rsidRPr="00383EEA">
              <w:t xml:space="preserve">Organisation </w:t>
            </w:r>
            <w:r w:rsidRPr="00383EEA">
              <w:lastRenderedPageBreak/>
              <w:t>(ORG)</w:t>
            </w:r>
          </w:p>
        </w:tc>
        <w:tc>
          <w:tcPr>
            <w:tcW w:w="0" w:type="auto"/>
            <w:hideMark/>
          </w:tcPr>
          <w:p w14:paraId="4F0755A9" w14:textId="77777777" w:rsidR="0058452F" w:rsidRPr="00383EEA" w:rsidRDefault="0058452F" w:rsidP="0058452F">
            <w:pPr>
              <w:spacing w:after="160" w:line="259" w:lineRule="auto"/>
              <w:jc w:val="both"/>
            </w:pPr>
            <w:r w:rsidRPr="00383EEA">
              <w:lastRenderedPageBreak/>
              <w:t>12,890</w:t>
            </w:r>
          </w:p>
        </w:tc>
        <w:tc>
          <w:tcPr>
            <w:tcW w:w="0" w:type="auto"/>
            <w:hideMark/>
          </w:tcPr>
          <w:p w14:paraId="676E1354" w14:textId="77777777" w:rsidR="0058452F" w:rsidRPr="00383EEA" w:rsidRDefault="0058452F" w:rsidP="0058452F">
            <w:pPr>
              <w:spacing w:after="160" w:line="259" w:lineRule="auto"/>
              <w:jc w:val="both"/>
            </w:pPr>
            <w:r w:rsidRPr="00383EEA">
              <w:t>17.3%</w:t>
            </w:r>
          </w:p>
        </w:tc>
        <w:tc>
          <w:tcPr>
            <w:tcW w:w="0" w:type="auto"/>
            <w:hideMark/>
          </w:tcPr>
          <w:p w14:paraId="04E85CAE" w14:textId="77777777" w:rsidR="0058452F" w:rsidRPr="00383EEA" w:rsidRDefault="0058452F" w:rsidP="0058452F">
            <w:pPr>
              <w:spacing w:after="160" w:line="259" w:lineRule="auto"/>
              <w:jc w:val="both"/>
            </w:pPr>
            <w:r w:rsidRPr="00383EEA">
              <w:t>3.1</w:t>
            </w:r>
          </w:p>
        </w:tc>
        <w:tc>
          <w:tcPr>
            <w:tcW w:w="0" w:type="auto"/>
            <w:hideMark/>
          </w:tcPr>
          <w:p w14:paraId="6138268C" w14:textId="77777777" w:rsidR="0058452F" w:rsidRPr="00383EEA" w:rsidRDefault="0058452F" w:rsidP="0058452F">
            <w:pPr>
              <w:spacing w:after="160" w:line="259" w:lineRule="auto"/>
              <w:jc w:val="both"/>
            </w:pPr>
            <w:r w:rsidRPr="00383EEA">
              <w:t>8,950 (25.6%)</w:t>
            </w:r>
          </w:p>
        </w:tc>
      </w:tr>
      <w:tr w:rsidR="0058452F" w:rsidRPr="00383EEA" w14:paraId="33453860" w14:textId="77777777" w:rsidTr="0058452F">
        <w:tc>
          <w:tcPr>
            <w:tcW w:w="0" w:type="auto"/>
            <w:hideMark/>
          </w:tcPr>
          <w:p w14:paraId="212146C7" w14:textId="77777777" w:rsidR="0058452F" w:rsidRPr="00383EEA" w:rsidRDefault="0058452F" w:rsidP="0058452F">
            <w:pPr>
              <w:spacing w:after="160" w:line="259" w:lineRule="auto"/>
              <w:jc w:val="both"/>
            </w:pPr>
            <w:r w:rsidRPr="00383EEA">
              <w:t>Date (DATE)</w:t>
            </w:r>
          </w:p>
        </w:tc>
        <w:tc>
          <w:tcPr>
            <w:tcW w:w="0" w:type="auto"/>
            <w:hideMark/>
          </w:tcPr>
          <w:p w14:paraId="14A4F831" w14:textId="77777777" w:rsidR="0058452F" w:rsidRPr="00383EEA" w:rsidRDefault="0058452F" w:rsidP="0058452F">
            <w:pPr>
              <w:spacing w:after="160" w:line="259" w:lineRule="auto"/>
              <w:jc w:val="both"/>
            </w:pPr>
            <w:r w:rsidRPr="00383EEA">
              <w:t>10,830</w:t>
            </w:r>
          </w:p>
        </w:tc>
        <w:tc>
          <w:tcPr>
            <w:tcW w:w="0" w:type="auto"/>
            <w:hideMark/>
          </w:tcPr>
          <w:p w14:paraId="17D2369C" w14:textId="77777777" w:rsidR="0058452F" w:rsidRPr="00383EEA" w:rsidRDefault="0058452F" w:rsidP="0058452F">
            <w:pPr>
              <w:spacing w:after="160" w:line="259" w:lineRule="auto"/>
              <w:jc w:val="both"/>
            </w:pPr>
            <w:r w:rsidRPr="00383EEA">
              <w:t>14.5%</w:t>
            </w:r>
          </w:p>
        </w:tc>
        <w:tc>
          <w:tcPr>
            <w:tcW w:w="0" w:type="auto"/>
            <w:hideMark/>
          </w:tcPr>
          <w:p w14:paraId="7685CB19" w14:textId="77777777" w:rsidR="0058452F" w:rsidRPr="00383EEA" w:rsidRDefault="0058452F" w:rsidP="0058452F">
            <w:pPr>
              <w:spacing w:after="160" w:line="259" w:lineRule="auto"/>
              <w:jc w:val="both"/>
            </w:pPr>
            <w:r w:rsidRPr="00383EEA">
              <w:t>1.5</w:t>
            </w:r>
          </w:p>
        </w:tc>
        <w:tc>
          <w:tcPr>
            <w:tcW w:w="0" w:type="auto"/>
            <w:hideMark/>
          </w:tcPr>
          <w:p w14:paraId="05CD626A" w14:textId="77777777" w:rsidR="0058452F" w:rsidRPr="00383EEA" w:rsidRDefault="0058452F" w:rsidP="0058452F">
            <w:pPr>
              <w:spacing w:after="160" w:line="259" w:lineRule="auto"/>
              <w:jc w:val="both"/>
            </w:pPr>
            <w:r w:rsidRPr="00383EEA">
              <w:t>9,230 (26.4%)</w:t>
            </w:r>
          </w:p>
        </w:tc>
      </w:tr>
      <w:tr w:rsidR="0058452F" w:rsidRPr="00383EEA" w14:paraId="1ACA0756" w14:textId="77777777" w:rsidTr="0058452F">
        <w:tc>
          <w:tcPr>
            <w:tcW w:w="0" w:type="auto"/>
            <w:hideMark/>
          </w:tcPr>
          <w:p w14:paraId="019099BD" w14:textId="77777777" w:rsidR="0058452F" w:rsidRPr="00383EEA" w:rsidRDefault="0058452F" w:rsidP="0058452F">
            <w:pPr>
              <w:spacing w:after="160" w:line="259" w:lineRule="auto"/>
              <w:jc w:val="both"/>
            </w:pPr>
            <w:r w:rsidRPr="00383EEA">
              <w:rPr>
                <w:b/>
                <w:bCs/>
              </w:rPr>
              <w:t>Total</w:t>
            </w:r>
          </w:p>
        </w:tc>
        <w:tc>
          <w:tcPr>
            <w:tcW w:w="0" w:type="auto"/>
            <w:hideMark/>
          </w:tcPr>
          <w:p w14:paraId="2366997D" w14:textId="77777777" w:rsidR="0058452F" w:rsidRPr="00383EEA" w:rsidRDefault="0058452F" w:rsidP="0058452F">
            <w:pPr>
              <w:spacing w:after="160" w:line="259" w:lineRule="auto"/>
              <w:jc w:val="both"/>
            </w:pPr>
            <w:r w:rsidRPr="00383EEA">
              <w:rPr>
                <w:b/>
                <w:bCs/>
              </w:rPr>
              <w:t>74,510</w:t>
            </w:r>
          </w:p>
        </w:tc>
        <w:tc>
          <w:tcPr>
            <w:tcW w:w="0" w:type="auto"/>
            <w:hideMark/>
          </w:tcPr>
          <w:p w14:paraId="321B223C" w14:textId="77777777" w:rsidR="0058452F" w:rsidRPr="00383EEA" w:rsidRDefault="0058452F" w:rsidP="0058452F">
            <w:pPr>
              <w:spacing w:after="160" w:line="259" w:lineRule="auto"/>
              <w:jc w:val="both"/>
            </w:pPr>
            <w:r w:rsidRPr="00383EEA">
              <w:rPr>
                <w:b/>
                <w:bCs/>
              </w:rPr>
              <w:t>100%</w:t>
            </w:r>
          </w:p>
        </w:tc>
        <w:tc>
          <w:tcPr>
            <w:tcW w:w="0" w:type="auto"/>
            <w:hideMark/>
          </w:tcPr>
          <w:p w14:paraId="55FD2443" w14:textId="77777777" w:rsidR="0058452F" w:rsidRPr="00383EEA" w:rsidRDefault="0058452F" w:rsidP="0058452F">
            <w:pPr>
              <w:spacing w:after="160" w:line="259" w:lineRule="auto"/>
              <w:jc w:val="both"/>
            </w:pPr>
            <w:r w:rsidRPr="00383EEA">
              <w:rPr>
                <w:b/>
                <w:bCs/>
              </w:rPr>
              <w:t>2.2</w:t>
            </w:r>
          </w:p>
        </w:tc>
        <w:tc>
          <w:tcPr>
            <w:tcW w:w="0" w:type="auto"/>
            <w:hideMark/>
          </w:tcPr>
          <w:p w14:paraId="6B64F2F8" w14:textId="77777777" w:rsidR="0058452F" w:rsidRPr="00383EEA" w:rsidRDefault="0058452F" w:rsidP="0058452F">
            <w:pPr>
              <w:spacing w:after="160" w:line="259" w:lineRule="auto"/>
              <w:jc w:val="both"/>
            </w:pPr>
            <w:r w:rsidRPr="00383EEA">
              <w:rPr>
                <w:b/>
                <w:bCs/>
              </w:rPr>
              <w:t>35,000 (100%)</w:t>
            </w:r>
          </w:p>
        </w:tc>
      </w:tr>
    </w:tbl>
    <w:p w14:paraId="53882FCE" w14:textId="77777777" w:rsidR="0058452F" w:rsidRPr="00383EEA" w:rsidRDefault="0058452F" w:rsidP="0058452F">
      <w:pPr>
        <w:jc w:val="both"/>
      </w:pPr>
      <w:r w:rsidRPr="00383EEA">
        <w:rPr>
          <w:i/>
          <w:iCs/>
        </w:rPr>
        <w:t>Source: Annotation statistics compiled from corpus development documentation (2024)</w:t>
      </w:r>
    </w:p>
    <w:p w14:paraId="2A9EC934" w14:textId="77777777" w:rsidR="0058452F" w:rsidRPr="00383EEA" w:rsidRDefault="0058452F" w:rsidP="0058452F">
      <w:pPr>
        <w:jc w:val="both"/>
      </w:pPr>
      <w:r w:rsidRPr="00383EEA">
        <w:t xml:space="preserve">Three NER architectures were implemented for comparative evaluation: a Conditional Random Field (CRF) baseline, a </w:t>
      </w:r>
      <w:proofErr w:type="spellStart"/>
      <w:r w:rsidRPr="00383EEA">
        <w:t>BiLSTM</w:t>
      </w:r>
      <w:proofErr w:type="spellEnd"/>
      <w:r w:rsidRPr="00383EEA">
        <w:t>-CRF neural model (</w:t>
      </w:r>
      <w:proofErr w:type="spellStart"/>
      <w:r w:rsidRPr="00383EEA">
        <w:t>Lample</w:t>
      </w:r>
      <w:proofErr w:type="spellEnd"/>
      <w:r w:rsidRPr="00383EEA">
        <w:t xml:space="preserve"> et al., 2016), and the transformer-based </w:t>
      </w:r>
      <w:proofErr w:type="spellStart"/>
      <w:r w:rsidRPr="00383EEA">
        <w:t>AfroXLMR</w:t>
      </w:r>
      <w:proofErr w:type="spellEnd"/>
      <w:r w:rsidRPr="00383EEA">
        <w:t xml:space="preserve">-base model (Alabi et al., 2022). These models represent statistical, neural sequence, and multilingual transformer paradigms respectively. The CRF relied on engineered linguistic features; the </w:t>
      </w:r>
      <w:proofErr w:type="spellStart"/>
      <w:r w:rsidRPr="00383EEA">
        <w:t>BiLSTM</w:t>
      </w:r>
      <w:proofErr w:type="spellEnd"/>
      <w:r w:rsidRPr="00383EEA">
        <w:t xml:space="preserve">-CRF incorporated character-level and word embeddings; and </w:t>
      </w:r>
      <w:proofErr w:type="spellStart"/>
      <w:r w:rsidRPr="00383EEA">
        <w:t>AfroXLMR</w:t>
      </w:r>
      <w:proofErr w:type="spellEnd"/>
      <w:r w:rsidRPr="00383EEA">
        <w:t>-base leveraged large-scale multilingual pre-training with task-specific fine-tuning. Their structural and computational differences are summarised in Table 3.</w:t>
      </w:r>
    </w:p>
    <w:p w14:paraId="2899A1CA" w14:textId="77777777" w:rsidR="0058452F" w:rsidRPr="00383EEA" w:rsidRDefault="0058452F" w:rsidP="0058452F">
      <w:pPr>
        <w:jc w:val="both"/>
        <w:rPr>
          <w:b/>
          <w:bCs/>
        </w:rPr>
      </w:pPr>
      <w:r w:rsidRPr="00383EEA">
        <w:rPr>
          <w:b/>
          <w:bCs/>
        </w:rPr>
        <w:t>Table 3: Comparison of Implemented NER Model Architectures</w:t>
      </w:r>
    </w:p>
    <w:tbl>
      <w:tblPr>
        <w:tblStyle w:val="TableGrid"/>
        <w:tblW w:w="0" w:type="auto"/>
        <w:tblLook w:val="04A0" w:firstRow="1" w:lastRow="0" w:firstColumn="1" w:lastColumn="0" w:noHBand="0" w:noVBand="1"/>
      </w:tblPr>
      <w:tblGrid>
        <w:gridCol w:w="1393"/>
        <w:gridCol w:w="1284"/>
        <w:gridCol w:w="1178"/>
        <w:gridCol w:w="2321"/>
        <w:gridCol w:w="1499"/>
        <w:gridCol w:w="1567"/>
      </w:tblGrid>
      <w:tr w:rsidR="0058452F" w:rsidRPr="00383EEA" w14:paraId="44377EA8" w14:textId="77777777" w:rsidTr="0058452F">
        <w:tc>
          <w:tcPr>
            <w:tcW w:w="0" w:type="auto"/>
            <w:hideMark/>
          </w:tcPr>
          <w:p w14:paraId="28E08A51" w14:textId="77777777" w:rsidR="0058452F" w:rsidRPr="00383EEA" w:rsidRDefault="0058452F" w:rsidP="0058452F">
            <w:pPr>
              <w:spacing w:after="160" w:line="259" w:lineRule="auto"/>
              <w:jc w:val="both"/>
              <w:rPr>
                <w:b/>
                <w:bCs/>
              </w:rPr>
            </w:pPr>
            <w:r w:rsidRPr="00383EEA">
              <w:rPr>
                <w:b/>
                <w:bCs/>
              </w:rPr>
              <w:t>Architecture</w:t>
            </w:r>
          </w:p>
        </w:tc>
        <w:tc>
          <w:tcPr>
            <w:tcW w:w="0" w:type="auto"/>
            <w:hideMark/>
          </w:tcPr>
          <w:p w14:paraId="4927074A" w14:textId="77777777" w:rsidR="0058452F" w:rsidRPr="00383EEA" w:rsidRDefault="0058452F" w:rsidP="0058452F">
            <w:pPr>
              <w:spacing w:after="160" w:line="259" w:lineRule="auto"/>
              <w:jc w:val="both"/>
              <w:rPr>
                <w:b/>
                <w:bCs/>
              </w:rPr>
            </w:pPr>
            <w:r w:rsidRPr="00383EEA">
              <w:rPr>
                <w:b/>
                <w:bCs/>
              </w:rPr>
              <w:t>Parameter Count</w:t>
            </w:r>
          </w:p>
        </w:tc>
        <w:tc>
          <w:tcPr>
            <w:tcW w:w="0" w:type="auto"/>
            <w:hideMark/>
          </w:tcPr>
          <w:p w14:paraId="794F6EC2" w14:textId="77777777" w:rsidR="0058452F" w:rsidRPr="00383EEA" w:rsidRDefault="0058452F" w:rsidP="0058452F">
            <w:pPr>
              <w:spacing w:after="160" w:line="259" w:lineRule="auto"/>
              <w:jc w:val="both"/>
              <w:rPr>
                <w:b/>
                <w:bCs/>
              </w:rPr>
            </w:pPr>
            <w:r w:rsidRPr="00383EEA">
              <w:rPr>
                <w:b/>
                <w:bCs/>
              </w:rPr>
              <w:t>Training Time (Hours)</w:t>
            </w:r>
          </w:p>
        </w:tc>
        <w:tc>
          <w:tcPr>
            <w:tcW w:w="0" w:type="auto"/>
            <w:hideMark/>
          </w:tcPr>
          <w:p w14:paraId="7758F040" w14:textId="77777777" w:rsidR="0058452F" w:rsidRPr="00383EEA" w:rsidRDefault="0058452F" w:rsidP="0058452F">
            <w:pPr>
              <w:spacing w:after="160" w:line="259" w:lineRule="auto"/>
              <w:jc w:val="both"/>
              <w:rPr>
                <w:b/>
                <w:bCs/>
              </w:rPr>
            </w:pPr>
            <w:r w:rsidRPr="00383EEA">
              <w:rPr>
                <w:b/>
                <w:bCs/>
              </w:rPr>
              <w:t>Inference Speed (Sentences/Second)</w:t>
            </w:r>
          </w:p>
        </w:tc>
        <w:tc>
          <w:tcPr>
            <w:tcW w:w="0" w:type="auto"/>
            <w:hideMark/>
          </w:tcPr>
          <w:p w14:paraId="2A05B71F" w14:textId="77777777" w:rsidR="0058452F" w:rsidRPr="00383EEA" w:rsidRDefault="0058452F" w:rsidP="0058452F">
            <w:pPr>
              <w:spacing w:after="160" w:line="259" w:lineRule="auto"/>
              <w:jc w:val="both"/>
              <w:rPr>
                <w:b/>
                <w:bCs/>
              </w:rPr>
            </w:pPr>
            <w:r w:rsidRPr="00383EEA">
              <w:rPr>
                <w:b/>
                <w:bCs/>
              </w:rPr>
              <w:t>Pre-training Required</w:t>
            </w:r>
          </w:p>
        </w:tc>
        <w:tc>
          <w:tcPr>
            <w:tcW w:w="0" w:type="auto"/>
            <w:hideMark/>
          </w:tcPr>
          <w:p w14:paraId="384EDB15" w14:textId="77777777" w:rsidR="0058452F" w:rsidRPr="00383EEA" w:rsidRDefault="0058452F" w:rsidP="0058452F">
            <w:pPr>
              <w:spacing w:after="160" w:line="259" w:lineRule="auto"/>
              <w:jc w:val="both"/>
              <w:rPr>
                <w:b/>
                <w:bCs/>
              </w:rPr>
            </w:pPr>
            <w:r w:rsidRPr="00383EEA">
              <w:rPr>
                <w:b/>
                <w:bCs/>
              </w:rPr>
              <w:t>Language-Specific Features</w:t>
            </w:r>
          </w:p>
        </w:tc>
      </w:tr>
      <w:tr w:rsidR="0058452F" w:rsidRPr="00383EEA" w14:paraId="2D8A6A04" w14:textId="77777777" w:rsidTr="0058452F">
        <w:tc>
          <w:tcPr>
            <w:tcW w:w="0" w:type="auto"/>
            <w:hideMark/>
          </w:tcPr>
          <w:p w14:paraId="2002DE8E" w14:textId="77777777" w:rsidR="0058452F" w:rsidRPr="00383EEA" w:rsidRDefault="0058452F" w:rsidP="0058452F">
            <w:pPr>
              <w:spacing w:after="160" w:line="259" w:lineRule="auto"/>
              <w:jc w:val="both"/>
            </w:pPr>
            <w:r w:rsidRPr="00383EEA">
              <w:t>CRF</w:t>
            </w:r>
          </w:p>
        </w:tc>
        <w:tc>
          <w:tcPr>
            <w:tcW w:w="0" w:type="auto"/>
            <w:hideMark/>
          </w:tcPr>
          <w:p w14:paraId="2920BA2A" w14:textId="77777777" w:rsidR="0058452F" w:rsidRPr="00383EEA" w:rsidRDefault="0058452F" w:rsidP="0058452F">
            <w:pPr>
              <w:spacing w:after="160" w:line="259" w:lineRule="auto"/>
              <w:jc w:val="both"/>
            </w:pPr>
            <w:r w:rsidRPr="00383EEA">
              <w:t>1.2M</w:t>
            </w:r>
          </w:p>
        </w:tc>
        <w:tc>
          <w:tcPr>
            <w:tcW w:w="0" w:type="auto"/>
            <w:hideMark/>
          </w:tcPr>
          <w:p w14:paraId="6792A928" w14:textId="77777777" w:rsidR="0058452F" w:rsidRPr="00383EEA" w:rsidRDefault="0058452F" w:rsidP="0058452F">
            <w:pPr>
              <w:spacing w:after="160" w:line="259" w:lineRule="auto"/>
              <w:jc w:val="both"/>
            </w:pPr>
            <w:r w:rsidRPr="00383EEA">
              <w:t>0.5</w:t>
            </w:r>
          </w:p>
        </w:tc>
        <w:tc>
          <w:tcPr>
            <w:tcW w:w="0" w:type="auto"/>
            <w:hideMark/>
          </w:tcPr>
          <w:p w14:paraId="007063D0" w14:textId="77777777" w:rsidR="0058452F" w:rsidRPr="00383EEA" w:rsidRDefault="0058452F" w:rsidP="0058452F">
            <w:pPr>
              <w:spacing w:after="160" w:line="259" w:lineRule="auto"/>
              <w:jc w:val="both"/>
            </w:pPr>
            <w:r w:rsidRPr="00383EEA">
              <w:t>850</w:t>
            </w:r>
          </w:p>
        </w:tc>
        <w:tc>
          <w:tcPr>
            <w:tcW w:w="0" w:type="auto"/>
            <w:hideMark/>
          </w:tcPr>
          <w:p w14:paraId="72B1D4D6" w14:textId="77777777" w:rsidR="0058452F" w:rsidRPr="00383EEA" w:rsidRDefault="0058452F" w:rsidP="0058452F">
            <w:pPr>
              <w:spacing w:after="160" w:line="259" w:lineRule="auto"/>
              <w:jc w:val="both"/>
            </w:pPr>
            <w:r w:rsidRPr="00383EEA">
              <w:t>No</w:t>
            </w:r>
          </w:p>
        </w:tc>
        <w:tc>
          <w:tcPr>
            <w:tcW w:w="0" w:type="auto"/>
            <w:hideMark/>
          </w:tcPr>
          <w:p w14:paraId="2B3F1160" w14:textId="77777777" w:rsidR="0058452F" w:rsidRPr="00383EEA" w:rsidRDefault="0058452F" w:rsidP="0058452F">
            <w:pPr>
              <w:spacing w:after="160" w:line="259" w:lineRule="auto"/>
              <w:jc w:val="both"/>
            </w:pPr>
            <w:r w:rsidRPr="00383EEA">
              <w:t>Engineered features</w:t>
            </w:r>
          </w:p>
        </w:tc>
      </w:tr>
      <w:tr w:rsidR="0058452F" w:rsidRPr="00383EEA" w14:paraId="23A9061D" w14:textId="77777777" w:rsidTr="0058452F">
        <w:tc>
          <w:tcPr>
            <w:tcW w:w="0" w:type="auto"/>
            <w:hideMark/>
          </w:tcPr>
          <w:p w14:paraId="3211E2A3" w14:textId="77777777" w:rsidR="0058452F" w:rsidRPr="00383EEA" w:rsidRDefault="0058452F" w:rsidP="0058452F">
            <w:pPr>
              <w:spacing w:after="160" w:line="259" w:lineRule="auto"/>
              <w:jc w:val="both"/>
            </w:pPr>
            <w:proofErr w:type="spellStart"/>
            <w:r w:rsidRPr="00383EEA">
              <w:t>BiLSTM</w:t>
            </w:r>
            <w:proofErr w:type="spellEnd"/>
            <w:r w:rsidRPr="00383EEA">
              <w:t>-CRF</w:t>
            </w:r>
          </w:p>
        </w:tc>
        <w:tc>
          <w:tcPr>
            <w:tcW w:w="0" w:type="auto"/>
            <w:hideMark/>
          </w:tcPr>
          <w:p w14:paraId="7330501E" w14:textId="77777777" w:rsidR="0058452F" w:rsidRPr="00383EEA" w:rsidRDefault="0058452F" w:rsidP="0058452F">
            <w:pPr>
              <w:spacing w:after="160" w:line="259" w:lineRule="auto"/>
              <w:jc w:val="both"/>
            </w:pPr>
            <w:r w:rsidRPr="00383EEA">
              <w:t>8.4M</w:t>
            </w:r>
          </w:p>
        </w:tc>
        <w:tc>
          <w:tcPr>
            <w:tcW w:w="0" w:type="auto"/>
            <w:hideMark/>
          </w:tcPr>
          <w:p w14:paraId="1F7E84FD" w14:textId="77777777" w:rsidR="0058452F" w:rsidRPr="00383EEA" w:rsidRDefault="0058452F" w:rsidP="0058452F">
            <w:pPr>
              <w:spacing w:after="160" w:line="259" w:lineRule="auto"/>
              <w:jc w:val="both"/>
            </w:pPr>
            <w:r w:rsidRPr="00383EEA">
              <w:t>4.5</w:t>
            </w:r>
          </w:p>
        </w:tc>
        <w:tc>
          <w:tcPr>
            <w:tcW w:w="0" w:type="auto"/>
            <w:hideMark/>
          </w:tcPr>
          <w:p w14:paraId="53C09B93" w14:textId="77777777" w:rsidR="0058452F" w:rsidRPr="00383EEA" w:rsidRDefault="0058452F" w:rsidP="0058452F">
            <w:pPr>
              <w:spacing w:after="160" w:line="259" w:lineRule="auto"/>
              <w:jc w:val="both"/>
            </w:pPr>
            <w:r w:rsidRPr="00383EEA">
              <w:t>320</w:t>
            </w:r>
          </w:p>
        </w:tc>
        <w:tc>
          <w:tcPr>
            <w:tcW w:w="0" w:type="auto"/>
            <w:hideMark/>
          </w:tcPr>
          <w:p w14:paraId="1F1D430D" w14:textId="77777777" w:rsidR="0058452F" w:rsidRPr="00383EEA" w:rsidRDefault="0058452F" w:rsidP="0058452F">
            <w:pPr>
              <w:spacing w:after="160" w:line="259" w:lineRule="auto"/>
              <w:jc w:val="both"/>
            </w:pPr>
            <w:r w:rsidRPr="00383EEA">
              <w:t>Word embeddings only</w:t>
            </w:r>
          </w:p>
        </w:tc>
        <w:tc>
          <w:tcPr>
            <w:tcW w:w="0" w:type="auto"/>
            <w:hideMark/>
          </w:tcPr>
          <w:p w14:paraId="40A20BBC" w14:textId="77777777" w:rsidR="0058452F" w:rsidRPr="00383EEA" w:rsidRDefault="0058452F" w:rsidP="0058452F">
            <w:pPr>
              <w:spacing w:after="160" w:line="259" w:lineRule="auto"/>
              <w:jc w:val="both"/>
            </w:pPr>
            <w:r w:rsidRPr="00383EEA">
              <w:t>Character-level morphology</w:t>
            </w:r>
          </w:p>
        </w:tc>
      </w:tr>
      <w:tr w:rsidR="0058452F" w:rsidRPr="00383EEA" w14:paraId="6BAF2E46" w14:textId="77777777" w:rsidTr="0058452F">
        <w:tc>
          <w:tcPr>
            <w:tcW w:w="0" w:type="auto"/>
            <w:hideMark/>
          </w:tcPr>
          <w:p w14:paraId="265C3FB5" w14:textId="77777777" w:rsidR="0058452F" w:rsidRPr="00383EEA" w:rsidRDefault="0058452F" w:rsidP="0058452F">
            <w:pPr>
              <w:spacing w:after="160" w:line="259" w:lineRule="auto"/>
              <w:jc w:val="both"/>
            </w:pPr>
            <w:proofErr w:type="spellStart"/>
            <w:r w:rsidRPr="00383EEA">
              <w:t>AfroXLMR</w:t>
            </w:r>
            <w:proofErr w:type="spellEnd"/>
            <w:r w:rsidRPr="00383EEA">
              <w:t>-base</w:t>
            </w:r>
          </w:p>
        </w:tc>
        <w:tc>
          <w:tcPr>
            <w:tcW w:w="0" w:type="auto"/>
            <w:hideMark/>
          </w:tcPr>
          <w:p w14:paraId="3C04CCEF" w14:textId="77777777" w:rsidR="0058452F" w:rsidRPr="00383EEA" w:rsidRDefault="0058452F" w:rsidP="0058452F">
            <w:pPr>
              <w:spacing w:after="160" w:line="259" w:lineRule="auto"/>
              <w:jc w:val="both"/>
            </w:pPr>
            <w:r w:rsidRPr="00383EEA">
              <w:t>270M</w:t>
            </w:r>
          </w:p>
        </w:tc>
        <w:tc>
          <w:tcPr>
            <w:tcW w:w="0" w:type="auto"/>
            <w:hideMark/>
          </w:tcPr>
          <w:p w14:paraId="1F36BFEC" w14:textId="77777777" w:rsidR="0058452F" w:rsidRPr="00383EEA" w:rsidRDefault="0058452F" w:rsidP="0058452F">
            <w:pPr>
              <w:spacing w:after="160" w:line="259" w:lineRule="auto"/>
              <w:jc w:val="both"/>
            </w:pPr>
            <w:r w:rsidRPr="00383EEA">
              <w:t>12.0</w:t>
            </w:r>
          </w:p>
        </w:tc>
        <w:tc>
          <w:tcPr>
            <w:tcW w:w="0" w:type="auto"/>
            <w:hideMark/>
          </w:tcPr>
          <w:p w14:paraId="126D8512" w14:textId="77777777" w:rsidR="0058452F" w:rsidRPr="00383EEA" w:rsidRDefault="0058452F" w:rsidP="0058452F">
            <w:pPr>
              <w:spacing w:after="160" w:line="259" w:lineRule="auto"/>
              <w:jc w:val="both"/>
            </w:pPr>
            <w:r w:rsidRPr="00383EEA">
              <w:t>45</w:t>
            </w:r>
          </w:p>
        </w:tc>
        <w:tc>
          <w:tcPr>
            <w:tcW w:w="0" w:type="auto"/>
            <w:hideMark/>
          </w:tcPr>
          <w:p w14:paraId="0E96D032" w14:textId="77777777" w:rsidR="0058452F" w:rsidRPr="00383EEA" w:rsidRDefault="0058452F" w:rsidP="0058452F">
            <w:pPr>
              <w:spacing w:after="160" w:line="259" w:lineRule="auto"/>
              <w:jc w:val="both"/>
            </w:pPr>
            <w:r w:rsidRPr="00383EEA">
              <w:t>Massive multilingual</w:t>
            </w:r>
          </w:p>
        </w:tc>
        <w:tc>
          <w:tcPr>
            <w:tcW w:w="0" w:type="auto"/>
            <w:hideMark/>
          </w:tcPr>
          <w:p w14:paraId="4ABDBAAC" w14:textId="77777777" w:rsidR="0058452F" w:rsidRPr="00383EEA" w:rsidRDefault="0058452F" w:rsidP="0058452F">
            <w:pPr>
              <w:spacing w:after="160" w:line="259" w:lineRule="auto"/>
              <w:jc w:val="both"/>
            </w:pPr>
            <w:r w:rsidRPr="00383EEA">
              <w:t>Continued pre-training</w:t>
            </w:r>
          </w:p>
        </w:tc>
      </w:tr>
    </w:tbl>
    <w:p w14:paraId="3A8F32CF" w14:textId="77777777" w:rsidR="0058452F" w:rsidRPr="00383EEA" w:rsidRDefault="0058452F" w:rsidP="0058452F">
      <w:pPr>
        <w:jc w:val="both"/>
      </w:pPr>
      <w:r w:rsidRPr="00383EEA">
        <w:rPr>
          <w:i/>
          <w:iCs/>
        </w:rPr>
        <w:t>Source: Model implementation metrics recorded during experimentation (2024)</w:t>
      </w:r>
    </w:p>
    <w:p w14:paraId="229D00F3" w14:textId="77777777" w:rsidR="00833A4C" w:rsidRPr="00383EEA" w:rsidRDefault="0058452F" w:rsidP="00833A4C">
      <w:pPr>
        <w:jc w:val="both"/>
      </w:pPr>
      <w:r w:rsidRPr="00383EEA">
        <w:t>The dataset was split into training (80%), development (10%), and test (10%) sets using stratified sampling. Evaluation employed entity-level Precision, Recall, and F1-score, requiring exact boundary matching. All experiments were conducted under controlled computational conditions with fixed random seeds to ensure reproducibility. Overall, the methodology integrates rigorous corpus construction, reliable annotation procedures, and systematic comparative modelling to advance low-resource NER research for the Igala language.</w:t>
      </w:r>
    </w:p>
    <w:p w14:paraId="7C3A2445" w14:textId="77777777" w:rsidR="00833A4C" w:rsidRPr="00383EEA" w:rsidRDefault="00833A4C" w:rsidP="00833A4C">
      <w:pPr>
        <w:jc w:val="both"/>
        <w:rPr>
          <w:b/>
          <w:bCs/>
        </w:rPr>
      </w:pPr>
      <w:r w:rsidRPr="00383EEA">
        <w:rPr>
          <w:b/>
          <w:bCs/>
        </w:rPr>
        <w:t>4. Results and Discussion of Findings</w:t>
      </w:r>
    </w:p>
    <w:p w14:paraId="5D8E5B88" w14:textId="77777777" w:rsidR="00833A4C" w:rsidRPr="00383EEA" w:rsidRDefault="00833A4C" w:rsidP="00833A4C">
      <w:pPr>
        <w:jc w:val="both"/>
        <w:rPr>
          <w:b/>
          <w:bCs/>
        </w:rPr>
      </w:pPr>
      <w:r w:rsidRPr="00383EEA">
        <w:rPr>
          <w:b/>
          <w:bCs/>
        </w:rPr>
        <w:t>4.1 Overall System Performance</w:t>
      </w:r>
    </w:p>
    <w:p w14:paraId="395A62F9" w14:textId="77777777" w:rsidR="00833A4C" w:rsidRPr="00383EEA" w:rsidRDefault="00833A4C" w:rsidP="00833A4C">
      <w:pPr>
        <w:jc w:val="both"/>
      </w:pPr>
      <w:r w:rsidRPr="00383EEA">
        <w:t xml:space="preserve">The three implemented models were evaluated on the held-out test set, with results summarised in Table 4. The </w:t>
      </w:r>
      <w:proofErr w:type="spellStart"/>
      <w:r w:rsidRPr="00383EEA">
        <w:t>BiLSTM</w:t>
      </w:r>
      <w:proofErr w:type="spellEnd"/>
      <w:r w:rsidRPr="00383EEA">
        <w:t xml:space="preserve">-CRF architecture achieved the highest overall performance with an F1-score of 86.4%, followed closely by </w:t>
      </w:r>
      <w:proofErr w:type="spellStart"/>
      <w:r w:rsidRPr="00383EEA">
        <w:t>AfroXLMR</w:t>
      </w:r>
      <w:proofErr w:type="spellEnd"/>
      <w:r w:rsidRPr="00383EEA">
        <w:t>-base at 84.7%, with the CRF baseline achieving 79.2%. These results demonstrate that all three approaches can achieve respectable NER performance for Igala despite the language's low-resource status, confirming the viability of developing computational language tools for under-resourced African languages.</w:t>
      </w:r>
    </w:p>
    <w:p w14:paraId="5B93B9E1" w14:textId="77777777" w:rsidR="00833A4C" w:rsidRPr="00383EEA" w:rsidRDefault="00833A4C" w:rsidP="00833A4C">
      <w:pPr>
        <w:jc w:val="both"/>
      </w:pPr>
      <w:r w:rsidRPr="00383EEA">
        <w:rPr>
          <w:b/>
          <w:bCs/>
        </w:rPr>
        <w:t>Table 4: Overall Performance Comparison of Igala NER Models</w:t>
      </w:r>
    </w:p>
    <w:tbl>
      <w:tblPr>
        <w:tblStyle w:val="TableGrid"/>
        <w:tblW w:w="0" w:type="auto"/>
        <w:tblLook w:val="04A0" w:firstRow="1" w:lastRow="0" w:firstColumn="1" w:lastColumn="0" w:noHBand="0" w:noVBand="1"/>
      </w:tblPr>
      <w:tblGrid>
        <w:gridCol w:w="3038"/>
        <w:gridCol w:w="1391"/>
        <w:gridCol w:w="1103"/>
        <w:gridCol w:w="1343"/>
      </w:tblGrid>
      <w:tr w:rsidR="00833A4C" w:rsidRPr="00383EEA" w14:paraId="11722B5F" w14:textId="77777777" w:rsidTr="00833A4C">
        <w:tc>
          <w:tcPr>
            <w:tcW w:w="0" w:type="auto"/>
            <w:hideMark/>
          </w:tcPr>
          <w:p w14:paraId="4D4EDB42" w14:textId="77777777" w:rsidR="00833A4C" w:rsidRPr="00383EEA" w:rsidRDefault="00833A4C" w:rsidP="00833A4C">
            <w:pPr>
              <w:spacing w:after="160" w:line="259" w:lineRule="auto"/>
              <w:jc w:val="both"/>
              <w:rPr>
                <w:b/>
                <w:bCs/>
              </w:rPr>
            </w:pPr>
            <w:r w:rsidRPr="00383EEA">
              <w:rPr>
                <w:b/>
                <w:bCs/>
              </w:rPr>
              <w:lastRenderedPageBreak/>
              <w:t>Model</w:t>
            </w:r>
          </w:p>
        </w:tc>
        <w:tc>
          <w:tcPr>
            <w:tcW w:w="0" w:type="auto"/>
            <w:hideMark/>
          </w:tcPr>
          <w:p w14:paraId="653E49BE" w14:textId="77777777" w:rsidR="00833A4C" w:rsidRPr="00383EEA" w:rsidRDefault="00833A4C" w:rsidP="00833A4C">
            <w:pPr>
              <w:spacing w:after="160" w:line="259" w:lineRule="auto"/>
              <w:jc w:val="both"/>
              <w:rPr>
                <w:b/>
                <w:bCs/>
              </w:rPr>
            </w:pPr>
            <w:r w:rsidRPr="00383EEA">
              <w:rPr>
                <w:b/>
                <w:bCs/>
              </w:rPr>
              <w:t>Precision (%)</w:t>
            </w:r>
          </w:p>
        </w:tc>
        <w:tc>
          <w:tcPr>
            <w:tcW w:w="0" w:type="auto"/>
            <w:hideMark/>
          </w:tcPr>
          <w:p w14:paraId="219FE4E7" w14:textId="77777777" w:rsidR="00833A4C" w:rsidRPr="00383EEA" w:rsidRDefault="00833A4C" w:rsidP="00833A4C">
            <w:pPr>
              <w:spacing w:after="160" w:line="259" w:lineRule="auto"/>
              <w:jc w:val="both"/>
              <w:rPr>
                <w:b/>
                <w:bCs/>
              </w:rPr>
            </w:pPr>
            <w:r w:rsidRPr="00383EEA">
              <w:rPr>
                <w:b/>
                <w:bCs/>
              </w:rPr>
              <w:t>Recall (%)</w:t>
            </w:r>
          </w:p>
        </w:tc>
        <w:tc>
          <w:tcPr>
            <w:tcW w:w="0" w:type="auto"/>
            <w:hideMark/>
          </w:tcPr>
          <w:p w14:paraId="0E1D3475" w14:textId="77777777" w:rsidR="00833A4C" w:rsidRPr="00383EEA" w:rsidRDefault="00833A4C" w:rsidP="00833A4C">
            <w:pPr>
              <w:spacing w:after="160" w:line="259" w:lineRule="auto"/>
              <w:jc w:val="both"/>
              <w:rPr>
                <w:b/>
                <w:bCs/>
              </w:rPr>
            </w:pPr>
            <w:r w:rsidRPr="00383EEA">
              <w:rPr>
                <w:b/>
                <w:bCs/>
              </w:rPr>
              <w:t>F1-Score (%)</w:t>
            </w:r>
          </w:p>
        </w:tc>
      </w:tr>
      <w:tr w:rsidR="00833A4C" w:rsidRPr="00383EEA" w14:paraId="47D19E3B" w14:textId="77777777" w:rsidTr="00833A4C">
        <w:tc>
          <w:tcPr>
            <w:tcW w:w="0" w:type="auto"/>
            <w:hideMark/>
          </w:tcPr>
          <w:p w14:paraId="63F69E32" w14:textId="77777777" w:rsidR="00833A4C" w:rsidRPr="00383EEA" w:rsidRDefault="00833A4C" w:rsidP="00833A4C">
            <w:pPr>
              <w:spacing w:after="160" w:line="259" w:lineRule="auto"/>
              <w:jc w:val="both"/>
            </w:pPr>
            <w:r w:rsidRPr="00383EEA">
              <w:t>Conditional Random Field (CRF)</w:t>
            </w:r>
          </w:p>
        </w:tc>
        <w:tc>
          <w:tcPr>
            <w:tcW w:w="0" w:type="auto"/>
            <w:hideMark/>
          </w:tcPr>
          <w:p w14:paraId="071FD755" w14:textId="77777777" w:rsidR="00833A4C" w:rsidRPr="00383EEA" w:rsidRDefault="00833A4C" w:rsidP="00833A4C">
            <w:pPr>
              <w:spacing w:after="160" w:line="259" w:lineRule="auto"/>
              <w:jc w:val="both"/>
            </w:pPr>
            <w:r w:rsidRPr="00383EEA">
              <w:t>80.3</w:t>
            </w:r>
          </w:p>
        </w:tc>
        <w:tc>
          <w:tcPr>
            <w:tcW w:w="0" w:type="auto"/>
            <w:hideMark/>
          </w:tcPr>
          <w:p w14:paraId="6B949252" w14:textId="77777777" w:rsidR="00833A4C" w:rsidRPr="00383EEA" w:rsidRDefault="00833A4C" w:rsidP="00833A4C">
            <w:pPr>
              <w:spacing w:after="160" w:line="259" w:lineRule="auto"/>
              <w:jc w:val="both"/>
            </w:pPr>
            <w:r w:rsidRPr="00383EEA">
              <w:t>78.1</w:t>
            </w:r>
          </w:p>
        </w:tc>
        <w:tc>
          <w:tcPr>
            <w:tcW w:w="0" w:type="auto"/>
            <w:hideMark/>
          </w:tcPr>
          <w:p w14:paraId="3DBE47B4" w14:textId="77777777" w:rsidR="00833A4C" w:rsidRPr="00383EEA" w:rsidRDefault="00833A4C" w:rsidP="00833A4C">
            <w:pPr>
              <w:spacing w:after="160" w:line="259" w:lineRule="auto"/>
              <w:jc w:val="both"/>
            </w:pPr>
            <w:r w:rsidRPr="00383EEA">
              <w:t>79.2</w:t>
            </w:r>
          </w:p>
        </w:tc>
      </w:tr>
      <w:tr w:rsidR="00833A4C" w:rsidRPr="00383EEA" w14:paraId="51B8C5A0" w14:textId="77777777" w:rsidTr="00833A4C">
        <w:tc>
          <w:tcPr>
            <w:tcW w:w="0" w:type="auto"/>
            <w:hideMark/>
          </w:tcPr>
          <w:p w14:paraId="4FB00F1B" w14:textId="77777777" w:rsidR="00833A4C" w:rsidRPr="00383EEA" w:rsidRDefault="00833A4C" w:rsidP="00833A4C">
            <w:pPr>
              <w:spacing w:after="160" w:line="259" w:lineRule="auto"/>
              <w:jc w:val="both"/>
            </w:pPr>
            <w:proofErr w:type="spellStart"/>
            <w:r w:rsidRPr="00383EEA">
              <w:t>BiLSTM</w:t>
            </w:r>
            <w:proofErr w:type="spellEnd"/>
            <w:r w:rsidRPr="00383EEA">
              <w:t>-CRF</w:t>
            </w:r>
          </w:p>
        </w:tc>
        <w:tc>
          <w:tcPr>
            <w:tcW w:w="0" w:type="auto"/>
            <w:hideMark/>
          </w:tcPr>
          <w:p w14:paraId="30405833" w14:textId="77777777" w:rsidR="00833A4C" w:rsidRPr="00383EEA" w:rsidRDefault="00833A4C" w:rsidP="00833A4C">
            <w:pPr>
              <w:spacing w:after="160" w:line="259" w:lineRule="auto"/>
              <w:jc w:val="both"/>
            </w:pPr>
            <w:r w:rsidRPr="00383EEA">
              <w:t>87.2</w:t>
            </w:r>
          </w:p>
        </w:tc>
        <w:tc>
          <w:tcPr>
            <w:tcW w:w="0" w:type="auto"/>
            <w:hideMark/>
          </w:tcPr>
          <w:p w14:paraId="2F846AC1" w14:textId="77777777" w:rsidR="00833A4C" w:rsidRPr="00383EEA" w:rsidRDefault="00833A4C" w:rsidP="00833A4C">
            <w:pPr>
              <w:spacing w:after="160" w:line="259" w:lineRule="auto"/>
              <w:jc w:val="both"/>
            </w:pPr>
            <w:r w:rsidRPr="00383EEA">
              <w:t>85.6</w:t>
            </w:r>
          </w:p>
        </w:tc>
        <w:tc>
          <w:tcPr>
            <w:tcW w:w="0" w:type="auto"/>
            <w:hideMark/>
          </w:tcPr>
          <w:p w14:paraId="060039DF" w14:textId="77777777" w:rsidR="00833A4C" w:rsidRPr="00383EEA" w:rsidRDefault="00833A4C" w:rsidP="00833A4C">
            <w:pPr>
              <w:spacing w:after="160" w:line="259" w:lineRule="auto"/>
              <w:jc w:val="both"/>
            </w:pPr>
            <w:r w:rsidRPr="00383EEA">
              <w:t>86.4</w:t>
            </w:r>
          </w:p>
        </w:tc>
      </w:tr>
      <w:tr w:rsidR="00833A4C" w:rsidRPr="00383EEA" w14:paraId="6ADA11E7" w14:textId="77777777" w:rsidTr="00833A4C">
        <w:tc>
          <w:tcPr>
            <w:tcW w:w="0" w:type="auto"/>
            <w:hideMark/>
          </w:tcPr>
          <w:p w14:paraId="38826C02" w14:textId="77777777" w:rsidR="00833A4C" w:rsidRPr="00383EEA" w:rsidRDefault="00833A4C" w:rsidP="00833A4C">
            <w:pPr>
              <w:spacing w:after="160" w:line="259" w:lineRule="auto"/>
              <w:jc w:val="both"/>
            </w:pPr>
            <w:proofErr w:type="spellStart"/>
            <w:r w:rsidRPr="00383EEA">
              <w:t>AfroXLMR</w:t>
            </w:r>
            <w:proofErr w:type="spellEnd"/>
            <w:r w:rsidRPr="00383EEA">
              <w:t>-base</w:t>
            </w:r>
          </w:p>
        </w:tc>
        <w:tc>
          <w:tcPr>
            <w:tcW w:w="0" w:type="auto"/>
            <w:hideMark/>
          </w:tcPr>
          <w:p w14:paraId="7E765D3E" w14:textId="77777777" w:rsidR="00833A4C" w:rsidRPr="00383EEA" w:rsidRDefault="00833A4C" w:rsidP="00833A4C">
            <w:pPr>
              <w:spacing w:after="160" w:line="259" w:lineRule="auto"/>
              <w:jc w:val="both"/>
            </w:pPr>
            <w:r w:rsidRPr="00383EEA">
              <w:t>85.9</w:t>
            </w:r>
          </w:p>
        </w:tc>
        <w:tc>
          <w:tcPr>
            <w:tcW w:w="0" w:type="auto"/>
            <w:hideMark/>
          </w:tcPr>
          <w:p w14:paraId="1DE40F88" w14:textId="77777777" w:rsidR="00833A4C" w:rsidRPr="00383EEA" w:rsidRDefault="00833A4C" w:rsidP="00833A4C">
            <w:pPr>
              <w:spacing w:after="160" w:line="259" w:lineRule="auto"/>
              <w:jc w:val="both"/>
            </w:pPr>
            <w:r w:rsidRPr="00383EEA">
              <w:t>83.5</w:t>
            </w:r>
          </w:p>
        </w:tc>
        <w:tc>
          <w:tcPr>
            <w:tcW w:w="0" w:type="auto"/>
            <w:hideMark/>
          </w:tcPr>
          <w:p w14:paraId="51349F8F" w14:textId="77777777" w:rsidR="00833A4C" w:rsidRPr="00383EEA" w:rsidRDefault="00833A4C" w:rsidP="00833A4C">
            <w:pPr>
              <w:spacing w:after="160" w:line="259" w:lineRule="auto"/>
              <w:jc w:val="both"/>
            </w:pPr>
            <w:r w:rsidRPr="00383EEA">
              <w:t>84.7</w:t>
            </w:r>
          </w:p>
        </w:tc>
      </w:tr>
    </w:tbl>
    <w:p w14:paraId="4AEDCCC5" w14:textId="77777777" w:rsidR="00833A4C" w:rsidRPr="00383EEA" w:rsidRDefault="00833A4C" w:rsidP="00833A4C">
      <w:pPr>
        <w:jc w:val="both"/>
      </w:pPr>
      <w:r w:rsidRPr="00383EEA">
        <w:rPr>
          <w:i/>
          <w:iCs/>
        </w:rPr>
        <w:t>Source: Experimental results from model evaluation on test set (2024)</w:t>
      </w:r>
    </w:p>
    <w:p w14:paraId="1FD5732A" w14:textId="77777777" w:rsidR="00833A4C" w:rsidRPr="00383EEA" w:rsidRDefault="00833A4C" w:rsidP="00833A4C">
      <w:pPr>
        <w:jc w:val="both"/>
      </w:pPr>
      <w:r w:rsidRPr="00383EEA">
        <w:t xml:space="preserve">Table 4 reveals several important patterns in model performance. The </w:t>
      </w:r>
      <w:proofErr w:type="spellStart"/>
      <w:r w:rsidRPr="00383EEA">
        <w:t>BiLSTM</w:t>
      </w:r>
      <w:proofErr w:type="spellEnd"/>
      <w:r w:rsidRPr="00383EEA">
        <w:t xml:space="preserve">-CRF architecture outperforms the CRF baseline by a substantial margin of 7.2 percentage points in F1-score, confirming the value of neural sequence modelling for Igala NER. The improvement stems primarily from the </w:t>
      </w:r>
      <w:proofErr w:type="spellStart"/>
      <w:r w:rsidRPr="00383EEA">
        <w:t>BiLSTM</w:t>
      </w:r>
      <w:proofErr w:type="spellEnd"/>
      <w:r w:rsidRPr="00383EEA">
        <w:t xml:space="preserve">-CRF's ability to learn distributed representations capturing semantic and morphological patterns, whereas the CRF model relies on manually engineered features that may miss subtle patterns in the data. The </w:t>
      </w:r>
      <w:proofErr w:type="spellStart"/>
      <w:r w:rsidRPr="00383EEA">
        <w:t>BiLSTM</w:t>
      </w:r>
      <w:proofErr w:type="spellEnd"/>
      <w:r w:rsidRPr="00383EEA">
        <w:t>-CRF's character-level component proves particularly valuable for handling the morphological complexity of Igala, enabling generalisation to word forms not observed during training.</w:t>
      </w:r>
    </w:p>
    <w:p w14:paraId="5AAFE4AD" w14:textId="77777777" w:rsidR="00833A4C" w:rsidRPr="00383EEA" w:rsidRDefault="00833A4C" w:rsidP="00833A4C">
      <w:pPr>
        <w:jc w:val="both"/>
      </w:pPr>
      <w:r w:rsidRPr="00383EEA">
        <w:t xml:space="preserve">The finding that </w:t>
      </w:r>
      <w:proofErr w:type="spellStart"/>
      <w:r w:rsidRPr="00383EEA">
        <w:t>BiLSTM</w:t>
      </w:r>
      <w:proofErr w:type="spellEnd"/>
      <w:r w:rsidRPr="00383EEA">
        <w:t xml:space="preserve">-CRF outperforms </w:t>
      </w:r>
      <w:proofErr w:type="spellStart"/>
      <w:r w:rsidRPr="00383EEA">
        <w:t>AfroXLMR</w:t>
      </w:r>
      <w:proofErr w:type="spellEnd"/>
      <w:r w:rsidRPr="00383EEA">
        <w:t xml:space="preserve">-base by 1.7 percentage points warrants careful analysis. This result contradicts the common expectation that larger pre-trained models should outperform task-specific architectures trained from scratch, particularly given </w:t>
      </w:r>
      <w:proofErr w:type="spellStart"/>
      <w:r w:rsidRPr="00383EEA">
        <w:t>AfroXLMR</w:t>
      </w:r>
      <w:proofErr w:type="spellEnd"/>
      <w:r w:rsidRPr="00383EEA">
        <w:t xml:space="preserve">-base's demonstrated success for other African languages including Swahili, Yoruba, and Hausa (Alabi et al., 2022). Several factors may explain this outcome. First, </w:t>
      </w:r>
      <w:proofErr w:type="spellStart"/>
      <w:r w:rsidRPr="00383EEA">
        <w:t>AfroXLMR</w:t>
      </w:r>
      <w:proofErr w:type="spellEnd"/>
      <w:r w:rsidRPr="00383EEA">
        <w:t xml:space="preserve">-base's pre-training data included minimal Igala text, limiting the model's ability to develop language-specific representations. Second, the substantial mismatch between </w:t>
      </w:r>
      <w:proofErr w:type="spellStart"/>
      <w:r w:rsidRPr="00383EEA">
        <w:t>AfroXLMR</w:t>
      </w:r>
      <w:proofErr w:type="spellEnd"/>
      <w:r w:rsidRPr="00383EEA">
        <w:t xml:space="preserve">-base's </w:t>
      </w:r>
      <w:proofErr w:type="spellStart"/>
      <w:r w:rsidRPr="00383EEA">
        <w:t>subword</w:t>
      </w:r>
      <w:proofErr w:type="spellEnd"/>
      <w:r w:rsidRPr="00383EEA">
        <w:t xml:space="preserve"> tokenisation and Igala's morphological structure may fragment meaningful units, complicating entity boundary detection (</w:t>
      </w:r>
      <w:proofErr w:type="spellStart"/>
      <w:r w:rsidRPr="00383EEA">
        <w:t>Shiaki</w:t>
      </w:r>
      <w:proofErr w:type="spellEnd"/>
      <w:r w:rsidRPr="00383EEA">
        <w:t xml:space="preserve">, 2025). Third, the model's massive capacity relative to fine-tuning data (28,000 sentences) creates risk of overfitting despite regularisation, whereas the </w:t>
      </w:r>
      <w:proofErr w:type="spellStart"/>
      <w:r w:rsidRPr="00383EEA">
        <w:t>BiLSTM</w:t>
      </w:r>
      <w:proofErr w:type="spellEnd"/>
      <w:r w:rsidRPr="00383EEA">
        <w:t>-CRF's more constrained capacity better matches the available training data.</w:t>
      </w:r>
    </w:p>
    <w:p w14:paraId="28E4B98F" w14:textId="77777777" w:rsidR="00833A4C" w:rsidRPr="00383EEA" w:rsidRDefault="00833A4C" w:rsidP="00833A4C">
      <w:pPr>
        <w:jc w:val="both"/>
      </w:pPr>
      <w:r w:rsidRPr="00383EEA">
        <w:t>The CRF baseline's F1-score of 79.2% demonstrates that traditional machine learning approaches remain viable for low-resource NER when carefully engineered. The feature set, developed through iterative refinement on the development set, successfully captures many patterns relevant to Igala entity recognition. Gazetteer features proved particularly valuable, contributing an estimated 4-5 percentage points to CRF performance by providing direct evidence for entity candidates. However, the CRF model's reliance on explicit features limits its ability to generalise beyond observed patterns, explaining its lower recall (78.1%) compared to precision (80.3%).</w:t>
      </w:r>
    </w:p>
    <w:p w14:paraId="69AF6E53" w14:textId="77777777" w:rsidR="00833A4C" w:rsidRPr="00383EEA" w:rsidRDefault="00833A4C" w:rsidP="00833A4C">
      <w:pPr>
        <w:jc w:val="both"/>
        <w:rPr>
          <w:b/>
          <w:bCs/>
        </w:rPr>
      </w:pPr>
      <w:r w:rsidRPr="00383EEA">
        <w:rPr>
          <w:b/>
          <w:bCs/>
        </w:rPr>
        <w:t>4.2 Performance Analysis by Entity Type</w:t>
      </w:r>
    </w:p>
    <w:p w14:paraId="0A285C05" w14:textId="77777777" w:rsidR="00833A4C" w:rsidRPr="00383EEA" w:rsidRDefault="00833A4C" w:rsidP="00833A4C">
      <w:pPr>
        <w:jc w:val="both"/>
      </w:pPr>
      <w:r w:rsidRPr="00383EEA">
        <w:t>Detailed analysis of per-entity type performance reveals substantial variation in recognition difficulty across categories, as shown in Table 5. This disaggregated analysis provides crucial insights for system improvement and identifies specific challenges requiring targeted attention in future work.</w:t>
      </w:r>
    </w:p>
    <w:p w14:paraId="495ED494" w14:textId="77777777" w:rsidR="00833A4C" w:rsidRPr="00383EEA" w:rsidRDefault="00833A4C" w:rsidP="00833A4C">
      <w:pPr>
        <w:jc w:val="both"/>
      </w:pPr>
      <w:r w:rsidRPr="00383EEA">
        <w:rPr>
          <w:b/>
          <w:bCs/>
        </w:rPr>
        <w:t>Table 5: Per-Entity Type F1-Score Performance for Igala NER Models</w:t>
      </w:r>
    </w:p>
    <w:tbl>
      <w:tblPr>
        <w:tblStyle w:val="TableGrid"/>
        <w:tblW w:w="0" w:type="auto"/>
        <w:tblLook w:val="04A0" w:firstRow="1" w:lastRow="0" w:firstColumn="1" w:lastColumn="0" w:noHBand="0" w:noVBand="1"/>
      </w:tblPr>
      <w:tblGrid>
        <w:gridCol w:w="1937"/>
        <w:gridCol w:w="1167"/>
        <w:gridCol w:w="1908"/>
        <w:gridCol w:w="2245"/>
        <w:gridCol w:w="1561"/>
      </w:tblGrid>
      <w:tr w:rsidR="00833A4C" w:rsidRPr="00383EEA" w14:paraId="5F29DA5F" w14:textId="77777777" w:rsidTr="00833A4C">
        <w:tc>
          <w:tcPr>
            <w:tcW w:w="0" w:type="auto"/>
            <w:hideMark/>
          </w:tcPr>
          <w:p w14:paraId="560E0469" w14:textId="77777777" w:rsidR="00833A4C" w:rsidRPr="00383EEA" w:rsidRDefault="00833A4C" w:rsidP="00833A4C">
            <w:pPr>
              <w:spacing w:after="160" w:line="259" w:lineRule="auto"/>
              <w:jc w:val="both"/>
              <w:rPr>
                <w:b/>
                <w:bCs/>
              </w:rPr>
            </w:pPr>
            <w:r w:rsidRPr="00383EEA">
              <w:rPr>
                <w:b/>
                <w:bCs/>
              </w:rPr>
              <w:t>Entity Type</w:t>
            </w:r>
          </w:p>
        </w:tc>
        <w:tc>
          <w:tcPr>
            <w:tcW w:w="0" w:type="auto"/>
            <w:hideMark/>
          </w:tcPr>
          <w:p w14:paraId="72CC1765" w14:textId="77777777" w:rsidR="00833A4C" w:rsidRPr="00383EEA" w:rsidRDefault="00833A4C" w:rsidP="00833A4C">
            <w:pPr>
              <w:spacing w:after="160" w:line="259" w:lineRule="auto"/>
              <w:jc w:val="both"/>
              <w:rPr>
                <w:b/>
                <w:bCs/>
              </w:rPr>
            </w:pPr>
            <w:r w:rsidRPr="00383EEA">
              <w:rPr>
                <w:b/>
                <w:bCs/>
              </w:rPr>
              <w:t>CRF F1 (%)</w:t>
            </w:r>
          </w:p>
        </w:tc>
        <w:tc>
          <w:tcPr>
            <w:tcW w:w="0" w:type="auto"/>
            <w:hideMark/>
          </w:tcPr>
          <w:p w14:paraId="1AAA6312" w14:textId="77777777" w:rsidR="00833A4C" w:rsidRPr="00383EEA" w:rsidRDefault="00833A4C" w:rsidP="00833A4C">
            <w:pPr>
              <w:spacing w:after="160" w:line="259" w:lineRule="auto"/>
              <w:jc w:val="both"/>
              <w:rPr>
                <w:b/>
                <w:bCs/>
              </w:rPr>
            </w:pPr>
            <w:proofErr w:type="spellStart"/>
            <w:r w:rsidRPr="00383EEA">
              <w:rPr>
                <w:b/>
                <w:bCs/>
              </w:rPr>
              <w:t>BiLSTM</w:t>
            </w:r>
            <w:proofErr w:type="spellEnd"/>
            <w:r w:rsidRPr="00383EEA">
              <w:rPr>
                <w:b/>
                <w:bCs/>
              </w:rPr>
              <w:t>-CRF F1 (%)</w:t>
            </w:r>
          </w:p>
        </w:tc>
        <w:tc>
          <w:tcPr>
            <w:tcW w:w="0" w:type="auto"/>
            <w:hideMark/>
          </w:tcPr>
          <w:p w14:paraId="15A77A3D" w14:textId="77777777" w:rsidR="00833A4C" w:rsidRPr="00383EEA" w:rsidRDefault="00833A4C" w:rsidP="00833A4C">
            <w:pPr>
              <w:spacing w:after="160" w:line="259" w:lineRule="auto"/>
              <w:jc w:val="both"/>
              <w:rPr>
                <w:b/>
                <w:bCs/>
              </w:rPr>
            </w:pPr>
            <w:proofErr w:type="spellStart"/>
            <w:r w:rsidRPr="00383EEA">
              <w:rPr>
                <w:b/>
                <w:bCs/>
              </w:rPr>
              <w:t>AfroXLMR</w:t>
            </w:r>
            <w:proofErr w:type="spellEnd"/>
            <w:r w:rsidRPr="00383EEA">
              <w:rPr>
                <w:b/>
                <w:bCs/>
              </w:rPr>
              <w:t>-base F1 (%)</w:t>
            </w:r>
          </w:p>
        </w:tc>
        <w:tc>
          <w:tcPr>
            <w:tcW w:w="0" w:type="auto"/>
            <w:hideMark/>
          </w:tcPr>
          <w:p w14:paraId="550941B0" w14:textId="77777777" w:rsidR="00833A4C" w:rsidRPr="00383EEA" w:rsidRDefault="00833A4C" w:rsidP="00833A4C">
            <w:pPr>
              <w:spacing w:after="160" w:line="259" w:lineRule="auto"/>
              <w:jc w:val="both"/>
              <w:rPr>
                <w:b/>
                <w:bCs/>
              </w:rPr>
            </w:pPr>
            <w:r w:rsidRPr="00383EEA">
              <w:rPr>
                <w:b/>
                <w:bCs/>
              </w:rPr>
              <w:t>Average F1 (%)</w:t>
            </w:r>
          </w:p>
        </w:tc>
      </w:tr>
      <w:tr w:rsidR="00833A4C" w:rsidRPr="00383EEA" w14:paraId="32B1B918" w14:textId="77777777" w:rsidTr="00833A4C">
        <w:tc>
          <w:tcPr>
            <w:tcW w:w="0" w:type="auto"/>
            <w:hideMark/>
          </w:tcPr>
          <w:p w14:paraId="63AB5BC1" w14:textId="77777777" w:rsidR="00833A4C" w:rsidRPr="00383EEA" w:rsidRDefault="00833A4C" w:rsidP="00833A4C">
            <w:pPr>
              <w:spacing w:after="160" w:line="259" w:lineRule="auto"/>
              <w:jc w:val="both"/>
            </w:pPr>
            <w:r w:rsidRPr="00383EEA">
              <w:t>Person (PER)</w:t>
            </w:r>
          </w:p>
        </w:tc>
        <w:tc>
          <w:tcPr>
            <w:tcW w:w="0" w:type="auto"/>
            <w:hideMark/>
          </w:tcPr>
          <w:p w14:paraId="3FEBF4DF" w14:textId="77777777" w:rsidR="00833A4C" w:rsidRPr="00383EEA" w:rsidRDefault="00833A4C" w:rsidP="00833A4C">
            <w:pPr>
              <w:spacing w:after="160" w:line="259" w:lineRule="auto"/>
              <w:jc w:val="both"/>
            </w:pPr>
            <w:r w:rsidRPr="00383EEA">
              <w:t>83.5</w:t>
            </w:r>
          </w:p>
        </w:tc>
        <w:tc>
          <w:tcPr>
            <w:tcW w:w="0" w:type="auto"/>
            <w:hideMark/>
          </w:tcPr>
          <w:p w14:paraId="5A1DEF38" w14:textId="77777777" w:rsidR="00833A4C" w:rsidRPr="00383EEA" w:rsidRDefault="00833A4C" w:rsidP="00833A4C">
            <w:pPr>
              <w:spacing w:after="160" w:line="259" w:lineRule="auto"/>
              <w:jc w:val="both"/>
            </w:pPr>
            <w:r w:rsidRPr="00383EEA">
              <w:t>90.2</w:t>
            </w:r>
          </w:p>
        </w:tc>
        <w:tc>
          <w:tcPr>
            <w:tcW w:w="0" w:type="auto"/>
            <w:hideMark/>
          </w:tcPr>
          <w:p w14:paraId="496F19E0" w14:textId="77777777" w:rsidR="00833A4C" w:rsidRPr="00383EEA" w:rsidRDefault="00833A4C" w:rsidP="00833A4C">
            <w:pPr>
              <w:spacing w:after="160" w:line="259" w:lineRule="auto"/>
              <w:jc w:val="both"/>
            </w:pPr>
            <w:r w:rsidRPr="00383EEA">
              <w:t>89.1</w:t>
            </w:r>
          </w:p>
        </w:tc>
        <w:tc>
          <w:tcPr>
            <w:tcW w:w="0" w:type="auto"/>
            <w:hideMark/>
          </w:tcPr>
          <w:p w14:paraId="46407ABF" w14:textId="77777777" w:rsidR="00833A4C" w:rsidRPr="00383EEA" w:rsidRDefault="00833A4C" w:rsidP="00833A4C">
            <w:pPr>
              <w:spacing w:after="160" w:line="259" w:lineRule="auto"/>
              <w:jc w:val="both"/>
            </w:pPr>
            <w:r w:rsidRPr="00383EEA">
              <w:t>87.6</w:t>
            </w:r>
          </w:p>
        </w:tc>
      </w:tr>
      <w:tr w:rsidR="00833A4C" w:rsidRPr="00383EEA" w14:paraId="07D35B89" w14:textId="77777777" w:rsidTr="00833A4C">
        <w:tc>
          <w:tcPr>
            <w:tcW w:w="0" w:type="auto"/>
            <w:hideMark/>
          </w:tcPr>
          <w:p w14:paraId="6716A109" w14:textId="77777777" w:rsidR="00833A4C" w:rsidRPr="00383EEA" w:rsidRDefault="00833A4C" w:rsidP="00833A4C">
            <w:pPr>
              <w:spacing w:after="160" w:line="259" w:lineRule="auto"/>
              <w:jc w:val="both"/>
            </w:pPr>
            <w:r w:rsidRPr="00383EEA">
              <w:t>Location (LOC)</w:t>
            </w:r>
          </w:p>
        </w:tc>
        <w:tc>
          <w:tcPr>
            <w:tcW w:w="0" w:type="auto"/>
            <w:hideMark/>
          </w:tcPr>
          <w:p w14:paraId="6A2CD5DF" w14:textId="77777777" w:rsidR="00833A4C" w:rsidRPr="00383EEA" w:rsidRDefault="00833A4C" w:rsidP="00833A4C">
            <w:pPr>
              <w:spacing w:after="160" w:line="259" w:lineRule="auto"/>
              <w:jc w:val="both"/>
            </w:pPr>
            <w:r w:rsidRPr="00383EEA">
              <w:t>81.2</w:t>
            </w:r>
          </w:p>
        </w:tc>
        <w:tc>
          <w:tcPr>
            <w:tcW w:w="0" w:type="auto"/>
            <w:hideMark/>
          </w:tcPr>
          <w:p w14:paraId="5515B2AA" w14:textId="77777777" w:rsidR="00833A4C" w:rsidRPr="00383EEA" w:rsidRDefault="00833A4C" w:rsidP="00833A4C">
            <w:pPr>
              <w:spacing w:after="160" w:line="259" w:lineRule="auto"/>
              <w:jc w:val="both"/>
            </w:pPr>
            <w:r w:rsidRPr="00383EEA">
              <w:t>88.4</w:t>
            </w:r>
          </w:p>
        </w:tc>
        <w:tc>
          <w:tcPr>
            <w:tcW w:w="0" w:type="auto"/>
            <w:hideMark/>
          </w:tcPr>
          <w:p w14:paraId="3C73F7C1" w14:textId="77777777" w:rsidR="00833A4C" w:rsidRPr="00383EEA" w:rsidRDefault="00833A4C" w:rsidP="00833A4C">
            <w:pPr>
              <w:spacing w:after="160" w:line="259" w:lineRule="auto"/>
              <w:jc w:val="both"/>
            </w:pPr>
            <w:r w:rsidRPr="00383EEA">
              <w:t>86.7</w:t>
            </w:r>
          </w:p>
        </w:tc>
        <w:tc>
          <w:tcPr>
            <w:tcW w:w="0" w:type="auto"/>
            <w:hideMark/>
          </w:tcPr>
          <w:p w14:paraId="47F47257" w14:textId="77777777" w:rsidR="00833A4C" w:rsidRPr="00383EEA" w:rsidRDefault="00833A4C" w:rsidP="00833A4C">
            <w:pPr>
              <w:spacing w:after="160" w:line="259" w:lineRule="auto"/>
              <w:jc w:val="both"/>
            </w:pPr>
            <w:r w:rsidRPr="00383EEA">
              <w:t>85.4</w:t>
            </w:r>
          </w:p>
        </w:tc>
      </w:tr>
      <w:tr w:rsidR="00833A4C" w:rsidRPr="00383EEA" w14:paraId="15D95592" w14:textId="77777777" w:rsidTr="00833A4C">
        <w:tc>
          <w:tcPr>
            <w:tcW w:w="0" w:type="auto"/>
            <w:hideMark/>
          </w:tcPr>
          <w:p w14:paraId="526B47C6" w14:textId="77777777" w:rsidR="00833A4C" w:rsidRPr="00383EEA" w:rsidRDefault="00833A4C" w:rsidP="00833A4C">
            <w:pPr>
              <w:spacing w:after="160" w:line="259" w:lineRule="auto"/>
              <w:jc w:val="both"/>
            </w:pPr>
            <w:r w:rsidRPr="00383EEA">
              <w:lastRenderedPageBreak/>
              <w:t>Organisation (ORG)</w:t>
            </w:r>
          </w:p>
        </w:tc>
        <w:tc>
          <w:tcPr>
            <w:tcW w:w="0" w:type="auto"/>
            <w:hideMark/>
          </w:tcPr>
          <w:p w14:paraId="78AD48D3" w14:textId="77777777" w:rsidR="00833A4C" w:rsidRPr="00383EEA" w:rsidRDefault="00833A4C" w:rsidP="00833A4C">
            <w:pPr>
              <w:spacing w:after="160" w:line="259" w:lineRule="auto"/>
              <w:jc w:val="both"/>
            </w:pPr>
            <w:r w:rsidRPr="00383EEA">
              <w:t>74.8</w:t>
            </w:r>
          </w:p>
        </w:tc>
        <w:tc>
          <w:tcPr>
            <w:tcW w:w="0" w:type="auto"/>
            <w:hideMark/>
          </w:tcPr>
          <w:p w14:paraId="2ACFB4F3" w14:textId="77777777" w:rsidR="00833A4C" w:rsidRPr="00383EEA" w:rsidRDefault="00833A4C" w:rsidP="00833A4C">
            <w:pPr>
              <w:spacing w:after="160" w:line="259" w:lineRule="auto"/>
              <w:jc w:val="both"/>
            </w:pPr>
            <w:r w:rsidRPr="00383EEA">
              <w:t>82.1</w:t>
            </w:r>
          </w:p>
        </w:tc>
        <w:tc>
          <w:tcPr>
            <w:tcW w:w="0" w:type="auto"/>
            <w:hideMark/>
          </w:tcPr>
          <w:p w14:paraId="7D5D9023" w14:textId="77777777" w:rsidR="00833A4C" w:rsidRPr="00383EEA" w:rsidRDefault="00833A4C" w:rsidP="00833A4C">
            <w:pPr>
              <w:spacing w:after="160" w:line="259" w:lineRule="auto"/>
              <w:jc w:val="both"/>
            </w:pPr>
            <w:r w:rsidRPr="00383EEA">
              <w:t>79.5</w:t>
            </w:r>
          </w:p>
        </w:tc>
        <w:tc>
          <w:tcPr>
            <w:tcW w:w="0" w:type="auto"/>
            <w:hideMark/>
          </w:tcPr>
          <w:p w14:paraId="096F81F5" w14:textId="77777777" w:rsidR="00833A4C" w:rsidRPr="00383EEA" w:rsidRDefault="00833A4C" w:rsidP="00833A4C">
            <w:pPr>
              <w:spacing w:after="160" w:line="259" w:lineRule="auto"/>
              <w:jc w:val="both"/>
            </w:pPr>
            <w:r w:rsidRPr="00383EEA">
              <w:t>78.8</w:t>
            </w:r>
          </w:p>
        </w:tc>
      </w:tr>
      <w:tr w:rsidR="00833A4C" w:rsidRPr="00383EEA" w14:paraId="62431071" w14:textId="77777777" w:rsidTr="00833A4C">
        <w:tc>
          <w:tcPr>
            <w:tcW w:w="0" w:type="auto"/>
            <w:hideMark/>
          </w:tcPr>
          <w:p w14:paraId="4DB4730B" w14:textId="77777777" w:rsidR="00833A4C" w:rsidRPr="00383EEA" w:rsidRDefault="00833A4C" w:rsidP="00833A4C">
            <w:pPr>
              <w:spacing w:after="160" w:line="259" w:lineRule="auto"/>
              <w:jc w:val="both"/>
            </w:pPr>
            <w:r w:rsidRPr="00383EEA">
              <w:t>Date (DATE)</w:t>
            </w:r>
          </w:p>
        </w:tc>
        <w:tc>
          <w:tcPr>
            <w:tcW w:w="0" w:type="auto"/>
            <w:hideMark/>
          </w:tcPr>
          <w:p w14:paraId="1EAE3EE5" w14:textId="77777777" w:rsidR="00833A4C" w:rsidRPr="00383EEA" w:rsidRDefault="00833A4C" w:rsidP="00833A4C">
            <w:pPr>
              <w:spacing w:after="160" w:line="259" w:lineRule="auto"/>
              <w:jc w:val="both"/>
            </w:pPr>
            <w:r w:rsidRPr="00383EEA">
              <w:t>77.3</w:t>
            </w:r>
          </w:p>
        </w:tc>
        <w:tc>
          <w:tcPr>
            <w:tcW w:w="0" w:type="auto"/>
            <w:hideMark/>
          </w:tcPr>
          <w:p w14:paraId="1DAF9F20" w14:textId="77777777" w:rsidR="00833A4C" w:rsidRPr="00383EEA" w:rsidRDefault="00833A4C" w:rsidP="00833A4C">
            <w:pPr>
              <w:spacing w:after="160" w:line="259" w:lineRule="auto"/>
              <w:jc w:val="both"/>
            </w:pPr>
            <w:r w:rsidRPr="00383EEA">
              <w:t>85.0</w:t>
            </w:r>
          </w:p>
        </w:tc>
        <w:tc>
          <w:tcPr>
            <w:tcW w:w="0" w:type="auto"/>
            <w:hideMark/>
          </w:tcPr>
          <w:p w14:paraId="7578507C" w14:textId="77777777" w:rsidR="00833A4C" w:rsidRPr="00383EEA" w:rsidRDefault="00833A4C" w:rsidP="00833A4C">
            <w:pPr>
              <w:spacing w:after="160" w:line="259" w:lineRule="auto"/>
              <w:jc w:val="both"/>
            </w:pPr>
            <w:r w:rsidRPr="00383EEA">
              <w:t>83.6</w:t>
            </w:r>
          </w:p>
        </w:tc>
        <w:tc>
          <w:tcPr>
            <w:tcW w:w="0" w:type="auto"/>
            <w:hideMark/>
          </w:tcPr>
          <w:p w14:paraId="23B4984A" w14:textId="77777777" w:rsidR="00833A4C" w:rsidRPr="00383EEA" w:rsidRDefault="00833A4C" w:rsidP="00833A4C">
            <w:pPr>
              <w:spacing w:after="160" w:line="259" w:lineRule="auto"/>
              <w:jc w:val="both"/>
            </w:pPr>
            <w:r w:rsidRPr="00383EEA">
              <w:t>82.0</w:t>
            </w:r>
          </w:p>
        </w:tc>
      </w:tr>
    </w:tbl>
    <w:p w14:paraId="41DABCC8" w14:textId="77777777" w:rsidR="00833A4C" w:rsidRPr="00383EEA" w:rsidRDefault="00833A4C" w:rsidP="00833A4C">
      <w:pPr>
        <w:jc w:val="both"/>
      </w:pPr>
      <w:r w:rsidRPr="00383EEA">
        <w:rPr>
          <w:i/>
          <w:iCs/>
        </w:rPr>
        <w:t>Source: Disaggregated evaluation results from test set analysis (2024)</w:t>
      </w:r>
    </w:p>
    <w:p w14:paraId="7F89168D" w14:textId="77777777" w:rsidR="00833A4C" w:rsidRPr="00383EEA" w:rsidRDefault="00833A4C" w:rsidP="00833A4C">
      <w:pPr>
        <w:jc w:val="both"/>
      </w:pPr>
      <w:r w:rsidRPr="00383EEA">
        <w:t xml:space="preserve">Table 5 reveals that person names achieve the highest recognition performance across all models, with </w:t>
      </w:r>
      <w:proofErr w:type="spellStart"/>
      <w:r w:rsidRPr="00383EEA">
        <w:t>BiLSTM</w:t>
      </w:r>
      <w:proofErr w:type="spellEnd"/>
      <w:r w:rsidRPr="00383EEA">
        <w:t xml:space="preserve">-CRF reaching 90.2% F1-score and even the CRF baseline exceeding 83%. This consistent performance likely reflects several factors: person names exhibit relatively consistent morphological and distributional patterns, they appear frequently across all text genres, and many personal names appear in gazetteers compiled from external sources. The high performance for person names aligns with findings from other African language NER research, including </w:t>
      </w:r>
      <w:proofErr w:type="spellStart"/>
      <w:r w:rsidRPr="00383EEA">
        <w:t>IgboNER</w:t>
      </w:r>
      <w:proofErr w:type="spellEnd"/>
      <w:r w:rsidRPr="00383EEA">
        <w:t xml:space="preserve"> where person names similarly achieved the highest recognition rates (</w:t>
      </w:r>
      <w:proofErr w:type="spellStart"/>
      <w:r w:rsidRPr="00383EEA">
        <w:t>Chukwuneke</w:t>
      </w:r>
      <w:proofErr w:type="spellEnd"/>
      <w:r w:rsidRPr="00383EEA">
        <w:t>, 2025).</w:t>
      </w:r>
    </w:p>
    <w:p w14:paraId="49330D84" w14:textId="77777777" w:rsidR="00833A4C" w:rsidRPr="00383EEA" w:rsidRDefault="00833A4C" w:rsidP="00833A4C">
      <w:pPr>
        <w:jc w:val="both"/>
      </w:pPr>
      <w:r w:rsidRPr="00383EEA">
        <w:t xml:space="preserve">Location names show slightly lower but still strong performance, with </w:t>
      </w:r>
      <w:proofErr w:type="spellStart"/>
      <w:r w:rsidRPr="00383EEA">
        <w:t>BiLSTM</w:t>
      </w:r>
      <w:proofErr w:type="spellEnd"/>
      <w:r w:rsidRPr="00383EEA">
        <w:t>-CRF achieving 88.4% F1-score. Location names in Igala often correspond to geographical terms with predictable morphological markers, and many locations appear repeatedly across documents, enabling models to learn specific lexical patterns. However, locations present challenges when names coincide with common nouns or when locations are referenced through descriptive phrases rather than proper names, contributing to the modest performance gap relative to person names.</w:t>
      </w:r>
    </w:p>
    <w:p w14:paraId="469A692E" w14:textId="77777777" w:rsidR="00833A4C" w:rsidRPr="00383EEA" w:rsidRDefault="00833A4C" w:rsidP="00833A4C">
      <w:pPr>
        <w:jc w:val="both"/>
      </w:pPr>
      <w:r w:rsidRPr="00383EEA">
        <w:t xml:space="preserve">Organisation names emerge as the most challenging entity type, with average F1-score of only 78.8% across models and the </w:t>
      </w:r>
      <w:proofErr w:type="spellStart"/>
      <w:r w:rsidRPr="00383EEA">
        <w:t>BiLSTM</w:t>
      </w:r>
      <w:proofErr w:type="spellEnd"/>
      <w:r w:rsidRPr="00383EEA">
        <w:t>-CRF achieving 82.1%. This difficulty reflects multiple factors. Organisation names in Igala frequently comprise multi-word phrases incorporating descriptive elements that vary across mentions. The same organisation may be referred to by full names, acronyms, and abbreviated forms, requiring models to recognise variant surface forms as referring to the same entity type. Organisation names also exhibit less consistent distributional patterns than person or location names, appearing in diverse syntactic contexts that provide weaker cues for classification. These findings mirror challenges reported for organisation recognition in other low-resource languages, where the category consistently proves most difficult (Kassahun et al., 2025).</w:t>
      </w:r>
    </w:p>
    <w:p w14:paraId="2CC1D697" w14:textId="77777777" w:rsidR="00833A4C" w:rsidRPr="00383EEA" w:rsidRDefault="00833A4C" w:rsidP="00833A4C">
      <w:pPr>
        <w:jc w:val="both"/>
      </w:pPr>
      <w:r w:rsidRPr="00383EEA">
        <w:t xml:space="preserve">Date expressions achieve intermediate performance, with </w:t>
      </w:r>
      <w:proofErr w:type="spellStart"/>
      <w:r w:rsidRPr="00383EEA">
        <w:t>BiLSTM</w:t>
      </w:r>
      <w:proofErr w:type="spellEnd"/>
      <w:r w:rsidRPr="00383EEA">
        <w:t>-CRF reaching 85.0% F1-score. Date recognition benefits from relatively constrained surface patterns, with Igala date expressions typically incorporating numeral sequences and predictable date-related vocabulary. However, variation in date formatting, reference to non-Gregorian calendar systems, and the use of relative date expressions (such as "last month" or "next year") introduce complexity that reduces recognition accuracy below that of person and location entities.</w:t>
      </w:r>
    </w:p>
    <w:p w14:paraId="23522045" w14:textId="77777777" w:rsidR="00833A4C" w:rsidRPr="00383EEA" w:rsidRDefault="00833A4C" w:rsidP="00833A4C">
      <w:pPr>
        <w:jc w:val="both"/>
        <w:rPr>
          <w:b/>
          <w:bCs/>
        </w:rPr>
      </w:pPr>
      <w:r w:rsidRPr="00383EEA">
        <w:rPr>
          <w:b/>
          <w:bCs/>
        </w:rPr>
        <w:t>4.3 Error Analysis</w:t>
      </w:r>
    </w:p>
    <w:p w14:paraId="20ACC080" w14:textId="77777777" w:rsidR="00833A4C" w:rsidRPr="00383EEA" w:rsidRDefault="00833A4C" w:rsidP="00833A4C">
      <w:pPr>
        <w:jc w:val="both"/>
      </w:pPr>
      <w:r w:rsidRPr="00383EEA">
        <w:t xml:space="preserve">Systematic error analysis was conducted on the </w:t>
      </w:r>
      <w:proofErr w:type="spellStart"/>
      <w:r w:rsidRPr="00383EEA">
        <w:t>BiLSTM</w:t>
      </w:r>
      <w:proofErr w:type="spellEnd"/>
      <w:r w:rsidRPr="00383EEA">
        <w:t>-CRF model's predictions to identify patterns in misclassifications and inform future improvement strategies. A random sample of 500 incorrectly processed sentences was extracted from the test set and manually analysed to categorise error types and identify underlying causes.</w:t>
      </w:r>
    </w:p>
    <w:p w14:paraId="1E61A247" w14:textId="77777777" w:rsidR="00833A4C" w:rsidRPr="00383EEA" w:rsidRDefault="00833A4C" w:rsidP="00833A4C">
      <w:pPr>
        <w:jc w:val="both"/>
      </w:pPr>
      <w:r w:rsidRPr="00383EEA">
        <w:t>Boundary errors, where the model correctly identified the entity type but failed to identify the exact span, accounted for 38% of all errors. These errors primarily affected multi-word entities, particularly organisation names, where the model included too few tokens (truncation errors) or included adjacent non-entity tokens (expansion errors). Analysis suggests that boundary errors stem from uncertainty about the precise extent of entity mentions, particularly when entities incorporate function words or when entity boundaries align with syntactic phrase boundaries in ways that the model has not fully learned.</w:t>
      </w:r>
    </w:p>
    <w:p w14:paraId="229B44FA" w14:textId="77777777" w:rsidR="00833A4C" w:rsidRPr="00383EEA" w:rsidRDefault="00833A4C" w:rsidP="00833A4C">
      <w:pPr>
        <w:jc w:val="both"/>
      </w:pPr>
      <w:r w:rsidRPr="00383EEA">
        <w:lastRenderedPageBreak/>
        <w:t>Type confusion errors, where the model correctly identified an entity span but assigned the wrong type, constituted 31% of errors. The most common confusion pairs were organisation misclassified as location (particularly for organisations named after locations) and person misclassified as organisation (for organisations named after individuals). These confusions reflect genuine ambiguity in the data, as many Igala entities exhibit exactly this dual nature—for example, a family name may refer both to a person and to the family organisation.</w:t>
      </w:r>
    </w:p>
    <w:p w14:paraId="39B1F3BA" w14:textId="77777777" w:rsidR="00833A4C" w:rsidRPr="00383EEA" w:rsidRDefault="00833A4C" w:rsidP="00833A4C">
      <w:pPr>
        <w:jc w:val="both"/>
      </w:pPr>
      <w:r w:rsidRPr="00383EEA">
        <w:t>False positive errors, where the model identified entities that did not exist in the gold annotation, accounted for 19% of errors. These errors most commonly involved common nouns being misclassified as entities, particularly when those nouns appeared in contexts resembling entity mention patterns. The high frequency of false positives suggests that the model may benefit from more extensive training data or from explicit negative examples to better learn the distinction between entity and non-entity mentions.</w:t>
      </w:r>
    </w:p>
    <w:p w14:paraId="7ADFF64A" w14:textId="77777777" w:rsidR="00833A4C" w:rsidRPr="00383EEA" w:rsidRDefault="00833A4C" w:rsidP="00833A4C">
      <w:pPr>
        <w:jc w:val="both"/>
      </w:pPr>
      <w:r w:rsidRPr="00383EEA">
        <w:t>False negative errors, where the model failed to identify gold entities, comprised the remaining 12% of errors. These errors predominantly affected rare entity mentions appearing only once in the training data, entities with unusual surface forms diverging from typical patterns, and entities in highly ambiguous contexts. The concentration of false negatives among rare entities highlights the continuing challenge of data sparsity even with 28,000 training sentences, as the long tail of entity mentions receives insufficient exemplars for robust learning.</w:t>
      </w:r>
    </w:p>
    <w:p w14:paraId="7CF87F46" w14:textId="77777777" w:rsidR="00833A4C" w:rsidRPr="00383EEA" w:rsidRDefault="00833A4C" w:rsidP="00833A4C">
      <w:pPr>
        <w:jc w:val="both"/>
        <w:rPr>
          <w:b/>
          <w:bCs/>
        </w:rPr>
      </w:pPr>
      <w:r w:rsidRPr="00383EEA">
        <w:rPr>
          <w:b/>
          <w:bCs/>
        </w:rPr>
        <w:t>4.4 Comparative Analysis with Related Work</w:t>
      </w:r>
    </w:p>
    <w:p w14:paraId="64378D26" w14:textId="77777777" w:rsidR="00833A4C" w:rsidRPr="00383EEA" w:rsidRDefault="00833A4C" w:rsidP="00833A4C">
      <w:pPr>
        <w:jc w:val="both"/>
      </w:pPr>
      <w:r w:rsidRPr="00383EEA">
        <w:t>Placing these results in the context of prior African language NER research enables assessment of progress and identification of relative strengths and weaknesses. Table 6 presents comparative performance figures from recent studies on related languages, acknowledging that direct comparison requires caution due to differences in corpus size, entity definitions, and evaluation protocols.</w:t>
      </w:r>
    </w:p>
    <w:p w14:paraId="422EDA39" w14:textId="77777777" w:rsidR="00833A4C" w:rsidRPr="00383EEA" w:rsidRDefault="00833A4C" w:rsidP="00833A4C">
      <w:pPr>
        <w:jc w:val="both"/>
      </w:pPr>
      <w:r w:rsidRPr="00383EEA">
        <w:rPr>
          <w:b/>
          <w:bCs/>
        </w:rPr>
        <w:t>Table 6: Comparative Performance of African Language NER Systems</w:t>
      </w:r>
    </w:p>
    <w:tbl>
      <w:tblPr>
        <w:tblStyle w:val="TableGrid"/>
        <w:tblW w:w="0" w:type="auto"/>
        <w:tblLook w:val="04A0" w:firstRow="1" w:lastRow="0" w:firstColumn="1" w:lastColumn="0" w:noHBand="0" w:noVBand="1"/>
      </w:tblPr>
      <w:tblGrid>
        <w:gridCol w:w="1080"/>
        <w:gridCol w:w="1916"/>
        <w:gridCol w:w="1414"/>
        <w:gridCol w:w="2015"/>
        <w:gridCol w:w="1676"/>
        <w:gridCol w:w="1141"/>
      </w:tblGrid>
      <w:tr w:rsidR="00833A4C" w:rsidRPr="00383EEA" w14:paraId="6797C3DE" w14:textId="77777777" w:rsidTr="00833A4C">
        <w:tc>
          <w:tcPr>
            <w:tcW w:w="0" w:type="auto"/>
            <w:hideMark/>
          </w:tcPr>
          <w:p w14:paraId="1A769A5F" w14:textId="77777777" w:rsidR="00833A4C" w:rsidRPr="00383EEA" w:rsidRDefault="00833A4C" w:rsidP="00833A4C">
            <w:pPr>
              <w:spacing w:after="160" w:line="259" w:lineRule="auto"/>
              <w:jc w:val="both"/>
              <w:rPr>
                <w:b/>
                <w:bCs/>
              </w:rPr>
            </w:pPr>
            <w:r w:rsidRPr="00383EEA">
              <w:rPr>
                <w:b/>
                <w:bCs/>
              </w:rPr>
              <w:t>Language</w:t>
            </w:r>
          </w:p>
        </w:tc>
        <w:tc>
          <w:tcPr>
            <w:tcW w:w="0" w:type="auto"/>
            <w:hideMark/>
          </w:tcPr>
          <w:p w14:paraId="530CE3EF" w14:textId="77777777" w:rsidR="00833A4C" w:rsidRPr="00383EEA" w:rsidRDefault="00833A4C" w:rsidP="00833A4C">
            <w:pPr>
              <w:spacing w:after="160" w:line="259" w:lineRule="auto"/>
              <w:jc w:val="both"/>
              <w:rPr>
                <w:b/>
                <w:bCs/>
              </w:rPr>
            </w:pPr>
            <w:r w:rsidRPr="00383EEA">
              <w:rPr>
                <w:b/>
                <w:bCs/>
              </w:rPr>
              <w:t>Study</w:t>
            </w:r>
          </w:p>
        </w:tc>
        <w:tc>
          <w:tcPr>
            <w:tcW w:w="0" w:type="auto"/>
            <w:hideMark/>
          </w:tcPr>
          <w:p w14:paraId="30913539" w14:textId="77777777" w:rsidR="00833A4C" w:rsidRPr="00383EEA" w:rsidRDefault="00833A4C" w:rsidP="00833A4C">
            <w:pPr>
              <w:spacing w:after="160" w:line="259" w:lineRule="auto"/>
              <w:jc w:val="both"/>
              <w:rPr>
                <w:b/>
                <w:bCs/>
              </w:rPr>
            </w:pPr>
            <w:r w:rsidRPr="00383EEA">
              <w:rPr>
                <w:b/>
                <w:bCs/>
              </w:rPr>
              <w:t>Model</w:t>
            </w:r>
          </w:p>
        </w:tc>
        <w:tc>
          <w:tcPr>
            <w:tcW w:w="0" w:type="auto"/>
            <w:hideMark/>
          </w:tcPr>
          <w:p w14:paraId="4DB386AD" w14:textId="77777777" w:rsidR="00833A4C" w:rsidRPr="00383EEA" w:rsidRDefault="00833A4C" w:rsidP="00833A4C">
            <w:pPr>
              <w:spacing w:after="160" w:line="259" w:lineRule="auto"/>
              <w:jc w:val="both"/>
              <w:rPr>
                <w:b/>
                <w:bCs/>
              </w:rPr>
            </w:pPr>
            <w:r w:rsidRPr="00383EEA">
              <w:rPr>
                <w:b/>
                <w:bCs/>
              </w:rPr>
              <w:t>Corpus Size (Sentences)</w:t>
            </w:r>
          </w:p>
        </w:tc>
        <w:tc>
          <w:tcPr>
            <w:tcW w:w="0" w:type="auto"/>
            <w:hideMark/>
          </w:tcPr>
          <w:p w14:paraId="7B4272CF" w14:textId="77777777" w:rsidR="00833A4C" w:rsidRPr="00383EEA" w:rsidRDefault="00833A4C" w:rsidP="00833A4C">
            <w:pPr>
              <w:spacing w:after="160" w:line="259" w:lineRule="auto"/>
              <w:jc w:val="both"/>
              <w:rPr>
                <w:b/>
                <w:bCs/>
              </w:rPr>
            </w:pPr>
            <w:r w:rsidRPr="00383EEA">
              <w:rPr>
                <w:b/>
                <w:bCs/>
              </w:rPr>
              <w:t>Entity Types</w:t>
            </w:r>
          </w:p>
        </w:tc>
        <w:tc>
          <w:tcPr>
            <w:tcW w:w="0" w:type="auto"/>
            <w:hideMark/>
          </w:tcPr>
          <w:p w14:paraId="3F3B78D8" w14:textId="77777777" w:rsidR="00833A4C" w:rsidRPr="00383EEA" w:rsidRDefault="00833A4C" w:rsidP="00833A4C">
            <w:pPr>
              <w:spacing w:after="160" w:line="259" w:lineRule="auto"/>
              <w:jc w:val="both"/>
              <w:rPr>
                <w:b/>
                <w:bCs/>
              </w:rPr>
            </w:pPr>
            <w:r w:rsidRPr="00383EEA">
              <w:rPr>
                <w:b/>
                <w:bCs/>
              </w:rPr>
              <w:t>F1-Score (%)</w:t>
            </w:r>
          </w:p>
        </w:tc>
      </w:tr>
      <w:tr w:rsidR="00833A4C" w:rsidRPr="00383EEA" w14:paraId="550283BA" w14:textId="77777777" w:rsidTr="00833A4C">
        <w:tc>
          <w:tcPr>
            <w:tcW w:w="0" w:type="auto"/>
            <w:hideMark/>
          </w:tcPr>
          <w:p w14:paraId="44420DD7" w14:textId="77777777" w:rsidR="00833A4C" w:rsidRPr="00383EEA" w:rsidRDefault="00833A4C" w:rsidP="00833A4C">
            <w:pPr>
              <w:spacing w:after="160" w:line="259" w:lineRule="auto"/>
              <w:jc w:val="both"/>
            </w:pPr>
            <w:r w:rsidRPr="00383EEA">
              <w:t>Igbo</w:t>
            </w:r>
          </w:p>
        </w:tc>
        <w:tc>
          <w:tcPr>
            <w:tcW w:w="0" w:type="auto"/>
            <w:hideMark/>
          </w:tcPr>
          <w:p w14:paraId="3519C40D" w14:textId="77777777" w:rsidR="00833A4C" w:rsidRPr="00383EEA" w:rsidRDefault="00833A4C" w:rsidP="00833A4C">
            <w:pPr>
              <w:spacing w:after="160" w:line="259" w:lineRule="auto"/>
              <w:jc w:val="both"/>
            </w:pPr>
            <w:proofErr w:type="spellStart"/>
            <w:r w:rsidRPr="00383EEA">
              <w:t>Chukwuneke</w:t>
            </w:r>
            <w:proofErr w:type="spellEnd"/>
            <w:r w:rsidRPr="00383EEA">
              <w:t xml:space="preserve"> (2025)</w:t>
            </w:r>
          </w:p>
        </w:tc>
        <w:tc>
          <w:tcPr>
            <w:tcW w:w="0" w:type="auto"/>
            <w:hideMark/>
          </w:tcPr>
          <w:p w14:paraId="3883037C" w14:textId="77777777" w:rsidR="00833A4C" w:rsidRPr="00383EEA" w:rsidRDefault="00833A4C" w:rsidP="00833A4C">
            <w:pPr>
              <w:spacing w:after="160" w:line="259" w:lineRule="auto"/>
              <w:jc w:val="both"/>
            </w:pPr>
            <w:proofErr w:type="spellStart"/>
            <w:r w:rsidRPr="00383EEA">
              <w:t>IgboBERT</w:t>
            </w:r>
            <w:proofErr w:type="spellEnd"/>
          </w:p>
        </w:tc>
        <w:tc>
          <w:tcPr>
            <w:tcW w:w="0" w:type="auto"/>
            <w:hideMark/>
          </w:tcPr>
          <w:p w14:paraId="152980F2" w14:textId="77777777" w:rsidR="00833A4C" w:rsidRPr="00383EEA" w:rsidRDefault="00833A4C" w:rsidP="00833A4C">
            <w:pPr>
              <w:spacing w:after="160" w:line="259" w:lineRule="auto"/>
              <w:jc w:val="both"/>
            </w:pPr>
            <w:r w:rsidRPr="00383EEA">
              <w:t>42,000</w:t>
            </w:r>
          </w:p>
        </w:tc>
        <w:tc>
          <w:tcPr>
            <w:tcW w:w="0" w:type="auto"/>
            <w:hideMark/>
          </w:tcPr>
          <w:p w14:paraId="74446FAB" w14:textId="77777777" w:rsidR="00833A4C" w:rsidRPr="00383EEA" w:rsidRDefault="00833A4C" w:rsidP="00833A4C">
            <w:pPr>
              <w:spacing w:after="160" w:line="259" w:lineRule="auto"/>
              <w:jc w:val="both"/>
            </w:pPr>
            <w:r w:rsidRPr="00383EEA">
              <w:t>PER, LOC, ORG, DATE</w:t>
            </w:r>
          </w:p>
        </w:tc>
        <w:tc>
          <w:tcPr>
            <w:tcW w:w="0" w:type="auto"/>
            <w:hideMark/>
          </w:tcPr>
          <w:p w14:paraId="007CF653" w14:textId="77777777" w:rsidR="00833A4C" w:rsidRPr="00383EEA" w:rsidRDefault="00833A4C" w:rsidP="00833A4C">
            <w:pPr>
              <w:spacing w:after="160" w:line="259" w:lineRule="auto"/>
              <w:jc w:val="both"/>
            </w:pPr>
            <w:r w:rsidRPr="00383EEA">
              <w:t>85.3</w:t>
            </w:r>
          </w:p>
        </w:tc>
      </w:tr>
      <w:tr w:rsidR="00833A4C" w:rsidRPr="00383EEA" w14:paraId="2D7A6526" w14:textId="77777777" w:rsidTr="00833A4C">
        <w:tc>
          <w:tcPr>
            <w:tcW w:w="0" w:type="auto"/>
            <w:hideMark/>
          </w:tcPr>
          <w:p w14:paraId="5C844B8A" w14:textId="77777777" w:rsidR="00833A4C" w:rsidRPr="00383EEA" w:rsidRDefault="00833A4C" w:rsidP="00833A4C">
            <w:pPr>
              <w:spacing w:after="160" w:line="259" w:lineRule="auto"/>
              <w:jc w:val="both"/>
            </w:pPr>
            <w:r w:rsidRPr="00383EEA">
              <w:t>Hausa</w:t>
            </w:r>
          </w:p>
        </w:tc>
        <w:tc>
          <w:tcPr>
            <w:tcW w:w="0" w:type="auto"/>
            <w:hideMark/>
          </w:tcPr>
          <w:p w14:paraId="5A52D1AF" w14:textId="77777777" w:rsidR="00833A4C" w:rsidRPr="00383EEA" w:rsidRDefault="00833A4C" w:rsidP="00833A4C">
            <w:pPr>
              <w:spacing w:after="160" w:line="259" w:lineRule="auto"/>
              <w:jc w:val="both"/>
            </w:pPr>
            <w:proofErr w:type="spellStart"/>
            <w:r w:rsidRPr="00383EEA">
              <w:t>Emedem</w:t>
            </w:r>
            <w:proofErr w:type="spellEnd"/>
            <w:r w:rsidRPr="00383EEA">
              <w:t xml:space="preserve"> et al. (2025)</w:t>
            </w:r>
          </w:p>
        </w:tc>
        <w:tc>
          <w:tcPr>
            <w:tcW w:w="0" w:type="auto"/>
            <w:hideMark/>
          </w:tcPr>
          <w:p w14:paraId="36431DA3" w14:textId="77777777" w:rsidR="00833A4C" w:rsidRPr="00383EEA" w:rsidRDefault="00833A4C" w:rsidP="00833A4C">
            <w:pPr>
              <w:spacing w:after="160" w:line="259" w:lineRule="auto"/>
              <w:jc w:val="both"/>
            </w:pPr>
            <w:proofErr w:type="spellStart"/>
            <w:r w:rsidRPr="00383EEA">
              <w:t>BiLSTM</w:t>
            </w:r>
            <w:proofErr w:type="spellEnd"/>
            <w:r w:rsidRPr="00383EEA">
              <w:t>-CRF</w:t>
            </w:r>
          </w:p>
        </w:tc>
        <w:tc>
          <w:tcPr>
            <w:tcW w:w="0" w:type="auto"/>
            <w:hideMark/>
          </w:tcPr>
          <w:p w14:paraId="47D4C1BE" w14:textId="77777777" w:rsidR="00833A4C" w:rsidRPr="00383EEA" w:rsidRDefault="00833A4C" w:rsidP="00833A4C">
            <w:pPr>
              <w:spacing w:after="160" w:line="259" w:lineRule="auto"/>
              <w:jc w:val="both"/>
            </w:pPr>
            <w:r w:rsidRPr="00383EEA">
              <w:t>35,000</w:t>
            </w:r>
          </w:p>
        </w:tc>
        <w:tc>
          <w:tcPr>
            <w:tcW w:w="0" w:type="auto"/>
            <w:hideMark/>
          </w:tcPr>
          <w:p w14:paraId="48197375" w14:textId="77777777" w:rsidR="00833A4C" w:rsidRPr="00383EEA" w:rsidRDefault="00833A4C" w:rsidP="00833A4C">
            <w:pPr>
              <w:spacing w:after="160" w:line="259" w:lineRule="auto"/>
              <w:jc w:val="both"/>
            </w:pPr>
            <w:r w:rsidRPr="00383EEA">
              <w:t>PER, LOC, ORG</w:t>
            </w:r>
          </w:p>
        </w:tc>
        <w:tc>
          <w:tcPr>
            <w:tcW w:w="0" w:type="auto"/>
            <w:hideMark/>
          </w:tcPr>
          <w:p w14:paraId="136F3CC1" w14:textId="77777777" w:rsidR="00833A4C" w:rsidRPr="00383EEA" w:rsidRDefault="00833A4C" w:rsidP="00833A4C">
            <w:pPr>
              <w:spacing w:after="160" w:line="259" w:lineRule="auto"/>
              <w:jc w:val="both"/>
            </w:pPr>
            <w:r w:rsidRPr="00383EEA">
              <w:t>87.1</w:t>
            </w:r>
          </w:p>
        </w:tc>
      </w:tr>
      <w:tr w:rsidR="00833A4C" w:rsidRPr="00383EEA" w14:paraId="1F6A8268" w14:textId="77777777" w:rsidTr="00833A4C">
        <w:tc>
          <w:tcPr>
            <w:tcW w:w="0" w:type="auto"/>
            <w:hideMark/>
          </w:tcPr>
          <w:p w14:paraId="4B871CA6" w14:textId="77777777" w:rsidR="00833A4C" w:rsidRPr="00383EEA" w:rsidRDefault="00833A4C" w:rsidP="00833A4C">
            <w:pPr>
              <w:spacing w:after="160" w:line="259" w:lineRule="auto"/>
              <w:jc w:val="both"/>
            </w:pPr>
            <w:r w:rsidRPr="00383EEA">
              <w:t>Yoruba</w:t>
            </w:r>
          </w:p>
        </w:tc>
        <w:tc>
          <w:tcPr>
            <w:tcW w:w="0" w:type="auto"/>
            <w:hideMark/>
          </w:tcPr>
          <w:p w14:paraId="1962EED7" w14:textId="77777777" w:rsidR="00833A4C" w:rsidRPr="00383EEA" w:rsidRDefault="00833A4C" w:rsidP="00833A4C">
            <w:pPr>
              <w:spacing w:after="160" w:line="259" w:lineRule="auto"/>
              <w:jc w:val="both"/>
            </w:pPr>
            <w:proofErr w:type="spellStart"/>
            <w:r w:rsidRPr="00383EEA">
              <w:t>Emedem</w:t>
            </w:r>
            <w:proofErr w:type="spellEnd"/>
            <w:r w:rsidRPr="00383EEA">
              <w:t xml:space="preserve"> et al. (2025)</w:t>
            </w:r>
          </w:p>
        </w:tc>
        <w:tc>
          <w:tcPr>
            <w:tcW w:w="0" w:type="auto"/>
            <w:hideMark/>
          </w:tcPr>
          <w:p w14:paraId="03715C1E" w14:textId="77777777" w:rsidR="00833A4C" w:rsidRPr="00383EEA" w:rsidRDefault="00833A4C" w:rsidP="00833A4C">
            <w:pPr>
              <w:spacing w:after="160" w:line="259" w:lineRule="auto"/>
              <w:jc w:val="both"/>
            </w:pPr>
            <w:proofErr w:type="spellStart"/>
            <w:r w:rsidRPr="00383EEA">
              <w:t>BiLSTM</w:t>
            </w:r>
            <w:proofErr w:type="spellEnd"/>
            <w:r w:rsidRPr="00383EEA">
              <w:t>-CRF</w:t>
            </w:r>
          </w:p>
        </w:tc>
        <w:tc>
          <w:tcPr>
            <w:tcW w:w="0" w:type="auto"/>
            <w:hideMark/>
          </w:tcPr>
          <w:p w14:paraId="2EE78C3E" w14:textId="77777777" w:rsidR="00833A4C" w:rsidRPr="00383EEA" w:rsidRDefault="00833A4C" w:rsidP="00833A4C">
            <w:pPr>
              <w:spacing w:after="160" w:line="259" w:lineRule="auto"/>
              <w:jc w:val="both"/>
            </w:pPr>
            <w:r w:rsidRPr="00383EEA">
              <w:t>35,000</w:t>
            </w:r>
          </w:p>
        </w:tc>
        <w:tc>
          <w:tcPr>
            <w:tcW w:w="0" w:type="auto"/>
            <w:hideMark/>
          </w:tcPr>
          <w:p w14:paraId="03FBF9D9" w14:textId="77777777" w:rsidR="00833A4C" w:rsidRPr="00383EEA" w:rsidRDefault="00833A4C" w:rsidP="00833A4C">
            <w:pPr>
              <w:spacing w:after="160" w:line="259" w:lineRule="auto"/>
              <w:jc w:val="both"/>
            </w:pPr>
            <w:r w:rsidRPr="00383EEA">
              <w:t>PER, LOC, ORG</w:t>
            </w:r>
          </w:p>
        </w:tc>
        <w:tc>
          <w:tcPr>
            <w:tcW w:w="0" w:type="auto"/>
            <w:hideMark/>
          </w:tcPr>
          <w:p w14:paraId="74ACACB5" w14:textId="77777777" w:rsidR="00833A4C" w:rsidRPr="00383EEA" w:rsidRDefault="00833A4C" w:rsidP="00833A4C">
            <w:pPr>
              <w:spacing w:after="160" w:line="259" w:lineRule="auto"/>
              <w:jc w:val="both"/>
            </w:pPr>
            <w:r w:rsidRPr="00383EEA">
              <w:t>86.2</w:t>
            </w:r>
          </w:p>
        </w:tc>
      </w:tr>
      <w:tr w:rsidR="00833A4C" w:rsidRPr="00383EEA" w14:paraId="08E40D3E" w14:textId="77777777" w:rsidTr="00833A4C">
        <w:tc>
          <w:tcPr>
            <w:tcW w:w="0" w:type="auto"/>
            <w:hideMark/>
          </w:tcPr>
          <w:p w14:paraId="5419A3ED" w14:textId="77777777" w:rsidR="00833A4C" w:rsidRPr="00383EEA" w:rsidRDefault="00833A4C" w:rsidP="00833A4C">
            <w:pPr>
              <w:spacing w:after="160" w:line="259" w:lineRule="auto"/>
              <w:jc w:val="both"/>
            </w:pPr>
            <w:proofErr w:type="spellStart"/>
            <w:r w:rsidRPr="00383EEA">
              <w:t>Awngi</w:t>
            </w:r>
            <w:proofErr w:type="spellEnd"/>
          </w:p>
        </w:tc>
        <w:tc>
          <w:tcPr>
            <w:tcW w:w="0" w:type="auto"/>
            <w:hideMark/>
          </w:tcPr>
          <w:p w14:paraId="76B29442" w14:textId="77777777" w:rsidR="00833A4C" w:rsidRPr="00383EEA" w:rsidRDefault="00833A4C" w:rsidP="00833A4C">
            <w:pPr>
              <w:spacing w:after="160" w:line="259" w:lineRule="auto"/>
              <w:jc w:val="both"/>
            </w:pPr>
            <w:r w:rsidRPr="00383EEA">
              <w:t>Kassahun et al. (2025)</w:t>
            </w:r>
          </w:p>
        </w:tc>
        <w:tc>
          <w:tcPr>
            <w:tcW w:w="0" w:type="auto"/>
            <w:hideMark/>
          </w:tcPr>
          <w:p w14:paraId="3BEEAE06" w14:textId="77777777" w:rsidR="00833A4C" w:rsidRPr="00383EEA" w:rsidRDefault="00833A4C" w:rsidP="00833A4C">
            <w:pPr>
              <w:spacing w:after="160" w:line="259" w:lineRule="auto"/>
              <w:jc w:val="both"/>
            </w:pPr>
            <w:proofErr w:type="spellStart"/>
            <w:r w:rsidRPr="00383EEA">
              <w:t>BiLSTM</w:t>
            </w:r>
            <w:proofErr w:type="spellEnd"/>
          </w:p>
        </w:tc>
        <w:tc>
          <w:tcPr>
            <w:tcW w:w="0" w:type="auto"/>
            <w:hideMark/>
          </w:tcPr>
          <w:p w14:paraId="4E96F45F" w14:textId="77777777" w:rsidR="00833A4C" w:rsidRPr="00383EEA" w:rsidRDefault="00833A4C" w:rsidP="00833A4C">
            <w:pPr>
              <w:spacing w:after="160" w:line="259" w:lineRule="auto"/>
              <w:jc w:val="both"/>
            </w:pPr>
            <w:r w:rsidRPr="00383EEA">
              <w:t>8,200</w:t>
            </w:r>
          </w:p>
        </w:tc>
        <w:tc>
          <w:tcPr>
            <w:tcW w:w="0" w:type="auto"/>
            <w:hideMark/>
          </w:tcPr>
          <w:p w14:paraId="1029B256" w14:textId="77777777" w:rsidR="00833A4C" w:rsidRPr="00383EEA" w:rsidRDefault="00833A4C" w:rsidP="00833A4C">
            <w:pPr>
              <w:spacing w:after="160" w:line="259" w:lineRule="auto"/>
              <w:jc w:val="both"/>
            </w:pPr>
            <w:r w:rsidRPr="00383EEA">
              <w:t>PER, LOC, ORG, DATE</w:t>
            </w:r>
          </w:p>
        </w:tc>
        <w:tc>
          <w:tcPr>
            <w:tcW w:w="0" w:type="auto"/>
            <w:hideMark/>
          </w:tcPr>
          <w:p w14:paraId="2AAB4E35" w14:textId="77777777" w:rsidR="00833A4C" w:rsidRPr="00383EEA" w:rsidRDefault="00833A4C" w:rsidP="00833A4C">
            <w:pPr>
              <w:spacing w:after="160" w:line="259" w:lineRule="auto"/>
              <w:jc w:val="both"/>
            </w:pPr>
            <w:r w:rsidRPr="00383EEA">
              <w:t>97.2*</w:t>
            </w:r>
          </w:p>
        </w:tc>
      </w:tr>
      <w:tr w:rsidR="00833A4C" w:rsidRPr="00383EEA" w14:paraId="2BA34BC1" w14:textId="77777777" w:rsidTr="00833A4C">
        <w:tc>
          <w:tcPr>
            <w:tcW w:w="0" w:type="auto"/>
            <w:hideMark/>
          </w:tcPr>
          <w:p w14:paraId="2FDCA9AA" w14:textId="77777777" w:rsidR="00833A4C" w:rsidRPr="00383EEA" w:rsidRDefault="00833A4C" w:rsidP="00833A4C">
            <w:pPr>
              <w:spacing w:after="160" w:line="259" w:lineRule="auto"/>
              <w:jc w:val="both"/>
            </w:pPr>
            <w:r w:rsidRPr="00383EEA">
              <w:t>Kikuyu</w:t>
            </w:r>
          </w:p>
        </w:tc>
        <w:tc>
          <w:tcPr>
            <w:tcW w:w="0" w:type="auto"/>
            <w:hideMark/>
          </w:tcPr>
          <w:p w14:paraId="3F65A3B1" w14:textId="77777777" w:rsidR="00833A4C" w:rsidRPr="00383EEA" w:rsidRDefault="00833A4C" w:rsidP="00833A4C">
            <w:pPr>
              <w:spacing w:after="160" w:line="259" w:lineRule="auto"/>
              <w:jc w:val="both"/>
            </w:pPr>
            <w:r w:rsidRPr="00383EEA">
              <w:t>Kamau (2025)</w:t>
            </w:r>
          </w:p>
        </w:tc>
        <w:tc>
          <w:tcPr>
            <w:tcW w:w="0" w:type="auto"/>
            <w:hideMark/>
          </w:tcPr>
          <w:p w14:paraId="39459B56" w14:textId="77777777" w:rsidR="00833A4C" w:rsidRPr="00383EEA" w:rsidRDefault="00833A4C" w:rsidP="00833A4C">
            <w:pPr>
              <w:spacing w:after="160" w:line="259" w:lineRule="auto"/>
              <w:jc w:val="both"/>
            </w:pPr>
            <w:r w:rsidRPr="00383EEA">
              <w:t>Memory-Based</w:t>
            </w:r>
          </w:p>
        </w:tc>
        <w:tc>
          <w:tcPr>
            <w:tcW w:w="0" w:type="auto"/>
            <w:hideMark/>
          </w:tcPr>
          <w:p w14:paraId="3E650A82" w14:textId="77777777" w:rsidR="00833A4C" w:rsidRPr="00383EEA" w:rsidRDefault="00833A4C" w:rsidP="00833A4C">
            <w:pPr>
              <w:spacing w:after="160" w:line="259" w:lineRule="auto"/>
              <w:jc w:val="both"/>
            </w:pPr>
            <w:r w:rsidRPr="00383EEA">
              <w:t>1,200 sentences</w:t>
            </w:r>
          </w:p>
        </w:tc>
        <w:tc>
          <w:tcPr>
            <w:tcW w:w="0" w:type="auto"/>
            <w:hideMark/>
          </w:tcPr>
          <w:p w14:paraId="4550F604" w14:textId="77777777" w:rsidR="00833A4C" w:rsidRPr="00383EEA" w:rsidRDefault="00833A4C" w:rsidP="00833A4C">
            <w:pPr>
              <w:spacing w:after="160" w:line="259" w:lineRule="auto"/>
              <w:jc w:val="both"/>
            </w:pPr>
            <w:r w:rsidRPr="00383EEA">
              <w:t>PER, LOC</w:t>
            </w:r>
          </w:p>
        </w:tc>
        <w:tc>
          <w:tcPr>
            <w:tcW w:w="0" w:type="auto"/>
            <w:hideMark/>
          </w:tcPr>
          <w:p w14:paraId="4DFADAA8" w14:textId="77777777" w:rsidR="00833A4C" w:rsidRPr="00383EEA" w:rsidRDefault="00833A4C" w:rsidP="00833A4C">
            <w:pPr>
              <w:spacing w:after="160" w:line="259" w:lineRule="auto"/>
              <w:jc w:val="both"/>
            </w:pPr>
            <w:r w:rsidRPr="00383EEA">
              <w:t>72.5</w:t>
            </w:r>
          </w:p>
        </w:tc>
      </w:tr>
      <w:tr w:rsidR="00833A4C" w:rsidRPr="00383EEA" w14:paraId="56CEE152" w14:textId="77777777" w:rsidTr="00833A4C">
        <w:tc>
          <w:tcPr>
            <w:tcW w:w="0" w:type="auto"/>
            <w:hideMark/>
          </w:tcPr>
          <w:p w14:paraId="329DF418" w14:textId="77777777" w:rsidR="00833A4C" w:rsidRPr="00383EEA" w:rsidRDefault="00833A4C" w:rsidP="00833A4C">
            <w:pPr>
              <w:spacing w:after="160" w:line="259" w:lineRule="auto"/>
              <w:jc w:val="both"/>
            </w:pPr>
            <w:r w:rsidRPr="00383EEA">
              <w:rPr>
                <w:b/>
                <w:bCs/>
              </w:rPr>
              <w:t>Igala</w:t>
            </w:r>
          </w:p>
        </w:tc>
        <w:tc>
          <w:tcPr>
            <w:tcW w:w="0" w:type="auto"/>
            <w:hideMark/>
          </w:tcPr>
          <w:p w14:paraId="70AA1368" w14:textId="77777777" w:rsidR="00833A4C" w:rsidRPr="00383EEA" w:rsidRDefault="00833A4C" w:rsidP="00833A4C">
            <w:pPr>
              <w:spacing w:after="160" w:line="259" w:lineRule="auto"/>
              <w:jc w:val="both"/>
            </w:pPr>
            <w:r w:rsidRPr="00383EEA">
              <w:rPr>
                <w:b/>
                <w:bCs/>
              </w:rPr>
              <w:t>This study</w:t>
            </w:r>
          </w:p>
        </w:tc>
        <w:tc>
          <w:tcPr>
            <w:tcW w:w="0" w:type="auto"/>
            <w:hideMark/>
          </w:tcPr>
          <w:p w14:paraId="47B7830D" w14:textId="77777777" w:rsidR="00833A4C" w:rsidRPr="00383EEA" w:rsidRDefault="00833A4C" w:rsidP="00833A4C">
            <w:pPr>
              <w:spacing w:after="160" w:line="259" w:lineRule="auto"/>
              <w:jc w:val="both"/>
            </w:pPr>
            <w:proofErr w:type="spellStart"/>
            <w:r w:rsidRPr="00383EEA">
              <w:rPr>
                <w:b/>
                <w:bCs/>
              </w:rPr>
              <w:t>BiLSTM</w:t>
            </w:r>
            <w:proofErr w:type="spellEnd"/>
            <w:r w:rsidRPr="00383EEA">
              <w:rPr>
                <w:b/>
                <w:bCs/>
              </w:rPr>
              <w:t>-CRF</w:t>
            </w:r>
          </w:p>
        </w:tc>
        <w:tc>
          <w:tcPr>
            <w:tcW w:w="0" w:type="auto"/>
            <w:hideMark/>
          </w:tcPr>
          <w:p w14:paraId="662B76BE" w14:textId="77777777" w:rsidR="00833A4C" w:rsidRPr="00383EEA" w:rsidRDefault="00833A4C" w:rsidP="00833A4C">
            <w:pPr>
              <w:spacing w:after="160" w:line="259" w:lineRule="auto"/>
              <w:jc w:val="both"/>
            </w:pPr>
            <w:r w:rsidRPr="00383EEA">
              <w:rPr>
                <w:b/>
                <w:bCs/>
              </w:rPr>
              <w:t>35,000</w:t>
            </w:r>
          </w:p>
        </w:tc>
        <w:tc>
          <w:tcPr>
            <w:tcW w:w="0" w:type="auto"/>
            <w:hideMark/>
          </w:tcPr>
          <w:p w14:paraId="2C773BE1" w14:textId="77777777" w:rsidR="00833A4C" w:rsidRPr="00383EEA" w:rsidRDefault="00833A4C" w:rsidP="00833A4C">
            <w:pPr>
              <w:spacing w:after="160" w:line="259" w:lineRule="auto"/>
              <w:jc w:val="both"/>
            </w:pPr>
            <w:r w:rsidRPr="00383EEA">
              <w:rPr>
                <w:b/>
                <w:bCs/>
              </w:rPr>
              <w:t>PER, LOC, ORG, DATE</w:t>
            </w:r>
          </w:p>
        </w:tc>
        <w:tc>
          <w:tcPr>
            <w:tcW w:w="0" w:type="auto"/>
            <w:hideMark/>
          </w:tcPr>
          <w:p w14:paraId="7540ECF1" w14:textId="77777777" w:rsidR="00833A4C" w:rsidRPr="00383EEA" w:rsidRDefault="00833A4C" w:rsidP="00833A4C">
            <w:pPr>
              <w:spacing w:after="160" w:line="259" w:lineRule="auto"/>
              <w:jc w:val="both"/>
            </w:pPr>
            <w:r w:rsidRPr="00383EEA">
              <w:rPr>
                <w:b/>
                <w:bCs/>
              </w:rPr>
              <w:t>86.4</w:t>
            </w:r>
          </w:p>
        </w:tc>
      </w:tr>
    </w:tbl>
    <w:p w14:paraId="59A6E5B9" w14:textId="77777777" w:rsidR="00833A4C" w:rsidRPr="00383EEA" w:rsidRDefault="00833A4C" w:rsidP="00833A4C">
      <w:pPr>
        <w:jc w:val="both"/>
      </w:pPr>
      <w:r w:rsidRPr="00383EEA">
        <w:rPr>
          <w:i/>
          <w:iCs/>
        </w:rPr>
        <w:lastRenderedPageBreak/>
        <w:t>Source: Compiled from cited studies with adjustments for comparable evaluation</w:t>
      </w:r>
      <w:r w:rsidRPr="00383EEA">
        <w:br/>
      </w:r>
      <w:r w:rsidRPr="00383EEA">
        <w:rPr>
          <w:i/>
          <w:iCs/>
        </w:rPr>
        <w:t xml:space="preserve">Note: </w:t>
      </w:r>
      <w:proofErr w:type="spellStart"/>
      <w:r w:rsidRPr="00383EEA">
        <w:rPr>
          <w:i/>
          <w:iCs/>
        </w:rPr>
        <w:t>Awngi</w:t>
      </w:r>
      <w:proofErr w:type="spellEnd"/>
      <w:r w:rsidRPr="00383EEA">
        <w:rPr>
          <w:i/>
          <w:iCs/>
        </w:rPr>
        <w:t xml:space="preserve"> study reports results after data augmentation, likely overstating realistic performance</w:t>
      </w:r>
    </w:p>
    <w:p w14:paraId="72C7C95D" w14:textId="77777777" w:rsidR="00833A4C" w:rsidRPr="00383EEA" w:rsidRDefault="00833A4C" w:rsidP="00833A4C">
      <w:pPr>
        <w:jc w:val="both"/>
      </w:pPr>
      <w:r w:rsidRPr="00383EEA">
        <w:t>Table 6 situates the Igala NER system within the broader landscape of African language NER research. The achieved F1-score of 86.4% places the Igala system competitively among Nigerian language NER systems, slightly exceeding reported performance for Igbo (85.3%) and comparable to Hausa (87.1%) and Yoruba (86.2%). This equivalence is notable given that Igala has received substantially less prior computational attention than these major Nigerian languages, suggesting that careful corpus design and model selection can partially compensate for the absence of pre-existing resources.</w:t>
      </w:r>
    </w:p>
    <w:p w14:paraId="7584E8D9" w14:textId="77777777" w:rsidR="00833A4C" w:rsidRPr="00383EEA" w:rsidRDefault="00833A4C" w:rsidP="00833A4C">
      <w:pPr>
        <w:jc w:val="both"/>
      </w:pPr>
      <w:r w:rsidRPr="00383EEA">
        <w:t xml:space="preserve">The exceptionally high performance reported for </w:t>
      </w:r>
      <w:proofErr w:type="spellStart"/>
      <w:r w:rsidRPr="00383EEA">
        <w:t>Awngi</w:t>
      </w:r>
      <w:proofErr w:type="spellEnd"/>
      <w:r w:rsidRPr="00383EEA">
        <w:t xml:space="preserve"> (97.2%) warrants critical examination. The </w:t>
      </w:r>
      <w:proofErr w:type="spellStart"/>
      <w:r w:rsidRPr="00383EEA">
        <w:t>Awngi</w:t>
      </w:r>
      <w:proofErr w:type="spellEnd"/>
      <w:r w:rsidRPr="00383EEA">
        <w:t xml:space="preserve"> study employed aggressive data augmentation techniques that generated synthetic training examples, potentially introducing bias and overstating realistic performance on naturally occurring text (Kassahun et al., 2025). The reported results likely reflect performance on test data sharing distributional characteristics with augmented training data rather than true generalisation to independent text. The Igala results, based on held-out natural text without augmentation, provide a more conservative but realistic estimate of achievable performance.</w:t>
      </w:r>
    </w:p>
    <w:p w14:paraId="06E5B49D" w14:textId="77777777" w:rsidR="00833A4C" w:rsidRPr="00383EEA" w:rsidRDefault="00833A4C" w:rsidP="00833A4C">
      <w:pPr>
        <w:jc w:val="both"/>
      </w:pPr>
      <w:r w:rsidRPr="00383EEA">
        <w:t>The Kikuyu results (72.5%) with only 1,200 training sentences illustrate the steep performance gradient with corpus size, confirming that the investment in substantial corpus development (35,000 sentences) was warranted to achieve practically useful performance levels (Kamau, 2025). This finding has implications for future low-resource NER efforts, suggesting that annotation of at least 20,000-30,000 sentences may be necessary to reach F1-scores above 85% for morphologically complex African languages.</w:t>
      </w:r>
    </w:p>
    <w:p w14:paraId="354E8E2D" w14:textId="77777777" w:rsidR="00833A4C" w:rsidRPr="00383EEA" w:rsidRDefault="00833A4C" w:rsidP="00833A4C">
      <w:pPr>
        <w:jc w:val="both"/>
        <w:rPr>
          <w:b/>
          <w:bCs/>
        </w:rPr>
      </w:pPr>
      <w:r w:rsidRPr="00383EEA">
        <w:rPr>
          <w:b/>
          <w:bCs/>
        </w:rPr>
        <w:t>4.5 Discussion of Findings</w:t>
      </w:r>
    </w:p>
    <w:p w14:paraId="21B13575" w14:textId="77777777" w:rsidR="00833A4C" w:rsidRPr="00383EEA" w:rsidRDefault="00833A4C" w:rsidP="00833A4C">
      <w:pPr>
        <w:jc w:val="both"/>
      </w:pPr>
      <w:r w:rsidRPr="00383EEA">
        <w:t xml:space="preserve">The experimental results demonstrate that high-performing NER systems can be developed for low-resource African languages given sufficient investment in corpus development and appropriate model selection. The </w:t>
      </w:r>
      <w:proofErr w:type="spellStart"/>
      <w:r w:rsidRPr="00383EEA">
        <w:t>BiLSTM</w:t>
      </w:r>
      <w:proofErr w:type="spellEnd"/>
      <w:r w:rsidRPr="00383EEA">
        <w:t>-CRF architecture's superior performance over both traditional CRF and massive transformer models carries important implications for methodology selection in low-resource contexts.</w:t>
      </w:r>
    </w:p>
    <w:p w14:paraId="265C8C91" w14:textId="77777777" w:rsidR="00833A4C" w:rsidRPr="00383EEA" w:rsidRDefault="00833A4C" w:rsidP="00833A4C">
      <w:pPr>
        <w:jc w:val="both"/>
      </w:pPr>
      <w:r w:rsidRPr="00383EEA">
        <w:t xml:space="preserve">The finding that </w:t>
      </w:r>
      <w:proofErr w:type="spellStart"/>
      <w:r w:rsidRPr="00383EEA">
        <w:t>BiLSTM</w:t>
      </w:r>
      <w:proofErr w:type="spellEnd"/>
      <w:r w:rsidRPr="00383EEA">
        <w:t xml:space="preserve">-CRF outperforms </w:t>
      </w:r>
      <w:proofErr w:type="spellStart"/>
      <w:r w:rsidRPr="00383EEA">
        <w:t>AfroXLMR</w:t>
      </w:r>
      <w:proofErr w:type="spellEnd"/>
      <w:r w:rsidRPr="00383EEA">
        <w:t>-base suggests that for languages with minimal representation in multilingual pre-training corpora, task-specific architectures trained from scratch may be preferable to fine-tuning large pre-trained models. This conclusion aligns with recent research on extremely low-resource language NER, which has found that the benefits of massive pre-training diminish when target language representation falls below certain thresholds (Hedderich et al., 2021). For languages like Igala with essentially no presence in common pre-training corpora, the mismatch between pre-training distribution and target language characteristics may outweigh the advantages of transfer learning.</w:t>
      </w:r>
    </w:p>
    <w:p w14:paraId="47895FF5" w14:textId="77777777" w:rsidR="00833A4C" w:rsidRPr="00383EEA" w:rsidRDefault="00833A4C" w:rsidP="00833A4C">
      <w:pPr>
        <w:jc w:val="both"/>
      </w:pPr>
      <w:r w:rsidRPr="00383EEA">
        <w:t xml:space="preserve">The </w:t>
      </w:r>
      <w:proofErr w:type="spellStart"/>
      <w:r w:rsidRPr="00383EEA">
        <w:t>BiLSTM</w:t>
      </w:r>
      <w:proofErr w:type="spellEnd"/>
      <w:r w:rsidRPr="00383EEA">
        <w:t>-CRF's character-level component proved crucial for handling Igala's morphological complexity and out-of-vocabulary words. Analysis of model predictions on unseen words revealed that the character-level representations enabled plausible entity classifications even for word forms never observed during training, whereas the CRF model's reliance on exact word matching caused frequent failures on novel forms. This capability is particularly valuable for morphologically rich languages where the space of possible word forms vastly exceeds what can be covered in any finite training corpus.</w:t>
      </w:r>
    </w:p>
    <w:p w14:paraId="7C330634" w14:textId="77777777" w:rsidR="00833A4C" w:rsidRPr="00383EEA" w:rsidRDefault="00833A4C" w:rsidP="00833A4C">
      <w:pPr>
        <w:jc w:val="both"/>
      </w:pPr>
      <w:r w:rsidRPr="00383EEA">
        <w:lastRenderedPageBreak/>
        <w:t>The per-entity type performance variation highlights the importance of disaggregated evaluation for understanding system capabilities and limitations. The strong performance on person and location names suggests that these entity types may be sufficiently well-handled for practical deployment, while organisation recognition requires further improvement. Applications focused on personal names or geographical information could potentially deploy the current system with acceptable performance, while applications requiring accurate organisation extraction would need additional development.</w:t>
      </w:r>
    </w:p>
    <w:p w14:paraId="4C81EEAD" w14:textId="77777777" w:rsidR="00833A4C" w:rsidRPr="00383EEA" w:rsidRDefault="00833A4C" w:rsidP="00833A4C">
      <w:pPr>
        <w:jc w:val="both"/>
      </w:pPr>
      <w:r w:rsidRPr="00383EEA">
        <w:t>The error analysis revealing boundary errors as the most frequent mistake category points to specific directions for model improvement. Incorporating explicit span-level features or adopting span-based NER architectures that directly predict entity boundaries rather than token-level tags could reduce boundary errors. Additionally, increasing the representation of multi-word entities in training data through targeted oversampling might help the model learn more precise boundary identification.</w:t>
      </w:r>
    </w:p>
    <w:p w14:paraId="2FAE515E" w14:textId="77777777" w:rsidR="00833A4C" w:rsidRPr="00383EEA" w:rsidRDefault="00833A4C" w:rsidP="00833A4C">
      <w:pPr>
        <w:jc w:val="both"/>
      </w:pPr>
      <w:r w:rsidRPr="00383EEA">
        <w:t>The resource investment required for this research—approximately 18 months for corpus development, annotation, and experimentation—demonstrates the substantial effort needed to establish foundational NLP resources for previously unstudied languages. This investment, while significant, represents a one-time cost that enables ongoing research and application development. The annotated corpus and trained models constitute permanent infrastructure for Igala language technology, supporting future work in machine translation, information retrieval, and digital preservation.</w:t>
      </w:r>
    </w:p>
    <w:p w14:paraId="4D7459EA" w14:textId="77777777" w:rsidR="00833A4C" w:rsidRPr="00383EEA" w:rsidRDefault="00833A4C" w:rsidP="00833A4C">
      <w:pPr>
        <w:jc w:val="both"/>
        <w:rPr>
          <w:b/>
          <w:bCs/>
        </w:rPr>
      </w:pPr>
      <w:r w:rsidRPr="00383EEA">
        <w:rPr>
          <w:b/>
          <w:bCs/>
        </w:rPr>
        <w:t>5. Conclusion and Recommendations</w:t>
      </w:r>
    </w:p>
    <w:p w14:paraId="03AA4CE3" w14:textId="77777777" w:rsidR="0058452F" w:rsidRPr="00383EEA" w:rsidRDefault="0058452F" w:rsidP="0058452F">
      <w:pPr>
        <w:jc w:val="both"/>
      </w:pPr>
      <w:r w:rsidRPr="00383EEA">
        <w:t xml:space="preserve">This study successfully developed and evaluated the first dedicated Named Entity Recognition (NER) system for the Igala language, addressing a major gap in African language NLP resources. A key contribution is the creation of a 35,000-sentence manually annotated corpus containing 74,510 entity annotations across four categories. Through comparative evaluation of multiple architectures, the </w:t>
      </w:r>
      <w:proofErr w:type="spellStart"/>
      <w:r w:rsidRPr="00383EEA">
        <w:t>BiLSTM</w:t>
      </w:r>
      <w:proofErr w:type="spellEnd"/>
      <w:r w:rsidRPr="00383EEA">
        <w:t>-CRF model achieved the best performance with an F1-score of 86.4%, demonstrating that well-designed task-specific models can outperform larger pre-trained transformer models in low-resource settings. The corpus and methodological framework provide a strong foundation for future Igala NLP research and offer a replicable model for other under-resourced languages.</w:t>
      </w:r>
    </w:p>
    <w:p w14:paraId="37546301" w14:textId="77777777" w:rsidR="0058452F" w:rsidRPr="00383EEA" w:rsidRDefault="0058452F" w:rsidP="0058452F">
      <w:pPr>
        <w:jc w:val="both"/>
      </w:pPr>
      <w:r w:rsidRPr="00383EEA">
        <w:t>The research highlights important practical implications for Igala language technology, including applications in machine translation, information retrieval, digital archiving, and educational technology. By enabling accurate recognition of persons, locations, and organisations, the system supports improved translation quality, better document indexing, and enriched learning tools. More broadly, the study contributes to efforts aimed at reducing the digital divide for minority languages and strengthening linguistic preservation through technology.</w:t>
      </w:r>
    </w:p>
    <w:p w14:paraId="3B66DC3B" w14:textId="77777777" w:rsidR="0058452F" w:rsidRPr="00383EEA" w:rsidRDefault="0058452F" w:rsidP="0058452F">
      <w:pPr>
        <w:jc w:val="both"/>
      </w:pPr>
      <w:r w:rsidRPr="00383EEA">
        <w:t>Despite these contributions, limitations remain, including restricted domain coverage, a limited entity schema, lack of document-level and code-switched evaluation, and unresolved deployment considerations. Future research should expand corpus domains, incorporate additional entity types, assess extrinsic impact on downstream tasks, and explore efficient deployment strategies. Overall, this work demonstrates that systematic corpus development, careful annotation, and appropriate model selection can produce high-quality NLP tools for under-resourced African languages, advancing both computational linguistics and digital inclusion.</w:t>
      </w:r>
    </w:p>
    <w:p w14:paraId="741B861E" w14:textId="77777777" w:rsidR="00833A4C" w:rsidRPr="00383EEA" w:rsidRDefault="00833A4C" w:rsidP="00833A4C">
      <w:pPr>
        <w:jc w:val="both"/>
      </w:pPr>
    </w:p>
    <w:p w14:paraId="5EF52010" w14:textId="77777777" w:rsidR="00833A4C" w:rsidRPr="00383EEA" w:rsidRDefault="00833A4C" w:rsidP="00833A4C">
      <w:pPr>
        <w:jc w:val="both"/>
        <w:rPr>
          <w:b/>
          <w:bCs/>
        </w:rPr>
      </w:pPr>
      <w:r w:rsidRPr="00383EEA">
        <w:rPr>
          <w:b/>
          <w:bCs/>
        </w:rPr>
        <w:t>References</w:t>
      </w:r>
    </w:p>
    <w:p w14:paraId="7CDBE6B1" w14:textId="77777777" w:rsidR="00833A4C" w:rsidRPr="00383EEA" w:rsidRDefault="00833A4C" w:rsidP="00833A4C">
      <w:pPr>
        <w:pStyle w:val="ListParagraph"/>
        <w:numPr>
          <w:ilvl w:val="0"/>
          <w:numId w:val="1"/>
        </w:numPr>
        <w:jc w:val="both"/>
      </w:pPr>
      <w:r w:rsidRPr="00383EEA">
        <w:lastRenderedPageBreak/>
        <w:t xml:space="preserve">Adedeji, A., &amp; Akinwale, A. (2023). Low-resource natural language processing for Nigerian languages: A systematic review. </w:t>
      </w:r>
      <w:r w:rsidRPr="00383EEA">
        <w:rPr>
          <w:i/>
          <w:iCs/>
        </w:rPr>
        <w:t>Journal of African Language Technology</w:t>
      </w:r>
      <w:r w:rsidRPr="00383EEA">
        <w:t>, 4(2), 112-134.</w:t>
      </w:r>
    </w:p>
    <w:p w14:paraId="1B2E0F30" w14:textId="77777777" w:rsidR="00833A4C" w:rsidRPr="00383EEA" w:rsidRDefault="00833A4C" w:rsidP="00833A4C">
      <w:pPr>
        <w:pStyle w:val="ListParagraph"/>
        <w:numPr>
          <w:ilvl w:val="0"/>
          <w:numId w:val="1"/>
        </w:numPr>
        <w:jc w:val="both"/>
      </w:pPr>
      <w:r w:rsidRPr="00383EEA">
        <w:t xml:space="preserve">Adelani, D. I., Abbott, J., Neubig, G., D'Souza, D., Kreutzer, J., Lignos, C., ... &amp; Olatunji, T. (2021). </w:t>
      </w:r>
      <w:proofErr w:type="spellStart"/>
      <w:r w:rsidRPr="00383EEA">
        <w:t>MasakhaNER</w:t>
      </w:r>
      <w:proofErr w:type="spellEnd"/>
      <w:r w:rsidRPr="00383EEA">
        <w:t xml:space="preserve">: Named entity recognition for African languages. </w:t>
      </w:r>
      <w:r w:rsidRPr="00383EEA">
        <w:rPr>
          <w:i/>
          <w:iCs/>
        </w:rPr>
        <w:t>Transactions of the Association for Computational Linguistics</w:t>
      </w:r>
      <w:r w:rsidRPr="00383EEA">
        <w:t>, 9, 1116-1131.</w:t>
      </w:r>
    </w:p>
    <w:p w14:paraId="510953B7" w14:textId="77777777" w:rsidR="00833A4C" w:rsidRPr="00383EEA" w:rsidRDefault="00833A4C" w:rsidP="00833A4C">
      <w:pPr>
        <w:pStyle w:val="ListParagraph"/>
        <w:numPr>
          <w:ilvl w:val="0"/>
          <w:numId w:val="1"/>
        </w:numPr>
        <w:jc w:val="both"/>
      </w:pPr>
      <w:r w:rsidRPr="00383EEA">
        <w:t xml:space="preserve">Adeyemi, B. (2022). Morphological processes in Igala noun formation. </w:t>
      </w:r>
      <w:r w:rsidRPr="00383EEA">
        <w:rPr>
          <w:i/>
          <w:iCs/>
        </w:rPr>
        <w:t>Studies in African Linguistics</w:t>
      </w:r>
      <w:r w:rsidRPr="00383EEA">
        <w:t>, 51(1), 78-95.</w:t>
      </w:r>
    </w:p>
    <w:p w14:paraId="6DDD84EB" w14:textId="77777777" w:rsidR="00833A4C" w:rsidRPr="00383EEA" w:rsidRDefault="00833A4C" w:rsidP="00833A4C">
      <w:pPr>
        <w:pStyle w:val="ListParagraph"/>
        <w:numPr>
          <w:ilvl w:val="0"/>
          <w:numId w:val="1"/>
        </w:numPr>
        <w:jc w:val="both"/>
      </w:pPr>
      <w:r w:rsidRPr="00383EEA">
        <w:t>Alabi, J. O., Adelani, D. I., Mosbach, M., &amp;</w:t>
      </w:r>
      <w:proofErr w:type="spellStart"/>
      <w:r w:rsidRPr="00383EEA">
        <w:t>Klakow</w:t>
      </w:r>
      <w:proofErr w:type="spellEnd"/>
      <w:r w:rsidRPr="00383EEA">
        <w:t xml:space="preserve">, D. (2022). Adapting pre-trained language models to African languages via multilingual adaptive fine-tuning. </w:t>
      </w:r>
      <w:r w:rsidRPr="00383EEA">
        <w:rPr>
          <w:i/>
          <w:iCs/>
        </w:rPr>
        <w:t>Proceedings of the 29th International Conference on Computational Linguistics</w:t>
      </w:r>
      <w:r w:rsidRPr="00383EEA">
        <w:t>, 4336-4349.</w:t>
      </w:r>
    </w:p>
    <w:p w14:paraId="66412BB9" w14:textId="77777777" w:rsidR="00833A4C" w:rsidRPr="00383EEA" w:rsidRDefault="00833A4C" w:rsidP="00833A4C">
      <w:pPr>
        <w:pStyle w:val="ListParagraph"/>
        <w:numPr>
          <w:ilvl w:val="0"/>
          <w:numId w:val="1"/>
        </w:numPr>
        <w:jc w:val="both"/>
      </w:pPr>
      <w:r w:rsidRPr="00383EEA">
        <w:t xml:space="preserve">Bikel, D. M., Schwartz, R., &amp; Weischedel, R. M. (1999). An algorithm that learns what's in a name. </w:t>
      </w:r>
      <w:r w:rsidRPr="00383EEA">
        <w:rPr>
          <w:i/>
          <w:iCs/>
        </w:rPr>
        <w:t>Machine Learning</w:t>
      </w:r>
      <w:r w:rsidRPr="00383EEA">
        <w:t>, 34(1), 211-231.</w:t>
      </w:r>
    </w:p>
    <w:p w14:paraId="6D3737E3" w14:textId="77777777" w:rsidR="00833A4C" w:rsidRPr="00383EEA" w:rsidRDefault="00833A4C" w:rsidP="00833A4C">
      <w:pPr>
        <w:pStyle w:val="ListParagraph"/>
        <w:numPr>
          <w:ilvl w:val="0"/>
          <w:numId w:val="1"/>
        </w:numPr>
        <w:jc w:val="both"/>
      </w:pPr>
      <w:proofErr w:type="spellStart"/>
      <w:r w:rsidRPr="00383EEA">
        <w:t>Chukwuneke</w:t>
      </w:r>
      <w:proofErr w:type="spellEnd"/>
      <w:r w:rsidRPr="00383EEA">
        <w:t xml:space="preserve">, C. I. (2025). Named entity recognition for African languages: A focus on the Igbo language [Doctoral thesis, Lancaster University]. Lancaster University Repository. </w:t>
      </w:r>
      <w:hyperlink r:id="rId7" w:tgtFrame="_blank" w:history="1">
        <w:r w:rsidRPr="00383EEA">
          <w:rPr>
            <w:rStyle w:val="Hyperlink"/>
          </w:rPr>
          <w:t>https://doi.org/10.17635/lancaster/thesis/2789</w:t>
        </w:r>
      </w:hyperlink>
    </w:p>
    <w:p w14:paraId="7A67FDF1" w14:textId="77777777" w:rsidR="00833A4C" w:rsidRPr="00383EEA" w:rsidRDefault="00833A4C" w:rsidP="00833A4C">
      <w:pPr>
        <w:pStyle w:val="ListParagraph"/>
        <w:numPr>
          <w:ilvl w:val="0"/>
          <w:numId w:val="1"/>
        </w:numPr>
        <w:jc w:val="both"/>
      </w:pPr>
      <w:proofErr w:type="spellStart"/>
      <w:r w:rsidRPr="00383EEA">
        <w:t>Collobert</w:t>
      </w:r>
      <w:proofErr w:type="spellEnd"/>
      <w:r w:rsidRPr="00383EEA">
        <w:t xml:space="preserve">, R., Weston, J., </w:t>
      </w:r>
      <w:proofErr w:type="spellStart"/>
      <w:r w:rsidRPr="00383EEA">
        <w:t>Bottou</w:t>
      </w:r>
      <w:proofErr w:type="spellEnd"/>
      <w:r w:rsidRPr="00383EEA">
        <w:t xml:space="preserve">, L., Karlen, M., </w:t>
      </w:r>
      <w:proofErr w:type="spellStart"/>
      <w:r w:rsidRPr="00383EEA">
        <w:t>Kavukcuoglu</w:t>
      </w:r>
      <w:proofErr w:type="spellEnd"/>
      <w:r w:rsidRPr="00383EEA">
        <w:t>, K., &amp;</w:t>
      </w:r>
      <w:proofErr w:type="spellStart"/>
      <w:r w:rsidRPr="00383EEA">
        <w:t>Kuksa</w:t>
      </w:r>
      <w:proofErr w:type="spellEnd"/>
      <w:r w:rsidRPr="00383EEA">
        <w:t xml:space="preserve">, P. (2011). Natural language processing (almost) from scratch. </w:t>
      </w:r>
      <w:r w:rsidRPr="00383EEA">
        <w:rPr>
          <w:i/>
          <w:iCs/>
        </w:rPr>
        <w:t>Journal of Machine Learning Research</w:t>
      </w:r>
      <w:r w:rsidRPr="00383EEA">
        <w:t>, 12, 2493-2537.</w:t>
      </w:r>
    </w:p>
    <w:p w14:paraId="0285F7C6" w14:textId="77777777" w:rsidR="00833A4C" w:rsidRPr="00383EEA" w:rsidRDefault="00833A4C" w:rsidP="00833A4C">
      <w:pPr>
        <w:pStyle w:val="ListParagraph"/>
        <w:numPr>
          <w:ilvl w:val="0"/>
          <w:numId w:val="1"/>
        </w:numPr>
        <w:jc w:val="both"/>
      </w:pPr>
      <w:proofErr w:type="spellStart"/>
      <w:r w:rsidRPr="00383EEA">
        <w:t>Conneau</w:t>
      </w:r>
      <w:proofErr w:type="spellEnd"/>
      <w:r w:rsidRPr="00383EEA">
        <w:t xml:space="preserve">, A., Khandelwal, K., Goyal, N., Chaudhary, V., Wenzek, G., Guzmán, F., ... &amp; Stoyanov, V. (2020). Unsupervised cross-lingual representation learning at scale. </w:t>
      </w:r>
      <w:r w:rsidRPr="00383EEA">
        <w:rPr>
          <w:i/>
          <w:iCs/>
        </w:rPr>
        <w:t>Proceedings of the 58th Annual Meeting of the Association for Computational Linguistics</w:t>
      </w:r>
      <w:r w:rsidRPr="00383EEA">
        <w:t>, 8440-8451.</w:t>
      </w:r>
    </w:p>
    <w:p w14:paraId="687F05B9" w14:textId="77777777" w:rsidR="00833A4C" w:rsidRPr="00383EEA" w:rsidRDefault="00833A4C" w:rsidP="00833A4C">
      <w:pPr>
        <w:pStyle w:val="ListParagraph"/>
        <w:numPr>
          <w:ilvl w:val="0"/>
          <w:numId w:val="1"/>
        </w:numPr>
        <w:jc w:val="both"/>
      </w:pPr>
      <w:r w:rsidRPr="00383EEA">
        <w:t xml:space="preserve">Devlin, J., Chang, M. W., Lee, K., &amp; Toutanova, K. (2019). BERT: Pre-training of deep bidirectional transformers for language understanding. </w:t>
      </w:r>
      <w:r w:rsidRPr="00383EEA">
        <w:rPr>
          <w:i/>
          <w:iCs/>
        </w:rPr>
        <w:t>Proceedings of the 2019 Conference of the North American Chapter of the Association for Computational Linguistics</w:t>
      </w:r>
      <w:r w:rsidRPr="00383EEA">
        <w:t>, 4171-4186.</w:t>
      </w:r>
    </w:p>
    <w:p w14:paraId="6C0B7D26" w14:textId="77777777" w:rsidR="00833A4C" w:rsidRPr="00383EEA" w:rsidRDefault="00833A4C" w:rsidP="00833A4C">
      <w:pPr>
        <w:pStyle w:val="ListParagraph"/>
        <w:numPr>
          <w:ilvl w:val="0"/>
          <w:numId w:val="1"/>
        </w:numPr>
        <w:jc w:val="both"/>
      </w:pPr>
      <w:proofErr w:type="spellStart"/>
      <w:r w:rsidRPr="00383EEA">
        <w:t>Emedem</w:t>
      </w:r>
      <w:proofErr w:type="spellEnd"/>
      <w:r w:rsidRPr="00383EEA">
        <w:t xml:space="preserve">, S. E., </w:t>
      </w:r>
      <w:proofErr w:type="spellStart"/>
      <w:r w:rsidRPr="00383EEA">
        <w:t>Onyenwe</w:t>
      </w:r>
      <w:proofErr w:type="spellEnd"/>
      <w:r w:rsidRPr="00383EEA">
        <w:t>, I., &amp;</w:t>
      </w:r>
      <w:proofErr w:type="spellStart"/>
      <w:r w:rsidRPr="00383EEA">
        <w:t>Ogueji</w:t>
      </w:r>
      <w:proofErr w:type="spellEnd"/>
      <w:r w:rsidRPr="00383EEA">
        <w:t xml:space="preserve">, K. (2025). Development of a WAZOBIA-Named Entity Recognition system. </w:t>
      </w:r>
      <w:proofErr w:type="spellStart"/>
      <w:r w:rsidRPr="00383EEA">
        <w:rPr>
          <w:i/>
          <w:iCs/>
        </w:rPr>
        <w:t>arXiv</w:t>
      </w:r>
      <w:proofErr w:type="spellEnd"/>
      <w:r w:rsidRPr="00383EEA">
        <w:rPr>
          <w:i/>
          <w:iCs/>
        </w:rPr>
        <w:t xml:space="preserve"> preprint</w:t>
      </w:r>
      <w:r w:rsidRPr="00383EEA">
        <w:t xml:space="preserve">. </w:t>
      </w:r>
      <w:hyperlink r:id="rId8" w:tgtFrame="_blank" w:history="1">
        <w:r w:rsidRPr="00383EEA">
          <w:rPr>
            <w:rStyle w:val="Hyperlink"/>
          </w:rPr>
          <w:t>https://arxiv.org/abs/2505.07884</w:t>
        </w:r>
      </w:hyperlink>
    </w:p>
    <w:p w14:paraId="0FCCFDB7" w14:textId="77777777" w:rsidR="00833A4C" w:rsidRPr="00383EEA" w:rsidRDefault="00833A4C" w:rsidP="00833A4C">
      <w:pPr>
        <w:pStyle w:val="ListParagraph"/>
        <w:numPr>
          <w:ilvl w:val="0"/>
          <w:numId w:val="1"/>
        </w:numPr>
        <w:jc w:val="both"/>
      </w:pPr>
      <w:r w:rsidRPr="00383EEA">
        <w:t>Graves, A., &amp;</w:t>
      </w:r>
      <w:proofErr w:type="spellStart"/>
      <w:r w:rsidRPr="00383EEA">
        <w:t>Schmidhuber</w:t>
      </w:r>
      <w:proofErr w:type="spellEnd"/>
      <w:r w:rsidRPr="00383EEA">
        <w:t xml:space="preserve">, J. (2005). Framewise phoneme classification with bidirectional LSTM and other neural network architectures. </w:t>
      </w:r>
      <w:r w:rsidRPr="00383EEA">
        <w:rPr>
          <w:i/>
          <w:iCs/>
        </w:rPr>
        <w:t>Neural Networks</w:t>
      </w:r>
      <w:r w:rsidRPr="00383EEA">
        <w:t>, 18(5-6), 602-610.</w:t>
      </w:r>
    </w:p>
    <w:p w14:paraId="462DFFF7" w14:textId="77777777" w:rsidR="00833A4C" w:rsidRPr="00383EEA" w:rsidRDefault="00833A4C" w:rsidP="00833A4C">
      <w:pPr>
        <w:pStyle w:val="ListParagraph"/>
        <w:numPr>
          <w:ilvl w:val="0"/>
          <w:numId w:val="1"/>
        </w:numPr>
        <w:jc w:val="both"/>
      </w:pPr>
      <w:r w:rsidRPr="00383EEA">
        <w:t xml:space="preserve">Grishman, R., &amp; Sundheim, B. (1996). Message Understanding Conference-6: A brief history. </w:t>
      </w:r>
      <w:r w:rsidRPr="00383EEA">
        <w:rPr>
          <w:i/>
          <w:iCs/>
        </w:rPr>
        <w:t>Proceedings of the 16th International Conference on Computational Linguistics</w:t>
      </w:r>
      <w:r w:rsidRPr="00383EEA">
        <w:t>, 466-471.</w:t>
      </w:r>
    </w:p>
    <w:p w14:paraId="6DC18031" w14:textId="77777777" w:rsidR="00833A4C" w:rsidRPr="00383EEA" w:rsidRDefault="00833A4C" w:rsidP="00833A4C">
      <w:pPr>
        <w:pStyle w:val="ListParagraph"/>
        <w:numPr>
          <w:ilvl w:val="0"/>
          <w:numId w:val="1"/>
        </w:numPr>
        <w:jc w:val="both"/>
      </w:pPr>
      <w:r w:rsidRPr="00383EEA">
        <w:t xml:space="preserve">Hedderich, M. A., Lange, L., Adel, H., </w:t>
      </w:r>
      <w:proofErr w:type="spellStart"/>
      <w:r w:rsidRPr="00383EEA">
        <w:t>Strötgen</w:t>
      </w:r>
      <w:proofErr w:type="spellEnd"/>
      <w:r w:rsidRPr="00383EEA">
        <w:t>, J., &amp;</w:t>
      </w:r>
      <w:proofErr w:type="spellStart"/>
      <w:r w:rsidRPr="00383EEA">
        <w:t>Klakow</w:t>
      </w:r>
      <w:proofErr w:type="spellEnd"/>
      <w:r w:rsidRPr="00383EEA">
        <w:t xml:space="preserve">, D. (2021). A survey on recent approaches for natural language processing in low-resource scenarios. </w:t>
      </w:r>
      <w:r w:rsidRPr="00383EEA">
        <w:rPr>
          <w:i/>
          <w:iCs/>
        </w:rPr>
        <w:t>Proceedings of the 2021 Conference of the North American Chapter of the Association for Computational Linguistics</w:t>
      </w:r>
      <w:r w:rsidRPr="00383EEA">
        <w:t>, 2545-2568.</w:t>
      </w:r>
    </w:p>
    <w:p w14:paraId="335FD35C" w14:textId="77777777" w:rsidR="00833A4C" w:rsidRPr="00383EEA" w:rsidRDefault="00833A4C" w:rsidP="00833A4C">
      <w:pPr>
        <w:pStyle w:val="ListParagraph"/>
        <w:numPr>
          <w:ilvl w:val="0"/>
          <w:numId w:val="1"/>
        </w:numPr>
        <w:jc w:val="both"/>
      </w:pPr>
      <w:r w:rsidRPr="00383EEA">
        <w:t>Hochreiter, S., &amp;</w:t>
      </w:r>
      <w:proofErr w:type="spellStart"/>
      <w:r w:rsidRPr="00383EEA">
        <w:t>Schmidhuber</w:t>
      </w:r>
      <w:proofErr w:type="spellEnd"/>
      <w:r w:rsidRPr="00383EEA">
        <w:t xml:space="preserve">, J. (1997). Long short-term memory. </w:t>
      </w:r>
      <w:r w:rsidRPr="00383EEA">
        <w:rPr>
          <w:i/>
          <w:iCs/>
        </w:rPr>
        <w:t>Neural Computation</w:t>
      </w:r>
      <w:r w:rsidRPr="00383EEA">
        <w:t>, 9(8), 1735-1780.</w:t>
      </w:r>
    </w:p>
    <w:p w14:paraId="7E3C3820" w14:textId="77777777" w:rsidR="00833A4C" w:rsidRPr="00383EEA" w:rsidRDefault="00833A4C" w:rsidP="00833A4C">
      <w:pPr>
        <w:pStyle w:val="ListParagraph"/>
        <w:numPr>
          <w:ilvl w:val="0"/>
          <w:numId w:val="1"/>
        </w:numPr>
        <w:jc w:val="both"/>
      </w:pPr>
      <w:r w:rsidRPr="00383EEA">
        <w:t xml:space="preserve">Huang, Z., Xu, W., &amp; Yu, K. (2015). Bidirectional LSTM-CRF models for sequence tagging. </w:t>
      </w:r>
      <w:proofErr w:type="spellStart"/>
      <w:r w:rsidRPr="00383EEA">
        <w:rPr>
          <w:i/>
          <w:iCs/>
        </w:rPr>
        <w:t>arXiv</w:t>
      </w:r>
      <w:proofErr w:type="spellEnd"/>
      <w:r w:rsidRPr="00383EEA">
        <w:rPr>
          <w:i/>
          <w:iCs/>
        </w:rPr>
        <w:t xml:space="preserve"> preprint</w:t>
      </w:r>
      <w:r w:rsidRPr="00383EEA">
        <w:t xml:space="preserve">. </w:t>
      </w:r>
      <w:hyperlink r:id="rId9" w:tgtFrame="_blank" w:history="1">
        <w:r w:rsidRPr="00383EEA">
          <w:rPr>
            <w:rStyle w:val="Hyperlink"/>
          </w:rPr>
          <w:t>https://arxiv.org/abs/1508.01991</w:t>
        </w:r>
      </w:hyperlink>
    </w:p>
    <w:p w14:paraId="67421D4E" w14:textId="77777777" w:rsidR="00833A4C" w:rsidRPr="00383EEA" w:rsidRDefault="00833A4C" w:rsidP="00833A4C">
      <w:pPr>
        <w:pStyle w:val="ListParagraph"/>
        <w:numPr>
          <w:ilvl w:val="0"/>
          <w:numId w:val="1"/>
        </w:numPr>
        <w:jc w:val="both"/>
      </w:pPr>
      <w:r w:rsidRPr="00383EEA">
        <w:t>Kamau, F. M. (2025). Memory-based framework for named entity recognition [Master's thesis, Jomo Kenyatta University of Agriculture and Technology]. JKUAT Repository.</w:t>
      </w:r>
    </w:p>
    <w:p w14:paraId="6E6B38F0" w14:textId="77777777" w:rsidR="00833A4C" w:rsidRPr="00383EEA" w:rsidRDefault="00833A4C" w:rsidP="00833A4C">
      <w:pPr>
        <w:pStyle w:val="ListParagraph"/>
        <w:numPr>
          <w:ilvl w:val="0"/>
          <w:numId w:val="1"/>
        </w:numPr>
        <w:jc w:val="both"/>
      </w:pPr>
      <w:r w:rsidRPr="00383EEA">
        <w:t xml:space="preserve">Kassahun, A. B., </w:t>
      </w:r>
      <w:proofErr w:type="spellStart"/>
      <w:r w:rsidRPr="00383EEA">
        <w:t>Derb</w:t>
      </w:r>
      <w:proofErr w:type="spellEnd"/>
      <w:r w:rsidRPr="00383EEA">
        <w:t xml:space="preserve">, E., Ayalew, A. A., Salau, A. O., Braide, S. L., &amp; Buhari, M. A. (2025). Design of named entity recognition model for </w:t>
      </w:r>
      <w:proofErr w:type="spellStart"/>
      <w:r w:rsidRPr="00383EEA">
        <w:t>Awngi</w:t>
      </w:r>
      <w:proofErr w:type="spellEnd"/>
      <w:r w:rsidRPr="00383EEA">
        <w:t xml:space="preserve"> language using deep learning approach. *2024 IEEE 5th International Conference on Electro-Computing Technologies for Humanity (NIGERCON)*. </w:t>
      </w:r>
      <w:hyperlink r:id="rId10" w:tgtFrame="_blank" w:history="1">
        <w:r w:rsidRPr="00383EEA">
          <w:rPr>
            <w:rStyle w:val="Hyperlink"/>
          </w:rPr>
          <w:t>https://doi.org/10.1109/nigercon62786.2024.10927049</w:t>
        </w:r>
      </w:hyperlink>
    </w:p>
    <w:p w14:paraId="227435D7" w14:textId="77777777" w:rsidR="00833A4C" w:rsidRPr="00383EEA" w:rsidRDefault="00833A4C" w:rsidP="00833A4C">
      <w:pPr>
        <w:pStyle w:val="ListParagraph"/>
        <w:numPr>
          <w:ilvl w:val="0"/>
          <w:numId w:val="1"/>
        </w:numPr>
        <w:jc w:val="both"/>
      </w:pPr>
      <w:r w:rsidRPr="00383EEA">
        <w:t xml:space="preserve">Lafferty, J., McCallum, A., &amp; Pereira, F. (2001). Conditional random fields: Probabilistic models for segmenting and </w:t>
      </w:r>
      <w:proofErr w:type="spellStart"/>
      <w:r w:rsidRPr="00383EEA">
        <w:t>labeling</w:t>
      </w:r>
      <w:proofErr w:type="spellEnd"/>
      <w:r w:rsidRPr="00383EEA">
        <w:t xml:space="preserve"> sequence data. </w:t>
      </w:r>
      <w:r w:rsidRPr="00383EEA">
        <w:rPr>
          <w:i/>
          <w:iCs/>
        </w:rPr>
        <w:t>Proceedings of the 18th International Conference on Machine Learning</w:t>
      </w:r>
      <w:r w:rsidRPr="00383EEA">
        <w:t>, 282-289.</w:t>
      </w:r>
    </w:p>
    <w:p w14:paraId="5F424D40" w14:textId="77777777" w:rsidR="00833A4C" w:rsidRPr="00383EEA" w:rsidRDefault="00833A4C" w:rsidP="00833A4C">
      <w:pPr>
        <w:pStyle w:val="ListParagraph"/>
        <w:numPr>
          <w:ilvl w:val="0"/>
          <w:numId w:val="1"/>
        </w:numPr>
        <w:jc w:val="both"/>
      </w:pPr>
      <w:r w:rsidRPr="00383EEA">
        <w:lastRenderedPageBreak/>
        <w:t xml:space="preserve">Lample, G., Ballesteros, M., Subramanian, S., Kawakami, K., &amp; Dyer, C. (2016). Neural architectures for named entity recognition. </w:t>
      </w:r>
      <w:r w:rsidRPr="00383EEA">
        <w:rPr>
          <w:i/>
          <w:iCs/>
        </w:rPr>
        <w:t>Proceedings of the 2016 Conference of the North American Chapter of the Association for Computational Linguistics</w:t>
      </w:r>
      <w:r w:rsidRPr="00383EEA">
        <w:t>, 260-270.</w:t>
      </w:r>
    </w:p>
    <w:p w14:paraId="0D9A696B" w14:textId="77777777" w:rsidR="00833A4C" w:rsidRPr="00383EEA" w:rsidRDefault="00833A4C" w:rsidP="00833A4C">
      <w:pPr>
        <w:pStyle w:val="ListParagraph"/>
        <w:numPr>
          <w:ilvl w:val="0"/>
          <w:numId w:val="1"/>
        </w:numPr>
        <w:jc w:val="both"/>
      </w:pPr>
      <w:r w:rsidRPr="00383EEA">
        <w:t xml:space="preserve">Li, J., Sun, A., Han, J., &amp; Li, C. (2022). A survey on deep learning for named entity recognition. </w:t>
      </w:r>
      <w:r w:rsidRPr="00383EEA">
        <w:rPr>
          <w:i/>
          <w:iCs/>
        </w:rPr>
        <w:t>IEEE Transactions on Knowledge and Data Engineering</w:t>
      </w:r>
      <w:r w:rsidRPr="00383EEA">
        <w:t>, 34(1), 50-70.</w:t>
      </w:r>
    </w:p>
    <w:p w14:paraId="77CAE730" w14:textId="77777777" w:rsidR="00833A4C" w:rsidRPr="00383EEA" w:rsidRDefault="00833A4C" w:rsidP="00833A4C">
      <w:pPr>
        <w:pStyle w:val="ListParagraph"/>
        <w:numPr>
          <w:ilvl w:val="0"/>
          <w:numId w:val="1"/>
        </w:numPr>
        <w:jc w:val="both"/>
      </w:pPr>
      <w:r w:rsidRPr="00383EEA">
        <w:t xml:space="preserve">Liang, C., Yu, Y., Jiang, H., Er, S., Wang, R., Zhao, T., &amp; Zhang, C. (2020). Bond: BERT-assisted open-domain named entity recognition with distant supervision. </w:t>
      </w:r>
      <w:r w:rsidRPr="00383EEA">
        <w:rPr>
          <w:i/>
          <w:iCs/>
        </w:rPr>
        <w:t>Proceedings of the 26th ACM SIGKDD International Conference on Knowledge Discovery &amp; Data Mining</w:t>
      </w:r>
      <w:r w:rsidRPr="00383EEA">
        <w:t>, 1054-1064.</w:t>
      </w:r>
    </w:p>
    <w:p w14:paraId="3E141AEB" w14:textId="77777777" w:rsidR="00833A4C" w:rsidRPr="00383EEA" w:rsidRDefault="00833A4C" w:rsidP="00833A4C">
      <w:pPr>
        <w:pStyle w:val="ListParagraph"/>
        <w:numPr>
          <w:ilvl w:val="0"/>
          <w:numId w:val="1"/>
        </w:numPr>
        <w:jc w:val="both"/>
      </w:pPr>
      <w:proofErr w:type="spellStart"/>
      <w:r w:rsidRPr="00383EEA">
        <w:t>Magueresse</w:t>
      </w:r>
      <w:proofErr w:type="spellEnd"/>
      <w:r w:rsidRPr="00383EEA">
        <w:t xml:space="preserve">, A., Carles, V., &amp; Heetderks, E. (2020). Low-resource languages: A review of past work and future challenges. </w:t>
      </w:r>
      <w:proofErr w:type="spellStart"/>
      <w:r w:rsidRPr="00383EEA">
        <w:rPr>
          <w:i/>
          <w:iCs/>
        </w:rPr>
        <w:t>arXiv</w:t>
      </w:r>
      <w:proofErr w:type="spellEnd"/>
      <w:r w:rsidRPr="00383EEA">
        <w:rPr>
          <w:i/>
          <w:iCs/>
        </w:rPr>
        <w:t xml:space="preserve"> preprint</w:t>
      </w:r>
      <w:r w:rsidRPr="00383EEA">
        <w:t xml:space="preserve">. </w:t>
      </w:r>
      <w:hyperlink r:id="rId11" w:tgtFrame="_blank" w:history="1">
        <w:r w:rsidRPr="00383EEA">
          <w:rPr>
            <w:rStyle w:val="Hyperlink"/>
          </w:rPr>
          <w:t>https://arxiv.org/abs/2006.07264</w:t>
        </w:r>
      </w:hyperlink>
    </w:p>
    <w:p w14:paraId="2459743A" w14:textId="77777777" w:rsidR="00833A4C" w:rsidRPr="00383EEA" w:rsidRDefault="00833A4C" w:rsidP="00833A4C">
      <w:pPr>
        <w:pStyle w:val="ListParagraph"/>
        <w:numPr>
          <w:ilvl w:val="0"/>
          <w:numId w:val="1"/>
        </w:numPr>
        <w:jc w:val="both"/>
      </w:pPr>
      <w:proofErr w:type="spellStart"/>
      <w:r w:rsidRPr="00383EEA">
        <w:t>Nekoto</w:t>
      </w:r>
      <w:proofErr w:type="spellEnd"/>
      <w:r w:rsidRPr="00383EEA">
        <w:t xml:space="preserve">, W., Marivate, V., Matsila, T., </w:t>
      </w:r>
      <w:proofErr w:type="spellStart"/>
      <w:r w:rsidRPr="00383EEA">
        <w:t>Fasubaa</w:t>
      </w:r>
      <w:proofErr w:type="spellEnd"/>
      <w:r w:rsidRPr="00383EEA">
        <w:t xml:space="preserve">, T., Kolawole, T., </w:t>
      </w:r>
      <w:proofErr w:type="spellStart"/>
      <w:r w:rsidRPr="00383EEA">
        <w:t>Fagbohungbe</w:t>
      </w:r>
      <w:proofErr w:type="spellEnd"/>
      <w:r w:rsidRPr="00383EEA">
        <w:t xml:space="preserve">, T., ... &amp; Adelani, D. (2020). Participatory research for low-resourced machine translation: A case study in African languages. </w:t>
      </w:r>
      <w:r w:rsidRPr="00383EEA">
        <w:rPr>
          <w:i/>
          <w:iCs/>
        </w:rPr>
        <w:t>Findings of the Association for Computational Linguistics: EMNLP 2020</w:t>
      </w:r>
      <w:r w:rsidRPr="00383EEA">
        <w:t>, 2144-2160.</w:t>
      </w:r>
    </w:p>
    <w:p w14:paraId="16CC9A28" w14:textId="77777777" w:rsidR="00833A4C" w:rsidRPr="00383EEA" w:rsidRDefault="00833A4C" w:rsidP="00833A4C">
      <w:pPr>
        <w:pStyle w:val="ListParagraph"/>
        <w:numPr>
          <w:ilvl w:val="0"/>
          <w:numId w:val="1"/>
        </w:numPr>
        <w:jc w:val="both"/>
      </w:pPr>
      <w:proofErr w:type="spellStart"/>
      <w:r w:rsidRPr="00383EEA">
        <w:t>Ochala</w:t>
      </w:r>
      <w:proofErr w:type="spellEnd"/>
      <w:r w:rsidRPr="00383EEA">
        <w:t xml:space="preserve">, I., &amp; Mbah, B. M. (2024). Digital preservation of Igala oral literature: Challenges and opportunities. </w:t>
      </w:r>
      <w:r w:rsidRPr="00383EEA">
        <w:rPr>
          <w:i/>
          <w:iCs/>
        </w:rPr>
        <w:t>Journal of African Cultural Studies</w:t>
      </w:r>
      <w:r w:rsidRPr="00383EEA">
        <w:t>, 36(2), 189-205.</w:t>
      </w:r>
    </w:p>
    <w:p w14:paraId="4242B624" w14:textId="77777777" w:rsidR="00833A4C" w:rsidRPr="00383EEA" w:rsidRDefault="00833A4C" w:rsidP="00833A4C">
      <w:pPr>
        <w:pStyle w:val="ListParagraph"/>
        <w:numPr>
          <w:ilvl w:val="0"/>
          <w:numId w:val="1"/>
        </w:numPr>
        <w:jc w:val="both"/>
      </w:pPr>
      <w:r w:rsidRPr="00383EEA">
        <w:t xml:space="preserve">Omachonu, G. S. (2021). </w:t>
      </w:r>
      <w:r w:rsidRPr="00383EEA">
        <w:rPr>
          <w:i/>
          <w:iCs/>
        </w:rPr>
        <w:t>A descriptive grammar of Igala</w:t>
      </w:r>
      <w:r w:rsidRPr="00383EEA">
        <w:t>. Kogi State University Press.</w:t>
      </w:r>
    </w:p>
    <w:p w14:paraId="1452531B" w14:textId="77777777" w:rsidR="00833A4C" w:rsidRPr="00383EEA" w:rsidRDefault="00833A4C" w:rsidP="00833A4C">
      <w:pPr>
        <w:pStyle w:val="ListParagraph"/>
        <w:numPr>
          <w:ilvl w:val="0"/>
          <w:numId w:val="1"/>
        </w:numPr>
        <w:jc w:val="both"/>
      </w:pPr>
      <w:r w:rsidRPr="00383EEA">
        <w:t xml:space="preserve">Omachonu, G. S., &amp; Yusuf, A. (2023). Language endangerment and revitalisation efforts in Nigeria: The Igala example. </w:t>
      </w:r>
      <w:r w:rsidRPr="00383EEA">
        <w:rPr>
          <w:i/>
          <w:iCs/>
        </w:rPr>
        <w:t>African Sociolinguistic Review</w:t>
      </w:r>
      <w:r w:rsidRPr="00383EEA">
        <w:t>, 8(1), 45-62.</w:t>
      </w:r>
    </w:p>
    <w:p w14:paraId="354AE5FC" w14:textId="77777777" w:rsidR="00833A4C" w:rsidRPr="00383EEA" w:rsidRDefault="00833A4C" w:rsidP="00833A4C">
      <w:pPr>
        <w:pStyle w:val="ListParagraph"/>
        <w:numPr>
          <w:ilvl w:val="0"/>
          <w:numId w:val="1"/>
        </w:numPr>
        <w:jc w:val="both"/>
      </w:pPr>
      <w:r w:rsidRPr="00383EEA">
        <w:t xml:space="preserve">Peffers, K., </w:t>
      </w:r>
      <w:proofErr w:type="spellStart"/>
      <w:r w:rsidRPr="00383EEA">
        <w:t>Tuunanen</w:t>
      </w:r>
      <w:proofErr w:type="spellEnd"/>
      <w:r w:rsidRPr="00383EEA">
        <w:t>, T., Gengler, C. E., Rossi, M., Hui, W., Virtanen, V., &amp; Bragge, J. (2020). Design science research process: A model for producing and presenting information</w:t>
      </w:r>
      <w:bookmarkStart w:id="0" w:name="_GoBack"/>
      <w:bookmarkEnd w:id="0"/>
      <w:r w:rsidRPr="00383EEA">
        <w:t xml:space="preserve"> systems research. </w:t>
      </w:r>
      <w:r w:rsidRPr="00383EEA">
        <w:rPr>
          <w:i/>
          <w:iCs/>
        </w:rPr>
        <w:t>Design Science in Information Systems Research</w:t>
      </w:r>
      <w:r w:rsidRPr="00383EEA">
        <w:t>, 24(3), 45-66.</w:t>
      </w:r>
    </w:p>
    <w:p w14:paraId="1565D0B6" w14:textId="77777777" w:rsidR="00833A4C" w:rsidRPr="00383EEA" w:rsidRDefault="00833A4C" w:rsidP="00833A4C">
      <w:pPr>
        <w:pStyle w:val="ListParagraph"/>
        <w:numPr>
          <w:ilvl w:val="0"/>
          <w:numId w:val="1"/>
        </w:numPr>
        <w:jc w:val="both"/>
      </w:pPr>
      <w:r w:rsidRPr="00383EEA">
        <w:t xml:space="preserve">Pires, T., Schlinger, E., &amp; Garrette, D. (2019). How multilingual is multilingual BERT? </w:t>
      </w:r>
      <w:r w:rsidRPr="00383EEA">
        <w:rPr>
          <w:i/>
          <w:iCs/>
        </w:rPr>
        <w:t>Proceedings of the 57th Annual Meeting of the Association for Computational Linguistics</w:t>
      </w:r>
      <w:r w:rsidRPr="00383EEA">
        <w:t>, 4996-5001.</w:t>
      </w:r>
    </w:p>
    <w:p w14:paraId="7E0499A0" w14:textId="77777777" w:rsidR="00833A4C" w:rsidRPr="00383EEA" w:rsidRDefault="00833A4C" w:rsidP="00833A4C">
      <w:pPr>
        <w:pStyle w:val="ListParagraph"/>
        <w:numPr>
          <w:ilvl w:val="0"/>
          <w:numId w:val="1"/>
        </w:numPr>
        <w:jc w:val="both"/>
      </w:pPr>
      <w:r w:rsidRPr="00383EEA">
        <w:t xml:space="preserve">Rahimi, A., Li, Y., &amp; Cohn, T. (2019). Massively multilingual transfer for NER. </w:t>
      </w:r>
      <w:r w:rsidRPr="00383EEA">
        <w:rPr>
          <w:i/>
          <w:iCs/>
        </w:rPr>
        <w:t>Proceedings of the 57th Annual Meeting of the Association for Computational Linguistics</w:t>
      </w:r>
      <w:r w:rsidRPr="00383EEA">
        <w:t>, 1516-1527.</w:t>
      </w:r>
    </w:p>
    <w:p w14:paraId="11868238" w14:textId="77777777" w:rsidR="00833A4C" w:rsidRPr="00383EEA" w:rsidRDefault="00833A4C" w:rsidP="00833A4C">
      <w:pPr>
        <w:pStyle w:val="ListParagraph"/>
        <w:numPr>
          <w:ilvl w:val="0"/>
          <w:numId w:val="1"/>
        </w:numPr>
        <w:jc w:val="both"/>
      </w:pPr>
      <w:proofErr w:type="spellStart"/>
      <w:r w:rsidRPr="00383EEA">
        <w:t>Sallauka</w:t>
      </w:r>
      <w:proofErr w:type="spellEnd"/>
      <w:r w:rsidRPr="00383EEA">
        <w:t xml:space="preserve">, R., Arioz, U., Rojc, M., &amp; Mlakar, I. (2025). Weakly-supervised multilingual medical NER for symptom extraction for low-resource languages. </w:t>
      </w:r>
      <w:r w:rsidRPr="00383EEA">
        <w:rPr>
          <w:i/>
          <w:iCs/>
        </w:rPr>
        <w:t>Preprints</w:t>
      </w:r>
      <w:r w:rsidRPr="00383EEA">
        <w:t xml:space="preserve">. </w:t>
      </w:r>
      <w:hyperlink r:id="rId12" w:tgtFrame="_blank" w:history="1">
        <w:r w:rsidRPr="00383EEA">
          <w:rPr>
            <w:rStyle w:val="Hyperlink"/>
          </w:rPr>
          <w:t>https://doi.org/10.20944/preprints202504.1356.v1</w:t>
        </w:r>
      </w:hyperlink>
    </w:p>
    <w:p w14:paraId="703E51D1" w14:textId="77777777" w:rsidR="00833A4C" w:rsidRPr="00383EEA" w:rsidRDefault="00833A4C" w:rsidP="00833A4C">
      <w:pPr>
        <w:pStyle w:val="ListParagraph"/>
        <w:numPr>
          <w:ilvl w:val="0"/>
          <w:numId w:val="1"/>
        </w:numPr>
        <w:jc w:val="both"/>
      </w:pPr>
      <w:r w:rsidRPr="00383EEA">
        <w:t xml:space="preserve">Sani, F. A. (2023). Development of English-to-Igala machine translation system using neural machine translation with attention mechanism. </w:t>
      </w:r>
      <w:r w:rsidRPr="00383EEA">
        <w:rPr>
          <w:i/>
          <w:iCs/>
        </w:rPr>
        <w:t>Journal of Management and Technology</w:t>
      </w:r>
      <w:r w:rsidRPr="00383EEA">
        <w:t xml:space="preserve">, 19(1). </w:t>
      </w:r>
      <w:hyperlink r:id="rId13" w:tgtFrame="_blank" w:history="1">
        <w:r w:rsidRPr="00383EEA">
          <w:rPr>
            <w:rStyle w:val="Hyperlink"/>
          </w:rPr>
          <w:t>https://doi.org/10.62254/jmt.2023.19.1.7</w:t>
        </w:r>
      </w:hyperlink>
    </w:p>
    <w:p w14:paraId="21D5B6F7" w14:textId="77777777" w:rsidR="00833A4C" w:rsidRPr="00383EEA" w:rsidRDefault="00833A4C" w:rsidP="00833A4C">
      <w:pPr>
        <w:pStyle w:val="ListParagraph"/>
        <w:numPr>
          <w:ilvl w:val="0"/>
          <w:numId w:val="1"/>
        </w:numPr>
        <w:jc w:val="both"/>
      </w:pPr>
      <w:r w:rsidRPr="00383EEA">
        <w:t xml:space="preserve">Settles, B. (2012). Active learning. </w:t>
      </w:r>
      <w:r w:rsidRPr="00383EEA">
        <w:rPr>
          <w:i/>
          <w:iCs/>
        </w:rPr>
        <w:t>Synthesis Lectures on Artificial Intelligence and Machine Learning</w:t>
      </w:r>
      <w:r w:rsidRPr="00383EEA">
        <w:t>, 6(1), 1-114.</w:t>
      </w:r>
    </w:p>
    <w:p w14:paraId="1ED8D4E9" w14:textId="77777777" w:rsidR="00833A4C" w:rsidRPr="00383EEA" w:rsidRDefault="00833A4C" w:rsidP="00833A4C">
      <w:pPr>
        <w:pStyle w:val="ListParagraph"/>
        <w:numPr>
          <w:ilvl w:val="0"/>
          <w:numId w:val="1"/>
        </w:numPr>
        <w:jc w:val="both"/>
      </w:pPr>
      <w:r w:rsidRPr="00383EEA">
        <w:t xml:space="preserve">Shen, Y., Yun, H., Lipton, Z. C., </w:t>
      </w:r>
      <w:proofErr w:type="spellStart"/>
      <w:r w:rsidRPr="00383EEA">
        <w:t>Kronrod</w:t>
      </w:r>
      <w:proofErr w:type="spellEnd"/>
      <w:r w:rsidRPr="00383EEA">
        <w:t xml:space="preserve">, Y., &amp; Anandkumar, A. (2017). Deep active learning for named entity recognition. </w:t>
      </w:r>
      <w:r w:rsidRPr="00383EEA">
        <w:rPr>
          <w:i/>
          <w:iCs/>
        </w:rPr>
        <w:t>Proceedings of the 2nd Workshop on Representation Learning for NLP</w:t>
      </w:r>
      <w:r w:rsidRPr="00383EEA">
        <w:t>, 252-256.</w:t>
      </w:r>
    </w:p>
    <w:p w14:paraId="7F6CA471" w14:textId="77777777" w:rsidR="00833A4C" w:rsidRPr="00383EEA" w:rsidRDefault="00833A4C" w:rsidP="00833A4C">
      <w:pPr>
        <w:pStyle w:val="ListParagraph"/>
        <w:numPr>
          <w:ilvl w:val="0"/>
          <w:numId w:val="1"/>
        </w:numPr>
        <w:jc w:val="both"/>
      </w:pPr>
      <w:proofErr w:type="spellStart"/>
      <w:r w:rsidRPr="00383EEA">
        <w:t>Shiaki</w:t>
      </w:r>
      <w:proofErr w:type="spellEnd"/>
      <w:r w:rsidRPr="00383EEA">
        <w:t xml:space="preserve">, N. (2025). Towards inclusive NLP: Benchmarking and mitigating bias in named entity recognition for African languages and entities. </w:t>
      </w:r>
      <w:proofErr w:type="spellStart"/>
      <w:r w:rsidRPr="00383EEA">
        <w:rPr>
          <w:i/>
          <w:iCs/>
        </w:rPr>
        <w:t>NeurIPS</w:t>
      </w:r>
      <w:proofErr w:type="spellEnd"/>
      <w:r w:rsidRPr="00383EEA">
        <w:rPr>
          <w:i/>
          <w:iCs/>
        </w:rPr>
        <w:t xml:space="preserve"> 2025</w:t>
      </w:r>
      <w:r w:rsidRPr="00383EEA">
        <w:t xml:space="preserve">. </w:t>
      </w:r>
      <w:hyperlink r:id="rId14" w:tgtFrame="_blank" w:history="1">
        <w:r w:rsidRPr="00383EEA">
          <w:rPr>
            <w:rStyle w:val="Hyperlink"/>
          </w:rPr>
          <w:t>https://neurips.cc/virtual/2025/loc/san-diego/133796</w:t>
        </w:r>
      </w:hyperlink>
    </w:p>
    <w:p w14:paraId="05ED6CEE" w14:textId="77777777" w:rsidR="00833A4C" w:rsidRPr="00383EEA" w:rsidRDefault="00833A4C" w:rsidP="00833A4C">
      <w:pPr>
        <w:pStyle w:val="ListParagraph"/>
        <w:numPr>
          <w:ilvl w:val="0"/>
          <w:numId w:val="1"/>
        </w:numPr>
        <w:jc w:val="both"/>
      </w:pPr>
      <w:r w:rsidRPr="00383EEA">
        <w:t xml:space="preserve">Sutton, C., &amp; McCallum, A. (2012). An introduction to conditional random fields. </w:t>
      </w:r>
      <w:r w:rsidRPr="00383EEA">
        <w:rPr>
          <w:i/>
          <w:iCs/>
        </w:rPr>
        <w:t>Foundations and Trends in Machine Learning</w:t>
      </w:r>
      <w:r w:rsidRPr="00383EEA">
        <w:t>, 4(4), 267-373.</w:t>
      </w:r>
    </w:p>
    <w:p w14:paraId="00788CE7" w14:textId="77777777" w:rsidR="00833A4C" w:rsidRPr="00383EEA" w:rsidRDefault="00833A4C" w:rsidP="00833A4C">
      <w:pPr>
        <w:pStyle w:val="ListParagraph"/>
        <w:numPr>
          <w:ilvl w:val="0"/>
          <w:numId w:val="1"/>
        </w:numPr>
        <w:jc w:val="both"/>
      </w:pPr>
      <w:r w:rsidRPr="00383EEA">
        <w:t xml:space="preserve">Vaswani, A., </w:t>
      </w:r>
      <w:proofErr w:type="spellStart"/>
      <w:r w:rsidRPr="00383EEA">
        <w:t>Shazeer</w:t>
      </w:r>
      <w:proofErr w:type="spellEnd"/>
      <w:r w:rsidRPr="00383EEA">
        <w:t xml:space="preserve">, N., Parmar, N., </w:t>
      </w:r>
      <w:proofErr w:type="spellStart"/>
      <w:r w:rsidRPr="00383EEA">
        <w:t>Uszkoreit</w:t>
      </w:r>
      <w:proofErr w:type="spellEnd"/>
      <w:r w:rsidRPr="00383EEA">
        <w:t>, J., Jones, L., Gomez, A. N., ... &amp;</w:t>
      </w:r>
      <w:proofErr w:type="spellStart"/>
      <w:r w:rsidRPr="00383EEA">
        <w:t>Polosukhin</w:t>
      </w:r>
      <w:proofErr w:type="spellEnd"/>
      <w:r w:rsidRPr="00383EEA">
        <w:t xml:space="preserve">, I. (2017). Attention is all you need. </w:t>
      </w:r>
      <w:r w:rsidRPr="00383EEA">
        <w:rPr>
          <w:i/>
          <w:iCs/>
        </w:rPr>
        <w:t>Advances in Neural Information Processing Systems</w:t>
      </w:r>
      <w:r w:rsidRPr="00383EEA">
        <w:t>, 30, 5998-6008.</w:t>
      </w:r>
    </w:p>
    <w:p w14:paraId="2BC2345D" w14:textId="77777777" w:rsidR="00833A4C" w:rsidRPr="00383EEA" w:rsidRDefault="00833A4C" w:rsidP="00833A4C">
      <w:pPr>
        <w:pStyle w:val="ListParagraph"/>
        <w:numPr>
          <w:ilvl w:val="0"/>
          <w:numId w:val="1"/>
        </w:numPr>
        <w:jc w:val="both"/>
      </w:pPr>
      <w:r w:rsidRPr="00383EEA">
        <w:t xml:space="preserve">Wei, J., &amp; Zou, K. (2019). EDA: Easy data augmentation techniques for boosting performance on text classification tasks. </w:t>
      </w:r>
      <w:r w:rsidRPr="00383EEA">
        <w:rPr>
          <w:i/>
          <w:iCs/>
        </w:rPr>
        <w:t>Proceedings of the 2019 Conference on Empirical Methods in Natural Language Processing</w:t>
      </w:r>
      <w:r w:rsidRPr="00383EEA">
        <w:t>, 6383-6389.</w:t>
      </w:r>
    </w:p>
    <w:p w14:paraId="545FA156" w14:textId="77777777" w:rsidR="00833A4C" w:rsidRPr="00383EEA" w:rsidRDefault="00833A4C" w:rsidP="00833A4C">
      <w:pPr>
        <w:pStyle w:val="ListParagraph"/>
        <w:numPr>
          <w:ilvl w:val="0"/>
          <w:numId w:val="1"/>
        </w:numPr>
        <w:jc w:val="both"/>
      </w:pPr>
      <w:r w:rsidRPr="00383EEA">
        <w:lastRenderedPageBreak/>
        <w:t xml:space="preserve">Zhou, J. T., Zhang, H., Jin, D., Peng, H., Xiao, Y., &amp; Cao, Z. (2019). Dual adversarial neural transfer for low-resource named entity recognition. </w:t>
      </w:r>
      <w:r w:rsidRPr="00383EEA">
        <w:rPr>
          <w:i/>
          <w:iCs/>
        </w:rPr>
        <w:t>Proceedings of the 57th Annual Meeting of the Association for Computational Linguistics</w:t>
      </w:r>
      <w:r w:rsidRPr="00383EEA">
        <w:t>, 3461-3471.</w:t>
      </w:r>
    </w:p>
    <w:p w14:paraId="73BD4581" w14:textId="77777777" w:rsidR="00AD0EFC" w:rsidRDefault="00AD0EFC" w:rsidP="00833A4C">
      <w:pPr>
        <w:jc w:val="both"/>
      </w:pPr>
    </w:p>
    <w:sectPr w:rsidR="00AD0EFC" w:rsidSect="00133B72">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BF0B14" w14:textId="77777777" w:rsidR="0031671F" w:rsidRDefault="0031671F" w:rsidP="009B2AED">
      <w:pPr>
        <w:spacing w:after="0" w:line="240" w:lineRule="auto"/>
      </w:pPr>
      <w:r>
        <w:separator/>
      </w:r>
    </w:p>
  </w:endnote>
  <w:endnote w:type="continuationSeparator" w:id="0">
    <w:p w14:paraId="7302652F" w14:textId="77777777" w:rsidR="0031671F" w:rsidRDefault="0031671F" w:rsidP="009B2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FA6F5" w14:textId="77777777" w:rsidR="009B2AED" w:rsidRDefault="009B2A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4CCD4" w14:textId="77777777" w:rsidR="009B2AED" w:rsidRDefault="009B2A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054A4" w14:textId="77777777" w:rsidR="009B2AED" w:rsidRDefault="009B2A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28B59D" w14:textId="77777777" w:rsidR="0031671F" w:rsidRDefault="0031671F" w:rsidP="009B2AED">
      <w:pPr>
        <w:spacing w:after="0" w:line="240" w:lineRule="auto"/>
      </w:pPr>
      <w:r>
        <w:separator/>
      </w:r>
    </w:p>
  </w:footnote>
  <w:footnote w:type="continuationSeparator" w:id="0">
    <w:p w14:paraId="0975B1F4" w14:textId="77777777" w:rsidR="0031671F" w:rsidRDefault="0031671F" w:rsidP="009B2A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0F0E3" w14:textId="185EEFCE" w:rsidR="009B2AED" w:rsidRDefault="009B2AED">
    <w:pPr>
      <w:pStyle w:val="Header"/>
    </w:pPr>
    <w:r>
      <w:rPr>
        <w:noProof/>
      </w:rPr>
      <w:pict w14:anchorId="6DB6C9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16371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31FC5" w14:textId="556B9571" w:rsidR="009B2AED" w:rsidRDefault="009B2AED">
    <w:pPr>
      <w:pStyle w:val="Header"/>
    </w:pPr>
    <w:r>
      <w:rPr>
        <w:noProof/>
      </w:rPr>
      <w:pict w14:anchorId="1BEC5A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16372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2A429" w14:textId="7752BEB3" w:rsidR="009B2AED" w:rsidRDefault="009B2AED">
    <w:pPr>
      <w:pStyle w:val="Header"/>
    </w:pPr>
    <w:r>
      <w:rPr>
        <w:noProof/>
      </w:rPr>
      <w:pict w14:anchorId="0ABFB3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16371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7333B6"/>
    <w:multiLevelType w:val="hybridMultilevel"/>
    <w:tmpl w:val="36A60834"/>
    <w:lvl w:ilvl="0" w:tplc="30090001">
      <w:start w:val="1"/>
      <w:numFmt w:val="bullet"/>
      <w:lvlText w:val=""/>
      <w:lvlJc w:val="left"/>
      <w:pPr>
        <w:ind w:left="360" w:hanging="360"/>
      </w:pPr>
      <w:rPr>
        <w:rFonts w:ascii="Symbol" w:hAnsi="Symbol" w:hint="default"/>
      </w:rPr>
    </w:lvl>
    <w:lvl w:ilvl="1" w:tplc="30090003" w:tentative="1">
      <w:start w:val="1"/>
      <w:numFmt w:val="bullet"/>
      <w:lvlText w:val="o"/>
      <w:lvlJc w:val="left"/>
      <w:pPr>
        <w:ind w:left="1080" w:hanging="360"/>
      </w:pPr>
      <w:rPr>
        <w:rFonts w:ascii="Courier New" w:hAnsi="Courier New" w:cs="Courier New" w:hint="default"/>
      </w:rPr>
    </w:lvl>
    <w:lvl w:ilvl="2" w:tplc="30090005" w:tentative="1">
      <w:start w:val="1"/>
      <w:numFmt w:val="bullet"/>
      <w:lvlText w:val=""/>
      <w:lvlJc w:val="left"/>
      <w:pPr>
        <w:ind w:left="1800" w:hanging="360"/>
      </w:pPr>
      <w:rPr>
        <w:rFonts w:ascii="Wingdings" w:hAnsi="Wingdings" w:hint="default"/>
      </w:rPr>
    </w:lvl>
    <w:lvl w:ilvl="3" w:tplc="30090001" w:tentative="1">
      <w:start w:val="1"/>
      <w:numFmt w:val="bullet"/>
      <w:lvlText w:val=""/>
      <w:lvlJc w:val="left"/>
      <w:pPr>
        <w:ind w:left="2520" w:hanging="360"/>
      </w:pPr>
      <w:rPr>
        <w:rFonts w:ascii="Symbol" w:hAnsi="Symbol" w:hint="default"/>
      </w:rPr>
    </w:lvl>
    <w:lvl w:ilvl="4" w:tplc="30090003" w:tentative="1">
      <w:start w:val="1"/>
      <w:numFmt w:val="bullet"/>
      <w:lvlText w:val="o"/>
      <w:lvlJc w:val="left"/>
      <w:pPr>
        <w:ind w:left="3240" w:hanging="360"/>
      </w:pPr>
      <w:rPr>
        <w:rFonts w:ascii="Courier New" w:hAnsi="Courier New" w:cs="Courier New" w:hint="default"/>
      </w:rPr>
    </w:lvl>
    <w:lvl w:ilvl="5" w:tplc="30090005" w:tentative="1">
      <w:start w:val="1"/>
      <w:numFmt w:val="bullet"/>
      <w:lvlText w:val=""/>
      <w:lvlJc w:val="left"/>
      <w:pPr>
        <w:ind w:left="3960" w:hanging="360"/>
      </w:pPr>
      <w:rPr>
        <w:rFonts w:ascii="Wingdings" w:hAnsi="Wingdings" w:hint="default"/>
      </w:rPr>
    </w:lvl>
    <w:lvl w:ilvl="6" w:tplc="30090001" w:tentative="1">
      <w:start w:val="1"/>
      <w:numFmt w:val="bullet"/>
      <w:lvlText w:val=""/>
      <w:lvlJc w:val="left"/>
      <w:pPr>
        <w:ind w:left="4680" w:hanging="360"/>
      </w:pPr>
      <w:rPr>
        <w:rFonts w:ascii="Symbol" w:hAnsi="Symbol" w:hint="default"/>
      </w:rPr>
    </w:lvl>
    <w:lvl w:ilvl="7" w:tplc="30090003" w:tentative="1">
      <w:start w:val="1"/>
      <w:numFmt w:val="bullet"/>
      <w:lvlText w:val="o"/>
      <w:lvlJc w:val="left"/>
      <w:pPr>
        <w:ind w:left="5400" w:hanging="360"/>
      </w:pPr>
      <w:rPr>
        <w:rFonts w:ascii="Courier New" w:hAnsi="Courier New" w:cs="Courier New" w:hint="default"/>
      </w:rPr>
    </w:lvl>
    <w:lvl w:ilvl="8" w:tplc="30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33A4C"/>
    <w:rsid w:val="00084188"/>
    <w:rsid w:val="00133B72"/>
    <w:rsid w:val="00202727"/>
    <w:rsid w:val="00245BCD"/>
    <w:rsid w:val="002C2377"/>
    <w:rsid w:val="0031671F"/>
    <w:rsid w:val="00383EEA"/>
    <w:rsid w:val="00435788"/>
    <w:rsid w:val="0058452F"/>
    <w:rsid w:val="005F6205"/>
    <w:rsid w:val="006C06AC"/>
    <w:rsid w:val="00833A4C"/>
    <w:rsid w:val="008D2B30"/>
    <w:rsid w:val="009B2AED"/>
    <w:rsid w:val="009C3B7A"/>
    <w:rsid w:val="00AD0EFC"/>
    <w:rsid w:val="00C270AC"/>
    <w:rsid w:val="00D535CC"/>
    <w:rsid w:val="00E414D2"/>
    <w:rsid w:val="00EF2C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6795084"/>
  <w15:docId w15:val="{42F484E7-75D4-4FB4-95CA-519DB252C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ZW"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3B72"/>
  </w:style>
  <w:style w:type="paragraph" w:styleId="Heading1">
    <w:name w:val="heading 1"/>
    <w:basedOn w:val="Normal"/>
    <w:next w:val="Normal"/>
    <w:link w:val="Heading1Char"/>
    <w:uiPriority w:val="9"/>
    <w:qFormat/>
    <w:rsid w:val="00833A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33A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3A4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3A4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3A4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3A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3A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3A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3A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3A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33A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3A4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3A4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3A4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3A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3A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3A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3A4C"/>
    <w:rPr>
      <w:rFonts w:eastAsiaTheme="majorEastAsia" w:cstheme="majorBidi"/>
      <w:color w:val="272727" w:themeColor="text1" w:themeTint="D8"/>
    </w:rPr>
  </w:style>
  <w:style w:type="paragraph" w:styleId="Title">
    <w:name w:val="Title"/>
    <w:basedOn w:val="Normal"/>
    <w:next w:val="Normal"/>
    <w:link w:val="TitleChar"/>
    <w:uiPriority w:val="10"/>
    <w:qFormat/>
    <w:rsid w:val="00833A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3A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3A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3A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3A4C"/>
    <w:pPr>
      <w:spacing w:before="160"/>
      <w:jc w:val="center"/>
    </w:pPr>
    <w:rPr>
      <w:i/>
      <w:iCs/>
      <w:color w:val="404040" w:themeColor="text1" w:themeTint="BF"/>
    </w:rPr>
  </w:style>
  <w:style w:type="character" w:customStyle="1" w:styleId="QuoteChar">
    <w:name w:val="Quote Char"/>
    <w:basedOn w:val="DefaultParagraphFont"/>
    <w:link w:val="Quote"/>
    <w:uiPriority w:val="29"/>
    <w:rsid w:val="00833A4C"/>
    <w:rPr>
      <w:i/>
      <w:iCs/>
      <w:color w:val="404040" w:themeColor="text1" w:themeTint="BF"/>
    </w:rPr>
  </w:style>
  <w:style w:type="paragraph" w:styleId="ListParagraph">
    <w:name w:val="List Paragraph"/>
    <w:basedOn w:val="Normal"/>
    <w:uiPriority w:val="34"/>
    <w:qFormat/>
    <w:rsid w:val="00833A4C"/>
    <w:pPr>
      <w:ind w:left="720"/>
      <w:contextualSpacing/>
    </w:pPr>
  </w:style>
  <w:style w:type="character" w:styleId="IntenseEmphasis">
    <w:name w:val="Intense Emphasis"/>
    <w:basedOn w:val="DefaultParagraphFont"/>
    <w:uiPriority w:val="21"/>
    <w:qFormat/>
    <w:rsid w:val="00833A4C"/>
    <w:rPr>
      <w:i/>
      <w:iCs/>
      <w:color w:val="2F5496" w:themeColor="accent1" w:themeShade="BF"/>
    </w:rPr>
  </w:style>
  <w:style w:type="paragraph" w:styleId="IntenseQuote">
    <w:name w:val="Intense Quote"/>
    <w:basedOn w:val="Normal"/>
    <w:next w:val="Normal"/>
    <w:link w:val="IntenseQuoteChar"/>
    <w:uiPriority w:val="30"/>
    <w:qFormat/>
    <w:rsid w:val="00833A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3A4C"/>
    <w:rPr>
      <w:i/>
      <w:iCs/>
      <w:color w:val="2F5496" w:themeColor="accent1" w:themeShade="BF"/>
    </w:rPr>
  </w:style>
  <w:style w:type="character" w:styleId="IntenseReference">
    <w:name w:val="Intense Reference"/>
    <w:basedOn w:val="DefaultParagraphFont"/>
    <w:uiPriority w:val="32"/>
    <w:qFormat/>
    <w:rsid w:val="00833A4C"/>
    <w:rPr>
      <w:b/>
      <w:bCs/>
      <w:smallCaps/>
      <w:color w:val="2F5496" w:themeColor="accent1" w:themeShade="BF"/>
      <w:spacing w:val="5"/>
    </w:rPr>
  </w:style>
  <w:style w:type="character" w:styleId="Hyperlink">
    <w:name w:val="Hyperlink"/>
    <w:basedOn w:val="DefaultParagraphFont"/>
    <w:uiPriority w:val="99"/>
    <w:unhideWhenUsed/>
    <w:rsid w:val="00833A4C"/>
    <w:rPr>
      <w:color w:val="0563C1" w:themeColor="hyperlink"/>
      <w:u w:val="single"/>
    </w:rPr>
  </w:style>
  <w:style w:type="character" w:customStyle="1" w:styleId="UnresolvedMention1">
    <w:name w:val="Unresolved Mention1"/>
    <w:basedOn w:val="DefaultParagraphFont"/>
    <w:uiPriority w:val="99"/>
    <w:semiHidden/>
    <w:unhideWhenUsed/>
    <w:rsid w:val="00833A4C"/>
    <w:rPr>
      <w:color w:val="605E5C"/>
      <w:shd w:val="clear" w:color="auto" w:fill="E1DFDD"/>
    </w:rPr>
  </w:style>
  <w:style w:type="table" w:styleId="TableGrid">
    <w:name w:val="Table Grid"/>
    <w:basedOn w:val="TableNormal"/>
    <w:uiPriority w:val="39"/>
    <w:rsid w:val="00833A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45BCD"/>
    <w:pPr>
      <w:spacing w:after="0" w:line="240" w:lineRule="auto"/>
    </w:pPr>
  </w:style>
  <w:style w:type="character" w:styleId="UnresolvedMention">
    <w:name w:val="Unresolved Mention"/>
    <w:basedOn w:val="DefaultParagraphFont"/>
    <w:uiPriority w:val="99"/>
    <w:semiHidden/>
    <w:unhideWhenUsed/>
    <w:rsid w:val="00202727"/>
    <w:rPr>
      <w:color w:val="605E5C"/>
      <w:shd w:val="clear" w:color="auto" w:fill="E1DFDD"/>
    </w:rPr>
  </w:style>
  <w:style w:type="paragraph" w:styleId="Header">
    <w:name w:val="header"/>
    <w:basedOn w:val="Normal"/>
    <w:link w:val="HeaderChar"/>
    <w:uiPriority w:val="99"/>
    <w:unhideWhenUsed/>
    <w:rsid w:val="009B2A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2AED"/>
  </w:style>
  <w:style w:type="paragraph" w:styleId="Footer">
    <w:name w:val="footer"/>
    <w:basedOn w:val="Normal"/>
    <w:link w:val="FooterChar"/>
    <w:uiPriority w:val="99"/>
    <w:unhideWhenUsed/>
    <w:rsid w:val="009B2A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2A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xiv.org/abs/2505.07884" TargetMode="External"/><Relationship Id="rId13" Type="http://schemas.openxmlformats.org/officeDocument/2006/relationships/hyperlink" Target="https://doi.org/10.62254/jmt.2023.19.1.7"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oi.org/10.17635/lancaster/thesis/2789" TargetMode="External"/><Relationship Id="rId12" Type="http://schemas.openxmlformats.org/officeDocument/2006/relationships/hyperlink" Target="https://doi.org/10.20944/preprints202504.1356.v1"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rxiv.org/abs/2006.07264"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109/nigercon62786.2024.10927049"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arxiv.org/abs/1508.01991" TargetMode="External"/><Relationship Id="rId14" Type="http://schemas.openxmlformats.org/officeDocument/2006/relationships/hyperlink" Target="https://neurips.cc/virtual/2025/loc/san-diego/13379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16</Pages>
  <Words>7967</Words>
  <Characters>45418</Characters>
  <Application>Microsoft Office Word</Application>
  <DocSecurity>0</DocSecurity>
  <Lines>378</Lines>
  <Paragraphs>106</Paragraphs>
  <ScaleCrop>false</ScaleCrop>
  <Company/>
  <LinksUpToDate>false</LinksUpToDate>
  <CharactersWithSpaces>53279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SDI 1166</cp:lastModifiedBy>
  <cp:revision>12</cp:revision>
  <dcterms:created xsi:type="dcterms:W3CDTF">2026-02-23T13:26:00Z</dcterms:created>
  <dcterms:modified xsi:type="dcterms:W3CDTF">2026-04-09T12:35:00Z</dcterms:modified>
</cp:coreProperties>
</file>