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3A409" w14:textId="77777777" w:rsidR="000A7F23" w:rsidRPr="00B36A1C" w:rsidRDefault="000A7F23" w:rsidP="000A7F23">
      <w:pPr>
        <w:autoSpaceDE w:val="0"/>
        <w:autoSpaceDN w:val="0"/>
        <w:adjustRightInd w:val="0"/>
        <w:spacing w:after="0" w:line="240" w:lineRule="auto"/>
        <w:jc w:val="both"/>
        <w:rPr>
          <w:rFonts w:ascii="Arial" w:hAnsi="Arial" w:cs="Arial"/>
          <w:b/>
          <w:szCs w:val="22"/>
        </w:rPr>
      </w:pPr>
      <w:r w:rsidRPr="00B36A1C">
        <w:rPr>
          <w:rFonts w:ascii="Arial" w:hAnsi="Arial" w:cs="Arial"/>
          <w:b/>
          <w:szCs w:val="22"/>
        </w:rPr>
        <w:t>Original Research Article</w:t>
      </w:r>
    </w:p>
    <w:p w14:paraId="0E7B0CB5" w14:textId="77777777" w:rsidR="000A7F23" w:rsidRDefault="000A7F23" w:rsidP="00223962">
      <w:pPr>
        <w:spacing w:after="0" w:line="240" w:lineRule="auto"/>
        <w:jc w:val="right"/>
        <w:rPr>
          <w:rFonts w:ascii="Arial" w:hAnsi="Arial" w:cs="Arial"/>
          <w:b/>
          <w:sz w:val="36"/>
          <w:szCs w:val="36"/>
        </w:rPr>
      </w:pPr>
    </w:p>
    <w:p w14:paraId="09DE00F6" w14:textId="61B8ED78" w:rsidR="00D95350" w:rsidRPr="00B36A1C" w:rsidRDefault="00E3141A" w:rsidP="00223962">
      <w:pPr>
        <w:spacing w:after="0" w:line="240" w:lineRule="auto"/>
        <w:jc w:val="right"/>
        <w:rPr>
          <w:rFonts w:ascii="Arial" w:hAnsi="Arial" w:cs="Arial"/>
          <w:b/>
          <w:sz w:val="36"/>
          <w:szCs w:val="36"/>
        </w:rPr>
      </w:pPr>
      <w:r w:rsidRPr="00B36A1C">
        <w:rPr>
          <w:rFonts w:ascii="Arial" w:hAnsi="Arial" w:cs="Arial"/>
          <w:b/>
          <w:sz w:val="36"/>
          <w:szCs w:val="36"/>
        </w:rPr>
        <w:t xml:space="preserve">Integrated </w:t>
      </w:r>
      <w:r w:rsidR="007931B3" w:rsidRPr="00B36A1C">
        <w:rPr>
          <w:rFonts w:ascii="Arial" w:hAnsi="Arial" w:cs="Arial"/>
          <w:b/>
          <w:sz w:val="36"/>
          <w:szCs w:val="36"/>
        </w:rPr>
        <w:t>Nutrient Management Improves Soil Biological Properties and Conserves Energy in Maize–Toria Cropping System</w:t>
      </w:r>
    </w:p>
    <w:p w14:paraId="24D784DB" w14:textId="77777777" w:rsidR="00FF6931" w:rsidRPr="00B36A1C" w:rsidRDefault="00FF6931" w:rsidP="00223962">
      <w:pPr>
        <w:spacing w:after="0" w:line="240" w:lineRule="auto"/>
        <w:jc w:val="right"/>
        <w:rPr>
          <w:rFonts w:ascii="Arial" w:hAnsi="Arial" w:cs="Arial"/>
          <w:b/>
          <w:bCs/>
          <w:sz w:val="20"/>
          <w:szCs w:val="20"/>
        </w:rPr>
      </w:pPr>
    </w:p>
    <w:p w14:paraId="2D675D9B" w14:textId="77777777" w:rsidR="004F7BB5" w:rsidRPr="00B36A1C" w:rsidRDefault="004F7BB5" w:rsidP="00223962">
      <w:pPr>
        <w:autoSpaceDE w:val="0"/>
        <w:autoSpaceDN w:val="0"/>
        <w:adjustRightInd w:val="0"/>
        <w:spacing w:after="0" w:line="240" w:lineRule="auto"/>
        <w:jc w:val="both"/>
        <w:rPr>
          <w:rFonts w:ascii="Arial" w:hAnsi="Arial" w:cs="Arial"/>
          <w:b/>
          <w:bCs/>
          <w:sz w:val="14"/>
          <w:szCs w:val="14"/>
        </w:rPr>
      </w:pPr>
    </w:p>
    <w:p w14:paraId="2944C002" w14:textId="77777777" w:rsidR="008C49AE" w:rsidRPr="00B36A1C" w:rsidRDefault="008C49AE" w:rsidP="00223962">
      <w:pPr>
        <w:autoSpaceDE w:val="0"/>
        <w:autoSpaceDN w:val="0"/>
        <w:adjustRightInd w:val="0"/>
        <w:spacing w:after="0" w:line="240" w:lineRule="auto"/>
        <w:jc w:val="both"/>
        <w:rPr>
          <w:rFonts w:ascii="Arial" w:hAnsi="Arial" w:cs="Arial"/>
          <w:b/>
          <w:bCs/>
          <w:sz w:val="14"/>
          <w:szCs w:val="14"/>
        </w:rPr>
      </w:pPr>
    </w:p>
    <w:p w14:paraId="4D86C84B" w14:textId="77777777" w:rsidR="00F57259" w:rsidRPr="00B36A1C" w:rsidRDefault="00325BDC" w:rsidP="00223962">
      <w:pPr>
        <w:tabs>
          <w:tab w:val="right" w:pos="9027"/>
        </w:tabs>
        <w:autoSpaceDE w:val="0"/>
        <w:autoSpaceDN w:val="0"/>
        <w:adjustRightInd w:val="0"/>
        <w:spacing w:after="0" w:line="240" w:lineRule="auto"/>
        <w:jc w:val="both"/>
        <w:rPr>
          <w:rFonts w:ascii="Arial" w:hAnsi="Arial" w:cs="Arial"/>
          <w:b/>
          <w:bCs/>
          <w:szCs w:val="22"/>
        </w:rPr>
      </w:pPr>
      <w:r w:rsidRPr="00B36A1C">
        <w:rPr>
          <w:rFonts w:ascii="Arial" w:hAnsi="Arial" w:cs="Arial"/>
          <w:b/>
          <w:bCs/>
          <w:szCs w:val="22"/>
        </w:rPr>
        <w:t>ABSTRAC</w:t>
      </w:r>
      <w:r w:rsidR="00062CAC" w:rsidRPr="00B36A1C">
        <w:rPr>
          <w:rFonts w:ascii="Arial" w:hAnsi="Arial" w:cs="Arial"/>
          <w:b/>
          <w:bCs/>
          <w:szCs w:val="22"/>
        </w:rPr>
        <w:t>T</w:t>
      </w:r>
    </w:p>
    <w:p w14:paraId="46BECE98" w14:textId="77777777" w:rsidR="00973E41" w:rsidRPr="00B36A1C" w:rsidRDefault="00973E41" w:rsidP="00223962">
      <w:pPr>
        <w:autoSpaceDE w:val="0"/>
        <w:autoSpaceDN w:val="0"/>
        <w:adjustRightInd w:val="0"/>
        <w:spacing w:after="0" w:line="240" w:lineRule="auto"/>
        <w:jc w:val="both"/>
        <w:rPr>
          <w:rFonts w:ascii="Arial" w:hAnsi="Arial" w:cs="Arial"/>
          <w:b/>
          <w:bCs/>
          <w:szCs w:val="22"/>
        </w:rPr>
      </w:pPr>
    </w:p>
    <w:tbl>
      <w:tblPr>
        <w:tblStyle w:val="TableGrid"/>
        <w:tblW w:w="0" w:type="auto"/>
        <w:tblLook w:val="04A0" w:firstRow="1" w:lastRow="0" w:firstColumn="1" w:lastColumn="0" w:noHBand="0" w:noVBand="1"/>
      </w:tblPr>
      <w:tblGrid>
        <w:gridCol w:w="9243"/>
      </w:tblGrid>
      <w:tr w:rsidR="0023101B" w:rsidRPr="00B36A1C" w14:paraId="5F057283" w14:textId="77777777" w:rsidTr="0023101B">
        <w:tc>
          <w:tcPr>
            <w:tcW w:w="9243" w:type="dxa"/>
          </w:tcPr>
          <w:p w14:paraId="210885E5" w14:textId="77777777" w:rsidR="001C7A07" w:rsidRPr="00B36A1C" w:rsidRDefault="0001278F" w:rsidP="00F055AB">
            <w:pPr>
              <w:autoSpaceDE w:val="0"/>
              <w:autoSpaceDN w:val="0"/>
              <w:adjustRightInd w:val="0"/>
              <w:jc w:val="both"/>
              <w:rPr>
                <w:rFonts w:ascii="Arial" w:hAnsi="Arial" w:cs="Arial"/>
                <w:sz w:val="20"/>
                <w:szCs w:val="20"/>
              </w:rPr>
            </w:pPr>
            <w:r w:rsidRPr="00B36A1C">
              <w:rPr>
                <w:rFonts w:ascii="Arial" w:hAnsi="Arial" w:cs="Arial"/>
                <w:sz w:val="20"/>
                <w:szCs w:val="20"/>
              </w:rPr>
              <w:t xml:space="preserve">A field experiment was conducted at the </w:t>
            </w:r>
            <w:r w:rsidR="00B57087" w:rsidRPr="00B36A1C">
              <w:rPr>
                <w:rFonts w:ascii="Arial" w:hAnsi="Arial" w:cs="Arial"/>
                <w:sz w:val="20"/>
                <w:szCs w:val="20"/>
              </w:rPr>
              <w:t xml:space="preserve">Regional Research &amp; Technology Transfer Station (OUAT), </w:t>
            </w:r>
            <w:proofErr w:type="spellStart"/>
            <w:r w:rsidR="00B57087" w:rsidRPr="00B36A1C">
              <w:rPr>
                <w:rFonts w:ascii="Arial" w:hAnsi="Arial" w:cs="Arial"/>
                <w:sz w:val="20"/>
                <w:szCs w:val="20"/>
              </w:rPr>
              <w:t>Semiliguda</w:t>
            </w:r>
            <w:proofErr w:type="spellEnd"/>
            <w:r w:rsidR="00B57087" w:rsidRPr="00B36A1C">
              <w:rPr>
                <w:rFonts w:ascii="Arial" w:hAnsi="Arial" w:cs="Arial"/>
                <w:sz w:val="20"/>
                <w:szCs w:val="20"/>
              </w:rPr>
              <w:t xml:space="preserve">, Koraput, </w:t>
            </w:r>
            <w:r w:rsidRPr="00B36A1C">
              <w:rPr>
                <w:rFonts w:ascii="Arial" w:hAnsi="Arial" w:cs="Arial"/>
                <w:sz w:val="20"/>
                <w:szCs w:val="20"/>
              </w:rPr>
              <w:t xml:space="preserve">during </w:t>
            </w:r>
            <w:r w:rsidR="00B57087" w:rsidRPr="00B36A1C">
              <w:rPr>
                <w:rFonts w:ascii="Arial" w:hAnsi="Arial" w:cs="Arial"/>
                <w:i/>
                <w:iCs/>
                <w:sz w:val="20"/>
                <w:szCs w:val="20"/>
              </w:rPr>
              <w:t>kharif</w:t>
            </w:r>
            <w:r w:rsidR="00B57087" w:rsidRPr="00B36A1C">
              <w:rPr>
                <w:rFonts w:ascii="Arial" w:hAnsi="Arial" w:cs="Arial"/>
                <w:sz w:val="20"/>
                <w:szCs w:val="20"/>
              </w:rPr>
              <w:t xml:space="preserve"> and </w:t>
            </w:r>
            <w:r w:rsidR="00B57087" w:rsidRPr="00B36A1C">
              <w:rPr>
                <w:rFonts w:ascii="Arial" w:hAnsi="Arial" w:cs="Arial"/>
                <w:i/>
                <w:iCs/>
                <w:sz w:val="20"/>
                <w:szCs w:val="20"/>
              </w:rPr>
              <w:t>rabi</w:t>
            </w:r>
            <w:r w:rsidR="00B57087" w:rsidRPr="00B36A1C">
              <w:rPr>
                <w:rFonts w:ascii="Arial" w:hAnsi="Arial" w:cs="Arial"/>
                <w:sz w:val="20"/>
                <w:szCs w:val="20"/>
              </w:rPr>
              <w:t xml:space="preserve"> seasons of 2016-17 and 2017-18 </w:t>
            </w:r>
            <w:r w:rsidRPr="00B36A1C">
              <w:rPr>
                <w:rFonts w:ascii="Arial" w:hAnsi="Arial" w:cs="Arial"/>
                <w:sz w:val="20"/>
                <w:szCs w:val="20"/>
              </w:rPr>
              <w:t xml:space="preserve">to study the </w:t>
            </w:r>
            <w:r w:rsidR="00B57087" w:rsidRPr="00B36A1C">
              <w:rPr>
                <w:rFonts w:ascii="Arial" w:hAnsi="Arial" w:cs="Arial"/>
                <w:sz w:val="20"/>
                <w:szCs w:val="20"/>
              </w:rPr>
              <w:t>e</w:t>
            </w:r>
            <w:r w:rsidRPr="00B36A1C">
              <w:rPr>
                <w:rFonts w:ascii="Arial" w:hAnsi="Arial" w:cs="Arial"/>
                <w:sz w:val="20"/>
                <w:szCs w:val="20"/>
              </w:rPr>
              <w:t>ffect of integrated nutrient management</w:t>
            </w:r>
            <w:r w:rsidR="0070549F" w:rsidRPr="00B36A1C">
              <w:rPr>
                <w:rFonts w:ascii="Arial" w:hAnsi="Arial" w:cs="Arial"/>
                <w:sz w:val="20"/>
                <w:szCs w:val="20"/>
              </w:rPr>
              <w:t xml:space="preserve"> (INM)</w:t>
            </w:r>
            <w:r w:rsidRPr="00B36A1C">
              <w:rPr>
                <w:rFonts w:ascii="Arial" w:hAnsi="Arial" w:cs="Arial"/>
                <w:sz w:val="20"/>
                <w:szCs w:val="20"/>
              </w:rPr>
              <w:t xml:space="preserve"> on </w:t>
            </w:r>
            <w:r w:rsidR="00B57087" w:rsidRPr="00B36A1C">
              <w:rPr>
                <w:rFonts w:ascii="Arial" w:hAnsi="Arial" w:cs="Arial"/>
                <w:sz w:val="20"/>
                <w:szCs w:val="20"/>
              </w:rPr>
              <w:t>soil biological properties and energy indices of maize–</w:t>
            </w:r>
            <w:proofErr w:type="spellStart"/>
            <w:r w:rsidR="00B57087" w:rsidRPr="00B36A1C">
              <w:rPr>
                <w:rFonts w:ascii="Arial" w:hAnsi="Arial" w:cs="Arial"/>
                <w:sz w:val="20"/>
                <w:szCs w:val="20"/>
              </w:rPr>
              <w:t>toria</w:t>
            </w:r>
            <w:proofErr w:type="spellEnd"/>
            <w:r w:rsidR="00B57087" w:rsidRPr="00B36A1C">
              <w:rPr>
                <w:rFonts w:ascii="Arial" w:hAnsi="Arial" w:cs="Arial"/>
                <w:sz w:val="20"/>
                <w:szCs w:val="20"/>
              </w:rPr>
              <w:t xml:space="preserve"> cropping system. </w:t>
            </w:r>
            <w:r w:rsidR="0070549F" w:rsidRPr="00B36A1C">
              <w:rPr>
                <w:rFonts w:ascii="Arial" w:hAnsi="Arial" w:cs="Arial"/>
                <w:sz w:val="20"/>
                <w:szCs w:val="20"/>
              </w:rPr>
              <w:t xml:space="preserve">The experiment consists of twelve treatments and arranged in a completely randomized block design with three replications. The results of the study showed that all INM </w:t>
            </w:r>
            <w:r w:rsidR="000A1143" w:rsidRPr="00B36A1C">
              <w:rPr>
                <w:rFonts w:ascii="Arial" w:hAnsi="Arial" w:cs="Arial"/>
                <w:sz w:val="20"/>
                <w:szCs w:val="20"/>
              </w:rPr>
              <w:t xml:space="preserve">practices </w:t>
            </w:r>
            <w:r w:rsidR="0070549F" w:rsidRPr="00B36A1C">
              <w:rPr>
                <w:rFonts w:ascii="Arial" w:hAnsi="Arial" w:cs="Arial"/>
                <w:sz w:val="20"/>
                <w:szCs w:val="20"/>
              </w:rPr>
              <w:t>improved soil microbial populations and soi</w:t>
            </w:r>
            <w:r w:rsidR="000A1143" w:rsidRPr="00B36A1C">
              <w:rPr>
                <w:rFonts w:ascii="Arial" w:hAnsi="Arial" w:cs="Arial"/>
                <w:sz w:val="20"/>
                <w:szCs w:val="20"/>
              </w:rPr>
              <w:t xml:space="preserve">l enzymes compared to soil </w:t>
            </w:r>
            <w:proofErr w:type="gramStart"/>
            <w:r w:rsidR="000A1143" w:rsidRPr="00B36A1C">
              <w:rPr>
                <w:rFonts w:ascii="Arial" w:hAnsi="Arial" w:cs="Arial"/>
                <w:sz w:val="20"/>
                <w:szCs w:val="20"/>
              </w:rPr>
              <w:t xml:space="preserve">test </w:t>
            </w:r>
            <w:r w:rsidR="0070549F" w:rsidRPr="00B36A1C">
              <w:rPr>
                <w:rFonts w:ascii="Arial" w:hAnsi="Arial" w:cs="Arial"/>
                <w:sz w:val="20"/>
                <w:szCs w:val="20"/>
              </w:rPr>
              <w:t>based</w:t>
            </w:r>
            <w:proofErr w:type="gramEnd"/>
            <w:r w:rsidR="0070549F" w:rsidRPr="00B36A1C">
              <w:rPr>
                <w:rFonts w:ascii="Arial" w:hAnsi="Arial" w:cs="Arial"/>
                <w:sz w:val="20"/>
                <w:szCs w:val="20"/>
              </w:rPr>
              <w:t xml:space="preserve"> fertilizer recommendation (STBFR)</w:t>
            </w:r>
            <w:r w:rsidR="000A1143" w:rsidRPr="00B36A1C">
              <w:rPr>
                <w:rFonts w:ascii="Arial" w:hAnsi="Arial" w:cs="Arial"/>
                <w:sz w:val="20"/>
                <w:szCs w:val="20"/>
              </w:rPr>
              <w:t xml:space="preserve"> in maize–</w:t>
            </w:r>
            <w:proofErr w:type="spellStart"/>
            <w:r w:rsidR="000A1143" w:rsidRPr="00B36A1C">
              <w:rPr>
                <w:rFonts w:ascii="Arial" w:hAnsi="Arial" w:cs="Arial"/>
                <w:sz w:val="20"/>
                <w:szCs w:val="20"/>
              </w:rPr>
              <w:t>toria</w:t>
            </w:r>
            <w:proofErr w:type="spellEnd"/>
            <w:r w:rsidR="000A1143" w:rsidRPr="00B36A1C">
              <w:rPr>
                <w:rFonts w:ascii="Arial" w:hAnsi="Arial" w:cs="Arial"/>
                <w:sz w:val="20"/>
                <w:szCs w:val="20"/>
              </w:rPr>
              <w:t xml:space="preserve"> cropping system</w:t>
            </w:r>
            <w:r w:rsidR="0070549F" w:rsidRPr="00B36A1C">
              <w:rPr>
                <w:rFonts w:ascii="Arial" w:hAnsi="Arial" w:cs="Arial"/>
                <w:sz w:val="20"/>
                <w:szCs w:val="20"/>
              </w:rPr>
              <w:t xml:space="preserve">. </w:t>
            </w:r>
            <w:r w:rsidR="000A1143" w:rsidRPr="00B36A1C">
              <w:rPr>
                <w:rFonts w:ascii="Arial" w:hAnsi="Arial" w:cs="Arial"/>
                <w:sz w:val="20"/>
                <w:szCs w:val="20"/>
              </w:rPr>
              <w:t>However,</w:t>
            </w:r>
            <w:r w:rsidR="000A1143" w:rsidRPr="00B36A1C">
              <w:t xml:space="preserve"> </w:t>
            </w:r>
            <w:r w:rsidR="000A1143" w:rsidRPr="00B36A1C">
              <w:rPr>
                <w:rFonts w:ascii="Arial" w:hAnsi="Arial" w:cs="Arial"/>
                <w:sz w:val="20"/>
                <w:szCs w:val="20"/>
              </w:rPr>
              <w:t xml:space="preserve">highest population of </w:t>
            </w:r>
            <w:r w:rsidR="00995764" w:rsidRPr="00B36A1C">
              <w:rPr>
                <w:rFonts w:ascii="Arial" w:hAnsi="Arial" w:cs="Arial"/>
                <w:sz w:val="20"/>
                <w:szCs w:val="20"/>
              </w:rPr>
              <w:t>bacteria (30.5 × 10</w:t>
            </w:r>
            <w:r w:rsidR="00995764" w:rsidRPr="00B36A1C">
              <w:rPr>
                <w:rFonts w:ascii="Arial" w:hAnsi="Arial" w:cs="Arial"/>
                <w:sz w:val="20"/>
                <w:szCs w:val="20"/>
                <w:vertAlign w:val="superscript"/>
              </w:rPr>
              <w:t>6</w:t>
            </w:r>
            <w:r w:rsidR="00995764" w:rsidRPr="00B36A1C">
              <w:rPr>
                <w:rFonts w:ascii="Arial" w:hAnsi="Arial" w:cs="Arial"/>
                <w:sz w:val="20"/>
                <w:szCs w:val="20"/>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 fungi (46.0 × 10</w:t>
            </w:r>
            <w:r w:rsidR="00995764" w:rsidRPr="00B36A1C">
              <w:rPr>
                <w:rFonts w:ascii="Arial" w:hAnsi="Arial" w:cs="Arial"/>
                <w:sz w:val="20"/>
                <w:szCs w:val="20"/>
                <w:vertAlign w:val="superscript"/>
              </w:rPr>
              <w:t>4</w:t>
            </w:r>
            <w:r w:rsidR="00995764" w:rsidRPr="00B36A1C">
              <w:rPr>
                <w:rFonts w:ascii="Arial" w:hAnsi="Arial" w:cs="Arial"/>
                <w:sz w:val="20"/>
                <w:szCs w:val="20"/>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 actinomycetes (24.3 × 10</w:t>
            </w:r>
            <w:r w:rsidR="00995764" w:rsidRPr="00B36A1C">
              <w:rPr>
                <w:rFonts w:ascii="Arial" w:hAnsi="Arial" w:cs="Arial"/>
                <w:sz w:val="20"/>
                <w:szCs w:val="20"/>
                <w:vertAlign w:val="superscript"/>
              </w:rPr>
              <w:t>5</w:t>
            </w:r>
            <w:r w:rsidR="00995764" w:rsidRPr="00B36A1C">
              <w:rPr>
                <w:rFonts w:ascii="Arial" w:hAnsi="Arial" w:cs="Arial"/>
                <w:sz w:val="20"/>
                <w:szCs w:val="20"/>
              </w:rPr>
              <w:t xml:space="preserve"> </w:t>
            </w:r>
            <w:proofErr w:type="spellStart"/>
            <w:r w:rsidR="00995764" w:rsidRPr="00B36A1C">
              <w:rPr>
                <w:rFonts w:ascii="Arial" w:hAnsi="Arial" w:cs="Arial"/>
                <w:sz w:val="20"/>
                <w:szCs w:val="20"/>
              </w:rPr>
              <w:t>cfu</w:t>
            </w:r>
            <w:proofErr w:type="spellEnd"/>
            <w:r w:rsidR="00995764" w:rsidRPr="00B36A1C">
              <w:rPr>
                <w:rFonts w:ascii="Arial" w:hAnsi="Arial" w:cs="Arial"/>
                <w:sz w:val="20"/>
                <w:szCs w:val="20"/>
              </w:rPr>
              <w:t xml:space="preserve"> g</w:t>
            </w:r>
            <w:r w:rsidR="00995764" w:rsidRPr="00B36A1C">
              <w:rPr>
                <w:rFonts w:ascii="Arial" w:hAnsi="Arial" w:cs="Arial"/>
                <w:sz w:val="20"/>
                <w:szCs w:val="20"/>
                <w:vertAlign w:val="superscript"/>
              </w:rPr>
              <w:t>-1</w:t>
            </w:r>
            <w:r w:rsidR="00995764" w:rsidRPr="00B36A1C">
              <w:rPr>
                <w:rFonts w:ascii="Arial" w:hAnsi="Arial" w:cs="Arial"/>
                <w:sz w:val="20"/>
                <w:szCs w:val="20"/>
              </w:rPr>
              <w:t xml:space="preserve"> soil)</w:t>
            </w:r>
            <w:r w:rsidR="000A1143" w:rsidRPr="00B36A1C">
              <w:rPr>
                <w:rFonts w:ascii="Arial" w:hAnsi="Arial" w:cs="Arial"/>
                <w:sz w:val="20"/>
                <w:szCs w:val="20"/>
              </w:rPr>
              <w:t xml:space="preserve"> and soil enzymes such as urease</w:t>
            </w:r>
            <w:r w:rsidR="00995764" w:rsidRPr="00B36A1C">
              <w:rPr>
                <w:rFonts w:ascii="Arial" w:hAnsi="Arial" w:cs="Arial"/>
                <w:sz w:val="20"/>
                <w:szCs w:val="20"/>
              </w:rPr>
              <w:t xml:space="preserve"> (185.4 µg NH</w:t>
            </w:r>
            <w:r w:rsidR="00995764" w:rsidRPr="00B36A1C">
              <w:rPr>
                <w:rFonts w:ascii="Arial" w:hAnsi="Arial" w:cs="Arial"/>
                <w:sz w:val="20"/>
                <w:szCs w:val="20"/>
                <w:vertAlign w:val="subscript"/>
              </w:rPr>
              <w:t>4</w:t>
            </w:r>
            <w:r w:rsidR="00995764" w:rsidRPr="00B36A1C">
              <w:rPr>
                <w:rFonts w:ascii="Arial" w:hAnsi="Arial" w:cs="Arial"/>
                <w:sz w:val="20"/>
                <w:szCs w:val="20"/>
                <w:vertAlign w:val="superscript"/>
              </w:rPr>
              <w:t>+</w:t>
            </w:r>
            <w:r w:rsidR="00995764" w:rsidRPr="00B36A1C">
              <w:rPr>
                <w:rFonts w:ascii="Arial" w:hAnsi="Arial" w:cs="Arial"/>
                <w:sz w:val="20"/>
                <w:szCs w:val="20"/>
              </w:rPr>
              <w:t>-N</w:t>
            </w:r>
            <w:r w:rsidR="00995764" w:rsidRPr="00B36A1C">
              <w:rPr>
                <w:rFonts w:ascii="Arial" w:hAnsi="Arial" w:cs="Arial"/>
                <w:position w:val="-8"/>
                <w:sz w:val="20"/>
                <w:szCs w:val="20"/>
                <w:vertAlign w:val="subscript"/>
              </w:rPr>
              <w:t xml:space="preserve">2 </w:t>
            </w:r>
            <w:r w:rsidR="00995764" w:rsidRPr="00B36A1C">
              <w:rPr>
                <w:rFonts w:ascii="Arial" w:hAnsi="Arial" w:cs="Arial"/>
                <w:sz w:val="20"/>
                <w:szCs w:val="20"/>
              </w:rPr>
              <w:t>g soil</w:t>
            </w:r>
            <w:r w:rsidR="00995764" w:rsidRPr="00B36A1C">
              <w:rPr>
                <w:rFonts w:ascii="Arial" w:hAnsi="Arial" w:cs="Arial"/>
                <w:sz w:val="20"/>
                <w:szCs w:val="20"/>
                <w:vertAlign w:val="superscript"/>
              </w:rPr>
              <w:t xml:space="preserve">-1 </w:t>
            </w:r>
            <w:r w:rsidR="00995764" w:rsidRPr="00B36A1C">
              <w:rPr>
                <w:rFonts w:ascii="Arial" w:hAnsi="Arial" w:cs="Arial"/>
                <w:sz w:val="20"/>
                <w:szCs w:val="20"/>
              </w:rPr>
              <w:t>h</w:t>
            </w:r>
            <w:r w:rsidR="00995764" w:rsidRPr="00B36A1C">
              <w:rPr>
                <w:rFonts w:ascii="Arial" w:hAnsi="Arial" w:cs="Arial"/>
                <w:sz w:val="20"/>
                <w:szCs w:val="20"/>
                <w:vertAlign w:val="superscript"/>
              </w:rPr>
              <w:t>-1</w:t>
            </w:r>
            <w:r w:rsidR="00995764" w:rsidRPr="00B36A1C">
              <w:rPr>
                <w:rFonts w:ascii="Arial" w:hAnsi="Arial" w:cs="Arial"/>
                <w:sz w:val="20"/>
                <w:szCs w:val="20"/>
              </w:rPr>
              <w:t>)</w:t>
            </w:r>
            <w:r w:rsidR="000A1143" w:rsidRPr="00B36A1C">
              <w:rPr>
                <w:rFonts w:ascii="Arial" w:hAnsi="Arial" w:cs="Arial"/>
                <w:sz w:val="20"/>
                <w:szCs w:val="20"/>
              </w:rPr>
              <w:t>, acid phosphatase</w:t>
            </w:r>
            <w:r w:rsidR="00995764" w:rsidRPr="00B36A1C">
              <w:rPr>
                <w:rFonts w:ascii="Arial" w:hAnsi="Arial" w:cs="Arial"/>
                <w:sz w:val="20"/>
                <w:szCs w:val="20"/>
              </w:rPr>
              <w:t xml:space="preserve"> </w:t>
            </w:r>
            <w:r w:rsidR="00995764" w:rsidRPr="00B36A1C">
              <w:rPr>
                <w:rFonts w:ascii="Arial" w:hAnsi="Arial" w:cs="Arial"/>
                <w:sz w:val="20"/>
                <w:szCs w:val="20"/>
                <w:lang w:bidi="or-IN"/>
              </w:rPr>
              <w:t xml:space="preserve">(393.0 </w:t>
            </w:r>
            <w:r w:rsidR="00995764" w:rsidRPr="00B36A1C">
              <w:rPr>
                <w:rFonts w:ascii="Arial" w:hAnsi="Arial" w:cs="Arial"/>
                <w:sz w:val="20"/>
                <w:szCs w:val="20"/>
              </w:rPr>
              <w:t>µg PNP g soil</w:t>
            </w:r>
            <w:r w:rsidR="00995764" w:rsidRPr="00B36A1C">
              <w:rPr>
                <w:rFonts w:ascii="Arial" w:hAnsi="Arial" w:cs="Arial"/>
                <w:sz w:val="20"/>
                <w:szCs w:val="20"/>
                <w:vertAlign w:val="superscript"/>
              </w:rPr>
              <w:t xml:space="preserve">-1 </w:t>
            </w:r>
            <w:r w:rsidR="00995764" w:rsidRPr="00B36A1C">
              <w:rPr>
                <w:rFonts w:ascii="Arial" w:hAnsi="Arial" w:cs="Arial"/>
                <w:sz w:val="20"/>
                <w:szCs w:val="20"/>
              </w:rPr>
              <w:t>h</w:t>
            </w:r>
            <w:r w:rsidR="00995764" w:rsidRPr="00B36A1C">
              <w:rPr>
                <w:rFonts w:ascii="Arial" w:hAnsi="Arial" w:cs="Arial"/>
                <w:sz w:val="20"/>
                <w:szCs w:val="20"/>
                <w:vertAlign w:val="superscript"/>
              </w:rPr>
              <w:t>-1</w:t>
            </w:r>
            <w:r w:rsidR="00995764" w:rsidRPr="00B36A1C">
              <w:rPr>
                <w:rFonts w:ascii="Arial" w:hAnsi="Arial" w:cs="Arial"/>
                <w:sz w:val="20"/>
                <w:szCs w:val="20"/>
                <w:lang w:bidi="or-IN"/>
              </w:rPr>
              <w:t>)</w:t>
            </w:r>
            <w:r w:rsidR="00DC634F" w:rsidRPr="00B36A1C">
              <w:rPr>
                <w:rFonts w:ascii="Arial" w:hAnsi="Arial" w:cs="Arial"/>
                <w:sz w:val="20"/>
                <w:szCs w:val="20"/>
                <w:lang w:bidi="or-IN"/>
              </w:rPr>
              <w:t xml:space="preserve"> </w:t>
            </w:r>
            <w:r w:rsidR="000A1143" w:rsidRPr="00B36A1C">
              <w:rPr>
                <w:rFonts w:ascii="Arial" w:hAnsi="Arial" w:cs="Arial"/>
                <w:sz w:val="20"/>
                <w:szCs w:val="20"/>
              </w:rPr>
              <w:t xml:space="preserve">and dehydrogenase </w:t>
            </w:r>
            <w:r w:rsidR="00995764" w:rsidRPr="00B36A1C">
              <w:rPr>
                <w:rFonts w:ascii="Arial" w:hAnsi="Arial" w:cs="Arial"/>
                <w:sz w:val="20"/>
                <w:szCs w:val="20"/>
              </w:rPr>
              <w:t xml:space="preserve">(274.2 </w:t>
            </w:r>
            <w:proofErr w:type="spellStart"/>
            <w:r w:rsidR="00995764" w:rsidRPr="00B36A1C">
              <w:rPr>
                <w:rFonts w:ascii="Arial" w:hAnsi="Arial" w:cs="Arial"/>
                <w:sz w:val="20"/>
                <w:szCs w:val="20"/>
              </w:rPr>
              <w:t>μg</w:t>
            </w:r>
            <w:proofErr w:type="spellEnd"/>
            <w:r w:rsidR="00995764" w:rsidRPr="00B36A1C">
              <w:rPr>
                <w:rFonts w:ascii="Arial" w:hAnsi="Arial" w:cs="Arial"/>
                <w:sz w:val="20"/>
                <w:szCs w:val="20"/>
              </w:rPr>
              <w:t xml:space="preserve"> TPF g</w:t>
            </w:r>
            <w:r w:rsidR="00995764" w:rsidRPr="00B36A1C">
              <w:rPr>
                <w:rFonts w:ascii="Cambria Math" w:hAnsi="Cambria Math" w:cs="Cambria Math"/>
                <w:sz w:val="20"/>
                <w:szCs w:val="20"/>
              </w:rPr>
              <w:t>⁻</w:t>
            </w:r>
            <w:r w:rsidR="00995764" w:rsidRPr="00B36A1C">
              <w:rPr>
                <w:rFonts w:ascii="Arial" w:hAnsi="Arial" w:cs="Arial"/>
                <w:sz w:val="20"/>
                <w:szCs w:val="20"/>
              </w:rPr>
              <w:t>¹ soil 24 h</w:t>
            </w:r>
            <w:r w:rsidR="00995764" w:rsidRPr="00B36A1C">
              <w:rPr>
                <w:rFonts w:ascii="Cambria Math" w:hAnsi="Cambria Math" w:cs="Cambria Math"/>
                <w:sz w:val="20"/>
                <w:szCs w:val="20"/>
              </w:rPr>
              <w:t>⁻</w:t>
            </w:r>
            <w:r w:rsidR="00995764" w:rsidRPr="00B36A1C">
              <w:rPr>
                <w:rFonts w:ascii="Arial" w:hAnsi="Arial" w:cs="Arial"/>
                <w:sz w:val="20"/>
                <w:szCs w:val="20"/>
              </w:rPr>
              <w:t xml:space="preserve">¹) </w:t>
            </w:r>
            <w:r w:rsidR="000A1143" w:rsidRPr="00B36A1C">
              <w:rPr>
                <w:rFonts w:ascii="Arial" w:hAnsi="Arial" w:cs="Arial"/>
                <w:sz w:val="20"/>
                <w:szCs w:val="20"/>
              </w:rPr>
              <w:t>were</w:t>
            </w:r>
            <w:r w:rsidR="0070549F" w:rsidRPr="00B36A1C">
              <w:rPr>
                <w:rFonts w:ascii="Arial" w:hAnsi="Arial" w:cs="Arial"/>
                <w:sz w:val="20"/>
                <w:szCs w:val="20"/>
              </w:rPr>
              <w:t xml:space="preserve"> found </w:t>
            </w:r>
            <w:r w:rsidR="000A1143" w:rsidRPr="00B36A1C">
              <w:rPr>
                <w:rFonts w:ascii="Arial" w:hAnsi="Arial" w:cs="Arial"/>
                <w:sz w:val="20"/>
                <w:szCs w:val="20"/>
              </w:rPr>
              <w:t>with the application of STBFR + Green manure with cowpea + FYM @ 5 t ha</w:t>
            </w:r>
            <w:r w:rsidR="000A1143" w:rsidRPr="00B36A1C">
              <w:rPr>
                <w:rFonts w:ascii="Arial" w:hAnsi="Arial" w:cs="Arial"/>
                <w:sz w:val="20"/>
                <w:szCs w:val="20"/>
                <w:vertAlign w:val="superscript"/>
              </w:rPr>
              <w:t>-1</w:t>
            </w:r>
            <w:r w:rsidR="000A1143" w:rsidRPr="00B36A1C">
              <w:rPr>
                <w:rFonts w:ascii="Arial" w:hAnsi="Arial" w:cs="Arial"/>
                <w:sz w:val="20"/>
                <w:szCs w:val="20"/>
              </w:rPr>
              <w:t xml:space="preserve"> + Biofertilizers (</w:t>
            </w:r>
            <w:proofErr w:type="spellStart"/>
            <w:r w:rsidR="000A1143" w:rsidRPr="00B36A1C">
              <w:rPr>
                <w:rFonts w:ascii="Arial" w:hAnsi="Arial" w:cs="Arial"/>
                <w:i/>
                <w:iCs/>
                <w:sz w:val="20"/>
                <w:szCs w:val="20"/>
              </w:rPr>
              <w:t>Azotobacter</w:t>
            </w:r>
            <w:proofErr w:type="spellEnd"/>
            <w:r w:rsidR="000A1143" w:rsidRPr="00B36A1C">
              <w:rPr>
                <w:rFonts w:ascii="Arial" w:hAnsi="Arial" w:cs="Arial"/>
                <w:sz w:val="20"/>
                <w:szCs w:val="20"/>
              </w:rPr>
              <w:t xml:space="preserve"> + </w:t>
            </w:r>
            <w:proofErr w:type="spellStart"/>
            <w:r w:rsidR="000A1143" w:rsidRPr="00B36A1C">
              <w:rPr>
                <w:rFonts w:ascii="Arial" w:hAnsi="Arial" w:cs="Arial"/>
                <w:i/>
                <w:iCs/>
                <w:sz w:val="20"/>
                <w:szCs w:val="20"/>
              </w:rPr>
              <w:t>Azospirillum</w:t>
            </w:r>
            <w:proofErr w:type="spellEnd"/>
            <w:r w:rsidR="000A1143" w:rsidRPr="00B36A1C">
              <w:rPr>
                <w:rFonts w:ascii="Arial" w:hAnsi="Arial" w:cs="Arial"/>
                <w:sz w:val="20"/>
                <w:szCs w:val="20"/>
              </w:rPr>
              <w:t xml:space="preserve"> + PSB @ 4 kg ha</w:t>
            </w:r>
            <w:r w:rsidR="000A1143" w:rsidRPr="00B36A1C">
              <w:rPr>
                <w:rFonts w:ascii="Arial" w:hAnsi="Arial" w:cs="Arial"/>
                <w:sz w:val="20"/>
                <w:szCs w:val="20"/>
                <w:vertAlign w:val="superscript"/>
              </w:rPr>
              <w:t>-1</w:t>
            </w:r>
            <w:r w:rsidR="000A1143" w:rsidRPr="00B36A1C">
              <w:rPr>
                <w:rFonts w:ascii="Arial" w:hAnsi="Arial" w:cs="Arial"/>
                <w:sz w:val="20"/>
                <w:szCs w:val="20"/>
              </w:rPr>
              <w:t xml:space="preserve"> each</w:t>
            </w:r>
            <w:r w:rsidR="00CC136A" w:rsidRPr="00B36A1C">
              <w:rPr>
                <w:rFonts w:ascii="Arial" w:hAnsi="Arial" w:cs="Arial"/>
                <w:sz w:val="20"/>
                <w:szCs w:val="20"/>
              </w:rPr>
              <w:t>)</w:t>
            </w:r>
            <w:r w:rsidR="000A1143" w:rsidRPr="00B36A1C">
              <w:rPr>
                <w:rFonts w:ascii="Arial" w:hAnsi="Arial" w:cs="Arial"/>
                <w:sz w:val="20"/>
                <w:szCs w:val="20"/>
              </w:rPr>
              <w:t>.</w:t>
            </w:r>
            <w:r w:rsidR="00995764" w:rsidRPr="00B36A1C">
              <w:rPr>
                <w:rFonts w:ascii="Arial" w:hAnsi="Arial" w:cs="Arial"/>
                <w:sz w:val="20"/>
                <w:szCs w:val="20"/>
              </w:rPr>
              <w:t xml:space="preserve"> </w:t>
            </w:r>
            <w:r w:rsidR="007736E2" w:rsidRPr="00B36A1C">
              <w:rPr>
                <w:rFonts w:ascii="Arial" w:hAnsi="Arial" w:cs="Arial"/>
                <w:sz w:val="20"/>
                <w:szCs w:val="20"/>
              </w:rPr>
              <w:t xml:space="preserve">Increase in soil microbial population and enzymatic activity is an indicator of good soil conditions for crop growth, which was achieved through the integration of organic and inorganic fertilizers. </w:t>
            </w:r>
            <w:r w:rsidR="005437AA" w:rsidRPr="00B36A1C">
              <w:rPr>
                <w:rFonts w:ascii="Arial" w:hAnsi="Arial" w:cs="Arial"/>
                <w:sz w:val="20"/>
                <w:szCs w:val="20"/>
              </w:rPr>
              <w:t>The highest energy use efficiency (12.8), energy productivity (0.43 kg MJ</w:t>
            </w:r>
            <w:r w:rsidR="005437AA" w:rsidRPr="00B36A1C">
              <w:rPr>
                <w:rFonts w:ascii="Arial" w:hAnsi="Arial" w:cs="Arial"/>
                <w:sz w:val="20"/>
                <w:szCs w:val="20"/>
                <w:vertAlign w:val="superscript"/>
              </w:rPr>
              <w:t>-1</w:t>
            </w:r>
            <w:r w:rsidR="005437AA" w:rsidRPr="00B36A1C">
              <w:rPr>
                <w:rFonts w:ascii="Arial" w:hAnsi="Arial" w:cs="Arial"/>
                <w:sz w:val="20"/>
                <w:szCs w:val="20"/>
              </w:rPr>
              <w:t xml:space="preserve">) and net energy gain (250.9 </w:t>
            </w:r>
            <w:r w:rsidR="005437AA" w:rsidRPr="00B36A1C">
              <w:rPr>
                <w:rFonts w:ascii="Arial" w:eastAsia="Times New Roman" w:hAnsi="Arial" w:cs="Arial"/>
                <w:sz w:val="20"/>
                <w:szCs w:val="20"/>
                <w:lang w:val="en-IN"/>
              </w:rPr>
              <w:t>MJ ha</w:t>
            </w:r>
            <w:r w:rsidR="005437AA" w:rsidRPr="00B36A1C">
              <w:rPr>
                <w:rFonts w:ascii="Arial" w:eastAsia="Times New Roman" w:hAnsi="Arial" w:cs="Arial"/>
                <w:sz w:val="20"/>
                <w:szCs w:val="20"/>
                <w:vertAlign w:val="superscript"/>
                <w:lang w:val="en-IN"/>
              </w:rPr>
              <w:t>-1</w:t>
            </w:r>
            <w:r w:rsidR="005437AA" w:rsidRPr="00B36A1C">
              <w:rPr>
                <w:rFonts w:ascii="Arial" w:eastAsia="Times New Roman" w:hAnsi="Arial" w:cs="Arial"/>
                <w:sz w:val="20"/>
                <w:szCs w:val="20"/>
                <w:lang w:val="en-IN"/>
              </w:rPr>
              <w:t xml:space="preserve"> x 10</w:t>
            </w:r>
            <w:r w:rsidR="005437AA" w:rsidRPr="00B36A1C">
              <w:rPr>
                <w:rFonts w:ascii="Arial" w:eastAsia="Times New Roman" w:hAnsi="Arial" w:cs="Arial"/>
                <w:sz w:val="20"/>
                <w:szCs w:val="20"/>
                <w:vertAlign w:val="superscript"/>
                <w:lang w:val="en-IN"/>
              </w:rPr>
              <w:t>3</w:t>
            </w:r>
            <w:r w:rsidR="005437AA" w:rsidRPr="00B36A1C">
              <w:rPr>
                <w:rFonts w:ascii="Arial" w:hAnsi="Arial" w:cs="Arial"/>
                <w:sz w:val="20"/>
                <w:szCs w:val="20"/>
              </w:rPr>
              <w:t xml:space="preserve">) were also recorded with same INM practice. </w:t>
            </w:r>
            <w:r w:rsidR="007736E2" w:rsidRPr="00B36A1C">
              <w:rPr>
                <w:rFonts w:ascii="Arial" w:hAnsi="Arial" w:cs="Arial"/>
                <w:sz w:val="20"/>
                <w:szCs w:val="20"/>
              </w:rPr>
              <w:t>Considering all biological properties and energy indices, the application of STBFR + Green manure with cowpea + FYM @ 5 t ha</w:t>
            </w:r>
            <w:r w:rsidR="007736E2" w:rsidRPr="00B36A1C">
              <w:rPr>
                <w:rFonts w:ascii="Arial" w:hAnsi="Arial" w:cs="Arial"/>
                <w:sz w:val="20"/>
                <w:szCs w:val="20"/>
                <w:vertAlign w:val="superscript"/>
              </w:rPr>
              <w:t>-1</w:t>
            </w:r>
            <w:r w:rsidR="007736E2" w:rsidRPr="00B36A1C">
              <w:rPr>
                <w:rFonts w:ascii="Arial" w:hAnsi="Arial" w:cs="Arial"/>
                <w:sz w:val="20"/>
                <w:szCs w:val="20"/>
              </w:rPr>
              <w:t xml:space="preserve"> + Biofertilizers (</w:t>
            </w:r>
            <w:proofErr w:type="spellStart"/>
            <w:r w:rsidR="007736E2" w:rsidRPr="00B36A1C">
              <w:rPr>
                <w:rFonts w:ascii="Arial" w:hAnsi="Arial" w:cs="Arial"/>
                <w:i/>
                <w:iCs/>
                <w:sz w:val="20"/>
                <w:szCs w:val="20"/>
              </w:rPr>
              <w:t>Azotobacter</w:t>
            </w:r>
            <w:proofErr w:type="spellEnd"/>
            <w:r w:rsidR="007736E2" w:rsidRPr="00B36A1C">
              <w:rPr>
                <w:rFonts w:ascii="Arial" w:hAnsi="Arial" w:cs="Arial"/>
                <w:sz w:val="20"/>
                <w:szCs w:val="20"/>
              </w:rPr>
              <w:t xml:space="preserve"> + </w:t>
            </w:r>
            <w:proofErr w:type="spellStart"/>
            <w:r w:rsidR="007736E2" w:rsidRPr="00B36A1C">
              <w:rPr>
                <w:rFonts w:ascii="Arial" w:hAnsi="Arial" w:cs="Arial"/>
                <w:i/>
                <w:iCs/>
                <w:sz w:val="20"/>
                <w:szCs w:val="20"/>
              </w:rPr>
              <w:t>Azospirillum</w:t>
            </w:r>
            <w:proofErr w:type="spellEnd"/>
            <w:r w:rsidR="007736E2" w:rsidRPr="00B36A1C">
              <w:rPr>
                <w:rFonts w:ascii="Arial" w:hAnsi="Arial" w:cs="Arial"/>
                <w:sz w:val="20"/>
                <w:szCs w:val="20"/>
              </w:rPr>
              <w:t xml:space="preserve"> + PSB @ 4 kg ha</w:t>
            </w:r>
            <w:r w:rsidR="007736E2" w:rsidRPr="00B36A1C">
              <w:rPr>
                <w:rFonts w:ascii="Arial" w:hAnsi="Arial" w:cs="Arial"/>
                <w:sz w:val="20"/>
                <w:szCs w:val="20"/>
                <w:vertAlign w:val="superscript"/>
              </w:rPr>
              <w:t>-1</w:t>
            </w:r>
            <w:r w:rsidR="007736E2" w:rsidRPr="00B36A1C">
              <w:rPr>
                <w:rFonts w:ascii="Arial" w:hAnsi="Arial" w:cs="Arial"/>
                <w:sz w:val="20"/>
                <w:szCs w:val="20"/>
              </w:rPr>
              <w:t xml:space="preserve"> each was the most efficient integrated nutrient management option for maize-</w:t>
            </w:r>
            <w:proofErr w:type="spellStart"/>
            <w:r w:rsidR="007736E2" w:rsidRPr="00B36A1C">
              <w:rPr>
                <w:rFonts w:ascii="Arial" w:hAnsi="Arial" w:cs="Arial"/>
                <w:sz w:val="20"/>
                <w:szCs w:val="20"/>
              </w:rPr>
              <w:t>toria</w:t>
            </w:r>
            <w:proofErr w:type="spellEnd"/>
            <w:r w:rsidR="007736E2" w:rsidRPr="00B36A1C">
              <w:rPr>
                <w:rFonts w:ascii="Arial" w:hAnsi="Arial" w:cs="Arial"/>
                <w:sz w:val="20"/>
                <w:szCs w:val="20"/>
              </w:rPr>
              <w:t xml:space="preserve"> cropping system in the experimental region. </w:t>
            </w:r>
            <w:r w:rsidR="00062CAC" w:rsidRPr="00B36A1C">
              <w:rPr>
                <w:rFonts w:ascii="Arial" w:hAnsi="Arial" w:cs="Arial"/>
                <w:sz w:val="20"/>
                <w:szCs w:val="20"/>
              </w:rPr>
              <w:t xml:space="preserve"> </w:t>
            </w:r>
          </w:p>
        </w:tc>
      </w:tr>
    </w:tbl>
    <w:p w14:paraId="6F070100" w14:textId="77777777" w:rsidR="00CA1835" w:rsidRPr="00B36A1C" w:rsidRDefault="00CA1835" w:rsidP="00223962">
      <w:pPr>
        <w:autoSpaceDE w:val="0"/>
        <w:autoSpaceDN w:val="0"/>
        <w:adjustRightInd w:val="0"/>
        <w:spacing w:after="0" w:line="240" w:lineRule="auto"/>
        <w:jc w:val="both"/>
        <w:rPr>
          <w:rFonts w:ascii="Arial" w:hAnsi="Arial" w:cs="Arial"/>
          <w:sz w:val="20"/>
          <w:szCs w:val="20"/>
        </w:rPr>
      </w:pPr>
    </w:p>
    <w:p w14:paraId="7ABE4F0A" w14:textId="77777777" w:rsidR="00F57259" w:rsidRPr="00B36A1C" w:rsidRDefault="00F57259" w:rsidP="00223962">
      <w:pPr>
        <w:autoSpaceDE w:val="0"/>
        <w:autoSpaceDN w:val="0"/>
        <w:adjustRightInd w:val="0"/>
        <w:spacing w:after="0" w:line="240" w:lineRule="auto"/>
        <w:jc w:val="both"/>
        <w:rPr>
          <w:rFonts w:ascii="Arial" w:hAnsi="Arial" w:cs="Arial"/>
          <w:bCs/>
          <w:i/>
          <w:iCs/>
          <w:sz w:val="20"/>
          <w:szCs w:val="20"/>
        </w:rPr>
      </w:pPr>
      <w:r w:rsidRPr="00B36A1C">
        <w:rPr>
          <w:rFonts w:ascii="Arial" w:hAnsi="Arial" w:cs="Arial"/>
          <w:bCs/>
          <w:i/>
          <w:iCs/>
          <w:sz w:val="20"/>
          <w:szCs w:val="20"/>
        </w:rPr>
        <w:t xml:space="preserve">Keywords: </w:t>
      </w:r>
      <w:r w:rsidR="0056413C" w:rsidRPr="00B36A1C">
        <w:rPr>
          <w:rFonts w:ascii="Arial" w:hAnsi="Arial" w:cs="Arial"/>
          <w:bCs/>
          <w:i/>
          <w:iCs/>
          <w:sz w:val="20"/>
          <w:szCs w:val="20"/>
        </w:rPr>
        <w:t>M</w:t>
      </w:r>
      <w:r w:rsidR="00B842E0" w:rsidRPr="00B36A1C">
        <w:rPr>
          <w:rFonts w:ascii="Arial" w:hAnsi="Arial" w:cs="Arial"/>
          <w:bCs/>
          <w:i/>
          <w:iCs/>
          <w:sz w:val="20"/>
          <w:szCs w:val="20"/>
        </w:rPr>
        <w:t>aize</w:t>
      </w:r>
      <w:r w:rsidR="005437AA" w:rsidRPr="00B36A1C">
        <w:rPr>
          <w:rFonts w:ascii="Arial" w:hAnsi="Arial" w:cs="Arial"/>
          <w:bCs/>
          <w:i/>
          <w:iCs/>
          <w:sz w:val="20"/>
          <w:szCs w:val="20"/>
        </w:rPr>
        <w:t xml:space="preserve">; </w:t>
      </w:r>
      <w:proofErr w:type="spellStart"/>
      <w:r w:rsidR="005437AA" w:rsidRPr="00B36A1C">
        <w:rPr>
          <w:rFonts w:ascii="Arial" w:hAnsi="Arial" w:cs="Arial"/>
          <w:bCs/>
          <w:i/>
          <w:iCs/>
          <w:sz w:val="20"/>
          <w:szCs w:val="20"/>
        </w:rPr>
        <w:t>toria</w:t>
      </w:r>
      <w:proofErr w:type="spellEnd"/>
      <w:r w:rsidR="005437AA" w:rsidRPr="00B36A1C">
        <w:rPr>
          <w:rFonts w:ascii="Arial" w:hAnsi="Arial" w:cs="Arial"/>
          <w:bCs/>
          <w:i/>
          <w:iCs/>
          <w:sz w:val="20"/>
          <w:szCs w:val="20"/>
        </w:rPr>
        <w:t>; INM;</w:t>
      </w:r>
      <w:r w:rsidR="00B842E0" w:rsidRPr="00B36A1C">
        <w:rPr>
          <w:rFonts w:ascii="Arial" w:hAnsi="Arial" w:cs="Arial"/>
          <w:bCs/>
          <w:i/>
          <w:iCs/>
          <w:sz w:val="20"/>
          <w:szCs w:val="20"/>
        </w:rPr>
        <w:t xml:space="preserve"> </w:t>
      </w:r>
      <w:r w:rsidR="005437AA" w:rsidRPr="00B36A1C">
        <w:rPr>
          <w:rFonts w:ascii="Arial" w:hAnsi="Arial" w:cs="Arial"/>
          <w:bCs/>
          <w:i/>
          <w:iCs/>
          <w:sz w:val="20"/>
          <w:szCs w:val="20"/>
        </w:rPr>
        <w:t>microbial population; soil enzymes; energy indices</w:t>
      </w:r>
    </w:p>
    <w:p w14:paraId="71EB1E27" w14:textId="77777777" w:rsidR="001C7A07" w:rsidRPr="00B36A1C" w:rsidRDefault="001C7A07" w:rsidP="00223962">
      <w:pPr>
        <w:autoSpaceDE w:val="0"/>
        <w:autoSpaceDN w:val="0"/>
        <w:adjustRightInd w:val="0"/>
        <w:spacing w:after="0" w:line="240" w:lineRule="auto"/>
        <w:jc w:val="both"/>
        <w:rPr>
          <w:rFonts w:ascii="Arial" w:hAnsi="Arial" w:cs="Arial"/>
          <w:b/>
          <w:bCs/>
          <w:sz w:val="20"/>
          <w:szCs w:val="20"/>
        </w:rPr>
      </w:pPr>
    </w:p>
    <w:p w14:paraId="63F0B12E" w14:textId="77777777" w:rsidR="000D2C7F" w:rsidRPr="00B36A1C" w:rsidRDefault="008F7BAC" w:rsidP="00223962">
      <w:pPr>
        <w:autoSpaceDE w:val="0"/>
        <w:autoSpaceDN w:val="0"/>
        <w:adjustRightInd w:val="0"/>
        <w:spacing w:after="0" w:line="240" w:lineRule="auto"/>
        <w:jc w:val="both"/>
        <w:rPr>
          <w:rFonts w:ascii="Arial" w:hAnsi="Arial" w:cs="Arial"/>
          <w:b/>
          <w:bCs/>
          <w:sz w:val="20"/>
          <w:szCs w:val="20"/>
        </w:rPr>
      </w:pPr>
      <w:r w:rsidRPr="00B36A1C">
        <w:rPr>
          <w:rFonts w:ascii="Arial" w:hAnsi="Arial" w:cs="Arial"/>
          <w:b/>
          <w:bCs/>
          <w:sz w:val="20"/>
          <w:szCs w:val="20"/>
        </w:rPr>
        <w:t>1.</w:t>
      </w:r>
      <w:r w:rsidRPr="00B36A1C">
        <w:rPr>
          <w:rFonts w:ascii="Arial" w:hAnsi="Arial" w:cs="Arial"/>
          <w:b/>
          <w:bCs/>
          <w:szCs w:val="22"/>
        </w:rPr>
        <w:t xml:space="preserve"> INTRODUCTION</w:t>
      </w:r>
    </w:p>
    <w:p w14:paraId="23CA2B06" w14:textId="77777777" w:rsidR="008F7BAC" w:rsidRPr="00B36A1C" w:rsidRDefault="008F7BAC" w:rsidP="00223962">
      <w:pPr>
        <w:spacing w:after="0" w:line="240" w:lineRule="auto"/>
        <w:jc w:val="both"/>
        <w:rPr>
          <w:rFonts w:ascii="Arial" w:hAnsi="Arial" w:cs="Arial"/>
          <w:sz w:val="20"/>
          <w:szCs w:val="20"/>
        </w:rPr>
      </w:pPr>
    </w:p>
    <w:p w14:paraId="1DE13B94" w14:textId="77777777" w:rsidR="002549F7" w:rsidRPr="00B36A1C" w:rsidRDefault="00FF1C50" w:rsidP="002549F7">
      <w:pPr>
        <w:spacing w:after="0" w:line="240" w:lineRule="auto"/>
        <w:jc w:val="both"/>
        <w:rPr>
          <w:rFonts w:ascii="Arial" w:hAnsi="Arial" w:cs="Arial"/>
          <w:sz w:val="20"/>
          <w:szCs w:val="20"/>
        </w:rPr>
      </w:pPr>
      <w:r w:rsidRPr="00B36A1C">
        <w:rPr>
          <w:rFonts w:ascii="Arial" w:hAnsi="Arial" w:cs="Arial"/>
          <w:sz w:val="20"/>
          <w:szCs w:val="20"/>
        </w:rPr>
        <w:t xml:space="preserve">Population growth is a serious problem all over the world, especially in countries where there is a shortage of land. Food security is one of the biggest challenges for such a huge population. </w:t>
      </w:r>
      <w:r w:rsidR="00A04A17" w:rsidRPr="00B36A1C">
        <w:rPr>
          <w:rFonts w:ascii="Arial" w:hAnsi="Arial" w:cs="Arial"/>
          <w:sz w:val="20"/>
          <w:szCs w:val="20"/>
        </w:rPr>
        <w:t xml:space="preserve">Thus, there has been a global trend towards modern agriculture dependent on excessive use of chemical fertilizers. Excessive use of chemical fertilizers in modern agriculture leads to fluctuations in crop yields and deterioration of soil health (Dixit and Tripathi, 2023). However, integrated nutrient management is the most important nutrient resources for increasing income and sustainability in crop production system. Highest productivity of crops in a sustainable manner without harming the soil and other natural resources can be achieved only by using appropriate combination of various organic manures and inorganic fertilizers (Sarathkumar et al., 2021). </w:t>
      </w:r>
      <w:r w:rsidR="00CC18EA" w:rsidRPr="00B36A1C">
        <w:rPr>
          <w:rFonts w:ascii="Arial" w:hAnsi="Arial" w:cs="Arial"/>
          <w:sz w:val="20"/>
          <w:szCs w:val="20"/>
        </w:rPr>
        <w:t>Soil microorganisms play</w:t>
      </w:r>
      <w:r w:rsidR="005C659B" w:rsidRPr="00B36A1C">
        <w:rPr>
          <w:rFonts w:ascii="Arial" w:hAnsi="Arial" w:cs="Arial"/>
          <w:sz w:val="20"/>
          <w:szCs w:val="20"/>
        </w:rPr>
        <w:t>s</w:t>
      </w:r>
      <w:r w:rsidR="00CC18EA" w:rsidRPr="00B36A1C">
        <w:rPr>
          <w:rFonts w:ascii="Arial" w:hAnsi="Arial" w:cs="Arial"/>
          <w:sz w:val="20"/>
          <w:szCs w:val="20"/>
        </w:rPr>
        <w:t xml:space="preserve"> a vital role in maintaining soil function or soil quality as they contribute to the development of soil structure and the decomposition of organic manure. The increased microbial activity increases the rate at which nutrients are readily available to the plant and has a synergistic effect on plant growth through improved enzyme activity and ultimately have a significant effect on quality and productive capacity of soil (</w:t>
      </w:r>
      <w:proofErr w:type="spellStart"/>
      <w:r w:rsidR="00CC18EA" w:rsidRPr="00B36A1C">
        <w:rPr>
          <w:rFonts w:ascii="Arial" w:hAnsi="Arial" w:cs="Arial"/>
          <w:sz w:val="20"/>
          <w:szCs w:val="20"/>
        </w:rPr>
        <w:t>Kejiya</w:t>
      </w:r>
      <w:proofErr w:type="spellEnd"/>
      <w:r w:rsidR="00CC18EA" w:rsidRPr="00B36A1C">
        <w:rPr>
          <w:rFonts w:ascii="Arial" w:hAnsi="Arial" w:cs="Arial"/>
          <w:sz w:val="20"/>
          <w:szCs w:val="20"/>
        </w:rPr>
        <w:t xml:space="preserve"> et al., 2024). </w:t>
      </w:r>
      <w:r w:rsidR="001437EF" w:rsidRPr="00B36A1C">
        <w:rPr>
          <w:rFonts w:ascii="Arial" w:hAnsi="Arial" w:cs="Arial"/>
          <w:sz w:val="20"/>
          <w:szCs w:val="20"/>
        </w:rPr>
        <w:t>Adding organic manure significantly increases the number of soil microorganisms, it provides carbon and energy source for their proliferation, and they can also alter the status of enzymatic activity (Mallikarjun and Maity, 2018). The biological properties of soil are linked to organic inputs and use of organic inputs along with chemical fertilizers can play an important role in improving soil biological activities</w:t>
      </w:r>
      <w:r w:rsidR="005C659B" w:rsidRPr="00B36A1C">
        <w:rPr>
          <w:rFonts w:ascii="Arial" w:hAnsi="Arial" w:cs="Arial"/>
          <w:sz w:val="20"/>
          <w:szCs w:val="20"/>
        </w:rPr>
        <w:t xml:space="preserve"> and productivity</w:t>
      </w:r>
      <w:r w:rsidR="001437EF" w:rsidRPr="00B36A1C">
        <w:rPr>
          <w:rFonts w:ascii="Arial" w:hAnsi="Arial" w:cs="Arial"/>
          <w:sz w:val="20"/>
          <w:szCs w:val="20"/>
        </w:rPr>
        <w:t xml:space="preserve">. </w:t>
      </w:r>
      <w:r w:rsidR="00DE6006" w:rsidRPr="00B36A1C">
        <w:rPr>
          <w:rFonts w:ascii="Arial" w:hAnsi="Arial" w:cs="Arial"/>
          <w:sz w:val="20"/>
          <w:szCs w:val="20"/>
        </w:rPr>
        <w:t>Energy analysis of crop production systems is essential to understand their energy consumption patterns in terms of different inputs. Among the various indicators of sustainable land use, energy use efficiency is one of the most important indicators. When energy use is expressed as a unit of land, integrated nutrient management outperforms conventional farming for almost all crop types (</w:t>
      </w:r>
      <w:proofErr w:type="spellStart"/>
      <w:r w:rsidR="00DE6006" w:rsidRPr="00B36A1C">
        <w:rPr>
          <w:rFonts w:ascii="URWPalladioL-Roma" w:hAnsi="URWPalladioL-Roma" w:cs="URWPalladioL-Roma"/>
          <w:sz w:val="20"/>
          <w:szCs w:val="20"/>
          <w:lang w:bidi="or-IN"/>
        </w:rPr>
        <w:t>Kharlukhi</w:t>
      </w:r>
      <w:proofErr w:type="spellEnd"/>
      <w:r w:rsidR="00DE6006" w:rsidRPr="00B36A1C">
        <w:rPr>
          <w:rFonts w:ascii="URWPalladioL-Roma" w:hAnsi="URWPalladioL-Roma" w:cs="URWPalladioL-Roma"/>
          <w:sz w:val="20"/>
          <w:szCs w:val="20"/>
          <w:lang w:bidi="or-IN"/>
        </w:rPr>
        <w:t xml:space="preserve"> and Upadhyaya, 202</w:t>
      </w:r>
      <w:r w:rsidR="00F51F83" w:rsidRPr="00B36A1C">
        <w:rPr>
          <w:rFonts w:ascii="URWPalladioL-Roma" w:hAnsi="URWPalladioL-Roma" w:cs="URWPalladioL-Roma"/>
          <w:sz w:val="20"/>
          <w:szCs w:val="20"/>
          <w:lang w:bidi="or-IN"/>
        </w:rPr>
        <w:t>3</w:t>
      </w:r>
      <w:r w:rsidR="00DE6006" w:rsidRPr="00B36A1C">
        <w:rPr>
          <w:rFonts w:ascii="Arial" w:hAnsi="Arial" w:cs="Arial"/>
          <w:sz w:val="20"/>
          <w:szCs w:val="20"/>
        </w:rPr>
        <w:t xml:space="preserve">). </w:t>
      </w:r>
      <w:r w:rsidR="001437EF" w:rsidRPr="00B36A1C">
        <w:rPr>
          <w:rFonts w:ascii="Arial" w:hAnsi="Arial" w:cs="Arial"/>
          <w:sz w:val="20"/>
          <w:szCs w:val="20"/>
        </w:rPr>
        <w:t xml:space="preserve">The total area under maize in India is about 120.91 lakh ha with production of 434.09 lakh </w:t>
      </w:r>
      <w:proofErr w:type="spellStart"/>
      <w:r w:rsidR="001437EF" w:rsidRPr="00B36A1C">
        <w:rPr>
          <w:rFonts w:ascii="Arial" w:hAnsi="Arial" w:cs="Arial"/>
          <w:sz w:val="20"/>
          <w:szCs w:val="20"/>
        </w:rPr>
        <w:t>tonnes</w:t>
      </w:r>
      <w:proofErr w:type="spellEnd"/>
      <w:r w:rsidR="001437EF" w:rsidRPr="00B36A1C">
        <w:rPr>
          <w:rFonts w:ascii="Arial" w:hAnsi="Arial" w:cs="Arial"/>
          <w:sz w:val="20"/>
          <w:szCs w:val="20"/>
        </w:rPr>
        <w:t xml:space="preserve"> and in Odisha, maize is cultivated in an area of 0.86 lakh ha with production and productivity of 2.65 lakh </w:t>
      </w:r>
      <w:proofErr w:type="spellStart"/>
      <w:r w:rsidR="001437EF" w:rsidRPr="00B36A1C">
        <w:rPr>
          <w:rFonts w:ascii="Arial" w:hAnsi="Arial" w:cs="Arial"/>
          <w:sz w:val="20"/>
          <w:szCs w:val="20"/>
        </w:rPr>
        <w:lastRenderedPageBreak/>
        <w:t>tonnes</w:t>
      </w:r>
      <w:proofErr w:type="spellEnd"/>
      <w:r w:rsidR="001437EF" w:rsidRPr="00B36A1C">
        <w:rPr>
          <w:rFonts w:ascii="Arial" w:hAnsi="Arial" w:cs="Arial"/>
          <w:sz w:val="20"/>
          <w:szCs w:val="20"/>
        </w:rPr>
        <w:t xml:space="preserve"> and 3071 kg ha</w:t>
      </w:r>
      <w:r w:rsidR="001437EF" w:rsidRPr="00B36A1C">
        <w:rPr>
          <w:rFonts w:ascii="Arial" w:hAnsi="Arial" w:cs="Arial"/>
          <w:sz w:val="20"/>
          <w:szCs w:val="20"/>
          <w:vertAlign w:val="superscript"/>
        </w:rPr>
        <w:t>-1</w:t>
      </w:r>
      <w:r w:rsidR="001437EF" w:rsidRPr="00B36A1C">
        <w:rPr>
          <w:rFonts w:ascii="Arial" w:hAnsi="Arial" w:cs="Arial"/>
          <w:sz w:val="20"/>
          <w:szCs w:val="20"/>
        </w:rPr>
        <w:t>, respectively during 2024-25 (</w:t>
      </w:r>
      <w:proofErr w:type="spellStart"/>
      <w:r w:rsidR="001437EF" w:rsidRPr="00B36A1C">
        <w:rPr>
          <w:rFonts w:ascii="Arial" w:hAnsi="Arial" w:cs="Arial"/>
          <w:sz w:val="20"/>
          <w:szCs w:val="20"/>
        </w:rPr>
        <w:t>UPAg</w:t>
      </w:r>
      <w:proofErr w:type="spellEnd"/>
      <w:r w:rsidR="001437EF" w:rsidRPr="00B36A1C">
        <w:rPr>
          <w:rFonts w:ascii="Arial" w:hAnsi="Arial" w:cs="Arial"/>
          <w:sz w:val="20"/>
          <w:szCs w:val="20"/>
        </w:rPr>
        <w:t>-DAFW, 2025). Toria (</w:t>
      </w:r>
      <w:r w:rsidR="001437EF" w:rsidRPr="00B36A1C">
        <w:rPr>
          <w:rFonts w:ascii="Arial" w:hAnsi="Arial" w:cs="Arial"/>
          <w:i/>
          <w:iCs/>
          <w:sz w:val="20"/>
          <w:szCs w:val="20"/>
        </w:rPr>
        <w:t>Brassica campestris</w:t>
      </w:r>
      <w:r w:rsidR="001437EF" w:rsidRPr="00B36A1C">
        <w:rPr>
          <w:rFonts w:ascii="Arial" w:hAnsi="Arial" w:cs="Arial"/>
          <w:sz w:val="20"/>
          <w:szCs w:val="20"/>
        </w:rPr>
        <w:t xml:space="preserve"> var. </w:t>
      </w:r>
      <w:proofErr w:type="spellStart"/>
      <w:r w:rsidR="001437EF" w:rsidRPr="00B36A1C">
        <w:rPr>
          <w:rFonts w:ascii="Arial" w:hAnsi="Arial" w:cs="Arial"/>
          <w:sz w:val="20"/>
          <w:szCs w:val="20"/>
        </w:rPr>
        <w:t>toria</w:t>
      </w:r>
      <w:proofErr w:type="spellEnd"/>
      <w:r w:rsidR="001437EF" w:rsidRPr="00B36A1C">
        <w:rPr>
          <w:rFonts w:ascii="Arial" w:hAnsi="Arial" w:cs="Arial"/>
          <w:sz w:val="20"/>
          <w:szCs w:val="20"/>
        </w:rPr>
        <w:t>) is a short duration crop cultivated mainly in Assam, Bihar, Odisha and West Bengal as a winter crop under resid</w:t>
      </w:r>
      <w:r w:rsidR="002549F7" w:rsidRPr="00B36A1C">
        <w:rPr>
          <w:rFonts w:ascii="Arial" w:hAnsi="Arial" w:cs="Arial"/>
          <w:sz w:val="20"/>
          <w:szCs w:val="20"/>
        </w:rPr>
        <w:t>ual moisture and nutrients</w:t>
      </w:r>
      <w:r w:rsidR="001437EF" w:rsidRPr="00B36A1C">
        <w:rPr>
          <w:rFonts w:ascii="Arial" w:hAnsi="Arial" w:cs="Arial"/>
          <w:sz w:val="20"/>
          <w:szCs w:val="20"/>
        </w:rPr>
        <w:t xml:space="preserve">. Toria is an important oilseed crop of Odisha after harvest of </w:t>
      </w:r>
      <w:r w:rsidR="001437EF" w:rsidRPr="00B36A1C">
        <w:rPr>
          <w:rFonts w:ascii="Arial" w:hAnsi="Arial" w:cs="Arial"/>
          <w:i/>
          <w:iCs/>
          <w:sz w:val="20"/>
          <w:szCs w:val="20"/>
        </w:rPr>
        <w:t>kharif</w:t>
      </w:r>
      <w:r w:rsidR="001437EF" w:rsidRPr="00B36A1C">
        <w:rPr>
          <w:rFonts w:ascii="Arial" w:hAnsi="Arial" w:cs="Arial"/>
          <w:sz w:val="20"/>
          <w:szCs w:val="20"/>
        </w:rPr>
        <w:t xml:space="preserve"> paddy. In Odisha, rapeseed-mustard is grown in an area of 0.17 lakh ha that produced 0.06 lakh </w:t>
      </w:r>
      <w:proofErr w:type="spellStart"/>
      <w:r w:rsidR="001437EF" w:rsidRPr="00B36A1C">
        <w:rPr>
          <w:rFonts w:ascii="Arial" w:hAnsi="Arial" w:cs="Arial"/>
          <w:sz w:val="20"/>
          <w:szCs w:val="20"/>
        </w:rPr>
        <w:t>tonnes</w:t>
      </w:r>
      <w:proofErr w:type="spellEnd"/>
      <w:r w:rsidR="001437EF" w:rsidRPr="00B36A1C">
        <w:rPr>
          <w:rFonts w:ascii="Arial" w:hAnsi="Arial" w:cs="Arial"/>
          <w:sz w:val="20"/>
          <w:szCs w:val="20"/>
        </w:rPr>
        <w:t xml:space="preserve"> with a productivity of 342 kg ha</w:t>
      </w:r>
      <w:r w:rsidR="001437EF" w:rsidRPr="00B36A1C">
        <w:rPr>
          <w:rFonts w:ascii="Arial" w:hAnsi="Arial" w:cs="Arial"/>
          <w:sz w:val="20"/>
          <w:szCs w:val="20"/>
          <w:vertAlign w:val="superscript"/>
        </w:rPr>
        <w:t>-1</w:t>
      </w:r>
      <w:r w:rsidR="001437EF" w:rsidRPr="00B36A1C">
        <w:rPr>
          <w:rFonts w:ascii="Arial" w:hAnsi="Arial" w:cs="Arial"/>
          <w:sz w:val="20"/>
          <w:szCs w:val="20"/>
        </w:rPr>
        <w:t xml:space="preserve"> during 2024-25 (</w:t>
      </w:r>
      <w:proofErr w:type="spellStart"/>
      <w:r w:rsidR="001437EF" w:rsidRPr="00B36A1C">
        <w:rPr>
          <w:rFonts w:ascii="Arial" w:hAnsi="Arial" w:cs="Arial"/>
          <w:sz w:val="20"/>
          <w:szCs w:val="20"/>
        </w:rPr>
        <w:t>UPAg</w:t>
      </w:r>
      <w:proofErr w:type="spellEnd"/>
      <w:r w:rsidR="001437EF" w:rsidRPr="00B36A1C">
        <w:rPr>
          <w:rFonts w:ascii="Arial" w:hAnsi="Arial" w:cs="Arial"/>
          <w:sz w:val="20"/>
          <w:szCs w:val="20"/>
        </w:rPr>
        <w:t xml:space="preserve">-DAFW, 2025). In Odisha, maize- </w:t>
      </w:r>
      <w:proofErr w:type="spellStart"/>
      <w:r w:rsidR="001437EF" w:rsidRPr="00B36A1C">
        <w:rPr>
          <w:rFonts w:ascii="Arial" w:hAnsi="Arial" w:cs="Arial"/>
          <w:sz w:val="20"/>
          <w:szCs w:val="20"/>
        </w:rPr>
        <w:t>toria</w:t>
      </w:r>
      <w:proofErr w:type="spellEnd"/>
      <w:r w:rsidR="001437EF" w:rsidRPr="00B36A1C">
        <w:rPr>
          <w:rFonts w:ascii="Arial" w:hAnsi="Arial" w:cs="Arial"/>
          <w:sz w:val="20"/>
          <w:szCs w:val="20"/>
        </w:rPr>
        <w:t xml:space="preserve"> cropping sequence could be a better option as maize has higher yield potential and greater drought tolerance than rice during the </w:t>
      </w:r>
      <w:r w:rsidR="001437EF" w:rsidRPr="00B36A1C">
        <w:rPr>
          <w:rFonts w:ascii="Arial" w:hAnsi="Arial" w:cs="Arial"/>
          <w:i/>
          <w:iCs/>
          <w:sz w:val="20"/>
          <w:szCs w:val="20"/>
        </w:rPr>
        <w:t>kharif</w:t>
      </w:r>
      <w:r w:rsidR="001437EF" w:rsidRPr="00B36A1C">
        <w:rPr>
          <w:rFonts w:ascii="Arial" w:hAnsi="Arial" w:cs="Arial"/>
          <w:sz w:val="20"/>
          <w:szCs w:val="20"/>
        </w:rPr>
        <w:t xml:space="preserve"> season, and </w:t>
      </w:r>
      <w:proofErr w:type="spellStart"/>
      <w:r w:rsidR="001437EF" w:rsidRPr="00B36A1C">
        <w:rPr>
          <w:rFonts w:ascii="Arial" w:hAnsi="Arial" w:cs="Arial"/>
          <w:sz w:val="20"/>
          <w:szCs w:val="20"/>
        </w:rPr>
        <w:t>toria</w:t>
      </w:r>
      <w:proofErr w:type="spellEnd"/>
      <w:r w:rsidR="001437EF" w:rsidRPr="00B36A1C">
        <w:rPr>
          <w:rFonts w:ascii="Arial" w:hAnsi="Arial" w:cs="Arial"/>
          <w:sz w:val="20"/>
          <w:szCs w:val="20"/>
        </w:rPr>
        <w:t xml:space="preserve"> can be adopted as a succession crop due to its high value, short duration and ability to grow under residual soil fertility with minimal soil moisture (</w:t>
      </w:r>
      <w:proofErr w:type="spellStart"/>
      <w:r w:rsidR="001437EF" w:rsidRPr="00B36A1C">
        <w:rPr>
          <w:rFonts w:ascii="Arial" w:hAnsi="Arial" w:cs="Arial"/>
          <w:sz w:val="20"/>
          <w:szCs w:val="20"/>
        </w:rPr>
        <w:t>Biswasi</w:t>
      </w:r>
      <w:proofErr w:type="spellEnd"/>
      <w:r w:rsidR="001437EF" w:rsidRPr="00B36A1C">
        <w:rPr>
          <w:rFonts w:ascii="Arial" w:hAnsi="Arial" w:cs="Arial"/>
          <w:sz w:val="20"/>
          <w:szCs w:val="20"/>
        </w:rPr>
        <w:t xml:space="preserve"> et al., 2025).</w:t>
      </w:r>
      <w:r w:rsidR="002549F7" w:rsidRPr="00B36A1C">
        <w:rPr>
          <w:rFonts w:ascii="Arial" w:hAnsi="Arial" w:cs="Arial"/>
          <w:sz w:val="20"/>
          <w:szCs w:val="20"/>
        </w:rPr>
        <w:t xml:space="preserve"> </w:t>
      </w:r>
      <w:r w:rsidR="007A6776" w:rsidRPr="00B36A1C">
        <w:rPr>
          <w:rFonts w:ascii="Arial" w:hAnsi="Arial" w:cs="Arial"/>
          <w:sz w:val="20"/>
          <w:szCs w:val="20"/>
        </w:rPr>
        <w:t xml:space="preserve">Limited information is available in the different literature on the impact of integrated nutrient management practices on </w:t>
      </w:r>
      <w:r w:rsidR="00854057" w:rsidRPr="00B36A1C">
        <w:rPr>
          <w:rFonts w:ascii="Arial" w:hAnsi="Arial" w:cs="Arial"/>
          <w:sz w:val="20"/>
          <w:szCs w:val="20"/>
        </w:rPr>
        <w:t xml:space="preserve">soil biological properties and energy indices in the </w:t>
      </w:r>
      <w:r w:rsidR="007A6776" w:rsidRPr="00B36A1C">
        <w:rPr>
          <w:rFonts w:ascii="Arial" w:hAnsi="Arial" w:cs="Arial"/>
          <w:sz w:val="20"/>
          <w:szCs w:val="20"/>
        </w:rPr>
        <w:t>maize–</w:t>
      </w:r>
      <w:proofErr w:type="spellStart"/>
      <w:r w:rsidR="007A6776" w:rsidRPr="00B36A1C">
        <w:rPr>
          <w:rFonts w:ascii="Arial" w:hAnsi="Arial" w:cs="Arial"/>
          <w:sz w:val="20"/>
          <w:szCs w:val="20"/>
        </w:rPr>
        <w:t>toria</w:t>
      </w:r>
      <w:proofErr w:type="spellEnd"/>
      <w:r w:rsidR="007A6776" w:rsidRPr="00B36A1C">
        <w:rPr>
          <w:rFonts w:ascii="Arial" w:hAnsi="Arial" w:cs="Arial"/>
          <w:sz w:val="20"/>
          <w:szCs w:val="20"/>
        </w:rPr>
        <w:t xml:space="preserve"> cropping system. </w:t>
      </w:r>
      <w:r w:rsidR="002549F7" w:rsidRPr="00B36A1C">
        <w:rPr>
          <w:rFonts w:ascii="Arial" w:hAnsi="Arial" w:cs="Arial"/>
          <w:sz w:val="20"/>
          <w:szCs w:val="20"/>
        </w:rPr>
        <w:t>Hence, present investigation was conducted to find out the effect of integrated nutrient management practices on soil biological properties and energy indices of maize–</w:t>
      </w:r>
      <w:proofErr w:type="spellStart"/>
      <w:r w:rsidR="002549F7" w:rsidRPr="00B36A1C">
        <w:rPr>
          <w:rFonts w:ascii="Arial" w:hAnsi="Arial" w:cs="Arial"/>
          <w:sz w:val="20"/>
          <w:szCs w:val="20"/>
        </w:rPr>
        <w:t>toria</w:t>
      </w:r>
      <w:proofErr w:type="spellEnd"/>
      <w:r w:rsidR="002549F7" w:rsidRPr="00B36A1C">
        <w:rPr>
          <w:rFonts w:ascii="Arial" w:hAnsi="Arial" w:cs="Arial"/>
          <w:sz w:val="20"/>
          <w:szCs w:val="20"/>
        </w:rPr>
        <w:t xml:space="preserve"> cropping system in Eastern Ghat High Land zone of Odisha.</w:t>
      </w:r>
    </w:p>
    <w:p w14:paraId="64B771A8" w14:textId="77777777" w:rsidR="00D6617E" w:rsidRPr="00B36A1C" w:rsidRDefault="00D6617E" w:rsidP="001437EF">
      <w:pPr>
        <w:spacing w:after="0" w:line="240" w:lineRule="auto"/>
        <w:jc w:val="both"/>
        <w:rPr>
          <w:rFonts w:ascii="Arial" w:hAnsi="Arial" w:cs="Arial"/>
          <w:sz w:val="20"/>
          <w:szCs w:val="20"/>
        </w:rPr>
      </w:pPr>
    </w:p>
    <w:p w14:paraId="6C903283" w14:textId="77777777" w:rsidR="003A6232" w:rsidRPr="00B36A1C" w:rsidRDefault="008F7BAC" w:rsidP="00223962">
      <w:pPr>
        <w:spacing w:after="0" w:line="240" w:lineRule="auto"/>
        <w:jc w:val="both"/>
        <w:rPr>
          <w:rFonts w:ascii="Arial" w:hAnsi="Arial" w:cs="Arial"/>
          <w:b/>
          <w:bCs/>
          <w:szCs w:val="22"/>
        </w:rPr>
      </w:pPr>
      <w:r w:rsidRPr="00B36A1C">
        <w:rPr>
          <w:rFonts w:ascii="Arial" w:hAnsi="Arial" w:cs="Arial"/>
          <w:b/>
          <w:bCs/>
          <w:szCs w:val="22"/>
        </w:rPr>
        <w:t>2. MATERIALS AND METHODS</w:t>
      </w:r>
    </w:p>
    <w:p w14:paraId="72EECEC9" w14:textId="77777777" w:rsidR="001A679E" w:rsidRPr="00B36A1C" w:rsidRDefault="001A679E" w:rsidP="00223962">
      <w:pPr>
        <w:spacing w:after="0" w:line="240" w:lineRule="auto"/>
        <w:jc w:val="both"/>
        <w:rPr>
          <w:rFonts w:ascii="Arial" w:hAnsi="Arial" w:cs="Arial"/>
          <w:sz w:val="20"/>
          <w:szCs w:val="20"/>
        </w:rPr>
      </w:pPr>
    </w:p>
    <w:p w14:paraId="4E7FF752" w14:textId="77777777" w:rsidR="00EE59F3" w:rsidRPr="00B36A1C" w:rsidRDefault="00F21477" w:rsidP="00223962">
      <w:pPr>
        <w:spacing w:after="0" w:line="240" w:lineRule="auto"/>
        <w:jc w:val="both"/>
        <w:rPr>
          <w:rFonts w:ascii="Arial" w:hAnsi="Arial" w:cs="Arial"/>
          <w:sz w:val="20"/>
          <w:szCs w:val="20"/>
        </w:rPr>
      </w:pPr>
      <w:r w:rsidRPr="00B36A1C">
        <w:rPr>
          <w:rFonts w:ascii="Arial" w:hAnsi="Arial" w:cs="Arial"/>
          <w:sz w:val="20"/>
          <w:szCs w:val="20"/>
        </w:rPr>
        <w:t xml:space="preserve">The experiment was conducted during </w:t>
      </w:r>
      <w:r w:rsidRPr="00B36A1C">
        <w:rPr>
          <w:rFonts w:ascii="Arial" w:hAnsi="Arial" w:cs="Arial"/>
          <w:i/>
          <w:iCs/>
          <w:sz w:val="20"/>
          <w:szCs w:val="20"/>
        </w:rPr>
        <w:t>kharif</w:t>
      </w:r>
      <w:r w:rsidRPr="00B36A1C">
        <w:rPr>
          <w:rFonts w:ascii="Arial" w:hAnsi="Arial" w:cs="Arial"/>
          <w:sz w:val="20"/>
          <w:szCs w:val="20"/>
        </w:rPr>
        <w:t xml:space="preserve"> and </w:t>
      </w:r>
      <w:r w:rsidRPr="00B36A1C">
        <w:rPr>
          <w:rFonts w:ascii="Arial" w:hAnsi="Arial" w:cs="Arial"/>
          <w:i/>
          <w:iCs/>
          <w:sz w:val="20"/>
          <w:szCs w:val="20"/>
        </w:rPr>
        <w:t>rabi</w:t>
      </w:r>
      <w:r w:rsidRPr="00B36A1C">
        <w:rPr>
          <w:rFonts w:ascii="Arial" w:hAnsi="Arial" w:cs="Arial"/>
          <w:sz w:val="20"/>
          <w:szCs w:val="20"/>
        </w:rPr>
        <w:t xml:space="preserve"> seasons of 2016-17 and 2017-18 at </w:t>
      </w:r>
      <w:r w:rsidR="009312EC" w:rsidRPr="00B36A1C">
        <w:rPr>
          <w:rFonts w:ascii="Arial" w:hAnsi="Arial" w:cs="Arial"/>
          <w:sz w:val="20"/>
          <w:szCs w:val="20"/>
        </w:rPr>
        <w:t xml:space="preserve">the Regional Research </w:t>
      </w:r>
      <w:r w:rsidR="002B4DE7" w:rsidRPr="00B36A1C">
        <w:rPr>
          <w:rFonts w:ascii="Arial" w:hAnsi="Arial" w:cs="Arial"/>
          <w:sz w:val="20"/>
          <w:szCs w:val="20"/>
        </w:rPr>
        <w:t xml:space="preserve">&amp; </w:t>
      </w:r>
      <w:r w:rsidR="009312EC" w:rsidRPr="00B36A1C">
        <w:rPr>
          <w:rFonts w:ascii="Arial" w:hAnsi="Arial" w:cs="Arial"/>
          <w:sz w:val="20"/>
          <w:szCs w:val="20"/>
        </w:rPr>
        <w:t xml:space="preserve">Technology Transfer Station (OUAT), </w:t>
      </w:r>
      <w:proofErr w:type="spellStart"/>
      <w:r w:rsidR="009312EC" w:rsidRPr="00B36A1C">
        <w:rPr>
          <w:rFonts w:ascii="Arial" w:hAnsi="Arial" w:cs="Arial"/>
          <w:sz w:val="20"/>
          <w:szCs w:val="20"/>
        </w:rPr>
        <w:t>Semiliguda</w:t>
      </w:r>
      <w:proofErr w:type="spellEnd"/>
      <w:r w:rsidR="009312EC" w:rsidRPr="00B36A1C">
        <w:rPr>
          <w:rFonts w:ascii="Arial" w:hAnsi="Arial" w:cs="Arial"/>
          <w:sz w:val="20"/>
          <w:szCs w:val="20"/>
        </w:rPr>
        <w:t xml:space="preserve">, Koraput, Odisha, India (18°42' N, 82°30'E, 884 m </w:t>
      </w:r>
      <w:proofErr w:type="spellStart"/>
      <w:r w:rsidR="009312EC" w:rsidRPr="00B36A1C">
        <w:rPr>
          <w:rFonts w:ascii="Arial" w:hAnsi="Arial" w:cs="Arial"/>
          <w:sz w:val="20"/>
          <w:szCs w:val="20"/>
        </w:rPr>
        <w:t>amsl</w:t>
      </w:r>
      <w:proofErr w:type="spellEnd"/>
      <w:r w:rsidR="009312EC" w:rsidRPr="00B36A1C">
        <w:rPr>
          <w:rFonts w:ascii="Arial" w:hAnsi="Arial" w:cs="Arial"/>
          <w:sz w:val="20"/>
          <w:szCs w:val="20"/>
        </w:rPr>
        <w:t xml:space="preserve">) under </w:t>
      </w:r>
      <w:proofErr w:type="spellStart"/>
      <w:r w:rsidR="009312EC" w:rsidRPr="00B36A1C">
        <w:rPr>
          <w:rFonts w:ascii="Arial" w:hAnsi="Arial" w:cs="Arial"/>
          <w:sz w:val="20"/>
          <w:szCs w:val="20"/>
        </w:rPr>
        <w:t>naize-toria</w:t>
      </w:r>
      <w:proofErr w:type="spellEnd"/>
      <w:r w:rsidR="009312EC" w:rsidRPr="00B36A1C">
        <w:rPr>
          <w:rFonts w:ascii="Arial" w:hAnsi="Arial" w:cs="Arial"/>
          <w:sz w:val="20"/>
          <w:szCs w:val="20"/>
        </w:rPr>
        <w:t xml:space="preserve"> cropping system. </w:t>
      </w:r>
      <w:r w:rsidR="00FD0426" w:rsidRPr="00B36A1C">
        <w:rPr>
          <w:rFonts w:ascii="Arial" w:hAnsi="Arial" w:cs="Arial"/>
          <w:sz w:val="20"/>
          <w:szCs w:val="20"/>
        </w:rPr>
        <w:t>Average annual rainfall of the experimental region was 1</w:t>
      </w:r>
      <w:r w:rsidR="004B1B5E" w:rsidRPr="00B36A1C">
        <w:rPr>
          <w:rFonts w:ascii="Arial" w:hAnsi="Arial" w:cs="Arial"/>
          <w:sz w:val="20"/>
          <w:szCs w:val="20"/>
        </w:rPr>
        <w:t>567 mm</w:t>
      </w:r>
      <w:r w:rsidR="00FD0426" w:rsidRPr="00B36A1C">
        <w:rPr>
          <w:rFonts w:ascii="Arial" w:hAnsi="Arial" w:cs="Arial"/>
          <w:sz w:val="20"/>
          <w:szCs w:val="20"/>
        </w:rPr>
        <w:t xml:space="preserve"> and </w:t>
      </w:r>
      <w:r w:rsidR="004B1B5E" w:rsidRPr="00B36A1C">
        <w:rPr>
          <w:rFonts w:ascii="Arial" w:hAnsi="Arial" w:cs="Arial"/>
          <w:sz w:val="20"/>
          <w:szCs w:val="20"/>
        </w:rPr>
        <w:t>about 80</w:t>
      </w:r>
      <w:r w:rsidR="00FD0426" w:rsidRPr="00B36A1C">
        <w:rPr>
          <w:rFonts w:ascii="Arial" w:hAnsi="Arial" w:cs="Arial"/>
          <w:sz w:val="20"/>
          <w:szCs w:val="20"/>
        </w:rPr>
        <w:t>% of it was received during rainy season.</w:t>
      </w:r>
      <w:r w:rsidR="004B1B5E" w:rsidRPr="00B36A1C">
        <w:rPr>
          <w:rFonts w:ascii="Arial" w:hAnsi="Arial" w:cs="Arial"/>
          <w:sz w:val="20"/>
          <w:szCs w:val="20"/>
        </w:rPr>
        <w:t xml:space="preserve"> </w:t>
      </w:r>
      <w:r w:rsidR="00430DCA" w:rsidRPr="00B36A1C">
        <w:rPr>
          <w:rFonts w:ascii="Arial" w:hAnsi="Arial" w:cs="Arial"/>
          <w:sz w:val="20"/>
          <w:szCs w:val="20"/>
        </w:rPr>
        <w:t>Mean maximum summer temperature is 34</w:t>
      </w:r>
      <w:r w:rsidR="00430DCA" w:rsidRPr="00B36A1C">
        <w:rPr>
          <w:rFonts w:ascii="Arial" w:hAnsi="Arial" w:cs="Arial"/>
          <w:sz w:val="20"/>
          <w:szCs w:val="20"/>
          <w:vertAlign w:val="superscript"/>
        </w:rPr>
        <w:t>O</w:t>
      </w:r>
      <w:r w:rsidR="00430DCA" w:rsidRPr="00B36A1C">
        <w:rPr>
          <w:rFonts w:ascii="Arial" w:hAnsi="Arial" w:cs="Arial"/>
          <w:sz w:val="20"/>
          <w:szCs w:val="20"/>
        </w:rPr>
        <w:t xml:space="preserve"> C and mean minimum winter temperature is 10</w:t>
      </w:r>
      <w:r w:rsidR="00430DCA" w:rsidRPr="00B36A1C">
        <w:rPr>
          <w:rFonts w:ascii="Arial" w:hAnsi="Arial" w:cs="Arial"/>
          <w:sz w:val="20"/>
          <w:szCs w:val="20"/>
          <w:vertAlign w:val="superscript"/>
        </w:rPr>
        <w:t>O</w:t>
      </w:r>
      <w:r w:rsidR="00430DCA" w:rsidRPr="00B36A1C">
        <w:rPr>
          <w:rFonts w:ascii="Arial" w:hAnsi="Arial" w:cs="Arial"/>
          <w:sz w:val="20"/>
          <w:szCs w:val="20"/>
        </w:rPr>
        <w:t xml:space="preserve"> C and </w:t>
      </w:r>
      <w:r w:rsidR="004B1B5E" w:rsidRPr="00B36A1C">
        <w:rPr>
          <w:rFonts w:ascii="Arial" w:hAnsi="Arial" w:cs="Arial"/>
          <w:sz w:val="20"/>
          <w:szCs w:val="20"/>
        </w:rPr>
        <w:t>due to its higher elevation, winter</w:t>
      </w:r>
      <w:r w:rsidR="00E60098" w:rsidRPr="00B36A1C">
        <w:rPr>
          <w:rFonts w:ascii="Arial" w:hAnsi="Arial" w:cs="Arial"/>
          <w:sz w:val="20"/>
          <w:szCs w:val="20"/>
        </w:rPr>
        <w:t xml:space="preserve"> is </w:t>
      </w:r>
      <w:r w:rsidR="004B1B5E" w:rsidRPr="00B36A1C">
        <w:rPr>
          <w:rFonts w:ascii="Arial" w:hAnsi="Arial" w:cs="Arial"/>
          <w:sz w:val="20"/>
          <w:szCs w:val="20"/>
        </w:rPr>
        <w:t>cooler and more pleasan</w:t>
      </w:r>
      <w:r w:rsidR="00430DCA" w:rsidRPr="00B36A1C">
        <w:rPr>
          <w:rFonts w:ascii="Arial" w:hAnsi="Arial" w:cs="Arial"/>
          <w:sz w:val="20"/>
          <w:szCs w:val="20"/>
        </w:rPr>
        <w:t xml:space="preserve">t. </w:t>
      </w:r>
      <w:r w:rsidR="003154C7" w:rsidRPr="00B36A1C">
        <w:rPr>
          <w:rFonts w:ascii="Arial" w:hAnsi="Arial" w:cs="Arial"/>
          <w:sz w:val="20"/>
          <w:szCs w:val="20"/>
        </w:rPr>
        <w:t>The soil of experimental site was red, sandy loam in texture and strongly acidic in reaction (pH- 5.06) with medium soil organic carbon (7.13 g kg</w:t>
      </w:r>
      <w:r w:rsidR="003154C7" w:rsidRPr="00B36A1C">
        <w:rPr>
          <w:rFonts w:ascii="Arial" w:hAnsi="Arial" w:cs="Arial"/>
          <w:sz w:val="20"/>
          <w:szCs w:val="20"/>
          <w:vertAlign w:val="superscript"/>
        </w:rPr>
        <w:t>-1</w:t>
      </w:r>
      <w:r w:rsidR="003154C7" w:rsidRPr="00B36A1C">
        <w:rPr>
          <w:rFonts w:ascii="Arial" w:hAnsi="Arial" w:cs="Arial"/>
          <w:sz w:val="20"/>
          <w:szCs w:val="20"/>
        </w:rPr>
        <w:t xml:space="preserve">), medium available </w:t>
      </w:r>
      <w:r w:rsidR="009D5E3E" w:rsidRPr="00B36A1C">
        <w:rPr>
          <w:rFonts w:ascii="Arial" w:hAnsi="Arial" w:cs="Arial"/>
          <w:sz w:val="20"/>
          <w:szCs w:val="20"/>
        </w:rPr>
        <w:t xml:space="preserve">nitrogen </w:t>
      </w:r>
      <w:r w:rsidR="003154C7" w:rsidRPr="00B36A1C">
        <w:rPr>
          <w:rFonts w:ascii="Arial" w:hAnsi="Arial" w:cs="Arial"/>
          <w:sz w:val="20"/>
          <w:szCs w:val="20"/>
        </w:rPr>
        <w:t>(472.0 kg ha</w:t>
      </w:r>
      <w:r w:rsidR="003154C7" w:rsidRPr="00B36A1C">
        <w:rPr>
          <w:rFonts w:ascii="Arial" w:hAnsi="Arial" w:cs="Arial"/>
          <w:sz w:val="20"/>
          <w:szCs w:val="20"/>
          <w:vertAlign w:val="superscript"/>
        </w:rPr>
        <w:t>-1</w:t>
      </w:r>
      <w:r w:rsidR="003154C7" w:rsidRPr="00B36A1C">
        <w:rPr>
          <w:rFonts w:ascii="Arial" w:hAnsi="Arial" w:cs="Arial"/>
          <w:sz w:val="20"/>
          <w:szCs w:val="20"/>
        </w:rPr>
        <w:t xml:space="preserve">), high available </w:t>
      </w:r>
      <w:r w:rsidR="009D5E3E" w:rsidRPr="00B36A1C">
        <w:rPr>
          <w:rFonts w:ascii="Arial" w:hAnsi="Arial" w:cs="Arial"/>
          <w:sz w:val="20"/>
          <w:szCs w:val="20"/>
        </w:rPr>
        <w:t>phosphorus</w:t>
      </w:r>
      <w:r w:rsidR="003154C7" w:rsidRPr="00B36A1C">
        <w:rPr>
          <w:rFonts w:ascii="Arial" w:hAnsi="Arial" w:cs="Arial"/>
          <w:sz w:val="20"/>
          <w:szCs w:val="20"/>
        </w:rPr>
        <w:t xml:space="preserve"> (33.2 kg ha</w:t>
      </w:r>
      <w:r w:rsidR="003154C7" w:rsidRPr="00B36A1C">
        <w:rPr>
          <w:rFonts w:ascii="Arial" w:hAnsi="Arial" w:cs="Arial"/>
          <w:sz w:val="20"/>
          <w:szCs w:val="20"/>
          <w:vertAlign w:val="superscript"/>
        </w:rPr>
        <w:t>-1</w:t>
      </w:r>
      <w:r w:rsidR="003154C7" w:rsidRPr="00B36A1C">
        <w:rPr>
          <w:rFonts w:ascii="Arial" w:hAnsi="Arial" w:cs="Arial"/>
          <w:sz w:val="20"/>
          <w:szCs w:val="20"/>
        </w:rPr>
        <w:t>)</w:t>
      </w:r>
      <w:r w:rsidR="009312EC" w:rsidRPr="00B36A1C">
        <w:rPr>
          <w:rFonts w:ascii="Arial" w:hAnsi="Arial" w:cs="Arial"/>
          <w:sz w:val="20"/>
          <w:szCs w:val="20"/>
        </w:rPr>
        <w:t xml:space="preserve"> and </w:t>
      </w:r>
      <w:r w:rsidR="003154C7" w:rsidRPr="00B36A1C">
        <w:rPr>
          <w:rFonts w:ascii="Arial" w:hAnsi="Arial" w:cs="Arial"/>
          <w:sz w:val="20"/>
          <w:szCs w:val="20"/>
        </w:rPr>
        <w:t xml:space="preserve">high available </w:t>
      </w:r>
      <w:r w:rsidR="009D5E3E" w:rsidRPr="00B36A1C">
        <w:rPr>
          <w:rFonts w:ascii="Arial" w:hAnsi="Arial" w:cs="Arial"/>
          <w:sz w:val="20"/>
          <w:szCs w:val="20"/>
        </w:rPr>
        <w:t xml:space="preserve">potassium </w:t>
      </w:r>
      <w:r w:rsidR="003154C7" w:rsidRPr="00B36A1C">
        <w:rPr>
          <w:rFonts w:ascii="Arial" w:hAnsi="Arial" w:cs="Arial"/>
          <w:sz w:val="20"/>
          <w:szCs w:val="20"/>
        </w:rPr>
        <w:t>(313.0 kg ha</w:t>
      </w:r>
      <w:r w:rsidR="003154C7" w:rsidRPr="00B36A1C">
        <w:rPr>
          <w:rFonts w:ascii="Arial" w:hAnsi="Arial" w:cs="Arial"/>
          <w:sz w:val="20"/>
          <w:szCs w:val="20"/>
          <w:vertAlign w:val="superscript"/>
        </w:rPr>
        <w:t>-1</w:t>
      </w:r>
      <w:r w:rsidR="003154C7" w:rsidRPr="00B36A1C">
        <w:rPr>
          <w:rFonts w:ascii="Arial" w:hAnsi="Arial" w:cs="Arial"/>
          <w:sz w:val="20"/>
          <w:szCs w:val="20"/>
        </w:rPr>
        <w:t>)</w:t>
      </w:r>
      <w:r w:rsidR="000A4A59" w:rsidRPr="00B36A1C">
        <w:rPr>
          <w:rFonts w:ascii="Arial" w:hAnsi="Arial" w:cs="Arial"/>
          <w:sz w:val="20"/>
          <w:szCs w:val="20"/>
        </w:rPr>
        <w:t xml:space="preserve">. </w:t>
      </w:r>
      <w:r w:rsidR="001F1FDA" w:rsidRPr="00B36A1C">
        <w:rPr>
          <w:rFonts w:ascii="Arial" w:hAnsi="Arial" w:cs="Arial"/>
          <w:sz w:val="20"/>
          <w:szCs w:val="20"/>
        </w:rPr>
        <w:t>The experiment consists of twelve treatments</w:t>
      </w:r>
      <w:r w:rsidR="00EE59F3" w:rsidRPr="00B36A1C">
        <w:rPr>
          <w:rFonts w:ascii="Arial" w:hAnsi="Arial" w:cs="Arial"/>
          <w:sz w:val="20"/>
          <w:szCs w:val="20"/>
        </w:rPr>
        <w:t xml:space="preserve"> (Table 1)</w:t>
      </w:r>
      <w:r w:rsidR="0064421A" w:rsidRPr="00B36A1C">
        <w:rPr>
          <w:rFonts w:ascii="Arial" w:hAnsi="Arial" w:cs="Arial"/>
          <w:sz w:val="20"/>
          <w:szCs w:val="20"/>
        </w:rPr>
        <w:t xml:space="preserve"> </w:t>
      </w:r>
      <w:r w:rsidR="00FD0426" w:rsidRPr="00B36A1C">
        <w:rPr>
          <w:rFonts w:ascii="Arial" w:hAnsi="Arial" w:cs="Arial"/>
          <w:sz w:val="20"/>
          <w:szCs w:val="20"/>
        </w:rPr>
        <w:t>and arranged in a completely randomized block design with three replications.</w:t>
      </w:r>
      <w:r w:rsidR="00266531" w:rsidRPr="00B36A1C">
        <w:rPr>
          <w:rFonts w:ascii="Arial" w:hAnsi="Arial" w:cs="Arial"/>
          <w:sz w:val="20"/>
          <w:szCs w:val="20"/>
        </w:rPr>
        <w:t xml:space="preserve"> </w:t>
      </w:r>
    </w:p>
    <w:p w14:paraId="1E3FD9D6" w14:textId="77777777" w:rsidR="00F53183" w:rsidRPr="00B36A1C" w:rsidRDefault="00F53183" w:rsidP="00223962">
      <w:pPr>
        <w:spacing w:after="0" w:line="240" w:lineRule="auto"/>
        <w:jc w:val="both"/>
        <w:rPr>
          <w:rFonts w:ascii="Arial" w:hAnsi="Arial" w:cs="Arial"/>
          <w:sz w:val="20"/>
          <w:szCs w:val="20"/>
        </w:rPr>
      </w:pPr>
    </w:p>
    <w:p w14:paraId="1294A071" w14:textId="77777777" w:rsidR="00F53183" w:rsidRPr="00B36A1C" w:rsidRDefault="00F53183" w:rsidP="00F53183">
      <w:pPr>
        <w:spacing w:after="0" w:line="240" w:lineRule="auto"/>
        <w:jc w:val="both"/>
        <w:rPr>
          <w:rFonts w:ascii="Arial" w:hAnsi="Arial" w:cs="Arial"/>
          <w:b/>
          <w:bCs/>
          <w:sz w:val="20"/>
          <w:szCs w:val="20"/>
        </w:rPr>
      </w:pPr>
      <w:r w:rsidRPr="00B36A1C">
        <w:rPr>
          <w:rFonts w:ascii="Arial" w:hAnsi="Arial" w:cs="Arial"/>
          <w:b/>
          <w:bCs/>
          <w:sz w:val="20"/>
          <w:szCs w:val="20"/>
        </w:rPr>
        <w:t>Table 1. Treatment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7650"/>
      </w:tblGrid>
      <w:tr w:rsidR="00F53183" w:rsidRPr="00B36A1C" w14:paraId="1975FF87" w14:textId="77777777" w:rsidTr="00B02221">
        <w:tc>
          <w:tcPr>
            <w:tcW w:w="1458" w:type="dxa"/>
          </w:tcPr>
          <w:p w14:paraId="6ADBBD47" w14:textId="77777777" w:rsidR="00F53183" w:rsidRPr="00B36A1C" w:rsidRDefault="00F53183" w:rsidP="00B02221">
            <w:pPr>
              <w:jc w:val="center"/>
              <w:rPr>
                <w:rFonts w:ascii="Arial" w:hAnsi="Arial" w:cs="Arial"/>
                <w:b/>
                <w:bCs/>
                <w:sz w:val="20"/>
                <w:szCs w:val="20"/>
              </w:rPr>
            </w:pPr>
            <w:r w:rsidRPr="00B36A1C">
              <w:rPr>
                <w:rFonts w:ascii="Arial" w:hAnsi="Arial" w:cs="Arial"/>
                <w:b/>
                <w:bCs/>
                <w:sz w:val="20"/>
                <w:szCs w:val="20"/>
              </w:rPr>
              <w:t>Treatments</w:t>
            </w:r>
          </w:p>
        </w:tc>
        <w:tc>
          <w:tcPr>
            <w:tcW w:w="7650" w:type="dxa"/>
          </w:tcPr>
          <w:p w14:paraId="0AF94FC5" w14:textId="77777777" w:rsidR="00F53183" w:rsidRPr="00B36A1C" w:rsidRDefault="00F53183" w:rsidP="00B02221">
            <w:pPr>
              <w:jc w:val="center"/>
              <w:rPr>
                <w:rFonts w:ascii="Arial" w:hAnsi="Arial" w:cs="Arial"/>
                <w:b/>
                <w:bCs/>
                <w:sz w:val="20"/>
                <w:szCs w:val="20"/>
              </w:rPr>
            </w:pPr>
            <w:r w:rsidRPr="00B36A1C">
              <w:rPr>
                <w:rFonts w:ascii="Arial" w:hAnsi="Arial" w:cs="Arial"/>
                <w:b/>
                <w:bCs/>
                <w:sz w:val="20"/>
                <w:szCs w:val="20"/>
              </w:rPr>
              <w:t>Details</w:t>
            </w:r>
          </w:p>
        </w:tc>
      </w:tr>
      <w:tr w:rsidR="00F53183" w:rsidRPr="00B36A1C" w14:paraId="6075E488" w14:textId="77777777" w:rsidTr="00B02221">
        <w:tc>
          <w:tcPr>
            <w:tcW w:w="1458" w:type="dxa"/>
          </w:tcPr>
          <w:p w14:paraId="5ED8920B"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T1</w:t>
            </w:r>
          </w:p>
        </w:tc>
        <w:tc>
          <w:tcPr>
            <w:tcW w:w="7650" w:type="dxa"/>
          </w:tcPr>
          <w:p w14:paraId="35678C15"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 xml:space="preserve">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(STBFR)</w:t>
            </w:r>
          </w:p>
        </w:tc>
      </w:tr>
      <w:tr w:rsidR="00F53183" w:rsidRPr="00B36A1C" w14:paraId="5EEA2D7A" w14:textId="77777777" w:rsidTr="00B02221">
        <w:tc>
          <w:tcPr>
            <w:tcW w:w="1458" w:type="dxa"/>
          </w:tcPr>
          <w:p w14:paraId="25CD2C9E"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T2</w:t>
            </w:r>
          </w:p>
        </w:tc>
        <w:tc>
          <w:tcPr>
            <w:tcW w:w="7650" w:type="dxa"/>
          </w:tcPr>
          <w:p w14:paraId="4B3582DD"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Green manure (GM) with cowpea</w:t>
            </w:r>
          </w:p>
        </w:tc>
      </w:tr>
      <w:tr w:rsidR="00F53183" w:rsidRPr="00B36A1C" w14:paraId="2BCDC9A8" w14:textId="77777777" w:rsidTr="00B02221">
        <w:tc>
          <w:tcPr>
            <w:tcW w:w="1458" w:type="dxa"/>
          </w:tcPr>
          <w:p w14:paraId="58DF8F50"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T3</w:t>
            </w:r>
          </w:p>
        </w:tc>
        <w:tc>
          <w:tcPr>
            <w:tcW w:w="7650" w:type="dxa"/>
          </w:tcPr>
          <w:p w14:paraId="1389E2C8"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FYM @ 5 t ha</w:t>
            </w:r>
            <w:r w:rsidRPr="00B36A1C">
              <w:rPr>
                <w:rFonts w:ascii="Arial" w:hAnsi="Arial" w:cs="Arial"/>
                <w:sz w:val="20"/>
                <w:szCs w:val="20"/>
                <w:vertAlign w:val="superscript"/>
              </w:rPr>
              <w:t>-1</w:t>
            </w:r>
          </w:p>
        </w:tc>
      </w:tr>
      <w:tr w:rsidR="00F53183" w:rsidRPr="00B36A1C" w14:paraId="750563CB" w14:textId="77777777" w:rsidTr="00B02221">
        <w:tc>
          <w:tcPr>
            <w:tcW w:w="1458" w:type="dxa"/>
          </w:tcPr>
          <w:p w14:paraId="10BDF1F3"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T4</w:t>
            </w:r>
          </w:p>
        </w:tc>
        <w:tc>
          <w:tcPr>
            <w:tcW w:w="7650" w:type="dxa"/>
          </w:tcPr>
          <w:p w14:paraId="61F7A86E"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 xml:space="preserve">STBFR + </w:t>
            </w:r>
            <w:proofErr w:type="gramStart"/>
            <w:r w:rsidRPr="00B36A1C">
              <w:rPr>
                <w:rFonts w:ascii="Arial" w:hAnsi="Arial" w:cs="Arial"/>
                <w:sz w:val="20"/>
                <w:szCs w:val="20"/>
              </w:rPr>
              <w:t>Lime  @</w:t>
            </w:r>
            <w:proofErr w:type="gramEnd"/>
            <w:r w:rsidRPr="00B36A1C">
              <w:rPr>
                <w:rFonts w:ascii="Arial" w:hAnsi="Arial" w:cs="Arial"/>
                <w:sz w:val="20"/>
                <w:szCs w:val="20"/>
              </w:rPr>
              <w:t xml:space="preserve"> 0.1 LR</w:t>
            </w:r>
          </w:p>
        </w:tc>
      </w:tr>
      <w:tr w:rsidR="00F53183" w:rsidRPr="00B36A1C" w14:paraId="446608A4" w14:textId="77777777" w:rsidTr="00B02221">
        <w:tc>
          <w:tcPr>
            <w:tcW w:w="1458" w:type="dxa"/>
          </w:tcPr>
          <w:p w14:paraId="6AD248CC"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T5</w:t>
            </w:r>
          </w:p>
        </w:tc>
        <w:tc>
          <w:tcPr>
            <w:tcW w:w="7650" w:type="dxa"/>
          </w:tcPr>
          <w:p w14:paraId="203FA33C"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Sulphur @ 30 kg ha</w:t>
            </w:r>
            <w:r w:rsidRPr="00B36A1C">
              <w:rPr>
                <w:rFonts w:ascii="Arial" w:hAnsi="Arial" w:cs="Arial"/>
                <w:sz w:val="20"/>
                <w:szCs w:val="20"/>
                <w:vertAlign w:val="superscript"/>
              </w:rPr>
              <w:t>-1</w:t>
            </w:r>
          </w:p>
        </w:tc>
      </w:tr>
      <w:tr w:rsidR="00F53183" w:rsidRPr="00B36A1C" w14:paraId="141ACC91" w14:textId="77777777" w:rsidTr="00B02221">
        <w:tc>
          <w:tcPr>
            <w:tcW w:w="1458" w:type="dxa"/>
          </w:tcPr>
          <w:p w14:paraId="19665F3C"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T6</w:t>
            </w:r>
          </w:p>
        </w:tc>
        <w:tc>
          <w:tcPr>
            <w:tcW w:w="7650" w:type="dxa"/>
          </w:tcPr>
          <w:p w14:paraId="07604A9B"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Biofertilizer (</w:t>
            </w:r>
            <w:proofErr w:type="spellStart"/>
            <w:r w:rsidRPr="00B36A1C">
              <w:rPr>
                <w:rFonts w:ascii="Arial" w:hAnsi="Arial" w:cs="Arial"/>
                <w:i/>
                <w:iCs/>
                <w:sz w:val="20"/>
                <w:szCs w:val="20"/>
              </w:rPr>
              <w:t>Azotobacter</w:t>
            </w:r>
            <w:proofErr w:type="spellEnd"/>
            <w:r w:rsidRPr="00B36A1C">
              <w:rPr>
                <w:rFonts w:ascii="Arial" w:hAnsi="Arial" w:cs="Arial"/>
                <w:sz w:val="20"/>
                <w:szCs w:val="20"/>
              </w:rPr>
              <w:t xml:space="preserve"> + </w:t>
            </w:r>
            <w:proofErr w:type="spellStart"/>
            <w:r w:rsidRPr="00B36A1C">
              <w:rPr>
                <w:rFonts w:ascii="Arial" w:hAnsi="Arial" w:cs="Arial"/>
                <w:i/>
                <w:iCs/>
                <w:sz w:val="20"/>
                <w:szCs w:val="20"/>
              </w:rPr>
              <w:t>Azospirillum</w:t>
            </w:r>
            <w:proofErr w:type="spellEnd"/>
            <w:r w:rsidRPr="00B36A1C">
              <w:rPr>
                <w:rFonts w:ascii="Arial" w:hAnsi="Arial" w:cs="Arial"/>
                <w:sz w:val="20"/>
                <w:szCs w:val="20"/>
              </w:rPr>
              <w:t xml:space="preserve"> + PSB @ 4 kg ha</w:t>
            </w:r>
            <w:r w:rsidRPr="00B36A1C">
              <w:rPr>
                <w:rFonts w:ascii="Arial" w:hAnsi="Arial" w:cs="Arial"/>
                <w:sz w:val="20"/>
                <w:szCs w:val="20"/>
                <w:vertAlign w:val="superscript"/>
              </w:rPr>
              <w:t>-1</w:t>
            </w:r>
            <w:r w:rsidRPr="00B36A1C">
              <w:rPr>
                <w:rFonts w:ascii="Arial" w:hAnsi="Arial" w:cs="Arial"/>
                <w:sz w:val="20"/>
                <w:szCs w:val="20"/>
              </w:rPr>
              <w:t xml:space="preserve"> each)</w:t>
            </w:r>
          </w:p>
        </w:tc>
      </w:tr>
      <w:tr w:rsidR="00F53183" w:rsidRPr="00B36A1C" w14:paraId="4DE1D9CE" w14:textId="77777777" w:rsidTr="00B02221">
        <w:tc>
          <w:tcPr>
            <w:tcW w:w="1458" w:type="dxa"/>
          </w:tcPr>
          <w:p w14:paraId="63268940"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T7</w:t>
            </w:r>
          </w:p>
        </w:tc>
        <w:tc>
          <w:tcPr>
            <w:tcW w:w="7650" w:type="dxa"/>
          </w:tcPr>
          <w:p w14:paraId="586C4D64"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p>
        </w:tc>
      </w:tr>
      <w:tr w:rsidR="00F53183" w:rsidRPr="00B36A1C" w14:paraId="5E355C4E" w14:textId="77777777" w:rsidTr="00B02221">
        <w:tc>
          <w:tcPr>
            <w:tcW w:w="1458" w:type="dxa"/>
          </w:tcPr>
          <w:p w14:paraId="6C6DA3ED"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T8</w:t>
            </w:r>
          </w:p>
        </w:tc>
        <w:tc>
          <w:tcPr>
            <w:tcW w:w="7650" w:type="dxa"/>
          </w:tcPr>
          <w:p w14:paraId="4536B11C"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GM with cowpea + Lime @ 0.1 LR</w:t>
            </w:r>
          </w:p>
        </w:tc>
      </w:tr>
      <w:tr w:rsidR="00F53183" w:rsidRPr="00B36A1C" w14:paraId="6D591994" w14:textId="77777777" w:rsidTr="00B02221">
        <w:tc>
          <w:tcPr>
            <w:tcW w:w="1458" w:type="dxa"/>
          </w:tcPr>
          <w:p w14:paraId="40231412"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T9</w:t>
            </w:r>
          </w:p>
        </w:tc>
        <w:tc>
          <w:tcPr>
            <w:tcW w:w="7650" w:type="dxa"/>
          </w:tcPr>
          <w:p w14:paraId="1CC5DA6C"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FYM @ 5 t ha</w:t>
            </w:r>
            <w:r w:rsidRPr="00B36A1C">
              <w:rPr>
                <w:rFonts w:ascii="Arial" w:hAnsi="Arial" w:cs="Arial"/>
                <w:sz w:val="20"/>
                <w:szCs w:val="20"/>
                <w:vertAlign w:val="superscript"/>
              </w:rPr>
              <w:t>-1</w:t>
            </w:r>
            <w:r w:rsidRPr="00B36A1C">
              <w:rPr>
                <w:rFonts w:ascii="Arial" w:hAnsi="Arial" w:cs="Arial"/>
                <w:sz w:val="20"/>
                <w:szCs w:val="20"/>
              </w:rPr>
              <w:t xml:space="preserve"> + Lime @ 0.1 LR</w:t>
            </w:r>
          </w:p>
        </w:tc>
      </w:tr>
      <w:tr w:rsidR="00F53183" w:rsidRPr="00B36A1C" w14:paraId="017E1036" w14:textId="77777777" w:rsidTr="00B02221">
        <w:tc>
          <w:tcPr>
            <w:tcW w:w="1458" w:type="dxa"/>
          </w:tcPr>
          <w:p w14:paraId="0E373363"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T10</w:t>
            </w:r>
          </w:p>
        </w:tc>
        <w:tc>
          <w:tcPr>
            <w:tcW w:w="7650" w:type="dxa"/>
          </w:tcPr>
          <w:p w14:paraId="76BB10BD"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Lime @ 0.1 LR</w:t>
            </w:r>
          </w:p>
        </w:tc>
      </w:tr>
      <w:tr w:rsidR="00F53183" w:rsidRPr="00B36A1C" w14:paraId="285A6EAD" w14:textId="77777777" w:rsidTr="00B02221">
        <w:tc>
          <w:tcPr>
            <w:tcW w:w="1458" w:type="dxa"/>
          </w:tcPr>
          <w:p w14:paraId="5C408A4F"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T11</w:t>
            </w:r>
          </w:p>
        </w:tc>
        <w:tc>
          <w:tcPr>
            <w:tcW w:w="7650" w:type="dxa"/>
          </w:tcPr>
          <w:p w14:paraId="3306D65D"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Sulphur @ 30 kg ha</w:t>
            </w:r>
            <w:r w:rsidRPr="00B36A1C">
              <w:rPr>
                <w:rFonts w:ascii="Arial" w:hAnsi="Arial" w:cs="Arial"/>
                <w:sz w:val="20"/>
                <w:szCs w:val="20"/>
                <w:vertAlign w:val="superscript"/>
              </w:rPr>
              <w:t>-1</w:t>
            </w:r>
          </w:p>
        </w:tc>
      </w:tr>
      <w:tr w:rsidR="00F53183" w:rsidRPr="00B36A1C" w14:paraId="23964273" w14:textId="77777777" w:rsidTr="00B02221">
        <w:tc>
          <w:tcPr>
            <w:tcW w:w="1458" w:type="dxa"/>
          </w:tcPr>
          <w:p w14:paraId="3054A1DD" w14:textId="77777777" w:rsidR="00F53183" w:rsidRPr="00B36A1C" w:rsidRDefault="00F53183" w:rsidP="00B02221">
            <w:pPr>
              <w:jc w:val="center"/>
              <w:rPr>
                <w:rFonts w:ascii="Arial" w:hAnsi="Arial" w:cs="Arial"/>
                <w:sz w:val="20"/>
                <w:szCs w:val="20"/>
              </w:rPr>
            </w:pPr>
            <w:r w:rsidRPr="00B36A1C">
              <w:rPr>
                <w:rFonts w:ascii="Arial" w:hAnsi="Arial" w:cs="Arial"/>
                <w:sz w:val="20"/>
                <w:szCs w:val="20"/>
              </w:rPr>
              <w:t>T12</w:t>
            </w:r>
          </w:p>
        </w:tc>
        <w:tc>
          <w:tcPr>
            <w:tcW w:w="7650" w:type="dxa"/>
          </w:tcPr>
          <w:p w14:paraId="39D26BE9" w14:textId="77777777" w:rsidR="00F53183" w:rsidRPr="00B36A1C" w:rsidRDefault="00F53183" w:rsidP="00B02221">
            <w:pPr>
              <w:jc w:val="both"/>
              <w:rPr>
                <w:rFonts w:ascii="Arial" w:hAnsi="Arial" w:cs="Arial"/>
                <w:sz w:val="20"/>
                <w:szCs w:val="20"/>
              </w:rPr>
            </w:pPr>
            <w:r w:rsidRPr="00B36A1C">
              <w:rPr>
                <w:rFonts w:ascii="Arial" w:hAnsi="Arial" w:cs="Arial"/>
                <w:sz w:val="20"/>
                <w:szCs w:val="20"/>
              </w:rPr>
              <w:t>STBFR + GM with cowpea + FYM @ 5 t ha</w:t>
            </w:r>
            <w:r w:rsidRPr="00B36A1C">
              <w:rPr>
                <w:rFonts w:ascii="Arial" w:hAnsi="Arial" w:cs="Arial"/>
                <w:sz w:val="20"/>
                <w:szCs w:val="20"/>
                <w:vertAlign w:val="superscript"/>
              </w:rPr>
              <w:t>-1</w:t>
            </w:r>
            <w:r w:rsidRPr="00B36A1C">
              <w:rPr>
                <w:rFonts w:ascii="Arial" w:hAnsi="Arial" w:cs="Arial"/>
                <w:sz w:val="20"/>
                <w:szCs w:val="20"/>
              </w:rPr>
              <w:t xml:space="preserve"> + Biofertilizer (</w:t>
            </w:r>
            <w:r w:rsidRPr="00B36A1C">
              <w:rPr>
                <w:rFonts w:ascii="Arial" w:hAnsi="Arial" w:cs="Arial"/>
                <w:i/>
                <w:iCs/>
                <w:sz w:val="20"/>
                <w:szCs w:val="20"/>
              </w:rPr>
              <w:t>Azotobacter</w:t>
            </w:r>
            <w:r w:rsidRPr="00B36A1C">
              <w:rPr>
                <w:rFonts w:ascii="Arial" w:hAnsi="Arial" w:cs="Arial"/>
                <w:sz w:val="20"/>
                <w:szCs w:val="20"/>
              </w:rPr>
              <w:t xml:space="preserve"> +</w:t>
            </w:r>
          </w:p>
          <w:p w14:paraId="58828E34" w14:textId="77777777" w:rsidR="00F53183" w:rsidRPr="00B36A1C" w:rsidRDefault="00F53183" w:rsidP="00B02221">
            <w:pPr>
              <w:jc w:val="both"/>
              <w:rPr>
                <w:rFonts w:ascii="Arial" w:hAnsi="Arial" w:cs="Arial"/>
                <w:sz w:val="20"/>
                <w:szCs w:val="20"/>
              </w:rPr>
            </w:pPr>
            <w:proofErr w:type="spellStart"/>
            <w:r w:rsidRPr="00B36A1C">
              <w:rPr>
                <w:rFonts w:ascii="Arial" w:hAnsi="Arial" w:cs="Arial"/>
                <w:i/>
                <w:iCs/>
                <w:sz w:val="20"/>
                <w:szCs w:val="20"/>
              </w:rPr>
              <w:t>Azospirillum</w:t>
            </w:r>
            <w:proofErr w:type="spellEnd"/>
            <w:r w:rsidRPr="00B36A1C">
              <w:rPr>
                <w:rFonts w:ascii="Arial" w:hAnsi="Arial" w:cs="Arial"/>
                <w:sz w:val="20"/>
                <w:szCs w:val="20"/>
              </w:rPr>
              <w:t xml:space="preserve"> + PSB @ 4 kg ha</w:t>
            </w:r>
            <w:r w:rsidRPr="00B36A1C">
              <w:rPr>
                <w:rFonts w:ascii="Arial" w:hAnsi="Arial" w:cs="Arial"/>
                <w:sz w:val="20"/>
                <w:szCs w:val="20"/>
                <w:vertAlign w:val="superscript"/>
              </w:rPr>
              <w:t>-1</w:t>
            </w:r>
            <w:r w:rsidRPr="00B36A1C">
              <w:rPr>
                <w:rFonts w:ascii="Arial" w:hAnsi="Arial" w:cs="Arial"/>
                <w:sz w:val="20"/>
                <w:szCs w:val="20"/>
              </w:rPr>
              <w:t xml:space="preserve"> each)</w:t>
            </w:r>
          </w:p>
        </w:tc>
      </w:tr>
    </w:tbl>
    <w:p w14:paraId="567FFC49" w14:textId="77777777" w:rsidR="00223962" w:rsidRPr="00B36A1C" w:rsidRDefault="00223962" w:rsidP="00223962">
      <w:pPr>
        <w:spacing w:after="0" w:line="240" w:lineRule="auto"/>
        <w:jc w:val="both"/>
        <w:rPr>
          <w:rFonts w:ascii="Arial" w:hAnsi="Arial" w:cs="Arial"/>
          <w:sz w:val="20"/>
          <w:szCs w:val="20"/>
        </w:rPr>
      </w:pPr>
    </w:p>
    <w:p w14:paraId="06FE5371" w14:textId="77777777" w:rsidR="004B0E51" w:rsidRPr="00B36A1C" w:rsidRDefault="00A1162E" w:rsidP="00223962">
      <w:pPr>
        <w:spacing w:after="0" w:line="240" w:lineRule="auto"/>
        <w:jc w:val="both"/>
        <w:rPr>
          <w:rFonts w:ascii="Arial" w:hAnsi="Arial" w:cs="Arial"/>
          <w:sz w:val="20"/>
          <w:szCs w:val="20"/>
        </w:rPr>
      </w:pPr>
      <w:r w:rsidRPr="00B36A1C">
        <w:rPr>
          <w:rFonts w:ascii="Arial" w:hAnsi="Arial" w:cs="Arial"/>
          <w:sz w:val="20"/>
          <w:szCs w:val="20"/>
        </w:rPr>
        <w:t>In maize crop FYM @ 5 t ha</w:t>
      </w:r>
      <w:r w:rsidRPr="00B36A1C">
        <w:rPr>
          <w:rFonts w:ascii="Arial" w:hAnsi="Arial" w:cs="Arial"/>
          <w:sz w:val="20"/>
          <w:szCs w:val="20"/>
          <w:vertAlign w:val="superscript"/>
        </w:rPr>
        <w:t>-1</w:t>
      </w:r>
      <w:r w:rsidRPr="00B36A1C">
        <w:rPr>
          <w:rFonts w:ascii="Arial" w:hAnsi="Arial" w:cs="Arial"/>
          <w:sz w:val="20"/>
          <w:szCs w:val="20"/>
        </w:rPr>
        <w:t xml:space="preserve"> was applied at the time of last ploughing as per the treatment.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lime as CaCO</w:t>
      </w:r>
      <w:r w:rsidRPr="00B36A1C">
        <w:rPr>
          <w:rFonts w:ascii="Arial" w:hAnsi="Arial" w:cs="Arial"/>
          <w:sz w:val="20"/>
          <w:szCs w:val="20"/>
          <w:vertAlign w:val="subscript"/>
        </w:rPr>
        <w:t>3</w:t>
      </w:r>
      <w:r w:rsidRPr="00B36A1C">
        <w:rPr>
          <w:rFonts w:ascii="Arial" w:hAnsi="Arial" w:cs="Arial"/>
          <w:sz w:val="20"/>
          <w:szCs w:val="20"/>
        </w:rPr>
        <w:t xml:space="preserve"> @</w:t>
      </w:r>
      <w:r w:rsidR="009B72B1" w:rsidRPr="00B36A1C">
        <w:rPr>
          <w:rFonts w:ascii="Arial" w:hAnsi="Arial" w:cs="Arial"/>
          <w:sz w:val="20"/>
          <w:szCs w:val="20"/>
        </w:rPr>
        <w:t xml:space="preserve"> </w:t>
      </w:r>
      <w:r w:rsidRPr="00B36A1C">
        <w:rPr>
          <w:rFonts w:ascii="Arial" w:hAnsi="Arial" w:cs="Arial"/>
          <w:sz w:val="20"/>
          <w:szCs w:val="20"/>
        </w:rPr>
        <w:t>580 kg ha</w:t>
      </w:r>
      <w:r w:rsidRPr="00B36A1C">
        <w:rPr>
          <w:rFonts w:ascii="Arial" w:hAnsi="Arial" w:cs="Arial"/>
          <w:sz w:val="20"/>
          <w:szCs w:val="20"/>
          <w:vertAlign w:val="superscript"/>
        </w:rPr>
        <w:t>-1</w:t>
      </w:r>
      <w:r w:rsidRPr="00B36A1C">
        <w:rPr>
          <w:rFonts w:ascii="Arial" w:hAnsi="Arial" w:cs="Arial"/>
          <w:sz w:val="20"/>
          <w:szCs w:val="20"/>
        </w:rPr>
        <w:t xml:space="preserve">, </w:t>
      </w:r>
      <w:proofErr w:type="spellStart"/>
      <w:r w:rsidRPr="00B36A1C">
        <w:rPr>
          <w:rFonts w:ascii="Arial" w:hAnsi="Arial" w:cs="Arial"/>
          <w:sz w:val="20"/>
          <w:szCs w:val="20"/>
        </w:rPr>
        <w:t>sulphur</w:t>
      </w:r>
      <w:proofErr w:type="spellEnd"/>
      <w:r w:rsidRPr="00B36A1C">
        <w:rPr>
          <w:rFonts w:ascii="Arial" w:hAnsi="Arial" w:cs="Arial"/>
          <w:sz w:val="20"/>
          <w:szCs w:val="20"/>
        </w:rPr>
        <w:t xml:space="preserve"> @ 30 kg ha</w:t>
      </w:r>
      <w:r w:rsidRPr="00B36A1C">
        <w:rPr>
          <w:rFonts w:ascii="Arial" w:hAnsi="Arial" w:cs="Arial"/>
          <w:sz w:val="20"/>
          <w:szCs w:val="20"/>
          <w:vertAlign w:val="superscript"/>
        </w:rPr>
        <w:t>-1</w:t>
      </w:r>
      <w:r w:rsidRPr="00B36A1C">
        <w:rPr>
          <w:rFonts w:ascii="Arial" w:hAnsi="Arial" w:cs="Arial"/>
          <w:sz w:val="20"/>
          <w:szCs w:val="20"/>
        </w:rPr>
        <w:t xml:space="preserve">, </w:t>
      </w:r>
      <w:proofErr w:type="spellStart"/>
      <w:r w:rsidRPr="00B36A1C">
        <w:rPr>
          <w:rFonts w:ascii="Arial" w:hAnsi="Arial" w:cs="Arial"/>
          <w:sz w:val="20"/>
          <w:szCs w:val="20"/>
        </w:rPr>
        <w:t>biofertilisers</w:t>
      </w:r>
      <w:proofErr w:type="spellEnd"/>
      <w:r w:rsidRPr="00B36A1C">
        <w:rPr>
          <w:rFonts w:ascii="Arial" w:hAnsi="Arial" w:cs="Arial"/>
          <w:sz w:val="20"/>
          <w:szCs w:val="20"/>
        </w:rPr>
        <w:t xml:space="preserve"> (</w:t>
      </w:r>
      <w:proofErr w:type="spellStart"/>
      <w:r w:rsidRPr="00B36A1C">
        <w:rPr>
          <w:rFonts w:ascii="Arial" w:hAnsi="Arial" w:cs="Arial"/>
          <w:i/>
          <w:iCs/>
          <w:sz w:val="20"/>
          <w:szCs w:val="20"/>
        </w:rPr>
        <w:t>Azotobacter</w:t>
      </w:r>
      <w:proofErr w:type="spellEnd"/>
      <w:r w:rsidRPr="00B36A1C">
        <w:rPr>
          <w:rFonts w:ascii="Arial" w:hAnsi="Arial" w:cs="Arial"/>
          <w:sz w:val="20"/>
          <w:szCs w:val="20"/>
        </w:rPr>
        <w:t xml:space="preserve"> + </w:t>
      </w:r>
      <w:proofErr w:type="spellStart"/>
      <w:r w:rsidRPr="00B36A1C">
        <w:rPr>
          <w:rFonts w:ascii="Arial" w:hAnsi="Arial" w:cs="Arial"/>
          <w:i/>
          <w:iCs/>
          <w:sz w:val="20"/>
          <w:szCs w:val="20"/>
        </w:rPr>
        <w:t>Azospirillum</w:t>
      </w:r>
      <w:proofErr w:type="spellEnd"/>
      <w:r w:rsidRPr="00B36A1C">
        <w:rPr>
          <w:rFonts w:ascii="Arial" w:hAnsi="Arial" w:cs="Arial"/>
          <w:sz w:val="20"/>
          <w:szCs w:val="20"/>
        </w:rPr>
        <w:t xml:space="preserve"> + PS</w:t>
      </w:r>
      <w:r w:rsidR="00DD1009" w:rsidRPr="00B36A1C">
        <w:rPr>
          <w:rFonts w:ascii="Arial" w:hAnsi="Arial" w:cs="Arial"/>
          <w:sz w:val="20"/>
          <w:szCs w:val="20"/>
        </w:rPr>
        <w:t xml:space="preserve">B </w:t>
      </w:r>
      <w:r w:rsidRPr="00B36A1C">
        <w:rPr>
          <w:rFonts w:ascii="Arial" w:hAnsi="Arial" w:cs="Arial"/>
          <w:sz w:val="20"/>
          <w:szCs w:val="20"/>
        </w:rPr>
        <w:t>@ 4 kg ha</w:t>
      </w:r>
      <w:r w:rsidRPr="00B36A1C">
        <w:rPr>
          <w:rFonts w:ascii="Arial" w:hAnsi="Arial" w:cs="Arial"/>
          <w:sz w:val="20"/>
          <w:szCs w:val="20"/>
          <w:vertAlign w:val="superscript"/>
        </w:rPr>
        <w:t>-1</w:t>
      </w:r>
      <w:r w:rsidRPr="00B36A1C">
        <w:rPr>
          <w:rFonts w:ascii="Arial" w:hAnsi="Arial" w:cs="Arial"/>
          <w:sz w:val="20"/>
          <w:szCs w:val="20"/>
        </w:rPr>
        <w:t xml:space="preserve"> each) were applied to the crop as per the treatments. Full dose of P, K</w:t>
      </w:r>
      <w:r w:rsidR="009B72B1" w:rsidRPr="00B36A1C">
        <w:rPr>
          <w:rFonts w:ascii="Arial" w:hAnsi="Arial" w:cs="Arial"/>
          <w:sz w:val="20"/>
          <w:szCs w:val="20"/>
        </w:rPr>
        <w:t xml:space="preserve"> and </w:t>
      </w:r>
      <w:r w:rsidR="00E44AC9" w:rsidRPr="00B36A1C">
        <w:rPr>
          <w:rFonts w:ascii="Arial" w:hAnsi="Arial" w:cs="Arial"/>
          <w:sz w:val="20"/>
          <w:szCs w:val="20"/>
        </w:rPr>
        <w:t>25% N in form of DAP, MOP and u</w:t>
      </w:r>
      <w:r w:rsidRPr="00B36A1C">
        <w:rPr>
          <w:rFonts w:ascii="Arial" w:hAnsi="Arial" w:cs="Arial"/>
          <w:sz w:val="20"/>
          <w:szCs w:val="20"/>
        </w:rPr>
        <w:t xml:space="preserve">rea were applied as basal and rest 50% </w:t>
      </w:r>
      <w:r w:rsidR="009B72B1" w:rsidRPr="00B36A1C">
        <w:rPr>
          <w:rFonts w:ascii="Arial" w:hAnsi="Arial" w:cs="Arial"/>
          <w:sz w:val="20"/>
          <w:szCs w:val="20"/>
        </w:rPr>
        <w:t xml:space="preserve">and </w:t>
      </w:r>
      <w:r w:rsidRPr="00B36A1C">
        <w:rPr>
          <w:rFonts w:ascii="Arial" w:hAnsi="Arial" w:cs="Arial"/>
          <w:sz w:val="20"/>
          <w:szCs w:val="20"/>
        </w:rPr>
        <w:t xml:space="preserve">25% N were applied to the </w:t>
      </w:r>
      <w:r w:rsidR="00E44AC9" w:rsidRPr="00B36A1C">
        <w:rPr>
          <w:rFonts w:ascii="Arial" w:hAnsi="Arial" w:cs="Arial"/>
          <w:sz w:val="20"/>
          <w:szCs w:val="20"/>
        </w:rPr>
        <w:t xml:space="preserve">maize </w:t>
      </w:r>
      <w:r w:rsidRPr="00B36A1C">
        <w:rPr>
          <w:rFonts w:ascii="Arial" w:hAnsi="Arial" w:cs="Arial"/>
          <w:sz w:val="20"/>
          <w:szCs w:val="20"/>
        </w:rPr>
        <w:t xml:space="preserve">crop at first </w:t>
      </w:r>
      <w:r w:rsidR="009B72B1" w:rsidRPr="00B36A1C">
        <w:rPr>
          <w:rFonts w:ascii="Arial" w:hAnsi="Arial" w:cs="Arial"/>
          <w:sz w:val="20"/>
          <w:szCs w:val="20"/>
        </w:rPr>
        <w:t xml:space="preserve">and </w:t>
      </w:r>
      <w:r w:rsidRPr="00B36A1C">
        <w:rPr>
          <w:rFonts w:ascii="Arial" w:hAnsi="Arial" w:cs="Arial"/>
          <w:sz w:val="20"/>
          <w:szCs w:val="20"/>
        </w:rPr>
        <w:t xml:space="preserve">second earthing up, respectively. </w:t>
      </w:r>
      <w:r w:rsidR="004C7165" w:rsidRPr="00B36A1C">
        <w:rPr>
          <w:rFonts w:ascii="Arial" w:hAnsi="Arial" w:cs="Arial"/>
          <w:sz w:val="20"/>
          <w:szCs w:val="20"/>
        </w:rPr>
        <w:t>Maize hybrid variety Kaveri was sown with a spacing of 60 cm x 30 cm and seed rate of 15 kg ha</w:t>
      </w:r>
      <w:r w:rsidR="004C7165" w:rsidRPr="00B36A1C">
        <w:rPr>
          <w:rFonts w:ascii="Arial" w:hAnsi="Arial" w:cs="Arial"/>
          <w:sz w:val="20"/>
          <w:szCs w:val="20"/>
          <w:vertAlign w:val="superscript"/>
        </w:rPr>
        <w:t>-1</w:t>
      </w:r>
      <w:r w:rsidR="004C7165" w:rsidRPr="00B36A1C">
        <w:rPr>
          <w:rFonts w:ascii="Arial" w:hAnsi="Arial" w:cs="Arial"/>
          <w:sz w:val="20"/>
          <w:szCs w:val="20"/>
        </w:rPr>
        <w:t xml:space="preserve"> in </w:t>
      </w:r>
      <w:r w:rsidR="004C7165" w:rsidRPr="00B36A1C">
        <w:rPr>
          <w:rFonts w:ascii="Arial" w:hAnsi="Arial" w:cs="Arial"/>
          <w:i/>
          <w:sz w:val="20"/>
          <w:szCs w:val="20"/>
        </w:rPr>
        <w:t>kharif</w:t>
      </w:r>
      <w:r w:rsidR="004C7165" w:rsidRPr="00B36A1C">
        <w:rPr>
          <w:rFonts w:ascii="Arial" w:hAnsi="Arial" w:cs="Arial"/>
          <w:sz w:val="20"/>
          <w:szCs w:val="20"/>
        </w:rPr>
        <w:t xml:space="preserve"> season. In the plots with green manure, cowpea was sown between two rows of maize and incorporated cowpea as green leaf manure after harvesting of green pods. </w:t>
      </w:r>
      <w:r w:rsidRPr="00B36A1C">
        <w:rPr>
          <w:rFonts w:ascii="Arial" w:hAnsi="Arial" w:cs="Arial"/>
          <w:sz w:val="20"/>
          <w:szCs w:val="20"/>
        </w:rPr>
        <w:t>Toria (var. Anuradha) was sown in the same plot with a row spacing of 30 cm using a seed rate of 7.5 kg ha</w:t>
      </w:r>
      <w:r w:rsidRPr="00B36A1C">
        <w:rPr>
          <w:rFonts w:ascii="Arial" w:hAnsi="Arial" w:cs="Arial"/>
          <w:sz w:val="20"/>
          <w:szCs w:val="20"/>
          <w:vertAlign w:val="superscript"/>
        </w:rPr>
        <w:t>-1</w:t>
      </w:r>
      <w:r w:rsidRPr="00B36A1C">
        <w:rPr>
          <w:rFonts w:ascii="Arial" w:hAnsi="Arial" w:cs="Arial"/>
          <w:sz w:val="20"/>
          <w:szCs w:val="20"/>
        </w:rPr>
        <w:t xml:space="preserve"> after harvest of maize in residual soil fertility</w:t>
      </w:r>
      <w:r w:rsidR="00E44AC9" w:rsidRPr="00B36A1C">
        <w:rPr>
          <w:rFonts w:ascii="Arial" w:hAnsi="Arial" w:cs="Arial"/>
          <w:sz w:val="20"/>
          <w:szCs w:val="20"/>
        </w:rPr>
        <w:t xml:space="preserve"> and residual soil moisture in </w:t>
      </w:r>
      <w:r w:rsidR="00E44AC9" w:rsidRPr="00B36A1C">
        <w:rPr>
          <w:rFonts w:ascii="Arial" w:hAnsi="Arial" w:cs="Arial"/>
          <w:i/>
          <w:iCs/>
          <w:sz w:val="20"/>
          <w:szCs w:val="20"/>
        </w:rPr>
        <w:t>rabi</w:t>
      </w:r>
      <w:r w:rsidR="00E44AC9" w:rsidRPr="00B36A1C">
        <w:rPr>
          <w:rFonts w:ascii="Arial" w:hAnsi="Arial" w:cs="Arial"/>
          <w:sz w:val="20"/>
          <w:szCs w:val="20"/>
        </w:rPr>
        <w:t xml:space="preserve"> season</w:t>
      </w:r>
      <w:r w:rsidRPr="00B36A1C">
        <w:rPr>
          <w:rFonts w:ascii="Arial" w:hAnsi="Arial" w:cs="Arial"/>
          <w:sz w:val="20"/>
          <w:szCs w:val="20"/>
        </w:rPr>
        <w:t xml:space="preserve">. Plant to plant spacing of 10 cm was maintained by thinning operation at 21 </w:t>
      </w:r>
      <w:r w:rsidR="004C7165" w:rsidRPr="00B36A1C">
        <w:rPr>
          <w:rFonts w:ascii="Arial" w:hAnsi="Arial" w:cs="Arial"/>
          <w:sz w:val="20"/>
          <w:szCs w:val="20"/>
        </w:rPr>
        <w:t>days after sowing</w:t>
      </w:r>
      <w:r w:rsidRPr="00B36A1C">
        <w:rPr>
          <w:rFonts w:ascii="Arial" w:hAnsi="Arial" w:cs="Arial"/>
          <w:sz w:val="20"/>
          <w:szCs w:val="20"/>
        </w:rPr>
        <w:t>.</w:t>
      </w:r>
      <w:r w:rsidR="004C7165" w:rsidRPr="00B36A1C">
        <w:rPr>
          <w:rFonts w:ascii="Arial" w:hAnsi="Arial" w:cs="Arial"/>
          <w:sz w:val="20"/>
          <w:szCs w:val="20"/>
        </w:rPr>
        <w:t xml:space="preserve"> </w:t>
      </w:r>
    </w:p>
    <w:p w14:paraId="65D3BE23" w14:textId="77777777" w:rsidR="00266531" w:rsidRPr="00B36A1C" w:rsidRDefault="00266531" w:rsidP="00223962">
      <w:pPr>
        <w:spacing w:after="0" w:line="240" w:lineRule="auto"/>
        <w:jc w:val="both"/>
        <w:rPr>
          <w:rFonts w:ascii="Arial" w:hAnsi="Arial" w:cs="Arial"/>
          <w:b/>
          <w:bCs/>
          <w:sz w:val="20"/>
          <w:szCs w:val="20"/>
        </w:rPr>
      </w:pPr>
    </w:p>
    <w:p w14:paraId="07322560" w14:textId="77777777" w:rsidR="00574C90" w:rsidRPr="00B36A1C" w:rsidRDefault="00A646A6" w:rsidP="00223962">
      <w:pPr>
        <w:spacing w:after="0" w:line="240" w:lineRule="auto"/>
        <w:jc w:val="both"/>
        <w:rPr>
          <w:rFonts w:ascii="Arial" w:hAnsi="Arial" w:cs="Arial"/>
          <w:sz w:val="20"/>
          <w:szCs w:val="20"/>
        </w:rPr>
      </w:pPr>
      <w:r w:rsidRPr="00B36A1C">
        <w:rPr>
          <w:rFonts w:ascii="Arial" w:hAnsi="Arial" w:cs="Arial"/>
          <w:sz w:val="20"/>
          <w:szCs w:val="20"/>
        </w:rPr>
        <w:t xml:space="preserve">For estimation of microbial population and </w:t>
      </w:r>
      <w:r w:rsidR="004B0E51" w:rsidRPr="00B36A1C">
        <w:rPr>
          <w:rFonts w:ascii="Arial" w:hAnsi="Arial" w:cs="Arial"/>
          <w:sz w:val="20"/>
          <w:szCs w:val="20"/>
        </w:rPr>
        <w:t xml:space="preserve">soil enzymatic activities, the moist </w:t>
      </w:r>
      <w:r w:rsidRPr="00B36A1C">
        <w:rPr>
          <w:rFonts w:ascii="Arial" w:hAnsi="Arial" w:cs="Arial"/>
          <w:sz w:val="20"/>
          <w:szCs w:val="20"/>
        </w:rPr>
        <w:t xml:space="preserve">soil </w:t>
      </w:r>
      <w:r w:rsidR="004B0E51" w:rsidRPr="00B36A1C">
        <w:rPr>
          <w:rFonts w:ascii="Arial" w:hAnsi="Arial" w:cs="Arial"/>
          <w:sz w:val="20"/>
          <w:szCs w:val="20"/>
        </w:rPr>
        <w:t>samples were collected after final harvest</w:t>
      </w:r>
      <w:r w:rsidRPr="00B36A1C">
        <w:rPr>
          <w:rFonts w:ascii="Arial" w:hAnsi="Arial" w:cs="Arial"/>
          <w:sz w:val="20"/>
          <w:szCs w:val="20"/>
        </w:rPr>
        <w:t xml:space="preserve"> (after two years of experimentation)</w:t>
      </w:r>
      <w:r w:rsidR="004B0E51" w:rsidRPr="00B36A1C">
        <w:rPr>
          <w:rFonts w:ascii="Arial" w:hAnsi="Arial" w:cs="Arial"/>
          <w:sz w:val="20"/>
          <w:szCs w:val="20"/>
        </w:rPr>
        <w:t xml:space="preserve"> and preserved </w:t>
      </w:r>
      <w:r w:rsidRPr="00B36A1C">
        <w:rPr>
          <w:rFonts w:ascii="Arial" w:hAnsi="Arial" w:cs="Arial"/>
          <w:sz w:val="20"/>
          <w:szCs w:val="20"/>
        </w:rPr>
        <w:t xml:space="preserve">under refrigerated conditions for further analysis. </w:t>
      </w:r>
      <w:r w:rsidR="004B3F4E" w:rsidRPr="00B36A1C">
        <w:rPr>
          <w:rFonts w:ascii="Arial" w:hAnsi="Arial" w:cs="Arial"/>
          <w:sz w:val="20"/>
          <w:szCs w:val="20"/>
        </w:rPr>
        <w:t xml:space="preserve">For microbial count, a suspension was prepared by mixing 1 g of freshly collected soil sample with 10 ml of distilled water and mixed gently for uniform soil suspension. </w:t>
      </w:r>
      <w:r w:rsidR="004B3F4E" w:rsidRPr="00B36A1C">
        <w:rPr>
          <w:rFonts w:ascii="Arial" w:hAnsi="Arial" w:cs="Arial"/>
          <w:sz w:val="20"/>
          <w:szCs w:val="20"/>
        </w:rPr>
        <w:lastRenderedPageBreak/>
        <w:t>Aseptically 1 ml of the stock was transferred to a set of test tubes (5 nos.) containing 9 ml of dilutes for making a ten-fold serial dilution. From each dilution, 0.1 ml of the soil suspension was transferred to pre-sterilized culture media plate with the help of a micropipette. Minimum three replicates from each dilution were used for accuracy of colony counts. The soil suspension was spread over the culture media with the help of sterile L-spreader till complete spreading. Then the plates were incubated at 30</w:t>
      </w:r>
      <w:r w:rsidR="004B3F4E" w:rsidRPr="00B36A1C">
        <w:rPr>
          <w:rFonts w:ascii="Arial" w:hAnsi="Arial" w:cs="Arial"/>
          <w:sz w:val="20"/>
          <w:szCs w:val="20"/>
          <w:vertAlign w:val="superscript"/>
        </w:rPr>
        <w:t>0</w:t>
      </w:r>
      <w:r w:rsidR="004B3F4E" w:rsidRPr="00B36A1C">
        <w:rPr>
          <w:rFonts w:ascii="Arial" w:hAnsi="Arial" w:cs="Arial"/>
          <w:sz w:val="20"/>
          <w:szCs w:val="20"/>
        </w:rPr>
        <w:t>C ± 2</w:t>
      </w:r>
      <w:r w:rsidR="004B3F4E" w:rsidRPr="00B36A1C">
        <w:rPr>
          <w:rFonts w:ascii="Arial" w:hAnsi="Arial" w:cs="Arial"/>
          <w:sz w:val="20"/>
          <w:szCs w:val="20"/>
          <w:vertAlign w:val="superscript"/>
        </w:rPr>
        <w:t>0</w:t>
      </w:r>
      <w:r w:rsidR="003D645C" w:rsidRPr="00B36A1C">
        <w:rPr>
          <w:rFonts w:ascii="Arial" w:hAnsi="Arial" w:cs="Arial"/>
          <w:sz w:val="20"/>
          <w:szCs w:val="20"/>
        </w:rPr>
        <w:t>Cfor fungi (2-3 days),</w:t>
      </w:r>
      <w:r w:rsidR="004B3F4E" w:rsidRPr="00B36A1C">
        <w:rPr>
          <w:rFonts w:ascii="Arial" w:hAnsi="Arial" w:cs="Arial"/>
          <w:sz w:val="20"/>
          <w:szCs w:val="20"/>
        </w:rPr>
        <w:t xml:space="preserve"> bacteria (1-5 days) and </w:t>
      </w:r>
      <w:r w:rsidR="003D645C" w:rsidRPr="00B36A1C">
        <w:rPr>
          <w:rFonts w:ascii="Arial" w:hAnsi="Arial" w:cs="Arial"/>
          <w:sz w:val="20"/>
          <w:szCs w:val="20"/>
        </w:rPr>
        <w:t>f</w:t>
      </w:r>
      <w:r w:rsidR="004B3F4E" w:rsidRPr="00B36A1C">
        <w:rPr>
          <w:rFonts w:ascii="Arial" w:hAnsi="Arial" w:cs="Arial"/>
          <w:sz w:val="20"/>
          <w:szCs w:val="20"/>
        </w:rPr>
        <w:t>or actinomycetes (1 week). After the required incubation period, the colonies developed on agar plates were examined</w:t>
      </w:r>
      <w:r w:rsidR="008438D9" w:rsidRPr="00B36A1C">
        <w:rPr>
          <w:rFonts w:ascii="Arial" w:hAnsi="Arial" w:cs="Arial"/>
          <w:sz w:val="20"/>
          <w:szCs w:val="20"/>
        </w:rPr>
        <w:t xml:space="preserve"> </w:t>
      </w:r>
      <w:r w:rsidR="003D645C" w:rsidRPr="00B36A1C">
        <w:rPr>
          <w:rFonts w:ascii="Arial" w:hAnsi="Arial" w:cs="Arial"/>
          <w:sz w:val="20"/>
          <w:szCs w:val="20"/>
        </w:rPr>
        <w:t>and counted with the help of a digital colony counter</w:t>
      </w:r>
      <w:r w:rsidR="004B3F4E" w:rsidRPr="00B36A1C">
        <w:rPr>
          <w:rFonts w:ascii="Arial" w:hAnsi="Arial" w:cs="Arial"/>
          <w:sz w:val="20"/>
          <w:szCs w:val="20"/>
        </w:rPr>
        <w:t xml:space="preserve">. Nutrient agar, Rose Bengal chloramphenicol agar and Actinomycetes isolation agar medium were used for bacteria, fungi and actinomycetes, respectively. </w:t>
      </w:r>
      <w:r w:rsidRPr="00B36A1C">
        <w:rPr>
          <w:rFonts w:ascii="Arial" w:hAnsi="Arial" w:cs="Arial"/>
          <w:sz w:val="20"/>
          <w:szCs w:val="20"/>
        </w:rPr>
        <w:t xml:space="preserve">Colony forming units (CFU) were observed and accounted after the incubation period, and expressed as </w:t>
      </w:r>
      <w:proofErr w:type="spellStart"/>
      <w:r w:rsidRPr="00B36A1C">
        <w:rPr>
          <w:rFonts w:ascii="Arial" w:hAnsi="Arial" w:cs="Arial"/>
          <w:sz w:val="20"/>
          <w:szCs w:val="20"/>
        </w:rPr>
        <w:t>cfu</w:t>
      </w:r>
      <w:proofErr w:type="spellEnd"/>
      <w:r w:rsidRPr="00B36A1C">
        <w:rPr>
          <w:rFonts w:ascii="Arial" w:hAnsi="Arial" w:cs="Arial"/>
          <w:sz w:val="20"/>
          <w:szCs w:val="20"/>
        </w:rPr>
        <w:t xml:space="preserve"> g</w:t>
      </w:r>
      <w:r w:rsidRPr="00B36A1C">
        <w:rPr>
          <w:rFonts w:ascii="Arial" w:hAnsi="Arial" w:cs="Arial"/>
          <w:sz w:val="20"/>
          <w:szCs w:val="20"/>
          <w:vertAlign w:val="superscript"/>
        </w:rPr>
        <w:t>-1</w:t>
      </w:r>
      <w:r w:rsidRPr="00B36A1C">
        <w:rPr>
          <w:rFonts w:ascii="Arial" w:hAnsi="Arial" w:cs="Arial"/>
          <w:sz w:val="20"/>
          <w:szCs w:val="20"/>
        </w:rPr>
        <w:t xml:space="preserve"> soil. </w:t>
      </w:r>
      <w:r w:rsidR="00D51140" w:rsidRPr="00B36A1C">
        <w:rPr>
          <w:rFonts w:ascii="Arial" w:hAnsi="Arial" w:cs="Arial"/>
          <w:sz w:val="20"/>
          <w:szCs w:val="20"/>
        </w:rPr>
        <w:t>U</w:t>
      </w:r>
      <w:r w:rsidR="004B0E51" w:rsidRPr="00B36A1C">
        <w:rPr>
          <w:rFonts w:ascii="Arial" w:hAnsi="Arial" w:cs="Arial"/>
          <w:sz w:val="20"/>
          <w:szCs w:val="20"/>
        </w:rPr>
        <w:t>rease activity was measured following the method of Tabatabai and Bremner (1972)</w:t>
      </w:r>
      <w:r w:rsidR="00E30E90" w:rsidRPr="00B36A1C">
        <w:rPr>
          <w:rFonts w:ascii="Arial" w:hAnsi="Arial" w:cs="Arial"/>
          <w:sz w:val="20"/>
          <w:szCs w:val="20"/>
        </w:rPr>
        <w:t xml:space="preserve"> and expressed as </w:t>
      </w:r>
      <w:proofErr w:type="spellStart"/>
      <w:r w:rsidR="00E30E90" w:rsidRPr="00B36A1C">
        <w:rPr>
          <w:rFonts w:ascii="Arial" w:hAnsi="Arial" w:cs="Arial"/>
          <w:sz w:val="20"/>
          <w:szCs w:val="20"/>
        </w:rPr>
        <w:t>μg</w:t>
      </w:r>
      <w:proofErr w:type="spellEnd"/>
      <w:r w:rsidR="00E30E90" w:rsidRPr="00B36A1C">
        <w:rPr>
          <w:rFonts w:ascii="Arial" w:hAnsi="Arial" w:cs="Arial"/>
          <w:sz w:val="20"/>
          <w:szCs w:val="20"/>
        </w:rPr>
        <w:t xml:space="preserve"> NH</w:t>
      </w:r>
      <w:r w:rsidR="00E30E90" w:rsidRPr="00B36A1C">
        <w:rPr>
          <w:rFonts w:ascii="Arial" w:hAnsi="Arial" w:cs="Arial"/>
          <w:sz w:val="20"/>
          <w:szCs w:val="20"/>
          <w:vertAlign w:val="subscript"/>
        </w:rPr>
        <w:t>4</w:t>
      </w:r>
      <w:r w:rsidR="00E30E90" w:rsidRPr="00B36A1C">
        <w:rPr>
          <w:rFonts w:ascii="Arial" w:hAnsi="Arial" w:cs="Arial"/>
          <w:sz w:val="20"/>
          <w:szCs w:val="20"/>
          <w:vertAlign w:val="superscript"/>
        </w:rPr>
        <w:t>+</w:t>
      </w:r>
      <w:r w:rsidR="00E30E90" w:rsidRPr="00B36A1C">
        <w:rPr>
          <w:rFonts w:ascii="Arial" w:hAnsi="Arial" w:cs="Arial"/>
          <w:sz w:val="20"/>
          <w:szCs w:val="20"/>
        </w:rPr>
        <w:t>- N</w:t>
      </w:r>
      <w:r w:rsidR="00E30E90" w:rsidRPr="00B36A1C">
        <w:rPr>
          <w:rFonts w:ascii="Arial" w:hAnsi="Arial" w:cs="Arial"/>
          <w:sz w:val="20"/>
          <w:szCs w:val="20"/>
          <w:vertAlign w:val="subscript"/>
        </w:rPr>
        <w:t>2</w:t>
      </w:r>
      <w:r w:rsidR="00E30E90" w:rsidRPr="00B36A1C">
        <w:rPr>
          <w:rFonts w:ascii="Arial" w:hAnsi="Arial" w:cs="Arial"/>
          <w:sz w:val="20"/>
          <w:szCs w:val="20"/>
        </w:rPr>
        <w:t xml:space="preserve"> soil</w:t>
      </w:r>
      <w:r w:rsidR="00E30E90" w:rsidRPr="00B36A1C">
        <w:rPr>
          <w:rFonts w:ascii="Arial" w:hAnsi="Arial" w:cs="Arial"/>
          <w:sz w:val="20"/>
          <w:szCs w:val="20"/>
          <w:vertAlign w:val="superscript"/>
        </w:rPr>
        <w:t>-1</w:t>
      </w:r>
      <w:r w:rsidR="00E30E90" w:rsidRPr="00B36A1C">
        <w:rPr>
          <w:rFonts w:ascii="Arial" w:hAnsi="Arial" w:cs="Arial"/>
          <w:sz w:val="20"/>
          <w:szCs w:val="20"/>
        </w:rPr>
        <w:t xml:space="preserve"> h</w:t>
      </w:r>
      <w:r w:rsidR="00E30E90" w:rsidRPr="00B36A1C">
        <w:rPr>
          <w:rFonts w:ascii="Arial" w:hAnsi="Arial" w:cs="Arial"/>
          <w:sz w:val="20"/>
          <w:szCs w:val="20"/>
          <w:vertAlign w:val="superscript"/>
        </w:rPr>
        <w:t>-1</w:t>
      </w:r>
      <w:r w:rsidR="00E30E90" w:rsidRPr="00B36A1C">
        <w:rPr>
          <w:rFonts w:ascii="Arial" w:hAnsi="Arial" w:cs="Arial"/>
          <w:sz w:val="20"/>
          <w:szCs w:val="20"/>
        </w:rPr>
        <w:t>.</w:t>
      </w:r>
      <w:r w:rsidR="00D51140" w:rsidRPr="00B36A1C">
        <w:rPr>
          <w:rFonts w:ascii="Arial" w:hAnsi="Arial" w:cs="Arial"/>
          <w:sz w:val="20"/>
          <w:szCs w:val="20"/>
        </w:rPr>
        <w:t xml:space="preserve"> </w:t>
      </w:r>
      <w:r w:rsidR="00EE537B" w:rsidRPr="00B36A1C">
        <w:rPr>
          <w:rFonts w:ascii="Arial" w:hAnsi="Arial" w:cs="Arial"/>
          <w:sz w:val="20"/>
          <w:szCs w:val="20"/>
        </w:rPr>
        <w:t xml:space="preserve">As the studied soil was acidic, </w:t>
      </w:r>
      <w:r w:rsidR="00C30321" w:rsidRPr="00B36A1C">
        <w:rPr>
          <w:rFonts w:ascii="Arial" w:hAnsi="Arial" w:cs="Arial"/>
          <w:sz w:val="20"/>
          <w:szCs w:val="20"/>
        </w:rPr>
        <w:t xml:space="preserve">acid </w:t>
      </w:r>
      <w:r w:rsidR="008A3FA0" w:rsidRPr="00B36A1C">
        <w:rPr>
          <w:rFonts w:ascii="Arial" w:hAnsi="Arial" w:cs="Arial"/>
          <w:sz w:val="20"/>
          <w:szCs w:val="20"/>
        </w:rPr>
        <w:t>phosphatase was ass</w:t>
      </w:r>
      <w:r w:rsidR="009E6D4F" w:rsidRPr="00B36A1C">
        <w:rPr>
          <w:rFonts w:ascii="Arial" w:hAnsi="Arial" w:cs="Arial"/>
          <w:sz w:val="20"/>
          <w:szCs w:val="20"/>
        </w:rPr>
        <w:t xml:space="preserve">essed </w:t>
      </w:r>
      <w:r w:rsidR="008A3FA0" w:rsidRPr="00B36A1C">
        <w:rPr>
          <w:rFonts w:ascii="Arial" w:hAnsi="Arial" w:cs="Arial"/>
          <w:sz w:val="20"/>
          <w:szCs w:val="20"/>
        </w:rPr>
        <w:t xml:space="preserve">by the amount of p-nitrophenyl phosphate (PNP) produced as suggested by </w:t>
      </w:r>
      <w:proofErr w:type="spellStart"/>
      <w:r w:rsidR="008A3FA0" w:rsidRPr="00B36A1C">
        <w:rPr>
          <w:rFonts w:ascii="Arial" w:hAnsi="Arial" w:cs="Arial"/>
          <w:spacing w:val="-4"/>
          <w:sz w:val="20"/>
          <w:szCs w:val="20"/>
        </w:rPr>
        <w:t>Eivazi</w:t>
      </w:r>
      <w:proofErr w:type="spellEnd"/>
      <w:r w:rsidR="008A3FA0" w:rsidRPr="00B36A1C">
        <w:rPr>
          <w:rFonts w:ascii="Arial" w:hAnsi="Arial" w:cs="Arial"/>
          <w:spacing w:val="-4"/>
          <w:sz w:val="20"/>
          <w:szCs w:val="20"/>
        </w:rPr>
        <w:t xml:space="preserve"> and </w:t>
      </w:r>
      <w:proofErr w:type="spellStart"/>
      <w:r w:rsidR="008A3FA0" w:rsidRPr="00B36A1C">
        <w:rPr>
          <w:rFonts w:ascii="Arial" w:hAnsi="Arial" w:cs="Arial"/>
          <w:spacing w:val="-4"/>
          <w:sz w:val="20"/>
          <w:szCs w:val="20"/>
        </w:rPr>
        <w:t>Tabatabai</w:t>
      </w:r>
      <w:proofErr w:type="spellEnd"/>
      <w:r w:rsidR="008A3FA0" w:rsidRPr="00B36A1C">
        <w:rPr>
          <w:rFonts w:ascii="Arial" w:hAnsi="Arial" w:cs="Arial"/>
          <w:spacing w:val="-4"/>
          <w:sz w:val="20"/>
          <w:szCs w:val="20"/>
        </w:rPr>
        <w:t xml:space="preserve"> (1977) and expressed as </w:t>
      </w:r>
      <w:proofErr w:type="spellStart"/>
      <w:r w:rsidR="008A3FA0" w:rsidRPr="00B36A1C">
        <w:rPr>
          <w:rFonts w:ascii="Arial" w:hAnsi="Arial" w:cs="Arial"/>
          <w:sz w:val="20"/>
          <w:szCs w:val="20"/>
        </w:rPr>
        <w:t>μg</w:t>
      </w:r>
      <w:proofErr w:type="spellEnd"/>
      <w:r w:rsidR="008A3FA0" w:rsidRPr="00B36A1C">
        <w:rPr>
          <w:rFonts w:ascii="Arial" w:hAnsi="Arial" w:cs="Arial"/>
          <w:sz w:val="20"/>
          <w:szCs w:val="20"/>
        </w:rPr>
        <w:t xml:space="preserve"> PNP g soil</w:t>
      </w:r>
      <w:r w:rsidR="008A3FA0" w:rsidRPr="00B36A1C">
        <w:rPr>
          <w:rFonts w:ascii="Arial" w:hAnsi="Arial" w:cs="Arial"/>
          <w:sz w:val="20"/>
          <w:szCs w:val="20"/>
          <w:vertAlign w:val="superscript"/>
        </w:rPr>
        <w:t>-1</w:t>
      </w:r>
      <w:r w:rsidR="008A3FA0" w:rsidRPr="00B36A1C">
        <w:rPr>
          <w:rFonts w:ascii="Arial" w:hAnsi="Arial" w:cs="Arial"/>
          <w:sz w:val="20"/>
          <w:szCs w:val="20"/>
        </w:rPr>
        <w:t xml:space="preserve"> h</w:t>
      </w:r>
      <w:r w:rsidR="008A3FA0" w:rsidRPr="00B36A1C">
        <w:rPr>
          <w:rFonts w:ascii="Arial" w:hAnsi="Arial" w:cs="Arial"/>
          <w:sz w:val="20"/>
          <w:szCs w:val="20"/>
          <w:vertAlign w:val="superscript"/>
        </w:rPr>
        <w:t>-1</w:t>
      </w:r>
      <w:r w:rsidR="008A3FA0" w:rsidRPr="00B36A1C">
        <w:rPr>
          <w:rFonts w:ascii="Arial" w:hAnsi="Arial" w:cs="Arial"/>
          <w:sz w:val="20"/>
          <w:szCs w:val="20"/>
        </w:rPr>
        <w:t>.</w:t>
      </w:r>
      <w:r w:rsidR="00D51140" w:rsidRPr="00B36A1C">
        <w:rPr>
          <w:rFonts w:ascii="Arial" w:hAnsi="Arial" w:cs="Arial"/>
          <w:sz w:val="20"/>
          <w:szCs w:val="20"/>
        </w:rPr>
        <w:t xml:space="preserve"> </w:t>
      </w:r>
      <w:r w:rsidR="002D0E91" w:rsidRPr="00B36A1C">
        <w:rPr>
          <w:rFonts w:ascii="Arial" w:hAnsi="Arial" w:cs="Arial"/>
          <w:sz w:val="20"/>
          <w:szCs w:val="20"/>
        </w:rPr>
        <w:t xml:space="preserve">The soil dehydrogenase activity was estimated by reduction of triphenyl tetrazolium chloride (TTC) to triphenyl formazan (TPF) as described by Casida et al. (1964) and expressed as </w:t>
      </w:r>
      <w:proofErr w:type="spellStart"/>
      <w:r w:rsidR="002D0E91" w:rsidRPr="00B36A1C">
        <w:rPr>
          <w:rFonts w:ascii="Arial" w:hAnsi="Arial" w:cs="Arial"/>
          <w:sz w:val="20"/>
          <w:szCs w:val="20"/>
        </w:rPr>
        <w:t>μg</w:t>
      </w:r>
      <w:proofErr w:type="spellEnd"/>
      <w:r w:rsidR="002D0E91" w:rsidRPr="00B36A1C">
        <w:rPr>
          <w:rFonts w:ascii="Arial" w:hAnsi="Arial" w:cs="Arial"/>
          <w:sz w:val="20"/>
          <w:szCs w:val="20"/>
        </w:rPr>
        <w:t xml:space="preserve"> TPF g soil</w:t>
      </w:r>
      <w:r w:rsidR="002D0E91" w:rsidRPr="00B36A1C">
        <w:rPr>
          <w:rFonts w:ascii="Arial" w:hAnsi="Arial" w:cs="Arial"/>
          <w:sz w:val="20"/>
          <w:szCs w:val="20"/>
          <w:vertAlign w:val="superscript"/>
        </w:rPr>
        <w:t>-1</w:t>
      </w:r>
      <w:r w:rsidR="002D0E91" w:rsidRPr="00B36A1C">
        <w:rPr>
          <w:rFonts w:ascii="Arial" w:hAnsi="Arial" w:cs="Arial"/>
          <w:sz w:val="20"/>
          <w:szCs w:val="20"/>
        </w:rPr>
        <w:t xml:space="preserve"> 24 h</w:t>
      </w:r>
      <w:r w:rsidR="002D0E91" w:rsidRPr="00B36A1C">
        <w:rPr>
          <w:rFonts w:ascii="Arial" w:hAnsi="Arial" w:cs="Arial"/>
          <w:sz w:val="20"/>
          <w:szCs w:val="20"/>
          <w:vertAlign w:val="superscript"/>
        </w:rPr>
        <w:t>-1</w:t>
      </w:r>
      <w:r w:rsidR="002D0E91" w:rsidRPr="00B36A1C">
        <w:rPr>
          <w:rFonts w:ascii="Arial" w:hAnsi="Arial" w:cs="Arial"/>
          <w:sz w:val="20"/>
          <w:szCs w:val="20"/>
        </w:rPr>
        <w:t>.</w:t>
      </w:r>
      <w:r w:rsidR="00707AA1" w:rsidRPr="00B36A1C">
        <w:rPr>
          <w:rFonts w:ascii="Arial" w:hAnsi="Arial" w:cs="Arial"/>
          <w:sz w:val="20"/>
          <w:szCs w:val="20"/>
        </w:rPr>
        <w:t xml:space="preserve"> </w:t>
      </w:r>
      <w:r w:rsidR="000428CD" w:rsidRPr="00B36A1C">
        <w:rPr>
          <w:rFonts w:ascii="Arial" w:hAnsi="Arial" w:cs="Arial"/>
          <w:sz w:val="20"/>
          <w:szCs w:val="20"/>
        </w:rPr>
        <w:t>To study the energy input and output of maize-</w:t>
      </w:r>
      <w:proofErr w:type="spellStart"/>
      <w:r w:rsidR="000428CD" w:rsidRPr="00B36A1C">
        <w:rPr>
          <w:rFonts w:ascii="Arial" w:hAnsi="Arial" w:cs="Arial"/>
          <w:sz w:val="20"/>
          <w:szCs w:val="20"/>
        </w:rPr>
        <w:t>toria</w:t>
      </w:r>
      <w:proofErr w:type="spellEnd"/>
      <w:r w:rsidR="000428CD" w:rsidRPr="00B36A1C">
        <w:rPr>
          <w:rFonts w:ascii="Arial" w:hAnsi="Arial" w:cs="Arial"/>
          <w:sz w:val="20"/>
          <w:szCs w:val="20"/>
        </w:rPr>
        <w:t xml:space="preserve"> cropping system, a complete inventory of all crop inputs and outputs of both main and by-</w:t>
      </w:r>
      <w:r w:rsidR="00707AA1" w:rsidRPr="00B36A1C">
        <w:rPr>
          <w:rFonts w:ascii="Arial" w:hAnsi="Arial" w:cs="Arial"/>
          <w:sz w:val="20"/>
          <w:szCs w:val="20"/>
        </w:rPr>
        <w:t xml:space="preserve">products was </w:t>
      </w:r>
      <w:proofErr w:type="gramStart"/>
      <w:r w:rsidR="00707AA1" w:rsidRPr="00B36A1C">
        <w:rPr>
          <w:rFonts w:ascii="Arial" w:hAnsi="Arial" w:cs="Arial"/>
          <w:sz w:val="20"/>
          <w:szCs w:val="20"/>
        </w:rPr>
        <w:t>taken into account</w:t>
      </w:r>
      <w:proofErr w:type="gramEnd"/>
      <w:r w:rsidR="00707AA1" w:rsidRPr="00B36A1C">
        <w:rPr>
          <w:rFonts w:ascii="Arial" w:hAnsi="Arial" w:cs="Arial"/>
          <w:sz w:val="20"/>
          <w:szCs w:val="20"/>
        </w:rPr>
        <w:t>.</w:t>
      </w:r>
      <w:r w:rsidR="000428CD" w:rsidRPr="00B36A1C">
        <w:rPr>
          <w:rFonts w:ascii="Arial" w:hAnsi="Arial" w:cs="Arial"/>
          <w:sz w:val="20"/>
          <w:szCs w:val="20"/>
        </w:rPr>
        <w:t xml:space="preserve"> Inputs and outputs were converted from physical to energy unit measures through standard conversion coefficients</w:t>
      </w:r>
      <w:r w:rsidR="004621C7" w:rsidRPr="00B36A1C">
        <w:rPr>
          <w:rFonts w:ascii="Arial" w:hAnsi="Arial" w:cs="Arial"/>
          <w:sz w:val="20"/>
          <w:szCs w:val="20"/>
        </w:rPr>
        <w:t xml:space="preserve"> and expressed as MJ ha</w:t>
      </w:r>
      <w:r w:rsidR="004621C7" w:rsidRPr="00B36A1C">
        <w:rPr>
          <w:rFonts w:ascii="Arial" w:hAnsi="Arial" w:cs="Arial"/>
          <w:sz w:val="20"/>
          <w:szCs w:val="20"/>
          <w:vertAlign w:val="superscript"/>
        </w:rPr>
        <w:t>-1</w:t>
      </w:r>
      <w:r w:rsidR="004621C7" w:rsidRPr="00B36A1C">
        <w:rPr>
          <w:rFonts w:ascii="Arial" w:hAnsi="Arial" w:cs="Arial"/>
          <w:sz w:val="20"/>
          <w:szCs w:val="20"/>
        </w:rPr>
        <w:t>. Different energy indices for maize-</w:t>
      </w:r>
      <w:proofErr w:type="spellStart"/>
      <w:r w:rsidR="004621C7" w:rsidRPr="00B36A1C">
        <w:rPr>
          <w:rFonts w:ascii="Arial" w:hAnsi="Arial" w:cs="Arial"/>
          <w:sz w:val="20"/>
          <w:szCs w:val="20"/>
        </w:rPr>
        <w:t>toria</w:t>
      </w:r>
      <w:proofErr w:type="spellEnd"/>
      <w:r w:rsidR="004621C7" w:rsidRPr="00B36A1C">
        <w:rPr>
          <w:rFonts w:ascii="Arial" w:hAnsi="Arial" w:cs="Arial"/>
          <w:sz w:val="20"/>
          <w:szCs w:val="20"/>
        </w:rPr>
        <w:t xml:space="preserve"> cropping system have been calculated by using the equations suggested by Soni and Soe, 2016.</w:t>
      </w:r>
      <w:r w:rsidR="00707AA1" w:rsidRPr="00B36A1C">
        <w:rPr>
          <w:rFonts w:ascii="Arial" w:hAnsi="Arial" w:cs="Arial"/>
          <w:sz w:val="20"/>
          <w:szCs w:val="20"/>
        </w:rPr>
        <w:t xml:space="preserve"> </w:t>
      </w:r>
      <w:r w:rsidR="00574C90" w:rsidRPr="00B36A1C">
        <w:rPr>
          <w:rFonts w:ascii="Arial" w:hAnsi="Arial" w:cs="Arial"/>
          <w:sz w:val="20"/>
          <w:szCs w:val="20"/>
        </w:rPr>
        <w:t>All collected experimental data were analyzed using analysis of variance (ANOVA) based on a Randomized Block Design (RBD) with the help of MS Excel 2010. Treatment means were compared using the Critical Difference (CD) test at a 5% significance level.</w:t>
      </w:r>
    </w:p>
    <w:p w14:paraId="29D0937E" w14:textId="77777777" w:rsidR="00223962" w:rsidRPr="00B36A1C" w:rsidRDefault="00223962" w:rsidP="00223962">
      <w:pPr>
        <w:spacing w:after="0" w:line="240" w:lineRule="auto"/>
        <w:jc w:val="both"/>
        <w:rPr>
          <w:rFonts w:ascii="Arial" w:hAnsi="Arial" w:cs="Arial"/>
          <w:b/>
          <w:bCs/>
          <w:szCs w:val="22"/>
        </w:rPr>
      </w:pPr>
    </w:p>
    <w:p w14:paraId="41B7046B" w14:textId="77777777" w:rsidR="00DD7E1F" w:rsidRPr="00B36A1C" w:rsidRDefault="008F7BAC" w:rsidP="00223962">
      <w:pPr>
        <w:spacing w:after="0" w:line="240" w:lineRule="auto"/>
        <w:jc w:val="both"/>
        <w:rPr>
          <w:rFonts w:ascii="Arial" w:hAnsi="Arial" w:cs="Arial"/>
          <w:b/>
          <w:bCs/>
          <w:sz w:val="20"/>
          <w:szCs w:val="20"/>
        </w:rPr>
      </w:pPr>
      <w:r w:rsidRPr="00B36A1C">
        <w:rPr>
          <w:rFonts w:ascii="Arial" w:hAnsi="Arial" w:cs="Arial"/>
          <w:b/>
          <w:bCs/>
          <w:szCs w:val="22"/>
        </w:rPr>
        <w:t>3. RESULTS AND DISCUSSION</w:t>
      </w:r>
    </w:p>
    <w:p w14:paraId="253146D4" w14:textId="77777777" w:rsidR="008F7BAC" w:rsidRPr="00B36A1C" w:rsidRDefault="008F7BAC" w:rsidP="00223962">
      <w:pPr>
        <w:spacing w:after="0" w:line="240" w:lineRule="auto"/>
        <w:jc w:val="both"/>
        <w:rPr>
          <w:rFonts w:ascii="Arial" w:hAnsi="Arial" w:cs="Arial"/>
          <w:b/>
          <w:bCs/>
          <w:sz w:val="20"/>
          <w:szCs w:val="20"/>
        </w:rPr>
      </w:pPr>
    </w:p>
    <w:p w14:paraId="6E76F134" w14:textId="77777777" w:rsidR="00E87A52" w:rsidRPr="00B36A1C" w:rsidRDefault="008F7BAC" w:rsidP="00223962">
      <w:pPr>
        <w:spacing w:after="0" w:line="240" w:lineRule="auto"/>
        <w:jc w:val="both"/>
        <w:rPr>
          <w:rFonts w:ascii="Arial" w:hAnsi="Arial" w:cs="Arial"/>
          <w:b/>
          <w:bCs/>
          <w:szCs w:val="22"/>
        </w:rPr>
      </w:pPr>
      <w:r w:rsidRPr="00B36A1C">
        <w:rPr>
          <w:rFonts w:ascii="Arial" w:hAnsi="Arial" w:cs="Arial"/>
          <w:b/>
          <w:bCs/>
          <w:szCs w:val="22"/>
        </w:rPr>
        <w:t xml:space="preserve">3.1 </w:t>
      </w:r>
      <w:r w:rsidR="00091E27" w:rsidRPr="00B36A1C">
        <w:rPr>
          <w:rFonts w:ascii="Arial" w:hAnsi="Arial" w:cs="Arial"/>
          <w:b/>
          <w:bCs/>
          <w:szCs w:val="22"/>
        </w:rPr>
        <w:t>S</w:t>
      </w:r>
      <w:r w:rsidR="00142975" w:rsidRPr="00B36A1C">
        <w:rPr>
          <w:rFonts w:ascii="Arial" w:hAnsi="Arial" w:cs="Arial"/>
          <w:b/>
          <w:bCs/>
          <w:szCs w:val="22"/>
        </w:rPr>
        <w:t>oil microbial population count</w:t>
      </w:r>
    </w:p>
    <w:p w14:paraId="64104EF3" w14:textId="77777777" w:rsidR="008F7BAC" w:rsidRPr="00B36A1C" w:rsidRDefault="008F7BAC" w:rsidP="00223962">
      <w:pPr>
        <w:spacing w:after="0" w:line="240" w:lineRule="auto"/>
        <w:jc w:val="both"/>
        <w:rPr>
          <w:rFonts w:ascii="Arial" w:hAnsi="Arial" w:cs="Arial"/>
          <w:sz w:val="20"/>
          <w:szCs w:val="20"/>
        </w:rPr>
      </w:pPr>
    </w:p>
    <w:p w14:paraId="60B1B23E" w14:textId="77777777" w:rsidR="002534D2" w:rsidRPr="00B36A1C" w:rsidRDefault="006B26A9" w:rsidP="00223962">
      <w:pPr>
        <w:spacing w:after="0" w:line="240" w:lineRule="auto"/>
        <w:jc w:val="both"/>
        <w:rPr>
          <w:rFonts w:ascii="Arial" w:hAnsi="Arial" w:cs="Arial"/>
          <w:sz w:val="20"/>
          <w:szCs w:val="20"/>
        </w:rPr>
      </w:pPr>
      <w:r w:rsidRPr="00B36A1C">
        <w:rPr>
          <w:rFonts w:ascii="Arial" w:hAnsi="Arial" w:cs="Arial"/>
          <w:sz w:val="20"/>
          <w:szCs w:val="20"/>
        </w:rPr>
        <w:t xml:space="preserve">Combination of organic nutrient sources with </w:t>
      </w:r>
      <w:r w:rsidR="00BD640C" w:rsidRPr="00B36A1C">
        <w:rPr>
          <w:rFonts w:ascii="Arial" w:hAnsi="Arial" w:cs="Arial"/>
          <w:sz w:val="20"/>
          <w:szCs w:val="20"/>
        </w:rPr>
        <w:t xml:space="preserve">soil </w:t>
      </w:r>
      <w:proofErr w:type="gramStart"/>
      <w:r w:rsidR="00BD640C" w:rsidRPr="00B36A1C">
        <w:rPr>
          <w:rFonts w:ascii="Arial" w:hAnsi="Arial" w:cs="Arial"/>
          <w:sz w:val="20"/>
          <w:szCs w:val="20"/>
        </w:rPr>
        <w:t>test based</w:t>
      </w:r>
      <w:proofErr w:type="gramEnd"/>
      <w:r w:rsidR="00BD640C" w:rsidRPr="00B36A1C">
        <w:rPr>
          <w:rFonts w:ascii="Arial" w:hAnsi="Arial" w:cs="Arial"/>
          <w:sz w:val="20"/>
          <w:szCs w:val="20"/>
        </w:rPr>
        <w:t xml:space="preserve"> fertilizer recommendation i.e. </w:t>
      </w:r>
      <w:r w:rsidRPr="00B36A1C">
        <w:rPr>
          <w:rFonts w:ascii="Arial" w:hAnsi="Arial" w:cs="Arial"/>
          <w:sz w:val="20"/>
          <w:szCs w:val="20"/>
        </w:rPr>
        <w:t>STBFR (</w:t>
      </w:r>
      <w:r w:rsidR="00BF042C" w:rsidRPr="00B36A1C">
        <w:rPr>
          <w:rFonts w:ascii="Arial" w:hAnsi="Arial" w:cs="Arial"/>
          <w:sz w:val="20"/>
          <w:szCs w:val="20"/>
        </w:rPr>
        <w:t>T2, T3 and T6 – T12</w:t>
      </w:r>
      <w:r w:rsidRPr="00B36A1C">
        <w:rPr>
          <w:rFonts w:ascii="Arial" w:hAnsi="Arial" w:cs="Arial"/>
          <w:sz w:val="20"/>
          <w:szCs w:val="20"/>
        </w:rPr>
        <w:t xml:space="preserve">) significantly increased the number of microbial population in the soil as compared to the inorganic fertilization treatments </w:t>
      </w:r>
      <w:r w:rsidR="008B393E" w:rsidRPr="00B36A1C">
        <w:rPr>
          <w:rFonts w:ascii="Arial" w:hAnsi="Arial" w:cs="Arial"/>
          <w:sz w:val="20"/>
          <w:szCs w:val="20"/>
        </w:rPr>
        <w:t xml:space="preserve">i.e. </w:t>
      </w:r>
      <w:r w:rsidRPr="00B36A1C">
        <w:rPr>
          <w:rFonts w:ascii="Arial" w:hAnsi="Arial" w:cs="Arial"/>
          <w:sz w:val="20"/>
          <w:szCs w:val="20"/>
        </w:rPr>
        <w:t>T1, T4 and T5</w:t>
      </w:r>
      <w:r w:rsidR="008B393E" w:rsidRPr="00B36A1C">
        <w:rPr>
          <w:rFonts w:ascii="Arial" w:hAnsi="Arial" w:cs="Arial"/>
          <w:sz w:val="20"/>
          <w:szCs w:val="20"/>
        </w:rPr>
        <w:t xml:space="preserve"> (Table 2</w:t>
      </w:r>
      <w:r w:rsidRPr="00B36A1C">
        <w:rPr>
          <w:rFonts w:ascii="Arial" w:hAnsi="Arial" w:cs="Arial"/>
          <w:sz w:val="20"/>
          <w:szCs w:val="20"/>
        </w:rPr>
        <w:t xml:space="preserve">). </w:t>
      </w:r>
      <w:r w:rsidR="00330F05" w:rsidRPr="00B36A1C">
        <w:rPr>
          <w:rFonts w:ascii="Arial" w:hAnsi="Arial" w:cs="Arial"/>
          <w:sz w:val="20"/>
          <w:szCs w:val="20"/>
        </w:rPr>
        <w:t>In the present study, the highest microbial population of bacteria (30.</w:t>
      </w:r>
      <w:r w:rsidR="00BD640C" w:rsidRPr="00B36A1C">
        <w:rPr>
          <w:rFonts w:ascii="Arial" w:hAnsi="Arial" w:cs="Arial"/>
          <w:sz w:val="20"/>
          <w:szCs w:val="20"/>
        </w:rPr>
        <w:t>5</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6</w:t>
      </w:r>
      <w:r w:rsidR="00330F05" w:rsidRPr="00B36A1C">
        <w:rPr>
          <w:rFonts w:ascii="Arial" w:hAnsi="Arial" w:cs="Arial"/>
          <w:sz w:val="20"/>
          <w:szCs w:val="20"/>
        </w:rPr>
        <w:t xml:space="preserve"> </w:t>
      </w:r>
      <w:proofErr w:type="spellStart"/>
      <w:r w:rsidR="00330F05" w:rsidRPr="00B36A1C">
        <w:rPr>
          <w:rFonts w:ascii="Arial" w:hAnsi="Arial" w:cs="Arial"/>
          <w:sz w:val="20"/>
          <w:szCs w:val="20"/>
        </w:rPr>
        <w:t>cfu</w:t>
      </w:r>
      <w:proofErr w:type="spellEnd"/>
      <w:r w:rsidR="00330F05" w:rsidRPr="00B36A1C">
        <w:rPr>
          <w:rFonts w:ascii="Arial" w:hAnsi="Arial" w:cs="Arial"/>
          <w:sz w:val="20"/>
          <w:szCs w:val="20"/>
        </w:rPr>
        <w:t xml:space="preserve">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fungi (46.</w:t>
      </w:r>
      <w:r w:rsidR="00BD640C" w:rsidRPr="00B36A1C">
        <w:rPr>
          <w:rFonts w:ascii="Arial" w:hAnsi="Arial" w:cs="Arial"/>
          <w:sz w:val="20"/>
          <w:szCs w:val="20"/>
        </w:rPr>
        <w:t>0</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4</w:t>
      </w:r>
      <w:r w:rsidR="00330F05" w:rsidRPr="00B36A1C">
        <w:rPr>
          <w:rFonts w:ascii="Arial" w:hAnsi="Arial" w:cs="Arial"/>
          <w:sz w:val="20"/>
          <w:szCs w:val="20"/>
        </w:rPr>
        <w:t xml:space="preserve"> </w:t>
      </w:r>
      <w:proofErr w:type="spellStart"/>
      <w:r w:rsidR="00330F05" w:rsidRPr="00B36A1C">
        <w:rPr>
          <w:rFonts w:ascii="Arial" w:hAnsi="Arial" w:cs="Arial"/>
          <w:sz w:val="20"/>
          <w:szCs w:val="20"/>
        </w:rPr>
        <w:t>cfu</w:t>
      </w:r>
      <w:proofErr w:type="spellEnd"/>
      <w:r w:rsidR="00330F05" w:rsidRPr="00B36A1C">
        <w:rPr>
          <w:rFonts w:ascii="Arial" w:hAnsi="Arial" w:cs="Arial"/>
          <w:sz w:val="20"/>
          <w:szCs w:val="20"/>
        </w:rPr>
        <w:t xml:space="preserve">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and actinomycetes (24.</w:t>
      </w:r>
      <w:r w:rsidR="00BD640C" w:rsidRPr="00B36A1C">
        <w:rPr>
          <w:rFonts w:ascii="Arial" w:hAnsi="Arial" w:cs="Arial"/>
          <w:sz w:val="20"/>
          <w:szCs w:val="20"/>
        </w:rPr>
        <w:t>3</w:t>
      </w:r>
      <w:r w:rsidR="00330F05" w:rsidRPr="00B36A1C">
        <w:rPr>
          <w:rFonts w:ascii="Arial" w:hAnsi="Arial" w:cs="Arial"/>
          <w:sz w:val="20"/>
          <w:szCs w:val="20"/>
        </w:rPr>
        <w:t xml:space="preserve"> × 10</w:t>
      </w:r>
      <w:r w:rsidR="00330F05" w:rsidRPr="00B36A1C">
        <w:rPr>
          <w:rFonts w:ascii="Arial" w:hAnsi="Arial" w:cs="Arial"/>
          <w:sz w:val="20"/>
          <w:szCs w:val="20"/>
          <w:vertAlign w:val="superscript"/>
        </w:rPr>
        <w:t>5</w:t>
      </w:r>
      <w:r w:rsidR="00330F05" w:rsidRPr="00B36A1C">
        <w:rPr>
          <w:rFonts w:ascii="Arial" w:hAnsi="Arial" w:cs="Arial"/>
          <w:sz w:val="20"/>
          <w:szCs w:val="20"/>
        </w:rPr>
        <w:t xml:space="preserve"> </w:t>
      </w:r>
      <w:proofErr w:type="spellStart"/>
      <w:r w:rsidR="00330F05" w:rsidRPr="00B36A1C">
        <w:rPr>
          <w:rFonts w:ascii="Arial" w:hAnsi="Arial" w:cs="Arial"/>
          <w:sz w:val="20"/>
          <w:szCs w:val="20"/>
        </w:rPr>
        <w:t>cfu</w:t>
      </w:r>
      <w:proofErr w:type="spellEnd"/>
      <w:r w:rsidR="00330F05" w:rsidRPr="00B36A1C">
        <w:rPr>
          <w:rFonts w:ascii="Arial" w:hAnsi="Arial" w:cs="Arial"/>
          <w:sz w:val="20"/>
          <w:szCs w:val="20"/>
        </w:rPr>
        <w:t xml:space="preserve"> g</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soil) were recorded with the application of STBFR + Green manure with cowpea + FYM @ 5 t ha</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 Biofertilizers (</w:t>
      </w:r>
      <w:proofErr w:type="spellStart"/>
      <w:r w:rsidR="00330F05" w:rsidRPr="00B36A1C">
        <w:rPr>
          <w:rFonts w:ascii="Arial" w:hAnsi="Arial" w:cs="Arial"/>
          <w:i/>
          <w:iCs/>
          <w:sz w:val="20"/>
          <w:szCs w:val="20"/>
        </w:rPr>
        <w:t>Azotobacter</w:t>
      </w:r>
      <w:proofErr w:type="spellEnd"/>
      <w:r w:rsidR="00330F05" w:rsidRPr="00B36A1C">
        <w:rPr>
          <w:rFonts w:ascii="Arial" w:hAnsi="Arial" w:cs="Arial"/>
          <w:sz w:val="20"/>
          <w:szCs w:val="20"/>
        </w:rPr>
        <w:t xml:space="preserve"> + </w:t>
      </w:r>
      <w:proofErr w:type="spellStart"/>
      <w:r w:rsidR="00330F05" w:rsidRPr="00B36A1C">
        <w:rPr>
          <w:rFonts w:ascii="Arial" w:hAnsi="Arial" w:cs="Arial"/>
          <w:i/>
          <w:iCs/>
          <w:sz w:val="20"/>
          <w:szCs w:val="20"/>
        </w:rPr>
        <w:t>Azospirillum</w:t>
      </w:r>
      <w:proofErr w:type="spellEnd"/>
      <w:r w:rsidR="00330F05" w:rsidRPr="00B36A1C">
        <w:rPr>
          <w:rFonts w:ascii="Arial" w:hAnsi="Arial" w:cs="Arial"/>
          <w:sz w:val="20"/>
          <w:szCs w:val="20"/>
        </w:rPr>
        <w:t xml:space="preserve"> + PSB @ 4 kg ha</w:t>
      </w:r>
      <w:r w:rsidR="00330F05" w:rsidRPr="00B36A1C">
        <w:rPr>
          <w:rFonts w:ascii="Arial" w:hAnsi="Arial" w:cs="Arial"/>
          <w:sz w:val="20"/>
          <w:szCs w:val="20"/>
          <w:vertAlign w:val="superscript"/>
        </w:rPr>
        <w:t>-1</w:t>
      </w:r>
      <w:r w:rsidR="00330F05" w:rsidRPr="00B36A1C">
        <w:rPr>
          <w:rFonts w:ascii="Arial" w:hAnsi="Arial" w:cs="Arial"/>
          <w:sz w:val="20"/>
          <w:szCs w:val="20"/>
        </w:rPr>
        <w:t xml:space="preserve"> each)</w:t>
      </w:r>
      <w:r w:rsidR="00732C38" w:rsidRPr="00B36A1C">
        <w:rPr>
          <w:rFonts w:ascii="Arial" w:hAnsi="Arial" w:cs="Arial"/>
          <w:sz w:val="20"/>
          <w:szCs w:val="20"/>
        </w:rPr>
        <w:t xml:space="preserve"> i.e. T12</w:t>
      </w:r>
      <w:r w:rsidR="00330F05" w:rsidRPr="00B36A1C">
        <w:rPr>
          <w:rFonts w:ascii="Arial" w:hAnsi="Arial" w:cs="Arial"/>
          <w:sz w:val="20"/>
          <w:szCs w:val="20"/>
        </w:rPr>
        <w:t>.</w:t>
      </w:r>
      <w:r w:rsidR="005900C9" w:rsidRPr="00B36A1C">
        <w:rPr>
          <w:rFonts w:ascii="Arial" w:hAnsi="Arial" w:cs="Arial"/>
          <w:sz w:val="20"/>
          <w:szCs w:val="20"/>
        </w:rPr>
        <w:t xml:space="preserve"> </w:t>
      </w:r>
      <w:r w:rsidR="002534D2" w:rsidRPr="00B36A1C">
        <w:rPr>
          <w:rFonts w:ascii="Arial" w:hAnsi="Arial" w:cs="Arial"/>
          <w:sz w:val="20"/>
          <w:szCs w:val="20"/>
        </w:rPr>
        <w:t>Plots with a combination of organic and inorganic fertilizers were found to have higher soil microbial populations, as this provided more substrate and maintained an optimal soil environment, leading to increased microbial populations and their proliferation (Dixit and Tripathi, 2023). Organic inputs generally increased the growth of microorganisms and increase the overall activity of the soil (Kumar et al., 2017).</w:t>
      </w:r>
    </w:p>
    <w:p w14:paraId="1C0FD8EE" w14:textId="77777777" w:rsidR="002534D2" w:rsidRPr="00B36A1C" w:rsidRDefault="002534D2" w:rsidP="00223962">
      <w:pPr>
        <w:spacing w:after="0" w:line="240" w:lineRule="auto"/>
        <w:jc w:val="both"/>
        <w:rPr>
          <w:rFonts w:ascii="Arial" w:hAnsi="Arial" w:cs="Arial"/>
          <w:b/>
          <w:bCs/>
          <w:szCs w:val="22"/>
        </w:rPr>
      </w:pPr>
    </w:p>
    <w:p w14:paraId="2701E539" w14:textId="77777777" w:rsidR="00536BA1" w:rsidRPr="00B36A1C" w:rsidRDefault="00536BA1" w:rsidP="00223962">
      <w:pPr>
        <w:spacing w:after="0" w:line="240" w:lineRule="auto"/>
        <w:jc w:val="both"/>
        <w:rPr>
          <w:rFonts w:ascii="Arial" w:hAnsi="Arial" w:cs="Arial"/>
          <w:b/>
          <w:bCs/>
          <w:szCs w:val="22"/>
        </w:rPr>
      </w:pPr>
      <w:r w:rsidRPr="00B36A1C">
        <w:rPr>
          <w:rFonts w:ascii="Arial" w:hAnsi="Arial" w:cs="Arial"/>
          <w:b/>
          <w:bCs/>
          <w:szCs w:val="22"/>
        </w:rPr>
        <w:t>3.2 Soil enzym</w:t>
      </w:r>
      <w:r w:rsidR="00633508" w:rsidRPr="00B36A1C">
        <w:rPr>
          <w:rFonts w:ascii="Arial" w:hAnsi="Arial" w:cs="Arial"/>
          <w:b/>
          <w:bCs/>
          <w:szCs w:val="22"/>
        </w:rPr>
        <w:t>atic</w:t>
      </w:r>
      <w:r w:rsidRPr="00B36A1C">
        <w:rPr>
          <w:rFonts w:ascii="Arial" w:hAnsi="Arial" w:cs="Arial"/>
          <w:b/>
          <w:bCs/>
          <w:szCs w:val="22"/>
        </w:rPr>
        <w:t xml:space="preserve"> activity</w:t>
      </w:r>
    </w:p>
    <w:p w14:paraId="0EC38F7B" w14:textId="77777777" w:rsidR="008E5461" w:rsidRPr="00B36A1C" w:rsidRDefault="008E5461" w:rsidP="00223962">
      <w:pPr>
        <w:spacing w:after="0" w:line="240" w:lineRule="auto"/>
        <w:jc w:val="both"/>
        <w:rPr>
          <w:rFonts w:ascii="Arial" w:hAnsi="Arial" w:cs="Arial"/>
          <w:sz w:val="20"/>
          <w:szCs w:val="20"/>
        </w:rPr>
      </w:pPr>
    </w:p>
    <w:p w14:paraId="7F641801" w14:textId="77777777" w:rsidR="000B2F9B" w:rsidRPr="00B36A1C" w:rsidRDefault="00FB6EB4" w:rsidP="00223962">
      <w:pPr>
        <w:spacing w:after="0" w:line="240" w:lineRule="auto"/>
        <w:jc w:val="both"/>
        <w:rPr>
          <w:rFonts w:ascii="Arial" w:hAnsi="Arial" w:cs="Arial"/>
          <w:sz w:val="20"/>
          <w:szCs w:val="20"/>
        </w:rPr>
      </w:pPr>
      <w:r w:rsidRPr="00B36A1C">
        <w:rPr>
          <w:rFonts w:ascii="Arial" w:hAnsi="Arial" w:cs="Arial"/>
          <w:sz w:val="20"/>
          <w:szCs w:val="20"/>
        </w:rPr>
        <w:t xml:space="preserve">Application of organic nutrient sources with STBFR improves </w:t>
      </w:r>
      <w:r w:rsidR="002534D2" w:rsidRPr="00B36A1C">
        <w:rPr>
          <w:rFonts w:ascii="Arial" w:hAnsi="Arial" w:cs="Arial"/>
          <w:sz w:val="20"/>
          <w:szCs w:val="20"/>
        </w:rPr>
        <w:t>soil enzymatic activity (Table 3</w:t>
      </w:r>
      <w:r w:rsidRPr="00B36A1C">
        <w:rPr>
          <w:rFonts w:ascii="Arial" w:hAnsi="Arial" w:cs="Arial"/>
          <w:sz w:val="20"/>
          <w:szCs w:val="20"/>
        </w:rPr>
        <w:t xml:space="preserve">). </w:t>
      </w:r>
      <w:r w:rsidR="00536BA1" w:rsidRPr="00B36A1C">
        <w:rPr>
          <w:rFonts w:ascii="Arial" w:hAnsi="Arial" w:cs="Arial"/>
          <w:sz w:val="20"/>
          <w:szCs w:val="20"/>
        </w:rPr>
        <w:t xml:space="preserve">Among the different integrated nutrient management practices, significantly highest urease activity (185.4 </w:t>
      </w:r>
      <w:bookmarkStart w:id="0" w:name="_Hlk134259271"/>
      <w:r w:rsidR="00536BA1" w:rsidRPr="00B36A1C">
        <w:rPr>
          <w:rFonts w:ascii="Arial" w:hAnsi="Arial" w:cs="Arial"/>
          <w:sz w:val="20"/>
          <w:szCs w:val="20"/>
        </w:rPr>
        <w:t>µg NH</w:t>
      </w:r>
      <w:r w:rsidR="00536BA1" w:rsidRPr="00B36A1C">
        <w:rPr>
          <w:rFonts w:ascii="Arial" w:hAnsi="Arial" w:cs="Arial"/>
          <w:sz w:val="20"/>
          <w:szCs w:val="20"/>
          <w:vertAlign w:val="subscript"/>
        </w:rPr>
        <w:t>4</w:t>
      </w:r>
      <w:r w:rsidR="00536BA1" w:rsidRPr="00B36A1C">
        <w:rPr>
          <w:rFonts w:ascii="Arial" w:hAnsi="Arial" w:cs="Arial"/>
          <w:sz w:val="20"/>
          <w:szCs w:val="20"/>
          <w:vertAlign w:val="superscript"/>
        </w:rPr>
        <w:t>+</w:t>
      </w:r>
      <w:r w:rsidR="00536BA1" w:rsidRPr="00B36A1C">
        <w:rPr>
          <w:rFonts w:ascii="Arial" w:hAnsi="Arial" w:cs="Arial"/>
          <w:sz w:val="20"/>
          <w:szCs w:val="20"/>
        </w:rPr>
        <w:t>-N</w:t>
      </w:r>
      <w:r w:rsidR="00536BA1" w:rsidRPr="00B36A1C">
        <w:rPr>
          <w:rFonts w:ascii="Arial" w:hAnsi="Arial" w:cs="Arial"/>
          <w:position w:val="-8"/>
          <w:sz w:val="20"/>
          <w:szCs w:val="20"/>
          <w:vertAlign w:val="subscript"/>
        </w:rPr>
        <w:t xml:space="preserve">2 </w:t>
      </w:r>
      <w:r w:rsidR="00536BA1" w:rsidRPr="00B36A1C">
        <w:rPr>
          <w:rFonts w:ascii="Arial" w:hAnsi="Arial" w:cs="Arial"/>
          <w:sz w:val="20"/>
          <w:szCs w:val="20"/>
        </w:rPr>
        <w:t>g soil</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h</w:t>
      </w:r>
      <w:bookmarkEnd w:id="0"/>
      <w:r w:rsidR="00536BA1" w:rsidRPr="00B36A1C">
        <w:rPr>
          <w:rFonts w:ascii="Arial" w:hAnsi="Arial" w:cs="Arial"/>
          <w:sz w:val="20"/>
          <w:szCs w:val="20"/>
          <w:vertAlign w:val="superscript"/>
        </w:rPr>
        <w:t>-1</w:t>
      </w:r>
      <w:r w:rsidR="00536BA1" w:rsidRPr="00B36A1C">
        <w:rPr>
          <w:rFonts w:ascii="Arial" w:hAnsi="Arial" w:cs="Arial"/>
          <w:sz w:val="20"/>
          <w:szCs w:val="20"/>
        </w:rPr>
        <w:t>) was recorded with the app</w:t>
      </w:r>
      <w:bookmarkStart w:id="1" w:name="_GoBack"/>
      <w:bookmarkEnd w:id="1"/>
      <w:r w:rsidR="00536BA1" w:rsidRPr="00B36A1C">
        <w:rPr>
          <w:rFonts w:ascii="Arial" w:hAnsi="Arial" w:cs="Arial"/>
          <w:sz w:val="20"/>
          <w:szCs w:val="20"/>
        </w:rPr>
        <w:t>lication of STBFR + Green manure with cowpea + FYM @ 5 t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 Biofertilizers (</w:t>
      </w:r>
      <w:proofErr w:type="spellStart"/>
      <w:r w:rsidR="00536BA1" w:rsidRPr="00B36A1C">
        <w:rPr>
          <w:rFonts w:ascii="Arial" w:hAnsi="Arial" w:cs="Arial"/>
          <w:i/>
          <w:iCs/>
          <w:sz w:val="20"/>
          <w:szCs w:val="20"/>
        </w:rPr>
        <w:t>Azotobacter</w:t>
      </w:r>
      <w:proofErr w:type="spellEnd"/>
      <w:r w:rsidR="00536BA1" w:rsidRPr="00B36A1C">
        <w:rPr>
          <w:rFonts w:ascii="Arial" w:hAnsi="Arial" w:cs="Arial"/>
          <w:sz w:val="20"/>
          <w:szCs w:val="20"/>
        </w:rPr>
        <w:t xml:space="preserve"> + </w:t>
      </w:r>
      <w:proofErr w:type="spellStart"/>
      <w:r w:rsidR="00536BA1" w:rsidRPr="00B36A1C">
        <w:rPr>
          <w:rFonts w:ascii="Arial" w:hAnsi="Arial" w:cs="Arial"/>
          <w:i/>
          <w:iCs/>
          <w:sz w:val="20"/>
          <w:szCs w:val="20"/>
        </w:rPr>
        <w:t>Azospirillum</w:t>
      </w:r>
      <w:proofErr w:type="spellEnd"/>
      <w:r w:rsidR="00536BA1" w:rsidRPr="00B36A1C">
        <w:rPr>
          <w:rFonts w:ascii="Arial" w:hAnsi="Arial" w:cs="Arial"/>
          <w:sz w:val="20"/>
          <w:szCs w:val="20"/>
        </w:rPr>
        <w:t xml:space="preserve"> + PSB @ 4 kg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each</w:t>
      </w:r>
      <w:r w:rsidR="00732C38" w:rsidRPr="00B36A1C">
        <w:rPr>
          <w:rFonts w:ascii="Arial" w:hAnsi="Arial" w:cs="Arial"/>
          <w:sz w:val="20"/>
          <w:szCs w:val="20"/>
        </w:rPr>
        <w:t xml:space="preserve">) i.e. </w:t>
      </w:r>
      <w:r w:rsidR="00536BA1" w:rsidRPr="00B36A1C">
        <w:rPr>
          <w:rFonts w:ascii="Arial" w:hAnsi="Arial" w:cs="Arial"/>
          <w:sz w:val="20"/>
          <w:szCs w:val="20"/>
        </w:rPr>
        <w:t xml:space="preserve">T12 which was on par with the application of </w:t>
      </w:r>
      <w:r w:rsidR="002534D2" w:rsidRPr="00B36A1C">
        <w:rPr>
          <w:rFonts w:ascii="Arial" w:hAnsi="Arial" w:cs="Arial"/>
          <w:sz w:val="20"/>
          <w:szCs w:val="20"/>
        </w:rPr>
        <w:t xml:space="preserve">STBFR </w:t>
      </w:r>
      <w:r w:rsidR="00536BA1" w:rsidRPr="00B36A1C">
        <w:rPr>
          <w:rFonts w:ascii="Arial" w:hAnsi="Arial" w:cs="Arial"/>
          <w:sz w:val="20"/>
          <w:szCs w:val="20"/>
        </w:rPr>
        <w:t>+ Green manure with cowpea + FYM @ 5 t ha</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 Sulphur @ 30 kg ha</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(T11) and the lowest (127.</w:t>
      </w:r>
      <w:r w:rsidR="007C1ABA" w:rsidRPr="00B36A1C">
        <w:rPr>
          <w:rFonts w:ascii="Arial" w:hAnsi="Arial" w:cs="Arial"/>
          <w:sz w:val="20"/>
          <w:szCs w:val="20"/>
        </w:rPr>
        <w:t xml:space="preserve">8 </w:t>
      </w:r>
      <w:r w:rsidR="00536BA1" w:rsidRPr="00B36A1C">
        <w:rPr>
          <w:rFonts w:ascii="Arial" w:hAnsi="Arial" w:cs="Arial"/>
          <w:sz w:val="20"/>
          <w:szCs w:val="20"/>
        </w:rPr>
        <w:t>µg NH</w:t>
      </w:r>
      <w:r w:rsidR="00536BA1" w:rsidRPr="00B36A1C">
        <w:rPr>
          <w:rFonts w:ascii="Arial" w:hAnsi="Arial" w:cs="Arial"/>
          <w:sz w:val="20"/>
          <w:szCs w:val="20"/>
          <w:vertAlign w:val="subscript"/>
        </w:rPr>
        <w:t>4</w:t>
      </w:r>
      <w:r w:rsidR="00536BA1" w:rsidRPr="00B36A1C">
        <w:rPr>
          <w:rFonts w:ascii="Arial" w:hAnsi="Arial" w:cs="Arial"/>
          <w:sz w:val="20"/>
          <w:szCs w:val="20"/>
          <w:vertAlign w:val="superscript"/>
        </w:rPr>
        <w:t>+</w:t>
      </w:r>
      <w:r w:rsidR="00536BA1" w:rsidRPr="00B36A1C">
        <w:rPr>
          <w:rFonts w:ascii="Arial" w:hAnsi="Arial" w:cs="Arial"/>
          <w:sz w:val="20"/>
          <w:szCs w:val="20"/>
        </w:rPr>
        <w:t>-N</w:t>
      </w:r>
      <w:r w:rsidR="00536BA1" w:rsidRPr="00B36A1C">
        <w:rPr>
          <w:rFonts w:ascii="Arial" w:hAnsi="Arial" w:cs="Arial"/>
          <w:position w:val="-8"/>
          <w:sz w:val="20"/>
          <w:szCs w:val="20"/>
          <w:vertAlign w:val="subscript"/>
        </w:rPr>
        <w:t xml:space="preserve">2 </w:t>
      </w:r>
      <w:r w:rsidR="00536BA1" w:rsidRPr="00B36A1C">
        <w:rPr>
          <w:rFonts w:ascii="Arial" w:hAnsi="Arial" w:cs="Arial"/>
          <w:sz w:val="20"/>
          <w:szCs w:val="20"/>
        </w:rPr>
        <w:t>g soil</w:t>
      </w:r>
      <w:r w:rsidR="00536BA1" w:rsidRPr="00B36A1C">
        <w:rPr>
          <w:rFonts w:ascii="Arial" w:hAnsi="Arial" w:cs="Arial"/>
          <w:sz w:val="20"/>
          <w:szCs w:val="20"/>
          <w:vertAlign w:val="superscript"/>
        </w:rPr>
        <w:t xml:space="preserve">-1 </w:t>
      </w:r>
      <w:r w:rsidR="00536BA1" w:rsidRPr="00B36A1C">
        <w:rPr>
          <w:rFonts w:ascii="Arial" w:hAnsi="Arial" w:cs="Arial"/>
          <w:sz w:val="20"/>
          <w:szCs w:val="20"/>
        </w:rPr>
        <w:t>h</w:t>
      </w:r>
      <w:r w:rsidR="00536BA1" w:rsidRPr="00B36A1C">
        <w:rPr>
          <w:rFonts w:ascii="Arial" w:hAnsi="Arial" w:cs="Arial"/>
          <w:sz w:val="20"/>
          <w:szCs w:val="20"/>
          <w:vertAlign w:val="superscript"/>
        </w:rPr>
        <w:t>-1</w:t>
      </w:r>
      <w:r w:rsidR="00536BA1" w:rsidRPr="00B36A1C">
        <w:rPr>
          <w:rFonts w:ascii="Arial" w:hAnsi="Arial" w:cs="Arial"/>
          <w:sz w:val="20"/>
          <w:szCs w:val="20"/>
        </w:rPr>
        <w:t xml:space="preserve">) </w:t>
      </w:r>
      <w:r w:rsidR="002534D2" w:rsidRPr="00B36A1C">
        <w:rPr>
          <w:rFonts w:ascii="Arial" w:hAnsi="Arial" w:cs="Arial"/>
          <w:sz w:val="20"/>
          <w:szCs w:val="20"/>
        </w:rPr>
        <w:t xml:space="preserve">urease activity </w:t>
      </w:r>
      <w:r w:rsidR="00536BA1" w:rsidRPr="00B36A1C">
        <w:rPr>
          <w:rFonts w:ascii="Arial" w:hAnsi="Arial" w:cs="Arial"/>
          <w:sz w:val="20"/>
          <w:szCs w:val="20"/>
        </w:rPr>
        <w:t>was recorded with the application of STBFR (T1) only.</w:t>
      </w:r>
      <w:r w:rsidR="007C1ABA" w:rsidRPr="00B36A1C">
        <w:rPr>
          <w:rFonts w:ascii="Arial" w:hAnsi="Arial" w:cs="Arial"/>
          <w:sz w:val="20"/>
          <w:szCs w:val="20"/>
        </w:rPr>
        <w:t xml:space="preserve"> Similarly, </w:t>
      </w:r>
      <w:r w:rsidR="002534D2" w:rsidRPr="00B36A1C">
        <w:rPr>
          <w:rFonts w:ascii="Arial" w:hAnsi="Arial" w:cs="Arial"/>
          <w:sz w:val="20"/>
          <w:szCs w:val="20"/>
        </w:rPr>
        <w:t xml:space="preserve">acid </w:t>
      </w:r>
      <w:r w:rsidR="007C1ABA" w:rsidRPr="00B36A1C">
        <w:rPr>
          <w:rFonts w:ascii="Arial" w:hAnsi="Arial" w:cs="Arial"/>
          <w:sz w:val="20"/>
          <w:szCs w:val="20"/>
        </w:rPr>
        <w:t xml:space="preserve">phosphatase activity was significantly influenced by INM practices. </w:t>
      </w:r>
      <w:r w:rsidR="007C1ABA" w:rsidRPr="00B36A1C">
        <w:rPr>
          <w:rFonts w:ascii="Arial" w:hAnsi="Arial" w:cs="Arial"/>
          <w:sz w:val="20"/>
          <w:szCs w:val="20"/>
          <w:lang w:bidi="or-IN"/>
        </w:rPr>
        <w:t xml:space="preserve">The </w:t>
      </w:r>
      <w:r w:rsidR="002534D2" w:rsidRPr="00B36A1C">
        <w:rPr>
          <w:rFonts w:ascii="Arial" w:hAnsi="Arial" w:cs="Arial"/>
          <w:sz w:val="20"/>
          <w:szCs w:val="20"/>
          <w:lang w:bidi="or-IN"/>
        </w:rPr>
        <w:t xml:space="preserve">acid </w:t>
      </w:r>
      <w:r w:rsidR="007C1ABA" w:rsidRPr="00B36A1C">
        <w:rPr>
          <w:rFonts w:ascii="Arial" w:hAnsi="Arial" w:cs="Arial"/>
          <w:sz w:val="20"/>
          <w:szCs w:val="20"/>
        </w:rPr>
        <w:t xml:space="preserve">phosphatase activity </w:t>
      </w:r>
      <w:r w:rsidR="007C1ABA" w:rsidRPr="00B36A1C">
        <w:rPr>
          <w:rFonts w:ascii="Arial" w:hAnsi="Arial" w:cs="Arial"/>
          <w:sz w:val="20"/>
          <w:szCs w:val="20"/>
          <w:lang w:bidi="or-IN"/>
        </w:rPr>
        <w:t xml:space="preserve">in the maize- </w:t>
      </w:r>
      <w:proofErr w:type="spellStart"/>
      <w:r w:rsidR="007C1ABA" w:rsidRPr="00B36A1C">
        <w:rPr>
          <w:rFonts w:ascii="Arial" w:hAnsi="Arial" w:cs="Arial"/>
          <w:sz w:val="20"/>
          <w:szCs w:val="20"/>
          <w:lang w:bidi="or-IN"/>
        </w:rPr>
        <w:t>toria</w:t>
      </w:r>
      <w:proofErr w:type="spellEnd"/>
      <w:r w:rsidR="007C1ABA" w:rsidRPr="00B36A1C">
        <w:rPr>
          <w:rFonts w:ascii="Arial" w:hAnsi="Arial" w:cs="Arial"/>
          <w:sz w:val="20"/>
          <w:szCs w:val="20"/>
          <w:lang w:bidi="or-IN"/>
        </w:rPr>
        <w:t xml:space="preserve"> cropping system was found to be highest (393.0 </w:t>
      </w:r>
      <w:bookmarkStart w:id="2" w:name="_Hlk134260218"/>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bookmarkEnd w:id="2"/>
      <w:r w:rsidR="007C1ABA" w:rsidRPr="00B36A1C">
        <w:rPr>
          <w:rFonts w:ascii="Arial" w:hAnsi="Arial" w:cs="Arial"/>
          <w:sz w:val="20"/>
          <w:szCs w:val="20"/>
          <w:lang w:bidi="or-IN"/>
        </w:rPr>
        <w:t xml:space="preserve">) in treatment T12 which was on par with T11 (387.2 </w:t>
      </w:r>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r w:rsidR="007C1ABA" w:rsidRPr="00B36A1C">
        <w:rPr>
          <w:rFonts w:ascii="Arial" w:hAnsi="Arial" w:cs="Arial"/>
          <w:sz w:val="20"/>
          <w:szCs w:val="20"/>
          <w:lang w:bidi="or-IN"/>
        </w:rPr>
        <w:t xml:space="preserve">) and </w:t>
      </w:r>
      <w:r w:rsidR="007C1ABA" w:rsidRPr="00B36A1C">
        <w:rPr>
          <w:rFonts w:ascii="Arial" w:hAnsi="Arial" w:cs="Arial"/>
          <w:sz w:val="20"/>
          <w:szCs w:val="20"/>
        </w:rPr>
        <w:t xml:space="preserve">lowest activity </w:t>
      </w:r>
      <w:r w:rsidR="007C1ABA" w:rsidRPr="00B36A1C">
        <w:rPr>
          <w:rFonts w:ascii="Arial" w:hAnsi="Arial" w:cs="Arial"/>
          <w:sz w:val="20"/>
          <w:szCs w:val="20"/>
          <w:lang w:bidi="or-IN"/>
        </w:rPr>
        <w:t xml:space="preserve">(263.1 </w:t>
      </w:r>
      <w:r w:rsidR="007C1ABA" w:rsidRPr="00B36A1C">
        <w:rPr>
          <w:rFonts w:ascii="Arial" w:hAnsi="Arial" w:cs="Arial"/>
          <w:sz w:val="20"/>
          <w:szCs w:val="20"/>
        </w:rPr>
        <w:t>µg PNP g soil</w:t>
      </w:r>
      <w:r w:rsidR="007C1ABA" w:rsidRPr="00B36A1C">
        <w:rPr>
          <w:rFonts w:ascii="Arial" w:hAnsi="Arial" w:cs="Arial"/>
          <w:sz w:val="20"/>
          <w:szCs w:val="20"/>
          <w:vertAlign w:val="superscript"/>
        </w:rPr>
        <w:t xml:space="preserve">-1 </w:t>
      </w:r>
      <w:r w:rsidR="007C1ABA" w:rsidRPr="00B36A1C">
        <w:rPr>
          <w:rFonts w:ascii="Arial" w:hAnsi="Arial" w:cs="Arial"/>
          <w:sz w:val="20"/>
          <w:szCs w:val="20"/>
        </w:rPr>
        <w:t>h</w:t>
      </w:r>
      <w:r w:rsidR="007C1ABA" w:rsidRPr="00B36A1C">
        <w:rPr>
          <w:rFonts w:ascii="Arial" w:hAnsi="Arial" w:cs="Arial"/>
          <w:sz w:val="20"/>
          <w:szCs w:val="20"/>
          <w:vertAlign w:val="superscript"/>
        </w:rPr>
        <w:t>-1</w:t>
      </w:r>
      <w:r w:rsidR="007C1ABA" w:rsidRPr="00B36A1C">
        <w:rPr>
          <w:rFonts w:ascii="Arial" w:hAnsi="Arial" w:cs="Arial"/>
          <w:sz w:val="20"/>
          <w:szCs w:val="20"/>
          <w:lang w:bidi="or-IN"/>
        </w:rPr>
        <w:t xml:space="preserve">) </w:t>
      </w:r>
      <w:r w:rsidR="007C1ABA" w:rsidRPr="00B36A1C">
        <w:rPr>
          <w:rFonts w:ascii="Arial" w:hAnsi="Arial" w:cs="Arial"/>
          <w:sz w:val="20"/>
          <w:szCs w:val="20"/>
        </w:rPr>
        <w:t xml:space="preserve">was recorded with T1. </w:t>
      </w:r>
      <w:r w:rsidR="000B2F9B" w:rsidRPr="00B36A1C">
        <w:rPr>
          <w:rFonts w:ascii="Arial" w:hAnsi="Arial" w:cs="Arial"/>
          <w:sz w:val="20"/>
          <w:szCs w:val="20"/>
        </w:rPr>
        <w:t xml:space="preserve">The highest dehydrogenase activity (274.2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 xml:space="preserve">¹) was recorded under treatment T12 followed by T11 (267.8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 xml:space="preserve">¹). The lowest dehydrogenase activity (196.7 </w:t>
      </w:r>
      <w:proofErr w:type="spellStart"/>
      <w:r w:rsidR="000B2F9B" w:rsidRPr="00B36A1C">
        <w:rPr>
          <w:rFonts w:ascii="Arial" w:hAnsi="Arial" w:cs="Arial"/>
          <w:sz w:val="20"/>
          <w:szCs w:val="20"/>
        </w:rPr>
        <w:t>μg</w:t>
      </w:r>
      <w:proofErr w:type="spellEnd"/>
      <w:r w:rsidR="000B2F9B" w:rsidRPr="00B36A1C">
        <w:rPr>
          <w:rFonts w:ascii="Arial" w:hAnsi="Arial" w:cs="Arial"/>
          <w:sz w:val="20"/>
          <w:szCs w:val="20"/>
        </w:rPr>
        <w:t xml:space="preserve"> TPF g</w:t>
      </w:r>
      <w:r w:rsidR="000B2F9B" w:rsidRPr="00B36A1C">
        <w:rPr>
          <w:rFonts w:ascii="Cambria Math" w:hAnsi="Cambria Math" w:cs="Cambria Math"/>
          <w:sz w:val="20"/>
          <w:szCs w:val="20"/>
        </w:rPr>
        <w:t>⁻</w:t>
      </w:r>
      <w:r w:rsidR="000B2F9B" w:rsidRPr="00B36A1C">
        <w:rPr>
          <w:rFonts w:ascii="Arial" w:hAnsi="Arial" w:cs="Arial"/>
          <w:sz w:val="20"/>
          <w:szCs w:val="20"/>
        </w:rPr>
        <w:t>¹ soil 24 h</w:t>
      </w:r>
      <w:r w:rsidR="000B2F9B" w:rsidRPr="00B36A1C">
        <w:rPr>
          <w:rFonts w:ascii="Cambria Math" w:hAnsi="Cambria Math" w:cs="Cambria Math"/>
          <w:sz w:val="20"/>
          <w:szCs w:val="20"/>
        </w:rPr>
        <w:t>⁻</w:t>
      </w:r>
      <w:r w:rsidR="000B2F9B" w:rsidRPr="00B36A1C">
        <w:rPr>
          <w:rFonts w:ascii="Arial" w:hAnsi="Arial" w:cs="Arial"/>
          <w:sz w:val="20"/>
          <w:szCs w:val="20"/>
        </w:rPr>
        <w:t>¹) was recorded in the STBFR treatment (T1).  The use of organic matter increased the number of microorganisms, which in turn increased the enzymatic activity (</w:t>
      </w:r>
      <w:r w:rsidRPr="00B36A1C">
        <w:rPr>
          <w:rFonts w:ascii="Arial" w:hAnsi="Arial" w:cs="Arial"/>
          <w:sz w:val="20"/>
          <w:szCs w:val="20"/>
        </w:rPr>
        <w:t>Kumar et al., 2017</w:t>
      </w:r>
      <w:r w:rsidR="000B2F9B" w:rsidRPr="00B36A1C">
        <w:rPr>
          <w:rFonts w:ascii="Arial" w:hAnsi="Arial" w:cs="Arial"/>
          <w:sz w:val="20"/>
          <w:szCs w:val="20"/>
        </w:rPr>
        <w:t>).</w:t>
      </w:r>
      <w:r w:rsidRPr="00B36A1C">
        <w:rPr>
          <w:rFonts w:ascii="Arial" w:hAnsi="Arial" w:cs="Arial"/>
          <w:sz w:val="20"/>
          <w:szCs w:val="20"/>
        </w:rPr>
        <w:t xml:space="preserve"> Mixing inorganic fertilizers with organic fertilizers increases the number of microorganisms because the availability of substrate increases, </w:t>
      </w:r>
      <w:r w:rsidR="00732C38" w:rsidRPr="00B36A1C">
        <w:rPr>
          <w:rFonts w:ascii="Arial" w:hAnsi="Arial" w:cs="Arial"/>
          <w:sz w:val="20"/>
          <w:szCs w:val="20"/>
        </w:rPr>
        <w:t xml:space="preserve">which was helped in the secretion of enzymes (Kejiya et al., 2023) and resulted in highest </w:t>
      </w:r>
      <w:r w:rsidR="00732C38" w:rsidRPr="00B36A1C">
        <w:rPr>
          <w:rFonts w:ascii="Arial" w:hAnsi="Arial" w:cs="Arial"/>
          <w:sz w:val="20"/>
          <w:szCs w:val="20"/>
        </w:rPr>
        <w:lastRenderedPageBreak/>
        <w:t>soil enzymatic activity with treatment T12.</w:t>
      </w:r>
      <w:r w:rsidRPr="00B36A1C">
        <w:rPr>
          <w:rFonts w:ascii="Arial" w:hAnsi="Arial" w:cs="Arial"/>
          <w:sz w:val="20"/>
          <w:szCs w:val="20"/>
        </w:rPr>
        <w:t xml:space="preserve"> So, any management strategy that affects soil microbial communities can alter soil enzymes (</w:t>
      </w:r>
      <w:proofErr w:type="spellStart"/>
      <w:r w:rsidRPr="00B36A1C">
        <w:rPr>
          <w:rFonts w:ascii="Arial" w:hAnsi="Arial" w:cs="Arial"/>
          <w:sz w:val="20"/>
          <w:szCs w:val="20"/>
        </w:rPr>
        <w:t>Kharlukhi</w:t>
      </w:r>
      <w:proofErr w:type="spellEnd"/>
      <w:r w:rsidRPr="00B36A1C">
        <w:rPr>
          <w:rFonts w:ascii="Arial" w:hAnsi="Arial" w:cs="Arial"/>
          <w:sz w:val="20"/>
          <w:szCs w:val="20"/>
        </w:rPr>
        <w:t xml:space="preserve"> et al., 2024).</w:t>
      </w:r>
    </w:p>
    <w:p w14:paraId="3DF9D2A7" w14:textId="77777777" w:rsidR="00E324FC" w:rsidRPr="00B36A1C" w:rsidRDefault="00E324FC" w:rsidP="00E324FC">
      <w:pPr>
        <w:spacing w:after="0" w:line="240" w:lineRule="auto"/>
        <w:jc w:val="both"/>
        <w:rPr>
          <w:rFonts w:ascii="Arial" w:hAnsi="Arial" w:cs="Arial"/>
          <w:b/>
          <w:bCs/>
          <w:sz w:val="20"/>
          <w:szCs w:val="20"/>
        </w:rPr>
      </w:pPr>
    </w:p>
    <w:p w14:paraId="341326E9" w14:textId="77777777" w:rsidR="00E324FC" w:rsidRPr="00B36A1C" w:rsidRDefault="00E324FC" w:rsidP="00E324FC">
      <w:pPr>
        <w:spacing w:after="0" w:line="240" w:lineRule="auto"/>
        <w:jc w:val="both"/>
        <w:rPr>
          <w:rFonts w:ascii="Arial" w:hAnsi="Arial" w:cs="Arial"/>
          <w:b/>
          <w:bCs/>
          <w:sz w:val="20"/>
          <w:szCs w:val="20"/>
        </w:rPr>
      </w:pPr>
      <w:r w:rsidRPr="00B36A1C">
        <w:rPr>
          <w:rFonts w:ascii="Arial" w:hAnsi="Arial" w:cs="Arial"/>
          <w:b/>
          <w:bCs/>
          <w:sz w:val="20"/>
          <w:szCs w:val="20"/>
        </w:rPr>
        <w:t>Table 2. Effect of integrated nutrient management on soil microbial population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(Pooled data of two years) </w:t>
      </w:r>
    </w:p>
    <w:tbl>
      <w:tblPr>
        <w:tblStyle w:val="TableGrid"/>
        <w:tblW w:w="9098" w:type="dxa"/>
        <w:tblCellMar>
          <w:left w:w="29" w:type="dxa"/>
          <w:right w:w="29" w:type="dxa"/>
        </w:tblCellMar>
        <w:tblLook w:val="04A0" w:firstRow="1" w:lastRow="0" w:firstColumn="1" w:lastColumn="0" w:noHBand="0" w:noVBand="1"/>
      </w:tblPr>
      <w:tblGrid>
        <w:gridCol w:w="3449"/>
        <w:gridCol w:w="1980"/>
        <w:gridCol w:w="1890"/>
        <w:gridCol w:w="1779"/>
      </w:tblGrid>
      <w:tr w:rsidR="00E324FC" w:rsidRPr="00B36A1C" w14:paraId="4DBFF9D5" w14:textId="77777777" w:rsidTr="00F23FC9">
        <w:trPr>
          <w:trHeight w:val="621"/>
        </w:trPr>
        <w:tc>
          <w:tcPr>
            <w:tcW w:w="3449" w:type="dxa"/>
            <w:vMerge w:val="restart"/>
            <w:noWrap/>
            <w:vAlign w:val="center"/>
            <w:hideMark/>
          </w:tcPr>
          <w:p w14:paraId="5DC8951B" w14:textId="77777777" w:rsidR="00E324FC" w:rsidRPr="00B36A1C" w:rsidRDefault="00E324FC" w:rsidP="00F23FC9">
            <w:pPr>
              <w:pStyle w:val="Heading2"/>
              <w:outlineLvl w:val="1"/>
              <w:rPr>
                <w:rFonts w:ascii="Arial" w:hAnsi="Arial" w:cs="Arial"/>
                <w:sz w:val="20"/>
                <w:szCs w:val="20"/>
              </w:rPr>
            </w:pPr>
            <w:r w:rsidRPr="00B36A1C">
              <w:rPr>
                <w:rFonts w:ascii="Arial" w:hAnsi="Arial" w:cs="Arial"/>
                <w:sz w:val="20"/>
                <w:szCs w:val="20"/>
              </w:rPr>
              <w:t>Treatments</w:t>
            </w:r>
          </w:p>
        </w:tc>
        <w:tc>
          <w:tcPr>
            <w:tcW w:w="1980" w:type="dxa"/>
            <w:vMerge w:val="restart"/>
            <w:tcBorders>
              <w:right w:val="single" w:sz="4" w:space="0" w:color="auto"/>
            </w:tcBorders>
            <w:vAlign w:val="center"/>
          </w:tcPr>
          <w:p w14:paraId="730D0C31"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Bacteria</w:t>
            </w:r>
          </w:p>
          <w:p w14:paraId="56999668"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6</w:t>
            </w:r>
            <w:r w:rsidRPr="00B36A1C">
              <w:rPr>
                <w:rFonts w:ascii="Arial" w:hAnsi="Arial" w:cs="Arial"/>
                <w:b/>
                <w:bCs/>
                <w:sz w:val="20"/>
                <w:szCs w:val="20"/>
              </w:rPr>
              <w:t xml:space="preserve"> </w:t>
            </w:r>
            <w:proofErr w:type="spellStart"/>
            <w:r w:rsidRPr="00B36A1C">
              <w:rPr>
                <w:rFonts w:ascii="Arial" w:hAnsi="Arial" w:cs="Arial"/>
                <w:b/>
                <w:bCs/>
                <w:sz w:val="20"/>
                <w:szCs w:val="20"/>
              </w:rPr>
              <w:t>cfu</w:t>
            </w:r>
            <w:proofErr w:type="spellEnd"/>
            <w:r w:rsidRPr="00B36A1C">
              <w:rPr>
                <w:rFonts w:ascii="Arial" w:hAnsi="Arial" w:cs="Arial"/>
                <w:b/>
                <w:bCs/>
                <w:sz w:val="20"/>
                <w:szCs w:val="20"/>
              </w:rPr>
              <w:t xml:space="preserve">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c>
          <w:tcPr>
            <w:tcW w:w="1890" w:type="dxa"/>
            <w:vMerge w:val="restart"/>
            <w:tcBorders>
              <w:left w:val="single" w:sz="4" w:space="0" w:color="auto"/>
            </w:tcBorders>
            <w:vAlign w:val="center"/>
          </w:tcPr>
          <w:p w14:paraId="5D2BEF1E"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Fungi</w:t>
            </w:r>
          </w:p>
          <w:p w14:paraId="79813BD8"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4</w:t>
            </w:r>
            <w:r w:rsidRPr="00B36A1C">
              <w:rPr>
                <w:rFonts w:ascii="Arial" w:hAnsi="Arial" w:cs="Arial"/>
                <w:b/>
                <w:bCs/>
                <w:sz w:val="20"/>
                <w:szCs w:val="20"/>
              </w:rPr>
              <w:t xml:space="preserve"> </w:t>
            </w:r>
            <w:proofErr w:type="spellStart"/>
            <w:r w:rsidRPr="00B36A1C">
              <w:rPr>
                <w:rFonts w:ascii="Arial" w:hAnsi="Arial" w:cs="Arial"/>
                <w:b/>
                <w:bCs/>
                <w:sz w:val="20"/>
                <w:szCs w:val="20"/>
              </w:rPr>
              <w:t>cfu</w:t>
            </w:r>
            <w:proofErr w:type="spellEnd"/>
            <w:r w:rsidRPr="00B36A1C">
              <w:rPr>
                <w:rFonts w:ascii="Arial" w:hAnsi="Arial" w:cs="Arial"/>
                <w:b/>
                <w:bCs/>
                <w:sz w:val="20"/>
                <w:szCs w:val="20"/>
              </w:rPr>
              <w:t xml:space="preserve">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c>
          <w:tcPr>
            <w:tcW w:w="1779" w:type="dxa"/>
            <w:vMerge w:val="restart"/>
            <w:tcBorders>
              <w:left w:val="single" w:sz="4" w:space="0" w:color="auto"/>
            </w:tcBorders>
            <w:vAlign w:val="center"/>
          </w:tcPr>
          <w:p w14:paraId="6DE1C786"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Actinomycetes</w:t>
            </w:r>
          </w:p>
          <w:p w14:paraId="09B05BD7"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(×10</w:t>
            </w:r>
            <w:r w:rsidRPr="00B36A1C">
              <w:rPr>
                <w:rFonts w:ascii="Arial" w:hAnsi="Arial" w:cs="Arial"/>
                <w:b/>
                <w:bCs/>
                <w:sz w:val="20"/>
                <w:szCs w:val="20"/>
                <w:vertAlign w:val="superscript"/>
              </w:rPr>
              <w:t>5</w:t>
            </w:r>
            <w:r w:rsidRPr="00B36A1C">
              <w:rPr>
                <w:rFonts w:ascii="Arial" w:hAnsi="Arial" w:cs="Arial"/>
                <w:b/>
                <w:bCs/>
                <w:sz w:val="20"/>
                <w:szCs w:val="20"/>
              </w:rPr>
              <w:t xml:space="preserve"> </w:t>
            </w:r>
            <w:proofErr w:type="spellStart"/>
            <w:r w:rsidRPr="00B36A1C">
              <w:rPr>
                <w:rFonts w:ascii="Arial" w:hAnsi="Arial" w:cs="Arial"/>
                <w:b/>
                <w:bCs/>
                <w:sz w:val="20"/>
                <w:szCs w:val="20"/>
              </w:rPr>
              <w:t>cfu</w:t>
            </w:r>
            <w:proofErr w:type="spellEnd"/>
            <w:r w:rsidRPr="00B36A1C">
              <w:rPr>
                <w:rFonts w:ascii="Arial" w:hAnsi="Arial" w:cs="Arial"/>
                <w:b/>
                <w:bCs/>
                <w:sz w:val="20"/>
                <w:szCs w:val="20"/>
              </w:rPr>
              <w:t xml:space="preserve"> g</w:t>
            </w:r>
            <w:r w:rsidRPr="00B36A1C">
              <w:rPr>
                <w:rFonts w:ascii="Arial" w:hAnsi="Arial" w:cs="Arial"/>
                <w:b/>
                <w:bCs/>
                <w:sz w:val="20"/>
                <w:szCs w:val="20"/>
                <w:vertAlign w:val="superscript"/>
              </w:rPr>
              <w:t xml:space="preserve">-1 </w:t>
            </w:r>
            <w:r w:rsidRPr="00B36A1C">
              <w:rPr>
                <w:rFonts w:ascii="Arial" w:hAnsi="Arial" w:cs="Arial"/>
                <w:b/>
                <w:bCs/>
                <w:sz w:val="20"/>
                <w:szCs w:val="20"/>
              </w:rPr>
              <w:t>soil)</w:t>
            </w:r>
          </w:p>
        </w:tc>
      </w:tr>
      <w:tr w:rsidR="00E324FC" w:rsidRPr="00B36A1C" w14:paraId="2663BFE2" w14:textId="77777777" w:rsidTr="00F23FC9">
        <w:trPr>
          <w:trHeight w:val="509"/>
        </w:trPr>
        <w:tc>
          <w:tcPr>
            <w:tcW w:w="3449" w:type="dxa"/>
            <w:vMerge/>
            <w:vAlign w:val="center"/>
            <w:hideMark/>
          </w:tcPr>
          <w:p w14:paraId="58E03918" w14:textId="77777777" w:rsidR="00E324FC" w:rsidRPr="00B36A1C" w:rsidRDefault="00E324FC" w:rsidP="00F23FC9">
            <w:pPr>
              <w:jc w:val="center"/>
              <w:rPr>
                <w:rFonts w:ascii="Arial" w:hAnsi="Arial" w:cs="Arial"/>
                <w:b/>
                <w:bCs/>
                <w:sz w:val="20"/>
                <w:szCs w:val="20"/>
              </w:rPr>
            </w:pPr>
          </w:p>
        </w:tc>
        <w:tc>
          <w:tcPr>
            <w:tcW w:w="1980" w:type="dxa"/>
            <w:vMerge/>
            <w:tcBorders>
              <w:right w:val="single" w:sz="4" w:space="0" w:color="auto"/>
            </w:tcBorders>
            <w:vAlign w:val="center"/>
          </w:tcPr>
          <w:p w14:paraId="2CFB29F5" w14:textId="77777777" w:rsidR="00E324FC" w:rsidRPr="00B36A1C" w:rsidRDefault="00E324FC" w:rsidP="00F23FC9">
            <w:pPr>
              <w:ind w:left="1170" w:hanging="1170"/>
              <w:jc w:val="center"/>
              <w:rPr>
                <w:rFonts w:ascii="Arial" w:hAnsi="Arial" w:cs="Arial"/>
                <w:b/>
                <w:bCs/>
                <w:sz w:val="20"/>
                <w:szCs w:val="20"/>
              </w:rPr>
            </w:pPr>
          </w:p>
        </w:tc>
        <w:tc>
          <w:tcPr>
            <w:tcW w:w="1890" w:type="dxa"/>
            <w:vMerge/>
            <w:tcBorders>
              <w:left w:val="single" w:sz="4" w:space="0" w:color="auto"/>
            </w:tcBorders>
            <w:vAlign w:val="center"/>
          </w:tcPr>
          <w:p w14:paraId="3A85667C" w14:textId="77777777" w:rsidR="00E324FC" w:rsidRPr="00B36A1C" w:rsidRDefault="00E324FC" w:rsidP="00F23FC9">
            <w:pPr>
              <w:jc w:val="center"/>
              <w:rPr>
                <w:rFonts w:ascii="Arial" w:hAnsi="Arial" w:cs="Arial"/>
                <w:b/>
                <w:bCs/>
                <w:sz w:val="20"/>
                <w:szCs w:val="20"/>
              </w:rPr>
            </w:pPr>
          </w:p>
        </w:tc>
        <w:tc>
          <w:tcPr>
            <w:tcW w:w="1779" w:type="dxa"/>
            <w:vMerge/>
            <w:tcBorders>
              <w:left w:val="single" w:sz="4" w:space="0" w:color="auto"/>
            </w:tcBorders>
            <w:vAlign w:val="center"/>
          </w:tcPr>
          <w:p w14:paraId="2AB96BA7" w14:textId="77777777" w:rsidR="00E324FC" w:rsidRPr="00B36A1C" w:rsidRDefault="00E324FC" w:rsidP="00F23FC9">
            <w:pPr>
              <w:jc w:val="center"/>
              <w:rPr>
                <w:rFonts w:ascii="Arial" w:hAnsi="Arial" w:cs="Arial"/>
                <w:b/>
                <w:bCs/>
                <w:sz w:val="20"/>
                <w:szCs w:val="20"/>
              </w:rPr>
            </w:pPr>
          </w:p>
        </w:tc>
      </w:tr>
      <w:tr w:rsidR="00E324FC" w:rsidRPr="00B36A1C" w14:paraId="3EB306E4" w14:textId="77777777" w:rsidTr="00F23FC9">
        <w:trPr>
          <w:trHeight w:val="324"/>
        </w:trPr>
        <w:tc>
          <w:tcPr>
            <w:tcW w:w="3449" w:type="dxa"/>
            <w:noWrap/>
            <w:vAlign w:val="center"/>
            <w:hideMark/>
          </w:tcPr>
          <w:p w14:paraId="5BC50F40" w14:textId="77777777" w:rsidR="00E324FC" w:rsidRPr="00B36A1C" w:rsidRDefault="00E324FC" w:rsidP="00F23FC9">
            <w:pPr>
              <w:rPr>
                <w:rFonts w:ascii="Arial" w:hAnsi="Arial" w:cs="Arial"/>
                <w:sz w:val="20"/>
                <w:szCs w:val="20"/>
              </w:rPr>
            </w:pPr>
            <w:r w:rsidRPr="00B36A1C">
              <w:rPr>
                <w:rFonts w:ascii="Arial" w:hAnsi="Arial" w:cs="Arial"/>
                <w:bCs/>
                <w:sz w:val="20"/>
                <w:szCs w:val="20"/>
              </w:rPr>
              <w:t>T1- STBFR</w:t>
            </w:r>
          </w:p>
        </w:tc>
        <w:tc>
          <w:tcPr>
            <w:tcW w:w="1980" w:type="dxa"/>
            <w:vAlign w:val="center"/>
          </w:tcPr>
          <w:p w14:paraId="31E6F566"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19.0</w:t>
            </w:r>
          </w:p>
        </w:tc>
        <w:tc>
          <w:tcPr>
            <w:tcW w:w="1890" w:type="dxa"/>
            <w:vAlign w:val="center"/>
          </w:tcPr>
          <w:p w14:paraId="04611A28"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26.8</w:t>
            </w:r>
          </w:p>
        </w:tc>
        <w:tc>
          <w:tcPr>
            <w:tcW w:w="1779" w:type="dxa"/>
            <w:tcBorders>
              <w:left w:val="single" w:sz="4" w:space="0" w:color="auto"/>
            </w:tcBorders>
            <w:vAlign w:val="center"/>
          </w:tcPr>
          <w:p w14:paraId="1C352AAE"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7.1</w:t>
            </w:r>
          </w:p>
        </w:tc>
      </w:tr>
      <w:tr w:rsidR="00E324FC" w:rsidRPr="00B36A1C" w14:paraId="1FCC6415" w14:textId="77777777" w:rsidTr="00F23FC9">
        <w:trPr>
          <w:trHeight w:val="324"/>
        </w:trPr>
        <w:tc>
          <w:tcPr>
            <w:tcW w:w="3449" w:type="dxa"/>
            <w:noWrap/>
            <w:vAlign w:val="center"/>
            <w:hideMark/>
          </w:tcPr>
          <w:p w14:paraId="751C1CB6" w14:textId="77777777" w:rsidR="00E324FC" w:rsidRPr="00B36A1C" w:rsidRDefault="00E324FC" w:rsidP="00F23FC9">
            <w:pPr>
              <w:rPr>
                <w:rFonts w:ascii="Arial" w:hAnsi="Arial" w:cs="Arial"/>
                <w:sz w:val="20"/>
                <w:szCs w:val="20"/>
              </w:rPr>
            </w:pPr>
            <w:r w:rsidRPr="00B36A1C">
              <w:rPr>
                <w:rFonts w:ascii="Arial" w:hAnsi="Arial" w:cs="Arial"/>
                <w:bCs/>
                <w:sz w:val="20"/>
                <w:szCs w:val="20"/>
              </w:rPr>
              <w:t>T2- STBFR + GM</w:t>
            </w:r>
          </w:p>
        </w:tc>
        <w:tc>
          <w:tcPr>
            <w:tcW w:w="1980" w:type="dxa"/>
            <w:vAlign w:val="center"/>
          </w:tcPr>
          <w:p w14:paraId="528661AF"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26.8</w:t>
            </w:r>
          </w:p>
        </w:tc>
        <w:tc>
          <w:tcPr>
            <w:tcW w:w="1890" w:type="dxa"/>
            <w:vAlign w:val="center"/>
          </w:tcPr>
          <w:p w14:paraId="085E6240"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36.7</w:t>
            </w:r>
          </w:p>
        </w:tc>
        <w:tc>
          <w:tcPr>
            <w:tcW w:w="1779" w:type="dxa"/>
            <w:tcBorders>
              <w:left w:val="single" w:sz="4" w:space="0" w:color="auto"/>
            </w:tcBorders>
            <w:vAlign w:val="center"/>
          </w:tcPr>
          <w:p w14:paraId="27EBE567"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16.9</w:t>
            </w:r>
          </w:p>
        </w:tc>
      </w:tr>
      <w:tr w:rsidR="00E324FC" w:rsidRPr="00B36A1C" w14:paraId="0A56A9B2" w14:textId="77777777" w:rsidTr="00F23FC9">
        <w:trPr>
          <w:trHeight w:val="324"/>
        </w:trPr>
        <w:tc>
          <w:tcPr>
            <w:tcW w:w="3449" w:type="dxa"/>
            <w:noWrap/>
            <w:vAlign w:val="center"/>
            <w:hideMark/>
          </w:tcPr>
          <w:p w14:paraId="7F282DED" w14:textId="77777777" w:rsidR="00E324FC" w:rsidRPr="00B36A1C" w:rsidRDefault="00E324FC" w:rsidP="00F23FC9">
            <w:pPr>
              <w:rPr>
                <w:rFonts w:ascii="Arial" w:hAnsi="Arial" w:cs="Arial"/>
                <w:sz w:val="20"/>
                <w:szCs w:val="20"/>
              </w:rPr>
            </w:pPr>
            <w:r w:rsidRPr="00B36A1C">
              <w:rPr>
                <w:rFonts w:ascii="Arial" w:hAnsi="Arial" w:cs="Arial"/>
                <w:bCs/>
                <w:sz w:val="20"/>
                <w:szCs w:val="20"/>
              </w:rPr>
              <w:t>T3- STBFR + FYM</w:t>
            </w:r>
          </w:p>
        </w:tc>
        <w:tc>
          <w:tcPr>
            <w:tcW w:w="1980" w:type="dxa"/>
            <w:vAlign w:val="center"/>
          </w:tcPr>
          <w:p w14:paraId="4376D50F"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27.4</w:t>
            </w:r>
          </w:p>
        </w:tc>
        <w:tc>
          <w:tcPr>
            <w:tcW w:w="1890" w:type="dxa"/>
            <w:vAlign w:val="center"/>
          </w:tcPr>
          <w:p w14:paraId="40D872F2"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37.2</w:t>
            </w:r>
          </w:p>
        </w:tc>
        <w:tc>
          <w:tcPr>
            <w:tcW w:w="1779" w:type="dxa"/>
            <w:tcBorders>
              <w:left w:val="single" w:sz="4" w:space="0" w:color="auto"/>
            </w:tcBorders>
            <w:vAlign w:val="center"/>
          </w:tcPr>
          <w:p w14:paraId="4ABE873A"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18.9</w:t>
            </w:r>
          </w:p>
        </w:tc>
      </w:tr>
      <w:tr w:rsidR="00E324FC" w:rsidRPr="00B36A1C" w14:paraId="3C6ED903" w14:textId="77777777" w:rsidTr="00F23FC9">
        <w:trPr>
          <w:trHeight w:val="324"/>
        </w:trPr>
        <w:tc>
          <w:tcPr>
            <w:tcW w:w="3449" w:type="dxa"/>
            <w:noWrap/>
            <w:vAlign w:val="center"/>
            <w:hideMark/>
          </w:tcPr>
          <w:p w14:paraId="39B8BB2D" w14:textId="77777777" w:rsidR="00E324FC" w:rsidRPr="00B36A1C" w:rsidRDefault="00E324FC" w:rsidP="00F23FC9">
            <w:pPr>
              <w:rPr>
                <w:rFonts w:ascii="Arial" w:hAnsi="Arial" w:cs="Arial"/>
                <w:sz w:val="20"/>
                <w:szCs w:val="20"/>
              </w:rPr>
            </w:pPr>
            <w:r w:rsidRPr="00B36A1C">
              <w:rPr>
                <w:rFonts w:ascii="Arial" w:hAnsi="Arial" w:cs="Arial"/>
                <w:bCs/>
                <w:sz w:val="20"/>
                <w:szCs w:val="20"/>
              </w:rPr>
              <w:t>T4- STBFR + Lime</w:t>
            </w:r>
          </w:p>
        </w:tc>
        <w:tc>
          <w:tcPr>
            <w:tcW w:w="1980" w:type="dxa"/>
            <w:vAlign w:val="center"/>
          </w:tcPr>
          <w:p w14:paraId="7EF178F2"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21.8</w:t>
            </w:r>
          </w:p>
        </w:tc>
        <w:tc>
          <w:tcPr>
            <w:tcW w:w="1890" w:type="dxa"/>
            <w:vAlign w:val="center"/>
          </w:tcPr>
          <w:p w14:paraId="10B9E6AF"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28.7</w:t>
            </w:r>
          </w:p>
        </w:tc>
        <w:tc>
          <w:tcPr>
            <w:tcW w:w="1779" w:type="dxa"/>
            <w:tcBorders>
              <w:left w:val="single" w:sz="4" w:space="0" w:color="auto"/>
            </w:tcBorders>
            <w:vAlign w:val="center"/>
          </w:tcPr>
          <w:p w14:paraId="46D38A56"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8.2</w:t>
            </w:r>
          </w:p>
        </w:tc>
      </w:tr>
      <w:tr w:rsidR="00E324FC" w:rsidRPr="00B36A1C" w14:paraId="48BEBC2D" w14:textId="77777777" w:rsidTr="00F23FC9">
        <w:trPr>
          <w:trHeight w:val="324"/>
        </w:trPr>
        <w:tc>
          <w:tcPr>
            <w:tcW w:w="3449" w:type="dxa"/>
            <w:noWrap/>
            <w:vAlign w:val="center"/>
            <w:hideMark/>
          </w:tcPr>
          <w:p w14:paraId="038824C8" w14:textId="77777777" w:rsidR="00E324FC" w:rsidRPr="00B36A1C" w:rsidRDefault="00E324FC"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T5- STBFR + S</w:t>
            </w:r>
          </w:p>
        </w:tc>
        <w:tc>
          <w:tcPr>
            <w:tcW w:w="1980" w:type="dxa"/>
            <w:vAlign w:val="center"/>
          </w:tcPr>
          <w:p w14:paraId="18F7B439"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23.6</w:t>
            </w:r>
          </w:p>
        </w:tc>
        <w:tc>
          <w:tcPr>
            <w:tcW w:w="1890" w:type="dxa"/>
            <w:vAlign w:val="center"/>
          </w:tcPr>
          <w:p w14:paraId="71C99E95"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30.9</w:t>
            </w:r>
          </w:p>
        </w:tc>
        <w:tc>
          <w:tcPr>
            <w:tcW w:w="1779" w:type="dxa"/>
            <w:tcBorders>
              <w:left w:val="single" w:sz="4" w:space="0" w:color="auto"/>
            </w:tcBorders>
            <w:vAlign w:val="center"/>
          </w:tcPr>
          <w:p w14:paraId="5ED5BCF4"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11.0</w:t>
            </w:r>
          </w:p>
        </w:tc>
      </w:tr>
      <w:tr w:rsidR="00E324FC" w:rsidRPr="00B36A1C" w14:paraId="04E315C5" w14:textId="77777777" w:rsidTr="00F23FC9">
        <w:trPr>
          <w:trHeight w:val="324"/>
        </w:trPr>
        <w:tc>
          <w:tcPr>
            <w:tcW w:w="3449" w:type="dxa"/>
            <w:noWrap/>
            <w:vAlign w:val="center"/>
            <w:hideMark/>
          </w:tcPr>
          <w:p w14:paraId="5845D487" w14:textId="77777777" w:rsidR="00E324FC" w:rsidRPr="00B36A1C" w:rsidRDefault="00E324FC" w:rsidP="00F23FC9">
            <w:pPr>
              <w:rPr>
                <w:rFonts w:ascii="Arial" w:hAnsi="Arial" w:cs="Arial"/>
                <w:sz w:val="20"/>
                <w:szCs w:val="20"/>
              </w:rPr>
            </w:pPr>
            <w:r w:rsidRPr="00B36A1C">
              <w:rPr>
                <w:rFonts w:ascii="Arial" w:hAnsi="Arial" w:cs="Arial"/>
                <w:bCs/>
                <w:sz w:val="20"/>
                <w:szCs w:val="20"/>
              </w:rPr>
              <w:t>T6- STBFR + BF</w:t>
            </w:r>
          </w:p>
        </w:tc>
        <w:tc>
          <w:tcPr>
            <w:tcW w:w="1980" w:type="dxa"/>
            <w:vAlign w:val="center"/>
          </w:tcPr>
          <w:p w14:paraId="09F71224"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28.9</w:t>
            </w:r>
          </w:p>
        </w:tc>
        <w:tc>
          <w:tcPr>
            <w:tcW w:w="1890" w:type="dxa"/>
            <w:vAlign w:val="center"/>
          </w:tcPr>
          <w:p w14:paraId="667FB369"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41.7</w:t>
            </w:r>
          </w:p>
        </w:tc>
        <w:tc>
          <w:tcPr>
            <w:tcW w:w="1779" w:type="dxa"/>
            <w:tcBorders>
              <w:left w:val="single" w:sz="4" w:space="0" w:color="auto"/>
            </w:tcBorders>
            <w:vAlign w:val="center"/>
          </w:tcPr>
          <w:p w14:paraId="4C12B629"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21.9</w:t>
            </w:r>
          </w:p>
        </w:tc>
      </w:tr>
      <w:tr w:rsidR="00E324FC" w:rsidRPr="00B36A1C" w14:paraId="235950C1" w14:textId="77777777" w:rsidTr="00F23FC9">
        <w:trPr>
          <w:trHeight w:val="324"/>
        </w:trPr>
        <w:tc>
          <w:tcPr>
            <w:tcW w:w="3449" w:type="dxa"/>
            <w:noWrap/>
            <w:vAlign w:val="center"/>
            <w:hideMark/>
          </w:tcPr>
          <w:p w14:paraId="16C6D600" w14:textId="77777777" w:rsidR="00E324FC" w:rsidRPr="00B36A1C" w:rsidRDefault="00E324FC" w:rsidP="00F23FC9">
            <w:pPr>
              <w:rPr>
                <w:rFonts w:ascii="Arial" w:hAnsi="Arial" w:cs="Arial"/>
                <w:sz w:val="20"/>
                <w:szCs w:val="20"/>
              </w:rPr>
            </w:pPr>
            <w:r w:rsidRPr="00B36A1C">
              <w:rPr>
                <w:rFonts w:ascii="Arial" w:hAnsi="Arial" w:cs="Arial"/>
                <w:bCs/>
                <w:sz w:val="20"/>
                <w:szCs w:val="20"/>
              </w:rPr>
              <w:t>T7- STBFR + GM + FYM</w:t>
            </w:r>
          </w:p>
        </w:tc>
        <w:tc>
          <w:tcPr>
            <w:tcW w:w="1980" w:type="dxa"/>
            <w:vAlign w:val="center"/>
          </w:tcPr>
          <w:p w14:paraId="650C70A6"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28.1</w:t>
            </w:r>
          </w:p>
        </w:tc>
        <w:tc>
          <w:tcPr>
            <w:tcW w:w="1890" w:type="dxa"/>
            <w:vAlign w:val="center"/>
          </w:tcPr>
          <w:p w14:paraId="294A886B"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39.4</w:t>
            </w:r>
          </w:p>
        </w:tc>
        <w:tc>
          <w:tcPr>
            <w:tcW w:w="1779" w:type="dxa"/>
            <w:tcBorders>
              <w:left w:val="single" w:sz="4" w:space="0" w:color="auto"/>
            </w:tcBorders>
            <w:vAlign w:val="center"/>
          </w:tcPr>
          <w:p w14:paraId="2B602ADE"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17.9</w:t>
            </w:r>
          </w:p>
        </w:tc>
      </w:tr>
      <w:tr w:rsidR="00E324FC" w:rsidRPr="00B36A1C" w14:paraId="28093260" w14:textId="77777777" w:rsidTr="00F23FC9">
        <w:trPr>
          <w:trHeight w:val="324"/>
        </w:trPr>
        <w:tc>
          <w:tcPr>
            <w:tcW w:w="3449" w:type="dxa"/>
            <w:noWrap/>
            <w:vAlign w:val="center"/>
            <w:hideMark/>
          </w:tcPr>
          <w:p w14:paraId="347BC83E" w14:textId="77777777" w:rsidR="00E324FC" w:rsidRPr="00B36A1C" w:rsidRDefault="00E324FC"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T8- STBFR + GM + Lime</w:t>
            </w:r>
          </w:p>
        </w:tc>
        <w:tc>
          <w:tcPr>
            <w:tcW w:w="1980" w:type="dxa"/>
            <w:vAlign w:val="center"/>
          </w:tcPr>
          <w:p w14:paraId="0BBDBAFC"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22.3</w:t>
            </w:r>
          </w:p>
        </w:tc>
        <w:tc>
          <w:tcPr>
            <w:tcW w:w="1890" w:type="dxa"/>
            <w:vAlign w:val="center"/>
          </w:tcPr>
          <w:p w14:paraId="08BAFB77"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28.1</w:t>
            </w:r>
          </w:p>
        </w:tc>
        <w:tc>
          <w:tcPr>
            <w:tcW w:w="1779" w:type="dxa"/>
            <w:tcBorders>
              <w:left w:val="single" w:sz="4" w:space="0" w:color="auto"/>
            </w:tcBorders>
            <w:vAlign w:val="center"/>
          </w:tcPr>
          <w:p w14:paraId="084DB443"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9.0</w:t>
            </w:r>
          </w:p>
        </w:tc>
      </w:tr>
      <w:tr w:rsidR="00E324FC" w:rsidRPr="00B36A1C" w14:paraId="2FFB81D1" w14:textId="77777777" w:rsidTr="00F23FC9">
        <w:trPr>
          <w:trHeight w:val="324"/>
        </w:trPr>
        <w:tc>
          <w:tcPr>
            <w:tcW w:w="3449" w:type="dxa"/>
            <w:noWrap/>
            <w:vAlign w:val="center"/>
            <w:hideMark/>
          </w:tcPr>
          <w:p w14:paraId="03DE6405" w14:textId="77777777" w:rsidR="00E324FC" w:rsidRPr="00B36A1C" w:rsidRDefault="00E324FC" w:rsidP="00F23FC9">
            <w:pPr>
              <w:rPr>
                <w:rFonts w:ascii="Arial" w:hAnsi="Arial" w:cs="Arial"/>
                <w:sz w:val="20"/>
                <w:szCs w:val="20"/>
              </w:rPr>
            </w:pPr>
            <w:r w:rsidRPr="00B36A1C">
              <w:rPr>
                <w:rFonts w:ascii="Arial" w:hAnsi="Arial" w:cs="Arial"/>
                <w:bCs/>
                <w:sz w:val="20"/>
                <w:szCs w:val="20"/>
              </w:rPr>
              <w:t>T9- STBFR + FYM + Lime</w:t>
            </w:r>
          </w:p>
        </w:tc>
        <w:tc>
          <w:tcPr>
            <w:tcW w:w="1980" w:type="dxa"/>
            <w:vAlign w:val="center"/>
          </w:tcPr>
          <w:p w14:paraId="05AFD0D0"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24.5</w:t>
            </w:r>
          </w:p>
        </w:tc>
        <w:tc>
          <w:tcPr>
            <w:tcW w:w="1890" w:type="dxa"/>
            <w:vAlign w:val="center"/>
          </w:tcPr>
          <w:p w14:paraId="44EA697E"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32.3</w:t>
            </w:r>
          </w:p>
        </w:tc>
        <w:tc>
          <w:tcPr>
            <w:tcW w:w="1779" w:type="dxa"/>
            <w:vAlign w:val="center"/>
          </w:tcPr>
          <w:p w14:paraId="6FDDEDDF"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12.9</w:t>
            </w:r>
          </w:p>
        </w:tc>
      </w:tr>
      <w:tr w:rsidR="00E324FC" w:rsidRPr="00B36A1C" w14:paraId="4C883A49" w14:textId="77777777" w:rsidTr="00F23FC9">
        <w:trPr>
          <w:trHeight w:val="324"/>
        </w:trPr>
        <w:tc>
          <w:tcPr>
            <w:tcW w:w="3449" w:type="dxa"/>
            <w:noWrap/>
            <w:vAlign w:val="center"/>
            <w:hideMark/>
          </w:tcPr>
          <w:p w14:paraId="5EB007DD" w14:textId="77777777" w:rsidR="00E324FC" w:rsidRPr="00B36A1C" w:rsidRDefault="00E324FC" w:rsidP="00F23FC9">
            <w:pPr>
              <w:rPr>
                <w:rFonts w:ascii="Arial" w:hAnsi="Arial" w:cs="Arial"/>
                <w:sz w:val="20"/>
                <w:szCs w:val="20"/>
              </w:rPr>
            </w:pPr>
            <w:r w:rsidRPr="00B36A1C">
              <w:rPr>
                <w:rFonts w:ascii="Arial" w:hAnsi="Arial" w:cs="Arial"/>
                <w:bCs/>
                <w:sz w:val="20"/>
                <w:szCs w:val="20"/>
              </w:rPr>
              <w:t xml:space="preserve">T10- STBFR + GM + FYM + Lime </w:t>
            </w:r>
          </w:p>
        </w:tc>
        <w:tc>
          <w:tcPr>
            <w:tcW w:w="1980" w:type="dxa"/>
            <w:vAlign w:val="center"/>
          </w:tcPr>
          <w:p w14:paraId="222A9A6E"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28.6</w:t>
            </w:r>
          </w:p>
        </w:tc>
        <w:tc>
          <w:tcPr>
            <w:tcW w:w="1890" w:type="dxa"/>
            <w:vAlign w:val="center"/>
          </w:tcPr>
          <w:p w14:paraId="57732C13"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43.1</w:t>
            </w:r>
          </w:p>
        </w:tc>
        <w:tc>
          <w:tcPr>
            <w:tcW w:w="1779" w:type="dxa"/>
            <w:vAlign w:val="center"/>
          </w:tcPr>
          <w:p w14:paraId="786EC4FE"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19.4</w:t>
            </w:r>
          </w:p>
        </w:tc>
      </w:tr>
      <w:tr w:rsidR="00E324FC" w:rsidRPr="00B36A1C" w14:paraId="5F091DE9" w14:textId="77777777" w:rsidTr="00F23FC9">
        <w:trPr>
          <w:trHeight w:val="324"/>
        </w:trPr>
        <w:tc>
          <w:tcPr>
            <w:tcW w:w="3449" w:type="dxa"/>
            <w:noWrap/>
            <w:vAlign w:val="center"/>
            <w:hideMark/>
          </w:tcPr>
          <w:p w14:paraId="2130DFA8" w14:textId="77777777" w:rsidR="00E324FC" w:rsidRPr="00B36A1C" w:rsidRDefault="00E324FC"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T11- STBFR + GM + FYM + S</w:t>
            </w:r>
          </w:p>
        </w:tc>
        <w:tc>
          <w:tcPr>
            <w:tcW w:w="1980" w:type="dxa"/>
            <w:vAlign w:val="center"/>
          </w:tcPr>
          <w:p w14:paraId="6B010167"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29.8</w:t>
            </w:r>
          </w:p>
        </w:tc>
        <w:tc>
          <w:tcPr>
            <w:tcW w:w="1890" w:type="dxa"/>
            <w:vAlign w:val="center"/>
          </w:tcPr>
          <w:p w14:paraId="209FB04D"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44.7</w:t>
            </w:r>
          </w:p>
        </w:tc>
        <w:tc>
          <w:tcPr>
            <w:tcW w:w="1779" w:type="dxa"/>
            <w:vAlign w:val="center"/>
          </w:tcPr>
          <w:p w14:paraId="293B3265"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23.0</w:t>
            </w:r>
          </w:p>
        </w:tc>
      </w:tr>
      <w:tr w:rsidR="00E324FC" w:rsidRPr="00B36A1C" w14:paraId="202D469B" w14:textId="77777777" w:rsidTr="00F23FC9">
        <w:trPr>
          <w:trHeight w:val="324"/>
        </w:trPr>
        <w:tc>
          <w:tcPr>
            <w:tcW w:w="3449" w:type="dxa"/>
            <w:noWrap/>
            <w:vAlign w:val="center"/>
            <w:hideMark/>
          </w:tcPr>
          <w:p w14:paraId="7BCD6FF2" w14:textId="77777777" w:rsidR="00E324FC" w:rsidRPr="00B36A1C" w:rsidRDefault="00E324FC"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T12- STBFR + GM + FYM + BF</w:t>
            </w:r>
          </w:p>
        </w:tc>
        <w:tc>
          <w:tcPr>
            <w:tcW w:w="1980" w:type="dxa"/>
            <w:vAlign w:val="center"/>
          </w:tcPr>
          <w:p w14:paraId="134CA43B"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30.5</w:t>
            </w:r>
          </w:p>
        </w:tc>
        <w:tc>
          <w:tcPr>
            <w:tcW w:w="1890" w:type="dxa"/>
            <w:vAlign w:val="center"/>
          </w:tcPr>
          <w:p w14:paraId="7E453516"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46.0</w:t>
            </w:r>
          </w:p>
        </w:tc>
        <w:tc>
          <w:tcPr>
            <w:tcW w:w="1779" w:type="dxa"/>
            <w:vAlign w:val="center"/>
          </w:tcPr>
          <w:p w14:paraId="40127C09" w14:textId="77777777" w:rsidR="00E324FC" w:rsidRPr="00B36A1C" w:rsidRDefault="00E324FC" w:rsidP="00F23FC9">
            <w:pPr>
              <w:jc w:val="center"/>
              <w:rPr>
                <w:rFonts w:ascii="Arial" w:hAnsi="Arial" w:cs="Arial"/>
                <w:sz w:val="20"/>
                <w:szCs w:val="20"/>
              </w:rPr>
            </w:pPr>
            <w:r w:rsidRPr="00B36A1C">
              <w:rPr>
                <w:rFonts w:ascii="Arial" w:hAnsi="Arial" w:cs="Arial"/>
                <w:sz w:val="20"/>
                <w:szCs w:val="20"/>
              </w:rPr>
              <w:t>24.3</w:t>
            </w:r>
          </w:p>
        </w:tc>
      </w:tr>
      <w:tr w:rsidR="00E324FC" w:rsidRPr="00B36A1C" w14:paraId="2A9214A6" w14:textId="77777777" w:rsidTr="00F23FC9">
        <w:trPr>
          <w:trHeight w:val="324"/>
        </w:trPr>
        <w:tc>
          <w:tcPr>
            <w:tcW w:w="3449" w:type="dxa"/>
            <w:noWrap/>
            <w:vAlign w:val="center"/>
            <w:hideMark/>
          </w:tcPr>
          <w:p w14:paraId="03FA59EA" w14:textId="77777777" w:rsidR="00E324FC" w:rsidRPr="00B36A1C" w:rsidRDefault="00E324FC" w:rsidP="00F23FC9">
            <w:pPr>
              <w:jc w:val="center"/>
              <w:rPr>
                <w:rFonts w:ascii="Arial" w:hAnsi="Arial" w:cs="Arial"/>
                <w:b/>
                <w:bCs/>
                <w:sz w:val="20"/>
                <w:szCs w:val="20"/>
              </w:rPr>
            </w:pPr>
            <w:proofErr w:type="spellStart"/>
            <w:r w:rsidRPr="00B36A1C">
              <w:rPr>
                <w:rFonts w:ascii="Arial" w:hAnsi="Arial" w:cs="Arial"/>
                <w:b/>
                <w:bCs/>
                <w:sz w:val="20"/>
                <w:szCs w:val="20"/>
              </w:rPr>
              <w:t>SEm</w:t>
            </w:r>
            <w:proofErr w:type="spellEnd"/>
            <w:r w:rsidRPr="00B36A1C">
              <w:rPr>
                <w:rFonts w:ascii="Arial" w:hAnsi="Arial" w:cs="Arial"/>
                <w:b/>
                <w:bCs/>
                <w:sz w:val="20"/>
                <w:szCs w:val="20"/>
              </w:rPr>
              <w:t xml:space="preserve"> (±)</w:t>
            </w:r>
          </w:p>
        </w:tc>
        <w:tc>
          <w:tcPr>
            <w:tcW w:w="1980" w:type="dxa"/>
            <w:vAlign w:val="center"/>
          </w:tcPr>
          <w:p w14:paraId="365822ED"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0.3</w:t>
            </w:r>
          </w:p>
        </w:tc>
        <w:tc>
          <w:tcPr>
            <w:tcW w:w="1890" w:type="dxa"/>
            <w:vAlign w:val="center"/>
          </w:tcPr>
          <w:p w14:paraId="6E40AB6C"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0.7</w:t>
            </w:r>
          </w:p>
        </w:tc>
        <w:tc>
          <w:tcPr>
            <w:tcW w:w="1779" w:type="dxa"/>
            <w:vAlign w:val="center"/>
          </w:tcPr>
          <w:p w14:paraId="41FD3975"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0.3</w:t>
            </w:r>
          </w:p>
        </w:tc>
      </w:tr>
      <w:tr w:rsidR="00E324FC" w:rsidRPr="00B36A1C" w14:paraId="172EC8D8" w14:textId="77777777" w:rsidTr="00F23FC9">
        <w:trPr>
          <w:trHeight w:val="324"/>
        </w:trPr>
        <w:tc>
          <w:tcPr>
            <w:tcW w:w="3449" w:type="dxa"/>
            <w:tcBorders>
              <w:bottom w:val="single" w:sz="4" w:space="0" w:color="auto"/>
            </w:tcBorders>
            <w:noWrap/>
            <w:vAlign w:val="center"/>
            <w:hideMark/>
          </w:tcPr>
          <w:p w14:paraId="412EE14C"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CD (0.05)</w:t>
            </w:r>
          </w:p>
        </w:tc>
        <w:tc>
          <w:tcPr>
            <w:tcW w:w="1980" w:type="dxa"/>
            <w:tcBorders>
              <w:bottom w:val="single" w:sz="4" w:space="0" w:color="auto"/>
            </w:tcBorders>
            <w:vAlign w:val="center"/>
          </w:tcPr>
          <w:p w14:paraId="3E85F4E7"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0.9</w:t>
            </w:r>
          </w:p>
        </w:tc>
        <w:tc>
          <w:tcPr>
            <w:tcW w:w="1890" w:type="dxa"/>
            <w:tcBorders>
              <w:bottom w:val="single" w:sz="4" w:space="0" w:color="auto"/>
            </w:tcBorders>
            <w:vAlign w:val="center"/>
          </w:tcPr>
          <w:p w14:paraId="34112905"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2.1</w:t>
            </w:r>
          </w:p>
        </w:tc>
        <w:tc>
          <w:tcPr>
            <w:tcW w:w="1779" w:type="dxa"/>
            <w:tcBorders>
              <w:bottom w:val="single" w:sz="4" w:space="0" w:color="auto"/>
            </w:tcBorders>
            <w:vAlign w:val="center"/>
          </w:tcPr>
          <w:p w14:paraId="115F7C43" w14:textId="77777777" w:rsidR="00E324FC" w:rsidRPr="00B36A1C" w:rsidRDefault="00E324FC" w:rsidP="00F23FC9">
            <w:pPr>
              <w:jc w:val="center"/>
              <w:rPr>
                <w:rFonts w:ascii="Arial" w:hAnsi="Arial" w:cs="Arial"/>
                <w:b/>
                <w:bCs/>
                <w:sz w:val="20"/>
                <w:szCs w:val="20"/>
              </w:rPr>
            </w:pPr>
            <w:r w:rsidRPr="00B36A1C">
              <w:rPr>
                <w:rFonts w:ascii="Arial" w:hAnsi="Arial" w:cs="Arial"/>
                <w:b/>
                <w:bCs/>
                <w:sz w:val="20"/>
                <w:szCs w:val="20"/>
              </w:rPr>
              <w:t>0.9</w:t>
            </w:r>
          </w:p>
        </w:tc>
      </w:tr>
    </w:tbl>
    <w:p w14:paraId="78DBCA47" w14:textId="77777777" w:rsidR="00E324FC" w:rsidRPr="00B36A1C" w:rsidRDefault="00E324FC" w:rsidP="00223962">
      <w:pPr>
        <w:spacing w:after="0" w:line="240" w:lineRule="auto"/>
        <w:jc w:val="both"/>
        <w:rPr>
          <w:rFonts w:ascii="Arial" w:hAnsi="Arial" w:cs="Arial"/>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i/>
          <w:iCs/>
          <w:sz w:val="20"/>
          <w:szCs w:val="20"/>
        </w:rPr>
        <w:t xml:space="preserve"> </w:t>
      </w:r>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i/>
          <w:iCs/>
          <w:sz w:val="20"/>
          <w:szCs w:val="20"/>
        </w:rPr>
        <w:t xml:space="preserve"> </w:t>
      </w:r>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14:paraId="22EBEE65" w14:textId="77777777" w:rsidR="00633508" w:rsidRPr="00B36A1C" w:rsidRDefault="00633508" w:rsidP="00223962">
      <w:pPr>
        <w:spacing w:after="0" w:line="240" w:lineRule="auto"/>
        <w:jc w:val="both"/>
        <w:rPr>
          <w:rFonts w:ascii="Arial" w:hAnsi="Arial" w:cs="Arial"/>
          <w:b/>
          <w:bCs/>
          <w:szCs w:val="22"/>
        </w:rPr>
      </w:pPr>
    </w:p>
    <w:p w14:paraId="5025620C" w14:textId="77777777" w:rsidR="00633508" w:rsidRPr="00B36A1C" w:rsidRDefault="00633508" w:rsidP="00223962">
      <w:pPr>
        <w:spacing w:after="0" w:line="240" w:lineRule="auto"/>
        <w:jc w:val="both"/>
        <w:rPr>
          <w:rFonts w:ascii="Arial" w:hAnsi="Arial" w:cs="Arial"/>
          <w:b/>
          <w:bCs/>
          <w:szCs w:val="22"/>
        </w:rPr>
      </w:pPr>
      <w:r w:rsidRPr="00B36A1C">
        <w:rPr>
          <w:rFonts w:ascii="Arial" w:hAnsi="Arial" w:cs="Arial"/>
          <w:b/>
          <w:bCs/>
          <w:szCs w:val="22"/>
        </w:rPr>
        <w:t>3.3 Energy indices</w:t>
      </w:r>
    </w:p>
    <w:p w14:paraId="452F3988" w14:textId="77777777" w:rsidR="005E7B45" w:rsidRPr="00B36A1C" w:rsidRDefault="005E7B45" w:rsidP="00223962">
      <w:pPr>
        <w:spacing w:after="0" w:line="240" w:lineRule="auto"/>
        <w:jc w:val="both"/>
        <w:rPr>
          <w:rFonts w:ascii="Arial" w:hAnsi="Arial" w:cs="Arial"/>
          <w:sz w:val="20"/>
          <w:szCs w:val="20"/>
        </w:rPr>
      </w:pPr>
    </w:p>
    <w:p w14:paraId="3FBEE1B6" w14:textId="77777777" w:rsidR="003539FD" w:rsidRPr="00B36A1C" w:rsidRDefault="003D47C0" w:rsidP="00223962">
      <w:pPr>
        <w:spacing w:after="0" w:line="240" w:lineRule="auto"/>
        <w:jc w:val="both"/>
        <w:rPr>
          <w:rFonts w:ascii="Arial" w:hAnsi="Arial" w:cs="Arial"/>
          <w:sz w:val="20"/>
          <w:szCs w:val="20"/>
        </w:rPr>
      </w:pPr>
      <w:r w:rsidRPr="00B36A1C">
        <w:rPr>
          <w:rFonts w:ascii="Arial" w:hAnsi="Arial" w:cs="Arial"/>
          <w:sz w:val="20"/>
          <w:szCs w:val="20"/>
        </w:rPr>
        <w:t>The lowest energy</w:t>
      </w:r>
      <w:r w:rsidR="00CB1591" w:rsidRPr="00B36A1C">
        <w:rPr>
          <w:rFonts w:ascii="Arial" w:hAnsi="Arial" w:cs="Arial"/>
          <w:sz w:val="20"/>
          <w:szCs w:val="20"/>
        </w:rPr>
        <w:t xml:space="preserve"> input</w:t>
      </w:r>
      <w:r w:rsidRPr="00B36A1C">
        <w:rPr>
          <w:rFonts w:ascii="Arial" w:hAnsi="Arial" w:cs="Arial"/>
          <w:sz w:val="20"/>
          <w:szCs w:val="20"/>
        </w:rPr>
        <w:t xml:space="preserve"> (</w:t>
      </w:r>
      <w:r w:rsidR="007F79C1" w:rsidRPr="00B36A1C">
        <w:rPr>
          <w:rFonts w:ascii="Arial" w:hAnsi="Arial" w:cs="Arial"/>
          <w:sz w:val="20"/>
          <w:szCs w:val="20"/>
        </w:rPr>
        <w:t>1</w:t>
      </w:r>
      <w:r w:rsidRPr="00B36A1C">
        <w:rPr>
          <w:rFonts w:ascii="Arial" w:hAnsi="Arial" w:cs="Arial"/>
          <w:sz w:val="20"/>
          <w:szCs w:val="20"/>
        </w:rPr>
        <w:t xml:space="preserve">8.7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w:t>
      </w:r>
      <w:r w:rsidR="00CB1591" w:rsidRPr="00B36A1C">
        <w:rPr>
          <w:rFonts w:ascii="Arial" w:hAnsi="Arial" w:cs="Arial"/>
          <w:sz w:val="20"/>
          <w:szCs w:val="20"/>
        </w:rPr>
        <w:t xml:space="preserve"> </w:t>
      </w:r>
      <w:r w:rsidRPr="00B36A1C">
        <w:rPr>
          <w:rFonts w:ascii="Arial" w:hAnsi="Arial" w:cs="Arial"/>
          <w:sz w:val="20"/>
          <w:szCs w:val="20"/>
        </w:rPr>
        <w:t>of maize-</w:t>
      </w:r>
      <w:proofErr w:type="spellStart"/>
      <w:r w:rsidRPr="00B36A1C">
        <w:rPr>
          <w:rFonts w:ascii="Arial" w:hAnsi="Arial" w:cs="Arial"/>
          <w:sz w:val="20"/>
          <w:szCs w:val="20"/>
        </w:rPr>
        <w:t>toria</w:t>
      </w:r>
      <w:proofErr w:type="spellEnd"/>
      <w:r w:rsidRPr="00B36A1C">
        <w:rPr>
          <w:rFonts w:ascii="Arial" w:hAnsi="Arial" w:cs="Arial"/>
          <w:sz w:val="20"/>
          <w:szCs w:val="20"/>
        </w:rPr>
        <w:t xml:space="preserve"> cropping system </w:t>
      </w:r>
      <w:r w:rsidR="00CB1591" w:rsidRPr="00B36A1C">
        <w:rPr>
          <w:rFonts w:ascii="Arial" w:hAnsi="Arial" w:cs="Arial"/>
          <w:sz w:val="20"/>
          <w:szCs w:val="20"/>
        </w:rPr>
        <w:t xml:space="preserve">was observed in T1 </w:t>
      </w:r>
      <w:r w:rsidRPr="00B36A1C">
        <w:rPr>
          <w:rFonts w:ascii="Arial" w:hAnsi="Arial" w:cs="Arial"/>
          <w:sz w:val="20"/>
          <w:szCs w:val="20"/>
        </w:rPr>
        <w:t xml:space="preserve">(STBFR) </w:t>
      </w:r>
      <w:r w:rsidR="00CB1591" w:rsidRPr="00B36A1C">
        <w:rPr>
          <w:rFonts w:ascii="Arial" w:hAnsi="Arial" w:cs="Arial"/>
          <w:sz w:val="20"/>
          <w:szCs w:val="20"/>
        </w:rPr>
        <w:t xml:space="preserve">and the highest energy input </w:t>
      </w:r>
      <w:r w:rsidRPr="00B36A1C">
        <w:rPr>
          <w:rFonts w:ascii="Arial" w:hAnsi="Arial" w:cs="Arial"/>
          <w:sz w:val="20"/>
          <w:szCs w:val="20"/>
        </w:rPr>
        <w:t xml:space="preserve">(47.0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t>
      </w:r>
      <w:r w:rsidR="00CB1591" w:rsidRPr="00B36A1C">
        <w:rPr>
          <w:rFonts w:ascii="Arial" w:hAnsi="Arial" w:cs="Arial"/>
          <w:sz w:val="20"/>
          <w:szCs w:val="20"/>
        </w:rPr>
        <w:t>was observed in T1</w:t>
      </w:r>
      <w:r w:rsidRPr="00B36A1C">
        <w:rPr>
          <w:rFonts w:ascii="Arial" w:hAnsi="Arial" w:cs="Arial"/>
          <w:sz w:val="20"/>
          <w:szCs w:val="20"/>
        </w:rPr>
        <w:t xml:space="preserve">0. The highest energy output (260.9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was recorded under treatment T12 followed by T11 (259.3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and lowest value (215.7 </w:t>
      </w:r>
      <w:r w:rsidRPr="00B36A1C">
        <w:rPr>
          <w:rFonts w:ascii="Arial" w:eastAsia="Times New Roman" w:hAnsi="Arial" w:cs="Arial"/>
          <w:sz w:val="20"/>
          <w:szCs w:val="20"/>
          <w:lang w:val="en-IN"/>
        </w:rPr>
        <w:t>MJ ha</w:t>
      </w:r>
      <w:r w:rsidRPr="00B36A1C">
        <w:rPr>
          <w:rFonts w:ascii="Arial" w:eastAsia="Times New Roman" w:hAnsi="Arial" w:cs="Arial"/>
          <w:sz w:val="20"/>
          <w:szCs w:val="20"/>
          <w:vertAlign w:val="superscript"/>
          <w:lang w:val="en-IN"/>
        </w:rPr>
        <w:t>-1</w:t>
      </w:r>
      <w:r w:rsidRPr="00B36A1C">
        <w:rPr>
          <w:rFonts w:ascii="Arial" w:eastAsia="Times New Roman" w:hAnsi="Arial" w:cs="Arial"/>
          <w:sz w:val="20"/>
          <w:szCs w:val="20"/>
          <w:lang w:val="en-IN"/>
        </w:rPr>
        <w:t xml:space="preserve"> x 10</w:t>
      </w:r>
      <w:r w:rsidRPr="00B36A1C">
        <w:rPr>
          <w:rFonts w:ascii="Arial" w:eastAsia="Times New Roman" w:hAnsi="Arial" w:cs="Arial"/>
          <w:sz w:val="20"/>
          <w:szCs w:val="20"/>
          <w:vertAlign w:val="superscript"/>
          <w:lang w:val="en-IN"/>
        </w:rPr>
        <w:t>3</w:t>
      </w:r>
      <w:r w:rsidRPr="00B36A1C">
        <w:rPr>
          <w:rFonts w:ascii="Arial" w:hAnsi="Arial" w:cs="Arial"/>
          <w:sz w:val="20"/>
          <w:szCs w:val="20"/>
        </w:rPr>
        <w:t xml:space="preserve">) was recorded in the treatment with STBFR i.e. T1 (Table 4). </w:t>
      </w:r>
      <w:r w:rsidR="00707AA1" w:rsidRPr="00B36A1C">
        <w:rPr>
          <w:rFonts w:ascii="Arial" w:hAnsi="Arial" w:cs="Arial"/>
          <w:sz w:val="20"/>
          <w:szCs w:val="20"/>
        </w:rPr>
        <w:t>The highest levels of energy use efficiency</w:t>
      </w:r>
      <w:r w:rsidR="00067FCB" w:rsidRPr="00B36A1C">
        <w:rPr>
          <w:rFonts w:ascii="Arial" w:hAnsi="Arial" w:cs="Arial"/>
          <w:sz w:val="20"/>
          <w:szCs w:val="20"/>
        </w:rPr>
        <w:t xml:space="preserve"> (12.8)</w:t>
      </w:r>
      <w:r w:rsidR="00707AA1" w:rsidRPr="00B36A1C">
        <w:rPr>
          <w:rFonts w:ascii="Arial" w:hAnsi="Arial" w:cs="Arial"/>
          <w:sz w:val="20"/>
          <w:szCs w:val="20"/>
        </w:rPr>
        <w:t>, energy productivity</w:t>
      </w:r>
      <w:r w:rsidR="00067FCB" w:rsidRPr="00B36A1C">
        <w:rPr>
          <w:rFonts w:ascii="Arial" w:hAnsi="Arial" w:cs="Arial"/>
          <w:sz w:val="20"/>
          <w:szCs w:val="20"/>
        </w:rPr>
        <w:t xml:space="preserve"> (0.43 kg MJ</w:t>
      </w:r>
      <w:r w:rsidR="00067FCB" w:rsidRPr="00B36A1C">
        <w:rPr>
          <w:rFonts w:ascii="Arial" w:hAnsi="Arial" w:cs="Arial"/>
          <w:sz w:val="20"/>
          <w:szCs w:val="20"/>
          <w:vertAlign w:val="superscript"/>
        </w:rPr>
        <w:t>-1</w:t>
      </w:r>
      <w:r w:rsidR="00067FCB" w:rsidRPr="00B36A1C">
        <w:rPr>
          <w:rFonts w:ascii="Arial" w:hAnsi="Arial" w:cs="Arial"/>
          <w:sz w:val="20"/>
          <w:szCs w:val="20"/>
        </w:rPr>
        <w:t>)</w:t>
      </w:r>
      <w:r w:rsidR="00707AA1" w:rsidRPr="00B36A1C">
        <w:rPr>
          <w:rFonts w:ascii="Arial" w:hAnsi="Arial" w:cs="Arial"/>
          <w:sz w:val="20"/>
          <w:szCs w:val="20"/>
        </w:rPr>
        <w:t xml:space="preserve"> and net energy gain </w:t>
      </w:r>
      <w:r w:rsidR="00067FCB" w:rsidRPr="00B36A1C">
        <w:rPr>
          <w:rFonts w:ascii="Arial" w:hAnsi="Arial" w:cs="Arial"/>
          <w:sz w:val="20"/>
          <w:szCs w:val="20"/>
        </w:rPr>
        <w:t xml:space="preserve">(250.9 </w:t>
      </w:r>
      <w:r w:rsidR="00067FCB" w:rsidRPr="00B36A1C">
        <w:rPr>
          <w:rFonts w:ascii="Arial" w:eastAsia="Times New Roman" w:hAnsi="Arial" w:cs="Arial"/>
          <w:sz w:val="20"/>
          <w:szCs w:val="20"/>
          <w:lang w:val="en-IN"/>
        </w:rPr>
        <w:t>MJ ha</w:t>
      </w:r>
      <w:r w:rsidR="00067FCB" w:rsidRPr="00B36A1C">
        <w:rPr>
          <w:rFonts w:ascii="Arial" w:eastAsia="Times New Roman" w:hAnsi="Arial" w:cs="Arial"/>
          <w:sz w:val="20"/>
          <w:szCs w:val="20"/>
          <w:vertAlign w:val="superscript"/>
          <w:lang w:val="en-IN"/>
        </w:rPr>
        <w:t>-1</w:t>
      </w:r>
      <w:r w:rsidR="00067FCB" w:rsidRPr="00B36A1C">
        <w:rPr>
          <w:rFonts w:ascii="Arial" w:eastAsia="Times New Roman" w:hAnsi="Arial" w:cs="Arial"/>
          <w:sz w:val="20"/>
          <w:szCs w:val="20"/>
          <w:lang w:val="en-IN"/>
        </w:rPr>
        <w:t xml:space="preserve"> x 10</w:t>
      </w:r>
      <w:r w:rsidR="00067FCB" w:rsidRPr="00B36A1C">
        <w:rPr>
          <w:rFonts w:ascii="Arial" w:eastAsia="Times New Roman" w:hAnsi="Arial" w:cs="Arial"/>
          <w:sz w:val="20"/>
          <w:szCs w:val="20"/>
          <w:vertAlign w:val="superscript"/>
          <w:lang w:val="en-IN"/>
        </w:rPr>
        <w:t>3</w:t>
      </w:r>
      <w:r w:rsidR="00067FCB" w:rsidRPr="00B36A1C">
        <w:rPr>
          <w:rFonts w:ascii="Arial" w:hAnsi="Arial" w:cs="Arial"/>
          <w:sz w:val="20"/>
          <w:szCs w:val="20"/>
        </w:rPr>
        <w:t xml:space="preserve">) </w:t>
      </w:r>
      <w:r w:rsidR="00707AA1" w:rsidRPr="00B36A1C">
        <w:rPr>
          <w:rFonts w:ascii="Arial" w:hAnsi="Arial" w:cs="Arial"/>
          <w:sz w:val="20"/>
          <w:szCs w:val="20"/>
        </w:rPr>
        <w:t xml:space="preserve">were recorded in treatment T12; while the </w:t>
      </w:r>
      <w:r w:rsidR="00067FCB" w:rsidRPr="00B36A1C">
        <w:rPr>
          <w:rFonts w:ascii="Arial" w:hAnsi="Arial" w:cs="Arial"/>
          <w:sz w:val="20"/>
          <w:szCs w:val="20"/>
        </w:rPr>
        <w:t>highest specific energy (6.2 MJ kg</w:t>
      </w:r>
      <w:r w:rsidR="00067FCB" w:rsidRPr="00B36A1C">
        <w:rPr>
          <w:rFonts w:ascii="Arial" w:hAnsi="Arial" w:cs="Arial"/>
          <w:sz w:val="20"/>
          <w:szCs w:val="20"/>
          <w:vertAlign w:val="superscript"/>
        </w:rPr>
        <w:t>-1</w:t>
      </w:r>
      <w:r w:rsidR="00067FCB" w:rsidRPr="00B36A1C">
        <w:rPr>
          <w:rFonts w:ascii="Arial" w:hAnsi="Arial" w:cs="Arial"/>
          <w:sz w:val="20"/>
          <w:szCs w:val="20"/>
        </w:rPr>
        <w:t xml:space="preserve">) was </w:t>
      </w:r>
      <w:r w:rsidR="00707AA1" w:rsidRPr="00B36A1C">
        <w:rPr>
          <w:rFonts w:ascii="Arial" w:hAnsi="Arial" w:cs="Arial"/>
          <w:sz w:val="20"/>
          <w:szCs w:val="20"/>
        </w:rPr>
        <w:t>observed in T4</w:t>
      </w:r>
      <w:r w:rsidR="00067FCB" w:rsidRPr="00B36A1C">
        <w:rPr>
          <w:rFonts w:ascii="Arial" w:hAnsi="Arial" w:cs="Arial"/>
          <w:sz w:val="20"/>
          <w:szCs w:val="20"/>
        </w:rPr>
        <w:t>.</w:t>
      </w:r>
      <w:r w:rsidR="00F51322" w:rsidRPr="00B36A1C">
        <w:rPr>
          <w:rFonts w:ascii="Arial" w:hAnsi="Arial" w:cs="Arial"/>
          <w:sz w:val="20"/>
          <w:szCs w:val="20"/>
        </w:rPr>
        <w:t xml:space="preserve"> </w:t>
      </w:r>
      <w:r w:rsidR="003539FD" w:rsidRPr="00B36A1C">
        <w:rPr>
          <w:rFonts w:ascii="Arial" w:hAnsi="Arial" w:cs="Arial"/>
          <w:sz w:val="20"/>
          <w:szCs w:val="20"/>
        </w:rPr>
        <w:t xml:space="preserve">The higher </w:t>
      </w:r>
      <w:r w:rsidR="00F51322" w:rsidRPr="00B36A1C">
        <w:rPr>
          <w:rFonts w:ascii="Arial" w:hAnsi="Arial" w:cs="Arial"/>
          <w:sz w:val="20"/>
          <w:szCs w:val="20"/>
        </w:rPr>
        <w:t xml:space="preserve">energy use efficiency, energy productivity and net energy gain under T12 </w:t>
      </w:r>
      <w:r w:rsidR="003539FD" w:rsidRPr="00B36A1C">
        <w:rPr>
          <w:rFonts w:ascii="Arial" w:hAnsi="Arial" w:cs="Arial"/>
          <w:sz w:val="20"/>
          <w:szCs w:val="20"/>
        </w:rPr>
        <w:t>was mainly due to higher biomass production</w:t>
      </w:r>
      <w:r w:rsidR="00F51322" w:rsidRPr="00B36A1C">
        <w:rPr>
          <w:rFonts w:ascii="Arial" w:hAnsi="Arial" w:cs="Arial"/>
          <w:sz w:val="20"/>
          <w:szCs w:val="20"/>
        </w:rPr>
        <w:t xml:space="preserve"> </w:t>
      </w:r>
      <w:r w:rsidR="003539FD" w:rsidRPr="00B36A1C">
        <w:rPr>
          <w:rFonts w:ascii="Arial" w:hAnsi="Arial" w:cs="Arial"/>
          <w:sz w:val="20"/>
          <w:szCs w:val="20"/>
        </w:rPr>
        <w:t>leading to greater energy output.</w:t>
      </w:r>
      <w:r w:rsidR="00F51322" w:rsidRPr="00B36A1C">
        <w:rPr>
          <w:rFonts w:ascii="Arial" w:hAnsi="Arial" w:cs="Arial"/>
          <w:sz w:val="20"/>
          <w:szCs w:val="20"/>
        </w:rPr>
        <w:t xml:space="preserve"> </w:t>
      </w:r>
      <w:r w:rsidR="00F51322" w:rsidRPr="00B36A1C">
        <w:rPr>
          <w:rFonts w:ascii="URWPalladioL-Roma" w:hAnsi="URWPalladioL-Roma" w:cs="URWPalladioL-Roma"/>
          <w:sz w:val="20"/>
          <w:szCs w:val="20"/>
          <w:lang w:bidi="or-IN"/>
        </w:rPr>
        <w:t>Similar results were</w:t>
      </w:r>
      <w:r w:rsidR="00732C38" w:rsidRPr="00B36A1C">
        <w:rPr>
          <w:rFonts w:ascii="URWPalladioL-Roma" w:hAnsi="URWPalladioL-Roma" w:cs="URWPalladioL-Roma"/>
          <w:sz w:val="20"/>
          <w:szCs w:val="20"/>
          <w:lang w:bidi="or-IN"/>
        </w:rPr>
        <w:t xml:space="preserve"> also</w:t>
      </w:r>
      <w:r w:rsidR="00F51322" w:rsidRPr="00B36A1C">
        <w:rPr>
          <w:rFonts w:ascii="URWPalladioL-Roma" w:hAnsi="URWPalladioL-Roma" w:cs="URWPalladioL-Roma"/>
          <w:sz w:val="20"/>
          <w:szCs w:val="20"/>
          <w:lang w:bidi="or-IN"/>
        </w:rPr>
        <w:t xml:space="preserve"> reported in other studies (Paramesh et al., 2023; </w:t>
      </w:r>
      <w:proofErr w:type="spellStart"/>
      <w:r w:rsidR="00F51322" w:rsidRPr="00B36A1C">
        <w:rPr>
          <w:rFonts w:ascii="URWPalladioL-Roma" w:hAnsi="URWPalladioL-Roma" w:cs="URWPalladioL-Roma"/>
          <w:sz w:val="20"/>
          <w:szCs w:val="20"/>
          <w:lang w:bidi="or-IN"/>
        </w:rPr>
        <w:t>Kharlukhi</w:t>
      </w:r>
      <w:proofErr w:type="spellEnd"/>
      <w:r w:rsidR="00F51322" w:rsidRPr="00B36A1C">
        <w:rPr>
          <w:rFonts w:ascii="URWPalladioL-Roma" w:hAnsi="URWPalladioL-Roma" w:cs="URWPalladioL-Roma"/>
          <w:sz w:val="20"/>
          <w:szCs w:val="20"/>
          <w:lang w:bidi="or-IN"/>
        </w:rPr>
        <w:t xml:space="preserve"> and Upadhyaya, 202</w:t>
      </w:r>
      <w:r w:rsidR="00AD7E09" w:rsidRPr="00B36A1C">
        <w:rPr>
          <w:rFonts w:ascii="URWPalladioL-Roma" w:hAnsi="URWPalladioL-Roma" w:cs="URWPalladioL-Roma"/>
          <w:sz w:val="20"/>
          <w:szCs w:val="20"/>
          <w:lang w:bidi="or-IN"/>
        </w:rPr>
        <w:t>3</w:t>
      </w:r>
      <w:r w:rsidR="00F51322" w:rsidRPr="00B36A1C">
        <w:rPr>
          <w:rFonts w:ascii="URWPalladioL-Roma" w:hAnsi="URWPalladioL-Roma" w:cs="URWPalladioL-Roma"/>
          <w:sz w:val="20"/>
          <w:szCs w:val="20"/>
          <w:lang w:bidi="or-IN"/>
        </w:rPr>
        <w:t>).</w:t>
      </w:r>
    </w:p>
    <w:p w14:paraId="18E5CBA7" w14:textId="77777777" w:rsidR="003539FD" w:rsidRPr="00B36A1C" w:rsidRDefault="003539FD" w:rsidP="00223962">
      <w:pPr>
        <w:spacing w:after="0" w:line="240" w:lineRule="auto"/>
        <w:jc w:val="both"/>
        <w:rPr>
          <w:rFonts w:ascii="Arial" w:hAnsi="Arial" w:cs="Arial"/>
          <w:sz w:val="20"/>
          <w:szCs w:val="20"/>
        </w:rPr>
      </w:pPr>
    </w:p>
    <w:p w14:paraId="42C2728D" w14:textId="77777777" w:rsidR="00B36A1C" w:rsidRPr="00B36A1C" w:rsidRDefault="00B36A1C" w:rsidP="00484378">
      <w:pPr>
        <w:spacing w:after="0" w:line="240" w:lineRule="auto"/>
        <w:jc w:val="both"/>
        <w:rPr>
          <w:rFonts w:ascii="Arial" w:hAnsi="Arial" w:cs="Arial"/>
          <w:b/>
          <w:bCs/>
          <w:sz w:val="20"/>
          <w:szCs w:val="20"/>
        </w:rPr>
      </w:pPr>
    </w:p>
    <w:p w14:paraId="38B15D7F" w14:textId="77777777" w:rsidR="00484378" w:rsidRPr="00B36A1C" w:rsidRDefault="00484378" w:rsidP="00484378">
      <w:pPr>
        <w:spacing w:after="0" w:line="240" w:lineRule="auto"/>
        <w:jc w:val="both"/>
        <w:rPr>
          <w:rFonts w:ascii="Arial" w:hAnsi="Arial" w:cs="Arial"/>
          <w:b/>
          <w:bCs/>
          <w:sz w:val="20"/>
          <w:szCs w:val="20"/>
        </w:rPr>
      </w:pPr>
      <w:r w:rsidRPr="00B36A1C">
        <w:rPr>
          <w:rFonts w:ascii="Arial" w:hAnsi="Arial" w:cs="Arial"/>
          <w:b/>
          <w:bCs/>
          <w:sz w:val="20"/>
          <w:szCs w:val="20"/>
        </w:rPr>
        <w:t>Table 3. Effect of integrated nutrient management on soil enzymatic activity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(Pooled data of two years)</w:t>
      </w:r>
    </w:p>
    <w:tbl>
      <w:tblPr>
        <w:tblStyle w:val="TableGrid"/>
        <w:tblW w:w="9098" w:type="dxa"/>
        <w:tblCellMar>
          <w:left w:w="29" w:type="dxa"/>
          <w:right w:w="29" w:type="dxa"/>
        </w:tblCellMar>
        <w:tblLook w:val="04A0" w:firstRow="1" w:lastRow="0" w:firstColumn="1" w:lastColumn="0" w:noHBand="0" w:noVBand="1"/>
      </w:tblPr>
      <w:tblGrid>
        <w:gridCol w:w="3179"/>
        <w:gridCol w:w="2250"/>
        <w:gridCol w:w="1890"/>
        <w:gridCol w:w="1779"/>
      </w:tblGrid>
      <w:tr w:rsidR="00484378" w:rsidRPr="00B36A1C" w14:paraId="38CA29E8" w14:textId="77777777" w:rsidTr="00F23FC9">
        <w:trPr>
          <w:trHeight w:val="621"/>
        </w:trPr>
        <w:tc>
          <w:tcPr>
            <w:tcW w:w="3179" w:type="dxa"/>
            <w:vMerge w:val="restart"/>
            <w:noWrap/>
            <w:vAlign w:val="center"/>
            <w:hideMark/>
          </w:tcPr>
          <w:p w14:paraId="075C958D" w14:textId="77777777" w:rsidR="00484378" w:rsidRPr="00B36A1C" w:rsidRDefault="00484378" w:rsidP="00F23FC9">
            <w:pPr>
              <w:pStyle w:val="Heading2"/>
              <w:outlineLvl w:val="1"/>
              <w:rPr>
                <w:rFonts w:ascii="Arial" w:hAnsi="Arial" w:cs="Arial"/>
                <w:sz w:val="20"/>
                <w:szCs w:val="20"/>
              </w:rPr>
            </w:pPr>
            <w:r w:rsidRPr="00B36A1C">
              <w:rPr>
                <w:rFonts w:ascii="Arial" w:hAnsi="Arial" w:cs="Arial"/>
                <w:sz w:val="20"/>
                <w:szCs w:val="20"/>
              </w:rPr>
              <w:t>Treatments</w:t>
            </w:r>
          </w:p>
        </w:tc>
        <w:tc>
          <w:tcPr>
            <w:tcW w:w="2250" w:type="dxa"/>
            <w:vMerge w:val="restart"/>
            <w:tcBorders>
              <w:right w:val="single" w:sz="4" w:space="0" w:color="auto"/>
            </w:tcBorders>
            <w:vAlign w:val="center"/>
          </w:tcPr>
          <w:p w14:paraId="05E1EF7C"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Urease</w:t>
            </w:r>
          </w:p>
          <w:p w14:paraId="47AD106F"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(µg NH</w:t>
            </w:r>
            <w:r w:rsidRPr="00B36A1C">
              <w:rPr>
                <w:rFonts w:ascii="Arial" w:hAnsi="Arial" w:cs="Arial"/>
                <w:b/>
                <w:bCs/>
                <w:sz w:val="20"/>
                <w:szCs w:val="20"/>
                <w:vertAlign w:val="subscript"/>
              </w:rPr>
              <w:t>4</w:t>
            </w:r>
            <w:r w:rsidRPr="00B36A1C">
              <w:rPr>
                <w:rFonts w:ascii="Arial" w:hAnsi="Arial" w:cs="Arial"/>
                <w:b/>
                <w:bCs/>
                <w:sz w:val="20"/>
                <w:szCs w:val="20"/>
                <w:vertAlign w:val="superscript"/>
              </w:rPr>
              <w:t>+</w:t>
            </w:r>
            <w:r w:rsidRPr="00B36A1C">
              <w:rPr>
                <w:rFonts w:ascii="Arial" w:hAnsi="Arial" w:cs="Arial"/>
                <w:b/>
                <w:bCs/>
                <w:sz w:val="20"/>
                <w:szCs w:val="20"/>
              </w:rPr>
              <w:t>-N</w:t>
            </w:r>
            <w:r w:rsidRPr="00B36A1C">
              <w:rPr>
                <w:rFonts w:ascii="Arial" w:hAnsi="Arial" w:cs="Arial"/>
                <w:b/>
                <w:bCs/>
                <w:position w:val="-8"/>
                <w:sz w:val="20"/>
                <w:szCs w:val="20"/>
                <w:vertAlign w:val="subscript"/>
              </w:rPr>
              <w:t xml:space="preserve">2 </w:t>
            </w:r>
            <w:r w:rsidRPr="00B36A1C">
              <w:rPr>
                <w:rFonts w:ascii="Arial" w:hAnsi="Arial" w:cs="Arial"/>
                <w:b/>
                <w:bCs/>
                <w:sz w:val="20"/>
                <w:szCs w:val="20"/>
              </w:rPr>
              <w:t>g soil</w:t>
            </w:r>
            <w:r w:rsidRPr="00B36A1C">
              <w:rPr>
                <w:rFonts w:ascii="Arial" w:hAnsi="Arial" w:cs="Arial"/>
                <w:b/>
                <w:bCs/>
                <w:sz w:val="20"/>
                <w:szCs w:val="20"/>
                <w:vertAlign w:val="superscript"/>
              </w:rPr>
              <w:t xml:space="preserve">-1 </w:t>
            </w:r>
            <w:r w:rsidRPr="00B36A1C">
              <w:rPr>
                <w:rFonts w:ascii="Arial" w:hAnsi="Arial" w:cs="Arial"/>
                <w:b/>
                <w:bCs/>
                <w:sz w:val="20"/>
                <w:szCs w:val="20"/>
              </w:rPr>
              <w:t>h</w:t>
            </w:r>
            <w:r w:rsidRPr="00B36A1C">
              <w:rPr>
                <w:rFonts w:ascii="Arial" w:hAnsi="Arial" w:cs="Arial"/>
                <w:b/>
                <w:bCs/>
                <w:sz w:val="20"/>
                <w:szCs w:val="20"/>
                <w:vertAlign w:val="superscript"/>
              </w:rPr>
              <w:t>-1</w:t>
            </w:r>
            <w:r w:rsidRPr="00B36A1C">
              <w:rPr>
                <w:rFonts w:ascii="Arial" w:hAnsi="Arial" w:cs="Arial"/>
                <w:b/>
                <w:bCs/>
                <w:sz w:val="20"/>
                <w:szCs w:val="20"/>
              </w:rPr>
              <w:t>)</w:t>
            </w:r>
          </w:p>
        </w:tc>
        <w:tc>
          <w:tcPr>
            <w:tcW w:w="1890" w:type="dxa"/>
            <w:vMerge w:val="restart"/>
            <w:tcBorders>
              <w:left w:val="single" w:sz="4" w:space="0" w:color="auto"/>
            </w:tcBorders>
            <w:vAlign w:val="center"/>
          </w:tcPr>
          <w:p w14:paraId="555C487E" w14:textId="77777777" w:rsidR="00484378" w:rsidRPr="00B36A1C" w:rsidRDefault="00484378" w:rsidP="00F23FC9">
            <w:pPr>
              <w:pStyle w:val="NormalWeb"/>
              <w:spacing w:before="0" w:beforeAutospacing="0" w:after="0" w:afterAutospacing="0"/>
              <w:jc w:val="center"/>
              <w:rPr>
                <w:rFonts w:ascii="Arial" w:hAnsi="Arial" w:cs="Arial"/>
                <w:b/>
                <w:bCs/>
                <w:sz w:val="20"/>
                <w:szCs w:val="20"/>
              </w:rPr>
            </w:pPr>
            <w:bookmarkStart w:id="3" w:name="_Hlk134260099"/>
            <w:r w:rsidRPr="00B36A1C">
              <w:rPr>
                <w:rFonts w:ascii="Arial" w:hAnsi="Arial" w:cs="Arial"/>
                <w:b/>
                <w:bCs/>
                <w:sz w:val="20"/>
                <w:szCs w:val="20"/>
              </w:rPr>
              <w:t>Acid Phosphatase</w:t>
            </w:r>
          </w:p>
          <w:bookmarkEnd w:id="3"/>
          <w:p w14:paraId="5055DF44"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(µg PNP g soil</w:t>
            </w:r>
            <w:r w:rsidRPr="00B36A1C">
              <w:rPr>
                <w:rFonts w:ascii="Arial" w:hAnsi="Arial" w:cs="Arial"/>
                <w:b/>
                <w:bCs/>
                <w:sz w:val="20"/>
                <w:szCs w:val="20"/>
                <w:vertAlign w:val="superscript"/>
              </w:rPr>
              <w:t xml:space="preserve">-1 </w:t>
            </w:r>
            <w:r w:rsidRPr="00B36A1C">
              <w:rPr>
                <w:rFonts w:ascii="Arial" w:hAnsi="Arial" w:cs="Arial"/>
                <w:b/>
                <w:bCs/>
                <w:sz w:val="20"/>
                <w:szCs w:val="20"/>
              </w:rPr>
              <w:t>h</w:t>
            </w:r>
            <w:r w:rsidRPr="00B36A1C">
              <w:rPr>
                <w:rFonts w:ascii="Arial" w:hAnsi="Arial" w:cs="Arial"/>
                <w:b/>
                <w:bCs/>
                <w:sz w:val="20"/>
                <w:szCs w:val="20"/>
                <w:vertAlign w:val="superscript"/>
              </w:rPr>
              <w:t>-1</w:t>
            </w:r>
            <w:r w:rsidRPr="00B36A1C">
              <w:rPr>
                <w:rFonts w:ascii="Arial" w:hAnsi="Arial" w:cs="Arial"/>
                <w:b/>
                <w:bCs/>
                <w:sz w:val="20"/>
                <w:szCs w:val="20"/>
              </w:rPr>
              <w:t>)</w:t>
            </w:r>
          </w:p>
        </w:tc>
        <w:tc>
          <w:tcPr>
            <w:tcW w:w="1779" w:type="dxa"/>
            <w:vMerge w:val="restart"/>
            <w:tcBorders>
              <w:left w:val="single" w:sz="4" w:space="0" w:color="auto"/>
            </w:tcBorders>
            <w:vAlign w:val="center"/>
          </w:tcPr>
          <w:p w14:paraId="09631736" w14:textId="77777777" w:rsidR="00484378" w:rsidRPr="00B36A1C" w:rsidRDefault="00484378" w:rsidP="00F23FC9">
            <w:pPr>
              <w:pStyle w:val="NormalWeb"/>
              <w:spacing w:before="0" w:beforeAutospacing="0" w:after="0" w:afterAutospacing="0"/>
              <w:jc w:val="center"/>
              <w:rPr>
                <w:rFonts w:ascii="Arial" w:hAnsi="Arial" w:cs="Arial"/>
                <w:b/>
                <w:bCs/>
                <w:sz w:val="20"/>
                <w:szCs w:val="20"/>
              </w:rPr>
            </w:pPr>
            <w:r w:rsidRPr="00B36A1C">
              <w:rPr>
                <w:rFonts w:ascii="Arial" w:hAnsi="Arial" w:cs="Arial"/>
                <w:b/>
                <w:bCs/>
                <w:sz w:val="20"/>
                <w:szCs w:val="20"/>
              </w:rPr>
              <w:t>Dehydrogenase</w:t>
            </w:r>
          </w:p>
          <w:p w14:paraId="397E2E7C"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w:t>
            </w:r>
            <w:bookmarkStart w:id="4" w:name="_Hlk134260681"/>
            <w:r w:rsidRPr="00B36A1C">
              <w:rPr>
                <w:rFonts w:ascii="Arial" w:hAnsi="Arial" w:cs="Arial"/>
                <w:b/>
                <w:bCs/>
                <w:sz w:val="20"/>
                <w:szCs w:val="20"/>
              </w:rPr>
              <w:t>µg TPF g soil</w:t>
            </w:r>
            <w:r w:rsidRPr="00B36A1C">
              <w:rPr>
                <w:rFonts w:ascii="Arial" w:hAnsi="Arial" w:cs="Arial"/>
                <w:b/>
                <w:bCs/>
                <w:sz w:val="20"/>
                <w:szCs w:val="20"/>
                <w:vertAlign w:val="superscript"/>
              </w:rPr>
              <w:t xml:space="preserve">-1 </w:t>
            </w:r>
            <w:r w:rsidRPr="00B36A1C">
              <w:rPr>
                <w:rFonts w:ascii="Arial" w:hAnsi="Arial" w:cs="Arial"/>
                <w:b/>
                <w:bCs/>
                <w:sz w:val="20"/>
                <w:szCs w:val="20"/>
              </w:rPr>
              <w:t>24 h</w:t>
            </w:r>
            <w:bookmarkEnd w:id="4"/>
            <w:r w:rsidRPr="00B36A1C">
              <w:rPr>
                <w:rFonts w:ascii="Arial" w:hAnsi="Arial" w:cs="Arial"/>
                <w:b/>
                <w:bCs/>
                <w:sz w:val="20"/>
                <w:szCs w:val="20"/>
                <w:vertAlign w:val="superscript"/>
              </w:rPr>
              <w:t>-1</w:t>
            </w:r>
            <w:r w:rsidRPr="00B36A1C">
              <w:rPr>
                <w:rFonts w:ascii="Arial" w:hAnsi="Arial" w:cs="Arial"/>
                <w:b/>
                <w:bCs/>
                <w:sz w:val="20"/>
                <w:szCs w:val="20"/>
              </w:rPr>
              <w:t>)</w:t>
            </w:r>
          </w:p>
        </w:tc>
      </w:tr>
      <w:tr w:rsidR="00484378" w:rsidRPr="00B36A1C" w14:paraId="0BA731C3" w14:textId="77777777" w:rsidTr="00F23FC9">
        <w:trPr>
          <w:trHeight w:val="509"/>
        </w:trPr>
        <w:tc>
          <w:tcPr>
            <w:tcW w:w="3179" w:type="dxa"/>
            <w:vMerge/>
            <w:vAlign w:val="center"/>
            <w:hideMark/>
          </w:tcPr>
          <w:p w14:paraId="3EB68179" w14:textId="77777777" w:rsidR="00484378" w:rsidRPr="00B36A1C" w:rsidRDefault="00484378" w:rsidP="00F23FC9">
            <w:pPr>
              <w:jc w:val="center"/>
              <w:rPr>
                <w:rFonts w:ascii="Arial" w:hAnsi="Arial" w:cs="Arial"/>
                <w:b/>
                <w:bCs/>
                <w:sz w:val="20"/>
                <w:szCs w:val="20"/>
              </w:rPr>
            </w:pPr>
          </w:p>
        </w:tc>
        <w:tc>
          <w:tcPr>
            <w:tcW w:w="2250" w:type="dxa"/>
            <w:vMerge/>
            <w:tcBorders>
              <w:right w:val="single" w:sz="4" w:space="0" w:color="auto"/>
            </w:tcBorders>
            <w:vAlign w:val="center"/>
          </w:tcPr>
          <w:p w14:paraId="7A91D0C7" w14:textId="77777777" w:rsidR="00484378" w:rsidRPr="00B36A1C" w:rsidRDefault="00484378" w:rsidP="00F23FC9">
            <w:pPr>
              <w:ind w:left="1170" w:hanging="1170"/>
              <w:jc w:val="center"/>
              <w:rPr>
                <w:rFonts w:ascii="Arial" w:hAnsi="Arial" w:cs="Arial"/>
                <w:b/>
                <w:bCs/>
                <w:sz w:val="20"/>
                <w:szCs w:val="20"/>
              </w:rPr>
            </w:pPr>
          </w:p>
        </w:tc>
        <w:tc>
          <w:tcPr>
            <w:tcW w:w="1890" w:type="dxa"/>
            <w:vMerge/>
            <w:tcBorders>
              <w:left w:val="single" w:sz="4" w:space="0" w:color="auto"/>
            </w:tcBorders>
            <w:vAlign w:val="center"/>
          </w:tcPr>
          <w:p w14:paraId="4703499E" w14:textId="77777777" w:rsidR="00484378" w:rsidRPr="00B36A1C" w:rsidRDefault="00484378" w:rsidP="00F23FC9">
            <w:pPr>
              <w:jc w:val="center"/>
              <w:rPr>
                <w:rFonts w:ascii="Arial" w:hAnsi="Arial" w:cs="Arial"/>
                <w:b/>
                <w:bCs/>
                <w:sz w:val="20"/>
                <w:szCs w:val="20"/>
              </w:rPr>
            </w:pPr>
          </w:p>
        </w:tc>
        <w:tc>
          <w:tcPr>
            <w:tcW w:w="1779" w:type="dxa"/>
            <w:vMerge/>
            <w:tcBorders>
              <w:left w:val="single" w:sz="4" w:space="0" w:color="auto"/>
            </w:tcBorders>
            <w:vAlign w:val="center"/>
          </w:tcPr>
          <w:p w14:paraId="642C1ED1" w14:textId="77777777" w:rsidR="00484378" w:rsidRPr="00B36A1C" w:rsidRDefault="00484378" w:rsidP="00F23FC9">
            <w:pPr>
              <w:jc w:val="center"/>
              <w:rPr>
                <w:rFonts w:ascii="Arial" w:hAnsi="Arial" w:cs="Arial"/>
                <w:b/>
                <w:bCs/>
                <w:sz w:val="20"/>
                <w:szCs w:val="20"/>
              </w:rPr>
            </w:pPr>
          </w:p>
        </w:tc>
      </w:tr>
      <w:tr w:rsidR="00484378" w:rsidRPr="00B36A1C" w14:paraId="71DCF0A8" w14:textId="77777777" w:rsidTr="00F23FC9">
        <w:trPr>
          <w:trHeight w:val="324"/>
        </w:trPr>
        <w:tc>
          <w:tcPr>
            <w:tcW w:w="3179" w:type="dxa"/>
            <w:noWrap/>
            <w:vAlign w:val="center"/>
            <w:hideMark/>
          </w:tcPr>
          <w:p w14:paraId="282CC6A8" w14:textId="77777777" w:rsidR="00484378" w:rsidRPr="00B36A1C" w:rsidRDefault="00484378" w:rsidP="00F23FC9">
            <w:pPr>
              <w:rPr>
                <w:rFonts w:ascii="Arial" w:hAnsi="Arial" w:cs="Arial"/>
                <w:sz w:val="20"/>
                <w:szCs w:val="20"/>
              </w:rPr>
            </w:pPr>
            <w:r w:rsidRPr="00B36A1C">
              <w:rPr>
                <w:rFonts w:ascii="Arial" w:hAnsi="Arial" w:cs="Arial"/>
                <w:bCs/>
                <w:sz w:val="20"/>
                <w:szCs w:val="20"/>
              </w:rPr>
              <w:t>T1- STBFR</w:t>
            </w:r>
          </w:p>
        </w:tc>
        <w:tc>
          <w:tcPr>
            <w:tcW w:w="2250" w:type="dxa"/>
            <w:vAlign w:val="center"/>
          </w:tcPr>
          <w:p w14:paraId="58CDD314"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127.8</w:t>
            </w:r>
          </w:p>
        </w:tc>
        <w:tc>
          <w:tcPr>
            <w:tcW w:w="1890" w:type="dxa"/>
            <w:vAlign w:val="center"/>
          </w:tcPr>
          <w:p w14:paraId="6B277B02"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263.1</w:t>
            </w:r>
          </w:p>
        </w:tc>
        <w:tc>
          <w:tcPr>
            <w:tcW w:w="1779" w:type="dxa"/>
            <w:tcBorders>
              <w:left w:val="single" w:sz="4" w:space="0" w:color="auto"/>
            </w:tcBorders>
            <w:vAlign w:val="center"/>
          </w:tcPr>
          <w:p w14:paraId="64A6E646"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196.7</w:t>
            </w:r>
          </w:p>
        </w:tc>
      </w:tr>
      <w:tr w:rsidR="00484378" w:rsidRPr="00B36A1C" w14:paraId="5C713C11" w14:textId="77777777" w:rsidTr="00F23FC9">
        <w:trPr>
          <w:trHeight w:val="324"/>
        </w:trPr>
        <w:tc>
          <w:tcPr>
            <w:tcW w:w="3179" w:type="dxa"/>
            <w:noWrap/>
            <w:vAlign w:val="center"/>
            <w:hideMark/>
          </w:tcPr>
          <w:p w14:paraId="44094615" w14:textId="77777777" w:rsidR="00484378" w:rsidRPr="00B36A1C" w:rsidRDefault="00484378" w:rsidP="00F23FC9">
            <w:pPr>
              <w:rPr>
                <w:rFonts w:ascii="Arial" w:hAnsi="Arial" w:cs="Arial"/>
                <w:sz w:val="20"/>
                <w:szCs w:val="20"/>
              </w:rPr>
            </w:pPr>
            <w:r w:rsidRPr="00B36A1C">
              <w:rPr>
                <w:rFonts w:ascii="Arial" w:hAnsi="Arial" w:cs="Arial"/>
                <w:bCs/>
                <w:sz w:val="20"/>
                <w:szCs w:val="20"/>
              </w:rPr>
              <w:t>T2- STBFR + GM</w:t>
            </w:r>
          </w:p>
        </w:tc>
        <w:tc>
          <w:tcPr>
            <w:tcW w:w="2250" w:type="dxa"/>
            <w:vAlign w:val="center"/>
          </w:tcPr>
          <w:p w14:paraId="32D26095"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155.9</w:t>
            </w:r>
          </w:p>
        </w:tc>
        <w:tc>
          <w:tcPr>
            <w:tcW w:w="1890" w:type="dxa"/>
            <w:vAlign w:val="center"/>
          </w:tcPr>
          <w:p w14:paraId="4BCFFC82"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353.3</w:t>
            </w:r>
          </w:p>
        </w:tc>
        <w:tc>
          <w:tcPr>
            <w:tcW w:w="1779" w:type="dxa"/>
            <w:tcBorders>
              <w:left w:val="single" w:sz="4" w:space="0" w:color="auto"/>
            </w:tcBorders>
            <w:vAlign w:val="center"/>
          </w:tcPr>
          <w:p w14:paraId="0516F2E7"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235.2</w:t>
            </w:r>
          </w:p>
        </w:tc>
      </w:tr>
      <w:tr w:rsidR="00484378" w:rsidRPr="00B36A1C" w14:paraId="05994B74" w14:textId="77777777" w:rsidTr="00F23FC9">
        <w:trPr>
          <w:trHeight w:val="324"/>
        </w:trPr>
        <w:tc>
          <w:tcPr>
            <w:tcW w:w="3179" w:type="dxa"/>
            <w:noWrap/>
            <w:vAlign w:val="center"/>
            <w:hideMark/>
          </w:tcPr>
          <w:p w14:paraId="7F1A4232" w14:textId="77777777" w:rsidR="00484378" w:rsidRPr="00B36A1C" w:rsidRDefault="00484378" w:rsidP="00F23FC9">
            <w:pPr>
              <w:rPr>
                <w:rFonts w:ascii="Arial" w:hAnsi="Arial" w:cs="Arial"/>
                <w:sz w:val="20"/>
                <w:szCs w:val="20"/>
              </w:rPr>
            </w:pPr>
            <w:r w:rsidRPr="00B36A1C">
              <w:rPr>
                <w:rFonts w:ascii="Arial" w:hAnsi="Arial" w:cs="Arial"/>
                <w:bCs/>
                <w:sz w:val="20"/>
                <w:szCs w:val="20"/>
              </w:rPr>
              <w:t>T3- STBFR + FYM</w:t>
            </w:r>
          </w:p>
        </w:tc>
        <w:tc>
          <w:tcPr>
            <w:tcW w:w="2250" w:type="dxa"/>
            <w:vAlign w:val="center"/>
          </w:tcPr>
          <w:p w14:paraId="2D6A7931"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162.6</w:t>
            </w:r>
          </w:p>
        </w:tc>
        <w:tc>
          <w:tcPr>
            <w:tcW w:w="1890" w:type="dxa"/>
            <w:vAlign w:val="center"/>
          </w:tcPr>
          <w:p w14:paraId="68B81E8C"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360.1</w:t>
            </w:r>
          </w:p>
        </w:tc>
        <w:tc>
          <w:tcPr>
            <w:tcW w:w="1779" w:type="dxa"/>
            <w:tcBorders>
              <w:left w:val="single" w:sz="4" w:space="0" w:color="auto"/>
            </w:tcBorders>
            <w:vAlign w:val="center"/>
          </w:tcPr>
          <w:p w14:paraId="7A78C137"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244.0</w:t>
            </w:r>
          </w:p>
        </w:tc>
      </w:tr>
      <w:tr w:rsidR="00484378" w:rsidRPr="00B36A1C" w14:paraId="36FEB868" w14:textId="77777777" w:rsidTr="00F23FC9">
        <w:trPr>
          <w:trHeight w:val="324"/>
        </w:trPr>
        <w:tc>
          <w:tcPr>
            <w:tcW w:w="3179" w:type="dxa"/>
            <w:noWrap/>
            <w:vAlign w:val="center"/>
            <w:hideMark/>
          </w:tcPr>
          <w:p w14:paraId="64F046FA" w14:textId="77777777" w:rsidR="00484378" w:rsidRPr="00B36A1C" w:rsidRDefault="00484378" w:rsidP="00F23FC9">
            <w:pPr>
              <w:rPr>
                <w:rFonts w:ascii="Arial" w:hAnsi="Arial" w:cs="Arial"/>
                <w:sz w:val="20"/>
                <w:szCs w:val="20"/>
              </w:rPr>
            </w:pPr>
            <w:r w:rsidRPr="00B36A1C">
              <w:rPr>
                <w:rFonts w:ascii="Arial" w:hAnsi="Arial" w:cs="Arial"/>
                <w:bCs/>
                <w:sz w:val="20"/>
                <w:szCs w:val="20"/>
              </w:rPr>
              <w:t>T4- STBFR + Lime</w:t>
            </w:r>
          </w:p>
        </w:tc>
        <w:tc>
          <w:tcPr>
            <w:tcW w:w="2250" w:type="dxa"/>
            <w:vAlign w:val="center"/>
          </w:tcPr>
          <w:p w14:paraId="70DFDA9B"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133.8</w:t>
            </w:r>
          </w:p>
        </w:tc>
        <w:tc>
          <w:tcPr>
            <w:tcW w:w="1890" w:type="dxa"/>
            <w:vAlign w:val="center"/>
          </w:tcPr>
          <w:p w14:paraId="56D25AD4"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285.9</w:t>
            </w:r>
          </w:p>
        </w:tc>
        <w:tc>
          <w:tcPr>
            <w:tcW w:w="1779" w:type="dxa"/>
            <w:tcBorders>
              <w:left w:val="single" w:sz="4" w:space="0" w:color="auto"/>
            </w:tcBorders>
            <w:vAlign w:val="center"/>
          </w:tcPr>
          <w:p w14:paraId="5EF34DDB"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214.2</w:t>
            </w:r>
          </w:p>
        </w:tc>
      </w:tr>
      <w:tr w:rsidR="00484378" w:rsidRPr="00B36A1C" w14:paraId="6DD0D774" w14:textId="77777777" w:rsidTr="00F23FC9">
        <w:trPr>
          <w:trHeight w:val="324"/>
        </w:trPr>
        <w:tc>
          <w:tcPr>
            <w:tcW w:w="3179" w:type="dxa"/>
            <w:noWrap/>
            <w:vAlign w:val="center"/>
            <w:hideMark/>
          </w:tcPr>
          <w:p w14:paraId="64F52C32" w14:textId="77777777" w:rsidR="00484378" w:rsidRPr="00B36A1C" w:rsidRDefault="00484378"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lastRenderedPageBreak/>
              <w:t>T5- STBFR + S</w:t>
            </w:r>
          </w:p>
        </w:tc>
        <w:tc>
          <w:tcPr>
            <w:tcW w:w="2250" w:type="dxa"/>
            <w:vAlign w:val="center"/>
          </w:tcPr>
          <w:p w14:paraId="2CAD5FC5"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146.0</w:t>
            </w:r>
          </w:p>
        </w:tc>
        <w:tc>
          <w:tcPr>
            <w:tcW w:w="1890" w:type="dxa"/>
            <w:vAlign w:val="center"/>
          </w:tcPr>
          <w:p w14:paraId="123FC7BC"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324.8</w:t>
            </w:r>
          </w:p>
        </w:tc>
        <w:tc>
          <w:tcPr>
            <w:tcW w:w="1779" w:type="dxa"/>
            <w:tcBorders>
              <w:left w:val="single" w:sz="4" w:space="0" w:color="auto"/>
            </w:tcBorders>
            <w:vAlign w:val="center"/>
          </w:tcPr>
          <w:p w14:paraId="33DE2F7F"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223.3</w:t>
            </w:r>
          </w:p>
        </w:tc>
      </w:tr>
      <w:tr w:rsidR="00484378" w:rsidRPr="00B36A1C" w14:paraId="7885C933" w14:textId="77777777" w:rsidTr="00F23FC9">
        <w:trPr>
          <w:trHeight w:val="324"/>
        </w:trPr>
        <w:tc>
          <w:tcPr>
            <w:tcW w:w="3179" w:type="dxa"/>
            <w:noWrap/>
            <w:vAlign w:val="center"/>
            <w:hideMark/>
          </w:tcPr>
          <w:p w14:paraId="7FE65F71" w14:textId="77777777" w:rsidR="00484378" w:rsidRPr="00B36A1C" w:rsidRDefault="00484378" w:rsidP="00F23FC9">
            <w:pPr>
              <w:rPr>
                <w:rFonts w:ascii="Arial" w:hAnsi="Arial" w:cs="Arial"/>
                <w:sz w:val="20"/>
                <w:szCs w:val="20"/>
              </w:rPr>
            </w:pPr>
            <w:r w:rsidRPr="00B36A1C">
              <w:rPr>
                <w:rFonts w:ascii="Arial" w:hAnsi="Arial" w:cs="Arial"/>
                <w:bCs/>
                <w:sz w:val="20"/>
                <w:szCs w:val="20"/>
              </w:rPr>
              <w:t>T6- STBFR + BF</w:t>
            </w:r>
          </w:p>
        </w:tc>
        <w:tc>
          <w:tcPr>
            <w:tcW w:w="2250" w:type="dxa"/>
            <w:vAlign w:val="center"/>
          </w:tcPr>
          <w:p w14:paraId="43E87E3E"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177.5</w:t>
            </w:r>
          </w:p>
        </w:tc>
        <w:tc>
          <w:tcPr>
            <w:tcW w:w="1890" w:type="dxa"/>
            <w:vAlign w:val="center"/>
          </w:tcPr>
          <w:p w14:paraId="493FE4AB"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382.0</w:t>
            </w:r>
          </w:p>
        </w:tc>
        <w:tc>
          <w:tcPr>
            <w:tcW w:w="1779" w:type="dxa"/>
            <w:tcBorders>
              <w:left w:val="single" w:sz="4" w:space="0" w:color="auto"/>
            </w:tcBorders>
            <w:vAlign w:val="center"/>
          </w:tcPr>
          <w:p w14:paraId="33344D49"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261.0</w:t>
            </w:r>
          </w:p>
        </w:tc>
      </w:tr>
      <w:tr w:rsidR="00484378" w:rsidRPr="00B36A1C" w14:paraId="6059C3E1" w14:textId="77777777" w:rsidTr="00F23FC9">
        <w:trPr>
          <w:trHeight w:val="324"/>
        </w:trPr>
        <w:tc>
          <w:tcPr>
            <w:tcW w:w="3179" w:type="dxa"/>
            <w:noWrap/>
            <w:vAlign w:val="center"/>
            <w:hideMark/>
          </w:tcPr>
          <w:p w14:paraId="3F84A802" w14:textId="77777777" w:rsidR="00484378" w:rsidRPr="00B36A1C" w:rsidRDefault="00484378" w:rsidP="00F23FC9">
            <w:pPr>
              <w:rPr>
                <w:rFonts w:ascii="Arial" w:hAnsi="Arial" w:cs="Arial"/>
                <w:sz w:val="20"/>
                <w:szCs w:val="20"/>
              </w:rPr>
            </w:pPr>
            <w:r w:rsidRPr="00B36A1C">
              <w:rPr>
                <w:rFonts w:ascii="Arial" w:hAnsi="Arial" w:cs="Arial"/>
                <w:bCs/>
                <w:sz w:val="20"/>
                <w:szCs w:val="20"/>
              </w:rPr>
              <w:t>T7- STBFR + GM + FYM</w:t>
            </w:r>
          </w:p>
        </w:tc>
        <w:tc>
          <w:tcPr>
            <w:tcW w:w="2250" w:type="dxa"/>
            <w:vAlign w:val="center"/>
          </w:tcPr>
          <w:p w14:paraId="5F2E1F94"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173.4</w:t>
            </w:r>
          </w:p>
        </w:tc>
        <w:tc>
          <w:tcPr>
            <w:tcW w:w="1890" w:type="dxa"/>
            <w:vAlign w:val="center"/>
          </w:tcPr>
          <w:p w14:paraId="077E5C37"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373.7</w:t>
            </w:r>
          </w:p>
        </w:tc>
        <w:tc>
          <w:tcPr>
            <w:tcW w:w="1779" w:type="dxa"/>
            <w:tcBorders>
              <w:left w:val="single" w:sz="4" w:space="0" w:color="auto"/>
            </w:tcBorders>
            <w:vAlign w:val="center"/>
          </w:tcPr>
          <w:p w14:paraId="15A46F97"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247.5</w:t>
            </w:r>
          </w:p>
        </w:tc>
      </w:tr>
      <w:tr w:rsidR="00484378" w:rsidRPr="00B36A1C" w14:paraId="54C2B1D5" w14:textId="77777777" w:rsidTr="00F23FC9">
        <w:trPr>
          <w:trHeight w:val="324"/>
        </w:trPr>
        <w:tc>
          <w:tcPr>
            <w:tcW w:w="3179" w:type="dxa"/>
            <w:noWrap/>
            <w:vAlign w:val="center"/>
            <w:hideMark/>
          </w:tcPr>
          <w:p w14:paraId="6EBC6846" w14:textId="77777777" w:rsidR="00484378" w:rsidRPr="00B36A1C" w:rsidRDefault="00484378"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T8- STBFR + GM + Lime</w:t>
            </w:r>
          </w:p>
        </w:tc>
        <w:tc>
          <w:tcPr>
            <w:tcW w:w="2250" w:type="dxa"/>
            <w:vAlign w:val="center"/>
          </w:tcPr>
          <w:p w14:paraId="4CF947F4"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138.7</w:t>
            </w:r>
          </w:p>
        </w:tc>
        <w:tc>
          <w:tcPr>
            <w:tcW w:w="1890" w:type="dxa"/>
            <w:vAlign w:val="center"/>
          </w:tcPr>
          <w:p w14:paraId="124A45AB"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312.4</w:t>
            </w:r>
          </w:p>
        </w:tc>
        <w:tc>
          <w:tcPr>
            <w:tcW w:w="1779" w:type="dxa"/>
            <w:tcBorders>
              <w:left w:val="single" w:sz="4" w:space="0" w:color="auto"/>
            </w:tcBorders>
            <w:vAlign w:val="center"/>
          </w:tcPr>
          <w:p w14:paraId="465F656C"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217.3</w:t>
            </w:r>
          </w:p>
        </w:tc>
      </w:tr>
      <w:tr w:rsidR="00484378" w:rsidRPr="00B36A1C" w14:paraId="06472CB5" w14:textId="77777777" w:rsidTr="00F23FC9">
        <w:trPr>
          <w:trHeight w:val="324"/>
        </w:trPr>
        <w:tc>
          <w:tcPr>
            <w:tcW w:w="3179" w:type="dxa"/>
            <w:noWrap/>
            <w:vAlign w:val="center"/>
            <w:hideMark/>
          </w:tcPr>
          <w:p w14:paraId="4C2D0ACD" w14:textId="77777777" w:rsidR="00484378" w:rsidRPr="00B36A1C" w:rsidRDefault="00484378" w:rsidP="00F23FC9">
            <w:pPr>
              <w:rPr>
                <w:rFonts w:ascii="Arial" w:hAnsi="Arial" w:cs="Arial"/>
                <w:sz w:val="20"/>
                <w:szCs w:val="20"/>
              </w:rPr>
            </w:pPr>
            <w:r w:rsidRPr="00B36A1C">
              <w:rPr>
                <w:rFonts w:ascii="Arial" w:hAnsi="Arial" w:cs="Arial"/>
                <w:bCs/>
                <w:sz w:val="20"/>
                <w:szCs w:val="20"/>
              </w:rPr>
              <w:t>T9- STBFR + FYM + Lime</w:t>
            </w:r>
          </w:p>
        </w:tc>
        <w:tc>
          <w:tcPr>
            <w:tcW w:w="2250" w:type="dxa"/>
            <w:vAlign w:val="center"/>
          </w:tcPr>
          <w:p w14:paraId="77042CD1"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148.1</w:t>
            </w:r>
          </w:p>
        </w:tc>
        <w:tc>
          <w:tcPr>
            <w:tcW w:w="1890" w:type="dxa"/>
            <w:vAlign w:val="center"/>
          </w:tcPr>
          <w:p w14:paraId="76383FAA"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334.6</w:t>
            </w:r>
          </w:p>
        </w:tc>
        <w:tc>
          <w:tcPr>
            <w:tcW w:w="1779" w:type="dxa"/>
            <w:vAlign w:val="center"/>
          </w:tcPr>
          <w:p w14:paraId="66EF52C5"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226.5</w:t>
            </w:r>
          </w:p>
        </w:tc>
      </w:tr>
      <w:tr w:rsidR="00484378" w:rsidRPr="00B36A1C" w14:paraId="5C2F940F" w14:textId="77777777" w:rsidTr="00F23FC9">
        <w:trPr>
          <w:trHeight w:val="324"/>
        </w:trPr>
        <w:tc>
          <w:tcPr>
            <w:tcW w:w="3179" w:type="dxa"/>
            <w:noWrap/>
            <w:vAlign w:val="center"/>
            <w:hideMark/>
          </w:tcPr>
          <w:p w14:paraId="738AC6C3" w14:textId="77777777" w:rsidR="00484378" w:rsidRPr="00B36A1C" w:rsidRDefault="00484378" w:rsidP="00F23FC9">
            <w:pPr>
              <w:rPr>
                <w:rFonts w:ascii="Arial" w:hAnsi="Arial" w:cs="Arial"/>
                <w:sz w:val="20"/>
                <w:szCs w:val="20"/>
              </w:rPr>
            </w:pPr>
            <w:r w:rsidRPr="00B36A1C">
              <w:rPr>
                <w:rFonts w:ascii="Arial" w:hAnsi="Arial" w:cs="Arial"/>
                <w:bCs/>
                <w:sz w:val="20"/>
                <w:szCs w:val="20"/>
              </w:rPr>
              <w:t xml:space="preserve">T10- STBFR + GM + FYM + Lime </w:t>
            </w:r>
          </w:p>
        </w:tc>
        <w:tc>
          <w:tcPr>
            <w:tcW w:w="2250" w:type="dxa"/>
            <w:vAlign w:val="center"/>
          </w:tcPr>
          <w:p w14:paraId="2DF80AB8"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176.5</w:t>
            </w:r>
          </w:p>
        </w:tc>
        <w:tc>
          <w:tcPr>
            <w:tcW w:w="1890" w:type="dxa"/>
            <w:vAlign w:val="center"/>
          </w:tcPr>
          <w:p w14:paraId="1FC013A1"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375.9</w:t>
            </w:r>
          </w:p>
        </w:tc>
        <w:tc>
          <w:tcPr>
            <w:tcW w:w="1779" w:type="dxa"/>
            <w:vAlign w:val="center"/>
          </w:tcPr>
          <w:p w14:paraId="26BDD8B6"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255.0</w:t>
            </w:r>
          </w:p>
        </w:tc>
      </w:tr>
      <w:tr w:rsidR="00484378" w:rsidRPr="00B36A1C" w14:paraId="71C3F7AF" w14:textId="77777777" w:rsidTr="00F23FC9">
        <w:trPr>
          <w:trHeight w:val="324"/>
        </w:trPr>
        <w:tc>
          <w:tcPr>
            <w:tcW w:w="3179" w:type="dxa"/>
            <w:noWrap/>
            <w:vAlign w:val="center"/>
            <w:hideMark/>
          </w:tcPr>
          <w:p w14:paraId="284FEA67" w14:textId="77777777" w:rsidR="00484378" w:rsidRPr="00B36A1C" w:rsidRDefault="00484378"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T11- STBFR + GM + FYM + S</w:t>
            </w:r>
          </w:p>
        </w:tc>
        <w:tc>
          <w:tcPr>
            <w:tcW w:w="2250" w:type="dxa"/>
            <w:vAlign w:val="center"/>
          </w:tcPr>
          <w:p w14:paraId="1CE03AED"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181.0</w:t>
            </w:r>
          </w:p>
        </w:tc>
        <w:tc>
          <w:tcPr>
            <w:tcW w:w="1890" w:type="dxa"/>
            <w:vAlign w:val="center"/>
          </w:tcPr>
          <w:p w14:paraId="614150D7"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387.2</w:t>
            </w:r>
          </w:p>
        </w:tc>
        <w:tc>
          <w:tcPr>
            <w:tcW w:w="1779" w:type="dxa"/>
            <w:vAlign w:val="center"/>
          </w:tcPr>
          <w:p w14:paraId="21C73188"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267.8</w:t>
            </w:r>
          </w:p>
        </w:tc>
      </w:tr>
      <w:tr w:rsidR="00484378" w:rsidRPr="00B36A1C" w14:paraId="42BC6935" w14:textId="77777777" w:rsidTr="00F23FC9">
        <w:trPr>
          <w:trHeight w:val="324"/>
        </w:trPr>
        <w:tc>
          <w:tcPr>
            <w:tcW w:w="3179" w:type="dxa"/>
            <w:noWrap/>
            <w:vAlign w:val="center"/>
            <w:hideMark/>
          </w:tcPr>
          <w:p w14:paraId="0601E725" w14:textId="77777777" w:rsidR="00484378" w:rsidRPr="00B36A1C" w:rsidRDefault="00484378" w:rsidP="00F23FC9">
            <w:pPr>
              <w:tabs>
                <w:tab w:val="left" w:pos="0"/>
                <w:tab w:val="left" w:pos="1440"/>
                <w:tab w:val="left" w:pos="2160"/>
                <w:tab w:val="left" w:pos="2940"/>
              </w:tabs>
              <w:rPr>
                <w:rFonts w:ascii="Arial" w:hAnsi="Arial" w:cs="Arial"/>
                <w:bCs/>
                <w:sz w:val="20"/>
                <w:szCs w:val="20"/>
              </w:rPr>
            </w:pPr>
            <w:r w:rsidRPr="00B36A1C">
              <w:rPr>
                <w:rFonts w:ascii="Arial" w:hAnsi="Arial" w:cs="Arial"/>
                <w:bCs/>
                <w:sz w:val="20"/>
                <w:szCs w:val="20"/>
              </w:rPr>
              <w:t>T12- STBFR + GM + FYM + BF</w:t>
            </w:r>
          </w:p>
        </w:tc>
        <w:tc>
          <w:tcPr>
            <w:tcW w:w="2250" w:type="dxa"/>
            <w:vAlign w:val="center"/>
          </w:tcPr>
          <w:p w14:paraId="120D1F95"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185.4</w:t>
            </w:r>
          </w:p>
        </w:tc>
        <w:tc>
          <w:tcPr>
            <w:tcW w:w="1890" w:type="dxa"/>
            <w:vAlign w:val="center"/>
          </w:tcPr>
          <w:p w14:paraId="1C813FE4"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393.0</w:t>
            </w:r>
          </w:p>
        </w:tc>
        <w:tc>
          <w:tcPr>
            <w:tcW w:w="1779" w:type="dxa"/>
            <w:vAlign w:val="center"/>
          </w:tcPr>
          <w:p w14:paraId="257CE07A" w14:textId="77777777" w:rsidR="00484378" w:rsidRPr="00B36A1C" w:rsidRDefault="00484378" w:rsidP="00F23FC9">
            <w:pPr>
              <w:jc w:val="center"/>
              <w:rPr>
                <w:rFonts w:ascii="Arial" w:hAnsi="Arial" w:cs="Arial"/>
                <w:sz w:val="20"/>
                <w:szCs w:val="20"/>
              </w:rPr>
            </w:pPr>
            <w:r w:rsidRPr="00B36A1C">
              <w:rPr>
                <w:rFonts w:ascii="Arial" w:hAnsi="Arial" w:cs="Arial"/>
                <w:sz w:val="20"/>
                <w:szCs w:val="20"/>
              </w:rPr>
              <w:t>274.2</w:t>
            </w:r>
          </w:p>
        </w:tc>
      </w:tr>
      <w:tr w:rsidR="00484378" w:rsidRPr="00B36A1C" w14:paraId="494F891E" w14:textId="77777777" w:rsidTr="00F23FC9">
        <w:trPr>
          <w:trHeight w:val="324"/>
        </w:trPr>
        <w:tc>
          <w:tcPr>
            <w:tcW w:w="3179" w:type="dxa"/>
            <w:noWrap/>
            <w:vAlign w:val="center"/>
            <w:hideMark/>
          </w:tcPr>
          <w:p w14:paraId="511CFBA2" w14:textId="77777777" w:rsidR="00484378" w:rsidRPr="00B36A1C" w:rsidRDefault="00484378" w:rsidP="00F23FC9">
            <w:pPr>
              <w:jc w:val="center"/>
              <w:rPr>
                <w:rFonts w:ascii="Arial" w:hAnsi="Arial" w:cs="Arial"/>
                <w:b/>
                <w:bCs/>
                <w:sz w:val="20"/>
                <w:szCs w:val="20"/>
              </w:rPr>
            </w:pPr>
            <w:proofErr w:type="spellStart"/>
            <w:r w:rsidRPr="00B36A1C">
              <w:rPr>
                <w:rFonts w:ascii="Arial" w:hAnsi="Arial" w:cs="Arial"/>
                <w:b/>
                <w:bCs/>
                <w:sz w:val="20"/>
                <w:szCs w:val="20"/>
              </w:rPr>
              <w:t>SEm</w:t>
            </w:r>
            <w:proofErr w:type="spellEnd"/>
            <w:r w:rsidRPr="00B36A1C">
              <w:rPr>
                <w:rFonts w:ascii="Arial" w:hAnsi="Arial" w:cs="Arial"/>
                <w:b/>
                <w:bCs/>
                <w:sz w:val="20"/>
                <w:szCs w:val="20"/>
              </w:rPr>
              <w:t xml:space="preserve"> (±)</w:t>
            </w:r>
          </w:p>
        </w:tc>
        <w:tc>
          <w:tcPr>
            <w:tcW w:w="2250" w:type="dxa"/>
            <w:vAlign w:val="center"/>
          </w:tcPr>
          <w:p w14:paraId="5FEE4679"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1.8</w:t>
            </w:r>
          </w:p>
        </w:tc>
        <w:tc>
          <w:tcPr>
            <w:tcW w:w="1890" w:type="dxa"/>
            <w:vAlign w:val="center"/>
          </w:tcPr>
          <w:p w14:paraId="53127AE1"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3.9</w:t>
            </w:r>
          </w:p>
        </w:tc>
        <w:tc>
          <w:tcPr>
            <w:tcW w:w="1779" w:type="dxa"/>
            <w:vAlign w:val="center"/>
          </w:tcPr>
          <w:p w14:paraId="0700EB4C"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3.1</w:t>
            </w:r>
          </w:p>
        </w:tc>
      </w:tr>
      <w:tr w:rsidR="00484378" w:rsidRPr="00B36A1C" w14:paraId="450EE89C" w14:textId="77777777" w:rsidTr="00F23FC9">
        <w:trPr>
          <w:trHeight w:val="324"/>
        </w:trPr>
        <w:tc>
          <w:tcPr>
            <w:tcW w:w="3179" w:type="dxa"/>
            <w:tcBorders>
              <w:bottom w:val="single" w:sz="4" w:space="0" w:color="auto"/>
            </w:tcBorders>
            <w:noWrap/>
            <w:vAlign w:val="center"/>
            <w:hideMark/>
          </w:tcPr>
          <w:p w14:paraId="0B4C1AD2"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CD (0.05)</w:t>
            </w:r>
          </w:p>
        </w:tc>
        <w:tc>
          <w:tcPr>
            <w:tcW w:w="2250" w:type="dxa"/>
            <w:tcBorders>
              <w:bottom w:val="single" w:sz="4" w:space="0" w:color="auto"/>
            </w:tcBorders>
            <w:vAlign w:val="center"/>
          </w:tcPr>
          <w:p w14:paraId="01AD9261"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5.3</w:t>
            </w:r>
          </w:p>
        </w:tc>
        <w:tc>
          <w:tcPr>
            <w:tcW w:w="1890" w:type="dxa"/>
            <w:tcBorders>
              <w:bottom w:val="single" w:sz="4" w:space="0" w:color="auto"/>
            </w:tcBorders>
            <w:vAlign w:val="center"/>
          </w:tcPr>
          <w:p w14:paraId="7AD54D87"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11.6</w:t>
            </w:r>
          </w:p>
        </w:tc>
        <w:tc>
          <w:tcPr>
            <w:tcW w:w="1779" w:type="dxa"/>
            <w:tcBorders>
              <w:bottom w:val="single" w:sz="4" w:space="0" w:color="auto"/>
            </w:tcBorders>
            <w:vAlign w:val="center"/>
          </w:tcPr>
          <w:p w14:paraId="640C4062" w14:textId="77777777" w:rsidR="00484378" w:rsidRPr="00B36A1C" w:rsidRDefault="00484378" w:rsidP="00F23FC9">
            <w:pPr>
              <w:jc w:val="center"/>
              <w:rPr>
                <w:rFonts w:ascii="Arial" w:hAnsi="Arial" w:cs="Arial"/>
                <w:b/>
                <w:bCs/>
                <w:sz w:val="20"/>
                <w:szCs w:val="20"/>
              </w:rPr>
            </w:pPr>
            <w:r w:rsidRPr="00B36A1C">
              <w:rPr>
                <w:rFonts w:ascii="Arial" w:hAnsi="Arial" w:cs="Arial"/>
                <w:b/>
                <w:bCs/>
                <w:sz w:val="20"/>
                <w:szCs w:val="20"/>
              </w:rPr>
              <w:t>9.2</w:t>
            </w:r>
          </w:p>
        </w:tc>
      </w:tr>
    </w:tbl>
    <w:p w14:paraId="67FE8FEC" w14:textId="77777777" w:rsidR="00484378" w:rsidRPr="00B36A1C" w:rsidRDefault="00484378" w:rsidP="00484378">
      <w:pPr>
        <w:tabs>
          <w:tab w:val="left" w:pos="0"/>
          <w:tab w:val="left" w:pos="1440"/>
          <w:tab w:val="left" w:pos="2160"/>
          <w:tab w:val="left" w:pos="2940"/>
        </w:tabs>
        <w:spacing w:after="0" w:line="240" w:lineRule="auto"/>
        <w:jc w:val="both"/>
        <w:rPr>
          <w:rFonts w:ascii="Arial" w:hAnsi="Arial" w:cs="Arial"/>
          <w:bCs/>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i/>
          <w:iCs/>
          <w:sz w:val="20"/>
          <w:szCs w:val="20"/>
        </w:rPr>
        <w:t xml:space="preserve"> </w:t>
      </w:r>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i/>
          <w:iCs/>
          <w:sz w:val="20"/>
          <w:szCs w:val="20"/>
        </w:rPr>
        <w:t xml:space="preserve"> </w:t>
      </w:r>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14:paraId="2BE4361D" w14:textId="77777777" w:rsidR="00484378" w:rsidRPr="00B36A1C" w:rsidRDefault="00484378" w:rsidP="00223962">
      <w:pPr>
        <w:spacing w:after="0" w:line="240" w:lineRule="auto"/>
        <w:jc w:val="both"/>
        <w:rPr>
          <w:rFonts w:ascii="Arial" w:hAnsi="Arial" w:cs="Arial"/>
          <w:b/>
          <w:bCs/>
          <w:szCs w:val="22"/>
        </w:rPr>
      </w:pPr>
    </w:p>
    <w:p w14:paraId="6CFCC728" w14:textId="77777777" w:rsidR="00484378" w:rsidRPr="00B36A1C" w:rsidRDefault="00484378" w:rsidP="00484378">
      <w:pPr>
        <w:spacing w:after="0" w:line="240" w:lineRule="auto"/>
        <w:jc w:val="both"/>
        <w:rPr>
          <w:rFonts w:ascii="Arial" w:hAnsi="Arial" w:cs="Arial"/>
          <w:b/>
          <w:bCs/>
          <w:sz w:val="20"/>
          <w:szCs w:val="20"/>
        </w:rPr>
      </w:pPr>
      <w:r w:rsidRPr="00B36A1C">
        <w:rPr>
          <w:rFonts w:ascii="Arial" w:hAnsi="Arial" w:cs="Arial"/>
          <w:b/>
          <w:bCs/>
          <w:sz w:val="20"/>
          <w:szCs w:val="20"/>
        </w:rPr>
        <w:t>Table 4. Effect of integrated nutrient management on energy indices in maize-</w:t>
      </w:r>
      <w:proofErr w:type="spellStart"/>
      <w:r w:rsidRPr="00B36A1C">
        <w:rPr>
          <w:rFonts w:ascii="Arial" w:hAnsi="Arial" w:cs="Arial"/>
          <w:b/>
          <w:bCs/>
          <w:sz w:val="20"/>
          <w:szCs w:val="20"/>
        </w:rPr>
        <w:t>toria</w:t>
      </w:r>
      <w:proofErr w:type="spellEnd"/>
      <w:r w:rsidRPr="00B36A1C">
        <w:rPr>
          <w:rFonts w:ascii="Arial" w:hAnsi="Arial" w:cs="Arial"/>
          <w:b/>
          <w:bCs/>
          <w:sz w:val="20"/>
          <w:szCs w:val="20"/>
        </w:rPr>
        <w:t xml:space="preserve"> cropping sequence (Mean data of two years)</w:t>
      </w:r>
    </w:p>
    <w:tbl>
      <w:tblPr>
        <w:tblW w:w="9149" w:type="dxa"/>
        <w:tblInd w:w="94" w:type="dxa"/>
        <w:tblLayout w:type="fixed"/>
        <w:tblLook w:val="04A0" w:firstRow="1" w:lastRow="0" w:firstColumn="1" w:lastColumn="0" w:noHBand="0" w:noVBand="1"/>
      </w:tblPr>
      <w:tblGrid>
        <w:gridCol w:w="2174"/>
        <w:gridCol w:w="1170"/>
        <w:gridCol w:w="1170"/>
        <w:gridCol w:w="1108"/>
        <w:gridCol w:w="1412"/>
        <w:gridCol w:w="1080"/>
        <w:gridCol w:w="1035"/>
      </w:tblGrid>
      <w:tr w:rsidR="00484378" w:rsidRPr="00B36A1C" w14:paraId="5E9D0BAD" w14:textId="77777777" w:rsidTr="00BF08E2">
        <w:trPr>
          <w:trHeight w:val="509"/>
        </w:trPr>
        <w:tc>
          <w:tcPr>
            <w:tcW w:w="2174" w:type="dxa"/>
            <w:vMerge w:val="restart"/>
            <w:tcBorders>
              <w:top w:val="single" w:sz="4" w:space="0" w:color="auto"/>
              <w:left w:val="single" w:sz="4" w:space="0" w:color="auto"/>
              <w:bottom w:val="single" w:sz="4" w:space="0" w:color="auto"/>
              <w:right w:val="single" w:sz="4" w:space="0" w:color="auto"/>
            </w:tcBorders>
            <w:noWrap/>
            <w:vAlign w:val="center"/>
            <w:hideMark/>
          </w:tcPr>
          <w:p w14:paraId="38713474"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rPr>
              <w:t>Treatments</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69F627C5" w14:textId="77777777" w:rsidR="00484378" w:rsidRPr="00B36A1C" w:rsidRDefault="00484378" w:rsidP="00F23FC9">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Total input energy</w:t>
            </w:r>
          </w:p>
          <w:p w14:paraId="2360A468"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14:paraId="4D8FFC94"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Total output energy (MJ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c>
          <w:tcPr>
            <w:tcW w:w="1108" w:type="dxa"/>
            <w:vMerge w:val="restart"/>
            <w:tcBorders>
              <w:top w:val="single" w:sz="4" w:space="0" w:color="auto"/>
              <w:left w:val="single" w:sz="4" w:space="0" w:color="auto"/>
              <w:bottom w:val="single" w:sz="4" w:space="0" w:color="auto"/>
              <w:right w:val="single" w:sz="4" w:space="0" w:color="auto"/>
            </w:tcBorders>
            <w:vAlign w:val="center"/>
            <w:hideMark/>
          </w:tcPr>
          <w:p w14:paraId="27D98898"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Energy use efficiency</w:t>
            </w:r>
          </w:p>
        </w:tc>
        <w:tc>
          <w:tcPr>
            <w:tcW w:w="1412" w:type="dxa"/>
            <w:vMerge w:val="restart"/>
            <w:tcBorders>
              <w:top w:val="single" w:sz="4" w:space="0" w:color="auto"/>
              <w:left w:val="single" w:sz="4" w:space="0" w:color="auto"/>
              <w:bottom w:val="single" w:sz="4" w:space="0" w:color="auto"/>
              <w:right w:val="single" w:sz="4" w:space="0" w:color="auto"/>
            </w:tcBorders>
            <w:vAlign w:val="center"/>
            <w:hideMark/>
          </w:tcPr>
          <w:p w14:paraId="5F59E5FD"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 xml:space="preserve">Energy productivity                 </w:t>
            </w:r>
            <w:proofErr w:type="gramStart"/>
            <w:r w:rsidRPr="00B36A1C">
              <w:rPr>
                <w:rFonts w:ascii="Arial" w:eastAsia="Times New Roman" w:hAnsi="Arial" w:cs="Arial"/>
                <w:b/>
                <w:bCs/>
                <w:sz w:val="20"/>
                <w:szCs w:val="20"/>
                <w:lang w:val="en-IN"/>
              </w:rPr>
              <w:t xml:space="preserve">   (</w:t>
            </w:r>
            <w:proofErr w:type="gramEnd"/>
            <w:r w:rsidRPr="00B36A1C">
              <w:rPr>
                <w:rFonts w:ascii="Arial" w:eastAsia="Times New Roman" w:hAnsi="Arial" w:cs="Arial"/>
                <w:b/>
                <w:bCs/>
                <w:sz w:val="20"/>
                <w:szCs w:val="20"/>
                <w:lang w:val="en-IN"/>
              </w:rPr>
              <w:t>Kg MJ</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14:paraId="16D912A6" w14:textId="77777777" w:rsidR="00484378" w:rsidRPr="00B36A1C" w:rsidRDefault="00484378" w:rsidP="00F23FC9">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Specific energy</w:t>
            </w:r>
          </w:p>
          <w:p w14:paraId="20AD27D3"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kg</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w:t>
            </w:r>
          </w:p>
        </w:tc>
        <w:tc>
          <w:tcPr>
            <w:tcW w:w="1035" w:type="dxa"/>
            <w:vMerge w:val="restart"/>
            <w:tcBorders>
              <w:top w:val="single" w:sz="4" w:space="0" w:color="auto"/>
              <w:left w:val="single" w:sz="4" w:space="0" w:color="auto"/>
              <w:bottom w:val="single" w:sz="4" w:space="0" w:color="auto"/>
              <w:right w:val="single" w:sz="4" w:space="0" w:color="auto"/>
            </w:tcBorders>
            <w:vAlign w:val="center"/>
            <w:hideMark/>
          </w:tcPr>
          <w:p w14:paraId="2DDD8200" w14:textId="77777777" w:rsidR="00484378" w:rsidRPr="00B36A1C" w:rsidRDefault="00484378" w:rsidP="00F23FC9">
            <w:pPr>
              <w:spacing w:after="0" w:line="240" w:lineRule="auto"/>
              <w:jc w:val="center"/>
              <w:rPr>
                <w:rFonts w:ascii="Arial" w:eastAsia="Times New Roman" w:hAnsi="Arial" w:cs="Arial"/>
                <w:b/>
                <w:bCs/>
                <w:sz w:val="20"/>
                <w:szCs w:val="20"/>
                <w:lang w:val="en-IN"/>
              </w:rPr>
            </w:pPr>
            <w:r w:rsidRPr="00B36A1C">
              <w:rPr>
                <w:rFonts w:ascii="Arial" w:eastAsia="Times New Roman" w:hAnsi="Arial" w:cs="Arial"/>
                <w:b/>
                <w:bCs/>
                <w:sz w:val="20"/>
                <w:szCs w:val="20"/>
                <w:lang w:val="en-IN"/>
              </w:rPr>
              <w:t>Net energy gain</w:t>
            </w:r>
          </w:p>
          <w:p w14:paraId="25D10442" w14:textId="77777777" w:rsidR="00484378" w:rsidRPr="00B36A1C" w:rsidRDefault="00484378" w:rsidP="00F23FC9">
            <w:pPr>
              <w:spacing w:after="0" w:line="240" w:lineRule="auto"/>
              <w:jc w:val="center"/>
              <w:rPr>
                <w:rFonts w:ascii="Arial" w:eastAsia="Times New Roman" w:hAnsi="Arial" w:cs="Arial"/>
                <w:b/>
                <w:bCs/>
                <w:sz w:val="20"/>
                <w:szCs w:val="20"/>
              </w:rPr>
            </w:pPr>
            <w:r w:rsidRPr="00B36A1C">
              <w:rPr>
                <w:rFonts w:ascii="Arial" w:eastAsia="Times New Roman" w:hAnsi="Arial" w:cs="Arial"/>
                <w:b/>
                <w:bCs/>
                <w:sz w:val="20"/>
                <w:szCs w:val="20"/>
                <w:lang w:val="en-IN"/>
              </w:rPr>
              <w:t>(MJ ha</w:t>
            </w:r>
            <w:r w:rsidRPr="00B36A1C">
              <w:rPr>
                <w:rFonts w:ascii="Arial" w:eastAsia="Times New Roman" w:hAnsi="Arial" w:cs="Arial"/>
                <w:b/>
                <w:bCs/>
                <w:sz w:val="20"/>
                <w:szCs w:val="20"/>
                <w:vertAlign w:val="superscript"/>
                <w:lang w:val="en-IN"/>
              </w:rPr>
              <w:t>-1</w:t>
            </w:r>
            <w:r w:rsidRPr="00B36A1C">
              <w:rPr>
                <w:rFonts w:ascii="Arial" w:eastAsia="Times New Roman" w:hAnsi="Arial" w:cs="Arial"/>
                <w:b/>
                <w:bCs/>
                <w:sz w:val="20"/>
                <w:szCs w:val="20"/>
                <w:lang w:val="en-IN"/>
              </w:rPr>
              <w:t xml:space="preserve"> x 10</w:t>
            </w:r>
            <w:r w:rsidRPr="00B36A1C">
              <w:rPr>
                <w:rFonts w:ascii="Arial" w:eastAsia="Times New Roman" w:hAnsi="Arial" w:cs="Arial"/>
                <w:b/>
                <w:bCs/>
                <w:sz w:val="20"/>
                <w:szCs w:val="20"/>
                <w:vertAlign w:val="superscript"/>
                <w:lang w:val="en-IN"/>
              </w:rPr>
              <w:t>3</w:t>
            </w:r>
            <w:r w:rsidRPr="00B36A1C">
              <w:rPr>
                <w:rFonts w:ascii="Arial" w:eastAsia="Times New Roman" w:hAnsi="Arial" w:cs="Arial"/>
                <w:b/>
                <w:bCs/>
                <w:sz w:val="20"/>
                <w:szCs w:val="20"/>
                <w:lang w:val="en-IN"/>
              </w:rPr>
              <w:t>)</w:t>
            </w:r>
          </w:p>
        </w:tc>
      </w:tr>
      <w:tr w:rsidR="00484378" w:rsidRPr="00B36A1C" w14:paraId="40E389C5" w14:textId="77777777" w:rsidTr="00BF08E2">
        <w:trPr>
          <w:trHeight w:val="509"/>
        </w:trPr>
        <w:tc>
          <w:tcPr>
            <w:tcW w:w="2174" w:type="dxa"/>
            <w:vMerge/>
            <w:tcBorders>
              <w:top w:val="single" w:sz="4" w:space="0" w:color="auto"/>
              <w:left w:val="single" w:sz="4" w:space="0" w:color="auto"/>
              <w:bottom w:val="single" w:sz="4" w:space="0" w:color="auto"/>
              <w:right w:val="single" w:sz="4" w:space="0" w:color="auto"/>
            </w:tcBorders>
            <w:vAlign w:val="center"/>
            <w:hideMark/>
          </w:tcPr>
          <w:p w14:paraId="49D5D26D" w14:textId="77777777" w:rsidR="00484378" w:rsidRPr="00B36A1C" w:rsidRDefault="00484378" w:rsidP="00F23FC9">
            <w:pPr>
              <w:spacing w:after="0" w:line="240" w:lineRule="auto"/>
              <w:rPr>
                <w:rFonts w:ascii="Arial" w:eastAsia="Times New Roman" w:hAnsi="Arial" w:cs="Arial"/>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2AF66CA0" w14:textId="77777777" w:rsidR="00484378" w:rsidRPr="00B36A1C" w:rsidRDefault="00484378" w:rsidP="00F23FC9">
            <w:pPr>
              <w:spacing w:after="0" w:line="240" w:lineRule="auto"/>
              <w:rPr>
                <w:rFonts w:ascii="Arial" w:eastAsia="Times New Roman" w:hAnsi="Arial" w:cs="Arial"/>
                <w:b/>
                <w:bCs/>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AB20579" w14:textId="77777777" w:rsidR="00484378" w:rsidRPr="00B36A1C" w:rsidRDefault="00484378" w:rsidP="00F23FC9">
            <w:pPr>
              <w:spacing w:after="0" w:line="240" w:lineRule="auto"/>
              <w:rPr>
                <w:rFonts w:ascii="Arial" w:eastAsia="Times New Roman" w:hAnsi="Arial" w:cs="Arial"/>
                <w:b/>
                <w:bCs/>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2A88DA82" w14:textId="77777777" w:rsidR="00484378" w:rsidRPr="00B36A1C" w:rsidRDefault="00484378" w:rsidP="00F23FC9">
            <w:pPr>
              <w:spacing w:after="0" w:line="240" w:lineRule="auto"/>
              <w:rPr>
                <w:rFonts w:ascii="Arial" w:eastAsia="Times New Roman" w:hAnsi="Arial"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5F33881D" w14:textId="77777777" w:rsidR="00484378" w:rsidRPr="00B36A1C" w:rsidRDefault="00484378" w:rsidP="00F23FC9">
            <w:pPr>
              <w:spacing w:after="0" w:line="240" w:lineRule="auto"/>
              <w:rPr>
                <w:rFonts w:ascii="Arial" w:eastAsia="Times New Roman" w:hAnsi="Arial"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6F9A709" w14:textId="77777777" w:rsidR="00484378" w:rsidRPr="00B36A1C" w:rsidRDefault="00484378" w:rsidP="00F23FC9">
            <w:pPr>
              <w:spacing w:after="0" w:line="240" w:lineRule="auto"/>
              <w:rPr>
                <w:rFonts w:ascii="Arial" w:eastAsia="Times New Roman" w:hAnsi="Arial" w:cs="Arial"/>
                <w:b/>
                <w:bCs/>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4289F0B1" w14:textId="77777777" w:rsidR="00484378" w:rsidRPr="00B36A1C" w:rsidRDefault="00484378" w:rsidP="00F23FC9">
            <w:pPr>
              <w:spacing w:after="0" w:line="240" w:lineRule="auto"/>
              <w:rPr>
                <w:rFonts w:ascii="Arial" w:eastAsia="Times New Roman" w:hAnsi="Arial" w:cs="Arial"/>
                <w:b/>
                <w:bCs/>
                <w:sz w:val="20"/>
                <w:szCs w:val="20"/>
              </w:rPr>
            </w:pPr>
          </w:p>
        </w:tc>
      </w:tr>
      <w:tr w:rsidR="00484378" w:rsidRPr="00B36A1C" w14:paraId="03A02967" w14:textId="77777777" w:rsidTr="00BF08E2">
        <w:trPr>
          <w:trHeight w:val="674"/>
        </w:trPr>
        <w:tc>
          <w:tcPr>
            <w:tcW w:w="2174" w:type="dxa"/>
            <w:vMerge/>
            <w:tcBorders>
              <w:top w:val="single" w:sz="4" w:space="0" w:color="auto"/>
              <w:left w:val="single" w:sz="4" w:space="0" w:color="auto"/>
              <w:bottom w:val="single" w:sz="4" w:space="0" w:color="auto"/>
              <w:right w:val="single" w:sz="4" w:space="0" w:color="auto"/>
            </w:tcBorders>
            <w:vAlign w:val="center"/>
            <w:hideMark/>
          </w:tcPr>
          <w:p w14:paraId="742931BD" w14:textId="77777777" w:rsidR="00484378" w:rsidRPr="00B36A1C" w:rsidRDefault="00484378" w:rsidP="00F23FC9">
            <w:pPr>
              <w:spacing w:after="0" w:line="240" w:lineRule="auto"/>
              <w:rPr>
                <w:rFonts w:ascii="Arial" w:eastAsia="Times New Roman" w:hAnsi="Arial" w:cs="Arial"/>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6B66246E" w14:textId="77777777" w:rsidR="00484378" w:rsidRPr="00B36A1C" w:rsidRDefault="00484378" w:rsidP="00F23FC9">
            <w:pPr>
              <w:spacing w:after="0" w:line="240" w:lineRule="auto"/>
              <w:rPr>
                <w:rFonts w:ascii="Arial" w:eastAsia="Times New Roman" w:hAnsi="Arial" w:cs="Arial"/>
                <w:b/>
                <w:bCs/>
                <w:sz w:val="20"/>
                <w:szCs w:val="20"/>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48908B11" w14:textId="77777777" w:rsidR="00484378" w:rsidRPr="00B36A1C" w:rsidRDefault="00484378" w:rsidP="00F23FC9">
            <w:pPr>
              <w:spacing w:after="0" w:line="240" w:lineRule="auto"/>
              <w:rPr>
                <w:rFonts w:ascii="Arial" w:eastAsia="Times New Roman" w:hAnsi="Arial" w:cs="Arial"/>
                <w:b/>
                <w:bCs/>
                <w:sz w:val="20"/>
                <w:szCs w:val="20"/>
              </w:rPr>
            </w:pPr>
          </w:p>
        </w:tc>
        <w:tc>
          <w:tcPr>
            <w:tcW w:w="1108" w:type="dxa"/>
            <w:vMerge/>
            <w:tcBorders>
              <w:top w:val="single" w:sz="4" w:space="0" w:color="auto"/>
              <w:left w:val="single" w:sz="4" w:space="0" w:color="auto"/>
              <w:bottom w:val="single" w:sz="4" w:space="0" w:color="auto"/>
              <w:right w:val="single" w:sz="4" w:space="0" w:color="auto"/>
            </w:tcBorders>
            <w:vAlign w:val="center"/>
            <w:hideMark/>
          </w:tcPr>
          <w:p w14:paraId="6C33F5CC" w14:textId="77777777" w:rsidR="00484378" w:rsidRPr="00B36A1C" w:rsidRDefault="00484378" w:rsidP="00F23FC9">
            <w:pPr>
              <w:spacing w:after="0" w:line="240" w:lineRule="auto"/>
              <w:rPr>
                <w:rFonts w:ascii="Arial" w:eastAsia="Times New Roman" w:hAnsi="Arial" w:cs="Arial"/>
                <w:b/>
                <w:bCs/>
                <w:sz w:val="20"/>
                <w:szCs w:val="20"/>
              </w:rPr>
            </w:pPr>
          </w:p>
        </w:tc>
        <w:tc>
          <w:tcPr>
            <w:tcW w:w="1412" w:type="dxa"/>
            <w:vMerge/>
            <w:tcBorders>
              <w:top w:val="single" w:sz="4" w:space="0" w:color="auto"/>
              <w:left w:val="single" w:sz="4" w:space="0" w:color="auto"/>
              <w:bottom w:val="single" w:sz="4" w:space="0" w:color="auto"/>
              <w:right w:val="single" w:sz="4" w:space="0" w:color="auto"/>
            </w:tcBorders>
            <w:vAlign w:val="center"/>
            <w:hideMark/>
          </w:tcPr>
          <w:p w14:paraId="20697F29" w14:textId="77777777" w:rsidR="00484378" w:rsidRPr="00B36A1C" w:rsidRDefault="00484378" w:rsidP="00F23FC9">
            <w:pPr>
              <w:spacing w:after="0" w:line="240" w:lineRule="auto"/>
              <w:rPr>
                <w:rFonts w:ascii="Arial" w:eastAsia="Times New Roman" w:hAnsi="Arial" w:cs="Arial"/>
                <w:b/>
                <w:bCs/>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0A3FF8AD" w14:textId="77777777" w:rsidR="00484378" w:rsidRPr="00B36A1C" w:rsidRDefault="00484378" w:rsidP="00F23FC9">
            <w:pPr>
              <w:spacing w:after="0" w:line="240" w:lineRule="auto"/>
              <w:rPr>
                <w:rFonts w:ascii="Arial" w:eastAsia="Times New Roman" w:hAnsi="Arial" w:cs="Arial"/>
                <w:b/>
                <w:bCs/>
                <w:sz w:val="20"/>
                <w:szCs w:val="20"/>
              </w:rPr>
            </w:pPr>
          </w:p>
        </w:tc>
        <w:tc>
          <w:tcPr>
            <w:tcW w:w="1035" w:type="dxa"/>
            <w:vMerge/>
            <w:tcBorders>
              <w:top w:val="single" w:sz="4" w:space="0" w:color="auto"/>
              <w:left w:val="single" w:sz="4" w:space="0" w:color="auto"/>
              <w:bottom w:val="single" w:sz="4" w:space="0" w:color="auto"/>
              <w:right w:val="single" w:sz="4" w:space="0" w:color="auto"/>
            </w:tcBorders>
            <w:vAlign w:val="center"/>
            <w:hideMark/>
          </w:tcPr>
          <w:p w14:paraId="5333C1D7" w14:textId="77777777" w:rsidR="00484378" w:rsidRPr="00B36A1C" w:rsidRDefault="00484378" w:rsidP="00F23FC9">
            <w:pPr>
              <w:spacing w:after="0" w:line="240" w:lineRule="auto"/>
              <w:rPr>
                <w:rFonts w:ascii="Arial" w:eastAsia="Times New Roman" w:hAnsi="Arial" w:cs="Arial"/>
                <w:b/>
                <w:bCs/>
                <w:sz w:val="20"/>
                <w:szCs w:val="20"/>
              </w:rPr>
            </w:pPr>
          </w:p>
        </w:tc>
      </w:tr>
      <w:tr w:rsidR="00484378" w:rsidRPr="00B36A1C" w14:paraId="72AC0D94" w14:textId="77777777" w:rsidTr="00BF08E2">
        <w:trPr>
          <w:trHeight w:val="330"/>
        </w:trPr>
        <w:tc>
          <w:tcPr>
            <w:tcW w:w="2174" w:type="dxa"/>
            <w:tcBorders>
              <w:top w:val="single" w:sz="8" w:space="0" w:color="000000"/>
              <w:left w:val="single" w:sz="8" w:space="0" w:color="000000"/>
              <w:bottom w:val="single" w:sz="8" w:space="0" w:color="000000"/>
              <w:right w:val="single" w:sz="8" w:space="0" w:color="000000"/>
            </w:tcBorders>
            <w:noWrap/>
            <w:vAlign w:val="center"/>
            <w:hideMark/>
          </w:tcPr>
          <w:p w14:paraId="32611528"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 STBFR</w:t>
            </w:r>
          </w:p>
        </w:tc>
        <w:tc>
          <w:tcPr>
            <w:tcW w:w="1170" w:type="dxa"/>
            <w:tcBorders>
              <w:top w:val="nil"/>
              <w:left w:val="single" w:sz="4" w:space="0" w:color="auto"/>
              <w:bottom w:val="single" w:sz="4" w:space="0" w:color="auto"/>
              <w:right w:val="single" w:sz="4" w:space="0" w:color="auto"/>
            </w:tcBorders>
            <w:noWrap/>
            <w:vAlign w:val="center"/>
            <w:hideMark/>
          </w:tcPr>
          <w:p w14:paraId="517576F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18.7</w:t>
            </w:r>
          </w:p>
        </w:tc>
        <w:tc>
          <w:tcPr>
            <w:tcW w:w="1170" w:type="dxa"/>
            <w:tcBorders>
              <w:top w:val="nil"/>
              <w:left w:val="nil"/>
              <w:bottom w:val="single" w:sz="4" w:space="0" w:color="auto"/>
              <w:right w:val="single" w:sz="4" w:space="0" w:color="auto"/>
            </w:tcBorders>
            <w:vAlign w:val="center"/>
            <w:hideMark/>
          </w:tcPr>
          <w:p w14:paraId="2262075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215.7</w:t>
            </w:r>
          </w:p>
        </w:tc>
        <w:tc>
          <w:tcPr>
            <w:tcW w:w="1108" w:type="dxa"/>
            <w:tcBorders>
              <w:top w:val="nil"/>
              <w:left w:val="nil"/>
              <w:bottom w:val="single" w:sz="4" w:space="0" w:color="auto"/>
              <w:right w:val="single" w:sz="4" w:space="0" w:color="auto"/>
            </w:tcBorders>
            <w:noWrap/>
            <w:vAlign w:val="center"/>
            <w:hideMark/>
          </w:tcPr>
          <w:p w14:paraId="25BFBEF7"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11.5</w:t>
            </w:r>
          </w:p>
        </w:tc>
        <w:tc>
          <w:tcPr>
            <w:tcW w:w="1412" w:type="dxa"/>
            <w:tcBorders>
              <w:top w:val="nil"/>
              <w:left w:val="nil"/>
              <w:bottom w:val="single" w:sz="4" w:space="0" w:color="auto"/>
              <w:right w:val="single" w:sz="4" w:space="0" w:color="auto"/>
            </w:tcBorders>
            <w:noWrap/>
            <w:vAlign w:val="center"/>
            <w:hideMark/>
          </w:tcPr>
          <w:p w14:paraId="480DCBF8"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0.33</w:t>
            </w:r>
          </w:p>
        </w:tc>
        <w:tc>
          <w:tcPr>
            <w:tcW w:w="1080" w:type="dxa"/>
            <w:tcBorders>
              <w:top w:val="nil"/>
              <w:left w:val="nil"/>
              <w:bottom w:val="single" w:sz="4" w:space="0" w:color="auto"/>
              <w:right w:val="single" w:sz="4" w:space="0" w:color="auto"/>
            </w:tcBorders>
            <w:noWrap/>
            <w:vAlign w:val="center"/>
            <w:hideMark/>
          </w:tcPr>
          <w:p w14:paraId="5456B27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3.0</w:t>
            </w:r>
          </w:p>
        </w:tc>
        <w:tc>
          <w:tcPr>
            <w:tcW w:w="1035" w:type="dxa"/>
            <w:tcBorders>
              <w:top w:val="nil"/>
              <w:left w:val="nil"/>
              <w:bottom w:val="single" w:sz="4" w:space="0" w:color="auto"/>
              <w:right w:val="single" w:sz="4" w:space="0" w:color="auto"/>
            </w:tcBorders>
            <w:noWrap/>
            <w:vAlign w:val="center"/>
            <w:hideMark/>
          </w:tcPr>
          <w:p w14:paraId="1D08B8F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197.0</w:t>
            </w:r>
          </w:p>
        </w:tc>
      </w:tr>
      <w:tr w:rsidR="00484378" w:rsidRPr="00B36A1C" w14:paraId="434B4D40"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4D91D5A9"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T2- STBFR + GM</w:t>
            </w:r>
          </w:p>
        </w:tc>
        <w:tc>
          <w:tcPr>
            <w:tcW w:w="1170" w:type="dxa"/>
            <w:tcBorders>
              <w:top w:val="nil"/>
              <w:left w:val="single" w:sz="4" w:space="0" w:color="auto"/>
              <w:bottom w:val="single" w:sz="4" w:space="0" w:color="auto"/>
              <w:right w:val="single" w:sz="4" w:space="0" w:color="auto"/>
            </w:tcBorders>
            <w:noWrap/>
            <w:vAlign w:val="center"/>
            <w:hideMark/>
          </w:tcPr>
          <w:p w14:paraId="6EBE87A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19.0</w:t>
            </w:r>
          </w:p>
        </w:tc>
        <w:tc>
          <w:tcPr>
            <w:tcW w:w="1170" w:type="dxa"/>
            <w:tcBorders>
              <w:top w:val="nil"/>
              <w:left w:val="nil"/>
              <w:bottom w:val="single" w:sz="4" w:space="0" w:color="auto"/>
              <w:right w:val="single" w:sz="4" w:space="0" w:color="auto"/>
            </w:tcBorders>
            <w:vAlign w:val="center"/>
            <w:hideMark/>
          </w:tcPr>
          <w:p w14:paraId="1E6670DA"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231.7</w:t>
            </w:r>
          </w:p>
        </w:tc>
        <w:tc>
          <w:tcPr>
            <w:tcW w:w="1108" w:type="dxa"/>
            <w:tcBorders>
              <w:top w:val="nil"/>
              <w:left w:val="nil"/>
              <w:bottom w:val="single" w:sz="4" w:space="0" w:color="auto"/>
              <w:right w:val="single" w:sz="4" w:space="0" w:color="auto"/>
            </w:tcBorders>
            <w:noWrap/>
            <w:vAlign w:val="center"/>
            <w:hideMark/>
          </w:tcPr>
          <w:p w14:paraId="5B041FC1"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12.2</w:t>
            </w:r>
          </w:p>
        </w:tc>
        <w:tc>
          <w:tcPr>
            <w:tcW w:w="1412" w:type="dxa"/>
            <w:tcBorders>
              <w:top w:val="nil"/>
              <w:left w:val="nil"/>
              <w:bottom w:val="single" w:sz="4" w:space="0" w:color="auto"/>
              <w:right w:val="single" w:sz="4" w:space="0" w:color="auto"/>
            </w:tcBorders>
            <w:noWrap/>
            <w:vAlign w:val="center"/>
            <w:hideMark/>
          </w:tcPr>
          <w:p w14:paraId="484310A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14:paraId="4FE35CFE"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14:paraId="60735330"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212.7</w:t>
            </w:r>
          </w:p>
        </w:tc>
      </w:tr>
      <w:tr w:rsidR="00484378" w:rsidRPr="00B36A1C" w14:paraId="0913724C"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3ADF70E8"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T3- STBFR + FYM</w:t>
            </w:r>
          </w:p>
        </w:tc>
        <w:tc>
          <w:tcPr>
            <w:tcW w:w="1170" w:type="dxa"/>
            <w:tcBorders>
              <w:top w:val="nil"/>
              <w:left w:val="single" w:sz="4" w:space="0" w:color="auto"/>
              <w:bottom w:val="single" w:sz="4" w:space="0" w:color="auto"/>
              <w:right w:val="single" w:sz="4" w:space="0" w:color="auto"/>
            </w:tcBorders>
            <w:noWrap/>
            <w:vAlign w:val="center"/>
            <w:hideMark/>
          </w:tcPr>
          <w:p w14:paraId="28FB5A4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20.2</w:t>
            </w:r>
          </w:p>
        </w:tc>
        <w:tc>
          <w:tcPr>
            <w:tcW w:w="1170" w:type="dxa"/>
            <w:tcBorders>
              <w:top w:val="nil"/>
              <w:left w:val="nil"/>
              <w:bottom w:val="single" w:sz="4" w:space="0" w:color="auto"/>
              <w:right w:val="single" w:sz="4" w:space="0" w:color="auto"/>
            </w:tcBorders>
            <w:vAlign w:val="center"/>
            <w:hideMark/>
          </w:tcPr>
          <w:p w14:paraId="4DC277F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238.3</w:t>
            </w:r>
          </w:p>
        </w:tc>
        <w:tc>
          <w:tcPr>
            <w:tcW w:w="1108" w:type="dxa"/>
            <w:tcBorders>
              <w:top w:val="nil"/>
              <w:left w:val="nil"/>
              <w:bottom w:val="single" w:sz="4" w:space="0" w:color="auto"/>
              <w:right w:val="single" w:sz="4" w:space="0" w:color="auto"/>
            </w:tcBorders>
            <w:noWrap/>
            <w:vAlign w:val="center"/>
            <w:hideMark/>
          </w:tcPr>
          <w:p w14:paraId="3881C880"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11.8</w:t>
            </w:r>
          </w:p>
        </w:tc>
        <w:tc>
          <w:tcPr>
            <w:tcW w:w="1412" w:type="dxa"/>
            <w:tcBorders>
              <w:top w:val="nil"/>
              <w:left w:val="nil"/>
              <w:bottom w:val="single" w:sz="4" w:space="0" w:color="auto"/>
              <w:right w:val="single" w:sz="4" w:space="0" w:color="auto"/>
            </w:tcBorders>
            <w:noWrap/>
            <w:vAlign w:val="center"/>
            <w:hideMark/>
          </w:tcPr>
          <w:p w14:paraId="65F5BB0D"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0.36</w:t>
            </w:r>
          </w:p>
        </w:tc>
        <w:tc>
          <w:tcPr>
            <w:tcW w:w="1080" w:type="dxa"/>
            <w:tcBorders>
              <w:top w:val="nil"/>
              <w:left w:val="nil"/>
              <w:bottom w:val="single" w:sz="4" w:space="0" w:color="auto"/>
              <w:right w:val="single" w:sz="4" w:space="0" w:color="auto"/>
            </w:tcBorders>
            <w:noWrap/>
            <w:vAlign w:val="center"/>
            <w:hideMark/>
          </w:tcPr>
          <w:p w14:paraId="1F15D8C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14:paraId="242A628D"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218.1</w:t>
            </w:r>
          </w:p>
        </w:tc>
      </w:tr>
      <w:tr w:rsidR="00484378" w:rsidRPr="00B36A1C" w14:paraId="469CD17F"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4A14947E"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T4- STBFR + Lime</w:t>
            </w:r>
          </w:p>
        </w:tc>
        <w:tc>
          <w:tcPr>
            <w:tcW w:w="1170" w:type="dxa"/>
            <w:tcBorders>
              <w:top w:val="nil"/>
              <w:left w:val="single" w:sz="4" w:space="0" w:color="auto"/>
              <w:bottom w:val="single" w:sz="4" w:space="0" w:color="auto"/>
              <w:right w:val="single" w:sz="4" w:space="0" w:color="auto"/>
            </w:tcBorders>
            <w:noWrap/>
            <w:vAlign w:val="center"/>
            <w:hideMark/>
          </w:tcPr>
          <w:p w14:paraId="1291792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45.2</w:t>
            </w:r>
          </w:p>
        </w:tc>
        <w:tc>
          <w:tcPr>
            <w:tcW w:w="1170" w:type="dxa"/>
            <w:tcBorders>
              <w:top w:val="nil"/>
              <w:left w:val="nil"/>
              <w:bottom w:val="single" w:sz="4" w:space="0" w:color="auto"/>
              <w:right w:val="single" w:sz="4" w:space="0" w:color="auto"/>
            </w:tcBorders>
            <w:vAlign w:val="center"/>
            <w:hideMark/>
          </w:tcPr>
          <w:p w14:paraId="71E246D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238.3</w:t>
            </w:r>
          </w:p>
        </w:tc>
        <w:tc>
          <w:tcPr>
            <w:tcW w:w="1108" w:type="dxa"/>
            <w:tcBorders>
              <w:top w:val="nil"/>
              <w:left w:val="nil"/>
              <w:bottom w:val="single" w:sz="4" w:space="0" w:color="auto"/>
              <w:right w:val="single" w:sz="4" w:space="0" w:color="auto"/>
            </w:tcBorders>
            <w:noWrap/>
            <w:vAlign w:val="center"/>
            <w:hideMark/>
          </w:tcPr>
          <w:p w14:paraId="10C4158D"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5.3</w:t>
            </w:r>
          </w:p>
        </w:tc>
        <w:tc>
          <w:tcPr>
            <w:tcW w:w="1412" w:type="dxa"/>
            <w:tcBorders>
              <w:top w:val="nil"/>
              <w:left w:val="nil"/>
              <w:bottom w:val="single" w:sz="4" w:space="0" w:color="auto"/>
              <w:right w:val="single" w:sz="4" w:space="0" w:color="auto"/>
            </w:tcBorders>
            <w:noWrap/>
            <w:vAlign w:val="center"/>
            <w:hideMark/>
          </w:tcPr>
          <w:p w14:paraId="4D7B704E"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0.16</w:t>
            </w:r>
          </w:p>
        </w:tc>
        <w:tc>
          <w:tcPr>
            <w:tcW w:w="1080" w:type="dxa"/>
            <w:tcBorders>
              <w:top w:val="nil"/>
              <w:left w:val="nil"/>
              <w:bottom w:val="single" w:sz="4" w:space="0" w:color="auto"/>
              <w:right w:val="single" w:sz="4" w:space="0" w:color="auto"/>
            </w:tcBorders>
            <w:noWrap/>
            <w:vAlign w:val="center"/>
            <w:hideMark/>
          </w:tcPr>
          <w:p w14:paraId="13902F0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6.2</w:t>
            </w:r>
          </w:p>
        </w:tc>
        <w:tc>
          <w:tcPr>
            <w:tcW w:w="1035" w:type="dxa"/>
            <w:tcBorders>
              <w:top w:val="nil"/>
              <w:left w:val="nil"/>
              <w:bottom w:val="single" w:sz="4" w:space="0" w:color="auto"/>
              <w:right w:val="single" w:sz="4" w:space="0" w:color="auto"/>
            </w:tcBorders>
            <w:noWrap/>
            <w:vAlign w:val="center"/>
            <w:hideMark/>
          </w:tcPr>
          <w:p w14:paraId="1D68554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193.1</w:t>
            </w:r>
          </w:p>
        </w:tc>
      </w:tr>
      <w:tr w:rsidR="00484378" w:rsidRPr="00B36A1C" w14:paraId="2ED91074"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091DD845"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T5- STBFR + S</w:t>
            </w:r>
          </w:p>
        </w:tc>
        <w:tc>
          <w:tcPr>
            <w:tcW w:w="1170" w:type="dxa"/>
            <w:tcBorders>
              <w:top w:val="nil"/>
              <w:left w:val="single" w:sz="4" w:space="0" w:color="auto"/>
              <w:bottom w:val="single" w:sz="4" w:space="0" w:color="auto"/>
              <w:right w:val="single" w:sz="4" w:space="0" w:color="auto"/>
            </w:tcBorders>
            <w:noWrap/>
            <w:vAlign w:val="center"/>
            <w:hideMark/>
          </w:tcPr>
          <w:p w14:paraId="58FE8E7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18.7</w:t>
            </w:r>
          </w:p>
        </w:tc>
        <w:tc>
          <w:tcPr>
            <w:tcW w:w="1170" w:type="dxa"/>
            <w:tcBorders>
              <w:top w:val="nil"/>
              <w:left w:val="nil"/>
              <w:bottom w:val="single" w:sz="4" w:space="0" w:color="auto"/>
              <w:right w:val="single" w:sz="4" w:space="0" w:color="auto"/>
            </w:tcBorders>
            <w:vAlign w:val="center"/>
            <w:hideMark/>
          </w:tcPr>
          <w:p w14:paraId="38ABEB9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232.9</w:t>
            </w:r>
          </w:p>
        </w:tc>
        <w:tc>
          <w:tcPr>
            <w:tcW w:w="1108" w:type="dxa"/>
            <w:tcBorders>
              <w:top w:val="nil"/>
              <w:left w:val="nil"/>
              <w:bottom w:val="single" w:sz="4" w:space="0" w:color="auto"/>
              <w:right w:val="single" w:sz="4" w:space="0" w:color="auto"/>
            </w:tcBorders>
            <w:noWrap/>
            <w:vAlign w:val="center"/>
            <w:hideMark/>
          </w:tcPr>
          <w:p w14:paraId="367A6FA0"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12.5</w:t>
            </w:r>
          </w:p>
        </w:tc>
        <w:tc>
          <w:tcPr>
            <w:tcW w:w="1412" w:type="dxa"/>
            <w:tcBorders>
              <w:top w:val="nil"/>
              <w:left w:val="nil"/>
              <w:bottom w:val="single" w:sz="4" w:space="0" w:color="auto"/>
              <w:right w:val="single" w:sz="4" w:space="0" w:color="auto"/>
            </w:tcBorders>
            <w:noWrap/>
            <w:vAlign w:val="center"/>
            <w:hideMark/>
          </w:tcPr>
          <w:p w14:paraId="1219308F"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14:paraId="6B6892D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14:paraId="25D671D0"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214.2</w:t>
            </w:r>
          </w:p>
        </w:tc>
      </w:tr>
      <w:tr w:rsidR="00484378" w:rsidRPr="00B36A1C" w14:paraId="0209A725"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58590E73"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T6- STBFR + BF</w:t>
            </w:r>
          </w:p>
        </w:tc>
        <w:tc>
          <w:tcPr>
            <w:tcW w:w="1170" w:type="dxa"/>
            <w:tcBorders>
              <w:top w:val="nil"/>
              <w:left w:val="single" w:sz="4" w:space="0" w:color="auto"/>
              <w:bottom w:val="single" w:sz="4" w:space="0" w:color="auto"/>
              <w:right w:val="single" w:sz="4" w:space="0" w:color="auto"/>
            </w:tcBorders>
            <w:noWrap/>
            <w:vAlign w:val="center"/>
            <w:hideMark/>
          </w:tcPr>
          <w:p w14:paraId="6B8C4996"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19.4</w:t>
            </w:r>
          </w:p>
        </w:tc>
        <w:tc>
          <w:tcPr>
            <w:tcW w:w="1170" w:type="dxa"/>
            <w:tcBorders>
              <w:top w:val="nil"/>
              <w:left w:val="nil"/>
              <w:bottom w:val="single" w:sz="4" w:space="0" w:color="auto"/>
              <w:right w:val="single" w:sz="4" w:space="0" w:color="auto"/>
            </w:tcBorders>
            <w:vAlign w:val="center"/>
            <w:hideMark/>
          </w:tcPr>
          <w:p w14:paraId="7FEFEA56"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236.3</w:t>
            </w:r>
          </w:p>
        </w:tc>
        <w:tc>
          <w:tcPr>
            <w:tcW w:w="1108" w:type="dxa"/>
            <w:tcBorders>
              <w:top w:val="nil"/>
              <w:left w:val="nil"/>
              <w:bottom w:val="single" w:sz="4" w:space="0" w:color="auto"/>
              <w:right w:val="single" w:sz="4" w:space="0" w:color="auto"/>
            </w:tcBorders>
            <w:noWrap/>
            <w:vAlign w:val="center"/>
            <w:hideMark/>
          </w:tcPr>
          <w:p w14:paraId="31FDE658"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12.2</w:t>
            </w:r>
          </w:p>
        </w:tc>
        <w:tc>
          <w:tcPr>
            <w:tcW w:w="1412" w:type="dxa"/>
            <w:tcBorders>
              <w:top w:val="nil"/>
              <w:left w:val="nil"/>
              <w:bottom w:val="single" w:sz="4" w:space="0" w:color="auto"/>
              <w:right w:val="single" w:sz="4" w:space="0" w:color="auto"/>
            </w:tcBorders>
            <w:noWrap/>
            <w:vAlign w:val="center"/>
            <w:hideMark/>
          </w:tcPr>
          <w:p w14:paraId="747A969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0.37</w:t>
            </w:r>
          </w:p>
        </w:tc>
        <w:tc>
          <w:tcPr>
            <w:tcW w:w="1080" w:type="dxa"/>
            <w:tcBorders>
              <w:top w:val="nil"/>
              <w:left w:val="nil"/>
              <w:bottom w:val="single" w:sz="4" w:space="0" w:color="auto"/>
              <w:right w:val="single" w:sz="4" w:space="0" w:color="auto"/>
            </w:tcBorders>
            <w:noWrap/>
            <w:vAlign w:val="center"/>
            <w:hideMark/>
          </w:tcPr>
          <w:p w14:paraId="1DF0B3F1"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2.7</w:t>
            </w:r>
          </w:p>
        </w:tc>
        <w:tc>
          <w:tcPr>
            <w:tcW w:w="1035" w:type="dxa"/>
            <w:tcBorders>
              <w:top w:val="nil"/>
              <w:left w:val="nil"/>
              <w:bottom w:val="single" w:sz="4" w:space="0" w:color="auto"/>
              <w:right w:val="single" w:sz="4" w:space="0" w:color="auto"/>
            </w:tcBorders>
            <w:noWrap/>
            <w:vAlign w:val="center"/>
            <w:hideMark/>
          </w:tcPr>
          <w:p w14:paraId="3633F34D"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216.9</w:t>
            </w:r>
          </w:p>
        </w:tc>
      </w:tr>
      <w:tr w:rsidR="00484378" w:rsidRPr="00B36A1C" w14:paraId="26AAA029"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475DE592"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T7- STBFR + GM + FYM</w:t>
            </w:r>
          </w:p>
        </w:tc>
        <w:tc>
          <w:tcPr>
            <w:tcW w:w="1170" w:type="dxa"/>
            <w:tcBorders>
              <w:top w:val="nil"/>
              <w:left w:val="single" w:sz="4" w:space="0" w:color="auto"/>
              <w:bottom w:val="single" w:sz="4" w:space="0" w:color="auto"/>
              <w:right w:val="single" w:sz="4" w:space="0" w:color="auto"/>
            </w:tcBorders>
            <w:noWrap/>
            <w:vAlign w:val="center"/>
            <w:hideMark/>
          </w:tcPr>
          <w:p w14:paraId="783CF58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20.5</w:t>
            </w:r>
          </w:p>
        </w:tc>
        <w:tc>
          <w:tcPr>
            <w:tcW w:w="1170" w:type="dxa"/>
            <w:tcBorders>
              <w:top w:val="nil"/>
              <w:left w:val="nil"/>
              <w:bottom w:val="single" w:sz="4" w:space="0" w:color="auto"/>
              <w:right w:val="single" w:sz="4" w:space="0" w:color="auto"/>
            </w:tcBorders>
            <w:vAlign w:val="center"/>
            <w:hideMark/>
          </w:tcPr>
          <w:p w14:paraId="55A4CEB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245.2</w:t>
            </w:r>
          </w:p>
        </w:tc>
        <w:tc>
          <w:tcPr>
            <w:tcW w:w="1108" w:type="dxa"/>
            <w:tcBorders>
              <w:top w:val="nil"/>
              <w:left w:val="nil"/>
              <w:bottom w:val="single" w:sz="4" w:space="0" w:color="auto"/>
              <w:right w:val="single" w:sz="4" w:space="0" w:color="auto"/>
            </w:tcBorders>
            <w:noWrap/>
            <w:vAlign w:val="center"/>
            <w:hideMark/>
          </w:tcPr>
          <w:p w14:paraId="2E9BB1E1"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12.0</w:t>
            </w:r>
          </w:p>
        </w:tc>
        <w:tc>
          <w:tcPr>
            <w:tcW w:w="1412" w:type="dxa"/>
            <w:tcBorders>
              <w:top w:val="nil"/>
              <w:left w:val="nil"/>
              <w:bottom w:val="single" w:sz="4" w:space="0" w:color="auto"/>
              <w:right w:val="single" w:sz="4" w:space="0" w:color="auto"/>
            </w:tcBorders>
            <w:noWrap/>
            <w:vAlign w:val="center"/>
            <w:hideMark/>
          </w:tcPr>
          <w:p w14:paraId="2603C55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0.38</w:t>
            </w:r>
          </w:p>
        </w:tc>
        <w:tc>
          <w:tcPr>
            <w:tcW w:w="1080" w:type="dxa"/>
            <w:tcBorders>
              <w:top w:val="nil"/>
              <w:left w:val="nil"/>
              <w:bottom w:val="single" w:sz="4" w:space="0" w:color="auto"/>
              <w:right w:val="single" w:sz="4" w:space="0" w:color="auto"/>
            </w:tcBorders>
            <w:noWrap/>
            <w:vAlign w:val="center"/>
            <w:hideMark/>
          </w:tcPr>
          <w:p w14:paraId="79B5F10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2.6</w:t>
            </w:r>
          </w:p>
        </w:tc>
        <w:tc>
          <w:tcPr>
            <w:tcW w:w="1035" w:type="dxa"/>
            <w:tcBorders>
              <w:top w:val="nil"/>
              <w:left w:val="nil"/>
              <w:bottom w:val="single" w:sz="4" w:space="0" w:color="auto"/>
              <w:right w:val="single" w:sz="4" w:space="0" w:color="auto"/>
            </w:tcBorders>
            <w:noWrap/>
            <w:vAlign w:val="center"/>
            <w:hideMark/>
          </w:tcPr>
          <w:p w14:paraId="53EC2DE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224.7</w:t>
            </w:r>
          </w:p>
        </w:tc>
      </w:tr>
      <w:tr w:rsidR="00484378" w:rsidRPr="00B36A1C" w14:paraId="53E88919"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7ACF0E2C"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T8- STBFR + GM + Lime</w:t>
            </w:r>
          </w:p>
        </w:tc>
        <w:tc>
          <w:tcPr>
            <w:tcW w:w="1170" w:type="dxa"/>
            <w:tcBorders>
              <w:top w:val="nil"/>
              <w:left w:val="single" w:sz="4" w:space="0" w:color="auto"/>
              <w:bottom w:val="single" w:sz="4" w:space="0" w:color="auto"/>
              <w:right w:val="single" w:sz="4" w:space="0" w:color="auto"/>
            </w:tcBorders>
            <w:noWrap/>
            <w:vAlign w:val="center"/>
            <w:hideMark/>
          </w:tcPr>
          <w:p w14:paraId="745FA08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45.5</w:t>
            </w:r>
          </w:p>
        </w:tc>
        <w:tc>
          <w:tcPr>
            <w:tcW w:w="1170" w:type="dxa"/>
            <w:tcBorders>
              <w:top w:val="nil"/>
              <w:left w:val="nil"/>
              <w:bottom w:val="single" w:sz="4" w:space="0" w:color="auto"/>
              <w:right w:val="single" w:sz="4" w:space="0" w:color="auto"/>
            </w:tcBorders>
            <w:vAlign w:val="center"/>
            <w:hideMark/>
          </w:tcPr>
          <w:p w14:paraId="139F10BA"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250.9</w:t>
            </w:r>
          </w:p>
        </w:tc>
        <w:tc>
          <w:tcPr>
            <w:tcW w:w="1108" w:type="dxa"/>
            <w:tcBorders>
              <w:top w:val="nil"/>
              <w:left w:val="nil"/>
              <w:bottom w:val="single" w:sz="4" w:space="0" w:color="auto"/>
              <w:right w:val="single" w:sz="4" w:space="0" w:color="auto"/>
            </w:tcBorders>
            <w:noWrap/>
            <w:vAlign w:val="center"/>
            <w:hideMark/>
          </w:tcPr>
          <w:p w14:paraId="58515868"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412" w:type="dxa"/>
            <w:tcBorders>
              <w:top w:val="nil"/>
              <w:left w:val="nil"/>
              <w:bottom w:val="single" w:sz="4" w:space="0" w:color="auto"/>
              <w:right w:val="single" w:sz="4" w:space="0" w:color="auto"/>
            </w:tcBorders>
            <w:noWrap/>
            <w:vAlign w:val="center"/>
            <w:hideMark/>
          </w:tcPr>
          <w:p w14:paraId="43B96765"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0.18</w:t>
            </w:r>
          </w:p>
        </w:tc>
        <w:tc>
          <w:tcPr>
            <w:tcW w:w="1080" w:type="dxa"/>
            <w:tcBorders>
              <w:top w:val="nil"/>
              <w:left w:val="nil"/>
              <w:bottom w:val="single" w:sz="4" w:space="0" w:color="auto"/>
              <w:right w:val="single" w:sz="4" w:space="0" w:color="auto"/>
            </w:tcBorders>
            <w:noWrap/>
            <w:vAlign w:val="center"/>
            <w:hideMark/>
          </w:tcPr>
          <w:p w14:paraId="3AC070D2"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5.6</w:t>
            </w:r>
          </w:p>
        </w:tc>
        <w:tc>
          <w:tcPr>
            <w:tcW w:w="1035" w:type="dxa"/>
            <w:tcBorders>
              <w:top w:val="nil"/>
              <w:left w:val="nil"/>
              <w:bottom w:val="single" w:sz="4" w:space="0" w:color="auto"/>
              <w:right w:val="single" w:sz="4" w:space="0" w:color="auto"/>
            </w:tcBorders>
            <w:noWrap/>
            <w:vAlign w:val="center"/>
            <w:hideMark/>
          </w:tcPr>
          <w:p w14:paraId="03B50E0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205.4</w:t>
            </w:r>
          </w:p>
        </w:tc>
      </w:tr>
      <w:tr w:rsidR="00484378" w:rsidRPr="00B36A1C" w14:paraId="4575D653"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1AE05A67"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T9- STBFR + FYM + Lime</w:t>
            </w:r>
          </w:p>
        </w:tc>
        <w:tc>
          <w:tcPr>
            <w:tcW w:w="1170" w:type="dxa"/>
            <w:tcBorders>
              <w:top w:val="nil"/>
              <w:left w:val="single" w:sz="4" w:space="0" w:color="auto"/>
              <w:bottom w:val="single" w:sz="4" w:space="0" w:color="auto"/>
              <w:right w:val="single" w:sz="4" w:space="0" w:color="auto"/>
            </w:tcBorders>
            <w:noWrap/>
            <w:vAlign w:val="center"/>
            <w:hideMark/>
          </w:tcPr>
          <w:p w14:paraId="2BF8DE7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46.7</w:t>
            </w:r>
          </w:p>
        </w:tc>
        <w:tc>
          <w:tcPr>
            <w:tcW w:w="1170" w:type="dxa"/>
            <w:tcBorders>
              <w:top w:val="nil"/>
              <w:left w:val="nil"/>
              <w:bottom w:val="single" w:sz="4" w:space="0" w:color="auto"/>
              <w:right w:val="single" w:sz="4" w:space="0" w:color="auto"/>
            </w:tcBorders>
            <w:vAlign w:val="center"/>
            <w:hideMark/>
          </w:tcPr>
          <w:p w14:paraId="057C1650"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248.3</w:t>
            </w:r>
          </w:p>
        </w:tc>
        <w:tc>
          <w:tcPr>
            <w:tcW w:w="1108" w:type="dxa"/>
            <w:tcBorders>
              <w:top w:val="nil"/>
              <w:left w:val="nil"/>
              <w:bottom w:val="single" w:sz="4" w:space="0" w:color="auto"/>
              <w:right w:val="single" w:sz="4" w:space="0" w:color="auto"/>
            </w:tcBorders>
            <w:noWrap/>
            <w:vAlign w:val="center"/>
            <w:hideMark/>
          </w:tcPr>
          <w:p w14:paraId="0470B7AF"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5.3</w:t>
            </w:r>
          </w:p>
        </w:tc>
        <w:tc>
          <w:tcPr>
            <w:tcW w:w="1412" w:type="dxa"/>
            <w:tcBorders>
              <w:top w:val="nil"/>
              <w:left w:val="nil"/>
              <w:bottom w:val="single" w:sz="4" w:space="0" w:color="auto"/>
              <w:right w:val="single" w:sz="4" w:space="0" w:color="auto"/>
            </w:tcBorders>
            <w:noWrap/>
            <w:vAlign w:val="center"/>
            <w:hideMark/>
          </w:tcPr>
          <w:p w14:paraId="73436606"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0.17</w:t>
            </w:r>
          </w:p>
        </w:tc>
        <w:tc>
          <w:tcPr>
            <w:tcW w:w="1080" w:type="dxa"/>
            <w:tcBorders>
              <w:top w:val="nil"/>
              <w:left w:val="nil"/>
              <w:bottom w:val="single" w:sz="4" w:space="0" w:color="auto"/>
              <w:right w:val="single" w:sz="4" w:space="0" w:color="auto"/>
            </w:tcBorders>
            <w:noWrap/>
            <w:vAlign w:val="center"/>
            <w:hideMark/>
          </w:tcPr>
          <w:p w14:paraId="7BADEFE2"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5.8</w:t>
            </w:r>
          </w:p>
        </w:tc>
        <w:tc>
          <w:tcPr>
            <w:tcW w:w="1035" w:type="dxa"/>
            <w:tcBorders>
              <w:top w:val="nil"/>
              <w:left w:val="nil"/>
              <w:bottom w:val="single" w:sz="4" w:space="0" w:color="auto"/>
              <w:right w:val="single" w:sz="4" w:space="0" w:color="auto"/>
            </w:tcBorders>
            <w:noWrap/>
            <w:vAlign w:val="center"/>
            <w:hideMark/>
          </w:tcPr>
          <w:p w14:paraId="5AD8AD1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201.6</w:t>
            </w:r>
          </w:p>
        </w:tc>
      </w:tr>
      <w:tr w:rsidR="00484378" w:rsidRPr="00B36A1C" w14:paraId="6A5562EF"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54AC0F1C"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T10- STBFR + GM + FYM + Lime</w:t>
            </w:r>
          </w:p>
        </w:tc>
        <w:tc>
          <w:tcPr>
            <w:tcW w:w="1170" w:type="dxa"/>
            <w:tcBorders>
              <w:top w:val="nil"/>
              <w:left w:val="single" w:sz="4" w:space="0" w:color="auto"/>
              <w:bottom w:val="single" w:sz="4" w:space="0" w:color="auto"/>
              <w:right w:val="single" w:sz="4" w:space="0" w:color="auto"/>
            </w:tcBorders>
            <w:noWrap/>
            <w:vAlign w:val="center"/>
            <w:hideMark/>
          </w:tcPr>
          <w:p w14:paraId="67CC80A8"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47.0</w:t>
            </w:r>
          </w:p>
        </w:tc>
        <w:tc>
          <w:tcPr>
            <w:tcW w:w="1170" w:type="dxa"/>
            <w:tcBorders>
              <w:top w:val="nil"/>
              <w:left w:val="nil"/>
              <w:bottom w:val="single" w:sz="4" w:space="0" w:color="auto"/>
              <w:right w:val="single" w:sz="4" w:space="0" w:color="auto"/>
            </w:tcBorders>
            <w:vAlign w:val="center"/>
            <w:hideMark/>
          </w:tcPr>
          <w:p w14:paraId="2B70A4E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259.3</w:t>
            </w:r>
          </w:p>
        </w:tc>
        <w:tc>
          <w:tcPr>
            <w:tcW w:w="1108" w:type="dxa"/>
            <w:tcBorders>
              <w:top w:val="nil"/>
              <w:left w:val="nil"/>
              <w:bottom w:val="single" w:sz="4" w:space="0" w:color="auto"/>
              <w:right w:val="single" w:sz="4" w:space="0" w:color="auto"/>
            </w:tcBorders>
            <w:noWrap/>
            <w:vAlign w:val="center"/>
            <w:hideMark/>
          </w:tcPr>
          <w:p w14:paraId="1B7396D4"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412" w:type="dxa"/>
            <w:tcBorders>
              <w:top w:val="nil"/>
              <w:left w:val="nil"/>
              <w:bottom w:val="single" w:sz="4" w:space="0" w:color="auto"/>
              <w:right w:val="single" w:sz="4" w:space="0" w:color="auto"/>
            </w:tcBorders>
            <w:noWrap/>
            <w:vAlign w:val="center"/>
            <w:hideMark/>
          </w:tcPr>
          <w:p w14:paraId="3C6DF31F"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0.18</w:t>
            </w:r>
          </w:p>
        </w:tc>
        <w:tc>
          <w:tcPr>
            <w:tcW w:w="1080" w:type="dxa"/>
            <w:tcBorders>
              <w:top w:val="nil"/>
              <w:left w:val="nil"/>
              <w:bottom w:val="single" w:sz="4" w:space="0" w:color="auto"/>
              <w:right w:val="single" w:sz="4" w:space="0" w:color="auto"/>
            </w:tcBorders>
            <w:noWrap/>
            <w:vAlign w:val="center"/>
            <w:hideMark/>
          </w:tcPr>
          <w:p w14:paraId="6114B74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5.5</w:t>
            </w:r>
          </w:p>
        </w:tc>
        <w:tc>
          <w:tcPr>
            <w:tcW w:w="1035" w:type="dxa"/>
            <w:tcBorders>
              <w:top w:val="nil"/>
              <w:left w:val="nil"/>
              <w:bottom w:val="single" w:sz="4" w:space="0" w:color="auto"/>
              <w:right w:val="single" w:sz="4" w:space="0" w:color="auto"/>
            </w:tcBorders>
            <w:noWrap/>
            <w:vAlign w:val="center"/>
            <w:hideMark/>
          </w:tcPr>
          <w:p w14:paraId="72C77EB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212.3</w:t>
            </w:r>
          </w:p>
        </w:tc>
      </w:tr>
      <w:tr w:rsidR="00484378" w:rsidRPr="00B36A1C" w14:paraId="03427941"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68C16208"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T11- STBFR + GM + FYM + S</w:t>
            </w:r>
          </w:p>
        </w:tc>
        <w:tc>
          <w:tcPr>
            <w:tcW w:w="1170" w:type="dxa"/>
            <w:tcBorders>
              <w:top w:val="nil"/>
              <w:left w:val="single" w:sz="4" w:space="0" w:color="auto"/>
              <w:bottom w:val="single" w:sz="4" w:space="0" w:color="auto"/>
              <w:right w:val="single" w:sz="4" w:space="0" w:color="auto"/>
            </w:tcBorders>
            <w:noWrap/>
            <w:vAlign w:val="center"/>
            <w:hideMark/>
          </w:tcPr>
          <w:p w14:paraId="5DDACCB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20.5</w:t>
            </w:r>
          </w:p>
        </w:tc>
        <w:tc>
          <w:tcPr>
            <w:tcW w:w="1170" w:type="dxa"/>
            <w:tcBorders>
              <w:top w:val="nil"/>
              <w:left w:val="nil"/>
              <w:bottom w:val="single" w:sz="4" w:space="0" w:color="auto"/>
              <w:right w:val="single" w:sz="4" w:space="0" w:color="auto"/>
            </w:tcBorders>
            <w:vAlign w:val="center"/>
            <w:hideMark/>
          </w:tcPr>
          <w:p w14:paraId="2DED1D7E"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260.9</w:t>
            </w:r>
          </w:p>
        </w:tc>
        <w:tc>
          <w:tcPr>
            <w:tcW w:w="1108" w:type="dxa"/>
            <w:tcBorders>
              <w:top w:val="nil"/>
              <w:left w:val="nil"/>
              <w:bottom w:val="single" w:sz="4" w:space="0" w:color="auto"/>
              <w:right w:val="single" w:sz="4" w:space="0" w:color="auto"/>
            </w:tcBorders>
            <w:noWrap/>
            <w:vAlign w:val="center"/>
            <w:hideMark/>
          </w:tcPr>
          <w:p w14:paraId="7C913267"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12.7</w:t>
            </w:r>
          </w:p>
        </w:tc>
        <w:tc>
          <w:tcPr>
            <w:tcW w:w="1412" w:type="dxa"/>
            <w:tcBorders>
              <w:top w:val="nil"/>
              <w:left w:val="nil"/>
              <w:bottom w:val="single" w:sz="4" w:space="0" w:color="auto"/>
              <w:right w:val="single" w:sz="4" w:space="0" w:color="auto"/>
            </w:tcBorders>
            <w:noWrap/>
            <w:vAlign w:val="center"/>
            <w:hideMark/>
          </w:tcPr>
          <w:p w14:paraId="69478C22"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0.42</w:t>
            </w:r>
          </w:p>
        </w:tc>
        <w:tc>
          <w:tcPr>
            <w:tcW w:w="1080" w:type="dxa"/>
            <w:tcBorders>
              <w:top w:val="nil"/>
              <w:left w:val="nil"/>
              <w:bottom w:val="single" w:sz="4" w:space="0" w:color="auto"/>
              <w:right w:val="single" w:sz="4" w:space="0" w:color="auto"/>
            </w:tcBorders>
            <w:noWrap/>
            <w:vAlign w:val="center"/>
            <w:hideMark/>
          </w:tcPr>
          <w:p w14:paraId="78D7D1C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2.4</w:t>
            </w:r>
          </w:p>
        </w:tc>
        <w:tc>
          <w:tcPr>
            <w:tcW w:w="1035" w:type="dxa"/>
            <w:tcBorders>
              <w:top w:val="nil"/>
              <w:left w:val="nil"/>
              <w:bottom w:val="single" w:sz="4" w:space="0" w:color="auto"/>
              <w:right w:val="single" w:sz="4" w:space="0" w:color="auto"/>
            </w:tcBorders>
            <w:noWrap/>
            <w:vAlign w:val="center"/>
            <w:hideMark/>
          </w:tcPr>
          <w:p w14:paraId="0A97F945"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240.4</w:t>
            </w:r>
          </w:p>
        </w:tc>
      </w:tr>
      <w:tr w:rsidR="00484378" w:rsidRPr="00B36A1C" w14:paraId="16F4181B" w14:textId="77777777" w:rsidTr="00BF08E2">
        <w:trPr>
          <w:trHeight w:val="330"/>
        </w:trPr>
        <w:tc>
          <w:tcPr>
            <w:tcW w:w="2174" w:type="dxa"/>
            <w:tcBorders>
              <w:top w:val="nil"/>
              <w:left w:val="single" w:sz="8" w:space="0" w:color="000000"/>
              <w:bottom w:val="single" w:sz="8" w:space="0" w:color="000000"/>
              <w:right w:val="single" w:sz="8" w:space="0" w:color="000000"/>
            </w:tcBorders>
            <w:noWrap/>
            <w:vAlign w:val="center"/>
            <w:hideMark/>
          </w:tcPr>
          <w:p w14:paraId="28325408" w14:textId="77777777" w:rsidR="00484378" w:rsidRPr="00B36A1C" w:rsidRDefault="00484378" w:rsidP="00F23FC9">
            <w:pPr>
              <w:spacing w:after="0" w:line="240" w:lineRule="auto"/>
              <w:rPr>
                <w:rFonts w:ascii="Arial" w:eastAsia="Times New Roman" w:hAnsi="Arial" w:cs="Arial"/>
                <w:sz w:val="20"/>
                <w:szCs w:val="20"/>
              </w:rPr>
            </w:pPr>
            <w:r w:rsidRPr="00B36A1C">
              <w:rPr>
                <w:rFonts w:ascii="Arial" w:eastAsia="Times New Roman" w:hAnsi="Arial" w:cs="Arial"/>
                <w:sz w:val="20"/>
                <w:szCs w:val="20"/>
                <w:lang w:val="en-IN"/>
              </w:rPr>
              <w:t>T12- STBFR + GM + FYM + BF</w:t>
            </w:r>
          </w:p>
        </w:tc>
        <w:tc>
          <w:tcPr>
            <w:tcW w:w="1170" w:type="dxa"/>
            <w:tcBorders>
              <w:top w:val="nil"/>
              <w:left w:val="single" w:sz="4" w:space="0" w:color="auto"/>
              <w:bottom w:val="single" w:sz="4" w:space="0" w:color="auto"/>
              <w:right w:val="single" w:sz="4" w:space="0" w:color="auto"/>
            </w:tcBorders>
            <w:noWrap/>
            <w:vAlign w:val="center"/>
            <w:hideMark/>
          </w:tcPr>
          <w:p w14:paraId="2DCE9133"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21.2</w:t>
            </w:r>
          </w:p>
        </w:tc>
        <w:tc>
          <w:tcPr>
            <w:tcW w:w="1170" w:type="dxa"/>
            <w:tcBorders>
              <w:top w:val="nil"/>
              <w:left w:val="nil"/>
              <w:bottom w:val="single" w:sz="4" w:space="0" w:color="auto"/>
              <w:right w:val="single" w:sz="4" w:space="0" w:color="auto"/>
            </w:tcBorders>
            <w:vAlign w:val="center"/>
            <w:hideMark/>
          </w:tcPr>
          <w:p w14:paraId="68A5174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lang w:val="en-IN"/>
              </w:rPr>
              <w:t>272.1</w:t>
            </w:r>
          </w:p>
        </w:tc>
        <w:tc>
          <w:tcPr>
            <w:tcW w:w="1108" w:type="dxa"/>
            <w:tcBorders>
              <w:top w:val="nil"/>
              <w:left w:val="nil"/>
              <w:bottom w:val="single" w:sz="4" w:space="0" w:color="auto"/>
              <w:right w:val="single" w:sz="4" w:space="0" w:color="auto"/>
            </w:tcBorders>
            <w:noWrap/>
            <w:vAlign w:val="center"/>
            <w:hideMark/>
          </w:tcPr>
          <w:p w14:paraId="207B297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12.8</w:t>
            </w:r>
          </w:p>
        </w:tc>
        <w:tc>
          <w:tcPr>
            <w:tcW w:w="1412" w:type="dxa"/>
            <w:tcBorders>
              <w:top w:val="nil"/>
              <w:left w:val="nil"/>
              <w:bottom w:val="single" w:sz="4" w:space="0" w:color="auto"/>
              <w:right w:val="single" w:sz="4" w:space="0" w:color="auto"/>
            </w:tcBorders>
            <w:noWrap/>
            <w:vAlign w:val="center"/>
            <w:hideMark/>
          </w:tcPr>
          <w:p w14:paraId="2FF324FB"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0.43</w:t>
            </w:r>
          </w:p>
        </w:tc>
        <w:tc>
          <w:tcPr>
            <w:tcW w:w="1080" w:type="dxa"/>
            <w:tcBorders>
              <w:top w:val="nil"/>
              <w:left w:val="nil"/>
              <w:bottom w:val="single" w:sz="4" w:space="0" w:color="auto"/>
              <w:right w:val="single" w:sz="4" w:space="0" w:color="auto"/>
            </w:tcBorders>
            <w:noWrap/>
            <w:vAlign w:val="center"/>
            <w:hideMark/>
          </w:tcPr>
          <w:p w14:paraId="1DDE8E19"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2.3</w:t>
            </w:r>
          </w:p>
        </w:tc>
        <w:tc>
          <w:tcPr>
            <w:tcW w:w="1035" w:type="dxa"/>
            <w:tcBorders>
              <w:top w:val="nil"/>
              <w:left w:val="nil"/>
              <w:bottom w:val="single" w:sz="4" w:space="0" w:color="auto"/>
              <w:right w:val="single" w:sz="4" w:space="0" w:color="auto"/>
            </w:tcBorders>
            <w:noWrap/>
            <w:vAlign w:val="center"/>
            <w:hideMark/>
          </w:tcPr>
          <w:p w14:paraId="7DFE118C" w14:textId="77777777" w:rsidR="00484378" w:rsidRPr="00B36A1C" w:rsidRDefault="00484378" w:rsidP="00F23FC9">
            <w:pPr>
              <w:spacing w:after="0" w:line="240" w:lineRule="auto"/>
              <w:jc w:val="center"/>
              <w:rPr>
                <w:rFonts w:ascii="Arial" w:eastAsia="Times New Roman" w:hAnsi="Arial" w:cs="Arial"/>
                <w:sz w:val="20"/>
                <w:szCs w:val="20"/>
              </w:rPr>
            </w:pPr>
            <w:r w:rsidRPr="00B36A1C">
              <w:rPr>
                <w:rFonts w:ascii="Arial" w:eastAsia="Times New Roman" w:hAnsi="Arial" w:cs="Arial"/>
                <w:sz w:val="20"/>
                <w:szCs w:val="20"/>
              </w:rPr>
              <w:t>250.9</w:t>
            </w:r>
          </w:p>
        </w:tc>
      </w:tr>
    </w:tbl>
    <w:p w14:paraId="2D4D7B2F" w14:textId="77777777" w:rsidR="00484378" w:rsidRPr="00B36A1C" w:rsidRDefault="00484378" w:rsidP="00484378">
      <w:pPr>
        <w:spacing w:line="240" w:lineRule="auto"/>
        <w:jc w:val="both"/>
        <w:rPr>
          <w:rFonts w:ascii="Arial" w:hAnsi="Arial" w:cs="Arial"/>
          <w:bCs/>
          <w:sz w:val="20"/>
          <w:szCs w:val="20"/>
        </w:rPr>
      </w:pPr>
      <w:r w:rsidRPr="00B36A1C">
        <w:rPr>
          <w:rFonts w:ascii="Arial" w:hAnsi="Arial" w:cs="Arial"/>
          <w:sz w:val="20"/>
          <w:szCs w:val="20"/>
        </w:rPr>
        <w:t>STBFR</w:t>
      </w:r>
      <w:r w:rsidRPr="00B36A1C">
        <w:rPr>
          <w:rFonts w:ascii="Arial" w:hAnsi="Arial" w:cs="Arial"/>
          <w:b/>
          <w:bCs/>
          <w:sz w:val="20"/>
          <w:szCs w:val="20"/>
        </w:rPr>
        <w:t>-</w:t>
      </w:r>
      <w:r w:rsidRPr="00B36A1C">
        <w:rPr>
          <w:rFonts w:ascii="Arial" w:hAnsi="Arial" w:cs="Arial"/>
          <w:sz w:val="20"/>
          <w:szCs w:val="20"/>
        </w:rPr>
        <w:t xml:space="preserve"> Soil </w:t>
      </w:r>
      <w:proofErr w:type="gramStart"/>
      <w:r w:rsidRPr="00B36A1C">
        <w:rPr>
          <w:rFonts w:ascii="Arial" w:hAnsi="Arial" w:cs="Arial"/>
          <w:sz w:val="20"/>
          <w:szCs w:val="20"/>
        </w:rPr>
        <w:t>test based</w:t>
      </w:r>
      <w:proofErr w:type="gramEnd"/>
      <w:r w:rsidRPr="00B36A1C">
        <w:rPr>
          <w:rFonts w:ascii="Arial" w:hAnsi="Arial" w:cs="Arial"/>
          <w:sz w:val="20"/>
          <w:szCs w:val="20"/>
        </w:rPr>
        <w:t xml:space="preserve"> fertilizer recommendation, GM- Green manure with cowpea, FYM- Farm yard manure @ 5 t</w:t>
      </w:r>
      <w:r w:rsidRPr="00B36A1C">
        <w:rPr>
          <w:rFonts w:ascii="Arial" w:hAnsi="Arial" w:cs="Arial"/>
          <w:bCs/>
          <w:sz w:val="20"/>
          <w:szCs w:val="20"/>
        </w:rPr>
        <w:t>ha</w:t>
      </w:r>
      <w:r w:rsidRPr="00B36A1C">
        <w:rPr>
          <w:rFonts w:ascii="Arial" w:hAnsi="Arial" w:cs="Arial"/>
          <w:bCs/>
          <w:sz w:val="20"/>
          <w:szCs w:val="20"/>
          <w:vertAlign w:val="superscript"/>
        </w:rPr>
        <w:t>-1</w:t>
      </w:r>
      <w:r w:rsidRPr="00B36A1C">
        <w:rPr>
          <w:rFonts w:ascii="Arial" w:hAnsi="Arial" w:cs="Arial"/>
          <w:sz w:val="20"/>
          <w:szCs w:val="20"/>
        </w:rPr>
        <w:t xml:space="preserve">, Lime- Lime @ 0.1 LR, S- Sulphur @ 30 </w:t>
      </w:r>
      <w:r w:rsidRPr="00B36A1C">
        <w:rPr>
          <w:rFonts w:ascii="Arial" w:hAnsi="Arial" w:cs="Arial"/>
          <w:bCs/>
          <w:sz w:val="20"/>
          <w:szCs w:val="20"/>
        </w:rPr>
        <w:t>kg ha</w:t>
      </w:r>
      <w:r w:rsidRPr="00B36A1C">
        <w:rPr>
          <w:rFonts w:ascii="Arial" w:hAnsi="Arial" w:cs="Arial"/>
          <w:bCs/>
          <w:sz w:val="20"/>
          <w:szCs w:val="20"/>
          <w:vertAlign w:val="superscript"/>
        </w:rPr>
        <w:t>-1</w:t>
      </w:r>
      <w:r w:rsidRPr="00B36A1C">
        <w:rPr>
          <w:rFonts w:ascii="Arial" w:hAnsi="Arial" w:cs="Arial"/>
          <w:bCs/>
          <w:sz w:val="20"/>
          <w:szCs w:val="20"/>
        </w:rPr>
        <w:t xml:space="preserve">, </w:t>
      </w:r>
      <w:r w:rsidRPr="00B36A1C">
        <w:rPr>
          <w:rFonts w:ascii="Arial" w:hAnsi="Arial" w:cs="Arial"/>
          <w:sz w:val="20"/>
          <w:szCs w:val="20"/>
        </w:rPr>
        <w:t xml:space="preserve">BF– Biofertilizer </w:t>
      </w:r>
      <w:r w:rsidRPr="00B36A1C">
        <w:rPr>
          <w:rFonts w:ascii="Arial" w:hAnsi="Arial" w:cs="Arial"/>
          <w:bCs/>
          <w:sz w:val="20"/>
          <w:szCs w:val="20"/>
        </w:rPr>
        <w:t>(</w:t>
      </w:r>
      <w:proofErr w:type="spellStart"/>
      <w:r w:rsidRPr="00B36A1C">
        <w:rPr>
          <w:rFonts w:ascii="Arial" w:hAnsi="Arial" w:cs="Arial"/>
          <w:bCs/>
          <w:i/>
          <w:iCs/>
          <w:sz w:val="20"/>
          <w:szCs w:val="20"/>
        </w:rPr>
        <w:t>Azotobacter</w:t>
      </w:r>
      <w:proofErr w:type="spellEnd"/>
      <w:r w:rsidRPr="00B36A1C">
        <w:rPr>
          <w:rFonts w:ascii="Arial" w:hAnsi="Arial" w:cs="Arial"/>
          <w:bCs/>
          <w:i/>
          <w:iCs/>
          <w:sz w:val="20"/>
          <w:szCs w:val="20"/>
        </w:rPr>
        <w:t xml:space="preserve"> </w:t>
      </w:r>
      <w:r w:rsidRPr="00B36A1C">
        <w:rPr>
          <w:rFonts w:ascii="Arial" w:hAnsi="Arial" w:cs="Arial"/>
          <w:bCs/>
          <w:sz w:val="20"/>
          <w:szCs w:val="20"/>
        </w:rPr>
        <w:t xml:space="preserve">+ </w:t>
      </w:r>
      <w:proofErr w:type="spellStart"/>
      <w:r w:rsidRPr="00B36A1C">
        <w:rPr>
          <w:rFonts w:ascii="Arial" w:hAnsi="Arial" w:cs="Arial"/>
          <w:bCs/>
          <w:i/>
          <w:iCs/>
          <w:sz w:val="20"/>
          <w:szCs w:val="20"/>
        </w:rPr>
        <w:t>Azospirillum</w:t>
      </w:r>
      <w:proofErr w:type="spellEnd"/>
      <w:r w:rsidRPr="00B36A1C">
        <w:rPr>
          <w:rFonts w:ascii="Arial" w:hAnsi="Arial" w:cs="Arial"/>
          <w:bCs/>
          <w:i/>
          <w:iCs/>
          <w:sz w:val="20"/>
          <w:szCs w:val="20"/>
        </w:rPr>
        <w:t xml:space="preserve"> </w:t>
      </w:r>
      <w:r w:rsidRPr="00B36A1C">
        <w:rPr>
          <w:rFonts w:ascii="Arial" w:hAnsi="Arial" w:cs="Arial"/>
          <w:bCs/>
          <w:sz w:val="20"/>
          <w:szCs w:val="20"/>
        </w:rPr>
        <w:t>+ PSB @ 4 kg ha</w:t>
      </w:r>
      <w:r w:rsidRPr="00B36A1C">
        <w:rPr>
          <w:rFonts w:ascii="Arial" w:hAnsi="Arial" w:cs="Arial"/>
          <w:bCs/>
          <w:sz w:val="20"/>
          <w:szCs w:val="20"/>
          <w:vertAlign w:val="superscript"/>
        </w:rPr>
        <w:t>-1</w:t>
      </w:r>
      <w:r w:rsidRPr="00B36A1C">
        <w:rPr>
          <w:rFonts w:ascii="Arial" w:hAnsi="Arial" w:cs="Arial"/>
          <w:bCs/>
          <w:sz w:val="20"/>
          <w:szCs w:val="20"/>
        </w:rPr>
        <w:t xml:space="preserve"> each)</w:t>
      </w:r>
    </w:p>
    <w:p w14:paraId="107B7678" w14:textId="77777777" w:rsidR="00B9404F" w:rsidRPr="00B36A1C" w:rsidRDefault="00B9404F" w:rsidP="00223962">
      <w:pPr>
        <w:spacing w:after="0" w:line="240" w:lineRule="auto"/>
        <w:jc w:val="both"/>
        <w:rPr>
          <w:rFonts w:ascii="Arial" w:hAnsi="Arial" w:cs="Arial"/>
          <w:b/>
          <w:bCs/>
          <w:szCs w:val="22"/>
        </w:rPr>
      </w:pPr>
      <w:r w:rsidRPr="00B36A1C">
        <w:rPr>
          <w:rFonts w:ascii="Arial" w:hAnsi="Arial" w:cs="Arial"/>
          <w:b/>
          <w:bCs/>
          <w:szCs w:val="22"/>
        </w:rPr>
        <w:t>4. CONCLUSION</w:t>
      </w:r>
    </w:p>
    <w:p w14:paraId="6B7C9C81" w14:textId="77777777" w:rsidR="005E7B45" w:rsidRPr="00B36A1C" w:rsidRDefault="005E7B45" w:rsidP="00223962">
      <w:pPr>
        <w:spacing w:after="0" w:line="240" w:lineRule="auto"/>
        <w:jc w:val="both"/>
        <w:rPr>
          <w:rFonts w:ascii="Arial" w:hAnsi="Arial" w:cs="Arial"/>
          <w:sz w:val="20"/>
          <w:szCs w:val="20"/>
        </w:rPr>
      </w:pPr>
    </w:p>
    <w:p w14:paraId="268CE292" w14:textId="77777777" w:rsidR="00B9404F" w:rsidRPr="00B36A1C" w:rsidRDefault="00195248" w:rsidP="00223962">
      <w:pPr>
        <w:spacing w:after="0" w:line="240" w:lineRule="auto"/>
        <w:jc w:val="both"/>
        <w:rPr>
          <w:rFonts w:ascii="Arial" w:hAnsi="Arial" w:cs="Arial"/>
          <w:sz w:val="20"/>
          <w:szCs w:val="20"/>
        </w:rPr>
      </w:pPr>
      <w:r w:rsidRPr="00B36A1C">
        <w:rPr>
          <w:rFonts w:ascii="Arial" w:hAnsi="Arial" w:cs="Arial"/>
          <w:sz w:val="20"/>
          <w:szCs w:val="20"/>
        </w:rPr>
        <w:t xml:space="preserve">Mixing good quality organic matter with biofertilizers has enhanced the biological properties of the soil, which is considered a good indicator of </w:t>
      </w:r>
      <w:proofErr w:type="gramStart"/>
      <w:r w:rsidRPr="00B36A1C">
        <w:rPr>
          <w:rFonts w:ascii="Arial" w:hAnsi="Arial" w:cs="Arial"/>
          <w:sz w:val="20"/>
          <w:szCs w:val="20"/>
        </w:rPr>
        <w:t>high quality</w:t>
      </w:r>
      <w:proofErr w:type="gramEnd"/>
      <w:r w:rsidRPr="00B36A1C">
        <w:rPr>
          <w:rFonts w:ascii="Arial" w:hAnsi="Arial" w:cs="Arial"/>
          <w:sz w:val="20"/>
          <w:szCs w:val="20"/>
        </w:rPr>
        <w:t xml:space="preserve"> soil. Inorganic fertilizers provide adequate nutrients needed for initial growth and development of crops, but the use of inorganic fertilizers also poses several hazards to the soil and environment. Therefore, inte</w:t>
      </w:r>
      <w:r w:rsidR="00EB606A" w:rsidRPr="00B36A1C">
        <w:rPr>
          <w:rFonts w:ascii="Arial" w:hAnsi="Arial" w:cs="Arial"/>
          <w:sz w:val="20"/>
          <w:szCs w:val="20"/>
        </w:rPr>
        <w:t xml:space="preserve">grated </w:t>
      </w:r>
      <w:r w:rsidR="00B9404F" w:rsidRPr="00B36A1C">
        <w:rPr>
          <w:rFonts w:ascii="Arial" w:hAnsi="Arial" w:cs="Arial"/>
          <w:sz w:val="20"/>
          <w:szCs w:val="20"/>
        </w:rPr>
        <w:t xml:space="preserve">nutrient </w:t>
      </w:r>
      <w:r w:rsidRPr="00B36A1C">
        <w:rPr>
          <w:rFonts w:ascii="Arial" w:hAnsi="Arial" w:cs="Arial"/>
          <w:sz w:val="20"/>
          <w:szCs w:val="20"/>
        </w:rPr>
        <w:t xml:space="preserve">management </w:t>
      </w:r>
      <w:r w:rsidRPr="00B36A1C">
        <w:rPr>
          <w:rFonts w:ascii="Arial" w:hAnsi="Arial" w:cs="Arial"/>
          <w:sz w:val="20"/>
          <w:szCs w:val="20"/>
        </w:rPr>
        <w:lastRenderedPageBreak/>
        <w:t>practices should be ado</w:t>
      </w:r>
      <w:r w:rsidR="00B9404F" w:rsidRPr="00B36A1C">
        <w:rPr>
          <w:rFonts w:ascii="Arial" w:hAnsi="Arial" w:cs="Arial"/>
          <w:sz w:val="20"/>
          <w:szCs w:val="20"/>
        </w:rPr>
        <w:t>pted to help maintain the soil</w:t>
      </w:r>
      <w:r w:rsidRPr="00B36A1C">
        <w:rPr>
          <w:rFonts w:ascii="Arial" w:hAnsi="Arial" w:cs="Arial"/>
          <w:sz w:val="20"/>
          <w:szCs w:val="20"/>
        </w:rPr>
        <w:t xml:space="preserve"> productivity in the long run</w:t>
      </w:r>
      <w:r w:rsidR="00B9404F" w:rsidRPr="00B36A1C">
        <w:rPr>
          <w:rFonts w:ascii="Arial" w:hAnsi="Arial" w:cs="Arial"/>
          <w:sz w:val="20"/>
          <w:szCs w:val="20"/>
        </w:rPr>
        <w:t>. Considering all biological properties and energy indices in this study, the application of STBFR + Green manure with cowpea + FYM @ 5 t ha</w:t>
      </w:r>
      <w:r w:rsidR="00B9404F" w:rsidRPr="00B36A1C">
        <w:rPr>
          <w:rFonts w:ascii="Arial" w:hAnsi="Arial" w:cs="Arial"/>
          <w:sz w:val="20"/>
          <w:szCs w:val="20"/>
          <w:vertAlign w:val="superscript"/>
        </w:rPr>
        <w:t>-1</w:t>
      </w:r>
      <w:r w:rsidR="00B9404F" w:rsidRPr="00B36A1C">
        <w:rPr>
          <w:rFonts w:ascii="Arial" w:hAnsi="Arial" w:cs="Arial"/>
          <w:sz w:val="20"/>
          <w:szCs w:val="20"/>
        </w:rPr>
        <w:t xml:space="preserve"> + Biofertilizers (</w:t>
      </w:r>
      <w:proofErr w:type="spellStart"/>
      <w:r w:rsidR="00B9404F" w:rsidRPr="00B36A1C">
        <w:rPr>
          <w:rFonts w:ascii="Arial" w:hAnsi="Arial" w:cs="Arial"/>
          <w:i/>
          <w:iCs/>
          <w:sz w:val="20"/>
          <w:szCs w:val="20"/>
        </w:rPr>
        <w:t>Azotobacter</w:t>
      </w:r>
      <w:proofErr w:type="spellEnd"/>
      <w:r w:rsidR="00B9404F" w:rsidRPr="00B36A1C">
        <w:rPr>
          <w:rFonts w:ascii="Arial" w:hAnsi="Arial" w:cs="Arial"/>
          <w:sz w:val="20"/>
          <w:szCs w:val="20"/>
        </w:rPr>
        <w:t xml:space="preserve"> + </w:t>
      </w:r>
      <w:proofErr w:type="spellStart"/>
      <w:r w:rsidR="00B9404F" w:rsidRPr="00B36A1C">
        <w:rPr>
          <w:rFonts w:ascii="Arial" w:hAnsi="Arial" w:cs="Arial"/>
          <w:i/>
          <w:iCs/>
          <w:sz w:val="20"/>
          <w:szCs w:val="20"/>
        </w:rPr>
        <w:t>Azospirillum</w:t>
      </w:r>
      <w:proofErr w:type="spellEnd"/>
      <w:r w:rsidR="00B9404F" w:rsidRPr="00B36A1C">
        <w:rPr>
          <w:rFonts w:ascii="Arial" w:hAnsi="Arial" w:cs="Arial"/>
          <w:sz w:val="20"/>
          <w:szCs w:val="20"/>
        </w:rPr>
        <w:t xml:space="preserve"> + PSB @ 4 kg ha</w:t>
      </w:r>
      <w:r w:rsidR="00B9404F" w:rsidRPr="00B36A1C">
        <w:rPr>
          <w:rFonts w:ascii="Arial" w:hAnsi="Arial" w:cs="Arial"/>
          <w:sz w:val="20"/>
          <w:szCs w:val="20"/>
          <w:vertAlign w:val="superscript"/>
        </w:rPr>
        <w:t>-1</w:t>
      </w:r>
      <w:r w:rsidR="00B9404F" w:rsidRPr="00B36A1C">
        <w:rPr>
          <w:rFonts w:ascii="Arial" w:hAnsi="Arial" w:cs="Arial"/>
          <w:sz w:val="20"/>
          <w:szCs w:val="20"/>
        </w:rPr>
        <w:t xml:space="preserve"> each</w:t>
      </w:r>
      <w:r w:rsidR="0013615F" w:rsidRPr="00B36A1C">
        <w:rPr>
          <w:rFonts w:ascii="Arial" w:hAnsi="Arial" w:cs="Arial"/>
          <w:sz w:val="20"/>
          <w:szCs w:val="20"/>
        </w:rPr>
        <w:t>)</w:t>
      </w:r>
      <w:r w:rsidR="00B9404F" w:rsidRPr="00B36A1C">
        <w:rPr>
          <w:rFonts w:ascii="Arial" w:hAnsi="Arial" w:cs="Arial"/>
          <w:sz w:val="20"/>
          <w:szCs w:val="20"/>
        </w:rPr>
        <w:t xml:space="preserve"> was the most efficient integrated nutrient management option for the maize-</w:t>
      </w:r>
      <w:proofErr w:type="spellStart"/>
      <w:r w:rsidR="00B9404F" w:rsidRPr="00B36A1C">
        <w:rPr>
          <w:rFonts w:ascii="Arial" w:hAnsi="Arial" w:cs="Arial"/>
          <w:sz w:val="20"/>
          <w:szCs w:val="20"/>
        </w:rPr>
        <w:t>toria</w:t>
      </w:r>
      <w:proofErr w:type="spellEnd"/>
      <w:r w:rsidR="00B9404F" w:rsidRPr="00B36A1C">
        <w:rPr>
          <w:rFonts w:ascii="Arial" w:hAnsi="Arial" w:cs="Arial"/>
          <w:sz w:val="20"/>
          <w:szCs w:val="20"/>
        </w:rPr>
        <w:t xml:space="preserve"> cropping system in the experimental region. </w:t>
      </w:r>
    </w:p>
    <w:p w14:paraId="05DCCF7D" w14:textId="77777777" w:rsidR="00F64DCA" w:rsidRPr="00B36A1C" w:rsidRDefault="00F64DCA" w:rsidP="00223962">
      <w:pPr>
        <w:spacing w:after="0" w:line="240" w:lineRule="auto"/>
        <w:jc w:val="both"/>
        <w:rPr>
          <w:rFonts w:ascii="Arial" w:hAnsi="Arial" w:cs="Arial"/>
          <w:sz w:val="20"/>
          <w:szCs w:val="20"/>
        </w:rPr>
      </w:pPr>
    </w:p>
    <w:p w14:paraId="031096BA" w14:textId="77777777" w:rsidR="00F64DCA" w:rsidRPr="00B36A1C" w:rsidRDefault="00F64DCA" w:rsidP="00F64DCA">
      <w:pPr>
        <w:spacing w:after="0" w:line="240" w:lineRule="auto"/>
        <w:jc w:val="both"/>
        <w:rPr>
          <w:rFonts w:ascii="Arial" w:hAnsi="Arial" w:cs="Arial"/>
          <w:b/>
          <w:bCs/>
          <w:szCs w:val="22"/>
        </w:rPr>
      </w:pPr>
      <w:r w:rsidRPr="00B36A1C">
        <w:rPr>
          <w:rFonts w:ascii="Arial" w:hAnsi="Arial" w:cs="Arial"/>
          <w:b/>
          <w:bCs/>
          <w:szCs w:val="22"/>
        </w:rPr>
        <w:t>Disclaimer (Artificial Intelligence)</w:t>
      </w:r>
    </w:p>
    <w:p w14:paraId="2E730668" w14:textId="77777777" w:rsidR="005E7B45" w:rsidRPr="00B36A1C" w:rsidRDefault="005E7B45" w:rsidP="00F64DCA">
      <w:pPr>
        <w:spacing w:after="0" w:line="240" w:lineRule="auto"/>
        <w:jc w:val="both"/>
        <w:rPr>
          <w:rFonts w:ascii="Arial" w:hAnsi="Arial" w:cs="Arial"/>
          <w:sz w:val="20"/>
          <w:szCs w:val="20"/>
        </w:rPr>
      </w:pPr>
    </w:p>
    <w:p w14:paraId="0DC99D67" w14:textId="77777777" w:rsidR="000A0649" w:rsidRPr="00B36A1C" w:rsidRDefault="00F64DCA" w:rsidP="00F64DCA">
      <w:pPr>
        <w:spacing w:after="0" w:line="240" w:lineRule="auto"/>
        <w:jc w:val="both"/>
        <w:rPr>
          <w:rFonts w:ascii="Arial" w:hAnsi="Arial" w:cs="Arial"/>
          <w:sz w:val="20"/>
          <w:szCs w:val="20"/>
        </w:rPr>
      </w:pPr>
      <w:r w:rsidRPr="00B36A1C">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0AA825D4" w14:textId="77777777" w:rsidR="00F64DCA" w:rsidRPr="00B36A1C" w:rsidRDefault="00F64DCA" w:rsidP="00F64DCA">
      <w:pPr>
        <w:spacing w:after="0" w:line="240" w:lineRule="auto"/>
        <w:jc w:val="both"/>
        <w:rPr>
          <w:rFonts w:ascii="Arial" w:hAnsi="Arial" w:cs="Arial"/>
          <w:b/>
          <w:bCs/>
          <w:szCs w:val="22"/>
        </w:rPr>
      </w:pPr>
    </w:p>
    <w:p w14:paraId="6FBFEC56" w14:textId="77777777" w:rsidR="002646E2" w:rsidRPr="00B36A1C" w:rsidRDefault="002646E2" w:rsidP="00223962">
      <w:pPr>
        <w:spacing w:after="0" w:line="240" w:lineRule="auto"/>
        <w:jc w:val="both"/>
        <w:rPr>
          <w:rFonts w:ascii="Arial" w:hAnsi="Arial" w:cs="Arial"/>
          <w:b/>
          <w:bCs/>
        </w:rPr>
      </w:pPr>
      <w:r w:rsidRPr="00B36A1C">
        <w:rPr>
          <w:rFonts w:ascii="Arial" w:hAnsi="Arial" w:cs="Arial"/>
          <w:b/>
          <w:bCs/>
        </w:rPr>
        <w:t>REFERENCES</w:t>
      </w:r>
    </w:p>
    <w:p w14:paraId="30DA9388" w14:textId="77777777" w:rsidR="001E7061" w:rsidRPr="00B36A1C" w:rsidRDefault="001E7061" w:rsidP="00223962">
      <w:pPr>
        <w:spacing w:after="0" w:line="240" w:lineRule="auto"/>
        <w:ind w:left="720" w:hanging="720"/>
        <w:jc w:val="both"/>
        <w:rPr>
          <w:rFonts w:ascii="Arial" w:hAnsi="Arial" w:cs="Arial"/>
          <w:sz w:val="20"/>
          <w:szCs w:val="20"/>
        </w:rPr>
      </w:pPr>
    </w:p>
    <w:p w14:paraId="4C5A9EA6" w14:textId="77777777" w:rsidR="00F459C2" w:rsidRPr="00B36A1C" w:rsidRDefault="005B2935"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 </w:t>
      </w:r>
      <w:proofErr w:type="spellStart"/>
      <w:r w:rsidR="00F459C2" w:rsidRPr="00B36A1C">
        <w:rPr>
          <w:rFonts w:ascii="Arial" w:hAnsi="Arial" w:cs="Arial"/>
          <w:sz w:val="20"/>
          <w:szCs w:val="20"/>
        </w:rPr>
        <w:t>Biswasi</w:t>
      </w:r>
      <w:proofErr w:type="spellEnd"/>
      <w:r w:rsidR="00F459C2" w:rsidRPr="00B36A1C">
        <w:rPr>
          <w:rFonts w:ascii="Arial" w:hAnsi="Arial" w:cs="Arial"/>
          <w:sz w:val="20"/>
          <w:szCs w:val="20"/>
        </w:rPr>
        <w:t xml:space="preserve">, S. K., Tripathy, S., Sahoo, S. K., Sahoo, K. C., Dalei, B., Nayak, L., et al. (2025).  Effect of integrated nutrient management on </w:t>
      </w:r>
      <w:r w:rsidR="00F459C2" w:rsidRPr="00B36A1C">
        <w:rPr>
          <w:rFonts w:ascii="Arial" w:hAnsi="Arial" w:cs="Arial"/>
          <w:i/>
          <w:iCs/>
          <w:sz w:val="20"/>
          <w:szCs w:val="20"/>
        </w:rPr>
        <w:t>kharif</w:t>
      </w:r>
      <w:r w:rsidR="00F459C2" w:rsidRPr="00B36A1C">
        <w:rPr>
          <w:rFonts w:ascii="Arial" w:hAnsi="Arial" w:cs="Arial"/>
          <w:sz w:val="20"/>
          <w:szCs w:val="20"/>
        </w:rPr>
        <w:t xml:space="preserve"> hybrid maize, its residual effect on </w:t>
      </w:r>
      <w:proofErr w:type="spellStart"/>
      <w:r w:rsidR="00F459C2" w:rsidRPr="00B36A1C">
        <w:rPr>
          <w:rFonts w:ascii="Arial" w:hAnsi="Arial" w:cs="Arial"/>
          <w:sz w:val="20"/>
          <w:szCs w:val="20"/>
        </w:rPr>
        <w:t>toria</w:t>
      </w:r>
      <w:proofErr w:type="spellEnd"/>
      <w:r w:rsidR="00F459C2" w:rsidRPr="00B36A1C">
        <w:rPr>
          <w:rFonts w:ascii="Arial" w:hAnsi="Arial" w:cs="Arial"/>
          <w:sz w:val="20"/>
          <w:szCs w:val="20"/>
        </w:rPr>
        <w:t xml:space="preserve"> and system profitability of maize-</w:t>
      </w:r>
      <w:proofErr w:type="spellStart"/>
      <w:r w:rsidR="00F459C2" w:rsidRPr="00B36A1C">
        <w:rPr>
          <w:rFonts w:ascii="Arial" w:hAnsi="Arial" w:cs="Arial"/>
          <w:sz w:val="20"/>
          <w:szCs w:val="20"/>
        </w:rPr>
        <w:t>toria</w:t>
      </w:r>
      <w:proofErr w:type="spellEnd"/>
      <w:r w:rsidR="00F459C2" w:rsidRPr="00B36A1C">
        <w:rPr>
          <w:rFonts w:ascii="Arial" w:hAnsi="Arial" w:cs="Arial"/>
          <w:sz w:val="20"/>
          <w:szCs w:val="20"/>
        </w:rPr>
        <w:t xml:space="preserve"> cropping sequence in Odisha. </w:t>
      </w:r>
      <w:r w:rsidR="00F459C2" w:rsidRPr="00B36A1C">
        <w:rPr>
          <w:rFonts w:ascii="Arial" w:hAnsi="Arial" w:cs="Arial"/>
          <w:i/>
          <w:iCs/>
          <w:sz w:val="20"/>
          <w:szCs w:val="20"/>
        </w:rPr>
        <w:t>International Journal of Research in Agronomy</w:t>
      </w:r>
      <w:r w:rsidR="00F459C2" w:rsidRPr="00B36A1C">
        <w:rPr>
          <w:rFonts w:ascii="Arial" w:hAnsi="Arial" w:cs="Arial"/>
          <w:sz w:val="20"/>
          <w:szCs w:val="20"/>
        </w:rPr>
        <w:t xml:space="preserve">, 8(4), 26-29. </w:t>
      </w:r>
      <w:hyperlink r:id="rId8" w:history="1">
        <w:r w:rsidR="00B36A1C" w:rsidRPr="00BE5EB6">
          <w:rPr>
            <w:rStyle w:val="Hyperlink"/>
            <w:rFonts w:ascii="Arial" w:hAnsi="Arial" w:cs="Arial"/>
            <w:sz w:val="20"/>
            <w:szCs w:val="20"/>
          </w:rPr>
          <w:t>https://www.doi.org/10.33545/2618060X.2025.v8.i4a.2735</w:t>
        </w:r>
      </w:hyperlink>
      <w:r w:rsidR="00B36A1C">
        <w:rPr>
          <w:rFonts w:ascii="Arial" w:hAnsi="Arial" w:cs="Arial"/>
          <w:sz w:val="20"/>
          <w:szCs w:val="20"/>
        </w:rPr>
        <w:t xml:space="preserve"> </w:t>
      </w:r>
      <w:r w:rsidR="00F459C2" w:rsidRPr="00B36A1C">
        <w:rPr>
          <w:rFonts w:ascii="Arial" w:hAnsi="Arial" w:cs="Arial"/>
          <w:sz w:val="20"/>
          <w:szCs w:val="20"/>
        </w:rPr>
        <w:t xml:space="preserve">  </w:t>
      </w:r>
    </w:p>
    <w:p w14:paraId="4B8522C4"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Casida, L. E., Klein, D. A., &amp; Santoro, T. (1964). Soil dehydrogenase activity. </w:t>
      </w:r>
      <w:r w:rsidRPr="00B36A1C">
        <w:rPr>
          <w:rFonts w:ascii="Arial" w:hAnsi="Arial" w:cs="Arial"/>
          <w:i/>
          <w:iCs/>
          <w:sz w:val="20"/>
          <w:szCs w:val="20"/>
        </w:rPr>
        <w:t>Soil Science</w:t>
      </w:r>
      <w:r w:rsidRPr="00B36A1C">
        <w:rPr>
          <w:rFonts w:ascii="Arial" w:hAnsi="Arial" w:cs="Arial"/>
          <w:sz w:val="20"/>
          <w:szCs w:val="20"/>
        </w:rPr>
        <w:t xml:space="preserve">, 98(6), 371-376. </w:t>
      </w:r>
      <w:hyperlink r:id="rId9" w:history="1">
        <w:r w:rsidR="00B36A1C" w:rsidRPr="00BE5EB6">
          <w:rPr>
            <w:rStyle w:val="Hyperlink"/>
            <w:rFonts w:ascii="Arial" w:hAnsi="Arial" w:cs="Arial"/>
            <w:sz w:val="20"/>
            <w:szCs w:val="20"/>
          </w:rPr>
          <w:t>https://journals.lww.com/soilsci/citation/1964/12000/soil_dehydrogenase_activity.4.aspx</w:t>
        </w:r>
      </w:hyperlink>
      <w:r w:rsidR="00B36A1C">
        <w:rPr>
          <w:rFonts w:ascii="Arial" w:hAnsi="Arial" w:cs="Arial"/>
          <w:sz w:val="20"/>
          <w:szCs w:val="20"/>
        </w:rPr>
        <w:t xml:space="preserve"> </w:t>
      </w:r>
      <w:r w:rsidRPr="00B36A1C">
        <w:rPr>
          <w:rFonts w:ascii="Arial" w:hAnsi="Arial" w:cs="Arial"/>
          <w:sz w:val="20"/>
          <w:szCs w:val="20"/>
        </w:rPr>
        <w:t xml:space="preserve"> </w:t>
      </w:r>
    </w:p>
    <w:p w14:paraId="4D939896"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Dixit, M., &amp; Tripathi, A. K. (2023). Integrated nutrient management practices and their effect on soil health in relation of enzyme dynamics and biota in a long-term diverse cropping system in </w:t>
      </w:r>
      <w:proofErr w:type="spellStart"/>
      <w:r w:rsidRPr="00B36A1C">
        <w:rPr>
          <w:rFonts w:ascii="Arial" w:hAnsi="Arial" w:cs="Arial"/>
          <w:sz w:val="20"/>
          <w:szCs w:val="20"/>
        </w:rPr>
        <w:t>vertisols</w:t>
      </w:r>
      <w:proofErr w:type="spellEnd"/>
      <w:r w:rsidRPr="00B36A1C">
        <w:rPr>
          <w:rFonts w:ascii="Arial" w:hAnsi="Arial" w:cs="Arial"/>
          <w:sz w:val="20"/>
          <w:szCs w:val="20"/>
        </w:rPr>
        <w:t xml:space="preserve"> of central India. </w:t>
      </w:r>
      <w:r w:rsidRPr="00B36A1C">
        <w:rPr>
          <w:rFonts w:ascii="Arial" w:hAnsi="Arial" w:cs="Arial"/>
          <w:i/>
          <w:iCs/>
          <w:sz w:val="20"/>
          <w:szCs w:val="20"/>
        </w:rPr>
        <w:t>International Journal of Plant &amp; Soil Science</w:t>
      </w:r>
      <w:r w:rsidRPr="00B36A1C">
        <w:rPr>
          <w:rFonts w:ascii="Arial" w:hAnsi="Arial" w:cs="Arial"/>
          <w:sz w:val="20"/>
          <w:szCs w:val="20"/>
        </w:rPr>
        <w:t xml:space="preserve">, 35(21), 349-361. </w:t>
      </w:r>
      <w:hyperlink r:id="rId10" w:history="1">
        <w:r w:rsidR="00B36A1C" w:rsidRPr="00BE5EB6">
          <w:rPr>
            <w:rStyle w:val="Hyperlink"/>
            <w:rFonts w:ascii="Arial" w:hAnsi="Arial" w:cs="Arial"/>
            <w:sz w:val="20"/>
            <w:szCs w:val="20"/>
          </w:rPr>
          <w:t>https://doi.org/10.9734/IJPSS/2023/v35i213984</w:t>
        </w:r>
      </w:hyperlink>
      <w:r w:rsidR="00B36A1C">
        <w:rPr>
          <w:rFonts w:ascii="Arial" w:hAnsi="Arial" w:cs="Arial"/>
          <w:sz w:val="20"/>
          <w:szCs w:val="20"/>
        </w:rPr>
        <w:t xml:space="preserve"> </w:t>
      </w:r>
      <w:r w:rsidRPr="00B36A1C">
        <w:rPr>
          <w:rFonts w:ascii="Arial" w:hAnsi="Arial" w:cs="Arial"/>
          <w:sz w:val="20"/>
          <w:szCs w:val="20"/>
        </w:rPr>
        <w:t xml:space="preserve">  </w:t>
      </w:r>
    </w:p>
    <w:p w14:paraId="32519519"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Eivazi</w:t>
      </w:r>
      <w:proofErr w:type="spellEnd"/>
      <w:r w:rsidRPr="00B36A1C">
        <w:rPr>
          <w:rFonts w:ascii="Arial" w:hAnsi="Arial" w:cs="Arial"/>
          <w:sz w:val="20"/>
          <w:szCs w:val="20"/>
        </w:rPr>
        <w:t xml:space="preserve">, F., &amp; Tabatabai, M. A. (1977). Phosphatases in soils. </w:t>
      </w:r>
      <w:r w:rsidRPr="00B36A1C">
        <w:rPr>
          <w:rFonts w:ascii="Arial" w:hAnsi="Arial" w:cs="Arial"/>
          <w:i/>
          <w:iCs/>
          <w:sz w:val="20"/>
          <w:szCs w:val="20"/>
        </w:rPr>
        <w:t>Soil Biology and Biochemistry</w:t>
      </w:r>
      <w:r w:rsidRPr="00B36A1C">
        <w:rPr>
          <w:rFonts w:ascii="Arial" w:hAnsi="Arial" w:cs="Arial"/>
          <w:sz w:val="20"/>
          <w:szCs w:val="20"/>
        </w:rPr>
        <w:t xml:space="preserve">. 9(3),167-172. </w:t>
      </w:r>
      <w:hyperlink r:id="rId11" w:history="1">
        <w:r w:rsidR="00B36A1C" w:rsidRPr="00BE5EB6">
          <w:rPr>
            <w:rStyle w:val="Hyperlink"/>
            <w:rFonts w:ascii="Arial" w:hAnsi="Arial" w:cs="Arial"/>
            <w:sz w:val="20"/>
            <w:szCs w:val="20"/>
          </w:rPr>
          <w:t>https://doi.org/10.1016/0038-0717(77)90070-0</w:t>
        </w:r>
      </w:hyperlink>
      <w:r w:rsidR="00B36A1C">
        <w:rPr>
          <w:rFonts w:ascii="Arial" w:hAnsi="Arial" w:cs="Arial"/>
          <w:sz w:val="20"/>
          <w:szCs w:val="20"/>
        </w:rPr>
        <w:t xml:space="preserve"> </w:t>
      </w:r>
      <w:r w:rsidRPr="00B36A1C">
        <w:rPr>
          <w:rFonts w:ascii="Arial" w:hAnsi="Arial" w:cs="Arial"/>
          <w:sz w:val="20"/>
          <w:szCs w:val="20"/>
        </w:rPr>
        <w:t xml:space="preserve"> </w:t>
      </w:r>
    </w:p>
    <w:p w14:paraId="7ED1BB6B"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Kejiya</w:t>
      </w:r>
      <w:proofErr w:type="spellEnd"/>
      <w:r w:rsidRPr="00B36A1C">
        <w:rPr>
          <w:rFonts w:ascii="Arial" w:hAnsi="Arial" w:cs="Arial"/>
          <w:sz w:val="20"/>
          <w:szCs w:val="20"/>
        </w:rPr>
        <w:t xml:space="preserve">, P., Naga, M. K. V., Reddy, S. K., Naidu, M. V. S., </w:t>
      </w:r>
      <w:proofErr w:type="spellStart"/>
      <w:r w:rsidRPr="00B36A1C">
        <w:rPr>
          <w:rFonts w:ascii="Arial" w:hAnsi="Arial" w:cs="Arial"/>
          <w:sz w:val="20"/>
          <w:szCs w:val="20"/>
        </w:rPr>
        <w:t>Navyajyothi</w:t>
      </w:r>
      <w:proofErr w:type="spellEnd"/>
      <w:r w:rsidRPr="00B36A1C">
        <w:rPr>
          <w:rFonts w:ascii="Arial" w:hAnsi="Arial" w:cs="Arial"/>
          <w:sz w:val="20"/>
          <w:szCs w:val="20"/>
        </w:rPr>
        <w:t xml:space="preserve">, K., &amp; </w:t>
      </w:r>
      <w:proofErr w:type="spellStart"/>
      <w:r w:rsidRPr="00B36A1C">
        <w:rPr>
          <w:rFonts w:ascii="Arial" w:hAnsi="Arial" w:cs="Arial"/>
          <w:sz w:val="20"/>
          <w:szCs w:val="20"/>
        </w:rPr>
        <w:t>Ramanamurthy</w:t>
      </w:r>
      <w:proofErr w:type="spellEnd"/>
      <w:r w:rsidRPr="00B36A1C">
        <w:rPr>
          <w:rFonts w:ascii="Arial" w:hAnsi="Arial" w:cs="Arial"/>
          <w:sz w:val="20"/>
          <w:szCs w:val="20"/>
        </w:rPr>
        <w:t xml:space="preserve">, B. (2024). Effect of integrated nutrient management practices on soil enzyme activity and microbial population in paddy. </w:t>
      </w:r>
      <w:r w:rsidRPr="00B36A1C">
        <w:rPr>
          <w:rFonts w:ascii="Arial" w:hAnsi="Arial" w:cs="Arial"/>
          <w:i/>
          <w:iCs/>
          <w:sz w:val="20"/>
          <w:szCs w:val="20"/>
        </w:rPr>
        <w:t>International Journal of Research in Agronomy</w:t>
      </w:r>
      <w:r w:rsidRPr="00B36A1C">
        <w:rPr>
          <w:rFonts w:ascii="Arial" w:hAnsi="Arial" w:cs="Arial"/>
          <w:sz w:val="20"/>
          <w:szCs w:val="20"/>
        </w:rPr>
        <w:t xml:space="preserve">, SP7(6), 112-118. </w:t>
      </w:r>
      <w:hyperlink r:id="rId12" w:history="1">
        <w:r w:rsidR="00B36A1C" w:rsidRPr="00BE5EB6">
          <w:rPr>
            <w:rStyle w:val="Hyperlink"/>
            <w:rFonts w:ascii="Arial" w:hAnsi="Arial" w:cs="Arial"/>
            <w:sz w:val="20"/>
            <w:szCs w:val="20"/>
          </w:rPr>
          <w:t>https://doi.org/10.33545/2618060X.2024.v7.i6Sb.841</w:t>
        </w:r>
      </w:hyperlink>
      <w:r w:rsidR="00B36A1C">
        <w:rPr>
          <w:rFonts w:ascii="Arial" w:hAnsi="Arial" w:cs="Arial"/>
          <w:sz w:val="20"/>
          <w:szCs w:val="20"/>
        </w:rPr>
        <w:t xml:space="preserve"> </w:t>
      </w:r>
      <w:r w:rsidRPr="00B36A1C">
        <w:rPr>
          <w:rFonts w:ascii="Arial" w:hAnsi="Arial" w:cs="Arial"/>
          <w:sz w:val="20"/>
          <w:szCs w:val="20"/>
        </w:rPr>
        <w:t xml:space="preserve"> </w:t>
      </w:r>
    </w:p>
    <w:p w14:paraId="4F0FE1D2"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Kejiya</w:t>
      </w:r>
      <w:proofErr w:type="spellEnd"/>
      <w:r w:rsidRPr="00B36A1C">
        <w:rPr>
          <w:rFonts w:ascii="Arial" w:hAnsi="Arial" w:cs="Arial"/>
          <w:sz w:val="20"/>
          <w:szCs w:val="20"/>
        </w:rPr>
        <w:t xml:space="preserve">, P., Vajantha, B., Naidu, M. V. S., &amp; </w:t>
      </w:r>
      <w:proofErr w:type="spellStart"/>
      <w:r w:rsidRPr="00B36A1C">
        <w:rPr>
          <w:rFonts w:ascii="Arial" w:hAnsi="Arial" w:cs="Arial"/>
          <w:sz w:val="20"/>
          <w:szCs w:val="20"/>
        </w:rPr>
        <w:t>Nagavani</w:t>
      </w:r>
      <w:proofErr w:type="spellEnd"/>
      <w:r w:rsidRPr="00B36A1C">
        <w:rPr>
          <w:rFonts w:ascii="Arial" w:hAnsi="Arial" w:cs="Arial"/>
          <w:sz w:val="20"/>
          <w:szCs w:val="20"/>
        </w:rPr>
        <w:t>, A. V. (2023). Synergistic effect of phosphatic fertilizers and biofertilizers on soil enzyme activity and yield of finger millet (</w:t>
      </w:r>
      <w:r w:rsidRPr="00B36A1C">
        <w:rPr>
          <w:rFonts w:ascii="Arial" w:hAnsi="Arial" w:cs="Arial"/>
          <w:i/>
          <w:iCs/>
          <w:sz w:val="20"/>
          <w:szCs w:val="20"/>
        </w:rPr>
        <w:t xml:space="preserve">Eleusine coracana </w:t>
      </w:r>
      <w:r w:rsidRPr="00B36A1C">
        <w:rPr>
          <w:rFonts w:ascii="Arial" w:hAnsi="Arial" w:cs="Arial"/>
          <w:sz w:val="20"/>
          <w:szCs w:val="20"/>
        </w:rPr>
        <w:t xml:space="preserve">L.). </w:t>
      </w:r>
      <w:r w:rsidRPr="00B36A1C">
        <w:rPr>
          <w:rFonts w:ascii="Arial" w:hAnsi="Arial" w:cs="Arial"/>
          <w:i/>
          <w:iCs/>
          <w:sz w:val="20"/>
          <w:szCs w:val="20"/>
        </w:rPr>
        <w:t>Biological Forum - An International Journal</w:t>
      </w:r>
      <w:r w:rsidRPr="00B36A1C">
        <w:rPr>
          <w:rFonts w:ascii="Arial" w:hAnsi="Arial" w:cs="Arial"/>
          <w:sz w:val="20"/>
          <w:szCs w:val="20"/>
        </w:rPr>
        <w:t xml:space="preserve">, 15(9), 24-27. </w:t>
      </w:r>
    </w:p>
    <w:p w14:paraId="2F570923"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Kharlukhi</w:t>
      </w:r>
      <w:proofErr w:type="spellEnd"/>
      <w:r w:rsidRPr="00B36A1C">
        <w:rPr>
          <w:rFonts w:ascii="Arial" w:hAnsi="Arial" w:cs="Arial"/>
          <w:sz w:val="20"/>
          <w:szCs w:val="20"/>
        </w:rPr>
        <w:t>, D. G., &amp; Upadhyaya, K. (2023).</w:t>
      </w:r>
      <w:r w:rsidRPr="00B36A1C">
        <w:t xml:space="preserve"> </w:t>
      </w:r>
      <w:r w:rsidRPr="00B36A1C">
        <w:rPr>
          <w:rFonts w:ascii="Arial" w:hAnsi="Arial" w:cs="Arial"/>
          <w:sz w:val="20"/>
          <w:szCs w:val="20"/>
        </w:rPr>
        <w:t xml:space="preserve">Energy and economic efficiency of integrated nutrient management (INM) under upland paddy cultivation at high elevations of north-east India. </w:t>
      </w:r>
      <w:r w:rsidRPr="00B36A1C">
        <w:rPr>
          <w:rFonts w:ascii="Arial" w:hAnsi="Arial" w:cs="Arial"/>
          <w:i/>
          <w:iCs/>
          <w:sz w:val="20"/>
          <w:szCs w:val="20"/>
        </w:rPr>
        <w:t>Agricultural Science Digest</w:t>
      </w:r>
      <w:r w:rsidRPr="00B36A1C">
        <w:rPr>
          <w:rFonts w:ascii="Arial" w:hAnsi="Arial" w:cs="Arial"/>
          <w:sz w:val="20"/>
          <w:szCs w:val="20"/>
        </w:rPr>
        <w:t>,</w:t>
      </w:r>
      <w:r w:rsidRPr="00B36A1C">
        <w:t xml:space="preserve"> </w:t>
      </w:r>
      <w:r w:rsidRPr="00B36A1C">
        <w:rPr>
          <w:rFonts w:ascii="Arial" w:hAnsi="Arial" w:cs="Arial"/>
          <w:sz w:val="20"/>
          <w:szCs w:val="20"/>
        </w:rPr>
        <w:t xml:space="preserve">D-5803, </w:t>
      </w:r>
      <w:hyperlink r:id="rId13" w:history="1">
        <w:r w:rsidR="00B36A1C" w:rsidRPr="00BE5EB6">
          <w:rPr>
            <w:rStyle w:val="Hyperlink"/>
            <w:rFonts w:ascii="Arial" w:hAnsi="Arial" w:cs="Arial"/>
            <w:sz w:val="20"/>
            <w:szCs w:val="20"/>
          </w:rPr>
          <w:t>https://doi.org/10.18805/ag.D-5</w:t>
        </w:r>
        <w:r w:rsidR="00B36A1C" w:rsidRPr="00B36A1C">
          <w:rPr>
            <w:rStyle w:val="Hyperlink"/>
            <w:rFonts w:ascii="Arial" w:hAnsi="Arial" w:cs="Arial"/>
            <w:sz w:val="20"/>
            <w:szCs w:val="20"/>
          </w:rPr>
          <w:t>803</w:t>
        </w:r>
      </w:hyperlink>
      <w:r w:rsidR="00B36A1C">
        <w:t xml:space="preserve"> </w:t>
      </w:r>
      <w:r w:rsidRPr="00B36A1C">
        <w:rPr>
          <w:rFonts w:ascii="Arial" w:hAnsi="Arial" w:cs="Arial"/>
          <w:sz w:val="20"/>
          <w:szCs w:val="20"/>
        </w:rPr>
        <w:t xml:space="preserve"> </w:t>
      </w:r>
    </w:p>
    <w:p w14:paraId="39064102"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Kharlukhi</w:t>
      </w:r>
      <w:proofErr w:type="spellEnd"/>
      <w:r w:rsidRPr="00B36A1C">
        <w:rPr>
          <w:rFonts w:ascii="Arial" w:hAnsi="Arial" w:cs="Arial"/>
          <w:sz w:val="20"/>
          <w:szCs w:val="20"/>
        </w:rPr>
        <w:t xml:space="preserve">, D. G., Upadhyaya, K., &amp; Sahoo, U. K. (2024). Influence of integrated nutrient management on soil health, growth and yield of paddy in “Jhum lands” of north-eastern Himalayas. </w:t>
      </w:r>
      <w:r w:rsidRPr="00B36A1C">
        <w:rPr>
          <w:rFonts w:ascii="Arial" w:hAnsi="Arial" w:cs="Arial"/>
          <w:i/>
          <w:iCs/>
          <w:sz w:val="20"/>
          <w:szCs w:val="20"/>
        </w:rPr>
        <w:t>Discover Agriculture</w:t>
      </w:r>
      <w:r w:rsidRPr="00B36A1C">
        <w:rPr>
          <w:rFonts w:ascii="Arial" w:hAnsi="Arial" w:cs="Arial"/>
          <w:sz w:val="20"/>
          <w:szCs w:val="20"/>
        </w:rPr>
        <w:t xml:space="preserve">, 2, 107. </w:t>
      </w:r>
      <w:hyperlink r:id="rId14" w:history="1">
        <w:r w:rsidR="00B36A1C" w:rsidRPr="00BE5EB6">
          <w:rPr>
            <w:rStyle w:val="Hyperlink"/>
            <w:rFonts w:ascii="Arial" w:hAnsi="Arial" w:cs="Arial"/>
            <w:sz w:val="20"/>
            <w:szCs w:val="20"/>
          </w:rPr>
          <w:t>https://doi.org/10.1007/s44279-024-00128-w</w:t>
        </w:r>
      </w:hyperlink>
      <w:r w:rsidR="00B36A1C">
        <w:rPr>
          <w:rFonts w:ascii="Arial" w:hAnsi="Arial" w:cs="Arial"/>
          <w:sz w:val="20"/>
          <w:szCs w:val="20"/>
        </w:rPr>
        <w:t xml:space="preserve"> </w:t>
      </w:r>
      <w:r w:rsidRPr="00B36A1C">
        <w:rPr>
          <w:rFonts w:ascii="Arial" w:hAnsi="Arial" w:cs="Arial"/>
          <w:sz w:val="20"/>
          <w:szCs w:val="20"/>
        </w:rPr>
        <w:t xml:space="preserve">  </w:t>
      </w:r>
    </w:p>
    <w:p w14:paraId="3FF8B388"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Kumar, V., Saikia, J., Barik, N., &amp; Das, T. (2017). Effect of integrated nutrient management on soil enzymes, microbial biomass carbon and microbial population under okra cultivation. </w:t>
      </w:r>
      <w:r w:rsidRPr="00B36A1C">
        <w:rPr>
          <w:rFonts w:ascii="Arial" w:hAnsi="Arial" w:cs="Arial"/>
          <w:i/>
          <w:iCs/>
          <w:sz w:val="20"/>
          <w:szCs w:val="20"/>
        </w:rPr>
        <w:t>International Journal of Biochemistry Research &amp; Review</w:t>
      </w:r>
      <w:r w:rsidRPr="00B36A1C">
        <w:rPr>
          <w:rFonts w:ascii="Arial" w:hAnsi="Arial" w:cs="Arial"/>
          <w:sz w:val="20"/>
          <w:szCs w:val="20"/>
        </w:rPr>
        <w:t xml:space="preserve">, 20(4), 1-7. </w:t>
      </w:r>
      <w:hyperlink r:id="rId15" w:history="1">
        <w:r w:rsidR="00B36A1C" w:rsidRPr="00BE5EB6">
          <w:rPr>
            <w:rStyle w:val="Hyperlink"/>
            <w:rFonts w:ascii="Arial" w:hAnsi="Arial" w:cs="Arial"/>
            <w:sz w:val="20"/>
            <w:szCs w:val="20"/>
          </w:rPr>
          <w:t>https://doi.org/10.9734/IJBCRR/2017/38868</w:t>
        </w:r>
      </w:hyperlink>
      <w:r w:rsidR="00B36A1C">
        <w:rPr>
          <w:rFonts w:ascii="Arial" w:hAnsi="Arial" w:cs="Arial"/>
          <w:sz w:val="20"/>
          <w:szCs w:val="20"/>
        </w:rPr>
        <w:t xml:space="preserve"> </w:t>
      </w:r>
      <w:r w:rsidRPr="00B36A1C">
        <w:rPr>
          <w:rFonts w:ascii="Arial" w:hAnsi="Arial" w:cs="Arial"/>
          <w:sz w:val="20"/>
          <w:szCs w:val="20"/>
        </w:rPr>
        <w:t xml:space="preserve"> </w:t>
      </w:r>
    </w:p>
    <w:p w14:paraId="430C3F06" w14:textId="77777777" w:rsid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Mallikarjun, M., &amp; Maity, S. K. (2018). Effect of integrated nutrient management on soil biological properties in kharif rice. </w:t>
      </w:r>
      <w:r w:rsidRPr="00B36A1C">
        <w:rPr>
          <w:rFonts w:ascii="Arial" w:hAnsi="Arial" w:cs="Arial"/>
          <w:i/>
          <w:iCs/>
          <w:sz w:val="20"/>
          <w:szCs w:val="20"/>
        </w:rPr>
        <w:t>International Journal of Current Microbiology and Applied Sciences</w:t>
      </w:r>
      <w:r w:rsidRPr="00B36A1C">
        <w:rPr>
          <w:rFonts w:ascii="Arial" w:hAnsi="Arial" w:cs="Arial"/>
          <w:sz w:val="20"/>
          <w:szCs w:val="20"/>
        </w:rPr>
        <w:t xml:space="preserve">. 7(11), 1531-1537. </w:t>
      </w:r>
      <w:hyperlink r:id="rId16" w:history="1">
        <w:r w:rsidR="00B36A1C" w:rsidRPr="00BE5EB6">
          <w:rPr>
            <w:rStyle w:val="Hyperlink"/>
            <w:rFonts w:ascii="Arial" w:hAnsi="Arial" w:cs="Arial"/>
            <w:sz w:val="20"/>
            <w:szCs w:val="20"/>
          </w:rPr>
          <w:t>https://doi.org/10.20546/ijcmas.2018.711.176</w:t>
        </w:r>
      </w:hyperlink>
    </w:p>
    <w:p w14:paraId="47DAA21F"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  </w:t>
      </w:r>
    </w:p>
    <w:p w14:paraId="298A4A0B"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Paramesh, V., Kumar, P., Bhagat, T. Nath, A. J., Manohara, K. K., Das, B., et al. (2023). Integrated nutrient management enhances yield, improves soil quality, and conserves energy under the lowland rice–rice cropping system. </w:t>
      </w:r>
      <w:r w:rsidRPr="00B36A1C">
        <w:rPr>
          <w:rFonts w:ascii="Arial" w:hAnsi="Arial" w:cs="Arial"/>
          <w:i/>
          <w:iCs/>
          <w:sz w:val="20"/>
          <w:szCs w:val="20"/>
        </w:rPr>
        <w:t>Agronomy</w:t>
      </w:r>
      <w:r w:rsidRPr="00B36A1C">
        <w:rPr>
          <w:rFonts w:ascii="Arial" w:hAnsi="Arial" w:cs="Arial"/>
          <w:sz w:val="20"/>
          <w:szCs w:val="20"/>
        </w:rPr>
        <w:t xml:space="preserve">, 13(6), 1557. </w:t>
      </w:r>
      <w:hyperlink r:id="rId17" w:history="1">
        <w:r w:rsidR="00B36A1C" w:rsidRPr="00BE5EB6">
          <w:rPr>
            <w:rStyle w:val="Hyperlink"/>
            <w:rFonts w:ascii="Arial" w:hAnsi="Arial" w:cs="Arial"/>
            <w:sz w:val="20"/>
            <w:szCs w:val="20"/>
          </w:rPr>
          <w:t>https://doi.org/10.3390/agronomy13061557</w:t>
        </w:r>
      </w:hyperlink>
      <w:r w:rsidR="00B36A1C">
        <w:rPr>
          <w:rFonts w:ascii="Arial" w:hAnsi="Arial" w:cs="Arial"/>
          <w:sz w:val="20"/>
          <w:szCs w:val="20"/>
        </w:rPr>
        <w:t xml:space="preserve"> </w:t>
      </w:r>
      <w:r w:rsidRPr="00B36A1C">
        <w:rPr>
          <w:rFonts w:ascii="Arial" w:hAnsi="Arial" w:cs="Arial"/>
          <w:sz w:val="20"/>
          <w:szCs w:val="20"/>
        </w:rPr>
        <w:t xml:space="preserve"> </w:t>
      </w:r>
    </w:p>
    <w:p w14:paraId="3947461D"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Sarathkumar, G., Sridhar, T. V., Rao, C. S., &amp; Rekha, M. S. (2021). Effect of combined use of organic and inorganic fertilizers on yield and uptake of nutrients in maize. </w:t>
      </w:r>
      <w:r w:rsidRPr="00B36A1C">
        <w:rPr>
          <w:rFonts w:ascii="Arial" w:hAnsi="Arial" w:cs="Arial"/>
          <w:i/>
          <w:iCs/>
          <w:sz w:val="20"/>
          <w:szCs w:val="20"/>
        </w:rPr>
        <w:t>The Andhra Agricultural Journal</w:t>
      </w:r>
      <w:r w:rsidRPr="00B36A1C">
        <w:rPr>
          <w:rFonts w:ascii="Arial" w:hAnsi="Arial" w:cs="Arial"/>
          <w:sz w:val="20"/>
          <w:szCs w:val="20"/>
        </w:rPr>
        <w:t xml:space="preserve">, 68(3), 384-388. </w:t>
      </w:r>
      <w:hyperlink r:id="rId18" w:history="1">
        <w:r w:rsidR="00B36A1C" w:rsidRPr="00BE5EB6">
          <w:rPr>
            <w:rStyle w:val="Hyperlink"/>
            <w:rFonts w:ascii="Arial" w:hAnsi="Arial" w:cs="Arial"/>
            <w:sz w:val="20"/>
            <w:szCs w:val="20"/>
          </w:rPr>
          <w:t>https://aaj.net.in/wp-content/uploads/2023/08/68-3-14.pdf</w:t>
        </w:r>
      </w:hyperlink>
      <w:r w:rsidR="00B36A1C">
        <w:rPr>
          <w:rFonts w:ascii="Arial" w:hAnsi="Arial" w:cs="Arial"/>
          <w:sz w:val="20"/>
          <w:szCs w:val="20"/>
        </w:rPr>
        <w:t xml:space="preserve"> </w:t>
      </w:r>
      <w:r w:rsidRPr="00B36A1C">
        <w:rPr>
          <w:rFonts w:ascii="Arial" w:hAnsi="Arial" w:cs="Arial"/>
          <w:sz w:val="20"/>
          <w:szCs w:val="20"/>
        </w:rPr>
        <w:t xml:space="preserve"> </w:t>
      </w:r>
    </w:p>
    <w:p w14:paraId="7E599043"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t xml:space="preserve">Soni, P., &amp; Soe, M. N. (2016). Energy balance and energy economics analysis of rice production system in </w:t>
      </w:r>
      <w:proofErr w:type="spellStart"/>
      <w:r w:rsidRPr="00B36A1C">
        <w:rPr>
          <w:rFonts w:ascii="Arial" w:hAnsi="Arial" w:cs="Arial"/>
          <w:sz w:val="20"/>
          <w:szCs w:val="20"/>
        </w:rPr>
        <w:t>Ayeyarwaddy</w:t>
      </w:r>
      <w:proofErr w:type="spellEnd"/>
      <w:r w:rsidRPr="00B36A1C">
        <w:rPr>
          <w:rFonts w:ascii="Arial" w:hAnsi="Arial" w:cs="Arial"/>
          <w:sz w:val="20"/>
          <w:szCs w:val="20"/>
        </w:rPr>
        <w:t xml:space="preserve"> Region of Myanmar. </w:t>
      </w:r>
      <w:r w:rsidRPr="00B36A1C">
        <w:rPr>
          <w:rFonts w:ascii="Arial" w:hAnsi="Arial" w:cs="Arial"/>
          <w:i/>
          <w:iCs/>
          <w:sz w:val="20"/>
          <w:szCs w:val="20"/>
        </w:rPr>
        <w:t>Energy Efficiency</w:t>
      </w:r>
      <w:r w:rsidRPr="00B36A1C">
        <w:rPr>
          <w:rFonts w:ascii="Arial" w:hAnsi="Arial" w:cs="Arial"/>
          <w:sz w:val="20"/>
          <w:szCs w:val="20"/>
        </w:rPr>
        <w:t xml:space="preserve">, 9(1), 223-237. </w:t>
      </w:r>
      <w:hyperlink r:id="rId19" w:history="1">
        <w:r w:rsidR="00B36A1C" w:rsidRPr="00BE5EB6">
          <w:rPr>
            <w:rStyle w:val="Hyperlink"/>
            <w:rFonts w:ascii="Arial" w:hAnsi="Arial" w:cs="Arial"/>
            <w:sz w:val="20"/>
            <w:szCs w:val="20"/>
          </w:rPr>
          <w:t>https://doi.org/10.1007/s12053-015-9359-x</w:t>
        </w:r>
      </w:hyperlink>
      <w:r w:rsidR="00B36A1C">
        <w:rPr>
          <w:rFonts w:ascii="Arial" w:hAnsi="Arial" w:cs="Arial"/>
          <w:sz w:val="20"/>
          <w:szCs w:val="20"/>
        </w:rPr>
        <w:t xml:space="preserve"> </w:t>
      </w:r>
      <w:r w:rsidRPr="00B36A1C">
        <w:rPr>
          <w:rFonts w:ascii="Arial" w:hAnsi="Arial" w:cs="Arial"/>
          <w:sz w:val="20"/>
          <w:szCs w:val="20"/>
        </w:rPr>
        <w:t xml:space="preserve"> </w:t>
      </w:r>
    </w:p>
    <w:p w14:paraId="4D00505A" w14:textId="77777777" w:rsidR="00F459C2" w:rsidRPr="00B36A1C" w:rsidRDefault="00F459C2" w:rsidP="00F459C2">
      <w:pPr>
        <w:spacing w:after="60" w:line="240" w:lineRule="auto"/>
        <w:ind w:left="720" w:hanging="720"/>
        <w:jc w:val="both"/>
        <w:rPr>
          <w:rFonts w:ascii="Arial" w:hAnsi="Arial" w:cs="Arial"/>
          <w:sz w:val="20"/>
          <w:szCs w:val="20"/>
        </w:rPr>
      </w:pPr>
      <w:r w:rsidRPr="00B36A1C">
        <w:rPr>
          <w:rFonts w:ascii="Arial" w:hAnsi="Arial" w:cs="Arial"/>
          <w:sz w:val="20"/>
          <w:szCs w:val="20"/>
        </w:rPr>
        <w:lastRenderedPageBreak/>
        <w:t xml:space="preserve">Tabatabai, M. A., &amp; Bremner, J. M. (1972). Assay of urease activity in soils. </w:t>
      </w:r>
      <w:r w:rsidRPr="00B36A1C">
        <w:rPr>
          <w:rFonts w:ascii="Arial" w:hAnsi="Arial" w:cs="Arial"/>
          <w:i/>
          <w:iCs/>
          <w:sz w:val="20"/>
          <w:szCs w:val="20"/>
        </w:rPr>
        <w:t>Soil Biology and Biochemistry</w:t>
      </w:r>
      <w:r w:rsidRPr="00B36A1C">
        <w:rPr>
          <w:rFonts w:ascii="Arial" w:hAnsi="Arial" w:cs="Arial"/>
          <w:sz w:val="20"/>
          <w:szCs w:val="20"/>
        </w:rPr>
        <w:t xml:space="preserve">, 4, 479-487. </w:t>
      </w:r>
      <w:hyperlink r:id="rId20" w:history="1">
        <w:r w:rsidR="00B36A1C" w:rsidRPr="00BE5EB6">
          <w:rPr>
            <w:rStyle w:val="Hyperlink"/>
            <w:rFonts w:ascii="Arial" w:hAnsi="Arial" w:cs="Arial"/>
            <w:sz w:val="20"/>
            <w:szCs w:val="20"/>
          </w:rPr>
          <w:t>https://doi.org/10.1016/0038-0717(72)90064-8</w:t>
        </w:r>
      </w:hyperlink>
      <w:r w:rsidR="00B36A1C">
        <w:rPr>
          <w:rFonts w:ascii="Arial" w:hAnsi="Arial" w:cs="Arial"/>
          <w:sz w:val="20"/>
          <w:szCs w:val="20"/>
        </w:rPr>
        <w:t xml:space="preserve"> </w:t>
      </w:r>
    </w:p>
    <w:p w14:paraId="201769D5" w14:textId="77777777" w:rsidR="00F459C2" w:rsidRPr="00B36A1C" w:rsidRDefault="00F459C2" w:rsidP="00F459C2">
      <w:pPr>
        <w:spacing w:after="60" w:line="240" w:lineRule="auto"/>
        <w:ind w:left="720" w:hanging="720"/>
        <w:jc w:val="both"/>
        <w:rPr>
          <w:rFonts w:ascii="Arial" w:hAnsi="Arial" w:cs="Arial"/>
          <w:sz w:val="20"/>
          <w:szCs w:val="20"/>
        </w:rPr>
      </w:pPr>
      <w:proofErr w:type="spellStart"/>
      <w:r w:rsidRPr="00B36A1C">
        <w:rPr>
          <w:rFonts w:ascii="Arial" w:hAnsi="Arial" w:cs="Arial"/>
          <w:sz w:val="20"/>
          <w:szCs w:val="20"/>
        </w:rPr>
        <w:t>UPAg</w:t>
      </w:r>
      <w:proofErr w:type="spellEnd"/>
      <w:r w:rsidRPr="00B36A1C">
        <w:rPr>
          <w:rFonts w:ascii="Arial" w:hAnsi="Arial" w:cs="Arial"/>
          <w:sz w:val="20"/>
          <w:szCs w:val="20"/>
        </w:rPr>
        <w:t xml:space="preserve">-DAFW. (2025). Unified Portal for Agricultural Statistics, Department of Agriculture &amp; Farmers Welfare, Ministry of Agriculture, New Delhi. </w:t>
      </w:r>
      <w:hyperlink r:id="rId21" w:history="1">
        <w:r w:rsidR="00B36A1C" w:rsidRPr="00BE5EB6">
          <w:rPr>
            <w:rStyle w:val="Hyperlink"/>
            <w:rFonts w:ascii="Arial" w:hAnsi="Arial" w:cs="Arial"/>
            <w:sz w:val="20"/>
            <w:szCs w:val="20"/>
          </w:rPr>
          <w:t>https://upag.gov.in/dash-reports/allindiaapy</w:t>
        </w:r>
      </w:hyperlink>
      <w:r w:rsidR="00B36A1C">
        <w:rPr>
          <w:rFonts w:ascii="Arial" w:hAnsi="Arial" w:cs="Arial"/>
          <w:sz w:val="20"/>
          <w:szCs w:val="20"/>
        </w:rPr>
        <w:t xml:space="preserve"> </w:t>
      </w:r>
      <w:r w:rsidRPr="00B36A1C">
        <w:rPr>
          <w:rFonts w:ascii="Arial" w:hAnsi="Arial" w:cs="Arial"/>
          <w:sz w:val="20"/>
          <w:szCs w:val="20"/>
        </w:rPr>
        <w:t xml:space="preserve">    </w:t>
      </w:r>
    </w:p>
    <w:p w14:paraId="3D43E1C0" w14:textId="77777777" w:rsidR="005B2935" w:rsidRPr="00B36A1C" w:rsidRDefault="005B2935" w:rsidP="00223962">
      <w:pPr>
        <w:spacing w:after="0" w:line="240" w:lineRule="auto"/>
        <w:ind w:left="720" w:hanging="720"/>
        <w:jc w:val="both"/>
        <w:rPr>
          <w:rFonts w:ascii="Arial" w:hAnsi="Arial" w:cs="Arial"/>
          <w:sz w:val="20"/>
          <w:szCs w:val="20"/>
        </w:rPr>
      </w:pPr>
    </w:p>
    <w:sectPr w:rsidR="005B2935" w:rsidRPr="00B36A1C" w:rsidSect="00982274">
      <w:headerReference w:type="even" r:id="rId22"/>
      <w:headerReference w:type="default" r:id="rId23"/>
      <w:footerReference w:type="even" r:id="rId24"/>
      <w:footerReference w:type="default" r:id="rId25"/>
      <w:headerReference w:type="first" r:id="rId26"/>
      <w:footerReference w:type="first" r:id="rId27"/>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7B380" w14:textId="77777777" w:rsidR="00487DC5" w:rsidRDefault="00487DC5" w:rsidP="0029569B">
      <w:pPr>
        <w:spacing w:after="0" w:line="240" w:lineRule="auto"/>
      </w:pPr>
      <w:r>
        <w:separator/>
      </w:r>
    </w:p>
  </w:endnote>
  <w:endnote w:type="continuationSeparator" w:id="0">
    <w:p w14:paraId="2CA7568E" w14:textId="77777777" w:rsidR="00487DC5" w:rsidRDefault="00487DC5" w:rsidP="00295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Kalinga">
    <w:altName w:val="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URWPalladioL-Roma">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E5DF1" w14:textId="77777777" w:rsidR="0029569B" w:rsidRDefault="00295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28494" w14:textId="77777777" w:rsidR="0029569B" w:rsidRDefault="00295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B3711" w14:textId="77777777" w:rsidR="0029569B" w:rsidRDefault="00295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70ED" w14:textId="77777777" w:rsidR="00487DC5" w:rsidRDefault="00487DC5" w:rsidP="0029569B">
      <w:pPr>
        <w:spacing w:after="0" w:line="240" w:lineRule="auto"/>
      </w:pPr>
      <w:r>
        <w:separator/>
      </w:r>
    </w:p>
  </w:footnote>
  <w:footnote w:type="continuationSeparator" w:id="0">
    <w:p w14:paraId="51AC0AA7" w14:textId="77777777" w:rsidR="00487DC5" w:rsidRDefault="00487DC5" w:rsidP="00295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A64DD" w14:textId="66F9A2C1" w:rsidR="0029569B" w:rsidRDefault="0029569B">
    <w:pPr>
      <w:pStyle w:val="Header"/>
    </w:pPr>
    <w:r>
      <w:rPr>
        <w:noProof/>
      </w:rPr>
      <w:pict w14:anchorId="7C691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4F2B7" w14:textId="4640B3A2" w:rsidR="0029569B" w:rsidRDefault="0029569B">
    <w:pPr>
      <w:pStyle w:val="Header"/>
    </w:pPr>
    <w:r>
      <w:rPr>
        <w:noProof/>
      </w:rPr>
      <w:pict w14:anchorId="3D1E16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CE7FD" w14:textId="719B071D" w:rsidR="0029569B" w:rsidRDefault="0029569B">
    <w:pPr>
      <w:pStyle w:val="Header"/>
    </w:pPr>
    <w:r>
      <w:rPr>
        <w:noProof/>
      </w:rPr>
      <w:pict w14:anchorId="6911F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252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C366C"/>
    <w:multiLevelType w:val="hybridMultilevel"/>
    <w:tmpl w:val="3AFAF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874DA"/>
    <w:rsid w:val="0000046D"/>
    <w:rsid w:val="000045FB"/>
    <w:rsid w:val="0001278F"/>
    <w:rsid w:val="0001419D"/>
    <w:rsid w:val="0001572D"/>
    <w:rsid w:val="000200BC"/>
    <w:rsid w:val="00022F22"/>
    <w:rsid w:val="00024560"/>
    <w:rsid w:val="000266C3"/>
    <w:rsid w:val="00035CCC"/>
    <w:rsid w:val="000428CD"/>
    <w:rsid w:val="00044299"/>
    <w:rsid w:val="0005225A"/>
    <w:rsid w:val="00056D22"/>
    <w:rsid w:val="00061B02"/>
    <w:rsid w:val="00062CAC"/>
    <w:rsid w:val="00067FCB"/>
    <w:rsid w:val="000734E0"/>
    <w:rsid w:val="00073F27"/>
    <w:rsid w:val="000879A9"/>
    <w:rsid w:val="00090535"/>
    <w:rsid w:val="00091E27"/>
    <w:rsid w:val="00095495"/>
    <w:rsid w:val="000A0649"/>
    <w:rsid w:val="000A1143"/>
    <w:rsid w:val="000A27C0"/>
    <w:rsid w:val="000A3212"/>
    <w:rsid w:val="000A4A59"/>
    <w:rsid w:val="000A7F23"/>
    <w:rsid w:val="000B2F9B"/>
    <w:rsid w:val="000B38C1"/>
    <w:rsid w:val="000B63FD"/>
    <w:rsid w:val="000B6999"/>
    <w:rsid w:val="000B7A65"/>
    <w:rsid w:val="000C0CA4"/>
    <w:rsid w:val="000D0BBA"/>
    <w:rsid w:val="000D2C7F"/>
    <w:rsid w:val="000D4430"/>
    <w:rsid w:val="000D775F"/>
    <w:rsid w:val="000E0469"/>
    <w:rsid w:val="000E1677"/>
    <w:rsid w:val="000E6037"/>
    <w:rsid w:val="000E7827"/>
    <w:rsid w:val="000F2374"/>
    <w:rsid w:val="00106349"/>
    <w:rsid w:val="0011063F"/>
    <w:rsid w:val="0013615F"/>
    <w:rsid w:val="0013642C"/>
    <w:rsid w:val="00137638"/>
    <w:rsid w:val="00142975"/>
    <w:rsid w:val="001437EF"/>
    <w:rsid w:val="00154396"/>
    <w:rsid w:val="001619F1"/>
    <w:rsid w:val="00161A6E"/>
    <w:rsid w:val="0016708A"/>
    <w:rsid w:val="00167C5B"/>
    <w:rsid w:val="001716DB"/>
    <w:rsid w:val="0017478B"/>
    <w:rsid w:val="001853E2"/>
    <w:rsid w:val="00194B40"/>
    <w:rsid w:val="00195248"/>
    <w:rsid w:val="001A636D"/>
    <w:rsid w:val="001A679E"/>
    <w:rsid w:val="001B3430"/>
    <w:rsid w:val="001B5ACC"/>
    <w:rsid w:val="001C7A07"/>
    <w:rsid w:val="001D25ED"/>
    <w:rsid w:val="001E1AC7"/>
    <w:rsid w:val="001E7061"/>
    <w:rsid w:val="001E7B14"/>
    <w:rsid w:val="001F1FDA"/>
    <w:rsid w:val="001F74AE"/>
    <w:rsid w:val="001F7FAB"/>
    <w:rsid w:val="00201360"/>
    <w:rsid w:val="00201617"/>
    <w:rsid w:val="002108F0"/>
    <w:rsid w:val="0021405F"/>
    <w:rsid w:val="00215372"/>
    <w:rsid w:val="00223962"/>
    <w:rsid w:val="0023101B"/>
    <w:rsid w:val="00241E78"/>
    <w:rsid w:val="00246C1E"/>
    <w:rsid w:val="002534D2"/>
    <w:rsid w:val="002542C3"/>
    <w:rsid w:val="002549F7"/>
    <w:rsid w:val="002564DB"/>
    <w:rsid w:val="002646E2"/>
    <w:rsid w:val="00266057"/>
    <w:rsid w:val="00266531"/>
    <w:rsid w:val="00275F5C"/>
    <w:rsid w:val="002823BF"/>
    <w:rsid w:val="002829B7"/>
    <w:rsid w:val="0028313C"/>
    <w:rsid w:val="002868B3"/>
    <w:rsid w:val="0029569B"/>
    <w:rsid w:val="002A06BF"/>
    <w:rsid w:val="002A36F9"/>
    <w:rsid w:val="002A48FD"/>
    <w:rsid w:val="002A4F1F"/>
    <w:rsid w:val="002B3012"/>
    <w:rsid w:val="002B4DE7"/>
    <w:rsid w:val="002C1CA6"/>
    <w:rsid w:val="002D0E91"/>
    <w:rsid w:val="002D5AA7"/>
    <w:rsid w:val="002E2419"/>
    <w:rsid w:val="002F2591"/>
    <w:rsid w:val="00306412"/>
    <w:rsid w:val="003154C7"/>
    <w:rsid w:val="00315AC2"/>
    <w:rsid w:val="003160CD"/>
    <w:rsid w:val="00325BDC"/>
    <w:rsid w:val="00326DBE"/>
    <w:rsid w:val="003308EE"/>
    <w:rsid w:val="00330F05"/>
    <w:rsid w:val="0033269E"/>
    <w:rsid w:val="00332B1F"/>
    <w:rsid w:val="00344F56"/>
    <w:rsid w:val="00347249"/>
    <w:rsid w:val="00347A7C"/>
    <w:rsid w:val="0035386F"/>
    <w:rsid w:val="003539FD"/>
    <w:rsid w:val="0035669D"/>
    <w:rsid w:val="00360955"/>
    <w:rsid w:val="00373586"/>
    <w:rsid w:val="00376EB1"/>
    <w:rsid w:val="0037765A"/>
    <w:rsid w:val="00383BD7"/>
    <w:rsid w:val="00390113"/>
    <w:rsid w:val="00396C65"/>
    <w:rsid w:val="003A496C"/>
    <w:rsid w:val="003A6232"/>
    <w:rsid w:val="003B0822"/>
    <w:rsid w:val="003D47C0"/>
    <w:rsid w:val="003D645C"/>
    <w:rsid w:val="003D6DE7"/>
    <w:rsid w:val="003E05D9"/>
    <w:rsid w:val="003F0CDD"/>
    <w:rsid w:val="003F11A5"/>
    <w:rsid w:val="003F2382"/>
    <w:rsid w:val="003F3D01"/>
    <w:rsid w:val="003F4A91"/>
    <w:rsid w:val="003F5536"/>
    <w:rsid w:val="003F6E4C"/>
    <w:rsid w:val="00403FB8"/>
    <w:rsid w:val="00411EC3"/>
    <w:rsid w:val="004130C7"/>
    <w:rsid w:val="0041388C"/>
    <w:rsid w:val="004154CD"/>
    <w:rsid w:val="00421BA2"/>
    <w:rsid w:val="00421E6B"/>
    <w:rsid w:val="0042286D"/>
    <w:rsid w:val="00430DCA"/>
    <w:rsid w:val="0043370A"/>
    <w:rsid w:val="00433B38"/>
    <w:rsid w:val="0044129F"/>
    <w:rsid w:val="004422A9"/>
    <w:rsid w:val="00454B61"/>
    <w:rsid w:val="00457650"/>
    <w:rsid w:val="004621C7"/>
    <w:rsid w:val="00467B3D"/>
    <w:rsid w:val="004707B6"/>
    <w:rsid w:val="00476EEF"/>
    <w:rsid w:val="00484378"/>
    <w:rsid w:val="00487DC5"/>
    <w:rsid w:val="00496456"/>
    <w:rsid w:val="004A21DC"/>
    <w:rsid w:val="004A3EAB"/>
    <w:rsid w:val="004A45E0"/>
    <w:rsid w:val="004A66B7"/>
    <w:rsid w:val="004B0AD0"/>
    <w:rsid w:val="004B0E51"/>
    <w:rsid w:val="004B1B5E"/>
    <w:rsid w:val="004B3F4E"/>
    <w:rsid w:val="004C7165"/>
    <w:rsid w:val="004D1C2D"/>
    <w:rsid w:val="004D25D8"/>
    <w:rsid w:val="004D265A"/>
    <w:rsid w:val="004F1884"/>
    <w:rsid w:val="004F7337"/>
    <w:rsid w:val="004F7BB5"/>
    <w:rsid w:val="005004E8"/>
    <w:rsid w:val="005107B3"/>
    <w:rsid w:val="005173ED"/>
    <w:rsid w:val="00522C2A"/>
    <w:rsid w:val="005266DB"/>
    <w:rsid w:val="00534819"/>
    <w:rsid w:val="00534EA5"/>
    <w:rsid w:val="00535ABA"/>
    <w:rsid w:val="00536BA1"/>
    <w:rsid w:val="005374D4"/>
    <w:rsid w:val="005437AA"/>
    <w:rsid w:val="00543A55"/>
    <w:rsid w:val="00545976"/>
    <w:rsid w:val="005476DE"/>
    <w:rsid w:val="00554651"/>
    <w:rsid w:val="0056413C"/>
    <w:rsid w:val="005650AD"/>
    <w:rsid w:val="0057434A"/>
    <w:rsid w:val="00574C90"/>
    <w:rsid w:val="00580A74"/>
    <w:rsid w:val="00584A94"/>
    <w:rsid w:val="005900C9"/>
    <w:rsid w:val="00595A8E"/>
    <w:rsid w:val="005A2B83"/>
    <w:rsid w:val="005A4933"/>
    <w:rsid w:val="005B2935"/>
    <w:rsid w:val="005B7ABE"/>
    <w:rsid w:val="005C548D"/>
    <w:rsid w:val="005C659B"/>
    <w:rsid w:val="005C7A7F"/>
    <w:rsid w:val="005D1322"/>
    <w:rsid w:val="005D2796"/>
    <w:rsid w:val="005D4825"/>
    <w:rsid w:val="005E16D0"/>
    <w:rsid w:val="005E57ED"/>
    <w:rsid w:val="005E612A"/>
    <w:rsid w:val="005E7B45"/>
    <w:rsid w:val="005F2FF1"/>
    <w:rsid w:val="005F375A"/>
    <w:rsid w:val="005F466E"/>
    <w:rsid w:val="005F763D"/>
    <w:rsid w:val="00602FCC"/>
    <w:rsid w:val="006145E9"/>
    <w:rsid w:val="00617610"/>
    <w:rsid w:val="00626761"/>
    <w:rsid w:val="00633508"/>
    <w:rsid w:val="0063559C"/>
    <w:rsid w:val="00635DE0"/>
    <w:rsid w:val="006367B9"/>
    <w:rsid w:val="00641A95"/>
    <w:rsid w:val="0064421A"/>
    <w:rsid w:val="006463EC"/>
    <w:rsid w:val="006519DA"/>
    <w:rsid w:val="0067065C"/>
    <w:rsid w:val="0067220F"/>
    <w:rsid w:val="00676DC9"/>
    <w:rsid w:val="00681E1C"/>
    <w:rsid w:val="006931A1"/>
    <w:rsid w:val="00697511"/>
    <w:rsid w:val="006B26A9"/>
    <w:rsid w:val="006B7EE6"/>
    <w:rsid w:val="006D31BE"/>
    <w:rsid w:val="006E1DB1"/>
    <w:rsid w:val="006E4D47"/>
    <w:rsid w:val="006F406B"/>
    <w:rsid w:val="006F4A1B"/>
    <w:rsid w:val="006F55A3"/>
    <w:rsid w:val="007026E5"/>
    <w:rsid w:val="0070549F"/>
    <w:rsid w:val="007059BE"/>
    <w:rsid w:val="00707AA1"/>
    <w:rsid w:val="00711DC0"/>
    <w:rsid w:val="007133A9"/>
    <w:rsid w:val="00714691"/>
    <w:rsid w:val="00715862"/>
    <w:rsid w:val="00723C64"/>
    <w:rsid w:val="00732C38"/>
    <w:rsid w:val="0073408D"/>
    <w:rsid w:val="0074036B"/>
    <w:rsid w:val="0074047D"/>
    <w:rsid w:val="00746A5A"/>
    <w:rsid w:val="00752DA5"/>
    <w:rsid w:val="00760161"/>
    <w:rsid w:val="0076763C"/>
    <w:rsid w:val="00772F31"/>
    <w:rsid w:val="007736E2"/>
    <w:rsid w:val="00774285"/>
    <w:rsid w:val="00774CF4"/>
    <w:rsid w:val="00777FC2"/>
    <w:rsid w:val="0078297F"/>
    <w:rsid w:val="007931B3"/>
    <w:rsid w:val="007935D6"/>
    <w:rsid w:val="0079379D"/>
    <w:rsid w:val="00793FA3"/>
    <w:rsid w:val="00797764"/>
    <w:rsid w:val="007A1864"/>
    <w:rsid w:val="007A320E"/>
    <w:rsid w:val="007A49AB"/>
    <w:rsid w:val="007A4B81"/>
    <w:rsid w:val="007A5B3C"/>
    <w:rsid w:val="007A6776"/>
    <w:rsid w:val="007A6BD7"/>
    <w:rsid w:val="007A7B57"/>
    <w:rsid w:val="007A7BD2"/>
    <w:rsid w:val="007B5C56"/>
    <w:rsid w:val="007B75A9"/>
    <w:rsid w:val="007B7FB5"/>
    <w:rsid w:val="007C1ABA"/>
    <w:rsid w:val="007C51DA"/>
    <w:rsid w:val="007D6ACF"/>
    <w:rsid w:val="007F79C1"/>
    <w:rsid w:val="00810993"/>
    <w:rsid w:val="008147FF"/>
    <w:rsid w:val="008330BD"/>
    <w:rsid w:val="00836BA1"/>
    <w:rsid w:val="00842416"/>
    <w:rsid w:val="008438D9"/>
    <w:rsid w:val="00844A0C"/>
    <w:rsid w:val="00844D5F"/>
    <w:rsid w:val="00854057"/>
    <w:rsid w:val="00854839"/>
    <w:rsid w:val="008632A0"/>
    <w:rsid w:val="0087087F"/>
    <w:rsid w:val="00871D01"/>
    <w:rsid w:val="00871DA1"/>
    <w:rsid w:val="00874903"/>
    <w:rsid w:val="00877DBD"/>
    <w:rsid w:val="0088466F"/>
    <w:rsid w:val="008A3FA0"/>
    <w:rsid w:val="008B393E"/>
    <w:rsid w:val="008B4497"/>
    <w:rsid w:val="008C0F6F"/>
    <w:rsid w:val="008C4140"/>
    <w:rsid w:val="008C49AE"/>
    <w:rsid w:val="008D1C5D"/>
    <w:rsid w:val="008D400C"/>
    <w:rsid w:val="008D53FF"/>
    <w:rsid w:val="008E46AD"/>
    <w:rsid w:val="008E5461"/>
    <w:rsid w:val="008F3B98"/>
    <w:rsid w:val="008F7BAC"/>
    <w:rsid w:val="0090022D"/>
    <w:rsid w:val="00904E6B"/>
    <w:rsid w:val="0090566A"/>
    <w:rsid w:val="009154C4"/>
    <w:rsid w:val="00920753"/>
    <w:rsid w:val="00920FBC"/>
    <w:rsid w:val="009312EC"/>
    <w:rsid w:val="009326C5"/>
    <w:rsid w:val="009366A6"/>
    <w:rsid w:val="00950919"/>
    <w:rsid w:val="00960C2A"/>
    <w:rsid w:val="0096450F"/>
    <w:rsid w:val="00964CDF"/>
    <w:rsid w:val="00973760"/>
    <w:rsid w:val="00973E41"/>
    <w:rsid w:val="00981CCD"/>
    <w:rsid w:val="00982274"/>
    <w:rsid w:val="0098353F"/>
    <w:rsid w:val="00983C1F"/>
    <w:rsid w:val="00991B74"/>
    <w:rsid w:val="00995764"/>
    <w:rsid w:val="00996303"/>
    <w:rsid w:val="009A3D72"/>
    <w:rsid w:val="009A7913"/>
    <w:rsid w:val="009B149F"/>
    <w:rsid w:val="009B2BDF"/>
    <w:rsid w:val="009B72B1"/>
    <w:rsid w:val="009B77EE"/>
    <w:rsid w:val="009C548B"/>
    <w:rsid w:val="009D3F97"/>
    <w:rsid w:val="009D5E3E"/>
    <w:rsid w:val="009E21D0"/>
    <w:rsid w:val="009E2467"/>
    <w:rsid w:val="009E6D4F"/>
    <w:rsid w:val="009F54EE"/>
    <w:rsid w:val="009F66F1"/>
    <w:rsid w:val="00A03D2C"/>
    <w:rsid w:val="00A04A17"/>
    <w:rsid w:val="00A06B21"/>
    <w:rsid w:val="00A07C0A"/>
    <w:rsid w:val="00A1162E"/>
    <w:rsid w:val="00A201E1"/>
    <w:rsid w:val="00A231BF"/>
    <w:rsid w:val="00A36AB2"/>
    <w:rsid w:val="00A444BC"/>
    <w:rsid w:val="00A51B3F"/>
    <w:rsid w:val="00A52616"/>
    <w:rsid w:val="00A5503C"/>
    <w:rsid w:val="00A646A6"/>
    <w:rsid w:val="00A82CFE"/>
    <w:rsid w:val="00A866A1"/>
    <w:rsid w:val="00A86B8F"/>
    <w:rsid w:val="00A874DA"/>
    <w:rsid w:val="00A9148D"/>
    <w:rsid w:val="00A96A6A"/>
    <w:rsid w:val="00A97A50"/>
    <w:rsid w:val="00AA18C2"/>
    <w:rsid w:val="00AA38F1"/>
    <w:rsid w:val="00AA4712"/>
    <w:rsid w:val="00AA511B"/>
    <w:rsid w:val="00AB5C0B"/>
    <w:rsid w:val="00AC0EF5"/>
    <w:rsid w:val="00AD195D"/>
    <w:rsid w:val="00AD1F7F"/>
    <w:rsid w:val="00AD7E09"/>
    <w:rsid w:val="00AE041C"/>
    <w:rsid w:val="00AE19BF"/>
    <w:rsid w:val="00AE4D4D"/>
    <w:rsid w:val="00AF0B02"/>
    <w:rsid w:val="00AF37B4"/>
    <w:rsid w:val="00AF421D"/>
    <w:rsid w:val="00B021EC"/>
    <w:rsid w:val="00B101DD"/>
    <w:rsid w:val="00B21506"/>
    <w:rsid w:val="00B35E75"/>
    <w:rsid w:val="00B36216"/>
    <w:rsid w:val="00B36A1C"/>
    <w:rsid w:val="00B36F5D"/>
    <w:rsid w:val="00B3720D"/>
    <w:rsid w:val="00B456D1"/>
    <w:rsid w:val="00B57087"/>
    <w:rsid w:val="00B57C67"/>
    <w:rsid w:val="00B605A4"/>
    <w:rsid w:val="00B64F0F"/>
    <w:rsid w:val="00B6701E"/>
    <w:rsid w:val="00B710DA"/>
    <w:rsid w:val="00B83154"/>
    <w:rsid w:val="00B842E0"/>
    <w:rsid w:val="00B861E3"/>
    <w:rsid w:val="00B91C4A"/>
    <w:rsid w:val="00B93CFB"/>
    <w:rsid w:val="00B9404F"/>
    <w:rsid w:val="00B94250"/>
    <w:rsid w:val="00B97BFD"/>
    <w:rsid w:val="00BA0D9B"/>
    <w:rsid w:val="00BA1E16"/>
    <w:rsid w:val="00BA2A0C"/>
    <w:rsid w:val="00BA3241"/>
    <w:rsid w:val="00BA3750"/>
    <w:rsid w:val="00BB2294"/>
    <w:rsid w:val="00BB27F3"/>
    <w:rsid w:val="00BC54C3"/>
    <w:rsid w:val="00BD006D"/>
    <w:rsid w:val="00BD640C"/>
    <w:rsid w:val="00BE74D4"/>
    <w:rsid w:val="00BE7759"/>
    <w:rsid w:val="00BE798F"/>
    <w:rsid w:val="00BF014A"/>
    <w:rsid w:val="00BF042C"/>
    <w:rsid w:val="00BF08E2"/>
    <w:rsid w:val="00BF2A38"/>
    <w:rsid w:val="00BF41FF"/>
    <w:rsid w:val="00BF5AF5"/>
    <w:rsid w:val="00C05852"/>
    <w:rsid w:val="00C05A8F"/>
    <w:rsid w:val="00C078CB"/>
    <w:rsid w:val="00C120BB"/>
    <w:rsid w:val="00C13CF4"/>
    <w:rsid w:val="00C21CD9"/>
    <w:rsid w:val="00C21DCD"/>
    <w:rsid w:val="00C23AF8"/>
    <w:rsid w:val="00C25220"/>
    <w:rsid w:val="00C30321"/>
    <w:rsid w:val="00C3282F"/>
    <w:rsid w:val="00C426A7"/>
    <w:rsid w:val="00C45D7E"/>
    <w:rsid w:val="00C47E9B"/>
    <w:rsid w:val="00C51F4B"/>
    <w:rsid w:val="00C55CFF"/>
    <w:rsid w:val="00C56E39"/>
    <w:rsid w:val="00C5747D"/>
    <w:rsid w:val="00C67784"/>
    <w:rsid w:val="00C76253"/>
    <w:rsid w:val="00C80A77"/>
    <w:rsid w:val="00C817A7"/>
    <w:rsid w:val="00C81ABB"/>
    <w:rsid w:val="00C8302D"/>
    <w:rsid w:val="00C84FD4"/>
    <w:rsid w:val="00C87A5E"/>
    <w:rsid w:val="00C87B85"/>
    <w:rsid w:val="00C95ECC"/>
    <w:rsid w:val="00C96AD5"/>
    <w:rsid w:val="00CA1835"/>
    <w:rsid w:val="00CB1591"/>
    <w:rsid w:val="00CB3221"/>
    <w:rsid w:val="00CB38DF"/>
    <w:rsid w:val="00CB4762"/>
    <w:rsid w:val="00CB6472"/>
    <w:rsid w:val="00CC136A"/>
    <w:rsid w:val="00CC18EA"/>
    <w:rsid w:val="00CC52A2"/>
    <w:rsid w:val="00CD1E38"/>
    <w:rsid w:val="00CD3107"/>
    <w:rsid w:val="00CD5E31"/>
    <w:rsid w:val="00CE2126"/>
    <w:rsid w:val="00CE30B5"/>
    <w:rsid w:val="00CE3D83"/>
    <w:rsid w:val="00CF69DB"/>
    <w:rsid w:val="00D01942"/>
    <w:rsid w:val="00D0326F"/>
    <w:rsid w:val="00D04816"/>
    <w:rsid w:val="00D04D32"/>
    <w:rsid w:val="00D178E0"/>
    <w:rsid w:val="00D30306"/>
    <w:rsid w:val="00D35ADB"/>
    <w:rsid w:val="00D51140"/>
    <w:rsid w:val="00D6259E"/>
    <w:rsid w:val="00D6617E"/>
    <w:rsid w:val="00D74DCD"/>
    <w:rsid w:val="00D86E5E"/>
    <w:rsid w:val="00D878F7"/>
    <w:rsid w:val="00D948E6"/>
    <w:rsid w:val="00D950C4"/>
    <w:rsid w:val="00D95350"/>
    <w:rsid w:val="00DA33D1"/>
    <w:rsid w:val="00DB6920"/>
    <w:rsid w:val="00DC634F"/>
    <w:rsid w:val="00DC7CFF"/>
    <w:rsid w:val="00DD0B24"/>
    <w:rsid w:val="00DD0B71"/>
    <w:rsid w:val="00DD1009"/>
    <w:rsid w:val="00DD7B11"/>
    <w:rsid w:val="00DD7E1F"/>
    <w:rsid w:val="00DE32BF"/>
    <w:rsid w:val="00DE4712"/>
    <w:rsid w:val="00DE6006"/>
    <w:rsid w:val="00DF0814"/>
    <w:rsid w:val="00DF1687"/>
    <w:rsid w:val="00E13F2D"/>
    <w:rsid w:val="00E22BF4"/>
    <w:rsid w:val="00E244F2"/>
    <w:rsid w:val="00E30E90"/>
    <w:rsid w:val="00E3141A"/>
    <w:rsid w:val="00E31DF4"/>
    <w:rsid w:val="00E324FC"/>
    <w:rsid w:val="00E35A5D"/>
    <w:rsid w:val="00E44AC9"/>
    <w:rsid w:val="00E463EC"/>
    <w:rsid w:val="00E60098"/>
    <w:rsid w:val="00E632E2"/>
    <w:rsid w:val="00E63DDC"/>
    <w:rsid w:val="00E77208"/>
    <w:rsid w:val="00E83268"/>
    <w:rsid w:val="00E86EEE"/>
    <w:rsid w:val="00E874CF"/>
    <w:rsid w:val="00E87A52"/>
    <w:rsid w:val="00E87E9D"/>
    <w:rsid w:val="00E87F59"/>
    <w:rsid w:val="00E90531"/>
    <w:rsid w:val="00EA1A71"/>
    <w:rsid w:val="00EB1DA7"/>
    <w:rsid w:val="00EB606A"/>
    <w:rsid w:val="00EB748F"/>
    <w:rsid w:val="00EB77EF"/>
    <w:rsid w:val="00EC6B38"/>
    <w:rsid w:val="00EE537B"/>
    <w:rsid w:val="00EE59F3"/>
    <w:rsid w:val="00EF6D56"/>
    <w:rsid w:val="00F055AB"/>
    <w:rsid w:val="00F11C4C"/>
    <w:rsid w:val="00F16D9F"/>
    <w:rsid w:val="00F178AF"/>
    <w:rsid w:val="00F21477"/>
    <w:rsid w:val="00F3020F"/>
    <w:rsid w:val="00F33AD1"/>
    <w:rsid w:val="00F37C74"/>
    <w:rsid w:val="00F429D6"/>
    <w:rsid w:val="00F45526"/>
    <w:rsid w:val="00F459C2"/>
    <w:rsid w:val="00F46CFA"/>
    <w:rsid w:val="00F51322"/>
    <w:rsid w:val="00F51F83"/>
    <w:rsid w:val="00F53183"/>
    <w:rsid w:val="00F56FDC"/>
    <w:rsid w:val="00F57259"/>
    <w:rsid w:val="00F620A8"/>
    <w:rsid w:val="00F64DCA"/>
    <w:rsid w:val="00F671D9"/>
    <w:rsid w:val="00F72EBA"/>
    <w:rsid w:val="00F77EF5"/>
    <w:rsid w:val="00F905F5"/>
    <w:rsid w:val="00F91DEA"/>
    <w:rsid w:val="00F955BF"/>
    <w:rsid w:val="00FA0FEB"/>
    <w:rsid w:val="00FB50EB"/>
    <w:rsid w:val="00FB67EF"/>
    <w:rsid w:val="00FB6EB4"/>
    <w:rsid w:val="00FB76DA"/>
    <w:rsid w:val="00FC72FA"/>
    <w:rsid w:val="00FC73AD"/>
    <w:rsid w:val="00FC780A"/>
    <w:rsid w:val="00FD0426"/>
    <w:rsid w:val="00FD1053"/>
    <w:rsid w:val="00FD3EDC"/>
    <w:rsid w:val="00FE27BE"/>
    <w:rsid w:val="00FE2E68"/>
    <w:rsid w:val="00FE3F9D"/>
    <w:rsid w:val="00FF09D1"/>
    <w:rsid w:val="00FF1877"/>
    <w:rsid w:val="00FF1C50"/>
    <w:rsid w:val="00FF3B7D"/>
    <w:rsid w:val="00FF6931"/>
  </w:rsids>
  <m:mathPr>
    <m:mathFont m:val="Cambria Math"/>
    <m:brkBin m:val="before"/>
    <m:brkBinSub m:val="--"/>
    <m:smallFrac/>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E03FDB9"/>
  <w15:docId w15:val="{21B6A378-F56B-48D5-9F1E-81576D12A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6DE7"/>
  </w:style>
  <w:style w:type="paragraph" w:styleId="Heading2">
    <w:name w:val="heading 2"/>
    <w:basedOn w:val="Normal"/>
    <w:next w:val="Normal"/>
    <w:link w:val="Heading2Char"/>
    <w:uiPriority w:val="9"/>
    <w:unhideWhenUsed/>
    <w:qFormat/>
    <w:rsid w:val="00797764"/>
    <w:pPr>
      <w:keepNext/>
      <w:spacing w:after="0" w:line="240" w:lineRule="auto"/>
      <w:jc w:val="center"/>
      <w:outlineLvl w:val="1"/>
    </w:pPr>
    <w:rPr>
      <w:rFonts w:ascii="Times New Roman" w:hAnsi="Times New Roman" w:cs="Times New Roman"/>
      <w:b/>
      <w:bCs/>
      <w:kern w:val="2"/>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B3C"/>
    <w:rPr>
      <w:color w:val="0000FF"/>
      <w:u w:val="single"/>
    </w:rPr>
  </w:style>
  <w:style w:type="table" w:styleId="TableGrid">
    <w:name w:val="Table Grid"/>
    <w:basedOn w:val="TableNormal"/>
    <w:uiPriority w:val="59"/>
    <w:rsid w:val="002310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neNumber">
    <w:name w:val="line number"/>
    <w:basedOn w:val="DefaultParagraphFont"/>
    <w:uiPriority w:val="99"/>
    <w:semiHidden/>
    <w:unhideWhenUsed/>
    <w:rsid w:val="00E77208"/>
  </w:style>
  <w:style w:type="paragraph" w:styleId="BalloonText">
    <w:name w:val="Balloon Text"/>
    <w:basedOn w:val="Normal"/>
    <w:link w:val="BalloonTextChar"/>
    <w:uiPriority w:val="99"/>
    <w:semiHidden/>
    <w:unhideWhenUsed/>
    <w:rsid w:val="004D1C2D"/>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4D1C2D"/>
    <w:rPr>
      <w:rFonts w:ascii="Tahoma" w:hAnsi="Tahoma" w:cs="Tahoma"/>
      <w:sz w:val="16"/>
      <w:szCs w:val="20"/>
    </w:rPr>
  </w:style>
  <w:style w:type="paragraph" w:customStyle="1" w:styleId="Pa4">
    <w:name w:val="Pa4"/>
    <w:basedOn w:val="Normal"/>
    <w:next w:val="Normal"/>
    <w:uiPriority w:val="99"/>
    <w:rsid w:val="00EB748F"/>
    <w:pPr>
      <w:autoSpaceDE w:val="0"/>
      <w:autoSpaceDN w:val="0"/>
      <w:adjustRightInd w:val="0"/>
      <w:spacing w:after="0" w:line="221" w:lineRule="atLeast"/>
    </w:pPr>
    <w:rPr>
      <w:rFonts w:ascii="Helvetica" w:hAnsi="Helvetica"/>
      <w:sz w:val="24"/>
      <w:szCs w:val="24"/>
    </w:rPr>
  </w:style>
  <w:style w:type="character" w:customStyle="1" w:styleId="A4">
    <w:name w:val="A4"/>
    <w:uiPriority w:val="99"/>
    <w:rsid w:val="00EB748F"/>
    <w:rPr>
      <w:rFonts w:cs="Helvetica"/>
      <w:color w:val="000000"/>
      <w:sz w:val="18"/>
      <w:szCs w:val="18"/>
    </w:rPr>
  </w:style>
  <w:style w:type="paragraph" w:styleId="ListParagraph">
    <w:name w:val="List Paragraph"/>
    <w:basedOn w:val="Normal"/>
    <w:uiPriority w:val="34"/>
    <w:qFormat/>
    <w:rsid w:val="00EB748F"/>
    <w:pPr>
      <w:ind w:left="720"/>
      <w:contextualSpacing/>
    </w:pPr>
  </w:style>
  <w:style w:type="paragraph" w:customStyle="1" w:styleId="Default">
    <w:name w:val="Default"/>
    <w:rsid w:val="00BA1E16"/>
    <w:pPr>
      <w:autoSpaceDE w:val="0"/>
      <w:autoSpaceDN w:val="0"/>
      <w:adjustRightInd w:val="0"/>
      <w:spacing w:after="0" w:line="240" w:lineRule="auto"/>
    </w:pPr>
    <w:rPr>
      <w:rFonts w:ascii="Arial" w:hAnsi="Arial" w:cs="Arial"/>
      <w:color w:val="000000"/>
      <w:sz w:val="24"/>
      <w:szCs w:val="24"/>
      <w:lang w:bidi="or-IN"/>
    </w:rPr>
  </w:style>
  <w:style w:type="character" w:customStyle="1" w:styleId="Heading2Char">
    <w:name w:val="Heading 2 Char"/>
    <w:basedOn w:val="DefaultParagraphFont"/>
    <w:link w:val="Heading2"/>
    <w:uiPriority w:val="9"/>
    <w:rsid w:val="00797764"/>
    <w:rPr>
      <w:rFonts w:ascii="Times New Roman" w:hAnsi="Times New Roman" w:cs="Times New Roman"/>
      <w:b/>
      <w:bCs/>
      <w:kern w:val="2"/>
      <w:sz w:val="24"/>
      <w:szCs w:val="24"/>
      <w:lang w:val="en-IN" w:bidi="ar-SA"/>
    </w:rPr>
  </w:style>
  <w:style w:type="paragraph" w:styleId="NormalWeb">
    <w:name w:val="Normal (Web)"/>
    <w:basedOn w:val="Normal"/>
    <w:uiPriority w:val="99"/>
    <w:unhideWhenUsed/>
    <w:rsid w:val="00484378"/>
    <w:pPr>
      <w:spacing w:before="100" w:beforeAutospacing="1" w:after="100" w:afterAutospacing="1" w:line="240" w:lineRule="auto"/>
    </w:pPr>
    <w:rPr>
      <w:rFonts w:ascii="Times New Roman" w:eastAsia="Times New Roman" w:hAnsi="Times New Roman" w:cs="Times New Roman"/>
      <w:sz w:val="24"/>
      <w:szCs w:val="24"/>
      <w:lang w:val="en-IN" w:eastAsia="en-IN" w:bidi="or-IN"/>
    </w:rPr>
  </w:style>
  <w:style w:type="paragraph" w:styleId="Header">
    <w:name w:val="header"/>
    <w:basedOn w:val="Normal"/>
    <w:link w:val="HeaderChar"/>
    <w:uiPriority w:val="99"/>
    <w:unhideWhenUsed/>
    <w:rsid w:val="00295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69B"/>
  </w:style>
  <w:style w:type="paragraph" w:styleId="Footer">
    <w:name w:val="footer"/>
    <w:basedOn w:val="Normal"/>
    <w:link w:val="FooterChar"/>
    <w:uiPriority w:val="99"/>
    <w:unhideWhenUsed/>
    <w:rsid w:val="002956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1026">
      <w:bodyDiv w:val="1"/>
      <w:marLeft w:val="0"/>
      <w:marRight w:val="0"/>
      <w:marTop w:val="0"/>
      <w:marBottom w:val="0"/>
      <w:divBdr>
        <w:top w:val="none" w:sz="0" w:space="0" w:color="auto"/>
        <w:left w:val="none" w:sz="0" w:space="0" w:color="auto"/>
        <w:bottom w:val="none" w:sz="0" w:space="0" w:color="auto"/>
        <w:right w:val="none" w:sz="0" w:space="0" w:color="auto"/>
      </w:divBdr>
    </w:div>
    <w:div w:id="169637313">
      <w:bodyDiv w:val="1"/>
      <w:marLeft w:val="0"/>
      <w:marRight w:val="0"/>
      <w:marTop w:val="0"/>
      <w:marBottom w:val="0"/>
      <w:divBdr>
        <w:top w:val="none" w:sz="0" w:space="0" w:color="auto"/>
        <w:left w:val="none" w:sz="0" w:space="0" w:color="auto"/>
        <w:bottom w:val="none" w:sz="0" w:space="0" w:color="auto"/>
        <w:right w:val="none" w:sz="0" w:space="0" w:color="auto"/>
      </w:divBdr>
    </w:div>
    <w:div w:id="199318416">
      <w:bodyDiv w:val="1"/>
      <w:marLeft w:val="0"/>
      <w:marRight w:val="0"/>
      <w:marTop w:val="0"/>
      <w:marBottom w:val="0"/>
      <w:divBdr>
        <w:top w:val="none" w:sz="0" w:space="0" w:color="auto"/>
        <w:left w:val="none" w:sz="0" w:space="0" w:color="auto"/>
        <w:bottom w:val="none" w:sz="0" w:space="0" w:color="auto"/>
        <w:right w:val="none" w:sz="0" w:space="0" w:color="auto"/>
      </w:divBdr>
    </w:div>
    <w:div w:id="200944537">
      <w:bodyDiv w:val="1"/>
      <w:marLeft w:val="0"/>
      <w:marRight w:val="0"/>
      <w:marTop w:val="0"/>
      <w:marBottom w:val="0"/>
      <w:divBdr>
        <w:top w:val="none" w:sz="0" w:space="0" w:color="auto"/>
        <w:left w:val="none" w:sz="0" w:space="0" w:color="auto"/>
        <w:bottom w:val="none" w:sz="0" w:space="0" w:color="auto"/>
        <w:right w:val="none" w:sz="0" w:space="0" w:color="auto"/>
      </w:divBdr>
    </w:div>
    <w:div w:id="203443483">
      <w:bodyDiv w:val="1"/>
      <w:marLeft w:val="0"/>
      <w:marRight w:val="0"/>
      <w:marTop w:val="0"/>
      <w:marBottom w:val="0"/>
      <w:divBdr>
        <w:top w:val="none" w:sz="0" w:space="0" w:color="auto"/>
        <w:left w:val="none" w:sz="0" w:space="0" w:color="auto"/>
        <w:bottom w:val="none" w:sz="0" w:space="0" w:color="auto"/>
        <w:right w:val="none" w:sz="0" w:space="0" w:color="auto"/>
      </w:divBdr>
    </w:div>
    <w:div w:id="273945608">
      <w:bodyDiv w:val="1"/>
      <w:marLeft w:val="0"/>
      <w:marRight w:val="0"/>
      <w:marTop w:val="0"/>
      <w:marBottom w:val="0"/>
      <w:divBdr>
        <w:top w:val="none" w:sz="0" w:space="0" w:color="auto"/>
        <w:left w:val="none" w:sz="0" w:space="0" w:color="auto"/>
        <w:bottom w:val="none" w:sz="0" w:space="0" w:color="auto"/>
        <w:right w:val="none" w:sz="0" w:space="0" w:color="auto"/>
      </w:divBdr>
    </w:div>
    <w:div w:id="283393241">
      <w:bodyDiv w:val="1"/>
      <w:marLeft w:val="0"/>
      <w:marRight w:val="0"/>
      <w:marTop w:val="0"/>
      <w:marBottom w:val="0"/>
      <w:divBdr>
        <w:top w:val="none" w:sz="0" w:space="0" w:color="auto"/>
        <w:left w:val="none" w:sz="0" w:space="0" w:color="auto"/>
        <w:bottom w:val="none" w:sz="0" w:space="0" w:color="auto"/>
        <w:right w:val="none" w:sz="0" w:space="0" w:color="auto"/>
      </w:divBdr>
    </w:div>
    <w:div w:id="351763824">
      <w:bodyDiv w:val="1"/>
      <w:marLeft w:val="0"/>
      <w:marRight w:val="0"/>
      <w:marTop w:val="0"/>
      <w:marBottom w:val="0"/>
      <w:divBdr>
        <w:top w:val="none" w:sz="0" w:space="0" w:color="auto"/>
        <w:left w:val="none" w:sz="0" w:space="0" w:color="auto"/>
        <w:bottom w:val="none" w:sz="0" w:space="0" w:color="auto"/>
        <w:right w:val="none" w:sz="0" w:space="0" w:color="auto"/>
      </w:divBdr>
    </w:div>
    <w:div w:id="360979533">
      <w:bodyDiv w:val="1"/>
      <w:marLeft w:val="0"/>
      <w:marRight w:val="0"/>
      <w:marTop w:val="0"/>
      <w:marBottom w:val="0"/>
      <w:divBdr>
        <w:top w:val="none" w:sz="0" w:space="0" w:color="auto"/>
        <w:left w:val="none" w:sz="0" w:space="0" w:color="auto"/>
        <w:bottom w:val="none" w:sz="0" w:space="0" w:color="auto"/>
        <w:right w:val="none" w:sz="0" w:space="0" w:color="auto"/>
      </w:divBdr>
    </w:div>
    <w:div w:id="378209160">
      <w:bodyDiv w:val="1"/>
      <w:marLeft w:val="0"/>
      <w:marRight w:val="0"/>
      <w:marTop w:val="0"/>
      <w:marBottom w:val="0"/>
      <w:divBdr>
        <w:top w:val="none" w:sz="0" w:space="0" w:color="auto"/>
        <w:left w:val="none" w:sz="0" w:space="0" w:color="auto"/>
        <w:bottom w:val="none" w:sz="0" w:space="0" w:color="auto"/>
        <w:right w:val="none" w:sz="0" w:space="0" w:color="auto"/>
      </w:divBdr>
    </w:div>
    <w:div w:id="439298366">
      <w:bodyDiv w:val="1"/>
      <w:marLeft w:val="0"/>
      <w:marRight w:val="0"/>
      <w:marTop w:val="0"/>
      <w:marBottom w:val="0"/>
      <w:divBdr>
        <w:top w:val="none" w:sz="0" w:space="0" w:color="auto"/>
        <w:left w:val="none" w:sz="0" w:space="0" w:color="auto"/>
        <w:bottom w:val="none" w:sz="0" w:space="0" w:color="auto"/>
        <w:right w:val="none" w:sz="0" w:space="0" w:color="auto"/>
      </w:divBdr>
    </w:div>
    <w:div w:id="493180307">
      <w:bodyDiv w:val="1"/>
      <w:marLeft w:val="0"/>
      <w:marRight w:val="0"/>
      <w:marTop w:val="0"/>
      <w:marBottom w:val="0"/>
      <w:divBdr>
        <w:top w:val="none" w:sz="0" w:space="0" w:color="auto"/>
        <w:left w:val="none" w:sz="0" w:space="0" w:color="auto"/>
        <w:bottom w:val="none" w:sz="0" w:space="0" w:color="auto"/>
        <w:right w:val="none" w:sz="0" w:space="0" w:color="auto"/>
      </w:divBdr>
    </w:div>
    <w:div w:id="586501436">
      <w:bodyDiv w:val="1"/>
      <w:marLeft w:val="0"/>
      <w:marRight w:val="0"/>
      <w:marTop w:val="0"/>
      <w:marBottom w:val="0"/>
      <w:divBdr>
        <w:top w:val="none" w:sz="0" w:space="0" w:color="auto"/>
        <w:left w:val="none" w:sz="0" w:space="0" w:color="auto"/>
        <w:bottom w:val="none" w:sz="0" w:space="0" w:color="auto"/>
        <w:right w:val="none" w:sz="0" w:space="0" w:color="auto"/>
      </w:divBdr>
    </w:div>
    <w:div w:id="587543354">
      <w:bodyDiv w:val="1"/>
      <w:marLeft w:val="0"/>
      <w:marRight w:val="0"/>
      <w:marTop w:val="0"/>
      <w:marBottom w:val="0"/>
      <w:divBdr>
        <w:top w:val="none" w:sz="0" w:space="0" w:color="auto"/>
        <w:left w:val="none" w:sz="0" w:space="0" w:color="auto"/>
        <w:bottom w:val="none" w:sz="0" w:space="0" w:color="auto"/>
        <w:right w:val="none" w:sz="0" w:space="0" w:color="auto"/>
      </w:divBdr>
    </w:div>
    <w:div w:id="636181824">
      <w:bodyDiv w:val="1"/>
      <w:marLeft w:val="0"/>
      <w:marRight w:val="0"/>
      <w:marTop w:val="0"/>
      <w:marBottom w:val="0"/>
      <w:divBdr>
        <w:top w:val="none" w:sz="0" w:space="0" w:color="auto"/>
        <w:left w:val="none" w:sz="0" w:space="0" w:color="auto"/>
        <w:bottom w:val="none" w:sz="0" w:space="0" w:color="auto"/>
        <w:right w:val="none" w:sz="0" w:space="0" w:color="auto"/>
      </w:divBdr>
      <w:divsChild>
        <w:div w:id="1936552428">
          <w:marLeft w:val="0"/>
          <w:marRight w:val="0"/>
          <w:marTop w:val="0"/>
          <w:marBottom w:val="0"/>
          <w:divBdr>
            <w:top w:val="none" w:sz="0" w:space="0" w:color="auto"/>
            <w:left w:val="none" w:sz="0" w:space="0" w:color="auto"/>
            <w:bottom w:val="none" w:sz="0" w:space="0" w:color="auto"/>
            <w:right w:val="none" w:sz="0" w:space="0" w:color="auto"/>
          </w:divBdr>
          <w:divsChild>
            <w:div w:id="76294954">
              <w:marLeft w:val="0"/>
              <w:marRight w:val="0"/>
              <w:marTop w:val="0"/>
              <w:marBottom w:val="0"/>
              <w:divBdr>
                <w:top w:val="none" w:sz="0" w:space="0" w:color="auto"/>
                <w:left w:val="none" w:sz="0" w:space="0" w:color="auto"/>
                <w:bottom w:val="none" w:sz="0" w:space="0" w:color="auto"/>
                <w:right w:val="none" w:sz="0" w:space="0" w:color="auto"/>
              </w:divBdr>
              <w:divsChild>
                <w:div w:id="753629029">
                  <w:marLeft w:val="0"/>
                  <w:marRight w:val="0"/>
                  <w:marTop w:val="0"/>
                  <w:marBottom w:val="0"/>
                  <w:divBdr>
                    <w:top w:val="none" w:sz="0" w:space="0" w:color="auto"/>
                    <w:left w:val="none" w:sz="0" w:space="0" w:color="auto"/>
                    <w:bottom w:val="none" w:sz="0" w:space="0" w:color="auto"/>
                    <w:right w:val="none" w:sz="0" w:space="0" w:color="auto"/>
                  </w:divBdr>
                  <w:divsChild>
                    <w:div w:id="1461797757">
                      <w:marLeft w:val="0"/>
                      <w:marRight w:val="0"/>
                      <w:marTop w:val="0"/>
                      <w:marBottom w:val="0"/>
                      <w:divBdr>
                        <w:top w:val="none" w:sz="0" w:space="0" w:color="auto"/>
                        <w:left w:val="none" w:sz="0" w:space="0" w:color="auto"/>
                        <w:bottom w:val="none" w:sz="0" w:space="0" w:color="auto"/>
                        <w:right w:val="none" w:sz="0" w:space="0" w:color="auto"/>
                      </w:divBdr>
                      <w:divsChild>
                        <w:div w:id="894969007">
                          <w:marLeft w:val="0"/>
                          <w:marRight w:val="0"/>
                          <w:marTop w:val="0"/>
                          <w:marBottom w:val="0"/>
                          <w:divBdr>
                            <w:top w:val="none" w:sz="0" w:space="0" w:color="auto"/>
                            <w:left w:val="none" w:sz="0" w:space="0" w:color="auto"/>
                            <w:bottom w:val="none" w:sz="0" w:space="0" w:color="auto"/>
                            <w:right w:val="none" w:sz="0" w:space="0" w:color="auto"/>
                          </w:divBdr>
                          <w:divsChild>
                            <w:div w:id="1058019024">
                              <w:marLeft w:val="0"/>
                              <w:marRight w:val="0"/>
                              <w:marTop w:val="0"/>
                              <w:marBottom w:val="0"/>
                              <w:divBdr>
                                <w:top w:val="none" w:sz="0" w:space="0" w:color="auto"/>
                                <w:left w:val="none" w:sz="0" w:space="0" w:color="auto"/>
                                <w:bottom w:val="none" w:sz="0" w:space="0" w:color="auto"/>
                                <w:right w:val="none" w:sz="0" w:space="0" w:color="auto"/>
                              </w:divBdr>
                              <w:divsChild>
                                <w:div w:id="6836288">
                                  <w:marLeft w:val="0"/>
                                  <w:marRight w:val="0"/>
                                  <w:marTop w:val="0"/>
                                  <w:marBottom w:val="0"/>
                                  <w:divBdr>
                                    <w:top w:val="none" w:sz="0" w:space="0" w:color="auto"/>
                                    <w:left w:val="none" w:sz="0" w:space="0" w:color="auto"/>
                                    <w:bottom w:val="none" w:sz="0" w:space="0" w:color="auto"/>
                                    <w:right w:val="none" w:sz="0" w:space="0" w:color="auto"/>
                                  </w:divBdr>
                                  <w:divsChild>
                                    <w:div w:id="1186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694580">
      <w:bodyDiv w:val="1"/>
      <w:marLeft w:val="0"/>
      <w:marRight w:val="0"/>
      <w:marTop w:val="0"/>
      <w:marBottom w:val="0"/>
      <w:divBdr>
        <w:top w:val="none" w:sz="0" w:space="0" w:color="auto"/>
        <w:left w:val="none" w:sz="0" w:space="0" w:color="auto"/>
        <w:bottom w:val="none" w:sz="0" w:space="0" w:color="auto"/>
        <w:right w:val="none" w:sz="0" w:space="0" w:color="auto"/>
      </w:divBdr>
    </w:div>
    <w:div w:id="736250459">
      <w:bodyDiv w:val="1"/>
      <w:marLeft w:val="0"/>
      <w:marRight w:val="0"/>
      <w:marTop w:val="0"/>
      <w:marBottom w:val="0"/>
      <w:divBdr>
        <w:top w:val="none" w:sz="0" w:space="0" w:color="auto"/>
        <w:left w:val="none" w:sz="0" w:space="0" w:color="auto"/>
        <w:bottom w:val="none" w:sz="0" w:space="0" w:color="auto"/>
        <w:right w:val="none" w:sz="0" w:space="0" w:color="auto"/>
      </w:divBdr>
    </w:div>
    <w:div w:id="746194357">
      <w:bodyDiv w:val="1"/>
      <w:marLeft w:val="0"/>
      <w:marRight w:val="0"/>
      <w:marTop w:val="0"/>
      <w:marBottom w:val="0"/>
      <w:divBdr>
        <w:top w:val="none" w:sz="0" w:space="0" w:color="auto"/>
        <w:left w:val="none" w:sz="0" w:space="0" w:color="auto"/>
        <w:bottom w:val="none" w:sz="0" w:space="0" w:color="auto"/>
        <w:right w:val="none" w:sz="0" w:space="0" w:color="auto"/>
      </w:divBdr>
    </w:div>
    <w:div w:id="865951429">
      <w:bodyDiv w:val="1"/>
      <w:marLeft w:val="0"/>
      <w:marRight w:val="0"/>
      <w:marTop w:val="0"/>
      <w:marBottom w:val="0"/>
      <w:divBdr>
        <w:top w:val="none" w:sz="0" w:space="0" w:color="auto"/>
        <w:left w:val="none" w:sz="0" w:space="0" w:color="auto"/>
        <w:bottom w:val="none" w:sz="0" w:space="0" w:color="auto"/>
        <w:right w:val="none" w:sz="0" w:space="0" w:color="auto"/>
      </w:divBdr>
    </w:div>
    <w:div w:id="875695897">
      <w:bodyDiv w:val="1"/>
      <w:marLeft w:val="0"/>
      <w:marRight w:val="0"/>
      <w:marTop w:val="0"/>
      <w:marBottom w:val="0"/>
      <w:divBdr>
        <w:top w:val="none" w:sz="0" w:space="0" w:color="auto"/>
        <w:left w:val="none" w:sz="0" w:space="0" w:color="auto"/>
        <w:bottom w:val="none" w:sz="0" w:space="0" w:color="auto"/>
        <w:right w:val="none" w:sz="0" w:space="0" w:color="auto"/>
      </w:divBdr>
    </w:div>
    <w:div w:id="900285381">
      <w:bodyDiv w:val="1"/>
      <w:marLeft w:val="0"/>
      <w:marRight w:val="0"/>
      <w:marTop w:val="0"/>
      <w:marBottom w:val="0"/>
      <w:divBdr>
        <w:top w:val="none" w:sz="0" w:space="0" w:color="auto"/>
        <w:left w:val="none" w:sz="0" w:space="0" w:color="auto"/>
        <w:bottom w:val="none" w:sz="0" w:space="0" w:color="auto"/>
        <w:right w:val="none" w:sz="0" w:space="0" w:color="auto"/>
      </w:divBdr>
    </w:div>
    <w:div w:id="926959393">
      <w:bodyDiv w:val="1"/>
      <w:marLeft w:val="0"/>
      <w:marRight w:val="0"/>
      <w:marTop w:val="0"/>
      <w:marBottom w:val="0"/>
      <w:divBdr>
        <w:top w:val="none" w:sz="0" w:space="0" w:color="auto"/>
        <w:left w:val="none" w:sz="0" w:space="0" w:color="auto"/>
        <w:bottom w:val="none" w:sz="0" w:space="0" w:color="auto"/>
        <w:right w:val="none" w:sz="0" w:space="0" w:color="auto"/>
      </w:divBdr>
    </w:div>
    <w:div w:id="987520108">
      <w:bodyDiv w:val="1"/>
      <w:marLeft w:val="0"/>
      <w:marRight w:val="0"/>
      <w:marTop w:val="0"/>
      <w:marBottom w:val="0"/>
      <w:divBdr>
        <w:top w:val="none" w:sz="0" w:space="0" w:color="auto"/>
        <w:left w:val="none" w:sz="0" w:space="0" w:color="auto"/>
        <w:bottom w:val="none" w:sz="0" w:space="0" w:color="auto"/>
        <w:right w:val="none" w:sz="0" w:space="0" w:color="auto"/>
      </w:divBdr>
      <w:divsChild>
        <w:div w:id="1574775210">
          <w:marLeft w:val="0"/>
          <w:marRight w:val="0"/>
          <w:marTop w:val="0"/>
          <w:marBottom w:val="0"/>
          <w:divBdr>
            <w:top w:val="single" w:sz="2" w:space="0" w:color="E5E7EB"/>
            <w:left w:val="single" w:sz="2" w:space="0" w:color="E5E7EB"/>
            <w:bottom w:val="single" w:sz="2" w:space="0" w:color="E5E7EB"/>
            <w:right w:val="single" w:sz="2" w:space="0" w:color="E5E7EB"/>
          </w:divBdr>
        </w:div>
        <w:div w:id="19053320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5479688">
      <w:bodyDiv w:val="1"/>
      <w:marLeft w:val="0"/>
      <w:marRight w:val="0"/>
      <w:marTop w:val="0"/>
      <w:marBottom w:val="0"/>
      <w:divBdr>
        <w:top w:val="none" w:sz="0" w:space="0" w:color="auto"/>
        <w:left w:val="none" w:sz="0" w:space="0" w:color="auto"/>
        <w:bottom w:val="none" w:sz="0" w:space="0" w:color="auto"/>
        <w:right w:val="none" w:sz="0" w:space="0" w:color="auto"/>
      </w:divBdr>
    </w:div>
    <w:div w:id="1067725607">
      <w:bodyDiv w:val="1"/>
      <w:marLeft w:val="0"/>
      <w:marRight w:val="0"/>
      <w:marTop w:val="0"/>
      <w:marBottom w:val="0"/>
      <w:divBdr>
        <w:top w:val="none" w:sz="0" w:space="0" w:color="auto"/>
        <w:left w:val="none" w:sz="0" w:space="0" w:color="auto"/>
        <w:bottom w:val="none" w:sz="0" w:space="0" w:color="auto"/>
        <w:right w:val="none" w:sz="0" w:space="0" w:color="auto"/>
      </w:divBdr>
    </w:div>
    <w:div w:id="1079400982">
      <w:bodyDiv w:val="1"/>
      <w:marLeft w:val="0"/>
      <w:marRight w:val="0"/>
      <w:marTop w:val="0"/>
      <w:marBottom w:val="0"/>
      <w:divBdr>
        <w:top w:val="none" w:sz="0" w:space="0" w:color="auto"/>
        <w:left w:val="none" w:sz="0" w:space="0" w:color="auto"/>
        <w:bottom w:val="none" w:sz="0" w:space="0" w:color="auto"/>
        <w:right w:val="none" w:sz="0" w:space="0" w:color="auto"/>
      </w:divBdr>
    </w:div>
    <w:div w:id="1100956685">
      <w:bodyDiv w:val="1"/>
      <w:marLeft w:val="0"/>
      <w:marRight w:val="0"/>
      <w:marTop w:val="0"/>
      <w:marBottom w:val="0"/>
      <w:divBdr>
        <w:top w:val="none" w:sz="0" w:space="0" w:color="auto"/>
        <w:left w:val="none" w:sz="0" w:space="0" w:color="auto"/>
        <w:bottom w:val="none" w:sz="0" w:space="0" w:color="auto"/>
        <w:right w:val="none" w:sz="0" w:space="0" w:color="auto"/>
      </w:divBdr>
    </w:div>
    <w:div w:id="1181549140">
      <w:bodyDiv w:val="1"/>
      <w:marLeft w:val="0"/>
      <w:marRight w:val="0"/>
      <w:marTop w:val="0"/>
      <w:marBottom w:val="0"/>
      <w:divBdr>
        <w:top w:val="none" w:sz="0" w:space="0" w:color="auto"/>
        <w:left w:val="none" w:sz="0" w:space="0" w:color="auto"/>
        <w:bottom w:val="none" w:sz="0" w:space="0" w:color="auto"/>
        <w:right w:val="none" w:sz="0" w:space="0" w:color="auto"/>
      </w:divBdr>
    </w:div>
    <w:div w:id="1210262557">
      <w:bodyDiv w:val="1"/>
      <w:marLeft w:val="0"/>
      <w:marRight w:val="0"/>
      <w:marTop w:val="0"/>
      <w:marBottom w:val="0"/>
      <w:divBdr>
        <w:top w:val="none" w:sz="0" w:space="0" w:color="auto"/>
        <w:left w:val="none" w:sz="0" w:space="0" w:color="auto"/>
        <w:bottom w:val="none" w:sz="0" w:space="0" w:color="auto"/>
        <w:right w:val="none" w:sz="0" w:space="0" w:color="auto"/>
      </w:divBdr>
    </w:div>
    <w:div w:id="1261067565">
      <w:bodyDiv w:val="1"/>
      <w:marLeft w:val="0"/>
      <w:marRight w:val="0"/>
      <w:marTop w:val="0"/>
      <w:marBottom w:val="0"/>
      <w:divBdr>
        <w:top w:val="none" w:sz="0" w:space="0" w:color="auto"/>
        <w:left w:val="none" w:sz="0" w:space="0" w:color="auto"/>
        <w:bottom w:val="none" w:sz="0" w:space="0" w:color="auto"/>
        <w:right w:val="none" w:sz="0" w:space="0" w:color="auto"/>
      </w:divBdr>
    </w:div>
    <w:div w:id="1306274437">
      <w:bodyDiv w:val="1"/>
      <w:marLeft w:val="0"/>
      <w:marRight w:val="0"/>
      <w:marTop w:val="0"/>
      <w:marBottom w:val="0"/>
      <w:divBdr>
        <w:top w:val="none" w:sz="0" w:space="0" w:color="auto"/>
        <w:left w:val="none" w:sz="0" w:space="0" w:color="auto"/>
        <w:bottom w:val="none" w:sz="0" w:space="0" w:color="auto"/>
        <w:right w:val="none" w:sz="0" w:space="0" w:color="auto"/>
      </w:divBdr>
    </w:div>
    <w:div w:id="1308124303">
      <w:bodyDiv w:val="1"/>
      <w:marLeft w:val="0"/>
      <w:marRight w:val="0"/>
      <w:marTop w:val="0"/>
      <w:marBottom w:val="0"/>
      <w:divBdr>
        <w:top w:val="none" w:sz="0" w:space="0" w:color="auto"/>
        <w:left w:val="none" w:sz="0" w:space="0" w:color="auto"/>
        <w:bottom w:val="none" w:sz="0" w:space="0" w:color="auto"/>
        <w:right w:val="none" w:sz="0" w:space="0" w:color="auto"/>
      </w:divBdr>
    </w:div>
    <w:div w:id="1355496801">
      <w:bodyDiv w:val="1"/>
      <w:marLeft w:val="0"/>
      <w:marRight w:val="0"/>
      <w:marTop w:val="0"/>
      <w:marBottom w:val="0"/>
      <w:divBdr>
        <w:top w:val="none" w:sz="0" w:space="0" w:color="auto"/>
        <w:left w:val="none" w:sz="0" w:space="0" w:color="auto"/>
        <w:bottom w:val="none" w:sz="0" w:space="0" w:color="auto"/>
        <w:right w:val="none" w:sz="0" w:space="0" w:color="auto"/>
      </w:divBdr>
    </w:div>
    <w:div w:id="1374650070">
      <w:bodyDiv w:val="1"/>
      <w:marLeft w:val="0"/>
      <w:marRight w:val="0"/>
      <w:marTop w:val="0"/>
      <w:marBottom w:val="0"/>
      <w:divBdr>
        <w:top w:val="none" w:sz="0" w:space="0" w:color="auto"/>
        <w:left w:val="none" w:sz="0" w:space="0" w:color="auto"/>
        <w:bottom w:val="none" w:sz="0" w:space="0" w:color="auto"/>
        <w:right w:val="none" w:sz="0" w:space="0" w:color="auto"/>
      </w:divBdr>
    </w:div>
    <w:div w:id="1406804257">
      <w:bodyDiv w:val="1"/>
      <w:marLeft w:val="0"/>
      <w:marRight w:val="0"/>
      <w:marTop w:val="0"/>
      <w:marBottom w:val="0"/>
      <w:divBdr>
        <w:top w:val="none" w:sz="0" w:space="0" w:color="auto"/>
        <w:left w:val="none" w:sz="0" w:space="0" w:color="auto"/>
        <w:bottom w:val="none" w:sz="0" w:space="0" w:color="auto"/>
        <w:right w:val="none" w:sz="0" w:space="0" w:color="auto"/>
      </w:divBdr>
    </w:div>
    <w:div w:id="1581714371">
      <w:bodyDiv w:val="1"/>
      <w:marLeft w:val="0"/>
      <w:marRight w:val="0"/>
      <w:marTop w:val="0"/>
      <w:marBottom w:val="0"/>
      <w:divBdr>
        <w:top w:val="none" w:sz="0" w:space="0" w:color="auto"/>
        <w:left w:val="none" w:sz="0" w:space="0" w:color="auto"/>
        <w:bottom w:val="none" w:sz="0" w:space="0" w:color="auto"/>
        <w:right w:val="none" w:sz="0" w:space="0" w:color="auto"/>
      </w:divBdr>
    </w:div>
    <w:div w:id="1653094870">
      <w:bodyDiv w:val="1"/>
      <w:marLeft w:val="0"/>
      <w:marRight w:val="0"/>
      <w:marTop w:val="0"/>
      <w:marBottom w:val="0"/>
      <w:divBdr>
        <w:top w:val="none" w:sz="0" w:space="0" w:color="auto"/>
        <w:left w:val="none" w:sz="0" w:space="0" w:color="auto"/>
        <w:bottom w:val="none" w:sz="0" w:space="0" w:color="auto"/>
        <w:right w:val="none" w:sz="0" w:space="0" w:color="auto"/>
      </w:divBdr>
    </w:div>
    <w:div w:id="1868786534">
      <w:bodyDiv w:val="1"/>
      <w:marLeft w:val="0"/>
      <w:marRight w:val="0"/>
      <w:marTop w:val="0"/>
      <w:marBottom w:val="0"/>
      <w:divBdr>
        <w:top w:val="none" w:sz="0" w:space="0" w:color="auto"/>
        <w:left w:val="none" w:sz="0" w:space="0" w:color="auto"/>
        <w:bottom w:val="none" w:sz="0" w:space="0" w:color="auto"/>
        <w:right w:val="none" w:sz="0" w:space="0" w:color="auto"/>
      </w:divBdr>
    </w:div>
    <w:div w:id="1946571103">
      <w:bodyDiv w:val="1"/>
      <w:marLeft w:val="0"/>
      <w:marRight w:val="0"/>
      <w:marTop w:val="0"/>
      <w:marBottom w:val="0"/>
      <w:divBdr>
        <w:top w:val="none" w:sz="0" w:space="0" w:color="auto"/>
        <w:left w:val="none" w:sz="0" w:space="0" w:color="auto"/>
        <w:bottom w:val="none" w:sz="0" w:space="0" w:color="auto"/>
        <w:right w:val="none" w:sz="0" w:space="0" w:color="auto"/>
      </w:divBdr>
    </w:div>
    <w:div w:id="2020504810">
      <w:bodyDiv w:val="1"/>
      <w:marLeft w:val="0"/>
      <w:marRight w:val="0"/>
      <w:marTop w:val="0"/>
      <w:marBottom w:val="0"/>
      <w:divBdr>
        <w:top w:val="none" w:sz="0" w:space="0" w:color="auto"/>
        <w:left w:val="none" w:sz="0" w:space="0" w:color="auto"/>
        <w:bottom w:val="none" w:sz="0" w:space="0" w:color="auto"/>
        <w:right w:val="none" w:sz="0" w:space="0" w:color="auto"/>
      </w:divBdr>
    </w:div>
    <w:div w:id="2050907892">
      <w:bodyDiv w:val="1"/>
      <w:marLeft w:val="0"/>
      <w:marRight w:val="0"/>
      <w:marTop w:val="0"/>
      <w:marBottom w:val="0"/>
      <w:divBdr>
        <w:top w:val="none" w:sz="0" w:space="0" w:color="auto"/>
        <w:left w:val="none" w:sz="0" w:space="0" w:color="auto"/>
        <w:bottom w:val="none" w:sz="0" w:space="0" w:color="auto"/>
        <w:right w:val="none" w:sz="0" w:space="0" w:color="auto"/>
      </w:divBdr>
    </w:div>
    <w:div w:id="2085102589">
      <w:bodyDiv w:val="1"/>
      <w:marLeft w:val="0"/>
      <w:marRight w:val="0"/>
      <w:marTop w:val="0"/>
      <w:marBottom w:val="0"/>
      <w:divBdr>
        <w:top w:val="none" w:sz="0" w:space="0" w:color="auto"/>
        <w:left w:val="none" w:sz="0" w:space="0" w:color="auto"/>
        <w:bottom w:val="none" w:sz="0" w:space="0" w:color="auto"/>
        <w:right w:val="none" w:sz="0" w:space="0" w:color="auto"/>
      </w:divBdr>
    </w:div>
    <w:div w:id="2093971106">
      <w:bodyDiv w:val="1"/>
      <w:marLeft w:val="0"/>
      <w:marRight w:val="0"/>
      <w:marTop w:val="0"/>
      <w:marBottom w:val="0"/>
      <w:divBdr>
        <w:top w:val="none" w:sz="0" w:space="0" w:color="auto"/>
        <w:left w:val="none" w:sz="0" w:space="0" w:color="auto"/>
        <w:bottom w:val="none" w:sz="0" w:space="0" w:color="auto"/>
        <w:right w:val="none" w:sz="0" w:space="0" w:color="auto"/>
      </w:divBdr>
    </w:div>
    <w:div w:id="2113891099">
      <w:bodyDiv w:val="1"/>
      <w:marLeft w:val="0"/>
      <w:marRight w:val="0"/>
      <w:marTop w:val="0"/>
      <w:marBottom w:val="0"/>
      <w:divBdr>
        <w:top w:val="none" w:sz="0" w:space="0" w:color="auto"/>
        <w:left w:val="none" w:sz="0" w:space="0" w:color="auto"/>
        <w:bottom w:val="none" w:sz="0" w:space="0" w:color="auto"/>
        <w:right w:val="none" w:sz="0" w:space="0" w:color="auto"/>
      </w:divBdr>
    </w:div>
    <w:div w:id="214342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10.33545/2618060X.2025.v8.i4a.2735" TargetMode="External"/><Relationship Id="rId13" Type="http://schemas.openxmlformats.org/officeDocument/2006/relationships/hyperlink" Target="https://doi.org/10.18805/ag.D-5803" TargetMode="External"/><Relationship Id="rId18" Type="http://schemas.openxmlformats.org/officeDocument/2006/relationships/hyperlink" Target="https://aaj.net.in/wp-content/uploads/2023/08/68-3-14.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upag.gov.in/dash-reports/allindiaapy" TargetMode="External"/><Relationship Id="rId7" Type="http://schemas.openxmlformats.org/officeDocument/2006/relationships/endnotes" Target="endnotes.xml"/><Relationship Id="rId12" Type="http://schemas.openxmlformats.org/officeDocument/2006/relationships/hyperlink" Target="https://doi.org/10.33545/2618060X.2024.v7.i6Sb.841" TargetMode="External"/><Relationship Id="rId17" Type="http://schemas.openxmlformats.org/officeDocument/2006/relationships/hyperlink" Target="https://doi.org/10.3390/agronomy1306155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20546/ijcmas.2018.711.176" TargetMode="External"/><Relationship Id="rId20" Type="http://schemas.openxmlformats.org/officeDocument/2006/relationships/hyperlink" Target="https://doi.org/10.1016/0038-0717(72)90064-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0038-0717(77)90070-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9734/IJBCRR/2017/3886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34/IJPSS/2023/v35i213984" TargetMode="External"/><Relationship Id="rId19" Type="http://schemas.openxmlformats.org/officeDocument/2006/relationships/hyperlink" Target="https://doi.org/10.1007/s12053-015-9359-x" TargetMode="External"/><Relationship Id="rId4" Type="http://schemas.openxmlformats.org/officeDocument/2006/relationships/settings" Target="settings.xml"/><Relationship Id="rId9" Type="http://schemas.openxmlformats.org/officeDocument/2006/relationships/hyperlink" Target="https://journals.lww.com/soilsci/citation/1964/12000/soil_dehydrogenase_activity.4.aspx" TargetMode="External"/><Relationship Id="rId14" Type="http://schemas.openxmlformats.org/officeDocument/2006/relationships/hyperlink" Target="https://doi.org/10.1007/s44279-024-00128-w"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B5F5154-D58E-41D8-A404-74C7ACEB8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7</Pages>
  <Words>3560</Words>
  <Characters>20292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1166</cp:lastModifiedBy>
  <cp:revision>438</cp:revision>
  <cp:lastPrinted>2026-01-03T09:47:00Z</cp:lastPrinted>
  <dcterms:created xsi:type="dcterms:W3CDTF">2022-11-23T06:02:00Z</dcterms:created>
  <dcterms:modified xsi:type="dcterms:W3CDTF">2026-03-19T10:45:00Z</dcterms:modified>
</cp:coreProperties>
</file>