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F523A" w14:textId="77777777" w:rsidR="002F223A" w:rsidRPr="00AB5316" w:rsidRDefault="000C19D8" w:rsidP="00AB5316">
      <w:pPr>
        <w:autoSpaceDE w:val="0"/>
        <w:autoSpaceDN w:val="0"/>
        <w:adjustRightInd w:val="0"/>
        <w:spacing w:before="240" w:after="0"/>
        <w:jc w:val="right"/>
        <w:rPr>
          <w:rFonts w:ascii="Arial" w:hAnsi="Arial" w:cs="Arial"/>
          <w:b/>
          <w:color w:val="000000" w:themeColor="text1"/>
          <w:sz w:val="36"/>
          <w:szCs w:val="24"/>
          <w:lang w:val="en-US"/>
        </w:rPr>
      </w:pPr>
      <w:r w:rsidRPr="00AB5316">
        <w:rPr>
          <w:rFonts w:ascii="Arial" w:hAnsi="Arial" w:cs="Arial"/>
          <w:b/>
          <w:color w:val="000000" w:themeColor="text1"/>
          <w:sz w:val="36"/>
          <w:szCs w:val="24"/>
        </w:rPr>
        <w:t xml:space="preserve">Fungal Dermatoses in Canines: Integrating Cytology, </w:t>
      </w:r>
      <w:r w:rsidR="00093705" w:rsidRPr="00AB5316">
        <w:rPr>
          <w:rFonts w:ascii="Arial" w:hAnsi="Arial" w:cs="Arial"/>
          <w:b/>
          <w:color w:val="000000" w:themeColor="text1"/>
          <w:sz w:val="36"/>
          <w:szCs w:val="24"/>
        </w:rPr>
        <w:t>Epidemiological Pattern</w:t>
      </w:r>
      <w:r w:rsidRPr="00AB5316">
        <w:rPr>
          <w:rFonts w:ascii="Arial" w:hAnsi="Arial" w:cs="Arial"/>
          <w:b/>
          <w:color w:val="000000" w:themeColor="text1"/>
          <w:sz w:val="36"/>
          <w:szCs w:val="24"/>
        </w:rPr>
        <w:t>, and Therapeutic Response</w:t>
      </w:r>
    </w:p>
    <w:p w14:paraId="55F67C83"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447E95CA"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474531D6"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4495B536"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3E55A39F"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7672DDC7"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2FB32563"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06AE17D1"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5FD46006"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7174C1BC" w14:textId="77777777" w:rsidR="00007C1D" w:rsidRDefault="00007C1D"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2739374B"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590B0499" w14:textId="77777777" w:rsidR="00B677EC" w:rsidRPr="00B677EC" w:rsidRDefault="00B677EC" w:rsidP="00C515A9">
      <w:pPr>
        <w:autoSpaceDE w:val="0"/>
        <w:autoSpaceDN w:val="0"/>
        <w:adjustRightInd w:val="0"/>
        <w:spacing w:after="0"/>
        <w:jc w:val="both"/>
        <w:rPr>
          <w:rFonts w:ascii="Arial" w:hAnsi="Arial" w:cs="Arial"/>
          <w:b/>
          <w:bCs/>
          <w:sz w:val="24"/>
          <w:lang w:val="en-US"/>
        </w:rPr>
      </w:pPr>
      <w:r w:rsidRPr="00B677EC">
        <w:rPr>
          <w:rFonts w:ascii="Arial" w:hAnsi="Arial" w:cs="Arial"/>
          <w:b/>
        </w:rPr>
        <w:t>ABSTRACT</w:t>
      </w:r>
      <w:r w:rsidRPr="00B677EC">
        <w:rPr>
          <w:rFonts w:ascii="Arial" w:hAnsi="Arial" w:cs="Arial"/>
          <w:b/>
          <w:bCs/>
          <w:sz w:val="24"/>
          <w:lang w:val="en-US"/>
        </w:rPr>
        <w:t xml:space="preserve"> </w:t>
      </w:r>
    </w:p>
    <w:p w14:paraId="16BC3EF2" w14:textId="77777777"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Aims:</w:t>
      </w:r>
      <w:r w:rsidRPr="00F835E6">
        <w:rPr>
          <w:rFonts w:ascii="Arial" w:hAnsi="Arial" w:cs="Arial"/>
          <w:sz w:val="20"/>
          <w:lang w:val="en-US"/>
        </w:rPr>
        <w:t xml:space="preserve"> This study aimed to investigate the epidemiological patterns, clinical presentations, diagnostic findings, and therapeutic outcomes of fung</w:t>
      </w:r>
      <w:r w:rsidR="00B677EC" w:rsidRPr="00F835E6">
        <w:rPr>
          <w:rFonts w:ascii="Arial" w:hAnsi="Arial" w:cs="Arial"/>
          <w:sz w:val="20"/>
          <w:lang w:val="en-US"/>
        </w:rPr>
        <w:t>al dermatitis in canine</w:t>
      </w:r>
      <w:r w:rsidRPr="00F835E6">
        <w:rPr>
          <w:rFonts w:ascii="Arial" w:hAnsi="Arial" w:cs="Arial"/>
          <w:sz w:val="20"/>
          <w:lang w:val="en-US"/>
        </w:rPr>
        <w:t>.</w:t>
      </w:r>
    </w:p>
    <w:p w14:paraId="4EC789D4" w14:textId="77777777"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Study design:</w:t>
      </w:r>
      <w:r w:rsidRPr="00F835E6">
        <w:rPr>
          <w:rFonts w:ascii="Arial" w:hAnsi="Arial" w:cs="Arial"/>
          <w:sz w:val="20"/>
          <w:lang w:val="en-US"/>
        </w:rPr>
        <w:t xml:space="preserve"> Prospective observational study.</w:t>
      </w:r>
    </w:p>
    <w:p w14:paraId="57FF6188" w14:textId="77777777"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Place and Duration of Study:</w:t>
      </w:r>
      <w:r w:rsidRPr="00F835E6">
        <w:rPr>
          <w:rFonts w:ascii="Arial" w:hAnsi="Arial" w:cs="Arial"/>
          <w:sz w:val="20"/>
          <w:lang w:val="en-US"/>
        </w:rPr>
        <w:t xml:space="preserve"> Veterinary Clinical Complex, DGCN, College of Veterinary and Animal Sciences, CSK Himachal Pradesh Krishi Vishvavidyalaya, Palampur (H.P.), from February 2021 to April 2022.</w:t>
      </w:r>
    </w:p>
    <w:p w14:paraId="7B4D7E3C" w14:textId="77777777" w:rsidR="00C515A9" w:rsidRPr="00F835E6" w:rsidRDefault="00C515A9" w:rsidP="000C29E6">
      <w:pPr>
        <w:autoSpaceDE w:val="0"/>
        <w:autoSpaceDN w:val="0"/>
        <w:adjustRightInd w:val="0"/>
        <w:spacing w:after="0" w:line="240" w:lineRule="auto"/>
        <w:jc w:val="both"/>
        <w:rPr>
          <w:rFonts w:ascii="Arial" w:hAnsi="Arial" w:cs="Arial"/>
          <w:sz w:val="18"/>
          <w:lang w:val="en-US"/>
        </w:rPr>
      </w:pPr>
      <w:r w:rsidRPr="00F835E6">
        <w:rPr>
          <w:rFonts w:ascii="Arial" w:hAnsi="Arial" w:cs="Arial"/>
          <w:b/>
          <w:bCs/>
          <w:sz w:val="20"/>
          <w:lang w:val="en-US"/>
        </w:rPr>
        <w:t>Methodology:</w:t>
      </w:r>
      <w:r w:rsidRPr="00F835E6">
        <w:rPr>
          <w:rFonts w:ascii="Arial" w:hAnsi="Arial" w:cs="Arial"/>
          <w:sz w:val="20"/>
          <w:lang w:val="en-US"/>
        </w:rPr>
        <w:t xml:space="preserve"> Forty dogs presenting with dermatological signs suggestive of fungal infection underwent detailed clinical examination, including lesion </w:t>
      </w:r>
      <w:r w:rsidRPr="001B06D9">
        <w:rPr>
          <w:rFonts w:ascii="Arial" w:hAnsi="Arial" w:cs="Arial"/>
          <w:sz w:val="20"/>
          <w:lang w:val="en-US"/>
        </w:rPr>
        <w:t>distribution and</w:t>
      </w:r>
      <w:r w:rsidR="001B06D9" w:rsidRPr="001B06D9">
        <w:rPr>
          <w:rFonts w:ascii="Arial" w:hAnsi="Arial" w:cs="Arial"/>
          <w:sz w:val="20"/>
          <w:lang w:val="en-US"/>
        </w:rPr>
        <w:t xml:space="preserve"> its nature</w:t>
      </w:r>
      <w:r w:rsidRPr="00F835E6">
        <w:rPr>
          <w:rFonts w:ascii="Arial" w:hAnsi="Arial" w:cs="Arial"/>
          <w:sz w:val="20"/>
          <w:lang w:val="en-US"/>
        </w:rPr>
        <w:t xml:space="preserve">. Diagnostic confirmation involved lesion-specific cytology (tape impressions, glass slide impressions, and wet swabs stained with Giemsa) and Wood’s lamp examination performed in a dark room after pre-warming the lamp. </w:t>
      </w:r>
      <w:r w:rsidR="00F835E6" w:rsidRPr="00194DA1">
        <w:rPr>
          <w:rFonts w:ascii="Arial" w:hAnsi="Arial" w:cs="Arial"/>
          <w:sz w:val="20"/>
          <w:lang w:val="en-US"/>
        </w:rPr>
        <w:t>Therapeutic management consisted of oral ketoconazole combined with topical antifungal therapy until clinical resolution was achieved.</w:t>
      </w:r>
    </w:p>
    <w:p w14:paraId="66F0D036" w14:textId="77777777"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Results:</w:t>
      </w:r>
      <w:r w:rsidRPr="00F835E6">
        <w:rPr>
          <w:rFonts w:ascii="Arial" w:hAnsi="Arial" w:cs="Arial"/>
          <w:sz w:val="20"/>
          <w:lang w:val="en-US"/>
        </w:rPr>
        <w:t xml:space="preserve"> Pruritus (75%), alopecia (62.5%), scaling (60%), and erythema (37.5%) were the predominant clinical signs. German Shepherds (22.5%) and mongrels (20%) were most commonly affected, with males (67.5%) over-represented. Sixty percent of cases occurred during the monsoon season. Cytology revealed </w:t>
      </w:r>
      <w:r w:rsidRPr="00F835E6">
        <w:rPr>
          <w:rFonts w:ascii="Arial" w:hAnsi="Arial" w:cs="Arial"/>
          <w:i/>
          <w:sz w:val="20"/>
          <w:lang w:val="en-US"/>
        </w:rPr>
        <w:t>Malassezia pachydermatis</w:t>
      </w:r>
      <w:r w:rsidRPr="00F835E6">
        <w:rPr>
          <w:rFonts w:ascii="Arial" w:hAnsi="Arial" w:cs="Arial"/>
          <w:sz w:val="20"/>
          <w:lang w:val="en-US"/>
        </w:rPr>
        <w:t xml:space="preserve"> (10–20 organisms/HPF) in 27 dogs (67.5%), while Wood’s lamp </w:t>
      </w:r>
      <w:r w:rsidRPr="00F835E6">
        <w:rPr>
          <w:rFonts w:ascii="Arial" w:hAnsi="Arial" w:cs="Arial"/>
          <w:sz w:val="20"/>
          <w:lang w:val="en-US"/>
        </w:rPr>
        <w:lastRenderedPageBreak/>
        <w:t>fluorescence was noted in 13 dogs (32.5%). All 40 dogs achieved complete clinical and cytological resolution by day 28 with combined systemic and topical antifungal therapy.</w:t>
      </w:r>
    </w:p>
    <w:p w14:paraId="3F7090BE" w14:textId="77777777" w:rsidR="00C515A9" w:rsidRPr="00F835E6" w:rsidRDefault="00C515A9" w:rsidP="000C29E6">
      <w:pPr>
        <w:autoSpaceDE w:val="0"/>
        <w:autoSpaceDN w:val="0"/>
        <w:adjustRightInd w:val="0"/>
        <w:spacing w:line="240" w:lineRule="auto"/>
        <w:jc w:val="both"/>
        <w:rPr>
          <w:rFonts w:ascii="Arial" w:hAnsi="Arial" w:cs="Arial"/>
          <w:sz w:val="20"/>
          <w:lang w:val="en-US"/>
        </w:rPr>
      </w:pPr>
      <w:r w:rsidRPr="00F835E6">
        <w:rPr>
          <w:rFonts w:ascii="Arial" w:hAnsi="Arial" w:cs="Arial"/>
          <w:b/>
          <w:bCs/>
          <w:sz w:val="20"/>
          <w:lang w:val="en-US"/>
        </w:rPr>
        <w:t>Conclusion:</w:t>
      </w:r>
      <w:r w:rsidRPr="00F835E6">
        <w:rPr>
          <w:rFonts w:ascii="Arial" w:hAnsi="Arial" w:cs="Arial"/>
          <w:sz w:val="20"/>
          <w:lang w:val="en-US"/>
        </w:rPr>
        <w:t xml:space="preserve"> Lesion-tailored cytology served as a rapid, reliable, and cost-effective diagnostic tool for canine fungal dermatitis, predominantly driven by </w:t>
      </w:r>
      <w:r w:rsidRPr="00F835E6">
        <w:rPr>
          <w:rFonts w:ascii="Arial" w:hAnsi="Arial" w:cs="Arial"/>
          <w:i/>
          <w:sz w:val="20"/>
          <w:lang w:val="en-US"/>
        </w:rPr>
        <w:t>Malassezia</w:t>
      </w:r>
      <w:r w:rsidRPr="00F835E6">
        <w:rPr>
          <w:rFonts w:ascii="Arial" w:hAnsi="Arial" w:cs="Arial"/>
          <w:sz w:val="20"/>
          <w:lang w:val="en-US"/>
        </w:rPr>
        <w:t>. Combined oral ketoconazole and topical therapy resulted in complete resolution within 4 weeks.</w:t>
      </w:r>
    </w:p>
    <w:p w14:paraId="5C6D9CCB" w14:textId="77777777" w:rsidR="00F835E6" w:rsidRPr="00F835E6" w:rsidRDefault="00C92073" w:rsidP="00F835E6">
      <w:pPr>
        <w:rPr>
          <w:rFonts w:ascii="Arial" w:eastAsia="Times New Roman" w:hAnsi="Arial" w:cs="Arial"/>
          <w:sz w:val="20"/>
          <w:szCs w:val="20"/>
          <w:lang w:val="en-US"/>
        </w:rPr>
      </w:pPr>
      <w:r w:rsidRPr="00F835E6">
        <w:rPr>
          <w:rStyle w:val="bzpyqfadein"/>
          <w:rFonts w:ascii="Arial" w:hAnsi="Arial" w:cs="Arial"/>
          <w:color w:val="000000" w:themeColor="text1"/>
          <w:sz w:val="20"/>
          <w:szCs w:val="20"/>
          <w:lang w:val="en-US"/>
        </w:rPr>
        <w:t xml:space="preserve">Keywords - </w:t>
      </w:r>
      <w:r w:rsidRPr="00F835E6">
        <w:rPr>
          <w:rFonts w:ascii="Arial" w:eastAsia="Times New Roman" w:hAnsi="Arial" w:cs="Arial"/>
          <w:bCs/>
          <w:sz w:val="20"/>
          <w:szCs w:val="20"/>
          <w:lang w:val="en-US"/>
        </w:rPr>
        <w:t>Fungal dermatitis,</w:t>
      </w:r>
      <w:r w:rsidRPr="00F835E6">
        <w:rPr>
          <w:rFonts w:ascii="Arial" w:eastAsia="Times New Roman" w:hAnsi="Arial" w:cs="Arial"/>
          <w:sz w:val="20"/>
          <w:szCs w:val="20"/>
          <w:lang w:val="en-US"/>
        </w:rPr>
        <w:t xml:space="preserve"> </w:t>
      </w:r>
      <w:r w:rsidR="00143D22" w:rsidRPr="00F835E6">
        <w:rPr>
          <w:rFonts w:ascii="Arial" w:eastAsia="Times New Roman" w:hAnsi="Arial" w:cs="Arial"/>
          <w:bCs/>
          <w:i/>
          <w:sz w:val="20"/>
          <w:szCs w:val="20"/>
          <w:lang w:val="en-US"/>
        </w:rPr>
        <w:t>Malassezia pachydermatis</w:t>
      </w:r>
      <w:r w:rsidRPr="00F835E6">
        <w:rPr>
          <w:rFonts w:ascii="Arial" w:eastAsia="Times New Roman" w:hAnsi="Arial" w:cs="Arial"/>
          <w:bCs/>
          <w:sz w:val="20"/>
          <w:szCs w:val="20"/>
          <w:lang w:val="en-US"/>
        </w:rPr>
        <w:t>,</w:t>
      </w:r>
      <w:r w:rsidRPr="00F835E6">
        <w:rPr>
          <w:rFonts w:ascii="Arial" w:eastAsia="Times New Roman" w:hAnsi="Arial" w:cs="Arial"/>
          <w:sz w:val="20"/>
          <w:szCs w:val="20"/>
          <w:lang w:val="en-US"/>
        </w:rPr>
        <w:t xml:space="preserve"> </w:t>
      </w:r>
      <w:r w:rsidRPr="00F835E6">
        <w:rPr>
          <w:rFonts w:ascii="Arial" w:hAnsi="Arial" w:cs="Arial"/>
          <w:sz w:val="20"/>
          <w:szCs w:val="20"/>
        </w:rPr>
        <w:t>Antifungal therapy</w:t>
      </w:r>
      <w:r w:rsidR="00510721" w:rsidRPr="00F835E6">
        <w:rPr>
          <w:rFonts w:ascii="Arial" w:hAnsi="Arial" w:cs="Arial"/>
          <w:sz w:val="20"/>
          <w:szCs w:val="20"/>
        </w:rPr>
        <w:t>, Cytological diagnosis</w:t>
      </w:r>
      <w:r w:rsidR="004A49A5" w:rsidRPr="00F835E6">
        <w:rPr>
          <w:rFonts w:ascii="Arial" w:hAnsi="Arial" w:cs="Arial"/>
          <w:sz w:val="20"/>
          <w:szCs w:val="20"/>
        </w:rPr>
        <w:t>.</w:t>
      </w:r>
    </w:p>
    <w:p w14:paraId="7424F46E" w14:textId="77777777" w:rsidR="002F223A" w:rsidRPr="00F835E6" w:rsidRDefault="00FC1A26" w:rsidP="00D83803">
      <w:pPr>
        <w:autoSpaceDE w:val="0"/>
        <w:autoSpaceDN w:val="0"/>
        <w:adjustRightInd w:val="0"/>
        <w:spacing w:before="240" w:after="0"/>
        <w:jc w:val="both"/>
        <w:rPr>
          <w:rFonts w:ascii="Arial" w:hAnsi="Arial" w:cs="Arial"/>
          <w:b/>
          <w:color w:val="000000" w:themeColor="text1"/>
          <w:szCs w:val="24"/>
          <w:lang w:val="en-US"/>
        </w:rPr>
      </w:pPr>
      <w:r>
        <w:rPr>
          <w:rFonts w:ascii="Arial" w:hAnsi="Arial" w:cs="Arial"/>
          <w:b/>
          <w:color w:val="000000" w:themeColor="text1"/>
          <w:szCs w:val="24"/>
          <w:lang w:val="en-US"/>
        </w:rPr>
        <w:t xml:space="preserve">1. </w:t>
      </w:r>
      <w:r w:rsidR="00F835E6" w:rsidRPr="00F835E6">
        <w:rPr>
          <w:rFonts w:ascii="Arial" w:hAnsi="Arial" w:cs="Arial"/>
          <w:b/>
          <w:color w:val="000000" w:themeColor="text1"/>
          <w:szCs w:val="24"/>
          <w:lang w:val="en-US"/>
        </w:rPr>
        <w:t>INTRODUCTION</w:t>
      </w:r>
    </w:p>
    <w:p w14:paraId="48C21440" w14:textId="77777777" w:rsidR="0000286E" w:rsidRPr="00F835E6" w:rsidRDefault="005306A8" w:rsidP="000C29E6">
      <w:pPr>
        <w:autoSpaceDE w:val="0"/>
        <w:autoSpaceDN w:val="0"/>
        <w:adjustRightInd w:val="0"/>
        <w:spacing w:after="0" w:line="240" w:lineRule="auto"/>
        <w:jc w:val="both"/>
        <w:rPr>
          <w:rFonts w:ascii="Arial" w:hAnsi="Arial" w:cs="Arial"/>
          <w:color w:val="000000" w:themeColor="text1"/>
          <w:sz w:val="20"/>
          <w:szCs w:val="24"/>
          <w:lang w:val="en-US"/>
        </w:rPr>
      </w:pPr>
      <w:r w:rsidRPr="00F835E6">
        <w:rPr>
          <w:rFonts w:ascii="Arial" w:hAnsi="Arial" w:cs="Arial"/>
          <w:color w:val="000000" w:themeColor="text1"/>
          <w:sz w:val="20"/>
          <w:szCs w:val="24"/>
          <w:lang w:val="en-US"/>
        </w:rPr>
        <w:t>Canine d</w:t>
      </w:r>
      <w:r w:rsidR="00050EBC" w:rsidRPr="00F835E6">
        <w:rPr>
          <w:rFonts w:ascii="Arial" w:hAnsi="Arial" w:cs="Arial"/>
          <w:color w:val="000000" w:themeColor="text1"/>
          <w:sz w:val="20"/>
          <w:szCs w:val="24"/>
          <w:lang w:val="en-US"/>
        </w:rPr>
        <w:t>ermatological disorders rank among the most frequently encountered conditions in small animal clinical practice demanding a multifaceted underst</w:t>
      </w:r>
      <w:r w:rsidR="00DF1016" w:rsidRPr="00F835E6">
        <w:rPr>
          <w:rFonts w:ascii="Arial" w:hAnsi="Arial" w:cs="Arial"/>
          <w:color w:val="000000" w:themeColor="text1"/>
          <w:sz w:val="20"/>
          <w:szCs w:val="24"/>
          <w:lang w:val="en-US"/>
        </w:rPr>
        <w:t>anding of underlying etiologies</w:t>
      </w:r>
      <w:r w:rsidR="00050EBC" w:rsidRPr="00F835E6">
        <w:rPr>
          <w:rFonts w:ascii="Arial" w:hAnsi="Arial" w:cs="Arial"/>
          <w:color w:val="000000" w:themeColor="text1"/>
          <w:sz w:val="20"/>
          <w:szCs w:val="24"/>
          <w:lang w:val="en-US"/>
        </w:rPr>
        <w:t xml:space="preserve"> (Nutta</w:t>
      </w:r>
      <w:r w:rsidRPr="00F835E6">
        <w:rPr>
          <w:rFonts w:ascii="Arial" w:hAnsi="Arial" w:cs="Arial"/>
          <w:color w:val="000000" w:themeColor="text1"/>
          <w:sz w:val="20"/>
          <w:szCs w:val="24"/>
          <w:lang w:val="en-US"/>
        </w:rPr>
        <w:t xml:space="preserve">ll, </w:t>
      </w:r>
      <w:r w:rsidR="0000286E" w:rsidRPr="00F835E6">
        <w:rPr>
          <w:rFonts w:ascii="Arial" w:hAnsi="Arial" w:cs="Arial"/>
          <w:color w:val="000000" w:themeColor="text1"/>
          <w:sz w:val="20"/>
          <w:szCs w:val="24"/>
          <w:lang w:val="en-US"/>
        </w:rPr>
        <w:t xml:space="preserve">2004), with fungal pathogens </w:t>
      </w:r>
      <w:r w:rsidR="00050EBC" w:rsidRPr="00F835E6">
        <w:rPr>
          <w:rFonts w:ascii="Arial" w:hAnsi="Arial" w:cs="Arial"/>
          <w:color w:val="000000" w:themeColor="text1"/>
          <w:sz w:val="20"/>
          <w:szCs w:val="24"/>
          <w:lang w:val="en-US"/>
        </w:rPr>
        <w:t>partic</w:t>
      </w:r>
      <w:r w:rsidR="00011149" w:rsidRPr="00F835E6">
        <w:rPr>
          <w:rFonts w:ascii="Arial" w:hAnsi="Arial" w:cs="Arial"/>
          <w:color w:val="000000" w:themeColor="text1"/>
          <w:sz w:val="20"/>
          <w:szCs w:val="24"/>
          <w:lang w:val="en-US"/>
        </w:rPr>
        <w:t xml:space="preserve">ularly dermatophytes and yeasts </w:t>
      </w:r>
      <w:r w:rsidR="00050EBC" w:rsidRPr="00F835E6">
        <w:rPr>
          <w:rFonts w:ascii="Arial" w:hAnsi="Arial" w:cs="Arial"/>
          <w:color w:val="000000" w:themeColor="text1"/>
          <w:sz w:val="20"/>
          <w:szCs w:val="24"/>
          <w:lang w:val="en-US"/>
        </w:rPr>
        <w:t>playing a significant role in cutaneous infections (Bond</w:t>
      </w:r>
      <w:r w:rsidRPr="00F835E6">
        <w:rPr>
          <w:rFonts w:ascii="Arial" w:hAnsi="Arial" w:cs="Arial"/>
          <w:color w:val="000000" w:themeColor="text1"/>
          <w:sz w:val="20"/>
          <w:szCs w:val="24"/>
          <w:lang w:val="en-US"/>
        </w:rPr>
        <w:t>,</w:t>
      </w:r>
      <w:r w:rsidR="00050EBC" w:rsidRPr="00F835E6">
        <w:rPr>
          <w:rFonts w:ascii="Arial" w:hAnsi="Arial" w:cs="Arial"/>
          <w:color w:val="000000" w:themeColor="text1"/>
          <w:sz w:val="20"/>
          <w:szCs w:val="24"/>
          <w:lang w:val="en-US"/>
        </w:rPr>
        <w:t xml:space="preserve"> 20</w:t>
      </w:r>
      <w:r w:rsidR="00926326" w:rsidRPr="00F835E6">
        <w:rPr>
          <w:rFonts w:ascii="Arial" w:hAnsi="Arial" w:cs="Arial"/>
          <w:color w:val="000000" w:themeColor="text1"/>
          <w:sz w:val="20"/>
          <w:szCs w:val="24"/>
          <w:lang w:val="en-US"/>
        </w:rPr>
        <w:t>2</w:t>
      </w:r>
      <w:r w:rsidR="00050EBC" w:rsidRPr="00F835E6">
        <w:rPr>
          <w:rFonts w:ascii="Arial" w:hAnsi="Arial" w:cs="Arial"/>
          <w:color w:val="000000" w:themeColor="text1"/>
          <w:sz w:val="20"/>
          <w:szCs w:val="24"/>
          <w:lang w:val="en-US"/>
        </w:rPr>
        <w:t xml:space="preserve">0). </w:t>
      </w:r>
      <w:r w:rsidR="00050EBC" w:rsidRPr="00F835E6">
        <w:rPr>
          <w:rFonts w:ascii="Arial" w:hAnsi="Arial" w:cs="Arial"/>
          <w:color w:val="000000" w:themeColor="text1"/>
          <w:sz w:val="20"/>
          <w:szCs w:val="24"/>
        </w:rPr>
        <w:t xml:space="preserve">Dermatophytosis, and Malassezia dermatitis, represent the superficial mycoses of greatest significance in companion and farm animal health </w:t>
      </w:r>
      <w:r w:rsidR="00A748D4" w:rsidRPr="00F835E6">
        <w:rPr>
          <w:rFonts w:ascii="Arial" w:hAnsi="Arial" w:cs="Arial"/>
          <w:color w:val="000000" w:themeColor="text1"/>
          <w:sz w:val="20"/>
          <w:szCs w:val="24"/>
        </w:rPr>
        <w:t>(</w:t>
      </w:r>
      <w:r w:rsidR="00615A28" w:rsidRPr="00F835E6">
        <w:rPr>
          <w:rFonts w:ascii="Arial" w:hAnsi="Arial" w:cs="Arial"/>
          <w:color w:val="000000" w:themeColor="text1"/>
          <w:sz w:val="20"/>
          <w:szCs w:val="24"/>
          <w:lang w:val="en-US"/>
        </w:rPr>
        <w:t>Bond</w:t>
      </w:r>
      <w:r w:rsidRPr="00F835E6">
        <w:rPr>
          <w:rFonts w:ascii="Arial" w:hAnsi="Arial" w:cs="Arial"/>
          <w:color w:val="000000" w:themeColor="text1"/>
          <w:sz w:val="20"/>
          <w:szCs w:val="24"/>
          <w:lang w:val="en-US"/>
        </w:rPr>
        <w:t>,</w:t>
      </w:r>
      <w:r w:rsidR="00615A28" w:rsidRPr="00F835E6">
        <w:rPr>
          <w:rFonts w:ascii="Arial" w:hAnsi="Arial" w:cs="Arial"/>
          <w:color w:val="000000" w:themeColor="text1"/>
          <w:sz w:val="20"/>
          <w:szCs w:val="24"/>
          <w:lang w:val="en-US"/>
        </w:rPr>
        <w:t xml:space="preserve"> 201</w:t>
      </w:r>
      <w:r w:rsidR="00050EBC" w:rsidRPr="00F835E6">
        <w:rPr>
          <w:rFonts w:ascii="Arial" w:hAnsi="Arial" w:cs="Arial"/>
          <w:color w:val="000000" w:themeColor="text1"/>
          <w:sz w:val="20"/>
          <w:szCs w:val="24"/>
          <w:lang w:val="en-US"/>
        </w:rPr>
        <w:t>0</w:t>
      </w:r>
      <w:r w:rsidR="00A748D4" w:rsidRPr="00F835E6">
        <w:rPr>
          <w:rFonts w:ascii="Arial" w:hAnsi="Arial" w:cs="Arial"/>
          <w:color w:val="000000" w:themeColor="text1"/>
          <w:sz w:val="20"/>
          <w:szCs w:val="24"/>
          <w:lang w:val="en-US"/>
        </w:rPr>
        <w:t>)</w:t>
      </w:r>
      <w:r w:rsidR="00050EBC" w:rsidRPr="00F835E6">
        <w:rPr>
          <w:rFonts w:ascii="Arial" w:hAnsi="Arial" w:cs="Arial"/>
          <w:color w:val="000000" w:themeColor="text1"/>
          <w:sz w:val="20"/>
          <w:szCs w:val="24"/>
        </w:rPr>
        <w:t>.</w:t>
      </w:r>
      <w:r w:rsidR="00050EBC" w:rsidRPr="00F835E6">
        <w:rPr>
          <w:rFonts w:ascii="Arial" w:hAnsi="Arial" w:cs="Arial"/>
          <w:color w:val="000000" w:themeColor="text1"/>
          <w:sz w:val="20"/>
          <w:szCs w:val="24"/>
          <w:lang w:val="en-US"/>
        </w:rPr>
        <w:t xml:space="preserve"> Copetti </w:t>
      </w:r>
      <w:r w:rsidR="001867DC" w:rsidRPr="00F835E6">
        <w:rPr>
          <w:rFonts w:ascii="Arial" w:hAnsi="Arial" w:cs="Arial"/>
          <w:i/>
          <w:color w:val="000000" w:themeColor="text1"/>
          <w:sz w:val="20"/>
          <w:szCs w:val="24"/>
          <w:lang w:val="en-US"/>
        </w:rPr>
        <w:t>et al.</w:t>
      </w:r>
      <w:r w:rsidR="00050EBC" w:rsidRPr="00F835E6">
        <w:rPr>
          <w:rFonts w:ascii="Arial" w:hAnsi="Arial" w:cs="Arial"/>
          <w:color w:val="000000" w:themeColor="text1"/>
          <w:sz w:val="20"/>
          <w:szCs w:val="24"/>
          <w:lang w:val="en-US"/>
        </w:rPr>
        <w:t xml:space="preserve"> (2006) identified </w:t>
      </w:r>
      <w:r w:rsidR="00050EBC" w:rsidRPr="00F835E6">
        <w:rPr>
          <w:rFonts w:ascii="Arial" w:hAnsi="Arial" w:cs="Arial"/>
          <w:i/>
          <w:iCs/>
          <w:color w:val="000000" w:themeColor="text1"/>
          <w:sz w:val="20"/>
          <w:szCs w:val="24"/>
          <w:lang w:val="en-US"/>
        </w:rPr>
        <w:t>Microsporum canis</w:t>
      </w:r>
      <w:r w:rsidR="00050EBC" w:rsidRPr="00F835E6">
        <w:rPr>
          <w:rFonts w:ascii="Arial" w:hAnsi="Arial" w:cs="Arial"/>
          <w:color w:val="000000" w:themeColor="text1"/>
          <w:sz w:val="20"/>
          <w:szCs w:val="24"/>
          <w:lang w:val="en-US"/>
        </w:rPr>
        <w:t xml:space="preserve"> as the predominant dermatophyte in a cohort of 1089 suspected cases, with </w:t>
      </w:r>
      <w:r w:rsidR="00050EBC" w:rsidRPr="00F835E6">
        <w:rPr>
          <w:rFonts w:ascii="Arial" w:hAnsi="Arial" w:cs="Arial"/>
          <w:i/>
          <w:iCs/>
          <w:color w:val="000000" w:themeColor="text1"/>
          <w:sz w:val="20"/>
          <w:szCs w:val="24"/>
          <w:lang w:val="en-US"/>
        </w:rPr>
        <w:t>M. canis</w:t>
      </w:r>
      <w:r w:rsidR="00050EBC" w:rsidRPr="00F835E6">
        <w:rPr>
          <w:rFonts w:ascii="Arial" w:hAnsi="Arial" w:cs="Arial"/>
          <w:color w:val="000000" w:themeColor="text1"/>
          <w:sz w:val="20"/>
          <w:szCs w:val="24"/>
          <w:lang w:val="en-US"/>
        </w:rPr>
        <w:t xml:space="preserve">, </w:t>
      </w:r>
      <w:r w:rsidR="00050EBC" w:rsidRPr="00F835E6">
        <w:rPr>
          <w:rFonts w:ascii="Arial" w:hAnsi="Arial" w:cs="Arial"/>
          <w:i/>
          <w:iCs/>
          <w:color w:val="000000" w:themeColor="text1"/>
          <w:sz w:val="20"/>
          <w:szCs w:val="24"/>
          <w:lang w:val="en-US"/>
        </w:rPr>
        <w:t xml:space="preserve">M. </w:t>
      </w:r>
      <w:proofErr w:type="spellStart"/>
      <w:r w:rsidR="00050EBC" w:rsidRPr="00F835E6">
        <w:rPr>
          <w:rFonts w:ascii="Arial" w:hAnsi="Arial" w:cs="Arial"/>
          <w:i/>
          <w:iCs/>
          <w:color w:val="000000" w:themeColor="text1"/>
          <w:sz w:val="20"/>
          <w:szCs w:val="24"/>
          <w:lang w:val="en-US"/>
        </w:rPr>
        <w:t>gypseum</w:t>
      </w:r>
      <w:proofErr w:type="spellEnd"/>
      <w:r w:rsidR="00050EBC" w:rsidRPr="00F835E6">
        <w:rPr>
          <w:rFonts w:ascii="Arial" w:hAnsi="Arial" w:cs="Arial"/>
          <w:color w:val="000000" w:themeColor="text1"/>
          <w:sz w:val="20"/>
          <w:szCs w:val="24"/>
          <w:lang w:val="en-US"/>
        </w:rPr>
        <w:t xml:space="preserve">, and </w:t>
      </w:r>
      <w:r w:rsidR="00050EBC" w:rsidRPr="00F835E6">
        <w:rPr>
          <w:rFonts w:ascii="Arial" w:hAnsi="Arial" w:cs="Arial"/>
          <w:i/>
          <w:iCs/>
          <w:color w:val="000000" w:themeColor="text1"/>
          <w:sz w:val="20"/>
          <w:szCs w:val="24"/>
          <w:lang w:val="en-US"/>
        </w:rPr>
        <w:t>Trichophyton mentagrophytes</w:t>
      </w:r>
      <w:r w:rsidR="00050EBC" w:rsidRPr="00F835E6">
        <w:rPr>
          <w:rFonts w:ascii="Arial" w:hAnsi="Arial" w:cs="Arial"/>
          <w:color w:val="000000" w:themeColor="text1"/>
          <w:sz w:val="20"/>
          <w:szCs w:val="24"/>
          <w:lang w:val="en-US"/>
        </w:rPr>
        <w:t xml:space="preserve"> accounting for over 95% of all isolates</w:t>
      </w:r>
      <w:r w:rsidR="00A748D4" w:rsidRPr="00F835E6">
        <w:rPr>
          <w:rFonts w:ascii="Arial" w:hAnsi="Arial" w:cs="Arial"/>
          <w:color w:val="000000" w:themeColor="text1"/>
          <w:sz w:val="20"/>
          <w:szCs w:val="24"/>
          <w:lang w:val="en-US"/>
        </w:rPr>
        <w:t xml:space="preserve">. </w:t>
      </w:r>
      <w:r w:rsidR="0000286E" w:rsidRPr="00F835E6">
        <w:rPr>
          <w:rFonts w:ascii="Arial" w:hAnsi="Arial" w:cs="Arial"/>
          <w:color w:val="000000" w:themeColor="text1"/>
          <w:sz w:val="20"/>
          <w:szCs w:val="24"/>
          <w:lang w:val="en-US"/>
        </w:rPr>
        <w:t xml:space="preserve">Environmental and demographic factors have been shown to influence fungal dermatitis in dogs as reported by </w:t>
      </w:r>
      <w:proofErr w:type="spellStart"/>
      <w:r w:rsidR="0000286E" w:rsidRPr="00F835E6">
        <w:rPr>
          <w:rFonts w:ascii="Arial" w:hAnsi="Arial" w:cs="Arial"/>
          <w:color w:val="000000" w:themeColor="text1"/>
          <w:sz w:val="20"/>
          <w:szCs w:val="24"/>
          <w:lang w:val="en-US"/>
        </w:rPr>
        <w:t>Singathia</w:t>
      </w:r>
      <w:proofErr w:type="spellEnd"/>
      <w:r w:rsidR="0000286E" w:rsidRPr="00F835E6">
        <w:rPr>
          <w:rFonts w:ascii="Arial" w:hAnsi="Arial" w:cs="Arial"/>
          <w:color w:val="000000" w:themeColor="text1"/>
          <w:sz w:val="20"/>
          <w:szCs w:val="24"/>
          <w:lang w:val="en-US"/>
        </w:rPr>
        <w:t xml:space="preserve"> </w:t>
      </w:r>
      <w:r w:rsidR="001867DC" w:rsidRPr="00F835E6">
        <w:rPr>
          <w:rFonts w:ascii="Arial" w:hAnsi="Arial" w:cs="Arial"/>
          <w:i/>
          <w:color w:val="000000" w:themeColor="text1"/>
          <w:sz w:val="20"/>
          <w:szCs w:val="24"/>
          <w:lang w:val="en-US"/>
        </w:rPr>
        <w:t>et al.</w:t>
      </w:r>
      <w:r w:rsidR="0000286E" w:rsidRPr="00F835E6">
        <w:rPr>
          <w:rFonts w:ascii="Arial" w:hAnsi="Arial" w:cs="Arial"/>
          <w:color w:val="000000" w:themeColor="text1"/>
          <w:sz w:val="20"/>
          <w:szCs w:val="24"/>
          <w:lang w:val="en-US"/>
        </w:rPr>
        <w:t xml:space="preserve"> (2014) </w:t>
      </w:r>
      <w:r w:rsidRPr="00F835E6">
        <w:rPr>
          <w:rFonts w:ascii="Arial" w:hAnsi="Arial" w:cs="Arial"/>
          <w:color w:val="000000" w:themeColor="text1"/>
          <w:sz w:val="20"/>
          <w:szCs w:val="24"/>
          <w:lang w:val="en-US"/>
        </w:rPr>
        <w:t xml:space="preserve">who observed </w:t>
      </w:r>
      <w:r w:rsidR="0000286E" w:rsidRPr="00F835E6">
        <w:rPr>
          <w:rFonts w:ascii="Arial" w:hAnsi="Arial" w:cs="Arial"/>
          <w:color w:val="000000" w:themeColor="text1"/>
          <w:sz w:val="20"/>
          <w:szCs w:val="24"/>
          <w:lang w:val="en-US"/>
        </w:rPr>
        <w:t xml:space="preserve">higher seasonal prevalence during the monsoon months, along with increased infection rates in male dogs. </w:t>
      </w:r>
    </w:p>
    <w:p w14:paraId="588FB17E" w14:textId="77777777" w:rsidR="00D83803" w:rsidRPr="00F835E6" w:rsidRDefault="0000286E" w:rsidP="000C29E6">
      <w:pPr>
        <w:autoSpaceDE w:val="0"/>
        <w:autoSpaceDN w:val="0"/>
        <w:adjustRightInd w:val="0"/>
        <w:spacing w:after="0" w:line="240" w:lineRule="auto"/>
        <w:ind w:firstLine="720"/>
        <w:jc w:val="both"/>
        <w:rPr>
          <w:rFonts w:ascii="Arial" w:hAnsi="Arial" w:cs="Arial"/>
          <w:color w:val="000000" w:themeColor="text1"/>
          <w:sz w:val="20"/>
          <w:szCs w:val="24"/>
          <w:lang w:val="en-US"/>
        </w:rPr>
      </w:pPr>
      <w:r w:rsidRPr="00F835E6">
        <w:rPr>
          <w:rStyle w:val="bzpyqfadein"/>
          <w:rFonts w:ascii="Arial" w:hAnsi="Arial" w:cs="Arial"/>
          <w:sz w:val="20"/>
        </w:rPr>
        <w:t>Accurate diagnosis remains critical for effective management, with cytological evaluation serving as a cornerstone in differentiating fungal from bacterial infections. Previous studies (</w:t>
      </w:r>
      <w:r w:rsidR="002423DF" w:rsidRPr="00F835E6">
        <w:rPr>
          <w:rStyle w:val="bzpyqfadein"/>
          <w:rFonts w:ascii="Arial" w:hAnsi="Arial" w:cs="Arial"/>
          <w:sz w:val="20"/>
        </w:rPr>
        <w:t xml:space="preserve">Scott </w:t>
      </w:r>
      <w:r w:rsidR="001867DC" w:rsidRPr="00F835E6">
        <w:rPr>
          <w:rStyle w:val="bzpyqfadein"/>
          <w:rFonts w:ascii="Arial" w:hAnsi="Arial" w:cs="Arial"/>
          <w:i/>
          <w:sz w:val="20"/>
        </w:rPr>
        <w:t>et al.</w:t>
      </w:r>
      <w:r w:rsidR="002423DF" w:rsidRPr="00F835E6">
        <w:rPr>
          <w:rStyle w:val="bzpyqfadein"/>
          <w:rFonts w:ascii="Arial" w:hAnsi="Arial" w:cs="Arial"/>
          <w:sz w:val="20"/>
        </w:rPr>
        <w:t xml:space="preserve">, 2006; </w:t>
      </w:r>
      <w:r w:rsidRPr="00F835E6">
        <w:rPr>
          <w:rStyle w:val="bzpyqfadein"/>
          <w:rFonts w:ascii="Arial" w:hAnsi="Arial" w:cs="Arial"/>
          <w:sz w:val="20"/>
        </w:rPr>
        <w:t xml:space="preserve">Hillier </w:t>
      </w:r>
      <w:r w:rsidR="001867DC" w:rsidRPr="00F835E6">
        <w:rPr>
          <w:rStyle w:val="bzpyqfadein"/>
          <w:rFonts w:ascii="Arial" w:hAnsi="Arial" w:cs="Arial"/>
          <w:i/>
          <w:sz w:val="20"/>
        </w:rPr>
        <w:t>et al.</w:t>
      </w:r>
      <w:r w:rsidRPr="00F835E6">
        <w:rPr>
          <w:rStyle w:val="bzpyqfadein"/>
          <w:rFonts w:ascii="Arial" w:hAnsi="Arial" w:cs="Arial"/>
          <w:sz w:val="20"/>
        </w:rPr>
        <w:t xml:space="preserve">, 2014) have demonstrated the utility of cytology in identifying coccoid bacteria, rod-shaped organisms, and </w:t>
      </w:r>
      <w:r w:rsidRPr="00F835E6">
        <w:rPr>
          <w:rStyle w:val="bzpyqfadein"/>
          <w:rFonts w:ascii="Arial" w:hAnsi="Arial" w:cs="Arial"/>
          <w:i/>
          <w:iCs/>
          <w:sz w:val="20"/>
        </w:rPr>
        <w:t>Malassezia</w:t>
      </w:r>
      <w:r w:rsidRPr="00F835E6">
        <w:rPr>
          <w:rStyle w:val="bzpyqfadein"/>
          <w:rFonts w:ascii="Arial" w:hAnsi="Arial" w:cs="Arial"/>
          <w:sz w:val="20"/>
        </w:rPr>
        <w:t xml:space="preserve"> spp., particularly in the presence of inflammatory cells and intracellular organisms. The diagnostic efficacy of cytological techniques, including impression smears, has been well established for detecting both yeast infections and concurrent bacterial involvement (</w:t>
      </w:r>
      <w:proofErr w:type="spellStart"/>
      <w:r w:rsidRPr="00F835E6">
        <w:rPr>
          <w:rStyle w:val="bzpyqfadein"/>
          <w:rFonts w:ascii="Arial" w:hAnsi="Arial" w:cs="Arial"/>
          <w:sz w:val="20"/>
        </w:rPr>
        <w:t>Saijonmaa-Koulumies</w:t>
      </w:r>
      <w:proofErr w:type="spellEnd"/>
      <w:r w:rsidRPr="00F835E6">
        <w:rPr>
          <w:rStyle w:val="bzpyqfadein"/>
          <w:rFonts w:ascii="Arial" w:hAnsi="Arial" w:cs="Arial"/>
          <w:sz w:val="20"/>
        </w:rPr>
        <w:t>, 2002; Craig, 2003).</w:t>
      </w:r>
      <w:r w:rsidR="00050EBC" w:rsidRPr="00F835E6">
        <w:rPr>
          <w:rFonts w:ascii="Arial" w:hAnsi="Arial" w:cs="Arial"/>
          <w:color w:val="000000" w:themeColor="text1"/>
          <w:szCs w:val="24"/>
          <w:lang w:val="en-US"/>
        </w:rPr>
        <w:t xml:space="preserve"> </w:t>
      </w:r>
      <w:r w:rsidRPr="00F835E6">
        <w:rPr>
          <w:rFonts w:ascii="Arial" w:hAnsi="Arial" w:cs="Arial"/>
          <w:color w:val="000000" w:themeColor="text1"/>
          <w:sz w:val="20"/>
          <w:szCs w:val="24"/>
        </w:rPr>
        <w:t xml:space="preserve">Therapeutic strategies have evolved considerably, with systemic antifungal agents such as ketoconazole, itraconazole, and terbinafine demonstrating proven efficacy in the management of fungal dermatoses (Mihaylov </w:t>
      </w:r>
      <w:r w:rsidR="001867DC" w:rsidRPr="00F835E6">
        <w:rPr>
          <w:rFonts w:ascii="Arial" w:hAnsi="Arial" w:cs="Arial"/>
          <w:i/>
          <w:color w:val="000000" w:themeColor="text1"/>
          <w:sz w:val="20"/>
          <w:szCs w:val="24"/>
        </w:rPr>
        <w:t>et al.</w:t>
      </w:r>
      <w:r w:rsidRPr="00F835E6">
        <w:rPr>
          <w:rFonts w:ascii="Arial" w:hAnsi="Arial" w:cs="Arial"/>
          <w:color w:val="000000" w:themeColor="text1"/>
          <w:sz w:val="20"/>
          <w:szCs w:val="24"/>
        </w:rPr>
        <w:t xml:space="preserve">, 2008; Moriello </w:t>
      </w:r>
      <w:r w:rsidR="001867DC" w:rsidRPr="00F835E6">
        <w:rPr>
          <w:rFonts w:ascii="Arial" w:hAnsi="Arial" w:cs="Arial"/>
          <w:i/>
          <w:color w:val="000000" w:themeColor="text1"/>
          <w:sz w:val="20"/>
          <w:szCs w:val="24"/>
        </w:rPr>
        <w:t>et al.</w:t>
      </w:r>
      <w:r w:rsidRPr="00F835E6">
        <w:rPr>
          <w:rFonts w:ascii="Arial" w:hAnsi="Arial" w:cs="Arial"/>
          <w:color w:val="000000" w:themeColor="text1"/>
          <w:sz w:val="20"/>
          <w:szCs w:val="24"/>
        </w:rPr>
        <w:t xml:space="preserve">, 2017; Sharma </w:t>
      </w:r>
      <w:r w:rsidR="001867DC" w:rsidRPr="00F835E6">
        <w:rPr>
          <w:rFonts w:ascii="Arial" w:hAnsi="Arial" w:cs="Arial"/>
          <w:i/>
          <w:color w:val="000000" w:themeColor="text1"/>
          <w:sz w:val="20"/>
          <w:szCs w:val="24"/>
        </w:rPr>
        <w:t>et al.</w:t>
      </w:r>
      <w:r w:rsidRPr="00F835E6">
        <w:rPr>
          <w:rFonts w:ascii="Arial" w:hAnsi="Arial" w:cs="Arial"/>
          <w:color w:val="000000" w:themeColor="text1"/>
          <w:sz w:val="20"/>
          <w:szCs w:val="24"/>
        </w:rPr>
        <w:t xml:space="preserve">, 2019). In addition, topical formulations, particularly those containing miconazole and chlorhexidine, have been shown to enhance treatment outcomes by reducing surface microbial load and preventing recurrence (Nam </w:t>
      </w:r>
      <w:r w:rsidR="001867DC" w:rsidRPr="00F835E6">
        <w:rPr>
          <w:rFonts w:ascii="Arial" w:hAnsi="Arial" w:cs="Arial"/>
          <w:i/>
          <w:color w:val="000000" w:themeColor="text1"/>
          <w:sz w:val="20"/>
          <w:szCs w:val="24"/>
        </w:rPr>
        <w:t>et al.</w:t>
      </w:r>
      <w:r w:rsidRPr="00F835E6">
        <w:rPr>
          <w:rFonts w:ascii="Arial" w:hAnsi="Arial" w:cs="Arial"/>
          <w:color w:val="000000" w:themeColor="text1"/>
          <w:sz w:val="20"/>
          <w:szCs w:val="24"/>
        </w:rPr>
        <w:t>, 2013).</w:t>
      </w:r>
      <w:r w:rsidRPr="00F835E6">
        <w:rPr>
          <w:rFonts w:ascii="Arial" w:hAnsi="Arial" w:cs="Arial"/>
          <w:sz w:val="20"/>
          <w:szCs w:val="24"/>
        </w:rPr>
        <w:t xml:space="preserve"> </w:t>
      </w:r>
      <w:r w:rsidR="00CD03F4" w:rsidRPr="00F835E6">
        <w:rPr>
          <w:rFonts w:ascii="Arial" w:hAnsi="Arial" w:cs="Arial"/>
          <w:sz w:val="20"/>
          <w:szCs w:val="24"/>
        </w:rPr>
        <w:t>The present study was undertaken to investigate the</w:t>
      </w:r>
      <w:r w:rsidR="007D371D" w:rsidRPr="00F835E6">
        <w:rPr>
          <w:rFonts w:ascii="Arial" w:hAnsi="Arial" w:cs="Arial"/>
          <w:sz w:val="20"/>
          <w:szCs w:val="24"/>
        </w:rPr>
        <w:t xml:space="preserve"> epidemiological pattern</w:t>
      </w:r>
      <w:r w:rsidR="00CD03F4" w:rsidRPr="00F835E6">
        <w:rPr>
          <w:rFonts w:ascii="Arial" w:hAnsi="Arial" w:cs="Arial"/>
          <w:sz w:val="20"/>
          <w:szCs w:val="24"/>
        </w:rPr>
        <w:t>, diagnostic approaches, and therapeutic management of fungal dermatitis in canine.</w:t>
      </w:r>
    </w:p>
    <w:p w14:paraId="1B990B3D" w14:textId="77777777" w:rsidR="00D83803" w:rsidRPr="00194DA1" w:rsidRDefault="00194DA1" w:rsidP="00D83803">
      <w:pPr>
        <w:autoSpaceDE w:val="0"/>
        <w:autoSpaceDN w:val="0"/>
        <w:adjustRightInd w:val="0"/>
        <w:spacing w:before="240" w:after="0"/>
        <w:jc w:val="both"/>
        <w:rPr>
          <w:rFonts w:ascii="Arial" w:hAnsi="Arial" w:cs="Arial"/>
          <w:color w:val="000000" w:themeColor="text1"/>
          <w:szCs w:val="24"/>
          <w:lang w:val="en-US"/>
        </w:rPr>
      </w:pPr>
      <w:r>
        <w:rPr>
          <w:rFonts w:ascii="Arial" w:hAnsi="Arial" w:cs="Arial"/>
          <w:b/>
          <w:bCs/>
          <w:szCs w:val="24"/>
          <w:lang w:val="en-US"/>
        </w:rPr>
        <w:t xml:space="preserve">2. </w:t>
      </w:r>
      <w:r w:rsidRPr="00194DA1">
        <w:rPr>
          <w:rFonts w:ascii="Arial" w:hAnsi="Arial" w:cs="Arial"/>
          <w:b/>
          <w:bCs/>
          <w:szCs w:val="24"/>
          <w:lang w:val="en-US"/>
        </w:rPr>
        <w:t>MATERIALS AND METHODS</w:t>
      </w:r>
    </w:p>
    <w:p w14:paraId="5950DC2E" w14:textId="77777777" w:rsidR="006A09EE" w:rsidRPr="00F931F4" w:rsidRDefault="00093705" w:rsidP="000C29E6">
      <w:pPr>
        <w:spacing w:line="240" w:lineRule="auto"/>
        <w:ind w:firstLine="720"/>
        <w:jc w:val="both"/>
        <w:rPr>
          <w:rFonts w:ascii="Arial" w:hAnsi="Arial" w:cs="Arial"/>
          <w:bCs/>
          <w:sz w:val="20"/>
          <w:szCs w:val="24"/>
          <w:lang w:val="en-US"/>
        </w:rPr>
      </w:pPr>
      <w:r w:rsidRPr="00F931F4">
        <w:rPr>
          <w:rFonts w:ascii="Arial" w:hAnsi="Arial" w:cs="Arial"/>
          <w:bCs/>
          <w:sz w:val="20"/>
          <w:szCs w:val="24"/>
          <w:lang w:val="en-US"/>
        </w:rPr>
        <w:t>This prospective observational study aimed to elucidate the epidemiological patterns, clinical diagnostic approaches, and therapeutic outcomes of superficial fungal dermatological conditions in dogs.</w:t>
      </w:r>
      <w:r w:rsidR="007D371D" w:rsidRPr="00F931F4">
        <w:rPr>
          <w:rFonts w:ascii="Arial" w:hAnsi="Arial" w:cs="Arial"/>
          <w:bCs/>
          <w:sz w:val="20"/>
          <w:szCs w:val="24"/>
          <w:lang w:val="en-US"/>
        </w:rPr>
        <w:t xml:space="preserve"> </w:t>
      </w:r>
      <w:r w:rsidR="006A09EE" w:rsidRPr="00F931F4">
        <w:rPr>
          <w:rFonts w:ascii="Arial" w:hAnsi="Arial" w:cs="Arial"/>
          <w:bCs/>
          <w:sz w:val="20"/>
          <w:szCs w:val="24"/>
          <w:lang w:val="en-US"/>
        </w:rPr>
        <w:t>The research was carried out at the Veterinary Clinical Complex, DGCN, College of Veterinary and Animal Sciences, CSK Himachal Pradesh Krishi V</w:t>
      </w:r>
      <w:r w:rsidR="00D82A28" w:rsidRPr="00F931F4">
        <w:rPr>
          <w:rFonts w:ascii="Arial" w:hAnsi="Arial" w:cs="Arial"/>
          <w:bCs/>
          <w:sz w:val="20"/>
          <w:szCs w:val="24"/>
          <w:lang w:val="en-US"/>
        </w:rPr>
        <w:t>ishvavidyalaya, Palampur (H.P.).</w:t>
      </w:r>
    </w:p>
    <w:p w14:paraId="0E1BB352" w14:textId="77777777" w:rsidR="0093567B" w:rsidRPr="006F0FB1" w:rsidRDefault="00333206" w:rsidP="00B43EDC">
      <w:pPr>
        <w:spacing w:after="0"/>
        <w:jc w:val="both"/>
        <w:rPr>
          <w:rFonts w:ascii="Arial" w:hAnsi="Arial" w:cs="Arial"/>
          <w:b/>
          <w:bCs/>
          <w:szCs w:val="24"/>
          <w:lang w:val="en-US"/>
        </w:rPr>
      </w:pPr>
      <w:r>
        <w:rPr>
          <w:rFonts w:ascii="Arial" w:hAnsi="Arial" w:cs="Arial"/>
          <w:b/>
          <w:bCs/>
          <w:szCs w:val="24"/>
          <w:lang w:val="en-US"/>
        </w:rPr>
        <w:t xml:space="preserve">2.1 </w:t>
      </w:r>
      <w:r w:rsidR="00275296" w:rsidRPr="006F0FB1">
        <w:rPr>
          <w:rFonts w:ascii="Arial" w:hAnsi="Arial" w:cs="Arial"/>
          <w:b/>
          <w:bCs/>
          <w:szCs w:val="24"/>
          <w:lang w:val="en-US"/>
        </w:rPr>
        <w:t xml:space="preserve">Animal Selection and Diagnostic </w:t>
      </w:r>
      <w:r w:rsidR="0093567B" w:rsidRPr="006F0FB1">
        <w:rPr>
          <w:rFonts w:ascii="Arial" w:hAnsi="Arial" w:cs="Arial"/>
          <w:b/>
          <w:bCs/>
          <w:szCs w:val="24"/>
          <w:lang w:val="en-US"/>
        </w:rPr>
        <w:t>Evaluation</w:t>
      </w:r>
    </w:p>
    <w:p w14:paraId="57BB05C3" w14:textId="77777777" w:rsidR="0093567B" w:rsidRPr="00F931F4" w:rsidRDefault="00CD1407" w:rsidP="000C29E6">
      <w:pPr>
        <w:spacing w:after="0" w:line="240" w:lineRule="auto"/>
        <w:jc w:val="both"/>
        <w:rPr>
          <w:rFonts w:ascii="Arial" w:hAnsi="Arial" w:cs="Arial"/>
          <w:bCs/>
          <w:sz w:val="20"/>
          <w:szCs w:val="24"/>
          <w:lang w:val="en-US"/>
        </w:rPr>
      </w:pPr>
      <w:r w:rsidRPr="00F931F4">
        <w:rPr>
          <w:rFonts w:ascii="Arial" w:hAnsi="Arial" w:cs="Arial"/>
          <w:bCs/>
          <w:sz w:val="20"/>
          <w:szCs w:val="24"/>
          <w:lang w:val="en-US"/>
        </w:rPr>
        <w:t>The study was conducted over a pe</w:t>
      </w:r>
      <w:r w:rsidR="00D82A28" w:rsidRPr="00F931F4">
        <w:rPr>
          <w:rFonts w:ascii="Arial" w:hAnsi="Arial" w:cs="Arial"/>
          <w:bCs/>
          <w:sz w:val="20"/>
          <w:szCs w:val="24"/>
          <w:lang w:val="en-US"/>
        </w:rPr>
        <w:t xml:space="preserve">riod of one year and two months </w:t>
      </w:r>
      <w:r w:rsidR="00D82A28" w:rsidRPr="00F931F4">
        <w:rPr>
          <w:rFonts w:ascii="Arial" w:hAnsi="Arial" w:cs="Arial"/>
          <w:bCs/>
          <w:sz w:val="20"/>
          <w:szCs w:val="24"/>
        </w:rPr>
        <w:t>from February 2021 to April 2022.</w:t>
      </w:r>
      <w:r w:rsidRPr="00F931F4">
        <w:rPr>
          <w:rFonts w:ascii="Arial" w:hAnsi="Arial" w:cs="Arial"/>
          <w:bCs/>
          <w:sz w:val="20"/>
          <w:szCs w:val="24"/>
          <w:lang w:val="en-US"/>
        </w:rPr>
        <w:t xml:space="preserve"> A thorough clinical examination was performed on each dog, including details on the onset of clinical signs, the distribution, and the nature of the dermatological lesions observed. </w:t>
      </w:r>
      <w:r w:rsidR="006A09EE" w:rsidRPr="00F931F4">
        <w:rPr>
          <w:rFonts w:ascii="Arial" w:hAnsi="Arial" w:cs="Arial"/>
          <w:bCs/>
          <w:sz w:val="20"/>
          <w:szCs w:val="24"/>
        </w:rPr>
        <w:t>To confirm fungal involvement, skin lesions were further analyzed using diagnostic techniques such as cytology and wood</w:t>
      </w:r>
      <w:r w:rsidR="00E30E93" w:rsidRPr="00F931F4">
        <w:rPr>
          <w:rFonts w:ascii="Arial" w:hAnsi="Arial" w:cs="Arial"/>
          <w:bCs/>
          <w:sz w:val="20"/>
          <w:szCs w:val="24"/>
        </w:rPr>
        <w:t>’s</w:t>
      </w:r>
      <w:r w:rsidR="006A09EE" w:rsidRPr="00F931F4">
        <w:rPr>
          <w:rFonts w:ascii="Arial" w:hAnsi="Arial" w:cs="Arial"/>
          <w:bCs/>
          <w:sz w:val="20"/>
          <w:szCs w:val="24"/>
        </w:rPr>
        <w:t xml:space="preserve"> lamp examination.</w:t>
      </w:r>
    </w:p>
    <w:p w14:paraId="3CD8F3CA" w14:textId="77777777" w:rsidR="00D83803" w:rsidRPr="00194DA1" w:rsidRDefault="006A09EE" w:rsidP="000C29E6">
      <w:pPr>
        <w:spacing w:line="240" w:lineRule="auto"/>
        <w:ind w:firstLine="720"/>
        <w:jc w:val="both"/>
        <w:rPr>
          <w:rFonts w:ascii="Arial" w:hAnsi="Arial" w:cs="Arial"/>
          <w:bCs/>
          <w:szCs w:val="24"/>
        </w:rPr>
      </w:pPr>
      <w:r w:rsidRPr="00F931F4">
        <w:rPr>
          <w:rFonts w:ascii="Arial" w:eastAsia="Times New Roman" w:hAnsi="Arial" w:cs="Arial"/>
          <w:sz w:val="20"/>
          <w:szCs w:val="24"/>
          <w:lang w:val="en-US"/>
        </w:rPr>
        <w:t>All cytological samples (tape stripes, impressions from the moist surface lesions, PBS-dipped wet swabs from the dry lesions, and aspirates from the papules, pustules, and nodules) were stained Giemsa, dried, and examined.</w:t>
      </w:r>
      <w:r w:rsidR="0093567B" w:rsidRPr="00F931F4">
        <w:rPr>
          <w:rFonts w:ascii="Arial" w:hAnsi="Arial" w:cs="Arial"/>
          <w:bCs/>
          <w:sz w:val="20"/>
          <w:szCs w:val="24"/>
        </w:rPr>
        <w:t xml:space="preserve"> </w:t>
      </w:r>
      <w:r w:rsidRPr="00F931F4">
        <w:rPr>
          <w:rFonts w:ascii="Arial" w:eastAsia="Times New Roman" w:hAnsi="Arial" w:cs="Arial"/>
          <w:sz w:val="20"/>
          <w:szCs w:val="24"/>
          <w:lang w:val="en-US"/>
        </w:rPr>
        <w:t>Wood</w:t>
      </w:r>
      <w:r w:rsidR="00E30E93" w:rsidRPr="00F931F4">
        <w:rPr>
          <w:rFonts w:ascii="Arial" w:eastAsia="Times New Roman" w:hAnsi="Arial" w:cs="Arial"/>
          <w:sz w:val="20"/>
          <w:szCs w:val="24"/>
          <w:lang w:val="en-US"/>
        </w:rPr>
        <w:t>’</w:t>
      </w:r>
      <w:r w:rsidRPr="00F931F4">
        <w:rPr>
          <w:rFonts w:ascii="Arial" w:eastAsia="Times New Roman" w:hAnsi="Arial" w:cs="Arial"/>
          <w:sz w:val="20"/>
          <w:szCs w:val="24"/>
          <w:lang w:val="en-US"/>
        </w:rPr>
        <w:t xml:space="preserve">s lamp examination was performed using a handheld </w:t>
      </w:r>
      <w:proofErr w:type="spellStart"/>
      <w:r w:rsidRPr="00F931F4">
        <w:rPr>
          <w:rFonts w:ascii="Arial" w:eastAsia="Times New Roman" w:hAnsi="Arial" w:cs="Arial"/>
          <w:sz w:val="20"/>
          <w:szCs w:val="24"/>
          <w:lang w:val="en-US"/>
        </w:rPr>
        <w:t>Indetouch</w:t>
      </w:r>
      <w:proofErr w:type="spellEnd"/>
      <w:r w:rsidR="0021348C" w:rsidRPr="00F931F4">
        <w:rPr>
          <w:rFonts w:ascii="Arial" w:eastAsia="Times New Roman" w:hAnsi="Arial" w:cs="Arial"/>
          <w:sz w:val="20"/>
          <w:szCs w:val="24"/>
          <w:lang w:val="en-US"/>
        </w:rPr>
        <w:t xml:space="preserve"> </w:t>
      </w:r>
      <w:r w:rsidRPr="00F931F4">
        <w:rPr>
          <w:rFonts w:ascii="Arial" w:eastAsia="Times New Roman" w:hAnsi="Arial" w:cs="Arial"/>
          <w:sz w:val="20"/>
          <w:szCs w:val="24"/>
          <w:lang w:val="en-US"/>
        </w:rPr>
        <w:t>TM; Wood</w:t>
      </w:r>
      <w:r w:rsidR="00E30E93" w:rsidRPr="00F931F4">
        <w:rPr>
          <w:rFonts w:ascii="Arial" w:eastAsia="Times New Roman" w:hAnsi="Arial" w:cs="Arial"/>
          <w:sz w:val="20"/>
          <w:szCs w:val="24"/>
          <w:lang w:val="en-US"/>
        </w:rPr>
        <w:t>’</w:t>
      </w:r>
      <w:r w:rsidRPr="00F931F4">
        <w:rPr>
          <w:rFonts w:ascii="Arial" w:eastAsia="Times New Roman" w:hAnsi="Arial" w:cs="Arial"/>
          <w:sz w:val="20"/>
          <w:szCs w:val="24"/>
          <w:lang w:val="en-US"/>
        </w:rPr>
        <w:t>s lamp for dermatological examination, 4 light magn</w:t>
      </w:r>
      <w:r w:rsidR="00F023C5" w:rsidRPr="00F931F4">
        <w:rPr>
          <w:rFonts w:ascii="Arial" w:eastAsia="Times New Roman" w:hAnsi="Arial" w:cs="Arial"/>
          <w:sz w:val="20"/>
          <w:szCs w:val="24"/>
          <w:lang w:val="en-US"/>
        </w:rPr>
        <w:t>ifier model; imported UV lights,</w:t>
      </w:r>
      <w:r w:rsidRPr="00F931F4">
        <w:rPr>
          <w:rFonts w:ascii="Arial" w:eastAsia="Times New Roman" w:hAnsi="Arial" w:cs="Arial"/>
          <w:sz w:val="20"/>
          <w:szCs w:val="24"/>
          <w:lang w:val="en-US"/>
        </w:rPr>
        <w:t xml:space="preserve"> which was switched on 10 minutes prior to the examination of the lesion. The lesion was first examined under white light followed by UV light in a dark room for any fluorescence under the UV light</w:t>
      </w:r>
      <w:r w:rsidR="00856AE9" w:rsidRPr="00F931F4">
        <w:rPr>
          <w:rFonts w:ascii="Arial" w:eastAsia="Times New Roman" w:hAnsi="Arial" w:cs="Arial"/>
          <w:sz w:val="20"/>
          <w:szCs w:val="24"/>
          <w:lang w:val="en-US"/>
        </w:rPr>
        <w:t xml:space="preserve"> </w:t>
      </w:r>
      <w:r w:rsidRPr="00F931F4">
        <w:rPr>
          <w:rFonts w:ascii="Arial" w:eastAsia="Times New Roman" w:hAnsi="Arial" w:cs="Arial"/>
          <w:sz w:val="20"/>
          <w:szCs w:val="24"/>
          <w:lang w:val="en-US"/>
        </w:rPr>
        <w:t>Curtis (2001).</w:t>
      </w:r>
    </w:p>
    <w:p w14:paraId="6A0D6013" w14:textId="77777777" w:rsidR="00D83803" w:rsidRPr="00194DA1" w:rsidRDefault="00333206" w:rsidP="00B43EDC">
      <w:pPr>
        <w:spacing w:after="0"/>
        <w:jc w:val="both"/>
        <w:rPr>
          <w:rFonts w:ascii="Arial" w:eastAsia="Times New Roman" w:hAnsi="Arial" w:cs="Arial"/>
          <w:szCs w:val="24"/>
          <w:lang w:val="en-US"/>
        </w:rPr>
      </w:pPr>
      <w:r>
        <w:rPr>
          <w:rFonts w:ascii="Arial" w:eastAsia="Times New Roman" w:hAnsi="Arial" w:cs="Arial"/>
          <w:b/>
          <w:szCs w:val="24"/>
          <w:lang w:val="en-US"/>
        </w:rPr>
        <w:t xml:space="preserve">2.2 </w:t>
      </w:r>
      <w:r w:rsidR="00C16AA0" w:rsidRPr="00194DA1">
        <w:rPr>
          <w:rFonts w:ascii="Arial" w:eastAsia="Times New Roman" w:hAnsi="Arial" w:cs="Arial"/>
          <w:b/>
          <w:szCs w:val="24"/>
          <w:lang w:val="en-US"/>
        </w:rPr>
        <w:t>Therapeutic evaluation</w:t>
      </w:r>
    </w:p>
    <w:p w14:paraId="1E2BB4FC" w14:textId="77777777" w:rsidR="00A748D4" w:rsidRPr="00F931F4" w:rsidRDefault="0093567B" w:rsidP="000C29E6">
      <w:pPr>
        <w:spacing w:line="240" w:lineRule="auto"/>
        <w:jc w:val="both"/>
        <w:rPr>
          <w:rFonts w:ascii="Arial" w:eastAsia="Times New Roman" w:hAnsi="Arial" w:cs="Arial"/>
          <w:b/>
          <w:sz w:val="20"/>
          <w:szCs w:val="24"/>
          <w:lang w:val="en-US"/>
        </w:rPr>
      </w:pPr>
      <w:r w:rsidRPr="00F931F4">
        <w:rPr>
          <w:rFonts w:ascii="Arial" w:eastAsia="Times New Roman" w:hAnsi="Arial" w:cs="Arial"/>
          <w:sz w:val="20"/>
          <w:szCs w:val="24"/>
        </w:rPr>
        <w:lastRenderedPageBreak/>
        <w:t>Canine</w:t>
      </w:r>
      <w:r w:rsidR="00E30E93" w:rsidRPr="00F931F4">
        <w:rPr>
          <w:rFonts w:ascii="Arial" w:eastAsia="Times New Roman" w:hAnsi="Arial" w:cs="Arial"/>
          <w:sz w:val="20"/>
          <w:szCs w:val="24"/>
        </w:rPr>
        <w:t>s</w:t>
      </w:r>
      <w:r w:rsidRPr="00F931F4">
        <w:rPr>
          <w:rFonts w:ascii="Arial" w:eastAsia="Times New Roman" w:hAnsi="Arial" w:cs="Arial"/>
          <w:sz w:val="20"/>
          <w:szCs w:val="24"/>
        </w:rPr>
        <w:t xml:space="preserve"> </w:t>
      </w:r>
      <w:r w:rsidR="00A748D4" w:rsidRPr="00F931F4">
        <w:rPr>
          <w:rFonts w:ascii="Arial" w:eastAsia="Times New Roman" w:hAnsi="Arial" w:cs="Arial"/>
          <w:sz w:val="20"/>
          <w:szCs w:val="24"/>
        </w:rPr>
        <w:t xml:space="preserve">diagnosed with fungal dermatitis were treated orally with ketoconazole at a dose of 5 mg/kg body weight, administered twice daily. In addition to systemic therapy, an antifungal shampoo containing ketoconazole was used twice weekly. Topical treatment included the application of </w:t>
      </w:r>
      <w:proofErr w:type="spellStart"/>
      <w:r w:rsidR="00A748D4" w:rsidRPr="00F931F4">
        <w:rPr>
          <w:rFonts w:ascii="Arial" w:eastAsia="Times New Roman" w:hAnsi="Arial" w:cs="Arial"/>
          <w:sz w:val="20"/>
          <w:szCs w:val="24"/>
        </w:rPr>
        <w:t>Kiskin</w:t>
      </w:r>
      <w:proofErr w:type="spellEnd"/>
      <w:r w:rsidR="00A748D4" w:rsidRPr="00F931F4">
        <w:rPr>
          <w:rFonts w:ascii="Arial" w:eastAsia="Times New Roman" w:hAnsi="Arial" w:cs="Arial"/>
          <w:sz w:val="20"/>
          <w:szCs w:val="24"/>
        </w:rPr>
        <w:t xml:space="preserve"> lotion (containing ofloxacin, clobetasol propionate, miconazole nitrate, and zinc sulphate) twice daily</w:t>
      </w:r>
      <w:r w:rsidR="00F023C5" w:rsidRPr="00F931F4">
        <w:rPr>
          <w:rFonts w:ascii="Arial" w:eastAsia="Times New Roman" w:hAnsi="Arial" w:cs="Arial"/>
          <w:sz w:val="20"/>
          <w:szCs w:val="24"/>
        </w:rPr>
        <w:t xml:space="preserve"> </w:t>
      </w:r>
      <w:r w:rsidR="00A748D4" w:rsidRPr="00F931F4">
        <w:rPr>
          <w:rFonts w:ascii="Arial" w:eastAsia="Times New Roman" w:hAnsi="Arial" w:cs="Arial"/>
          <w:sz w:val="20"/>
          <w:szCs w:val="24"/>
        </w:rPr>
        <w:t>(</w:t>
      </w:r>
      <w:proofErr w:type="spellStart"/>
      <w:r w:rsidR="00A748D4" w:rsidRPr="00F931F4">
        <w:rPr>
          <w:rFonts w:ascii="Arial" w:eastAsia="Times New Roman" w:hAnsi="Arial" w:cs="Arial"/>
          <w:sz w:val="20"/>
          <w:szCs w:val="24"/>
        </w:rPr>
        <w:t>Kukanich</w:t>
      </w:r>
      <w:proofErr w:type="spellEnd"/>
      <w:r w:rsidR="00A748D4" w:rsidRPr="00F931F4">
        <w:rPr>
          <w:rFonts w:ascii="Arial" w:eastAsia="Times New Roman" w:hAnsi="Arial" w:cs="Arial"/>
          <w:sz w:val="20"/>
          <w:szCs w:val="24"/>
        </w:rPr>
        <w:t xml:space="preserve">, 2008; </w:t>
      </w:r>
      <w:proofErr w:type="spellStart"/>
      <w:r w:rsidR="00A748D4" w:rsidRPr="00F931F4">
        <w:rPr>
          <w:rFonts w:ascii="Arial" w:eastAsia="Times New Roman" w:hAnsi="Arial" w:cs="Arial"/>
          <w:sz w:val="20"/>
          <w:szCs w:val="24"/>
        </w:rPr>
        <w:t>Panigrahi</w:t>
      </w:r>
      <w:proofErr w:type="spellEnd"/>
      <w:r w:rsidR="00A748D4" w:rsidRPr="00F931F4">
        <w:rPr>
          <w:rFonts w:ascii="Arial" w:eastAsia="Times New Roman" w:hAnsi="Arial" w:cs="Arial"/>
          <w:sz w:val="20"/>
          <w:szCs w:val="24"/>
        </w:rPr>
        <w:t xml:space="preserve"> </w:t>
      </w:r>
      <w:r w:rsidR="001867DC" w:rsidRPr="00F931F4">
        <w:rPr>
          <w:rFonts w:ascii="Arial" w:eastAsia="Times New Roman" w:hAnsi="Arial" w:cs="Arial"/>
          <w:i/>
          <w:sz w:val="20"/>
          <w:szCs w:val="24"/>
        </w:rPr>
        <w:t>et al.</w:t>
      </w:r>
      <w:r w:rsidR="00A748D4" w:rsidRPr="00F931F4">
        <w:rPr>
          <w:rFonts w:ascii="Arial" w:eastAsia="Times New Roman" w:hAnsi="Arial" w:cs="Arial"/>
          <w:sz w:val="20"/>
          <w:szCs w:val="24"/>
        </w:rPr>
        <w:t>, 2013; Chakrabarti, 2013).</w:t>
      </w:r>
      <w:r w:rsidR="007E639A" w:rsidRPr="00F931F4">
        <w:rPr>
          <w:rFonts w:ascii="Arial" w:hAnsi="Arial" w:cs="Arial"/>
          <w:sz w:val="18"/>
        </w:rPr>
        <w:t xml:space="preserve"> </w:t>
      </w:r>
      <w:r w:rsidR="007E639A" w:rsidRPr="00F931F4">
        <w:rPr>
          <w:rFonts w:ascii="Arial" w:eastAsia="Times New Roman" w:hAnsi="Arial" w:cs="Arial"/>
          <w:sz w:val="20"/>
          <w:szCs w:val="24"/>
        </w:rPr>
        <w:t>The duration of treatment was determined based on the severity of the lesions and continued until complete clinical resolution was achieved.</w:t>
      </w:r>
    </w:p>
    <w:p w14:paraId="0DCAF999" w14:textId="77777777" w:rsidR="00CA52F3" w:rsidRPr="00194DA1" w:rsidRDefault="008A5401" w:rsidP="00B43EDC">
      <w:pPr>
        <w:spacing w:after="0"/>
        <w:jc w:val="both"/>
        <w:rPr>
          <w:rFonts w:ascii="Arial" w:hAnsi="Arial" w:cs="Arial"/>
          <w:b/>
          <w:bCs/>
          <w:szCs w:val="24"/>
        </w:rPr>
      </w:pPr>
      <w:r>
        <w:rPr>
          <w:rFonts w:ascii="Arial" w:hAnsi="Arial" w:cs="Arial"/>
          <w:b/>
          <w:bCs/>
          <w:szCs w:val="24"/>
        </w:rPr>
        <w:t xml:space="preserve">3. </w:t>
      </w:r>
      <w:r w:rsidR="00194DA1" w:rsidRPr="00194DA1">
        <w:rPr>
          <w:rFonts w:ascii="Arial" w:hAnsi="Arial" w:cs="Arial"/>
          <w:b/>
          <w:bCs/>
          <w:szCs w:val="24"/>
        </w:rPr>
        <w:t>RESULTS AND DISCUSSION</w:t>
      </w:r>
    </w:p>
    <w:p w14:paraId="3ED61216" w14:textId="77777777" w:rsidR="00194DA1" w:rsidRPr="00F931F4" w:rsidRDefault="00F808AC" w:rsidP="000C29E6">
      <w:pPr>
        <w:spacing w:after="0" w:line="240" w:lineRule="auto"/>
        <w:jc w:val="both"/>
        <w:rPr>
          <w:rFonts w:ascii="Arial" w:eastAsia="Times New Roman" w:hAnsi="Arial" w:cs="Arial"/>
          <w:color w:val="FF0000"/>
          <w:sz w:val="20"/>
          <w:szCs w:val="20"/>
          <w:lang w:val="en-US"/>
        </w:rPr>
      </w:pPr>
      <w:r w:rsidRPr="00F931F4">
        <w:rPr>
          <w:rFonts w:ascii="Arial" w:eastAsia="Times New Roman" w:hAnsi="Arial" w:cs="Arial"/>
          <w:sz w:val="20"/>
          <w:szCs w:val="20"/>
          <w:lang w:val="en-US"/>
        </w:rPr>
        <w:t xml:space="preserve">In the present study of fungal skin infections in 40 dogs, the most common clinical manifestations were pruritus (75.0%), alopecia (62.5%), scaling (60.0%), erythema (37.5%), and lichenification (25.0%). </w:t>
      </w:r>
      <w:r w:rsidR="00717B1F" w:rsidRPr="00F931F4">
        <w:rPr>
          <w:rFonts w:ascii="Arial" w:eastAsia="Times New Roman" w:hAnsi="Arial" w:cs="Arial"/>
          <w:sz w:val="20"/>
          <w:szCs w:val="20"/>
          <w:lang w:val="en-US"/>
        </w:rPr>
        <w:t xml:space="preserve"> Pruritus is reported as a dominant clinical sign in up to 70% of </w:t>
      </w:r>
      <w:r w:rsidR="00717B1F" w:rsidRPr="00F931F4">
        <w:rPr>
          <w:rFonts w:ascii="Arial" w:eastAsia="Times New Roman" w:hAnsi="Arial" w:cs="Arial"/>
          <w:i/>
          <w:sz w:val="20"/>
          <w:szCs w:val="20"/>
          <w:lang w:val="en-US"/>
        </w:rPr>
        <w:t>Malassezia</w:t>
      </w:r>
      <w:r w:rsidR="00717B1F" w:rsidRPr="00F931F4">
        <w:rPr>
          <w:rFonts w:ascii="Arial" w:eastAsia="Times New Roman" w:hAnsi="Arial" w:cs="Arial"/>
          <w:sz w:val="20"/>
          <w:szCs w:val="20"/>
          <w:lang w:val="en-US"/>
        </w:rPr>
        <w:t xml:space="preserve"> cases, often accompanied by self-induced alopecia, variable scaling (kerato-sebaceous or greasy), erythema, and progressive lichenification or hyperpigmentation in chronic lesions (</w:t>
      </w:r>
      <w:r w:rsidR="00717B1F" w:rsidRPr="00F931F4">
        <w:rPr>
          <w:rFonts w:ascii="Arial" w:eastAsia="Times New Roman" w:hAnsi="Arial" w:cs="Arial"/>
          <w:bCs/>
          <w:sz w:val="20"/>
          <w:szCs w:val="20"/>
        </w:rPr>
        <w:t xml:space="preserve">Scott </w:t>
      </w:r>
      <w:r w:rsidR="001867DC" w:rsidRPr="00F931F4">
        <w:rPr>
          <w:rFonts w:ascii="Arial" w:eastAsia="Times New Roman" w:hAnsi="Arial" w:cs="Arial"/>
          <w:bCs/>
          <w:i/>
          <w:sz w:val="20"/>
          <w:szCs w:val="20"/>
        </w:rPr>
        <w:t>et al.</w:t>
      </w:r>
      <w:r w:rsidR="00717B1F" w:rsidRPr="00F931F4">
        <w:rPr>
          <w:rFonts w:ascii="Arial" w:eastAsia="Times New Roman" w:hAnsi="Arial" w:cs="Arial"/>
          <w:bCs/>
          <w:sz w:val="20"/>
          <w:szCs w:val="20"/>
        </w:rPr>
        <w:t xml:space="preserve"> 2001a</w:t>
      </w:r>
      <w:r w:rsidR="00717B1F" w:rsidRPr="00F931F4">
        <w:rPr>
          <w:rFonts w:ascii="Arial" w:eastAsia="Times New Roman" w:hAnsi="Arial" w:cs="Arial"/>
          <w:sz w:val="20"/>
          <w:szCs w:val="20"/>
          <w:lang w:val="en-US"/>
        </w:rPr>
        <w:t>; Bajwa, 2023).</w:t>
      </w:r>
      <w:r w:rsidR="00A74FDE" w:rsidRPr="00F931F4">
        <w:rPr>
          <w:rFonts w:ascii="Arial" w:eastAsia="Times New Roman" w:hAnsi="Arial" w:cs="Arial"/>
          <w:sz w:val="20"/>
          <w:szCs w:val="20"/>
          <w:lang w:val="en-US"/>
        </w:rPr>
        <w:t xml:space="preserve"> </w:t>
      </w:r>
      <w:r w:rsidR="00717B1F" w:rsidRPr="00F931F4">
        <w:rPr>
          <w:rFonts w:ascii="Arial" w:eastAsia="Times New Roman" w:hAnsi="Arial" w:cs="Arial"/>
          <w:sz w:val="20"/>
          <w:szCs w:val="20"/>
          <w:lang w:val="en-US"/>
        </w:rPr>
        <w:t>The pathogenic mechanism of fungal dermatitis involves the release of toxins in the stratum corneum that cause cutaneous irritation resembling allergic contact dermatitis, with the inflammatory response further intensified by fungal proteolytic enzymes such as alpha-chymotrypsin, which increase pruritus and inflammation (</w:t>
      </w:r>
      <w:r w:rsidR="003C3CBA">
        <w:rPr>
          <w:rFonts w:ascii="Arial" w:eastAsia="Times New Roman" w:hAnsi="Arial" w:cs="Arial"/>
          <w:sz w:val="20"/>
          <w:szCs w:val="20"/>
          <w:lang w:val="en-US"/>
        </w:rPr>
        <w:t>Scott</w:t>
      </w:r>
      <w:r w:rsidR="00717B1F" w:rsidRPr="00F931F4">
        <w:rPr>
          <w:rFonts w:ascii="Arial" w:eastAsia="Times New Roman" w:hAnsi="Arial" w:cs="Arial"/>
          <w:sz w:val="20"/>
          <w:szCs w:val="20"/>
          <w:lang w:val="en-US"/>
        </w:rPr>
        <w:t xml:space="preserve">, 2001). The absence of deep lesions such as ulcers, pustules, or abscesses confirms the superficial nature of these infections, which is characteristic of both </w:t>
      </w:r>
      <w:r w:rsidR="00717B1F" w:rsidRPr="00F931F4">
        <w:rPr>
          <w:rFonts w:ascii="Arial" w:eastAsia="Times New Roman" w:hAnsi="Arial" w:cs="Arial"/>
          <w:i/>
          <w:sz w:val="20"/>
          <w:szCs w:val="20"/>
          <w:lang w:val="en-US"/>
        </w:rPr>
        <w:t>Malassezia</w:t>
      </w:r>
      <w:r w:rsidR="00717B1F" w:rsidRPr="00F931F4">
        <w:rPr>
          <w:rFonts w:ascii="Arial" w:eastAsia="Times New Roman" w:hAnsi="Arial" w:cs="Arial"/>
          <w:sz w:val="20"/>
          <w:szCs w:val="20"/>
          <w:lang w:val="en-US"/>
        </w:rPr>
        <w:t xml:space="preserve"> overgrowth (confined to the stratum corneum) and dermatophytosis rather than invasive disease. Dermatophytes, being strictly keratinophilic and keratinolytic, attach to and invade </w:t>
      </w:r>
      <w:proofErr w:type="spellStart"/>
      <w:r w:rsidR="00717B1F" w:rsidRPr="00F931F4">
        <w:rPr>
          <w:rFonts w:ascii="Arial" w:eastAsia="Times New Roman" w:hAnsi="Arial" w:cs="Arial"/>
          <w:sz w:val="20"/>
          <w:szCs w:val="20"/>
          <w:lang w:val="en-US"/>
        </w:rPr>
        <w:t>keratinised</w:t>
      </w:r>
      <w:proofErr w:type="spellEnd"/>
      <w:r w:rsidR="00717B1F" w:rsidRPr="00F931F4">
        <w:rPr>
          <w:rFonts w:ascii="Arial" w:eastAsia="Times New Roman" w:hAnsi="Arial" w:cs="Arial"/>
          <w:sz w:val="20"/>
          <w:szCs w:val="20"/>
          <w:lang w:val="en-US"/>
        </w:rPr>
        <w:t xml:space="preserve"> tissues by secreting proteolytic and keratolytic enzymes that </w:t>
      </w:r>
      <w:proofErr w:type="spellStart"/>
      <w:r w:rsidR="00717B1F" w:rsidRPr="00F931F4">
        <w:rPr>
          <w:rFonts w:ascii="Arial" w:eastAsia="Times New Roman" w:hAnsi="Arial" w:cs="Arial"/>
          <w:sz w:val="20"/>
          <w:szCs w:val="20"/>
          <w:lang w:val="en-US"/>
        </w:rPr>
        <w:t>utilise</w:t>
      </w:r>
      <w:proofErr w:type="spellEnd"/>
      <w:r w:rsidR="00717B1F" w:rsidRPr="00F931F4">
        <w:rPr>
          <w:rFonts w:ascii="Arial" w:eastAsia="Times New Roman" w:hAnsi="Arial" w:cs="Arial"/>
          <w:sz w:val="20"/>
          <w:szCs w:val="20"/>
          <w:lang w:val="en-US"/>
        </w:rPr>
        <w:t xml:space="preserve"> keratin as a nutrient source, thereby sustaining superficial </w:t>
      </w:r>
      <w:proofErr w:type="spellStart"/>
      <w:r w:rsidR="00717B1F" w:rsidRPr="00F931F4">
        <w:rPr>
          <w:rFonts w:ascii="Arial" w:eastAsia="Times New Roman" w:hAnsi="Arial" w:cs="Arial"/>
          <w:sz w:val="20"/>
          <w:szCs w:val="20"/>
          <w:lang w:val="en-US"/>
        </w:rPr>
        <w:t>colonisation</w:t>
      </w:r>
      <w:proofErr w:type="spellEnd"/>
      <w:r w:rsidR="00717B1F" w:rsidRPr="00F931F4">
        <w:rPr>
          <w:rFonts w:ascii="Arial" w:eastAsia="Times New Roman" w:hAnsi="Arial" w:cs="Arial"/>
          <w:sz w:val="20"/>
          <w:szCs w:val="20"/>
          <w:lang w:val="en-US"/>
        </w:rPr>
        <w:t xml:space="preserve"> and eliciting erythema, scaling, and alopecia (</w:t>
      </w:r>
      <w:proofErr w:type="spellStart"/>
      <w:r w:rsidR="00717B1F" w:rsidRPr="00F931F4">
        <w:rPr>
          <w:rFonts w:ascii="Arial" w:eastAsia="Times New Roman" w:hAnsi="Arial" w:cs="Arial"/>
          <w:sz w:val="20"/>
          <w:szCs w:val="20"/>
          <w:lang w:val="en-US"/>
        </w:rPr>
        <w:t>Paryuni</w:t>
      </w:r>
      <w:proofErr w:type="spellEnd"/>
      <w:r w:rsidR="00717B1F" w:rsidRPr="00F931F4">
        <w:rPr>
          <w:rFonts w:ascii="Arial" w:eastAsia="Times New Roman" w:hAnsi="Arial" w:cs="Arial"/>
          <w:sz w:val="20"/>
          <w:szCs w:val="20"/>
          <w:lang w:val="en-US"/>
        </w:rPr>
        <w:t xml:space="preserve"> </w:t>
      </w:r>
      <w:r w:rsidR="001867DC" w:rsidRPr="00F931F4">
        <w:rPr>
          <w:rFonts w:ascii="Arial" w:eastAsia="Times New Roman" w:hAnsi="Arial" w:cs="Arial"/>
          <w:i/>
          <w:sz w:val="20"/>
          <w:szCs w:val="20"/>
          <w:lang w:val="en-US"/>
        </w:rPr>
        <w:t>et al.</w:t>
      </w:r>
      <w:r w:rsidR="00717B1F" w:rsidRPr="00F931F4">
        <w:rPr>
          <w:rFonts w:ascii="Arial" w:eastAsia="Times New Roman" w:hAnsi="Arial" w:cs="Arial"/>
          <w:sz w:val="20"/>
          <w:szCs w:val="20"/>
          <w:lang w:val="en-US"/>
        </w:rPr>
        <w:t>, 2020)</w:t>
      </w:r>
      <w:r w:rsidR="00194DA1" w:rsidRPr="00F931F4">
        <w:rPr>
          <w:rFonts w:ascii="Arial" w:eastAsia="Times New Roman" w:hAnsi="Arial" w:cs="Arial"/>
          <w:color w:val="FF0000"/>
          <w:sz w:val="20"/>
          <w:szCs w:val="20"/>
          <w:lang w:val="en-US"/>
        </w:rPr>
        <w:t xml:space="preserve">. </w:t>
      </w:r>
    </w:p>
    <w:p w14:paraId="3580B5FA" w14:textId="77777777" w:rsidR="00194DA1" w:rsidRPr="00F931F4" w:rsidRDefault="00CA52F3" w:rsidP="000C29E6">
      <w:pPr>
        <w:spacing w:after="0" w:line="240" w:lineRule="auto"/>
        <w:ind w:firstLine="720"/>
        <w:jc w:val="both"/>
        <w:rPr>
          <w:rFonts w:ascii="Arial" w:eastAsia="Times New Roman" w:hAnsi="Arial" w:cs="Arial"/>
          <w:bCs/>
          <w:sz w:val="20"/>
          <w:szCs w:val="20"/>
        </w:rPr>
      </w:pPr>
      <w:r w:rsidRPr="00F931F4">
        <w:rPr>
          <w:rFonts w:ascii="Arial" w:eastAsia="Times New Roman" w:hAnsi="Arial" w:cs="Arial"/>
          <w:sz w:val="20"/>
          <w:szCs w:val="20"/>
          <w:lang w:val="en-US"/>
        </w:rPr>
        <w:t xml:space="preserve">Epidemiologically, </w:t>
      </w:r>
      <w:r w:rsidR="00F00068" w:rsidRPr="00F931F4">
        <w:rPr>
          <w:rFonts w:ascii="Arial" w:eastAsia="Times New Roman" w:hAnsi="Arial" w:cs="Arial"/>
          <w:bCs/>
          <w:sz w:val="20"/>
          <w:szCs w:val="20"/>
          <w:lang w:val="en-US"/>
        </w:rPr>
        <w:t>German Shep</w:t>
      </w:r>
      <w:r w:rsidR="00F023C5" w:rsidRPr="00F931F4">
        <w:rPr>
          <w:rFonts w:ascii="Arial" w:eastAsia="Times New Roman" w:hAnsi="Arial" w:cs="Arial"/>
          <w:bCs/>
          <w:sz w:val="20"/>
          <w:szCs w:val="20"/>
          <w:lang w:val="en-US"/>
        </w:rPr>
        <w:t>herds (22.5%) and Mongrels (20</w:t>
      </w:r>
      <w:r w:rsidR="00F00068" w:rsidRPr="00F931F4">
        <w:rPr>
          <w:rFonts w:ascii="Arial" w:eastAsia="Times New Roman" w:hAnsi="Arial" w:cs="Arial"/>
          <w:bCs/>
          <w:sz w:val="20"/>
          <w:szCs w:val="20"/>
          <w:lang w:val="en-US"/>
        </w:rPr>
        <w:t>%) were the most frequently affected breeds, while male dogs (67.5%) showed higher susceptibility than females (32.5%). A clear season</w:t>
      </w:r>
      <w:r w:rsidR="00F023C5" w:rsidRPr="00F931F4">
        <w:rPr>
          <w:rFonts w:ascii="Arial" w:eastAsia="Times New Roman" w:hAnsi="Arial" w:cs="Arial"/>
          <w:bCs/>
          <w:sz w:val="20"/>
          <w:szCs w:val="20"/>
          <w:lang w:val="en-US"/>
        </w:rPr>
        <w:t>al trend was observed, with 60</w:t>
      </w:r>
      <w:r w:rsidR="00F00068" w:rsidRPr="00F931F4">
        <w:rPr>
          <w:rFonts w:ascii="Arial" w:eastAsia="Times New Roman" w:hAnsi="Arial" w:cs="Arial"/>
          <w:bCs/>
          <w:sz w:val="20"/>
          <w:szCs w:val="20"/>
          <w:lang w:val="en-US"/>
        </w:rPr>
        <w:t>% of cases occurring during the monsoon season, reflecting the role of high humidity in promoting fungal proliferation. Winter and autumn had moderate case loads (22</w:t>
      </w:r>
      <w:r w:rsidR="00F023C5" w:rsidRPr="00F931F4">
        <w:rPr>
          <w:rFonts w:ascii="Arial" w:eastAsia="Times New Roman" w:hAnsi="Arial" w:cs="Arial"/>
          <w:bCs/>
          <w:sz w:val="20"/>
          <w:szCs w:val="20"/>
          <w:lang w:val="en-US"/>
        </w:rPr>
        <w:t>.5% and 15</w:t>
      </w:r>
      <w:r w:rsidR="00F00068" w:rsidRPr="00F931F4">
        <w:rPr>
          <w:rFonts w:ascii="Arial" w:eastAsia="Times New Roman" w:hAnsi="Arial" w:cs="Arial"/>
          <w:bCs/>
          <w:sz w:val="20"/>
          <w:szCs w:val="20"/>
          <w:lang w:val="en-US"/>
        </w:rPr>
        <w:t>%, respectively), while the lowest i</w:t>
      </w:r>
      <w:r w:rsidR="00F023C5" w:rsidRPr="00F931F4">
        <w:rPr>
          <w:rFonts w:ascii="Arial" w:eastAsia="Times New Roman" w:hAnsi="Arial" w:cs="Arial"/>
          <w:bCs/>
          <w:sz w:val="20"/>
          <w:szCs w:val="20"/>
          <w:lang w:val="en-US"/>
        </w:rPr>
        <w:t>ncidence was seen in summer (2</w:t>
      </w:r>
      <w:r w:rsidR="00F00068" w:rsidRPr="00F931F4">
        <w:rPr>
          <w:rFonts w:ascii="Arial" w:eastAsia="Times New Roman" w:hAnsi="Arial" w:cs="Arial"/>
          <w:bCs/>
          <w:sz w:val="20"/>
          <w:szCs w:val="20"/>
          <w:lang w:val="en-US"/>
        </w:rPr>
        <w:t>%).</w:t>
      </w:r>
      <w:r w:rsidR="00F00068" w:rsidRPr="00F931F4">
        <w:rPr>
          <w:rFonts w:ascii="Arial" w:hAnsi="Arial" w:cs="Arial"/>
          <w:sz w:val="20"/>
          <w:szCs w:val="20"/>
        </w:rPr>
        <w:t xml:space="preserve"> </w:t>
      </w:r>
      <w:r w:rsidR="00F00068" w:rsidRPr="00F931F4">
        <w:rPr>
          <w:rFonts w:ascii="Arial" w:eastAsia="Times New Roman" w:hAnsi="Arial" w:cs="Arial"/>
          <w:bCs/>
          <w:sz w:val="20"/>
          <w:szCs w:val="20"/>
        </w:rPr>
        <w:t>In the present investigation, fungal dermatitis lesions were most freque</w:t>
      </w:r>
      <w:r w:rsidR="00F023C5" w:rsidRPr="00F931F4">
        <w:rPr>
          <w:rFonts w:ascii="Arial" w:eastAsia="Times New Roman" w:hAnsi="Arial" w:cs="Arial"/>
          <w:bCs/>
          <w:sz w:val="20"/>
          <w:szCs w:val="20"/>
        </w:rPr>
        <w:t>ntly observed on the ears (25</w:t>
      </w:r>
      <w:r w:rsidR="00F00068" w:rsidRPr="00F931F4">
        <w:rPr>
          <w:rFonts w:ascii="Arial" w:eastAsia="Times New Roman" w:hAnsi="Arial" w:cs="Arial"/>
          <w:bCs/>
          <w:sz w:val="20"/>
          <w:szCs w:val="20"/>
        </w:rPr>
        <w:t>%), followed by the lumbar regio</w:t>
      </w:r>
      <w:r w:rsidR="00F023C5" w:rsidRPr="00F931F4">
        <w:rPr>
          <w:rFonts w:ascii="Arial" w:eastAsia="Times New Roman" w:hAnsi="Arial" w:cs="Arial"/>
          <w:bCs/>
          <w:sz w:val="20"/>
          <w:szCs w:val="20"/>
        </w:rPr>
        <w:t>n (17.5%), tail and neck (12.5</w:t>
      </w:r>
      <w:r w:rsidR="00F00068" w:rsidRPr="00F931F4">
        <w:rPr>
          <w:rFonts w:ascii="Arial" w:eastAsia="Times New Roman" w:hAnsi="Arial" w:cs="Arial"/>
          <w:bCs/>
          <w:sz w:val="20"/>
          <w:szCs w:val="20"/>
        </w:rPr>
        <w:t>% ea</w:t>
      </w:r>
      <w:r w:rsidR="00F023C5" w:rsidRPr="00F931F4">
        <w:rPr>
          <w:rFonts w:ascii="Arial" w:eastAsia="Times New Roman" w:hAnsi="Arial" w:cs="Arial"/>
          <w:bCs/>
          <w:sz w:val="20"/>
          <w:szCs w:val="20"/>
        </w:rPr>
        <w:t>ch), and face (10</w:t>
      </w:r>
      <w:r w:rsidR="00F00068" w:rsidRPr="00F931F4">
        <w:rPr>
          <w:rFonts w:ascii="Arial" w:eastAsia="Times New Roman" w:hAnsi="Arial" w:cs="Arial"/>
          <w:bCs/>
          <w:sz w:val="20"/>
          <w:szCs w:val="20"/>
        </w:rPr>
        <w:t>%) on the dorsal surface. On the ventral surface, the ears again show</w:t>
      </w:r>
      <w:r w:rsidR="00F023C5" w:rsidRPr="00F931F4">
        <w:rPr>
          <w:rFonts w:ascii="Arial" w:eastAsia="Times New Roman" w:hAnsi="Arial" w:cs="Arial"/>
          <w:bCs/>
          <w:sz w:val="20"/>
          <w:szCs w:val="20"/>
        </w:rPr>
        <w:t>ed the highest prevalence (25</w:t>
      </w:r>
      <w:r w:rsidR="00F00068" w:rsidRPr="00F931F4">
        <w:rPr>
          <w:rFonts w:ascii="Arial" w:eastAsia="Times New Roman" w:hAnsi="Arial" w:cs="Arial"/>
          <w:bCs/>
          <w:sz w:val="20"/>
          <w:szCs w:val="20"/>
        </w:rPr>
        <w:t>%), with the neck, ventral abdomen,</w:t>
      </w:r>
      <w:r w:rsidR="00F023C5" w:rsidRPr="00F931F4">
        <w:rPr>
          <w:rFonts w:ascii="Arial" w:eastAsia="Times New Roman" w:hAnsi="Arial" w:cs="Arial"/>
          <w:bCs/>
          <w:sz w:val="20"/>
          <w:szCs w:val="20"/>
        </w:rPr>
        <w:t xml:space="preserve"> and tail each affected in 12.5</w:t>
      </w:r>
      <w:r w:rsidR="00F00068" w:rsidRPr="00F931F4">
        <w:rPr>
          <w:rFonts w:ascii="Arial" w:eastAsia="Times New Roman" w:hAnsi="Arial" w:cs="Arial"/>
          <w:bCs/>
          <w:sz w:val="20"/>
          <w:szCs w:val="20"/>
        </w:rPr>
        <w:t>% of cases. Other regions on both surfaces exhibited lower lesion frequenc</w:t>
      </w:r>
      <w:r w:rsidR="00F023C5" w:rsidRPr="00F931F4">
        <w:rPr>
          <w:rFonts w:ascii="Arial" w:eastAsia="Times New Roman" w:hAnsi="Arial" w:cs="Arial"/>
          <w:bCs/>
          <w:sz w:val="20"/>
          <w:szCs w:val="20"/>
        </w:rPr>
        <w:t>ies, ranging from 2.5% to 10</w:t>
      </w:r>
      <w:r w:rsidR="00F00068" w:rsidRPr="00F931F4">
        <w:rPr>
          <w:rFonts w:ascii="Arial" w:eastAsia="Times New Roman" w:hAnsi="Arial" w:cs="Arial"/>
          <w:bCs/>
          <w:sz w:val="20"/>
          <w:szCs w:val="20"/>
        </w:rPr>
        <w:t xml:space="preserve">%. These findings partially align with earlier studies; Scott </w:t>
      </w:r>
      <w:r w:rsidR="001867DC" w:rsidRPr="00F931F4">
        <w:rPr>
          <w:rFonts w:ascii="Arial" w:eastAsia="Times New Roman" w:hAnsi="Arial" w:cs="Arial"/>
          <w:bCs/>
          <w:i/>
          <w:sz w:val="20"/>
          <w:szCs w:val="20"/>
        </w:rPr>
        <w:t>et al.</w:t>
      </w:r>
      <w:r w:rsidR="00F00068" w:rsidRPr="00F931F4">
        <w:rPr>
          <w:rFonts w:ascii="Arial" w:eastAsia="Times New Roman" w:hAnsi="Arial" w:cs="Arial"/>
          <w:bCs/>
          <w:sz w:val="20"/>
          <w:szCs w:val="20"/>
        </w:rPr>
        <w:t xml:space="preserve"> (2001a) reported that lesions commonly occurred on the forelimbs, face, ventral abdomen, ears, digits, inguinal, and axillary regions, while Singh </w:t>
      </w:r>
      <w:r w:rsidR="001867DC" w:rsidRPr="00F931F4">
        <w:rPr>
          <w:rFonts w:ascii="Arial" w:eastAsia="Times New Roman" w:hAnsi="Arial" w:cs="Arial"/>
          <w:bCs/>
          <w:i/>
          <w:sz w:val="20"/>
          <w:szCs w:val="20"/>
        </w:rPr>
        <w:t>et al.</w:t>
      </w:r>
      <w:r w:rsidR="00F00068" w:rsidRPr="00F931F4">
        <w:rPr>
          <w:rFonts w:ascii="Arial" w:eastAsia="Times New Roman" w:hAnsi="Arial" w:cs="Arial"/>
          <w:bCs/>
          <w:sz w:val="20"/>
          <w:szCs w:val="20"/>
        </w:rPr>
        <w:t xml:space="preserve"> (2012) found the highest incidence on the dorsal midline (33.23%), whole body (30.51%), hock joints and periorbital region (23.75%), and ears (12.51%).</w:t>
      </w:r>
      <w:r w:rsidR="00B43EDC" w:rsidRPr="00F931F4">
        <w:rPr>
          <w:rFonts w:ascii="Arial" w:eastAsia="Times New Roman" w:hAnsi="Arial" w:cs="Arial"/>
          <w:bCs/>
          <w:sz w:val="20"/>
          <w:szCs w:val="20"/>
        </w:rPr>
        <w:t xml:space="preserve"> </w:t>
      </w:r>
    </w:p>
    <w:p w14:paraId="25D20573" w14:textId="77777777" w:rsidR="00194DA1" w:rsidRPr="00F931F4" w:rsidRDefault="002F7E47" w:rsidP="000C29E6">
      <w:pPr>
        <w:spacing w:after="0" w:line="240" w:lineRule="auto"/>
        <w:ind w:firstLine="720"/>
        <w:jc w:val="both"/>
        <w:rPr>
          <w:rFonts w:ascii="Arial" w:eastAsia="Times New Roman" w:hAnsi="Arial" w:cs="Arial"/>
          <w:bCs/>
          <w:sz w:val="20"/>
          <w:szCs w:val="20"/>
        </w:rPr>
      </w:pPr>
      <w:r w:rsidRPr="00F931F4">
        <w:rPr>
          <w:rFonts w:ascii="Arial" w:eastAsia="Times New Roman" w:hAnsi="Arial" w:cs="Arial"/>
          <w:bCs/>
          <w:sz w:val="20"/>
          <w:szCs w:val="20"/>
          <w:lang w:val="en-US"/>
        </w:rPr>
        <w:t xml:space="preserve">Cytological examination of fungal dermatitis cases identified basophilic, unicellular, yeast-like organisms consistent with </w:t>
      </w:r>
      <w:r w:rsidR="00143D22" w:rsidRPr="00F931F4">
        <w:rPr>
          <w:rFonts w:ascii="Arial" w:eastAsia="Times New Roman" w:hAnsi="Arial" w:cs="Arial"/>
          <w:bCs/>
          <w:i/>
          <w:iCs/>
          <w:sz w:val="20"/>
          <w:szCs w:val="20"/>
          <w:lang w:val="en-US"/>
        </w:rPr>
        <w:t>Malassezia pachydermatis</w:t>
      </w:r>
      <w:r w:rsidRPr="00F931F4">
        <w:rPr>
          <w:rFonts w:ascii="Arial" w:eastAsia="Times New Roman" w:hAnsi="Arial" w:cs="Arial"/>
          <w:bCs/>
          <w:sz w:val="20"/>
          <w:szCs w:val="20"/>
          <w:lang w:val="en-US"/>
        </w:rPr>
        <w:t xml:space="preserve"> </w:t>
      </w:r>
      <w:r w:rsidR="009B1A58" w:rsidRPr="00F931F4">
        <w:rPr>
          <w:rFonts w:ascii="Arial" w:eastAsia="Times New Roman" w:hAnsi="Arial" w:cs="Arial"/>
          <w:bCs/>
          <w:sz w:val="20"/>
          <w:szCs w:val="20"/>
          <w:lang w:val="en-US"/>
        </w:rPr>
        <w:t>(</w:t>
      </w:r>
      <w:r w:rsidR="00343F97">
        <w:rPr>
          <w:rFonts w:ascii="Arial" w:eastAsia="Times New Roman" w:hAnsi="Arial" w:cs="Arial"/>
          <w:bCs/>
          <w:sz w:val="20"/>
          <w:szCs w:val="20"/>
          <w:lang w:val="en-US"/>
        </w:rPr>
        <w:t>Plate</w:t>
      </w:r>
      <w:r w:rsidR="009B1A58" w:rsidRPr="00F931F4">
        <w:rPr>
          <w:rFonts w:ascii="Arial" w:eastAsia="Times New Roman" w:hAnsi="Arial" w:cs="Arial"/>
          <w:bCs/>
          <w:sz w:val="20"/>
          <w:szCs w:val="20"/>
          <w:lang w:val="en-US"/>
        </w:rPr>
        <w:t xml:space="preserve">.1) </w:t>
      </w:r>
      <w:r w:rsidRPr="00F931F4">
        <w:rPr>
          <w:rFonts w:ascii="Arial" w:eastAsia="Times New Roman" w:hAnsi="Arial" w:cs="Arial"/>
          <w:bCs/>
          <w:sz w:val="20"/>
          <w:szCs w:val="20"/>
          <w:lang w:val="en-US"/>
        </w:rPr>
        <w:t>in 27</w:t>
      </w:r>
      <w:r w:rsidR="00CD1407" w:rsidRPr="00F931F4">
        <w:rPr>
          <w:rFonts w:ascii="Arial" w:eastAsia="Times New Roman" w:hAnsi="Arial" w:cs="Arial"/>
          <w:bCs/>
          <w:sz w:val="20"/>
          <w:szCs w:val="20"/>
          <w:lang w:val="en-US"/>
        </w:rPr>
        <w:t xml:space="preserve"> dogs (67.5%), with counts of 10</w:t>
      </w:r>
      <w:r w:rsidRPr="00F931F4">
        <w:rPr>
          <w:rFonts w:ascii="Arial" w:eastAsia="Times New Roman" w:hAnsi="Arial" w:cs="Arial"/>
          <w:bCs/>
          <w:sz w:val="20"/>
          <w:szCs w:val="20"/>
          <w:lang w:val="en-US"/>
        </w:rPr>
        <w:t xml:space="preserve"> to </w:t>
      </w:r>
      <w:r w:rsidR="00CD1407" w:rsidRPr="00F931F4">
        <w:rPr>
          <w:rFonts w:ascii="Arial" w:eastAsia="Times New Roman" w:hAnsi="Arial" w:cs="Arial"/>
          <w:bCs/>
          <w:sz w:val="20"/>
          <w:szCs w:val="20"/>
          <w:lang w:val="en-US"/>
        </w:rPr>
        <w:t xml:space="preserve">20 </w:t>
      </w:r>
      <w:r w:rsidRPr="00F931F4">
        <w:rPr>
          <w:rFonts w:ascii="Arial" w:eastAsia="Times New Roman" w:hAnsi="Arial" w:cs="Arial"/>
          <w:bCs/>
          <w:sz w:val="20"/>
          <w:szCs w:val="20"/>
          <w:lang w:val="en-US"/>
        </w:rPr>
        <w:t xml:space="preserve">organisms per high-power microscopic field. Such elevated numbers in lesional skin indicate pathogenic overgrowth rather than commensal presence. Although no universal threshold exists due to variations in site, breed, and lesion type, counts exceeding 2–5 yeasts per high-power field are often suggestive of clinical relevance, particularly when correlated with inflammatory changes and response to antifungal therapy (Bond </w:t>
      </w:r>
      <w:r w:rsidR="001867DC" w:rsidRPr="00F931F4">
        <w:rPr>
          <w:rFonts w:ascii="Arial" w:eastAsia="Times New Roman" w:hAnsi="Arial" w:cs="Arial"/>
          <w:bCs/>
          <w:i/>
          <w:sz w:val="20"/>
          <w:szCs w:val="20"/>
          <w:lang w:val="en-US"/>
        </w:rPr>
        <w:t>et al.</w:t>
      </w:r>
      <w:r w:rsidR="00E30E93" w:rsidRPr="00F931F4">
        <w:rPr>
          <w:rFonts w:ascii="Arial" w:eastAsia="Times New Roman" w:hAnsi="Arial" w:cs="Arial"/>
          <w:bCs/>
          <w:sz w:val="20"/>
          <w:szCs w:val="20"/>
          <w:lang w:val="en-US"/>
        </w:rPr>
        <w:t>, 2020).</w:t>
      </w:r>
      <w:r w:rsidRPr="00F931F4">
        <w:rPr>
          <w:rFonts w:ascii="Arial" w:eastAsia="Times New Roman" w:hAnsi="Arial" w:cs="Arial"/>
          <w:bCs/>
          <w:sz w:val="20"/>
          <w:szCs w:val="20"/>
          <w:lang w:val="en-US"/>
        </w:rPr>
        <w:t xml:space="preserve"> Sampling methods were tailored t</w:t>
      </w:r>
      <w:r w:rsidR="00F023C5" w:rsidRPr="00F931F4">
        <w:rPr>
          <w:rFonts w:ascii="Arial" w:eastAsia="Times New Roman" w:hAnsi="Arial" w:cs="Arial"/>
          <w:bCs/>
          <w:sz w:val="20"/>
          <w:szCs w:val="20"/>
          <w:lang w:val="en-US"/>
        </w:rPr>
        <w:t xml:space="preserve">o lesion characteristics: glass </w:t>
      </w:r>
      <w:r w:rsidRPr="00F931F4">
        <w:rPr>
          <w:rFonts w:ascii="Arial" w:eastAsia="Times New Roman" w:hAnsi="Arial" w:cs="Arial"/>
          <w:bCs/>
          <w:sz w:val="20"/>
          <w:szCs w:val="20"/>
          <w:lang w:val="en-US"/>
        </w:rPr>
        <w:t xml:space="preserve">slide impression smears performed well in moist or exudative areas by preserving cellular morphology and exudate detail, while tape impression smears were superior for dry, flaky, or hyperkeratotic lesions by capturing adherent material without excessive disruption. These findings are consistent with established recommendations favoring adhesive tape preparations for detecting </w:t>
      </w:r>
      <w:r w:rsidRPr="00F931F4">
        <w:rPr>
          <w:rFonts w:ascii="Arial" w:eastAsia="Times New Roman" w:hAnsi="Arial" w:cs="Arial"/>
          <w:bCs/>
          <w:i/>
          <w:iCs/>
          <w:sz w:val="20"/>
          <w:szCs w:val="20"/>
          <w:lang w:val="en-US"/>
        </w:rPr>
        <w:t>Malassezia</w:t>
      </w:r>
      <w:r w:rsidRPr="00F931F4">
        <w:rPr>
          <w:rFonts w:ascii="Arial" w:eastAsia="Times New Roman" w:hAnsi="Arial" w:cs="Arial"/>
          <w:bCs/>
          <w:sz w:val="20"/>
          <w:szCs w:val="20"/>
          <w:lang w:val="en-US"/>
        </w:rPr>
        <w:t xml:space="preserve"> in dry sites and direct impressions for moist lesions to optimize yield and diagnostic accuracy (</w:t>
      </w:r>
      <w:r w:rsidRPr="00F931F4">
        <w:rPr>
          <w:rFonts w:ascii="Arial" w:eastAsia="Times New Roman" w:hAnsi="Arial" w:cs="Arial"/>
          <w:bCs/>
          <w:sz w:val="20"/>
          <w:szCs w:val="20"/>
        </w:rPr>
        <w:t xml:space="preserve">Beale 2003; </w:t>
      </w:r>
      <w:r w:rsidRPr="00F931F4">
        <w:rPr>
          <w:rFonts w:ascii="Arial" w:eastAsia="Times New Roman" w:hAnsi="Arial" w:cs="Arial"/>
          <w:bCs/>
          <w:sz w:val="20"/>
          <w:szCs w:val="20"/>
          <w:lang w:val="en-US"/>
        </w:rPr>
        <w:t>Paterson, 2019).</w:t>
      </w:r>
      <w:r w:rsidR="00B43EDC" w:rsidRPr="00F931F4">
        <w:rPr>
          <w:rFonts w:ascii="Arial" w:eastAsia="Times New Roman" w:hAnsi="Arial" w:cs="Arial"/>
          <w:bCs/>
          <w:sz w:val="20"/>
          <w:szCs w:val="20"/>
        </w:rPr>
        <w:t xml:space="preserve"> </w:t>
      </w:r>
      <w:r w:rsidRPr="00F931F4">
        <w:rPr>
          <w:rFonts w:ascii="Arial" w:eastAsia="Times New Roman" w:hAnsi="Arial" w:cs="Arial"/>
          <w:bCs/>
          <w:sz w:val="20"/>
          <w:szCs w:val="20"/>
          <w:lang w:val="en-US"/>
        </w:rPr>
        <w:t>Wood’s lamp examination, applied to n</w:t>
      </w:r>
      <w:r w:rsidR="00E30E93" w:rsidRPr="00F931F4">
        <w:rPr>
          <w:rFonts w:ascii="Arial" w:eastAsia="Times New Roman" w:hAnsi="Arial" w:cs="Arial"/>
          <w:bCs/>
          <w:sz w:val="20"/>
          <w:szCs w:val="20"/>
          <w:lang w:val="en-US"/>
        </w:rPr>
        <w:t xml:space="preserve">early all cases, detected </w:t>
      </w:r>
      <w:r w:rsidRPr="00F931F4">
        <w:rPr>
          <w:rFonts w:ascii="Arial" w:eastAsia="Times New Roman" w:hAnsi="Arial" w:cs="Arial"/>
          <w:bCs/>
          <w:sz w:val="20"/>
          <w:szCs w:val="20"/>
          <w:lang w:val="en-US"/>
        </w:rPr>
        <w:t>green fluorescence in 13 dogs (32.5%)</w:t>
      </w:r>
      <w:r w:rsidR="00473CF6" w:rsidRPr="00F931F4">
        <w:rPr>
          <w:rFonts w:ascii="Arial" w:eastAsia="Times New Roman" w:hAnsi="Arial" w:cs="Arial"/>
          <w:bCs/>
          <w:sz w:val="20"/>
          <w:szCs w:val="20"/>
          <w:lang w:val="en-US"/>
        </w:rPr>
        <w:t xml:space="preserve"> (</w:t>
      </w:r>
      <w:r w:rsidR="00343F97">
        <w:rPr>
          <w:rFonts w:ascii="Arial" w:eastAsia="Times New Roman" w:hAnsi="Arial" w:cs="Arial"/>
          <w:bCs/>
          <w:sz w:val="20"/>
          <w:szCs w:val="20"/>
          <w:lang w:val="en-US"/>
        </w:rPr>
        <w:t xml:space="preserve">Plate </w:t>
      </w:r>
      <w:r w:rsidR="00473CF6" w:rsidRPr="00F931F4">
        <w:rPr>
          <w:rFonts w:ascii="Arial" w:eastAsia="Times New Roman" w:hAnsi="Arial" w:cs="Arial"/>
          <w:bCs/>
          <w:sz w:val="20"/>
          <w:szCs w:val="20"/>
          <w:lang w:val="en-US"/>
        </w:rPr>
        <w:t>2)</w:t>
      </w:r>
      <w:r w:rsidRPr="00F931F4">
        <w:rPr>
          <w:rFonts w:ascii="Arial" w:eastAsia="Times New Roman" w:hAnsi="Arial" w:cs="Arial"/>
          <w:bCs/>
          <w:sz w:val="20"/>
          <w:szCs w:val="20"/>
          <w:lang w:val="en-US"/>
        </w:rPr>
        <w:t xml:space="preserve">. This rate matches historical laboratory data showing fluorescence in approximately 32% of culture-positive </w:t>
      </w:r>
      <w:r w:rsidRPr="00F931F4">
        <w:rPr>
          <w:rFonts w:ascii="Arial" w:eastAsia="Times New Roman" w:hAnsi="Arial" w:cs="Arial"/>
          <w:bCs/>
          <w:i/>
          <w:iCs/>
          <w:sz w:val="20"/>
          <w:szCs w:val="20"/>
          <w:lang w:val="en-US"/>
        </w:rPr>
        <w:t>Microsporum canis</w:t>
      </w:r>
      <w:r w:rsidRPr="00F931F4">
        <w:rPr>
          <w:rFonts w:ascii="Arial" w:eastAsia="Times New Roman" w:hAnsi="Arial" w:cs="Arial"/>
          <w:bCs/>
          <w:sz w:val="20"/>
          <w:szCs w:val="20"/>
          <w:lang w:val="en-US"/>
        </w:rPr>
        <w:t xml:space="preserve"> cases, reflecting limitations such as </w:t>
      </w:r>
      <w:r w:rsidR="00F023C5" w:rsidRPr="00F931F4">
        <w:rPr>
          <w:rFonts w:ascii="Arial" w:eastAsia="Times New Roman" w:hAnsi="Arial" w:cs="Arial"/>
          <w:bCs/>
          <w:sz w:val="20"/>
          <w:szCs w:val="20"/>
          <w:lang w:val="en-US"/>
        </w:rPr>
        <w:t xml:space="preserve">strain </w:t>
      </w:r>
      <w:r w:rsidRPr="00F931F4">
        <w:rPr>
          <w:rFonts w:ascii="Arial" w:eastAsia="Times New Roman" w:hAnsi="Arial" w:cs="Arial"/>
          <w:bCs/>
          <w:sz w:val="20"/>
          <w:szCs w:val="20"/>
          <w:lang w:val="en-US"/>
        </w:rPr>
        <w:t>dependent pteridine produc</w:t>
      </w:r>
      <w:r w:rsidR="00F023C5" w:rsidRPr="00F931F4">
        <w:rPr>
          <w:rFonts w:ascii="Arial" w:eastAsia="Times New Roman" w:hAnsi="Arial" w:cs="Arial"/>
          <w:bCs/>
          <w:sz w:val="20"/>
          <w:szCs w:val="20"/>
          <w:lang w:val="en-US"/>
        </w:rPr>
        <w:t xml:space="preserve">tion, prior treatments, and non </w:t>
      </w:r>
      <w:r w:rsidRPr="00F931F4">
        <w:rPr>
          <w:rFonts w:ascii="Arial" w:eastAsia="Times New Roman" w:hAnsi="Arial" w:cs="Arial"/>
          <w:bCs/>
          <w:sz w:val="20"/>
          <w:szCs w:val="20"/>
          <w:lang w:val="en-US"/>
        </w:rPr>
        <w:t xml:space="preserve">fluorescent dermatophytes. More recent evaluations report sensitivities of 54–73% for </w:t>
      </w:r>
      <w:r w:rsidRPr="00F931F4">
        <w:rPr>
          <w:rFonts w:ascii="Arial" w:eastAsia="Times New Roman" w:hAnsi="Arial" w:cs="Arial"/>
          <w:bCs/>
          <w:i/>
          <w:iCs/>
          <w:sz w:val="20"/>
          <w:szCs w:val="20"/>
          <w:lang w:val="en-US"/>
        </w:rPr>
        <w:t>M. canis</w:t>
      </w:r>
      <w:r w:rsidRPr="00F931F4">
        <w:rPr>
          <w:rFonts w:ascii="Arial" w:eastAsia="Times New Roman" w:hAnsi="Arial" w:cs="Arial"/>
          <w:bCs/>
          <w:sz w:val="20"/>
          <w:szCs w:val="20"/>
          <w:lang w:val="en-US"/>
        </w:rPr>
        <w:t xml:space="preserve">, confirming Wood’s lamp as a useful but insensitive screening tool best used adjunctively with cytology (Moriello </w:t>
      </w:r>
      <w:r w:rsidR="001867DC" w:rsidRPr="00F931F4">
        <w:rPr>
          <w:rFonts w:ascii="Arial" w:eastAsia="Times New Roman" w:hAnsi="Arial" w:cs="Arial"/>
          <w:bCs/>
          <w:i/>
          <w:sz w:val="20"/>
          <w:szCs w:val="20"/>
          <w:lang w:val="en-US"/>
        </w:rPr>
        <w:t>et al.</w:t>
      </w:r>
      <w:r w:rsidRPr="00F931F4">
        <w:rPr>
          <w:rFonts w:ascii="Arial" w:eastAsia="Times New Roman" w:hAnsi="Arial" w:cs="Arial"/>
          <w:bCs/>
          <w:sz w:val="20"/>
          <w:szCs w:val="20"/>
          <w:lang w:val="en-US"/>
        </w:rPr>
        <w:t xml:space="preserve">, 2017; Bond </w:t>
      </w:r>
      <w:r w:rsidR="001867DC" w:rsidRPr="00F931F4">
        <w:rPr>
          <w:rFonts w:ascii="Arial" w:eastAsia="Times New Roman" w:hAnsi="Arial" w:cs="Arial"/>
          <w:bCs/>
          <w:i/>
          <w:sz w:val="20"/>
          <w:szCs w:val="20"/>
          <w:lang w:val="en-US"/>
        </w:rPr>
        <w:t>et al.</w:t>
      </w:r>
      <w:r w:rsidRPr="00F931F4">
        <w:rPr>
          <w:rFonts w:ascii="Arial" w:eastAsia="Times New Roman" w:hAnsi="Arial" w:cs="Arial"/>
          <w:bCs/>
          <w:sz w:val="20"/>
          <w:szCs w:val="20"/>
          <w:lang w:val="en-US"/>
        </w:rPr>
        <w:t>, 2020).</w:t>
      </w:r>
      <w:r w:rsidR="00B43EDC" w:rsidRPr="00F931F4">
        <w:rPr>
          <w:rFonts w:ascii="Arial" w:eastAsia="Times New Roman" w:hAnsi="Arial" w:cs="Arial"/>
          <w:bCs/>
          <w:sz w:val="20"/>
          <w:szCs w:val="20"/>
        </w:rPr>
        <w:t xml:space="preserve"> </w:t>
      </w:r>
    </w:p>
    <w:p w14:paraId="0527C727" w14:textId="77777777" w:rsidR="007F7BF6" w:rsidRPr="00F931F4" w:rsidRDefault="007F7BF6" w:rsidP="000C29E6">
      <w:pPr>
        <w:spacing w:line="240" w:lineRule="auto"/>
        <w:ind w:firstLine="720"/>
        <w:jc w:val="both"/>
        <w:rPr>
          <w:rFonts w:ascii="Arial" w:eastAsia="Times New Roman" w:hAnsi="Arial" w:cs="Arial"/>
          <w:bCs/>
          <w:sz w:val="20"/>
          <w:szCs w:val="20"/>
        </w:rPr>
      </w:pPr>
      <w:r w:rsidRPr="00F931F4">
        <w:rPr>
          <w:rFonts w:ascii="Arial" w:eastAsia="Times New Roman" w:hAnsi="Arial" w:cs="Arial"/>
          <w:bCs/>
          <w:sz w:val="20"/>
          <w:szCs w:val="20"/>
          <w:lang w:val="en-US"/>
        </w:rPr>
        <w:t xml:space="preserve">The duration of treatment was determined based on the severity of the lesions and continued until complete clinical resolution was achieved. Oral ketoconazole was used as the primary systemic antifungal for dogs with fungal dermatitis. This aligns with </w:t>
      </w:r>
      <w:proofErr w:type="spellStart"/>
      <w:r w:rsidRPr="00F931F4">
        <w:rPr>
          <w:rFonts w:ascii="Arial" w:eastAsia="Times New Roman" w:hAnsi="Arial" w:cs="Arial"/>
          <w:bCs/>
          <w:sz w:val="20"/>
          <w:szCs w:val="20"/>
          <w:lang w:val="en-US"/>
        </w:rPr>
        <w:t>Kukanich</w:t>
      </w:r>
      <w:proofErr w:type="spellEnd"/>
      <w:r w:rsidRPr="00F931F4">
        <w:rPr>
          <w:rFonts w:ascii="Arial" w:eastAsia="Times New Roman" w:hAnsi="Arial" w:cs="Arial"/>
          <w:bCs/>
          <w:sz w:val="20"/>
          <w:szCs w:val="20"/>
          <w:lang w:val="en-US"/>
        </w:rPr>
        <w:t xml:space="preserve"> (2008), who noted that ketoconazole </w:t>
      </w:r>
      <w:r w:rsidRPr="00F931F4">
        <w:rPr>
          <w:rFonts w:ascii="Arial" w:eastAsia="Times New Roman" w:hAnsi="Arial" w:cs="Arial"/>
          <w:bCs/>
          <w:sz w:val="20"/>
          <w:szCs w:val="20"/>
          <w:lang w:val="en-US"/>
        </w:rPr>
        <w:lastRenderedPageBreak/>
        <w:t xml:space="preserve">is highly protein-bound and effective for systemic treatment of </w:t>
      </w:r>
      <w:r w:rsidRPr="00F931F4">
        <w:rPr>
          <w:rFonts w:ascii="Arial" w:eastAsia="Times New Roman" w:hAnsi="Arial" w:cs="Arial"/>
          <w:bCs/>
          <w:i/>
          <w:sz w:val="20"/>
          <w:szCs w:val="20"/>
          <w:lang w:val="en-US"/>
        </w:rPr>
        <w:t>Malassezia</w:t>
      </w:r>
      <w:r w:rsidRPr="00F931F4">
        <w:rPr>
          <w:rFonts w:ascii="Arial" w:eastAsia="Times New Roman" w:hAnsi="Arial" w:cs="Arial"/>
          <w:bCs/>
          <w:sz w:val="20"/>
          <w:szCs w:val="20"/>
          <w:lang w:val="en-US"/>
        </w:rPr>
        <w:t xml:space="preserve"> dermatitis and dermatophyte infections in dogs. Similar efficacy has been reported by Panigrahi </w:t>
      </w:r>
      <w:r w:rsidR="001867DC" w:rsidRPr="00F931F4">
        <w:rPr>
          <w:rFonts w:ascii="Arial" w:eastAsia="Times New Roman" w:hAnsi="Arial" w:cs="Arial"/>
          <w:bCs/>
          <w:i/>
          <w:sz w:val="20"/>
          <w:szCs w:val="20"/>
          <w:lang w:val="en-US"/>
        </w:rPr>
        <w:t>et al.</w:t>
      </w:r>
      <w:r w:rsidRPr="00F931F4">
        <w:rPr>
          <w:rFonts w:ascii="Arial" w:eastAsia="Times New Roman" w:hAnsi="Arial" w:cs="Arial"/>
          <w:bCs/>
          <w:sz w:val="20"/>
          <w:szCs w:val="20"/>
          <w:lang w:val="en-US"/>
        </w:rPr>
        <w:t xml:space="preserve"> (2013) and Chakrabarti (2013) in managing dermatomycosis and </w:t>
      </w:r>
      <w:r w:rsidRPr="00F931F4">
        <w:rPr>
          <w:rFonts w:ascii="Arial" w:eastAsia="Times New Roman" w:hAnsi="Arial" w:cs="Arial"/>
          <w:bCs/>
          <w:i/>
          <w:sz w:val="20"/>
          <w:szCs w:val="20"/>
          <w:lang w:val="en-US"/>
        </w:rPr>
        <w:t>Malassezia</w:t>
      </w:r>
      <w:r w:rsidR="001867DC" w:rsidRPr="00F931F4">
        <w:rPr>
          <w:rFonts w:ascii="Arial" w:eastAsia="Times New Roman" w:hAnsi="Arial" w:cs="Arial"/>
          <w:bCs/>
          <w:sz w:val="20"/>
          <w:szCs w:val="20"/>
          <w:lang w:val="en-US"/>
        </w:rPr>
        <w:t xml:space="preserve"> </w:t>
      </w:r>
      <w:r w:rsidRPr="00F931F4">
        <w:rPr>
          <w:rFonts w:ascii="Arial" w:eastAsia="Times New Roman" w:hAnsi="Arial" w:cs="Arial"/>
          <w:bCs/>
          <w:sz w:val="20"/>
          <w:szCs w:val="20"/>
          <w:lang w:val="en-US"/>
        </w:rPr>
        <w:t xml:space="preserve">related dermatitis with oral ketoconazole (typically 5–15 mg/kg daily). Adjunctive therapy included antifungal ketoconazole shampoo (bathing once or twice weekly) and twice-daily topical application of </w:t>
      </w:r>
      <w:proofErr w:type="spellStart"/>
      <w:r w:rsidRPr="00F931F4">
        <w:rPr>
          <w:rFonts w:ascii="Arial" w:eastAsia="Times New Roman" w:hAnsi="Arial" w:cs="Arial"/>
          <w:bCs/>
          <w:sz w:val="20"/>
          <w:szCs w:val="20"/>
          <w:lang w:val="en-US"/>
        </w:rPr>
        <w:t>Kiskin</w:t>
      </w:r>
      <w:proofErr w:type="spellEnd"/>
      <w:r w:rsidRPr="00F931F4">
        <w:rPr>
          <w:rFonts w:ascii="Arial" w:eastAsia="Times New Roman" w:hAnsi="Arial" w:cs="Arial"/>
          <w:bCs/>
          <w:sz w:val="20"/>
          <w:szCs w:val="20"/>
          <w:lang w:val="en-US"/>
        </w:rPr>
        <w:t xml:space="preserve"> lotion (ofloxacin, clobetasol propionate, miconazole nitrate, zinc sulphate). All dogs achieved full clinical recovery by day 28. This rapid resolution </w:t>
      </w:r>
      <w:r w:rsidR="00E30E93" w:rsidRPr="00F931F4">
        <w:rPr>
          <w:rFonts w:ascii="Arial" w:eastAsia="Times New Roman" w:hAnsi="Arial" w:cs="Arial"/>
          <w:bCs/>
          <w:sz w:val="20"/>
          <w:szCs w:val="20"/>
        </w:rPr>
        <w:t xml:space="preserve">observed </w:t>
      </w:r>
      <w:r w:rsidRPr="00F931F4">
        <w:rPr>
          <w:rFonts w:ascii="Arial" w:eastAsia="Times New Roman" w:hAnsi="Arial" w:cs="Arial"/>
          <w:bCs/>
          <w:sz w:val="20"/>
          <w:szCs w:val="20"/>
          <w:lang w:val="en-US"/>
        </w:rPr>
        <w:t>by day 28 is consistent with literature on combined systemic and topical azole therapy for Malassezia dermatitis, where significant improvement often occurs within 2–4 weeks (Bajwa, 2017). Overall, the results support the established efficacy of ketoconazole-based combined regimens for canine fungal/</w:t>
      </w:r>
      <w:r w:rsidRPr="00F931F4">
        <w:rPr>
          <w:rFonts w:ascii="Arial" w:eastAsia="Times New Roman" w:hAnsi="Arial" w:cs="Arial"/>
          <w:bCs/>
          <w:i/>
          <w:sz w:val="20"/>
          <w:szCs w:val="20"/>
          <w:lang w:val="en-US"/>
        </w:rPr>
        <w:t>Malassezia</w:t>
      </w:r>
      <w:r w:rsidRPr="00F931F4">
        <w:rPr>
          <w:rFonts w:ascii="Arial" w:eastAsia="Times New Roman" w:hAnsi="Arial" w:cs="Arial"/>
          <w:bCs/>
          <w:sz w:val="20"/>
          <w:szCs w:val="20"/>
          <w:lang w:val="en-US"/>
        </w:rPr>
        <w:t xml:space="preserve"> dermatitis, achieving resolution within a practical timeframe.</w:t>
      </w:r>
    </w:p>
    <w:p w14:paraId="620FC363" w14:textId="77777777" w:rsidR="00BD4B7D" w:rsidRDefault="00BD4B7D" w:rsidP="00BD4B7D">
      <w:pPr>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drawing>
          <wp:inline distT="0" distB="0" distL="0" distR="0" wp14:anchorId="49AB6B58" wp14:editId="5041E4D6">
            <wp:extent cx="2700547" cy="2025476"/>
            <wp:effectExtent l="57150" t="19050" r="118853" b="70024"/>
            <wp:docPr id="4" name="Picture 2" descr="C:\Users\tyson\Downloads\Image_1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yson\Downloads\Image_185.tif"/>
                    <pic:cNvPicPr>
                      <a:picLocks noChangeAspect="1" noChangeArrowheads="1"/>
                    </pic:cNvPicPr>
                  </pic:nvPicPr>
                  <pic:blipFill>
                    <a:blip r:embed="rId7" cstate="print"/>
                    <a:srcRect/>
                    <a:stretch>
                      <a:fillRect/>
                    </a:stretch>
                  </pic:blipFill>
                  <pic:spPr bwMode="auto">
                    <a:xfrm>
                      <a:off x="0" y="0"/>
                      <a:ext cx="2701364" cy="20260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bCs/>
          <w:noProof/>
          <w:sz w:val="24"/>
          <w:szCs w:val="24"/>
          <w:lang w:val="en-US"/>
        </w:rPr>
        <w:drawing>
          <wp:inline distT="0" distB="0" distL="0" distR="0" wp14:anchorId="0AF4C5BB" wp14:editId="6B523E32">
            <wp:extent cx="2698271" cy="2023769"/>
            <wp:effectExtent l="57150" t="19050" r="121129" b="71731"/>
            <wp:docPr id="5" name="Picture 1" descr="C:\Users\tyson\Downloads\Image_1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son\Downloads\Image_183.tif"/>
                    <pic:cNvPicPr>
                      <a:picLocks noChangeAspect="1" noChangeArrowheads="1"/>
                    </pic:cNvPicPr>
                  </pic:nvPicPr>
                  <pic:blipFill>
                    <a:blip r:embed="rId8" cstate="print"/>
                    <a:srcRect/>
                    <a:stretch>
                      <a:fillRect/>
                    </a:stretch>
                  </pic:blipFill>
                  <pic:spPr bwMode="auto">
                    <a:xfrm>
                      <a:off x="0" y="0"/>
                      <a:ext cx="2700115" cy="202515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C78ADA" w14:textId="77777777" w:rsidR="00BD4B7D" w:rsidRPr="002B7208" w:rsidRDefault="00A87560" w:rsidP="00275296">
      <w:pPr>
        <w:jc w:val="both"/>
        <w:rPr>
          <w:rFonts w:ascii="Arial" w:eastAsia="Times New Roman" w:hAnsi="Arial" w:cs="Arial"/>
          <w:b/>
          <w:bCs/>
          <w:sz w:val="20"/>
          <w:szCs w:val="20"/>
        </w:rPr>
      </w:pPr>
      <w:r>
        <w:rPr>
          <w:rFonts w:ascii="Arial" w:eastAsia="Times New Roman" w:hAnsi="Arial" w:cs="Arial"/>
          <w:b/>
          <w:bCs/>
          <w:sz w:val="20"/>
          <w:szCs w:val="20"/>
          <w:lang w:val="en-US"/>
        </w:rPr>
        <w:t>Plate</w:t>
      </w:r>
      <w:r w:rsidR="00BD4B7D" w:rsidRPr="002B7208">
        <w:rPr>
          <w:rFonts w:ascii="Arial" w:eastAsia="Times New Roman" w:hAnsi="Arial" w:cs="Arial"/>
          <w:b/>
          <w:bCs/>
          <w:sz w:val="20"/>
          <w:szCs w:val="20"/>
          <w:lang w:val="en-US"/>
        </w:rPr>
        <w:t>.1 Cytology</w:t>
      </w:r>
      <w:r w:rsidR="00BD4B7D" w:rsidRPr="002B7208">
        <w:rPr>
          <w:rFonts w:ascii="Arial" w:eastAsia="Times New Roman" w:hAnsi="Arial" w:cs="Arial"/>
          <w:b/>
          <w:bCs/>
          <w:sz w:val="20"/>
          <w:szCs w:val="20"/>
        </w:rPr>
        <w:t xml:space="preserve"> of </w:t>
      </w:r>
      <w:r w:rsidR="00143D22" w:rsidRPr="002B7208">
        <w:rPr>
          <w:rFonts w:ascii="Arial" w:eastAsia="Times New Roman" w:hAnsi="Arial" w:cs="Arial"/>
          <w:b/>
          <w:bCs/>
          <w:i/>
          <w:iCs/>
          <w:sz w:val="20"/>
          <w:szCs w:val="20"/>
        </w:rPr>
        <w:t>Malassezia pachydermatis</w:t>
      </w:r>
      <w:r w:rsidR="00BD4B7D" w:rsidRPr="002B7208">
        <w:rPr>
          <w:rFonts w:ascii="Arial" w:eastAsia="Times New Roman" w:hAnsi="Arial" w:cs="Arial"/>
          <w:b/>
          <w:bCs/>
          <w:sz w:val="20"/>
          <w:szCs w:val="20"/>
        </w:rPr>
        <w:t>, appearing oval to elongated with thick walls and characteristic unipolar budding, giving a peanut/footprint shape</w:t>
      </w:r>
    </w:p>
    <w:p w14:paraId="2F269787" w14:textId="77777777" w:rsidR="00BD0684" w:rsidRPr="00B43EDC" w:rsidRDefault="00BD0684" w:rsidP="00275296">
      <w:pPr>
        <w:jc w:val="both"/>
        <w:rPr>
          <w:rFonts w:ascii="Times New Roman" w:eastAsia="Times New Roman" w:hAnsi="Times New Roman" w:cs="Times New Roman"/>
          <w:bCs/>
          <w:sz w:val="24"/>
          <w:szCs w:val="24"/>
          <w:lang w:val="en-US"/>
        </w:rPr>
      </w:pPr>
    </w:p>
    <w:p w14:paraId="768FD0B5" w14:textId="77777777" w:rsidR="00A81D3F" w:rsidRDefault="00A81D3F" w:rsidP="00A81D3F">
      <w:pPr>
        <w:spacing w:after="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drawing>
          <wp:inline distT="0" distB="0" distL="0" distR="0" wp14:anchorId="4D28E4E5" wp14:editId="34E21237">
            <wp:extent cx="2446390" cy="2106127"/>
            <wp:effectExtent l="57150" t="19050" r="106310" b="84623"/>
            <wp:docPr id="15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48"/>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452097" cy="21110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bCs/>
          <w:noProof/>
          <w:sz w:val="24"/>
          <w:szCs w:val="24"/>
          <w:lang w:val="en-US"/>
        </w:rPr>
        <w:drawing>
          <wp:inline distT="0" distB="0" distL="0" distR="0" wp14:anchorId="5FE18678" wp14:editId="69F0962A">
            <wp:extent cx="2410004" cy="2111842"/>
            <wp:effectExtent l="57150" t="19050" r="123646" b="78908"/>
            <wp:docPr id="15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7"/>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420454" cy="21209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46B894" w14:textId="77777777" w:rsidR="006F0FB1" w:rsidRPr="00F931F4" w:rsidRDefault="00A87560" w:rsidP="00F931F4">
      <w:pPr>
        <w:jc w:val="both"/>
        <w:rPr>
          <w:rFonts w:ascii="Arial" w:eastAsia="Times New Roman" w:hAnsi="Arial" w:cs="Arial"/>
          <w:b/>
          <w:bCs/>
          <w:sz w:val="20"/>
          <w:szCs w:val="24"/>
          <w:lang w:val="en-US"/>
        </w:rPr>
      </w:pPr>
      <w:r>
        <w:rPr>
          <w:rFonts w:ascii="Arial" w:eastAsia="Times New Roman" w:hAnsi="Arial" w:cs="Arial"/>
          <w:b/>
          <w:bCs/>
          <w:sz w:val="20"/>
          <w:szCs w:val="24"/>
          <w:lang w:val="en-US"/>
        </w:rPr>
        <w:t>Plate</w:t>
      </w:r>
      <w:r w:rsidR="00A81D3F" w:rsidRPr="002B7208">
        <w:rPr>
          <w:rFonts w:ascii="Arial" w:eastAsia="Times New Roman" w:hAnsi="Arial" w:cs="Arial"/>
          <w:b/>
          <w:bCs/>
          <w:sz w:val="20"/>
          <w:szCs w:val="24"/>
          <w:lang w:val="en-US"/>
        </w:rPr>
        <w:t xml:space="preserve">. 2 </w:t>
      </w:r>
      <w:r w:rsidR="00A81D3F" w:rsidRPr="002B7208">
        <w:rPr>
          <w:rFonts w:ascii="Arial" w:eastAsia="Times New Roman" w:hAnsi="Arial" w:cs="Arial"/>
          <w:b/>
          <w:bCs/>
          <w:sz w:val="20"/>
          <w:szCs w:val="24"/>
        </w:rPr>
        <w:t xml:space="preserve">Wood’s lamp examination showing characteristic green fluorescence in dermatophytic fungal dermatitis. </w:t>
      </w:r>
    </w:p>
    <w:p w14:paraId="6223ACF4" w14:textId="77777777" w:rsidR="00275296" w:rsidRPr="002B7208" w:rsidRDefault="002B7208" w:rsidP="00BD4B7D">
      <w:pPr>
        <w:spacing w:after="0"/>
        <w:jc w:val="both"/>
        <w:rPr>
          <w:rFonts w:ascii="Arial" w:eastAsia="Times New Roman" w:hAnsi="Arial" w:cs="Arial"/>
          <w:bCs/>
          <w:szCs w:val="24"/>
          <w:lang w:val="en-US"/>
        </w:rPr>
      </w:pPr>
      <w:r w:rsidRPr="002B7208">
        <w:rPr>
          <w:rFonts w:ascii="Arial" w:eastAsia="Times New Roman" w:hAnsi="Arial" w:cs="Arial"/>
          <w:b/>
          <w:bCs/>
          <w:szCs w:val="24"/>
          <w:lang w:val="en-US"/>
        </w:rPr>
        <w:t>CONCLUSION</w:t>
      </w:r>
    </w:p>
    <w:p w14:paraId="0DAEE668" w14:textId="77777777" w:rsidR="005C044D" w:rsidRPr="00C44508" w:rsidRDefault="00275296" w:rsidP="000C29E6">
      <w:pPr>
        <w:spacing w:line="240" w:lineRule="auto"/>
        <w:jc w:val="both"/>
        <w:rPr>
          <w:rFonts w:ascii="Arial" w:eastAsia="Times New Roman" w:hAnsi="Arial" w:cs="Arial"/>
          <w:bCs/>
          <w:sz w:val="20"/>
          <w:szCs w:val="24"/>
          <w:lang w:val="en-US"/>
        </w:rPr>
      </w:pPr>
      <w:r w:rsidRPr="00C44508">
        <w:rPr>
          <w:rFonts w:ascii="Arial" w:eastAsia="Times New Roman" w:hAnsi="Arial" w:cs="Arial"/>
          <w:bCs/>
          <w:sz w:val="20"/>
          <w:szCs w:val="24"/>
          <w:lang w:val="en-US"/>
        </w:rPr>
        <w:t xml:space="preserve">This study shows that canine fungal dermatitis, mainly </w:t>
      </w:r>
      <w:r w:rsidRPr="00C44508">
        <w:rPr>
          <w:rFonts w:ascii="Arial" w:eastAsia="Times New Roman" w:hAnsi="Arial" w:cs="Arial"/>
          <w:bCs/>
          <w:i/>
          <w:sz w:val="20"/>
          <w:szCs w:val="24"/>
          <w:lang w:val="en-US"/>
        </w:rPr>
        <w:t>Malassezia</w:t>
      </w:r>
      <w:r w:rsidR="001867DC" w:rsidRPr="00C44508">
        <w:rPr>
          <w:rFonts w:ascii="Arial" w:eastAsia="Times New Roman" w:hAnsi="Arial" w:cs="Arial"/>
          <w:bCs/>
          <w:sz w:val="20"/>
          <w:szCs w:val="24"/>
          <w:lang w:val="en-US"/>
        </w:rPr>
        <w:t xml:space="preserve"> </w:t>
      </w:r>
      <w:r w:rsidRPr="00C44508">
        <w:rPr>
          <w:rFonts w:ascii="Arial" w:eastAsia="Times New Roman" w:hAnsi="Arial" w:cs="Arial"/>
          <w:bCs/>
          <w:sz w:val="20"/>
          <w:szCs w:val="24"/>
          <w:lang w:val="en-US"/>
        </w:rPr>
        <w:t xml:space="preserve">driven, presents with prominent pruritus, alopecia, and scaling, peaks during the monsoon, and achieves complete clinical resolution by day 28 with combined oral ketoconazole and topical antifungal therapy. Lesion-specific cytology proves to </w:t>
      </w:r>
      <w:r w:rsidRPr="00C44508">
        <w:rPr>
          <w:rFonts w:ascii="Arial" w:eastAsia="Times New Roman" w:hAnsi="Arial" w:cs="Arial"/>
          <w:bCs/>
          <w:sz w:val="20"/>
          <w:szCs w:val="24"/>
          <w:lang w:val="en-US"/>
        </w:rPr>
        <w:lastRenderedPageBreak/>
        <w:t>be a rapid, cost-effective diagnostic cornerstone, enabling prompt and targeted treatment in everyday clinical practice.</w:t>
      </w:r>
    </w:p>
    <w:p w14:paraId="76BC83CC" w14:textId="77777777" w:rsidR="002B7208" w:rsidRPr="000D7699" w:rsidRDefault="000D7699" w:rsidP="002B7208">
      <w:pPr>
        <w:spacing w:before="100" w:beforeAutospacing="1" w:line="240" w:lineRule="auto"/>
        <w:rPr>
          <w:rFonts w:ascii="Arial" w:eastAsia="Times New Roman" w:hAnsi="Arial" w:cs="Arial"/>
          <w:b/>
          <w:szCs w:val="24"/>
          <w:lang w:val="en-US"/>
        </w:rPr>
      </w:pPr>
      <w:r w:rsidRPr="000D7699">
        <w:rPr>
          <w:rFonts w:ascii="Arial" w:eastAsia="Times New Roman" w:hAnsi="Arial" w:cs="Arial"/>
          <w:b/>
          <w:szCs w:val="24"/>
          <w:lang w:val="en-US"/>
        </w:rPr>
        <w:t xml:space="preserve">COMPETING INTERESTS </w:t>
      </w:r>
    </w:p>
    <w:p w14:paraId="39191EBF" w14:textId="77777777" w:rsidR="002B7208" w:rsidRPr="00C44508" w:rsidRDefault="002B7208" w:rsidP="002B7208">
      <w:pPr>
        <w:spacing w:after="100" w:afterAutospacing="1" w:line="240" w:lineRule="auto"/>
        <w:rPr>
          <w:rFonts w:ascii="Arial" w:eastAsia="Times New Roman" w:hAnsi="Arial" w:cs="Arial"/>
          <w:sz w:val="20"/>
          <w:szCs w:val="24"/>
          <w:lang w:val="en-US"/>
        </w:rPr>
      </w:pPr>
      <w:r w:rsidRPr="002B7208">
        <w:rPr>
          <w:rFonts w:ascii="Arial" w:eastAsia="Times New Roman" w:hAnsi="Arial" w:cs="Arial"/>
          <w:sz w:val="20"/>
          <w:szCs w:val="24"/>
          <w:lang w:val="en-US"/>
        </w:rPr>
        <w:t>The authors declare that they have no competing interests.</w:t>
      </w:r>
    </w:p>
    <w:p w14:paraId="7466315A" w14:textId="77777777" w:rsidR="00F931F4" w:rsidRDefault="00F931F4" w:rsidP="00BD4B7D">
      <w:pPr>
        <w:spacing w:after="0"/>
        <w:jc w:val="both"/>
        <w:rPr>
          <w:rFonts w:ascii="Times New Roman" w:eastAsia="Times New Roman" w:hAnsi="Times New Roman" w:cs="Times New Roman"/>
          <w:b/>
          <w:bCs/>
          <w:sz w:val="24"/>
          <w:szCs w:val="24"/>
          <w:lang w:val="en-US"/>
        </w:rPr>
      </w:pPr>
      <w:bookmarkStart w:id="0" w:name="_GoBack"/>
      <w:bookmarkEnd w:id="0"/>
    </w:p>
    <w:p w14:paraId="0F803A64" w14:textId="77777777" w:rsidR="00C44508" w:rsidRDefault="00C44508" w:rsidP="00BD4B7D">
      <w:pPr>
        <w:spacing w:after="0"/>
        <w:jc w:val="both"/>
        <w:rPr>
          <w:rFonts w:ascii="Times New Roman" w:eastAsia="Times New Roman" w:hAnsi="Times New Roman" w:cs="Times New Roman"/>
          <w:b/>
          <w:bCs/>
          <w:sz w:val="24"/>
          <w:szCs w:val="24"/>
          <w:lang w:val="en-US"/>
        </w:rPr>
      </w:pPr>
    </w:p>
    <w:p w14:paraId="454CC8FF" w14:textId="77777777" w:rsidR="00C44508" w:rsidRDefault="00C44508" w:rsidP="00BD4B7D">
      <w:pPr>
        <w:spacing w:after="0"/>
        <w:jc w:val="both"/>
        <w:rPr>
          <w:rFonts w:ascii="Times New Roman" w:eastAsia="Times New Roman" w:hAnsi="Times New Roman" w:cs="Times New Roman"/>
          <w:b/>
          <w:bCs/>
          <w:sz w:val="24"/>
          <w:szCs w:val="24"/>
          <w:lang w:val="en-US"/>
        </w:rPr>
      </w:pPr>
    </w:p>
    <w:p w14:paraId="2DC7C118" w14:textId="77777777" w:rsidR="000C29E6" w:rsidRDefault="000C29E6" w:rsidP="00BD4B7D">
      <w:pPr>
        <w:spacing w:after="0"/>
        <w:jc w:val="both"/>
        <w:rPr>
          <w:rFonts w:ascii="Times New Roman" w:eastAsia="Times New Roman" w:hAnsi="Times New Roman" w:cs="Times New Roman"/>
          <w:b/>
          <w:bCs/>
          <w:sz w:val="24"/>
          <w:szCs w:val="24"/>
          <w:lang w:val="en-US"/>
        </w:rPr>
      </w:pPr>
    </w:p>
    <w:p w14:paraId="6347831E" w14:textId="77777777" w:rsidR="000C29E6" w:rsidRDefault="000C29E6" w:rsidP="00BD4B7D">
      <w:pPr>
        <w:spacing w:after="0"/>
        <w:jc w:val="both"/>
        <w:rPr>
          <w:rFonts w:ascii="Times New Roman" w:eastAsia="Times New Roman" w:hAnsi="Times New Roman" w:cs="Times New Roman"/>
          <w:b/>
          <w:bCs/>
          <w:sz w:val="24"/>
          <w:szCs w:val="24"/>
          <w:lang w:val="en-US"/>
        </w:rPr>
      </w:pPr>
    </w:p>
    <w:p w14:paraId="497E0817" w14:textId="77777777" w:rsidR="000C29E6" w:rsidRDefault="000C29E6" w:rsidP="00BD4B7D">
      <w:pPr>
        <w:spacing w:after="0"/>
        <w:jc w:val="both"/>
        <w:rPr>
          <w:rFonts w:ascii="Times New Roman" w:eastAsia="Times New Roman" w:hAnsi="Times New Roman" w:cs="Times New Roman"/>
          <w:b/>
          <w:bCs/>
          <w:sz w:val="24"/>
          <w:szCs w:val="24"/>
          <w:lang w:val="en-US"/>
        </w:rPr>
      </w:pPr>
    </w:p>
    <w:p w14:paraId="03092D4E" w14:textId="77777777" w:rsidR="00C44508" w:rsidRDefault="00C44508" w:rsidP="00BD4B7D">
      <w:pPr>
        <w:spacing w:after="0"/>
        <w:jc w:val="both"/>
        <w:rPr>
          <w:rFonts w:ascii="Times New Roman" w:eastAsia="Times New Roman" w:hAnsi="Times New Roman" w:cs="Times New Roman"/>
          <w:b/>
          <w:bCs/>
          <w:sz w:val="24"/>
          <w:szCs w:val="24"/>
          <w:lang w:val="en-US"/>
        </w:rPr>
      </w:pPr>
    </w:p>
    <w:p w14:paraId="121BBFBD" w14:textId="77777777" w:rsidR="00926326" w:rsidRPr="00981272" w:rsidRDefault="00981272" w:rsidP="00BD4B7D">
      <w:pPr>
        <w:spacing w:after="0"/>
        <w:jc w:val="both"/>
        <w:rPr>
          <w:rFonts w:ascii="Arial" w:eastAsia="Times New Roman" w:hAnsi="Arial" w:cs="Arial"/>
          <w:b/>
          <w:bCs/>
          <w:szCs w:val="24"/>
          <w:lang w:val="en-US"/>
        </w:rPr>
      </w:pPr>
      <w:r w:rsidRPr="00981272">
        <w:rPr>
          <w:rFonts w:ascii="Arial" w:eastAsia="Times New Roman" w:hAnsi="Arial" w:cs="Arial"/>
          <w:b/>
          <w:bCs/>
          <w:szCs w:val="24"/>
          <w:lang w:val="en-US"/>
        </w:rPr>
        <w:t>REFERENCES</w:t>
      </w:r>
    </w:p>
    <w:p w14:paraId="4D976431"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Bajwa J. (2017). Canine Malassezia dermatitis. </w:t>
      </w:r>
      <w:r w:rsidRPr="00981272">
        <w:rPr>
          <w:rStyle w:val="Emphasis"/>
          <w:rFonts w:ascii="Arial" w:hAnsi="Arial" w:cs="Arial"/>
          <w:sz w:val="20"/>
        </w:rPr>
        <w:t>The Canadian Veterinary Journal</w:t>
      </w:r>
      <w:r w:rsidRPr="00981272">
        <w:rPr>
          <w:rFonts w:ascii="Arial" w:hAnsi="Arial" w:cs="Arial"/>
          <w:sz w:val="20"/>
        </w:rPr>
        <w:t>, 58(10), 1119-1121. PMID: 28966366.</w:t>
      </w:r>
    </w:p>
    <w:p w14:paraId="43EB94ED"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Bajwa J. (2023). Malassezia species and its significance in canine skin disease. </w:t>
      </w:r>
      <w:r w:rsidRPr="00981272">
        <w:rPr>
          <w:rStyle w:val="Emphasis"/>
          <w:rFonts w:ascii="Arial" w:hAnsi="Arial" w:cs="Arial"/>
          <w:sz w:val="20"/>
        </w:rPr>
        <w:t>The Canadian Veterinary Journal</w:t>
      </w:r>
      <w:r w:rsidRPr="00981272">
        <w:rPr>
          <w:rFonts w:ascii="Arial" w:hAnsi="Arial" w:cs="Arial"/>
          <w:sz w:val="20"/>
        </w:rPr>
        <w:t>, 64(1), 87-90. PMID: 36593939.</w:t>
      </w:r>
    </w:p>
    <w:p w14:paraId="3FBD1BDE"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Beale KM. (2003). Bacterial skin infections (pyoderma) in dogs and cats. In: </w:t>
      </w:r>
      <w:r w:rsidRPr="00981272">
        <w:rPr>
          <w:rStyle w:val="Emphasis"/>
          <w:rFonts w:ascii="Arial" w:hAnsi="Arial" w:cs="Arial"/>
          <w:sz w:val="20"/>
        </w:rPr>
        <w:t>BSAVA Manual of Small Animal Dermatology</w:t>
      </w:r>
      <w:r w:rsidRPr="00981272">
        <w:rPr>
          <w:rFonts w:ascii="Arial" w:hAnsi="Arial" w:cs="Arial"/>
          <w:sz w:val="20"/>
        </w:rPr>
        <w:t>. 2nd ed. Gloucester: British Small Animal Veterinary Association; p. 184-200.</w:t>
      </w:r>
    </w:p>
    <w:p w14:paraId="54E2F055"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Beale KM. (2003). Choosing antimicrobials for infections of the skin. In: </w:t>
      </w:r>
      <w:r w:rsidRPr="00981272">
        <w:rPr>
          <w:rStyle w:val="Emphasis"/>
          <w:rFonts w:ascii="Arial" w:hAnsi="Arial" w:cs="Arial"/>
          <w:sz w:val="20"/>
        </w:rPr>
        <w:t>North American Veterinary Conference Proceedings, Small Animal Dermatology</w:t>
      </w:r>
      <w:r w:rsidRPr="00981272">
        <w:rPr>
          <w:rFonts w:ascii="Arial" w:hAnsi="Arial" w:cs="Arial"/>
          <w:sz w:val="20"/>
        </w:rPr>
        <w:t>. p. 199-200.</w:t>
      </w:r>
    </w:p>
    <w:p w14:paraId="212AE12B"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Bond R, Morris DO, Guillot J, </w:t>
      </w:r>
      <w:proofErr w:type="spellStart"/>
      <w:r w:rsidRPr="00981272">
        <w:rPr>
          <w:rFonts w:ascii="Arial" w:hAnsi="Arial" w:cs="Arial"/>
          <w:sz w:val="20"/>
        </w:rPr>
        <w:t>Bensignor</w:t>
      </w:r>
      <w:proofErr w:type="spellEnd"/>
      <w:r w:rsidRPr="00981272">
        <w:rPr>
          <w:rFonts w:ascii="Arial" w:hAnsi="Arial" w:cs="Arial"/>
          <w:sz w:val="20"/>
        </w:rPr>
        <w:t xml:space="preserve"> EJ, Robson D, Mason KV, et al. (2020). Biology, diagnosis and treatment of Malassezia dermatitis in dogs and cats: Clinical Consensus Guidelines of the World Association for Veterinary Dermatology. </w:t>
      </w:r>
      <w:r w:rsidRPr="00981272">
        <w:rPr>
          <w:rStyle w:val="Emphasis"/>
          <w:rFonts w:ascii="Arial" w:hAnsi="Arial" w:cs="Arial"/>
          <w:sz w:val="20"/>
        </w:rPr>
        <w:t>Veterinary Dermatology</w:t>
      </w:r>
      <w:r w:rsidRPr="00981272">
        <w:rPr>
          <w:rFonts w:ascii="Arial" w:hAnsi="Arial" w:cs="Arial"/>
          <w:sz w:val="20"/>
        </w:rPr>
        <w:t xml:space="preserve">, 31(1), 27-e4. </w:t>
      </w:r>
      <w:hyperlink r:id="rId11" w:tgtFrame="_blank" w:history="1">
        <w:r w:rsidRPr="00981272">
          <w:rPr>
            <w:rStyle w:val="Hyperlink"/>
            <w:rFonts w:ascii="Arial" w:hAnsi="Arial" w:cs="Arial"/>
            <w:sz w:val="20"/>
          </w:rPr>
          <w:t>https://doi.org/10.1111/vde.12809</w:t>
        </w:r>
      </w:hyperlink>
      <w:r w:rsidRPr="00981272">
        <w:rPr>
          <w:rFonts w:ascii="Arial" w:hAnsi="Arial" w:cs="Arial"/>
          <w:sz w:val="20"/>
        </w:rPr>
        <w:t>.</w:t>
      </w:r>
    </w:p>
    <w:p w14:paraId="050D04DE"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Bond R. (2010). Superficial veterinary mycoses. </w:t>
      </w:r>
      <w:r w:rsidRPr="00981272">
        <w:rPr>
          <w:rStyle w:val="Emphasis"/>
          <w:rFonts w:ascii="Arial" w:hAnsi="Arial" w:cs="Arial"/>
          <w:sz w:val="20"/>
        </w:rPr>
        <w:t>Clinics in Dermatology</w:t>
      </w:r>
      <w:r w:rsidRPr="00981272">
        <w:rPr>
          <w:rFonts w:ascii="Arial" w:hAnsi="Arial" w:cs="Arial"/>
          <w:sz w:val="20"/>
        </w:rPr>
        <w:t>, 28(2), 226-236.</w:t>
      </w:r>
    </w:p>
    <w:p w14:paraId="5F806EBF"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Chakrabarti A. (2013). </w:t>
      </w:r>
      <w:r w:rsidRPr="00981272">
        <w:rPr>
          <w:rStyle w:val="Emphasis"/>
          <w:rFonts w:ascii="Arial" w:hAnsi="Arial" w:cs="Arial"/>
          <w:sz w:val="20"/>
        </w:rPr>
        <w:t>Textbook of Clinical Veterinary Medicine</w:t>
      </w:r>
      <w:r w:rsidRPr="00981272">
        <w:rPr>
          <w:rFonts w:ascii="Arial" w:hAnsi="Arial" w:cs="Arial"/>
          <w:sz w:val="20"/>
        </w:rPr>
        <w:t>. 3rd ed. New Delhi: Kalyani Publishers.</w:t>
      </w:r>
    </w:p>
    <w:p w14:paraId="5D2574C5"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Copetti MV, Santurio JM, Cavalheiro AS, Boeck AA, Argenta JS, Aguiar LC, et al. (2006). Dermatophytes isolated from dogs and cats suspected of dermatophytosis in Southern Brazil. </w:t>
      </w:r>
      <w:r w:rsidRPr="00981272">
        <w:rPr>
          <w:rStyle w:val="Emphasis"/>
          <w:rFonts w:ascii="Arial" w:hAnsi="Arial" w:cs="Arial"/>
          <w:sz w:val="20"/>
        </w:rPr>
        <w:t xml:space="preserve">Acta Scientiae </w:t>
      </w:r>
      <w:proofErr w:type="spellStart"/>
      <w:r w:rsidRPr="00981272">
        <w:rPr>
          <w:rStyle w:val="Emphasis"/>
          <w:rFonts w:ascii="Arial" w:hAnsi="Arial" w:cs="Arial"/>
          <w:sz w:val="20"/>
        </w:rPr>
        <w:t>Veterinariae</w:t>
      </w:r>
      <w:proofErr w:type="spellEnd"/>
      <w:r w:rsidRPr="00981272">
        <w:rPr>
          <w:rFonts w:ascii="Arial" w:hAnsi="Arial" w:cs="Arial"/>
          <w:sz w:val="20"/>
        </w:rPr>
        <w:t>, 34(2), 119-124.</w:t>
      </w:r>
    </w:p>
    <w:p w14:paraId="00FD8C2D"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Craig E. (2003). Culture and sensitivity testing in dermatological infections. In: </w:t>
      </w:r>
      <w:r w:rsidRPr="00981272">
        <w:rPr>
          <w:rStyle w:val="Emphasis"/>
          <w:rFonts w:ascii="Arial" w:hAnsi="Arial" w:cs="Arial"/>
          <w:sz w:val="20"/>
        </w:rPr>
        <w:t>BSAVA Manual of Small Animal Dermatology</w:t>
      </w:r>
      <w:r w:rsidRPr="00981272">
        <w:rPr>
          <w:rFonts w:ascii="Arial" w:hAnsi="Arial" w:cs="Arial"/>
          <w:sz w:val="20"/>
        </w:rPr>
        <w:t>. 2nd ed. Gloucester: British Small Animal Veterinary Association; p. 190-195.</w:t>
      </w:r>
    </w:p>
    <w:p w14:paraId="19F74F53"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Curtis CF. (2001). Diagnostic techniques and sample collection. </w:t>
      </w:r>
      <w:r w:rsidRPr="00981272">
        <w:rPr>
          <w:rStyle w:val="Emphasis"/>
          <w:rFonts w:ascii="Arial" w:hAnsi="Arial" w:cs="Arial"/>
          <w:sz w:val="20"/>
        </w:rPr>
        <w:t>Clinical Techniques in Small Animal Practice</w:t>
      </w:r>
      <w:r w:rsidRPr="00981272">
        <w:rPr>
          <w:rFonts w:ascii="Arial" w:hAnsi="Arial" w:cs="Arial"/>
          <w:sz w:val="20"/>
        </w:rPr>
        <w:t>, 16(4), 199-206.</w:t>
      </w:r>
    </w:p>
    <w:p w14:paraId="3FAAE6BD"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Hillier A, Lloyd DH, Weese JS, Blondeau JM, Boothe D, </w:t>
      </w:r>
      <w:proofErr w:type="spellStart"/>
      <w:r w:rsidRPr="00981272">
        <w:rPr>
          <w:rFonts w:ascii="Arial" w:hAnsi="Arial" w:cs="Arial"/>
          <w:sz w:val="20"/>
        </w:rPr>
        <w:t>Breitschwerdt</w:t>
      </w:r>
      <w:proofErr w:type="spellEnd"/>
      <w:r w:rsidRPr="00981272">
        <w:rPr>
          <w:rFonts w:ascii="Arial" w:hAnsi="Arial" w:cs="Arial"/>
          <w:sz w:val="20"/>
        </w:rPr>
        <w:t xml:space="preserve"> E, et al. (2014). Guidelines for the diagnosis and antimicrobial therapy of canine superficial bacterial folliculitis (Antimicrobial Guidelines Working Group of the ISCAID). </w:t>
      </w:r>
      <w:r w:rsidRPr="00981272">
        <w:rPr>
          <w:rStyle w:val="Emphasis"/>
          <w:rFonts w:ascii="Arial" w:hAnsi="Arial" w:cs="Arial"/>
          <w:sz w:val="20"/>
        </w:rPr>
        <w:t>Veterinary Dermatology</w:t>
      </w:r>
      <w:r w:rsidRPr="00981272">
        <w:rPr>
          <w:rFonts w:ascii="Arial" w:hAnsi="Arial" w:cs="Arial"/>
          <w:sz w:val="20"/>
        </w:rPr>
        <w:t xml:space="preserve">, 25(3), 163-175. </w:t>
      </w:r>
      <w:hyperlink r:id="rId12" w:tgtFrame="_blank" w:history="1">
        <w:r w:rsidRPr="00981272">
          <w:rPr>
            <w:rStyle w:val="Hyperlink"/>
            <w:rFonts w:ascii="Arial" w:hAnsi="Arial" w:cs="Arial"/>
            <w:sz w:val="20"/>
          </w:rPr>
          <w:t>https://doi.org/10.1111/vde.12118</w:t>
        </w:r>
      </w:hyperlink>
      <w:r w:rsidRPr="00981272">
        <w:rPr>
          <w:rFonts w:ascii="Arial" w:hAnsi="Arial" w:cs="Arial"/>
          <w:sz w:val="20"/>
        </w:rPr>
        <w:t>.</w:t>
      </w:r>
    </w:p>
    <w:p w14:paraId="1A62BFDC" w14:textId="77777777" w:rsidR="00981272" w:rsidRPr="00981272" w:rsidRDefault="00981272" w:rsidP="000C29E6">
      <w:pPr>
        <w:pStyle w:val="NormalWeb"/>
        <w:spacing w:line="240" w:lineRule="auto"/>
        <w:jc w:val="both"/>
        <w:rPr>
          <w:rFonts w:ascii="Arial" w:hAnsi="Arial" w:cs="Arial"/>
          <w:sz w:val="20"/>
        </w:rPr>
      </w:pPr>
      <w:proofErr w:type="spellStart"/>
      <w:r w:rsidRPr="00981272">
        <w:rPr>
          <w:rFonts w:ascii="Arial" w:hAnsi="Arial" w:cs="Arial"/>
          <w:sz w:val="20"/>
        </w:rPr>
        <w:t>Kukanich</w:t>
      </w:r>
      <w:proofErr w:type="spellEnd"/>
      <w:r w:rsidRPr="00981272">
        <w:rPr>
          <w:rFonts w:ascii="Arial" w:hAnsi="Arial" w:cs="Arial"/>
          <w:sz w:val="20"/>
        </w:rPr>
        <w:t xml:space="preserve"> B. (2008). A review of selected systemic antifungal drugs for use in dogs and cats. </w:t>
      </w:r>
      <w:r w:rsidRPr="00981272">
        <w:rPr>
          <w:rStyle w:val="Emphasis"/>
          <w:rFonts w:ascii="Arial" w:hAnsi="Arial" w:cs="Arial"/>
          <w:sz w:val="20"/>
        </w:rPr>
        <w:t>Veterinary Medicine</w:t>
      </w:r>
      <w:r w:rsidRPr="00981272">
        <w:rPr>
          <w:rFonts w:ascii="Arial" w:hAnsi="Arial" w:cs="Arial"/>
          <w:sz w:val="20"/>
        </w:rPr>
        <w:t>, 103(1), 40-50.</w:t>
      </w:r>
    </w:p>
    <w:p w14:paraId="596718F6"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lastRenderedPageBreak/>
        <w:t xml:space="preserve">Mihaylov G, Petrov V, Zhelev G. (2008). Comparative investigation on several protocols for treatment of dermatophytosis in pets. </w:t>
      </w:r>
      <w:r w:rsidRPr="00981272">
        <w:rPr>
          <w:rStyle w:val="Emphasis"/>
          <w:rFonts w:ascii="Arial" w:hAnsi="Arial" w:cs="Arial"/>
          <w:sz w:val="20"/>
        </w:rPr>
        <w:t>Trakia Journal of Science</w:t>
      </w:r>
      <w:r w:rsidRPr="00981272">
        <w:rPr>
          <w:rFonts w:ascii="Arial" w:hAnsi="Arial" w:cs="Arial"/>
          <w:sz w:val="20"/>
        </w:rPr>
        <w:t>, 6(1), 102-105.</w:t>
      </w:r>
    </w:p>
    <w:p w14:paraId="63357E7D"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Moriello KA, Coyner K, Paterson S, Mignon B. (2017). Diagnosis and treatment of dermatophytosis in dogs and cats: Clinical Consensus Guidelines of the World Association for Veterinary Dermatology. </w:t>
      </w:r>
      <w:r w:rsidRPr="00981272">
        <w:rPr>
          <w:rStyle w:val="Emphasis"/>
          <w:rFonts w:ascii="Arial" w:hAnsi="Arial" w:cs="Arial"/>
          <w:sz w:val="20"/>
        </w:rPr>
        <w:t>Veterinary Dermatology</w:t>
      </w:r>
      <w:r w:rsidRPr="00981272">
        <w:rPr>
          <w:rFonts w:ascii="Arial" w:hAnsi="Arial" w:cs="Arial"/>
          <w:sz w:val="20"/>
        </w:rPr>
        <w:t xml:space="preserve">, 28(3), 266-e68. </w:t>
      </w:r>
      <w:hyperlink r:id="rId13" w:tgtFrame="_blank" w:history="1">
        <w:r w:rsidRPr="00981272">
          <w:rPr>
            <w:rStyle w:val="Hyperlink"/>
            <w:rFonts w:ascii="Arial" w:hAnsi="Arial" w:cs="Arial"/>
            <w:sz w:val="20"/>
          </w:rPr>
          <w:t>https://doi.org/10.1111/vde.12440</w:t>
        </w:r>
      </w:hyperlink>
      <w:r w:rsidRPr="00981272">
        <w:rPr>
          <w:rFonts w:ascii="Arial" w:hAnsi="Arial" w:cs="Arial"/>
          <w:sz w:val="20"/>
        </w:rPr>
        <w:t>.</w:t>
      </w:r>
    </w:p>
    <w:p w14:paraId="16427B8C"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Muller GH, Scott DW, Miller WH, Griffin CE. (2001). </w:t>
      </w:r>
      <w:r w:rsidRPr="00981272">
        <w:rPr>
          <w:rStyle w:val="Emphasis"/>
          <w:rFonts w:ascii="Arial" w:hAnsi="Arial" w:cs="Arial"/>
          <w:sz w:val="20"/>
        </w:rPr>
        <w:t>Muller and Kirk’s Small Animal Dermatology</w:t>
      </w:r>
      <w:r w:rsidRPr="00981272">
        <w:rPr>
          <w:rFonts w:ascii="Arial" w:hAnsi="Arial" w:cs="Arial"/>
          <w:sz w:val="20"/>
        </w:rPr>
        <w:t>. 6th ed. Philadelphia: W.B. Saunders Co.</w:t>
      </w:r>
    </w:p>
    <w:p w14:paraId="0F8A6030"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Nam HS, Kim TY, Han SH, Hyun C. (2013). Evaluation of therapeutic efficacy of medical shampoo containing Terbinafine hydrochloride and chlorhexidine in dogs with dermatophytosis complicated with bacterial infection. </w:t>
      </w:r>
      <w:r w:rsidRPr="00981272">
        <w:rPr>
          <w:rStyle w:val="Emphasis"/>
          <w:rFonts w:ascii="Arial" w:hAnsi="Arial" w:cs="Arial"/>
          <w:sz w:val="20"/>
        </w:rPr>
        <w:t>The Journal of Biomedical Research</w:t>
      </w:r>
      <w:r w:rsidRPr="00981272">
        <w:rPr>
          <w:rFonts w:ascii="Arial" w:hAnsi="Arial" w:cs="Arial"/>
          <w:sz w:val="20"/>
        </w:rPr>
        <w:t>, 14(3), 154-159.</w:t>
      </w:r>
    </w:p>
    <w:p w14:paraId="4A98B900"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Nuttall T, Cole LK. (2004). Ear cleaning: The UK and US perspective. </w:t>
      </w:r>
      <w:r w:rsidRPr="00981272">
        <w:rPr>
          <w:rStyle w:val="Emphasis"/>
          <w:rFonts w:ascii="Arial" w:hAnsi="Arial" w:cs="Arial"/>
          <w:sz w:val="20"/>
        </w:rPr>
        <w:t>Veterinary Dermatology</w:t>
      </w:r>
      <w:r w:rsidRPr="00981272">
        <w:rPr>
          <w:rFonts w:ascii="Arial" w:hAnsi="Arial" w:cs="Arial"/>
          <w:sz w:val="20"/>
        </w:rPr>
        <w:t>, 15(2), 127-136.</w:t>
      </w:r>
    </w:p>
    <w:p w14:paraId="5FFE0B3E"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Panigrahi PN, Gupta AR, Patra RC. (2013). Therapeutic management of generalised demodicosis and dermatophytosis in a dog. </w:t>
      </w:r>
      <w:proofErr w:type="spellStart"/>
      <w:r w:rsidRPr="00981272">
        <w:rPr>
          <w:rStyle w:val="Emphasis"/>
          <w:rFonts w:ascii="Arial" w:hAnsi="Arial" w:cs="Arial"/>
          <w:sz w:val="20"/>
        </w:rPr>
        <w:t>Intas</w:t>
      </w:r>
      <w:proofErr w:type="spellEnd"/>
      <w:r w:rsidRPr="00981272">
        <w:rPr>
          <w:rStyle w:val="Emphasis"/>
          <w:rFonts w:ascii="Arial" w:hAnsi="Arial" w:cs="Arial"/>
          <w:sz w:val="20"/>
        </w:rPr>
        <w:t xml:space="preserve"> </w:t>
      </w:r>
      <w:proofErr w:type="spellStart"/>
      <w:r w:rsidRPr="00981272">
        <w:rPr>
          <w:rStyle w:val="Emphasis"/>
          <w:rFonts w:ascii="Arial" w:hAnsi="Arial" w:cs="Arial"/>
          <w:sz w:val="20"/>
        </w:rPr>
        <w:t>Polivet</w:t>
      </w:r>
      <w:proofErr w:type="spellEnd"/>
      <w:r w:rsidRPr="00981272">
        <w:rPr>
          <w:rFonts w:ascii="Arial" w:hAnsi="Arial" w:cs="Arial"/>
          <w:sz w:val="20"/>
        </w:rPr>
        <w:t>, 14(2), 347-349.</w:t>
      </w:r>
    </w:p>
    <w:p w14:paraId="300225FC" w14:textId="77777777" w:rsidR="00981272" w:rsidRPr="00981272" w:rsidRDefault="00981272" w:rsidP="000C29E6">
      <w:pPr>
        <w:pStyle w:val="NormalWeb"/>
        <w:spacing w:line="240" w:lineRule="auto"/>
        <w:jc w:val="both"/>
        <w:rPr>
          <w:rFonts w:ascii="Arial" w:hAnsi="Arial" w:cs="Arial"/>
          <w:sz w:val="20"/>
        </w:rPr>
      </w:pPr>
      <w:proofErr w:type="spellStart"/>
      <w:r w:rsidRPr="00981272">
        <w:rPr>
          <w:rFonts w:ascii="Arial" w:hAnsi="Arial" w:cs="Arial"/>
          <w:sz w:val="20"/>
        </w:rPr>
        <w:t>Paryuni</w:t>
      </w:r>
      <w:proofErr w:type="spellEnd"/>
      <w:r w:rsidRPr="00981272">
        <w:rPr>
          <w:rFonts w:ascii="Arial" w:hAnsi="Arial" w:cs="Arial"/>
          <w:sz w:val="20"/>
        </w:rPr>
        <w:t xml:space="preserve"> AD, </w:t>
      </w:r>
      <w:proofErr w:type="spellStart"/>
      <w:r w:rsidRPr="00981272">
        <w:rPr>
          <w:rFonts w:ascii="Arial" w:hAnsi="Arial" w:cs="Arial"/>
          <w:sz w:val="20"/>
        </w:rPr>
        <w:t>Indarjulianto</w:t>
      </w:r>
      <w:proofErr w:type="spellEnd"/>
      <w:r w:rsidRPr="00981272">
        <w:rPr>
          <w:rFonts w:ascii="Arial" w:hAnsi="Arial" w:cs="Arial"/>
          <w:sz w:val="20"/>
        </w:rPr>
        <w:t xml:space="preserve"> S, Widyarini S. (2020). Dermatophytosis in companion animals: a review. </w:t>
      </w:r>
      <w:r w:rsidRPr="00981272">
        <w:rPr>
          <w:rStyle w:val="Emphasis"/>
          <w:rFonts w:ascii="Arial" w:hAnsi="Arial" w:cs="Arial"/>
          <w:sz w:val="20"/>
        </w:rPr>
        <w:t>Veterinary World</w:t>
      </w:r>
      <w:r w:rsidRPr="00981272">
        <w:rPr>
          <w:rFonts w:ascii="Arial" w:hAnsi="Arial" w:cs="Arial"/>
          <w:sz w:val="20"/>
        </w:rPr>
        <w:t>, 13(6), 1174-1181.</w:t>
      </w:r>
    </w:p>
    <w:p w14:paraId="5D7813EE"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Paterson S. (2019). Skin cytology for the veterinary nurse. </w:t>
      </w:r>
      <w:r w:rsidRPr="00981272">
        <w:rPr>
          <w:rStyle w:val="Emphasis"/>
          <w:rFonts w:ascii="Arial" w:hAnsi="Arial" w:cs="Arial"/>
          <w:sz w:val="20"/>
        </w:rPr>
        <w:t>The Veterinary Nurse</w:t>
      </w:r>
      <w:r w:rsidRPr="00981272">
        <w:rPr>
          <w:rFonts w:ascii="Arial" w:hAnsi="Arial" w:cs="Arial"/>
          <w:sz w:val="20"/>
        </w:rPr>
        <w:t>, 10(2), 64-68.</w:t>
      </w:r>
    </w:p>
    <w:p w14:paraId="62A17411" w14:textId="77777777" w:rsidR="00981272" w:rsidRPr="00981272" w:rsidRDefault="00981272" w:rsidP="000C29E6">
      <w:pPr>
        <w:pStyle w:val="NormalWeb"/>
        <w:spacing w:line="240" w:lineRule="auto"/>
        <w:jc w:val="both"/>
        <w:rPr>
          <w:rFonts w:ascii="Arial" w:hAnsi="Arial" w:cs="Arial"/>
          <w:sz w:val="20"/>
        </w:rPr>
      </w:pPr>
      <w:proofErr w:type="spellStart"/>
      <w:r w:rsidRPr="00981272">
        <w:rPr>
          <w:rFonts w:ascii="Arial" w:hAnsi="Arial" w:cs="Arial"/>
          <w:sz w:val="20"/>
        </w:rPr>
        <w:t>Saijonmaa-Koulumies</w:t>
      </w:r>
      <w:proofErr w:type="spellEnd"/>
      <w:r w:rsidRPr="00981272">
        <w:rPr>
          <w:rFonts w:ascii="Arial" w:hAnsi="Arial" w:cs="Arial"/>
          <w:sz w:val="20"/>
        </w:rPr>
        <w:t xml:space="preserve"> L. (2002). Pyoderma and Malassezia </w:t>
      </w:r>
      <w:proofErr w:type="spellStart"/>
      <w:r w:rsidRPr="00981272">
        <w:rPr>
          <w:rFonts w:ascii="Arial" w:hAnsi="Arial" w:cs="Arial"/>
          <w:sz w:val="20"/>
        </w:rPr>
        <w:t>pachydermatis</w:t>
      </w:r>
      <w:proofErr w:type="spellEnd"/>
      <w:r w:rsidRPr="00981272">
        <w:rPr>
          <w:rFonts w:ascii="Arial" w:hAnsi="Arial" w:cs="Arial"/>
          <w:sz w:val="20"/>
        </w:rPr>
        <w:t xml:space="preserve"> in dogs. </w:t>
      </w:r>
      <w:r w:rsidRPr="00981272">
        <w:rPr>
          <w:rStyle w:val="Emphasis"/>
          <w:rFonts w:ascii="Arial" w:hAnsi="Arial" w:cs="Arial"/>
          <w:sz w:val="20"/>
        </w:rPr>
        <w:t>Waltham Focus</w:t>
      </w:r>
      <w:r w:rsidRPr="00981272">
        <w:rPr>
          <w:rFonts w:ascii="Arial" w:hAnsi="Arial" w:cs="Arial"/>
          <w:sz w:val="20"/>
        </w:rPr>
        <w:t>, 12(4), 19-24.</w:t>
      </w:r>
    </w:p>
    <w:p w14:paraId="66EE8B83"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Scott DW, Peters J, Miller WH. (2006). Efficacy of orbifloxacin tablets for the treatment of superficial and deep pyoderma due to Staphylococcus intermedius infection in dogs. </w:t>
      </w:r>
      <w:r w:rsidRPr="00981272">
        <w:rPr>
          <w:rStyle w:val="Emphasis"/>
          <w:rFonts w:ascii="Arial" w:hAnsi="Arial" w:cs="Arial"/>
          <w:sz w:val="20"/>
        </w:rPr>
        <w:t>The Canadian Veterinary Journal</w:t>
      </w:r>
      <w:r w:rsidRPr="00981272">
        <w:rPr>
          <w:rFonts w:ascii="Arial" w:hAnsi="Arial" w:cs="Arial"/>
          <w:sz w:val="20"/>
        </w:rPr>
        <w:t>, 47(10), 999-1002.</w:t>
      </w:r>
    </w:p>
    <w:p w14:paraId="686B0A89"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Sharma P, Bhalla M, Thami GP, Chander J. (2020). Evaluation of efficacy and safety of oral Terbinafine and Itraconazole combination therapy in the management of dermatophytosis. </w:t>
      </w:r>
      <w:r w:rsidRPr="00981272">
        <w:rPr>
          <w:rStyle w:val="Emphasis"/>
          <w:rFonts w:ascii="Arial" w:hAnsi="Arial" w:cs="Arial"/>
          <w:sz w:val="20"/>
        </w:rPr>
        <w:t>Journal of Dermatological Treatment</w:t>
      </w:r>
      <w:r w:rsidRPr="00981272">
        <w:rPr>
          <w:rFonts w:ascii="Arial" w:hAnsi="Arial" w:cs="Arial"/>
          <w:sz w:val="20"/>
        </w:rPr>
        <w:t>, 31(7), 749-753.</w:t>
      </w:r>
    </w:p>
    <w:p w14:paraId="6D8023D3" w14:textId="77777777" w:rsidR="00981272" w:rsidRPr="00981272" w:rsidRDefault="00981272" w:rsidP="000C29E6">
      <w:pPr>
        <w:pStyle w:val="NormalWeb"/>
        <w:spacing w:line="240" w:lineRule="auto"/>
        <w:jc w:val="both"/>
        <w:rPr>
          <w:rFonts w:ascii="Arial" w:hAnsi="Arial" w:cs="Arial"/>
          <w:sz w:val="20"/>
        </w:rPr>
      </w:pPr>
      <w:proofErr w:type="spellStart"/>
      <w:r w:rsidRPr="00981272">
        <w:rPr>
          <w:rFonts w:ascii="Arial" w:hAnsi="Arial" w:cs="Arial"/>
          <w:sz w:val="20"/>
        </w:rPr>
        <w:t>Singathia</w:t>
      </w:r>
      <w:proofErr w:type="spellEnd"/>
      <w:r w:rsidRPr="00981272">
        <w:rPr>
          <w:rFonts w:ascii="Arial" w:hAnsi="Arial" w:cs="Arial"/>
          <w:sz w:val="20"/>
        </w:rPr>
        <w:t xml:space="preserve"> R, Gupta SR, Yadav R, Gupta Y, Lakhotia RL. (2014). Prevalence of Canine Dermatophytosis in Semi-Arid Jaipur, Rajasthan. </w:t>
      </w:r>
      <w:r w:rsidRPr="00981272">
        <w:rPr>
          <w:rStyle w:val="Emphasis"/>
          <w:rFonts w:ascii="Arial" w:hAnsi="Arial" w:cs="Arial"/>
          <w:sz w:val="20"/>
        </w:rPr>
        <w:t>Haryana Veterinarian</w:t>
      </w:r>
      <w:r w:rsidRPr="00981272">
        <w:rPr>
          <w:rFonts w:ascii="Arial" w:hAnsi="Arial" w:cs="Arial"/>
          <w:sz w:val="20"/>
        </w:rPr>
        <w:t>, 53(1), 43-45.</w:t>
      </w:r>
    </w:p>
    <w:p w14:paraId="67EB51BB"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Singh R, </w:t>
      </w:r>
      <w:proofErr w:type="spellStart"/>
      <w:r w:rsidRPr="00981272">
        <w:rPr>
          <w:rFonts w:ascii="Arial" w:hAnsi="Arial" w:cs="Arial"/>
          <w:sz w:val="20"/>
        </w:rPr>
        <w:t>Beigh</w:t>
      </w:r>
      <w:proofErr w:type="spellEnd"/>
      <w:r w:rsidRPr="00981272">
        <w:rPr>
          <w:rFonts w:ascii="Arial" w:hAnsi="Arial" w:cs="Arial"/>
          <w:sz w:val="20"/>
        </w:rPr>
        <w:t xml:space="preserve"> SA, </w:t>
      </w:r>
      <w:proofErr w:type="spellStart"/>
      <w:r w:rsidRPr="00981272">
        <w:rPr>
          <w:rFonts w:ascii="Arial" w:hAnsi="Arial" w:cs="Arial"/>
          <w:sz w:val="20"/>
        </w:rPr>
        <w:t>Soodan</w:t>
      </w:r>
      <w:proofErr w:type="spellEnd"/>
      <w:r w:rsidRPr="00981272">
        <w:rPr>
          <w:rFonts w:ascii="Arial" w:hAnsi="Arial" w:cs="Arial"/>
          <w:sz w:val="20"/>
        </w:rPr>
        <w:t xml:space="preserve"> JS, </w:t>
      </w:r>
      <w:proofErr w:type="spellStart"/>
      <w:r w:rsidRPr="00981272">
        <w:rPr>
          <w:rFonts w:ascii="Arial" w:hAnsi="Arial" w:cs="Arial"/>
          <w:sz w:val="20"/>
        </w:rPr>
        <w:t>Tikoo</w:t>
      </w:r>
      <w:proofErr w:type="spellEnd"/>
      <w:r w:rsidRPr="00981272">
        <w:rPr>
          <w:rFonts w:ascii="Arial" w:hAnsi="Arial" w:cs="Arial"/>
          <w:sz w:val="20"/>
        </w:rPr>
        <w:t xml:space="preserve"> A, </w:t>
      </w:r>
      <w:proofErr w:type="spellStart"/>
      <w:r w:rsidRPr="00981272">
        <w:rPr>
          <w:rFonts w:ascii="Arial" w:hAnsi="Arial" w:cs="Arial"/>
          <w:sz w:val="20"/>
        </w:rPr>
        <w:t>Tantray</w:t>
      </w:r>
      <w:proofErr w:type="spellEnd"/>
      <w:r w:rsidRPr="00981272">
        <w:rPr>
          <w:rFonts w:ascii="Arial" w:hAnsi="Arial" w:cs="Arial"/>
          <w:sz w:val="20"/>
        </w:rPr>
        <w:t xml:space="preserve"> H. (2012). </w:t>
      </w:r>
      <w:proofErr w:type="spellStart"/>
      <w:r w:rsidRPr="00981272">
        <w:rPr>
          <w:rFonts w:ascii="Arial" w:hAnsi="Arial" w:cs="Arial"/>
          <w:sz w:val="20"/>
        </w:rPr>
        <w:t>Clinico</w:t>
      </w:r>
      <w:proofErr w:type="spellEnd"/>
      <w:r w:rsidRPr="00981272">
        <w:rPr>
          <w:rFonts w:ascii="Arial" w:hAnsi="Arial" w:cs="Arial"/>
          <w:sz w:val="20"/>
        </w:rPr>
        <w:t xml:space="preserve">-epidemiological studies in canine dermatitis. </w:t>
      </w:r>
      <w:r w:rsidRPr="00981272">
        <w:rPr>
          <w:rStyle w:val="Emphasis"/>
          <w:rFonts w:ascii="Arial" w:hAnsi="Arial" w:cs="Arial"/>
          <w:sz w:val="20"/>
        </w:rPr>
        <w:t>Indian Journal of Canine Practice</w:t>
      </w:r>
      <w:r w:rsidRPr="00981272">
        <w:rPr>
          <w:rFonts w:ascii="Arial" w:hAnsi="Arial" w:cs="Arial"/>
          <w:sz w:val="20"/>
        </w:rPr>
        <w:t>, 43, 49-51.</w:t>
      </w:r>
    </w:p>
    <w:sectPr w:rsidR="00981272" w:rsidRPr="00981272" w:rsidSect="00FE3F4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E0E22" w14:textId="77777777" w:rsidR="002D51D0" w:rsidRDefault="002D51D0" w:rsidP="00333AD1">
      <w:pPr>
        <w:spacing w:after="0" w:line="240" w:lineRule="auto"/>
      </w:pPr>
      <w:r>
        <w:separator/>
      </w:r>
    </w:p>
  </w:endnote>
  <w:endnote w:type="continuationSeparator" w:id="0">
    <w:p w14:paraId="678D18A8" w14:textId="77777777" w:rsidR="002D51D0" w:rsidRDefault="002D51D0" w:rsidP="00333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655D0" w14:textId="77777777" w:rsidR="00333AD1" w:rsidRDefault="00333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655C2" w14:textId="77777777" w:rsidR="00333AD1" w:rsidRDefault="00333A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4C156" w14:textId="77777777" w:rsidR="00333AD1" w:rsidRDefault="00333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0FF88" w14:textId="77777777" w:rsidR="002D51D0" w:rsidRDefault="002D51D0" w:rsidP="00333AD1">
      <w:pPr>
        <w:spacing w:after="0" w:line="240" w:lineRule="auto"/>
      </w:pPr>
      <w:r>
        <w:separator/>
      </w:r>
    </w:p>
  </w:footnote>
  <w:footnote w:type="continuationSeparator" w:id="0">
    <w:p w14:paraId="638D27D6" w14:textId="77777777" w:rsidR="002D51D0" w:rsidRDefault="002D51D0" w:rsidP="00333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0CC79" w14:textId="00650339" w:rsidR="00333AD1" w:rsidRDefault="00333AD1">
    <w:pPr>
      <w:pStyle w:val="Header"/>
    </w:pPr>
    <w:r>
      <w:rPr>
        <w:noProof/>
      </w:rPr>
      <w:pict w14:anchorId="3E814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5A6ED" w14:textId="23F4B399" w:rsidR="00333AD1" w:rsidRDefault="00333AD1">
    <w:pPr>
      <w:pStyle w:val="Header"/>
    </w:pPr>
    <w:r>
      <w:rPr>
        <w:noProof/>
      </w:rPr>
      <w:pict w14:anchorId="5FC858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386FD" w14:textId="7562F1C9" w:rsidR="00333AD1" w:rsidRDefault="00333AD1">
    <w:pPr>
      <w:pStyle w:val="Header"/>
    </w:pPr>
    <w:r>
      <w:rPr>
        <w:noProof/>
      </w:rPr>
      <w:pict w14:anchorId="7523B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A56929"/>
    <w:multiLevelType w:val="hybridMultilevel"/>
    <w:tmpl w:val="1E0E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0EBC"/>
    <w:rsid w:val="00001229"/>
    <w:rsid w:val="0000286E"/>
    <w:rsid w:val="00007C1D"/>
    <w:rsid w:val="00011149"/>
    <w:rsid w:val="00026356"/>
    <w:rsid w:val="00050EBC"/>
    <w:rsid w:val="00093705"/>
    <w:rsid w:val="000C19D8"/>
    <w:rsid w:val="000C29E6"/>
    <w:rsid w:val="000D7699"/>
    <w:rsid w:val="00132AD4"/>
    <w:rsid w:val="00133F14"/>
    <w:rsid w:val="00143D22"/>
    <w:rsid w:val="00174CC4"/>
    <w:rsid w:val="00182E9B"/>
    <w:rsid w:val="001867DC"/>
    <w:rsid w:val="00194DA1"/>
    <w:rsid w:val="001B06D9"/>
    <w:rsid w:val="001B4233"/>
    <w:rsid w:val="001B56A2"/>
    <w:rsid w:val="001C21B4"/>
    <w:rsid w:val="001E1552"/>
    <w:rsid w:val="0021348C"/>
    <w:rsid w:val="00226389"/>
    <w:rsid w:val="002423DF"/>
    <w:rsid w:val="00275296"/>
    <w:rsid w:val="002B7208"/>
    <w:rsid w:val="002D51D0"/>
    <w:rsid w:val="002F0E6B"/>
    <w:rsid w:val="002F223A"/>
    <w:rsid w:val="002F7E47"/>
    <w:rsid w:val="00333206"/>
    <w:rsid w:val="00333AD1"/>
    <w:rsid w:val="00343F97"/>
    <w:rsid w:val="0036758C"/>
    <w:rsid w:val="003C3CBA"/>
    <w:rsid w:val="003D2CFB"/>
    <w:rsid w:val="0040731A"/>
    <w:rsid w:val="00426F5C"/>
    <w:rsid w:val="004642C7"/>
    <w:rsid w:val="00473CF6"/>
    <w:rsid w:val="00485759"/>
    <w:rsid w:val="0049693D"/>
    <w:rsid w:val="004A49A5"/>
    <w:rsid w:val="00510721"/>
    <w:rsid w:val="00512AEE"/>
    <w:rsid w:val="005306A8"/>
    <w:rsid w:val="00532578"/>
    <w:rsid w:val="005342D1"/>
    <w:rsid w:val="0054288B"/>
    <w:rsid w:val="00562A09"/>
    <w:rsid w:val="0056585E"/>
    <w:rsid w:val="00577FFC"/>
    <w:rsid w:val="005B7E5A"/>
    <w:rsid w:val="005C044D"/>
    <w:rsid w:val="005C0ABA"/>
    <w:rsid w:val="005D0878"/>
    <w:rsid w:val="00615A28"/>
    <w:rsid w:val="006405D4"/>
    <w:rsid w:val="00652C4B"/>
    <w:rsid w:val="0066775F"/>
    <w:rsid w:val="00675EA1"/>
    <w:rsid w:val="00692885"/>
    <w:rsid w:val="006A09EE"/>
    <w:rsid w:val="006A236C"/>
    <w:rsid w:val="006C4291"/>
    <w:rsid w:val="006E119B"/>
    <w:rsid w:val="006F0FB1"/>
    <w:rsid w:val="006F680E"/>
    <w:rsid w:val="00702042"/>
    <w:rsid w:val="00717B1F"/>
    <w:rsid w:val="00771A11"/>
    <w:rsid w:val="007D371D"/>
    <w:rsid w:val="007E639A"/>
    <w:rsid w:val="007F6CA3"/>
    <w:rsid w:val="007F7BF6"/>
    <w:rsid w:val="00833B72"/>
    <w:rsid w:val="00856AE9"/>
    <w:rsid w:val="008A5401"/>
    <w:rsid w:val="008B42BA"/>
    <w:rsid w:val="009049E4"/>
    <w:rsid w:val="00914362"/>
    <w:rsid w:val="00926326"/>
    <w:rsid w:val="0093567B"/>
    <w:rsid w:val="00950E39"/>
    <w:rsid w:val="00981272"/>
    <w:rsid w:val="00992FA4"/>
    <w:rsid w:val="009938FB"/>
    <w:rsid w:val="009B1A58"/>
    <w:rsid w:val="009B57D1"/>
    <w:rsid w:val="009B653C"/>
    <w:rsid w:val="009C2E66"/>
    <w:rsid w:val="009D742E"/>
    <w:rsid w:val="00A116CC"/>
    <w:rsid w:val="00A11BFA"/>
    <w:rsid w:val="00A748D4"/>
    <w:rsid w:val="00A74FDE"/>
    <w:rsid w:val="00A81D3F"/>
    <w:rsid w:val="00A87560"/>
    <w:rsid w:val="00AB0ED1"/>
    <w:rsid w:val="00AB5316"/>
    <w:rsid w:val="00B43EDC"/>
    <w:rsid w:val="00B677EC"/>
    <w:rsid w:val="00B83FEC"/>
    <w:rsid w:val="00B8729E"/>
    <w:rsid w:val="00BA0241"/>
    <w:rsid w:val="00BB610A"/>
    <w:rsid w:val="00BD0684"/>
    <w:rsid w:val="00BD4B7D"/>
    <w:rsid w:val="00C16AA0"/>
    <w:rsid w:val="00C44508"/>
    <w:rsid w:val="00C515A9"/>
    <w:rsid w:val="00C92073"/>
    <w:rsid w:val="00CA0849"/>
    <w:rsid w:val="00CA52F3"/>
    <w:rsid w:val="00CD03F4"/>
    <w:rsid w:val="00CD1407"/>
    <w:rsid w:val="00CF25AC"/>
    <w:rsid w:val="00D82A28"/>
    <w:rsid w:val="00D83803"/>
    <w:rsid w:val="00DA2DF4"/>
    <w:rsid w:val="00DA35CD"/>
    <w:rsid w:val="00DC0D74"/>
    <w:rsid w:val="00DC576C"/>
    <w:rsid w:val="00DE77BF"/>
    <w:rsid w:val="00DF1016"/>
    <w:rsid w:val="00E30E93"/>
    <w:rsid w:val="00E32A69"/>
    <w:rsid w:val="00E3445F"/>
    <w:rsid w:val="00E675FE"/>
    <w:rsid w:val="00E82C0B"/>
    <w:rsid w:val="00F00068"/>
    <w:rsid w:val="00F023C5"/>
    <w:rsid w:val="00F02D4A"/>
    <w:rsid w:val="00F808AC"/>
    <w:rsid w:val="00F835E6"/>
    <w:rsid w:val="00F931F4"/>
    <w:rsid w:val="00F97D7D"/>
    <w:rsid w:val="00FB1D24"/>
    <w:rsid w:val="00FC1A26"/>
    <w:rsid w:val="00FE3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039791"/>
  <w15:docId w15:val="{6F3F71EE-7945-4AD7-943D-61EB3AA8D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EBC"/>
    <w:pPr>
      <w:spacing w:after="120" w:line="360" w:lineRule="auto"/>
    </w:pPr>
    <w:rPr>
      <w:lang w:val="en-IN"/>
    </w:rPr>
  </w:style>
  <w:style w:type="paragraph" w:styleId="Heading3">
    <w:name w:val="heading 3"/>
    <w:basedOn w:val="Normal"/>
    <w:link w:val="Heading3Char"/>
    <w:uiPriority w:val="9"/>
    <w:qFormat/>
    <w:rsid w:val="003C3CB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zpyqfadein">
    <w:name w:val="bz_pyq_fadein"/>
    <w:basedOn w:val="DefaultParagraphFont"/>
    <w:rsid w:val="002F223A"/>
  </w:style>
  <w:style w:type="paragraph" w:styleId="NormalWeb">
    <w:name w:val="Normal (Web)"/>
    <w:basedOn w:val="Normal"/>
    <w:uiPriority w:val="99"/>
    <w:unhideWhenUsed/>
    <w:rsid w:val="0000286E"/>
    <w:rPr>
      <w:rFonts w:ascii="Times New Roman" w:hAnsi="Times New Roman" w:cs="Times New Roman"/>
      <w:sz w:val="24"/>
      <w:szCs w:val="24"/>
    </w:rPr>
  </w:style>
  <w:style w:type="character" w:styleId="Hyperlink">
    <w:name w:val="Hyperlink"/>
    <w:basedOn w:val="DefaultParagraphFont"/>
    <w:uiPriority w:val="99"/>
    <w:unhideWhenUsed/>
    <w:rsid w:val="00926326"/>
    <w:rPr>
      <w:color w:val="0000FF" w:themeColor="hyperlink"/>
      <w:u w:val="single"/>
    </w:rPr>
  </w:style>
  <w:style w:type="paragraph" w:styleId="ListParagraph">
    <w:name w:val="List Paragraph"/>
    <w:basedOn w:val="Normal"/>
    <w:uiPriority w:val="34"/>
    <w:qFormat/>
    <w:rsid w:val="005C0ABA"/>
    <w:pPr>
      <w:ind w:left="720"/>
      <w:contextualSpacing/>
    </w:pPr>
  </w:style>
  <w:style w:type="paragraph" w:styleId="BalloonText">
    <w:name w:val="Balloon Text"/>
    <w:basedOn w:val="Normal"/>
    <w:link w:val="BalloonTextChar"/>
    <w:uiPriority w:val="99"/>
    <w:semiHidden/>
    <w:unhideWhenUsed/>
    <w:rsid w:val="00F97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D7D"/>
    <w:rPr>
      <w:rFonts w:ascii="Tahoma" w:hAnsi="Tahoma" w:cs="Tahoma"/>
      <w:sz w:val="16"/>
      <w:szCs w:val="16"/>
      <w:lang w:val="en-IN"/>
    </w:rPr>
  </w:style>
  <w:style w:type="character" w:styleId="Strong">
    <w:name w:val="Strong"/>
    <w:basedOn w:val="DefaultParagraphFont"/>
    <w:uiPriority w:val="22"/>
    <w:qFormat/>
    <w:rsid w:val="00C92073"/>
    <w:rPr>
      <w:b/>
      <w:bCs/>
    </w:rPr>
  </w:style>
  <w:style w:type="character" w:styleId="Emphasis">
    <w:name w:val="Emphasis"/>
    <w:basedOn w:val="DefaultParagraphFont"/>
    <w:uiPriority w:val="20"/>
    <w:qFormat/>
    <w:rsid w:val="00E32A69"/>
    <w:rPr>
      <w:i/>
      <w:iCs/>
    </w:rPr>
  </w:style>
  <w:style w:type="paragraph" w:customStyle="1" w:styleId="ReferHead">
    <w:name w:val="Refer Head"/>
    <w:basedOn w:val="Normal"/>
    <w:rsid w:val="000D7699"/>
    <w:pPr>
      <w:keepNext/>
      <w:spacing w:after="240" w:line="240" w:lineRule="auto"/>
    </w:pPr>
    <w:rPr>
      <w:rFonts w:ascii="Helvetica" w:eastAsia="Times New Roman" w:hAnsi="Helvetica" w:cs="Times New Roman"/>
      <w:b/>
      <w:caps/>
      <w:szCs w:val="20"/>
      <w:lang w:val="en-US"/>
    </w:rPr>
  </w:style>
  <w:style w:type="character" w:customStyle="1" w:styleId="Heading3Char">
    <w:name w:val="Heading 3 Char"/>
    <w:basedOn w:val="DefaultParagraphFont"/>
    <w:link w:val="Heading3"/>
    <w:uiPriority w:val="9"/>
    <w:rsid w:val="003C3CBA"/>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981272"/>
    <w:rPr>
      <w:color w:val="800080" w:themeColor="followedHyperlink"/>
      <w:u w:val="single"/>
    </w:rPr>
  </w:style>
  <w:style w:type="paragraph" w:styleId="Header">
    <w:name w:val="header"/>
    <w:basedOn w:val="Normal"/>
    <w:link w:val="HeaderChar"/>
    <w:uiPriority w:val="99"/>
    <w:unhideWhenUsed/>
    <w:rsid w:val="00333A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AD1"/>
    <w:rPr>
      <w:lang w:val="en-IN"/>
    </w:rPr>
  </w:style>
  <w:style w:type="paragraph" w:styleId="Footer">
    <w:name w:val="footer"/>
    <w:basedOn w:val="Normal"/>
    <w:link w:val="FooterChar"/>
    <w:uiPriority w:val="99"/>
    <w:unhideWhenUsed/>
    <w:rsid w:val="00333A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AD1"/>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23649">
      <w:bodyDiv w:val="1"/>
      <w:marLeft w:val="0"/>
      <w:marRight w:val="0"/>
      <w:marTop w:val="0"/>
      <w:marBottom w:val="0"/>
      <w:divBdr>
        <w:top w:val="none" w:sz="0" w:space="0" w:color="auto"/>
        <w:left w:val="none" w:sz="0" w:space="0" w:color="auto"/>
        <w:bottom w:val="none" w:sz="0" w:space="0" w:color="auto"/>
        <w:right w:val="none" w:sz="0" w:space="0" w:color="auto"/>
      </w:divBdr>
    </w:div>
    <w:div w:id="81535098">
      <w:bodyDiv w:val="1"/>
      <w:marLeft w:val="0"/>
      <w:marRight w:val="0"/>
      <w:marTop w:val="0"/>
      <w:marBottom w:val="0"/>
      <w:divBdr>
        <w:top w:val="none" w:sz="0" w:space="0" w:color="auto"/>
        <w:left w:val="none" w:sz="0" w:space="0" w:color="auto"/>
        <w:bottom w:val="none" w:sz="0" w:space="0" w:color="auto"/>
        <w:right w:val="none" w:sz="0" w:space="0" w:color="auto"/>
      </w:divBdr>
    </w:div>
    <w:div w:id="82920049">
      <w:bodyDiv w:val="1"/>
      <w:marLeft w:val="0"/>
      <w:marRight w:val="0"/>
      <w:marTop w:val="0"/>
      <w:marBottom w:val="0"/>
      <w:divBdr>
        <w:top w:val="none" w:sz="0" w:space="0" w:color="auto"/>
        <w:left w:val="none" w:sz="0" w:space="0" w:color="auto"/>
        <w:bottom w:val="none" w:sz="0" w:space="0" w:color="auto"/>
        <w:right w:val="none" w:sz="0" w:space="0" w:color="auto"/>
      </w:divBdr>
    </w:div>
    <w:div w:id="86317722">
      <w:bodyDiv w:val="1"/>
      <w:marLeft w:val="0"/>
      <w:marRight w:val="0"/>
      <w:marTop w:val="0"/>
      <w:marBottom w:val="0"/>
      <w:divBdr>
        <w:top w:val="none" w:sz="0" w:space="0" w:color="auto"/>
        <w:left w:val="none" w:sz="0" w:space="0" w:color="auto"/>
        <w:bottom w:val="none" w:sz="0" w:space="0" w:color="auto"/>
        <w:right w:val="none" w:sz="0" w:space="0" w:color="auto"/>
      </w:divBdr>
      <w:divsChild>
        <w:div w:id="990715940">
          <w:marLeft w:val="0"/>
          <w:marRight w:val="0"/>
          <w:marTop w:val="0"/>
          <w:marBottom w:val="0"/>
          <w:divBdr>
            <w:top w:val="none" w:sz="0" w:space="0" w:color="auto"/>
            <w:left w:val="none" w:sz="0" w:space="0" w:color="auto"/>
            <w:bottom w:val="none" w:sz="0" w:space="0" w:color="auto"/>
            <w:right w:val="none" w:sz="0" w:space="0" w:color="auto"/>
          </w:divBdr>
          <w:divsChild>
            <w:div w:id="434591758">
              <w:marLeft w:val="0"/>
              <w:marRight w:val="0"/>
              <w:marTop w:val="0"/>
              <w:marBottom w:val="0"/>
              <w:divBdr>
                <w:top w:val="none" w:sz="0" w:space="0" w:color="auto"/>
                <w:left w:val="none" w:sz="0" w:space="0" w:color="auto"/>
                <w:bottom w:val="none" w:sz="0" w:space="0" w:color="auto"/>
                <w:right w:val="none" w:sz="0" w:space="0" w:color="auto"/>
              </w:divBdr>
              <w:divsChild>
                <w:div w:id="13142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602">
      <w:bodyDiv w:val="1"/>
      <w:marLeft w:val="0"/>
      <w:marRight w:val="0"/>
      <w:marTop w:val="0"/>
      <w:marBottom w:val="0"/>
      <w:divBdr>
        <w:top w:val="none" w:sz="0" w:space="0" w:color="auto"/>
        <w:left w:val="none" w:sz="0" w:space="0" w:color="auto"/>
        <w:bottom w:val="none" w:sz="0" w:space="0" w:color="auto"/>
        <w:right w:val="none" w:sz="0" w:space="0" w:color="auto"/>
      </w:divBdr>
    </w:div>
    <w:div w:id="130563506">
      <w:bodyDiv w:val="1"/>
      <w:marLeft w:val="0"/>
      <w:marRight w:val="0"/>
      <w:marTop w:val="0"/>
      <w:marBottom w:val="0"/>
      <w:divBdr>
        <w:top w:val="none" w:sz="0" w:space="0" w:color="auto"/>
        <w:left w:val="none" w:sz="0" w:space="0" w:color="auto"/>
        <w:bottom w:val="none" w:sz="0" w:space="0" w:color="auto"/>
        <w:right w:val="none" w:sz="0" w:space="0" w:color="auto"/>
      </w:divBdr>
    </w:div>
    <w:div w:id="190923699">
      <w:bodyDiv w:val="1"/>
      <w:marLeft w:val="0"/>
      <w:marRight w:val="0"/>
      <w:marTop w:val="0"/>
      <w:marBottom w:val="0"/>
      <w:divBdr>
        <w:top w:val="none" w:sz="0" w:space="0" w:color="auto"/>
        <w:left w:val="none" w:sz="0" w:space="0" w:color="auto"/>
        <w:bottom w:val="none" w:sz="0" w:space="0" w:color="auto"/>
        <w:right w:val="none" w:sz="0" w:space="0" w:color="auto"/>
      </w:divBdr>
    </w:div>
    <w:div w:id="306083238">
      <w:bodyDiv w:val="1"/>
      <w:marLeft w:val="0"/>
      <w:marRight w:val="0"/>
      <w:marTop w:val="0"/>
      <w:marBottom w:val="0"/>
      <w:divBdr>
        <w:top w:val="none" w:sz="0" w:space="0" w:color="auto"/>
        <w:left w:val="none" w:sz="0" w:space="0" w:color="auto"/>
        <w:bottom w:val="none" w:sz="0" w:space="0" w:color="auto"/>
        <w:right w:val="none" w:sz="0" w:space="0" w:color="auto"/>
      </w:divBdr>
    </w:div>
    <w:div w:id="321930103">
      <w:bodyDiv w:val="1"/>
      <w:marLeft w:val="0"/>
      <w:marRight w:val="0"/>
      <w:marTop w:val="0"/>
      <w:marBottom w:val="0"/>
      <w:divBdr>
        <w:top w:val="none" w:sz="0" w:space="0" w:color="auto"/>
        <w:left w:val="none" w:sz="0" w:space="0" w:color="auto"/>
        <w:bottom w:val="none" w:sz="0" w:space="0" w:color="auto"/>
        <w:right w:val="none" w:sz="0" w:space="0" w:color="auto"/>
      </w:divBdr>
      <w:divsChild>
        <w:div w:id="107622731">
          <w:marLeft w:val="0"/>
          <w:marRight w:val="0"/>
          <w:marTop w:val="0"/>
          <w:marBottom w:val="0"/>
          <w:divBdr>
            <w:top w:val="none" w:sz="0" w:space="0" w:color="auto"/>
            <w:left w:val="none" w:sz="0" w:space="0" w:color="auto"/>
            <w:bottom w:val="none" w:sz="0" w:space="0" w:color="auto"/>
            <w:right w:val="none" w:sz="0" w:space="0" w:color="auto"/>
          </w:divBdr>
          <w:divsChild>
            <w:div w:id="1708488662">
              <w:marLeft w:val="0"/>
              <w:marRight w:val="0"/>
              <w:marTop w:val="0"/>
              <w:marBottom w:val="0"/>
              <w:divBdr>
                <w:top w:val="none" w:sz="0" w:space="0" w:color="auto"/>
                <w:left w:val="none" w:sz="0" w:space="0" w:color="auto"/>
                <w:bottom w:val="none" w:sz="0" w:space="0" w:color="auto"/>
                <w:right w:val="none" w:sz="0" w:space="0" w:color="auto"/>
              </w:divBdr>
              <w:divsChild>
                <w:div w:id="20127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2059">
      <w:bodyDiv w:val="1"/>
      <w:marLeft w:val="0"/>
      <w:marRight w:val="0"/>
      <w:marTop w:val="0"/>
      <w:marBottom w:val="0"/>
      <w:divBdr>
        <w:top w:val="none" w:sz="0" w:space="0" w:color="auto"/>
        <w:left w:val="none" w:sz="0" w:space="0" w:color="auto"/>
        <w:bottom w:val="none" w:sz="0" w:space="0" w:color="auto"/>
        <w:right w:val="none" w:sz="0" w:space="0" w:color="auto"/>
      </w:divBdr>
    </w:div>
    <w:div w:id="462817775">
      <w:bodyDiv w:val="1"/>
      <w:marLeft w:val="0"/>
      <w:marRight w:val="0"/>
      <w:marTop w:val="0"/>
      <w:marBottom w:val="0"/>
      <w:divBdr>
        <w:top w:val="none" w:sz="0" w:space="0" w:color="auto"/>
        <w:left w:val="none" w:sz="0" w:space="0" w:color="auto"/>
        <w:bottom w:val="none" w:sz="0" w:space="0" w:color="auto"/>
        <w:right w:val="none" w:sz="0" w:space="0" w:color="auto"/>
      </w:divBdr>
    </w:div>
    <w:div w:id="486822112">
      <w:bodyDiv w:val="1"/>
      <w:marLeft w:val="0"/>
      <w:marRight w:val="0"/>
      <w:marTop w:val="0"/>
      <w:marBottom w:val="0"/>
      <w:divBdr>
        <w:top w:val="none" w:sz="0" w:space="0" w:color="auto"/>
        <w:left w:val="none" w:sz="0" w:space="0" w:color="auto"/>
        <w:bottom w:val="none" w:sz="0" w:space="0" w:color="auto"/>
        <w:right w:val="none" w:sz="0" w:space="0" w:color="auto"/>
      </w:divBdr>
    </w:div>
    <w:div w:id="516043622">
      <w:bodyDiv w:val="1"/>
      <w:marLeft w:val="0"/>
      <w:marRight w:val="0"/>
      <w:marTop w:val="0"/>
      <w:marBottom w:val="0"/>
      <w:divBdr>
        <w:top w:val="none" w:sz="0" w:space="0" w:color="auto"/>
        <w:left w:val="none" w:sz="0" w:space="0" w:color="auto"/>
        <w:bottom w:val="none" w:sz="0" w:space="0" w:color="auto"/>
        <w:right w:val="none" w:sz="0" w:space="0" w:color="auto"/>
      </w:divBdr>
    </w:div>
    <w:div w:id="644091435">
      <w:bodyDiv w:val="1"/>
      <w:marLeft w:val="0"/>
      <w:marRight w:val="0"/>
      <w:marTop w:val="0"/>
      <w:marBottom w:val="0"/>
      <w:divBdr>
        <w:top w:val="none" w:sz="0" w:space="0" w:color="auto"/>
        <w:left w:val="none" w:sz="0" w:space="0" w:color="auto"/>
        <w:bottom w:val="none" w:sz="0" w:space="0" w:color="auto"/>
        <w:right w:val="none" w:sz="0" w:space="0" w:color="auto"/>
      </w:divBdr>
    </w:div>
    <w:div w:id="673611177">
      <w:bodyDiv w:val="1"/>
      <w:marLeft w:val="0"/>
      <w:marRight w:val="0"/>
      <w:marTop w:val="0"/>
      <w:marBottom w:val="0"/>
      <w:divBdr>
        <w:top w:val="none" w:sz="0" w:space="0" w:color="auto"/>
        <w:left w:val="none" w:sz="0" w:space="0" w:color="auto"/>
        <w:bottom w:val="none" w:sz="0" w:space="0" w:color="auto"/>
        <w:right w:val="none" w:sz="0" w:space="0" w:color="auto"/>
      </w:divBdr>
    </w:div>
    <w:div w:id="679625942">
      <w:bodyDiv w:val="1"/>
      <w:marLeft w:val="0"/>
      <w:marRight w:val="0"/>
      <w:marTop w:val="0"/>
      <w:marBottom w:val="0"/>
      <w:divBdr>
        <w:top w:val="none" w:sz="0" w:space="0" w:color="auto"/>
        <w:left w:val="none" w:sz="0" w:space="0" w:color="auto"/>
        <w:bottom w:val="none" w:sz="0" w:space="0" w:color="auto"/>
        <w:right w:val="none" w:sz="0" w:space="0" w:color="auto"/>
      </w:divBdr>
    </w:div>
    <w:div w:id="747649672">
      <w:bodyDiv w:val="1"/>
      <w:marLeft w:val="0"/>
      <w:marRight w:val="0"/>
      <w:marTop w:val="0"/>
      <w:marBottom w:val="0"/>
      <w:divBdr>
        <w:top w:val="none" w:sz="0" w:space="0" w:color="auto"/>
        <w:left w:val="none" w:sz="0" w:space="0" w:color="auto"/>
        <w:bottom w:val="none" w:sz="0" w:space="0" w:color="auto"/>
        <w:right w:val="none" w:sz="0" w:space="0" w:color="auto"/>
      </w:divBdr>
    </w:div>
    <w:div w:id="752630417">
      <w:bodyDiv w:val="1"/>
      <w:marLeft w:val="0"/>
      <w:marRight w:val="0"/>
      <w:marTop w:val="0"/>
      <w:marBottom w:val="0"/>
      <w:divBdr>
        <w:top w:val="none" w:sz="0" w:space="0" w:color="auto"/>
        <w:left w:val="none" w:sz="0" w:space="0" w:color="auto"/>
        <w:bottom w:val="none" w:sz="0" w:space="0" w:color="auto"/>
        <w:right w:val="none" w:sz="0" w:space="0" w:color="auto"/>
      </w:divBdr>
    </w:div>
    <w:div w:id="767044614">
      <w:bodyDiv w:val="1"/>
      <w:marLeft w:val="0"/>
      <w:marRight w:val="0"/>
      <w:marTop w:val="0"/>
      <w:marBottom w:val="0"/>
      <w:divBdr>
        <w:top w:val="none" w:sz="0" w:space="0" w:color="auto"/>
        <w:left w:val="none" w:sz="0" w:space="0" w:color="auto"/>
        <w:bottom w:val="none" w:sz="0" w:space="0" w:color="auto"/>
        <w:right w:val="none" w:sz="0" w:space="0" w:color="auto"/>
      </w:divBdr>
    </w:div>
    <w:div w:id="877546741">
      <w:bodyDiv w:val="1"/>
      <w:marLeft w:val="0"/>
      <w:marRight w:val="0"/>
      <w:marTop w:val="0"/>
      <w:marBottom w:val="0"/>
      <w:divBdr>
        <w:top w:val="none" w:sz="0" w:space="0" w:color="auto"/>
        <w:left w:val="none" w:sz="0" w:space="0" w:color="auto"/>
        <w:bottom w:val="none" w:sz="0" w:space="0" w:color="auto"/>
        <w:right w:val="none" w:sz="0" w:space="0" w:color="auto"/>
      </w:divBdr>
    </w:div>
    <w:div w:id="881140271">
      <w:bodyDiv w:val="1"/>
      <w:marLeft w:val="0"/>
      <w:marRight w:val="0"/>
      <w:marTop w:val="0"/>
      <w:marBottom w:val="0"/>
      <w:divBdr>
        <w:top w:val="none" w:sz="0" w:space="0" w:color="auto"/>
        <w:left w:val="none" w:sz="0" w:space="0" w:color="auto"/>
        <w:bottom w:val="none" w:sz="0" w:space="0" w:color="auto"/>
        <w:right w:val="none" w:sz="0" w:space="0" w:color="auto"/>
      </w:divBdr>
    </w:div>
    <w:div w:id="1012294158">
      <w:bodyDiv w:val="1"/>
      <w:marLeft w:val="0"/>
      <w:marRight w:val="0"/>
      <w:marTop w:val="0"/>
      <w:marBottom w:val="0"/>
      <w:divBdr>
        <w:top w:val="none" w:sz="0" w:space="0" w:color="auto"/>
        <w:left w:val="none" w:sz="0" w:space="0" w:color="auto"/>
        <w:bottom w:val="none" w:sz="0" w:space="0" w:color="auto"/>
        <w:right w:val="none" w:sz="0" w:space="0" w:color="auto"/>
      </w:divBdr>
    </w:div>
    <w:div w:id="1032608466">
      <w:bodyDiv w:val="1"/>
      <w:marLeft w:val="0"/>
      <w:marRight w:val="0"/>
      <w:marTop w:val="0"/>
      <w:marBottom w:val="0"/>
      <w:divBdr>
        <w:top w:val="none" w:sz="0" w:space="0" w:color="auto"/>
        <w:left w:val="none" w:sz="0" w:space="0" w:color="auto"/>
        <w:bottom w:val="none" w:sz="0" w:space="0" w:color="auto"/>
        <w:right w:val="none" w:sz="0" w:space="0" w:color="auto"/>
      </w:divBdr>
    </w:div>
    <w:div w:id="1073159741">
      <w:bodyDiv w:val="1"/>
      <w:marLeft w:val="0"/>
      <w:marRight w:val="0"/>
      <w:marTop w:val="0"/>
      <w:marBottom w:val="0"/>
      <w:divBdr>
        <w:top w:val="none" w:sz="0" w:space="0" w:color="auto"/>
        <w:left w:val="none" w:sz="0" w:space="0" w:color="auto"/>
        <w:bottom w:val="none" w:sz="0" w:space="0" w:color="auto"/>
        <w:right w:val="none" w:sz="0" w:space="0" w:color="auto"/>
      </w:divBdr>
    </w:div>
    <w:div w:id="1111777885">
      <w:bodyDiv w:val="1"/>
      <w:marLeft w:val="0"/>
      <w:marRight w:val="0"/>
      <w:marTop w:val="0"/>
      <w:marBottom w:val="0"/>
      <w:divBdr>
        <w:top w:val="none" w:sz="0" w:space="0" w:color="auto"/>
        <w:left w:val="none" w:sz="0" w:space="0" w:color="auto"/>
        <w:bottom w:val="none" w:sz="0" w:space="0" w:color="auto"/>
        <w:right w:val="none" w:sz="0" w:space="0" w:color="auto"/>
      </w:divBdr>
    </w:div>
    <w:div w:id="1137526860">
      <w:bodyDiv w:val="1"/>
      <w:marLeft w:val="0"/>
      <w:marRight w:val="0"/>
      <w:marTop w:val="0"/>
      <w:marBottom w:val="0"/>
      <w:divBdr>
        <w:top w:val="none" w:sz="0" w:space="0" w:color="auto"/>
        <w:left w:val="none" w:sz="0" w:space="0" w:color="auto"/>
        <w:bottom w:val="none" w:sz="0" w:space="0" w:color="auto"/>
        <w:right w:val="none" w:sz="0" w:space="0" w:color="auto"/>
      </w:divBdr>
    </w:div>
    <w:div w:id="1172833793">
      <w:bodyDiv w:val="1"/>
      <w:marLeft w:val="0"/>
      <w:marRight w:val="0"/>
      <w:marTop w:val="0"/>
      <w:marBottom w:val="0"/>
      <w:divBdr>
        <w:top w:val="none" w:sz="0" w:space="0" w:color="auto"/>
        <w:left w:val="none" w:sz="0" w:space="0" w:color="auto"/>
        <w:bottom w:val="none" w:sz="0" w:space="0" w:color="auto"/>
        <w:right w:val="none" w:sz="0" w:space="0" w:color="auto"/>
      </w:divBdr>
    </w:div>
    <w:div w:id="1318725849">
      <w:bodyDiv w:val="1"/>
      <w:marLeft w:val="0"/>
      <w:marRight w:val="0"/>
      <w:marTop w:val="0"/>
      <w:marBottom w:val="0"/>
      <w:divBdr>
        <w:top w:val="none" w:sz="0" w:space="0" w:color="auto"/>
        <w:left w:val="none" w:sz="0" w:space="0" w:color="auto"/>
        <w:bottom w:val="none" w:sz="0" w:space="0" w:color="auto"/>
        <w:right w:val="none" w:sz="0" w:space="0" w:color="auto"/>
      </w:divBdr>
    </w:div>
    <w:div w:id="1399135053">
      <w:bodyDiv w:val="1"/>
      <w:marLeft w:val="0"/>
      <w:marRight w:val="0"/>
      <w:marTop w:val="0"/>
      <w:marBottom w:val="0"/>
      <w:divBdr>
        <w:top w:val="none" w:sz="0" w:space="0" w:color="auto"/>
        <w:left w:val="none" w:sz="0" w:space="0" w:color="auto"/>
        <w:bottom w:val="none" w:sz="0" w:space="0" w:color="auto"/>
        <w:right w:val="none" w:sz="0" w:space="0" w:color="auto"/>
      </w:divBdr>
    </w:div>
    <w:div w:id="1438940498">
      <w:bodyDiv w:val="1"/>
      <w:marLeft w:val="0"/>
      <w:marRight w:val="0"/>
      <w:marTop w:val="0"/>
      <w:marBottom w:val="0"/>
      <w:divBdr>
        <w:top w:val="none" w:sz="0" w:space="0" w:color="auto"/>
        <w:left w:val="none" w:sz="0" w:space="0" w:color="auto"/>
        <w:bottom w:val="none" w:sz="0" w:space="0" w:color="auto"/>
        <w:right w:val="none" w:sz="0" w:space="0" w:color="auto"/>
      </w:divBdr>
    </w:div>
    <w:div w:id="1445686890">
      <w:bodyDiv w:val="1"/>
      <w:marLeft w:val="0"/>
      <w:marRight w:val="0"/>
      <w:marTop w:val="0"/>
      <w:marBottom w:val="0"/>
      <w:divBdr>
        <w:top w:val="none" w:sz="0" w:space="0" w:color="auto"/>
        <w:left w:val="none" w:sz="0" w:space="0" w:color="auto"/>
        <w:bottom w:val="none" w:sz="0" w:space="0" w:color="auto"/>
        <w:right w:val="none" w:sz="0" w:space="0" w:color="auto"/>
      </w:divBdr>
    </w:div>
    <w:div w:id="1468622089">
      <w:bodyDiv w:val="1"/>
      <w:marLeft w:val="0"/>
      <w:marRight w:val="0"/>
      <w:marTop w:val="0"/>
      <w:marBottom w:val="0"/>
      <w:divBdr>
        <w:top w:val="none" w:sz="0" w:space="0" w:color="auto"/>
        <w:left w:val="none" w:sz="0" w:space="0" w:color="auto"/>
        <w:bottom w:val="none" w:sz="0" w:space="0" w:color="auto"/>
        <w:right w:val="none" w:sz="0" w:space="0" w:color="auto"/>
      </w:divBdr>
    </w:div>
    <w:div w:id="1595553875">
      <w:bodyDiv w:val="1"/>
      <w:marLeft w:val="0"/>
      <w:marRight w:val="0"/>
      <w:marTop w:val="0"/>
      <w:marBottom w:val="0"/>
      <w:divBdr>
        <w:top w:val="none" w:sz="0" w:space="0" w:color="auto"/>
        <w:left w:val="none" w:sz="0" w:space="0" w:color="auto"/>
        <w:bottom w:val="none" w:sz="0" w:space="0" w:color="auto"/>
        <w:right w:val="none" w:sz="0" w:space="0" w:color="auto"/>
      </w:divBdr>
    </w:div>
    <w:div w:id="1691761561">
      <w:bodyDiv w:val="1"/>
      <w:marLeft w:val="0"/>
      <w:marRight w:val="0"/>
      <w:marTop w:val="0"/>
      <w:marBottom w:val="0"/>
      <w:divBdr>
        <w:top w:val="none" w:sz="0" w:space="0" w:color="auto"/>
        <w:left w:val="none" w:sz="0" w:space="0" w:color="auto"/>
        <w:bottom w:val="none" w:sz="0" w:space="0" w:color="auto"/>
        <w:right w:val="none" w:sz="0" w:space="0" w:color="auto"/>
      </w:divBdr>
    </w:div>
    <w:div w:id="1715421329">
      <w:bodyDiv w:val="1"/>
      <w:marLeft w:val="0"/>
      <w:marRight w:val="0"/>
      <w:marTop w:val="0"/>
      <w:marBottom w:val="0"/>
      <w:divBdr>
        <w:top w:val="none" w:sz="0" w:space="0" w:color="auto"/>
        <w:left w:val="none" w:sz="0" w:space="0" w:color="auto"/>
        <w:bottom w:val="none" w:sz="0" w:space="0" w:color="auto"/>
        <w:right w:val="none" w:sz="0" w:space="0" w:color="auto"/>
      </w:divBdr>
    </w:div>
    <w:div w:id="1840542199">
      <w:bodyDiv w:val="1"/>
      <w:marLeft w:val="0"/>
      <w:marRight w:val="0"/>
      <w:marTop w:val="0"/>
      <w:marBottom w:val="0"/>
      <w:divBdr>
        <w:top w:val="none" w:sz="0" w:space="0" w:color="auto"/>
        <w:left w:val="none" w:sz="0" w:space="0" w:color="auto"/>
        <w:bottom w:val="none" w:sz="0" w:space="0" w:color="auto"/>
        <w:right w:val="none" w:sz="0" w:space="0" w:color="auto"/>
      </w:divBdr>
    </w:div>
    <w:div w:id="1873034933">
      <w:bodyDiv w:val="1"/>
      <w:marLeft w:val="0"/>
      <w:marRight w:val="0"/>
      <w:marTop w:val="0"/>
      <w:marBottom w:val="0"/>
      <w:divBdr>
        <w:top w:val="none" w:sz="0" w:space="0" w:color="auto"/>
        <w:left w:val="none" w:sz="0" w:space="0" w:color="auto"/>
        <w:bottom w:val="none" w:sz="0" w:space="0" w:color="auto"/>
        <w:right w:val="none" w:sz="0" w:space="0" w:color="auto"/>
      </w:divBdr>
    </w:div>
    <w:div w:id="1890140834">
      <w:bodyDiv w:val="1"/>
      <w:marLeft w:val="0"/>
      <w:marRight w:val="0"/>
      <w:marTop w:val="0"/>
      <w:marBottom w:val="0"/>
      <w:divBdr>
        <w:top w:val="none" w:sz="0" w:space="0" w:color="auto"/>
        <w:left w:val="none" w:sz="0" w:space="0" w:color="auto"/>
        <w:bottom w:val="none" w:sz="0" w:space="0" w:color="auto"/>
        <w:right w:val="none" w:sz="0" w:space="0" w:color="auto"/>
      </w:divBdr>
    </w:div>
    <w:div w:id="1896312102">
      <w:bodyDiv w:val="1"/>
      <w:marLeft w:val="0"/>
      <w:marRight w:val="0"/>
      <w:marTop w:val="0"/>
      <w:marBottom w:val="0"/>
      <w:divBdr>
        <w:top w:val="none" w:sz="0" w:space="0" w:color="auto"/>
        <w:left w:val="none" w:sz="0" w:space="0" w:color="auto"/>
        <w:bottom w:val="none" w:sz="0" w:space="0" w:color="auto"/>
        <w:right w:val="none" w:sz="0" w:space="0" w:color="auto"/>
      </w:divBdr>
    </w:div>
    <w:div w:id="2003198976">
      <w:bodyDiv w:val="1"/>
      <w:marLeft w:val="0"/>
      <w:marRight w:val="0"/>
      <w:marTop w:val="0"/>
      <w:marBottom w:val="0"/>
      <w:divBdr>
        <w:top w:val="none" w:sz="0" w:space="0" w:color="auto"/>
        <w:left w:val="none" w:sz="0" w:space="0" w:color="auto"/>
        <w:bottom w:val="none" w:sz="0" w:space="0" w:color="auto"/>
        <w:right w:val="none" w:sz="0" w:space="0" w:color="auto"/>
      </w:divBdr>
    </w:div>
    <w:div w:id="2025788019">
      <w:bodyDiv w:val="1"/>
      <w:marLeft w:val="0"/>
      <w:marRight w:val="0"/>
      <w:marTop w:val="0"/>
      <w:marBottom w:val="0"/>
      <w:divBdr>
        <w:top w:val="none" w:sz="0" w:space="0" w:color="auto"/>
        <w:left w:val="none" w:sz="0" w:space="0" w:color="auto"/>
        <w:bottom w:val="none" w:sz="0" w:space="0" w:color="auto"/>
        <w:right w:val="none" w:sz="0" w:space="0" w:color="auto"/>
      </w:divBdr>
    </w:div>
    <w:div w:id="2033215616">
      <w:bodyDiv w:val="1"/>
      <w:marLeft w:val="0"/>
      <w:marRight w:val="0"/>
      <w:marTop w:val="0"/>
      <w:marBottom w:val="0"/>
      <w:divBdr>
        <w:top w:val="none" w:sz="0" w:space="0" w:color="auto"/>
        <w:left w:val="none" w:sz="0" w:space="0" w:color="auto"/>
        <w:bottom w:val="none" w:sz="0" w:space="0" w:color="auto"/>
        <w:right w:val="none" w:sz="0" w:space="0" w:color="auto"/>
      </w:divBdr>
    </w:div>
    <w:div w:id="2123187247">
      <w:bodyDiv w:val="1"/>
      <w:marLeft w:val="0"/>
      <w:marRight w:val="0"/>
      <w:marTop w:val="0"/>
      <w:marBottom w:val="0"/>
      <w:divBdr>
        <w:top w:val="none" w:sz="0" w:space="0" w:color="auto"/>
        <w:left w:val="none" w:sz="0" w:space="0" w:color="auto"/>
        <w:bottom w:val="none" w:sz="0" w:space="0" w:color="auto"/>
        <w:right w:val="none" w:sz="0" w:space="0" w:color="auto"/>
      </w:divBdr>
    </w:div>
    <w:div w:id="214265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1111/vde.12440"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doi.org/10.1111/vde.12118"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vde.12809"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1096</TotalTime>
  <Pages>6</Pages>
  <Words>2616</Words>
  <Characters>14912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tyson</dc:creator>
  <cp:lastModifiedBy>SDI 1166</cp:lastModifiedBy>
  <cp:revision>296</cp:revision>
  <dcterms:created xsi:type="dcterms:W3CDTF">2025-05-06T11:12:00Z</dcterms:created>
  <dcterms:modified xsi:type="dcterms:W3CDTF">2026-04-04T12:03:00Z</dcterms:modified>
</cp:coreProperties>
</file>