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9F3DA" w14:textId="77E98C08" w:rsidR="00134559" w:rsidRPr="00134559" w:rsidRDefault="00134559" w:rsidP="00134559">
      <w:pPr>
        <w:pStyle w:val="Title"/>
        <w:jc w:val="both"/>
        <w:rPr>
          <w:rFonts w:ascii="Arial" w:hAnsi="Arial" w:cs="Arial"/>
          <w:bCs/>
          <w:i/>
          <w:iCs/>
          <w:u w:val="single"/>
        </w:rPr>
      </w:pPr>
      <w:r w:rsidRPr="00134559">
        <w:rPr>
          <w:rFonts w:ascii="Arial" w:hAnsi="Arial" w:cs="Arial"/>
          <w:bCs/>
          <w:i/>
          <w:iCs/>
          <w:u w:val="single"/>
        </w:rPr>
        <w:t>Original Research Article</w:t>
      </w:r>
    </w:p>
    <w:p w14:paraId="03FFCD05" w14:textId="77777777" w:rsidR="00754C9A" w:rsidRDefault="00754C9A" w:rsidP="00441B6F">
      <w:pPr>
        <w:pStyle w:val="Title"/>
        <w:spacing w:after="0"/>
        <w:jc w:val="both"/>
        <w:rPr>
          <w:rFonts w:ascii="Arial" w:hAnsi="Arial" w:cs="Arial"/>
        </w:rPr>
      </w:pPr>
    </w:p>
    <w:p w14:paraId="0E25B28D" w14:textId="77777777" w:rsidR="004262FB" w:rsidRPr="004262FB" w:rsidRDefault="004262FB" w:rsidP="004262FB">
      <w:pPr>
        <w:pStyle w:val="Author"/>
        <w:spacing w:line="240" w:lineRule="auto"/>
        <w:rPr>
          <w:rFonts w:ascii="Arial" w:hAnsi="Arial" w:cs="Arial"/>
          <w:bCs/>
          <w:iCs/>
          <w:kern w:val="28"/>
          <w:sz w:val="36"/>
          <w:lang w:val="en"/>
        </w:rPr>
      </w:pPr>
      <w:r w:rsidRPr="004262FB">
        <w:rPr>
          <w:rFonts w:ascii="Arial" w:hAnsi="Arial" w:cs="Arial"/>
          <w:bCs/>
          <w:iCs/>
          <w:kern w:val="28"/>
          <w:sz w:val="36"/>
          <w:lang w:val="en"/>
        </w:rPr>
        <w:t xml:space="preserve">Endogenous knowledge and traditional use of </w:t>
      </w:r>
      <w:proofErr w:type="spellStart"/>
      <w:r w:rsidRPr="004262FB">
        <w:rPr>
          <w:rFonts w:ascii="Arial" w:hAnsi="Arial" w:cs="Arial"/>
          <w:bCs/>
          <w:i/>
          <w:iCs/>
          <w:kern w:val="28"/>
          <w:sz w:val="36"/>
          <w:lang w:val="en"/>
        </w:rPr>
        <w:t>Ceasalpinia</w:t>
      </w:r>
      <w:proofErr w:type="spellEnd"/>
      <w:r w:rsidRPr="004262FB">
        <w:rPr>
          <w:rFonts w:ascii="Arial" w:hAnsi="Arial" w:cs="Arial"/>
          <w:bCs/>
          <w:i/>
          <w:iCs/>
          <w:kern w:val="28"/>
          <w:sz w:val="36"/>
          <w:lang w:val="en"/>
        </w:rPr>
        <w:t xml:space="preserve"> </w:t>
      </w:r>
      <w:proofErr w:type="spellStart"/>
      <w:r w:rsidRPr="004262FB">
        <w:rPr>
          <w:rFonts w:ascii="Arial" w:hAnsi="Arial" w:cs="Arial"/>
          <w:bCs/>
          <w:i/>
          <w:iCs/>
          <w:kern w:val="28"/>
          <w:sz w:val="36"/>
          <w:lang w:val="en"/>
        </w:rPr>
        <w:t>pulcherrima</w:t>
      </w:r>
      <w:proofErr w:type="spellEnd"/>
      <w:r w:rsidRPr="004262FB">
        <w:rPr>
          <w:rFonts w:ascii="Arial" w:hAnsi="Arial" w:cs="Arial"/>
          <w:bCs/>
          <w:iCs/>
          <w:kern w:val="28"/>
          <w:sz w:val="36"/>
          <w:lang w:val="en"/>
        </w:rPr>
        <w:t xml:space="preserve"> genetic resources in southern Benin</w:t>
      </w:r>
    </w:p>
    <w:p w14:paraId="61D2ED2C" w14:textId="77777777" w:rsidR="00A258C3" w:rsidRPr="00790ADA" w:rsidRDefault="00A258C3" w:rsidP="00441B6F">
      <w:pPr>
        <w:pStyle w:val="Author"/>
        <w:spacing w:line="240" w:lineRule="auto"/>
        <w:jc w:val="both"/>
        <w:rPr>
          <w:rFonts w:ascii="Arial" w:hAnsi="Arial" w:cs="Arial"/>
          <w:sz w:val="36"/>
        </w:rPr>
      </w:pPr>
    </w:p>
    <w:p w14:paraId="6C85762D" w14:textId="77777777" w:rsidR="000F6F74" w:rsidRDefault="000F6F74" w:rsidP="00441B6F">
      <w:pPr>
        <w:pStyle w:val="Affiliation"/>
        <w:spacing w:after="0" w:line="240" w:lineRule="auto"/>
        <w:rPr>
          <w:rFonts w:ascii="Arial" w:hAnsi="Arial" w:cs="Arial"/>
          <w:i/>
          <w:lang w:val="es-AR"/>
        </w:rPr>
      </w:pPr>
    </w:p>
    <w:p w14:paraId="221F9060" w14:textId="77777777" w:rsidR="000F6F74" w:rsidRDefault="000F6F74" w:rsidP="00441B6F">
      <w:pPr>
        <w:pStyle w:val="Affiliation"/>
        <w:spacing w:after="0" w:line="240" w:lineRule="auto"/>
        <w:rPr>
          <w:rFonts w:ascii="Arial" w:hAnsi="Arial" w:cs="Arial"/>
          <w:i/>
          <w:lang w:val="es-AR"/>
        </w:rPr>
      </w:pPr>
    </w:p>
    <w:p w14:paraId="027B2ECB" w14:textId="77777777" w:rsidR="000F6F74" w:rsidRDefault="000F6F74" w:rsidP="00441B6F">
      <w:pPr>
        <w:pStyle w:val="Affiliation"/>
        <w:spacing w:after="0" w:line="240" w:lineRule="auto"/>
        <w:rPr>
          <w:rFonts w:ascii="Arial" w:hAnsi="Arial" w:cs="Arial"/>
          <w:i/>
          <w:lang w:val="es-AR"/>
        </w:rPr>
      </w:pPr>
    </w:p>
    <w:p w14:paraId="145A70A7" w14:textId="77777777" w:rsidR="000F6F74" w:rsidRDefault="000F6F74" w:rsidP="00441B6F">
      <w:pPr>
        <w:pStyle w:val="Affiliation"/>
        <w:spacing w:after="0" w:line="240" w:lineRule="auto"/>
        <w:rPr>
          <w:rFonts w:ascii="Arial" w:hAnsi="Arial" w:cs="Arial"/>
          <w:i/>
          <w:lang w:val="es-AR"/>
        </w:rPr>
      </w:pPr>
    </w:p>
    <w:p w14:paraId="647EB7CC" w14:textId="77777777" w:rsidR="000F6F74" w:rsidRDefault="000F6F74" w:rsidP="00441B6F">
      <w:pPr>
        <w:pStyle w:val="Affiliation"/>
        <w:spacing w:after="0" w:line="240" w:lineRule="auto"/>
        <w:rPr>
          <w:rFonts w:ascii="Arial" w:hAnsi="Arial" w:cs="Arial"/>
          <w:i/>
          <w:lang w:val="es-AR"/>
        </w:rPr>
      </w:pPr>
    </w:p>
    <w:p w14:paraId="5833A5C8" w14:textId="6CA080EB" w:rsidR="004262FB" w:rsidRPr="00765514" w:rsidRDefault="00426025" w:rsidP="00441B6F">
      <w:pPr>
        <w:pStyle w:val="Affiliation"/>
        <w:spacing w:after="0" w:line="240" w:lineRule="auto"/>
        <w:rPr>
          <w:rFonts w:ascii="Arial" w:hAnsi="Arial" w:cs="Arial"/>
          <w:i/>
          <w:lang w:val="es-AR"/>
        </w:rPr>
      </w:pPr>
      <w:r>
        <w:rPr>
          <w:rFonts w:ascii="Arial" w:hAnsi="Arial" w:cs="Arial"/>
          <w:i/>
          <w:lang w:val="es-AR"/>
        </w:rPr>
        <w:t xml:space="preserve"> </w:t>
      </w:r>
    </w:p>
    <w:p w14:paraId="4A34ABB4" w14:textId="77777777" w:rsidR="002C57D2" w:rsidRPr="00765514" w:rsidRDefault="002C57D2" w:rsidP="00441B6F">
      <w:pPr>
        <w:pStyle w:val="Affiliation"/>
        <w:spacing w:after="0" w:line="240" w:lineRule="auto"/>
        <w:jc w:val="both"/>
        <w:rPr>
          <w:rFonts w:ascii="Arial" w:hAnsi="Arial" w:cs="Arial"/>
          <w:lang w:val="es-AR"/>
        </w:rPr>
      </w:pPr>
    </w:p>
    <w:p w14:paraId="61ABE258" w14:textId="119E1683" w:rsidR="00B01FCD" w:rsidRPr="00FB3A86" w:rsidRDefault="00703E34" w:rsidP="00441B6F">
      <w:pPr>
        <w:pStyle w:val="Copyright"/>
        <w:spacing w:after="0" w:line="240" w:lineRule="auto"/>
        <w:jc w:val="both"/>
        <w:rPr>
          <w:rFonts w:ascii="Arial" w:hAnsi="Arial" w:cs="Arial"/>
        </w:rPr>
        <w:sectPr w:rsidR="00B01FCD" w:rsidRPr="00FB3A86" w:rsidSect="00926FB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EE71579" wp14:editId="6DC09EEF">
                <wp:extent cx="5303520" cy="635"/>
                <wp:effectExtent l="17145" t="10160" r="13335" b="18415"/>
                <wp:docPr id="11598575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74950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609B62" w14:textId="184159D5"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E802C5E" w14:textId="77777777" w:rsidTr="001E44FE">
        <w:tc>
          <w:tcPr>
            <w:tcW w:w="9576" w:type="dxa"/>
            <w:shd w:val="clear" w:color="auto" w:fill="F2F2F2"/>
          </w:tcPr>
          <w:p w14:paraId="093C4819" w14:textId="402B5D86" w:rsidR="00307F00" w:rsidRPr="00B96789" w:rsidRDefault="00307F00" w:rsidP="00307F00">
            <w:pPr>
              <w:pStyle w:val="Body"/>
              <w:spacing w:after="0"/>
              <w:rPr>
                <w:rFonts w:ascii="Arial" w:eastAsia="Calibri" w:hAnsi="Arial" w:cs="Arial"/>
                <w:lang w:val="en"/>
              </w:rPr>
            </w:pPr>
            <w:r w:rsidRPr="00B96789">
              <w:rPr>
                <w:rFonts w:ascii="Arial" w:eastAsia="Calibri" w:hAnsi="Arial" w:cs="Arial"/>
                <w:i/>
                <w:lang w:val="en"/>
              </w:rPr>
              <w:t xml:space="preserve">Caesalpinia pulcherrima </w:t>
            </w:r>
            <w:r w:rsidRPr="00B96789">
              <w:rPr>
                <w:rFonts w:ascii="Arial" w:eastAsia="Calibri" w:hAnsi="Arial" w:cs="Arial"/>
                <w:lang w:val="en"/>
              </w:rPr>
              <w:t xml:space="preserve">(L.) Sw. is an ornamental plant with medicinal properties native to tropical America and widely cultivated in sub-Saharan Africa. </w:t>
            </w:r>
            <w:r w:rsidR="00765514">
              <w:rPr>
                <w:rFonts w:ascii="Arial" w:eastAsia="Calibri" w:hAnsi="Arial" w:cs="Arial"/>
                <w:lang w:val="en"/>
              </w:rPr>
              <w:t>This study aimed</w:t>
            </w:r>
            <w:r w:rsidRPr="00B96789">
              <w:rPr>
                <w:rFonts w:ascii="Arial" w:eastAsia="Calibri" w:hAnsi="Arial" w:cs="Arial"/>
                <w:lang w:val="en"/>
              </w:rPr>
              <w:t xml:space="preserve"> to document local knowledge on the traditional use of </w:t>
            </w:r>
            <w:r w:rsidRPr="00B96789">
              <w:rPr>
                <w:rFonts w:ascii="Arial" w:eastAsia="Calibri" w:hAnsi="Arial" w:cs="Arial"/>
                <w:i/>
                <w:iCs/>
                <w:lang w:val="en"/>
              </w:rPr>
              <w:t xml:space="preserve">Caesalpinia pulcherrima </w:t>
            </w:r>
            <w:r w:rsidRPr="00B96789">
              <w:rPr>
                <w:rFonts w:ascii="Arial" w:eastAsia="Calibri" w:hAnsi="Arial" w:cs="Arial"/>
                <w:iCs/>
                <w:lang w:val="en"/>
              </w:rPr>
              <w:t>in southern Benin</w:t>
            </w:r>
            <w:r w:rsidRPr="00B96789">
              <w:rPr>
                <w:rFonts w:ascii="Arial" w:eastAsia="Calibri" w:hAnsi="Arial" w:cs="Arial"/>
                <w:i/>
                <w:iCs/>
                <w:lang w:val="en"/>
              </w:rPr>
              <w:t xml:space="preserve">. </w:t>
            </w:r>
            <w:r w:rsidRPr="00B96789">
              <w:rPr>
                <w:rFonts w:ascii="Arial" w:eastAsia="Calibri" w:hAnsi="Arial" w:cs="Arial"/>
                <w:iCs/>
                <w:lang w:val="en"/>
              </w:rPr>
              <w:t xml:space="preserve">Participatory research methods (PRM) were used to collect data in nine communes in southern Benin. A total of 116 individuals (herbalists and traditional healers) were interviewed. The results showed that the respondents were </w:t>
            </w:r>
            <w:r w:rsidRPr="00B96789">
              <w:rPr>
                <w:rFonts w:ascii="Arial" w:eastAsia="Calibri" w:hAnsi="Arial" w:cs="Arial"/>
                <w:lang w:val="en"/>
              </w:rPr>
              <w:t xml:space="preserve">predominantly women (83.6%) and Fon (81%), with a large proportion (69.8%) being illiterate. C. pulcherrima is used to treat around twenty ailments, with chronic infections (74.14%) being the most frequently cited, followed by ulcers (25%) and wounds (15.52%). The leaves (88.79%), roots (40.52%), and bark (32.76%) are the most commonly used parts, mainly in the form of decoctions (91.38%) and administered orally (98%) for the treatment of these various conditions. A Correspondence Analysis (CA) revealed a differentiation in uses </w:t>
            </w:r>
            <w:r w:rsidR="00765514">
              <w:rPr>
                <w:rFonts w:ascii="Arial" w:eastAsia="Calibri" w:hAnsi="Arial" w:cs="Arial"/>
                <w:lang w:val="en"/>
              </w:rPr>
              <w:t xml:space="preserve">of </w:t>
            </w:r>
            <w:r w:rsidRPr="00B96789">
              <w:rPr>
                <w:rFonts w:ascii="Arial" w:eastAsia="Calibri" w:hAnsi="Arial" w:cs="Arial"/>
                <w:lang w:val="en"/>
              </w:rPr>
              <w:t>leaves, roots, and stems</w:t>
            </w:r>
            <w:r w:rsidR="00765514">
              <w:rPr>
                <w:rFonts w:ascii="Arial" w:eastAsia="Calibri" w:hAnsi="Arial" w:cs="Arial"/>
                <w:lang w:val="en"/>
              </w:rPr>
              <w:t>, which</w:t>
            </w:r>
            <w:r w:rsidRPr="00B96789">
              <w:rPr>
                <w:rFonts w:ascii="Arial" w:eastAsia="Calibri" w:hAnsi="Arial" w:cs="Arial"/>
                <w:lang w:val="en"/>
              </w:rPr>
              <w:t xml:space="preserve"> are associated with gastrointestinal and neurological disorders (e.g., constipation, epilepsy), while flowers, fruits, seeds, and bark are used more often for infections, skin conditions, and malaria. However, the intensive use of roots and bark poses a risk to the conservation of the species. This primary study is essential for better utilizing the genetic resources of </w:t>
            </w:r>
            <w:r w:rsidRPr="00B96789">
              <w:rPr>
                <w:rFonts w:ascii="Arial" w:eastAsia="Calibri" w:hAnsi="Arial" w:cs="Arial"/>
                <w:i/>
                <w:iCs/>
                <w:lang w:val="en"/>
              </w:rPr>
              <w:t>C. pulcherrima</w:t>
            </w:r>
            <w:r w:rsidRPr="00B96789">
              <w:rPr>
                <w:rFonts w:ascii="Arial" w:eastAsia="Calibri" w:hAnsi="Arial" w:cs="Arial"/>
                <w:lang w:val="en"/>
              </w:rPr>
              <w:t>.</w:t>
            </w:r>
          </w:p>
          <w:p w14:paraId="471728AC" w14:textId="056AC8B2" w:rsidR="00505F06" w:rsidRPr="00BA1B01" w:rsidRDefault="00505F06" w:rsidP="00441B6F">
            <w:pPr>
              <w:pStyle w:val="Body"/>
              <w:spacing w:after="0"/>
              <w:rPr>
                <w:rFonts w:ascii="Arial" w:eastAsia="Calibri" w:hAnsi="Arial" w:cs="Arial"/>
                <w:szCs w:val="22"/>
              </w:rPr>
            </w:pPr>
          </w:p>
        </w:tc>
      </w:tr>
    </w:tbl>
    <w:p w14:paraId="763302D6" w14:textId="77777777" w:rsidR="00636EB2" w:rsidRDefault="00636EB2" w:rsidP="00441B6F">
      <w:pPr>
        <w:pStyle w:val="Body"/>
        <w:spacing w:after="0"/>
        <w:rPr>
          <w:rFonts w:ascii="Arial" w:hAnsi="Arial" w:cs="Arial"/>
          <w:i/>
        </w:rPr>
      </w:pPr>
    </w:p>
    <w:p w14:paraId="1E00D324" w14:textId="4B928BC9" w:rsidR="00A24E7E" w:rsidRDefault="00A24E7E" w:rsidP="00441B6F">
      <w:pPr>
        <w:pStyle w:val="Body"/>
        <w:spacing w:after="0"/>
        <w:rPr>
          <w:rFonts w:ascii="Arial" w:hAnsi="Arial" w:cs="Arial"/>
          <w:i/>
        </w:rPr>
      </w:pPr>
      <w:r>
        <w:rPr>
          <w:rFonts w:ascii="Arial" w:hAnsi="Arial" w:cs="Arial"/>
          <w:i/>
        </w:rPr>
        <w:t xml:space="preserve">Keywords: </w:t>
      </w:r>
      <w:r w:rsidR="007E7DCF" w:rsidRPr="007E7DCF">
        <w:rPr>
          <w:rFonts w:ascii="Arial" w:hAnsi="Arial" w:cs="Arial"/>
          <w:i/>
          <w:lang w:val="en"/>
        </w:rPr>
        <w:t xml:space="preserve">Ethnobotany, </w:t>
      </w:r>
      <w:r w:rsidR="007E7DCF" w:rsidRPr="007E7DCF">
        <w:rPr>
          <w:rFonts w:ascii="Arial" w:hAnsi="Arial" w:cs="Arial"/>
          <w:i/>
          <w:iCs/>
          <w:lang w:val="en"/>
        </w:rPr>
        <w:t>Caesalpinia pulcherrima</w:t>
      </w:r>
      <w:r w:rsidR="007E7DCF" w:rsidRPr="007E7DCF">
        <w:rPr>
          <w:rFonts w:ascii="Arial" w:hAnsi="Arial" w:cs="Arial"/>
          <w:i/>
          <w:lang w:val="en"/>
        </w:rPr>
        <w:t>, Traditional medicine.</w:t>
      </w:r>
      <w:r w:rsidR="007E7DCF" w:rsidRPr="007E7DCF">
        <w:rPr>
          <w:rFonts w:ascii="Arial" w:hAnsi="Arial" w:cs="Arial"/>
          <w:i/>
          <w:iCs/>
          <w:lang w:val="en"/>
        </w:rPr>
        <w:t xml:space="preserve"> Southern-Benin</w:t>
      </w:r>
    </w:p>
    <w:p w14:paraId="20B0C83F" w14:textId="77777777" w:rsidR="00790ADA" w:rsidRDefault="00790ADA" w:rsidP="00441B6F">
      <w:pPr>
        <w:pStyle w:val="Body"/>
        <w:spacing w:after="0"/>
        <w:rPr>
          <w:rFonts w:ascii="Arial" w:hAnsi="Arial" w:cs="Arial"/>
          <w:i/>
        </w:rPr>
      </w:pPr>
    </w:p>
    <w:p w14:paraId="77546A6E" w14:textId="77777777" w:rsidR="0024282C" w:rsidRDefault="0024282C" w:rsidP="00441B6F">
      <w:pPr>
        <w:pStyle w:val="Body"/>
        <w:spacing w:after="0"/>
        <w:rPr>
          <w:rFonts w:ascii="Arial" w:hAnsi="Arial" w:cs="Arial"/>
          <w:i/>
          <w:sz w:val="18"/>
        </w:rPr>
      </w:pPr>
    </w:p>
    <w:p w14:paraId="7C83E49C" w14:textId="77777777" w:rsidR="00505F06" w:rsidRPr="00A24E7E" w:rsidRDefault="00505F06" w:rsidP="00441B6F">
      <w:pPr>
        <w:pStyle w:val="Body"/>
        <w:spacing w:after="0"/>
        <w:rPr>
          <w:rFonts w:ascii="Arial" w:hAnsi="Arial" w:cs="Arial"/>
          <w:i/>
        </w:rPr>
      </w:pPr>
    </w:p>
    <w:p w14:paraId="6AE62F2D" w14:textId="0A07F3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BACD0F4" w14:textId="77777777" w:rsidR="00790ADA" w:rsidRPr="00FB3A86" w:rsidRDefault="00790ADA" w:rsidP="00441B6F">
      <w:pPr>
        <w:pStyle w:val="AbstHead"/>
        <w:spacing w:after="0"/>
        <w:jc w:val="both"/>
        <w:rPr>
          <w:rFonts w:ascii="Arial" w:hAnsi="Arial" w:cs="Arial"/>
        </w:rPr>
      </w:pPr>
    </w:p>
    <w:p w14:paraId="184AC505" w14:textId="77777777" w:rsidR="007E7DCF" w:rsidRPr="007E7DCF" w:rsidRDefault="007E7DCF" w:rsidP="007E7DCF">
      <w:pPr>
        <w:pStyle w:val="Body"/>
        <w:spacing w:after="0"/>
        <w:rPr>
          <w:rFonts w:ascii="Arial" w:hAnsi="Arial" w:cs="Arial"/>
          <w:lang w:val="en"/>
        </w:rPr>
      </w:pPr>
      <w:r w:rsidRPr="007E7DCF">
        <w:rPr>
          <w:rFonts w:ascii="Arial" w:hAnsi="Arial" w:cs="Arial"/>
          <w:lang w:val="en"/>
        </w:rPr>
        <w:t>Since ancient times, plants have always held an important place in human life for health, nutrition, and economic development. This is why, for centuries and even millennia, our ancestors used plants to relieve pain, heal ailments, and tend to wounds (</w:t>
      </w:r>
      <w:proofErr w:type="spellStart"/>
      <w:r w:rsidRPr="007E7DCF">
        <w:rPr>
          <w:rFonts w:ascii="Arial" w:hAnsi="Arial" w:cs="Arial"/>
          <w:lang w:val="en"/>
        </w:rPr>
        <w:t>Benkhnigue</w:t>
      </w:r>
      <w:proofErr w:type="spellEnd"/>
      <w:r w:rsidRPr="007E7DCF">
        <w:rPr>
          <w:rFonts w:ascii="Arial" w:hAnsi="Arial" w:cs="Arial"/>
          <w:lang w:val="en"/>
        </w:rPr>
        <w:t xml:space="preserve"> et al., 2011). Despite advances in modern medicine and the existence of healthcare facilities, more than 80% of the African population in general, and the Beninese population in particular, still rely on traditional medicine for treatment (WHO, 2002 and 2009).</w:t>
      </w:r>
    </w:p>
    <w:p w14:paraId="0774FF33" w14:textId="7AD4B9EA" w:rsidR="007E7DCF" w:rsidRPr="007E7DCF" w:rsidRDefault="007E7DCF" w:rsidP="007E7DCF">
      <w:pPr>
        <w:pStyle w:val="Body"/>
        <w:spacing w:after="0"/>
        <w:rPr>
          <w:rFonts w:ascii="Arial" w:hAnsi="Arial" w:cs="Arial"/>
          <w:lang w:val="en"/>
        </w:rPr>
      </w:pPr>
      <w:r w:rsidRPr="007E7DCF">
        <w:rPr>
          <w:rFonts w:ascii="Arial" w:hAnsi="Arial" w:cs="Arial"/>
          <w:lang w:val="en"/>
        </w:rPr>
        <w:t>Traditional medicine encompasses therapeutic practices passed down from generation to generation, long before the advent of modern medicine, and still widely used today (</w:t>
      </w:r>
      <w:r w:rsidR="00A05EF0" w:rsidRPr="007E7DCF">
        <w:rPr>
          <w:rFonts w:ascii="Arial" w:hAnsi="Arial" w:cs="Arial"/>
          <w:lang w:val="en"/>
        </w:rPr>
        <w:t>WHO,</w:t>
      </w:r>
      <w:r w:rsidRPr="007E7DCF">
        <w:rPr>
          <w:rFonts w:ascii="Arial" w:hAnsi="Arial" w:cs="Arial"/>
          <w:i/>
          <w:iCs/>
          <w:lang w:val="en"/>
        </w:rPr>
        <w:t xml:space="preserve"> </w:t>
      </w:r>
      <w:proofErr w:type="gramStart"/>
      <w:r w:rsidRPr="007E7DCF">
        <w:rPr>
          <w:rFonts w:ascii="Arial" w:hAnsi="Arial" w:cs="Arial"/>
          <w:i/>
          <w:iCs/>
          <w:lang w:val="en"/>
        </w:rPr>
        <w:t xml:space="preserve">1991 </w:t>
      </w:r>
      <w:r w:rsidRPr="007E7DCF">
        <w:rPr>
          <w:rFonts w:ascii="Arial" w:hAnsi="Arial" w:cs="Arial"/>
          <w:lang w:val="en"/>
        </w:rPr>
        <w:t>;</w:t>
      </w:r>
      <w:proofErr w:type="gramEnd"/>
      <w:r w:rsidRPr="007E7DCF">
        <w:rPr>
          <w:rFonts w:ascii="Arial" w:hAnsi="Arial" w:cs="Arial"/>
          <w:lang w:val="en"/>
        </w:rPr>
        <w:t xml:space="preserve"> Bekele </w:t>
      </w:r>
      <w:r w:rsidRPr="007E7DCF">
        <w:rPr>
          <w:rFonts w:ascii="Arial" w:hAnsi="Arial" w:cs="Arial"/>
          <w:i/>
          <w:iCs/>
          <w:lang w:val="en"/>
        </w:rPr>
        <w:t xml:space="preserve">et al., 2022 </w:t>
      </w:r>
      <w:r w:rsidRPr="007E7DCF">
        <w:rPr>
          <w:rFonts w:ascii="Arial" w:hAnsi="Arial" w:cs="Arial"/>
          <w:lang w:val="en"/>
        </w:rPr>
        <w:t xml:space="preserve">). However, the progressive loss of local knowledge, linked in particular to the decrease in the number of people possessing this knowledge, foreshadows a weakening of the practice of traditional medicine (Badiane et al., 2015). The ethnobotanical evaluation of medicinal plants </w:t>
      </w:r>
      <w:r w:rsidRPr="007E7DCF">
        <w:rPr>
          <w:rFonts w:ascii="Arial" w:hAnsi="Arial" w:cs="Arial"/>
          <w:lang w:val="en"/>
        </w:rPr>
        <w:lastRenderedPageBreak/>
        <w:t>aims to explore and document traditional knowledge relating to the medicinal use of plants in a given cultural context (</w:t>
      </w:r>
      <w:proofErr w:type="spellStart"/>
      <w:r w:rsidRPr="007E7DCF">
        <w:rPr>
          <w:rFonts w:ascii="Arial" w:hAnsi="Arial" w:cs="Arial"/>
          <w:lang w:val="en"/>
        </w:rPr>
        <w:t>Aththorick</w:t>
      </w:r>
      <w:proofErr w:type="spellEnd"/>
      <w:r w:rsidRPr="007E7DCF">
        <w:rPr>
          <w:rFonts w:ascii="Arial" w:hAnsi="Arial" w:cs="Arial"/>
          <w:lang w:val="en"/>
        </w:rPr>
        <w:t xml:space="preserve"> </w:t>
      </w:r>
      <w:r w:rsidRPr="007E7DCF">
        <w:rPr>
          <w:rFonts w:ascii="Arial" w:hAnsi="Arial" w:cs="Arial"/>
          <w:i/>
          <w:iCs/>
          <w:lang w:val="en"/>
        </w:rPr>
        <w:t xml:space="preserve">et al., </w:t>
      </w:r>
      <w:proofErr w:type="gramStart"/>
      <w:r w:rsidRPr="007E7DCF">
        <w:rPr>
          <w:rFonts w:ascii="Arial" w:hAnsi="Arial" w:cs="Arial"/>
          <w:i/>
          <w:iCs/>
          <w:lang w:val="en"/>
        </w:rPr>
        <w:t xml:space="preserve">2008 </w:t>
      </w:r>
      <w:r w:rsidRPr="007E7DCF">
        <w:rPr>
          <w:rFonts w:ascii="Arial" w:hAnsi="Arial" w:cs="Arial"/>
          <w:lang w:val="en"/>
        </w:rPr>
        <w:t>)</w:t>
      </w:r>
      <w:proofErr w:type="gramEnd"/>
      <w:r w:rsidRPr="007E7DCF">
        <w:rPr>
          <w:rFonts w:ascii="Arial" w:hAnsi="Arial" w:cs="Arial"/>
          <w:lang w:val="en"/>
        </w:rPr>
        <w:t xml:space="preserve"> in order to ensure its safeguarding and perpetuation. The flora of Benin is rich in 2,807 plant species (</w:t>
      </w:r>
      <w:proofErr w:type="spellStart"/>
      <w:r w:rsidRPr="007E7DCF">
        <w:rPr>
          <w:rFonts w:ascii="Arial" w:hAnsi="Arial" w:cs="Arial"/>
          <w:lang w:val="en"/>
        </w:rPr>
        <w:t>Akoègninou</w:t>
      </w:r>
      <w:proofErr w:type="spellEnd"/>
      <w:r w:rsidRPr="007E7DCF">
        <w:rPr>
          <w:rFonts w:ascii="Arial" w:hAnsi="Arial" w:cs="Arial"/>
          <w:lang w:val="en"/>
        </w:rPr>
        <w:t xml:space="preserve"> et al., 2006), and various ethnobotanical studies (</w:t>
      </w:r>
      <w:proofErr w:type="spellStart"/>
      <w:r w:rsidRPr="007E7DCF">
        <w:rPr>
          <w:rFonts w:ascii="Arial" w:hAnsi="Arial" w:cs="Arial"/>
          <w:lang w:val="en"/>
        </w:rPr>
        <w:t>Djègo</w:t>
      </w:r>
      <w:proofErr w:type="spellEnd"/>
      <w:r w:rsidRPr="007E7DCF">
        <w:rPr>
          <w:rFonts w:ascii="Arial" w:hAnsi="Arial" w:cs="Arial"/>
          <w:lang w:val="en"/>
        </w:rPr>
        <w:t xml:space="preserve"> et al., </w:t>
      </w:r>
      <w:proofErr w:type="gramStart"/>
      <w:r w:rsidRPr="007E7DCF">
        <w:rPr>
          <w:rFonts w:ascii="Arial" w:hAnsi="Arial" w:cs="Arial"/>
          <w:i/>
          <w:iCs/>
          <w:lang w:val="en"/>
        </w:rPr>
        <w:t xml:space="preserve">2011 </w:t>
      </w:r>
      <w:r w:rsidRPr="007E7DCF">
        <w:rPr>
          <w:rFonts w:ascii="Arial" w:hAnsi="Arial" w:cs="Arial"/>
          <w:lang w:val="en"/>
        </w:rPr>
        <w:t>;</w:t>
      </w:r>
      <w:proofErr w:type="gramEnd"/>
      <w:r w:rsidRPr="007E7DCF">
        <w:rPr>
          <w:rFonts w:ascii="Arial" w:hAnsi="Arial" w:cs="Arial"/>
          <w:lang w:val="en"/>
        </w:rPr>
        <w:t xml:space="preserve"> </w:t>
      </w:r>
      <w:proofErr w:type="spellStart"/>
      <w:r w:rsidRPr="007E7DCF">
        <w:rPr>
          <w:rFonts w:ascii="Arial" w:hAnsi="Arial" w:cs="Arial"/>
          <w:lang w:val="en"/>
        </w:rPr>
        <w:t>Houmenou</w:t>
      </w:r>
      <w:proofErr w:type="spellEnd"/>
      <w:r w:rsidRPr="007E7DCF">
        <w:rPr>
          <w:rFonts w:ascii="Arial" w:hAnsi="Arial" w:cs="Arial"/>
          <w:lang w:val="en"/>
        </w:rPr>
        <w:t xml:space="preserve"> et al., </w:t>
      </w:r>
      <w:r w:rsidRPr="007E7DCF">
        <w:rPr>
          <w:rFonts w:ascii="Arial" w:hAnsi="Arial" w:cs="Arial"/>
          <w:i/>
          <w:iCs/>
          <w:lang w:val="en"/>
        </w:rPr>
        <w:t>2017;</w:t>
      </w:r>
      <w:r w:rsidRPr="007E7DCF">
        <w:rPr>
          <w:rFonts w:ascii="Arial" w:hAnsi="Arial" w:cs="Arial"/>
          <w:lang w:val="en"/>
        </w:rPr>
        <w:t xml:space="preserve"> </w:t>
      </w:r>
      <w:proofErr w:type="spellStart"/>
      <w:r w:rsidRPr="007E7DCF">
        <w:rPr>
          <w:rFonts w:ascii="Arial" w:hAnsi="Arial" w:cs="Arial"/>
          <w:i/>
          <w:iCs/>
          <w:lang w:val="en"/>
        </w:rPr>
        <w:t>Akhenatonet</w:t>
      </w:r>
      <w:proofErr w:type="spellEnd"/>
      <w:r w:rsidRPr="007E7DCF">
        <w:rPr>
          <w:rFonts w:ascii="Arial" w:hAnsi="Arial" w:cs="Arial"/>
          <w:i/>
          <w:iCs/>
          <w:lang w:val="en"/>
        </w:rPr>
        <w:t xml:space="preserve"> </w:t>
      </w:r>
      <w:r w:rsidRPr="007E7DCF">
        <w:rPr>
          <w:rFonts w:ascii="Arial" w:hAnsi="Arial" w:cs="Arial"/>
          <w:lang w:val="en"/>
        </w:rPr>
        <w:t xml:space="preserve">al., </w:t>
      </w:r>
      <w:r w:rsidRPr="007E7DCF">
        <w:rPr>
          <w:rFonts w:ascii="Arial" w:hAnsi="Arial" w:cs="Arial"/>
          <w:i/>
          <w:iCs/>
          <w:lang w:val="en"/>
        </w:rPr>
        <w:t xml:space="preserve">2019 </w:t>
      </w:r>
      <w:r w:rsidRPr="007E7DCF">
        <w:rPr>
          <w:rFonts w:ascii="Arial" w:hAnsi="Arial" w:cs="Arial"/>
          <w:lang w:val="en"/>
        </w:rPr>
        <w:t>)</w:t>
      </w:r>
      <w:r w:rsidRPr="007E7DCF">
        <w:rPr>
          <w:rFonts w:ascii="Arial" w:hAnsi="Arial" w:cs="Arial"/>
          <w:b/>
          <w:bCs/>
          <w:lang w:val="en"/>
        </w:rPr>
        <w:t xml:space="preserve"> </w:t>
      </w:r>
      <w:r w:rsidRPr="007E7DCF">
        <w:rPr>
          <w:rFonts w:ascii="Arial" w:hAnsi="Arial" w:cs="Arial"/>
          <w:lang w:val="en"/>
        </w:rPr>
        <w:t>were carried out with a view to enhancing the endogenous knowledge of the latter.</w:t>
      </w:r>
    </w:p>
    <w:p w14:paraId="2E6F0BB7" w14:textId="77777777" w:rsidR="007E7DCF" w:rsidRPr="007E7DCF" w:rsidRDefault="007E7DCF" w:rsidP="007E7DCF">
      <w:pPr>
        <w:pStyle w:val="Body"/>
        <w:spacing w:after="0"/>
        <w:rPr>
          <w:rFonts w:ascii="Arial" w:hAnsi="Arial" w:cs="Arial"/>
          <w:lang w:val="en"/>
        </w:rPr>
      </w:pPr>
      <w:r w:rsidRPr="007E7DCF">
        <w:rPr>
          <w:rFonts w:ascii="Arial" w:hAnsi="Arial" w:cs="Arial"/>
          <w:lang w:val="en"/>
        </w:rPr>
        <w:t xml:space="preserve">However, despite these numerous studies, very little ethnobotanical data is available on </w:t>
      </w:r>
      <w:r w:rsidRPr="007E7DCF">
        <w:rPr>
          <w:rFonts w:ascii="Arial" w:hAnsi="Arial" w:cs="Arial"/>
          <w:i/>
          <w:iCs/>
          <w:lang w:val="en"/>
        </w:rPr>
        <w:t xml:space="preserve">Caesalpinia pulcherrima </w:t>
      </w:r>
      <w:r w:rsidRPr="007E7DCF">
        <w:rPr>
          <w:rFonts w:ascii="Arial" w:hAnsi="Arial" w:cs="Arial"/>
          <w:lang w:val="en"/>
        </w:rPr>
        <w:t xml:space="preserve">in Benin. </w:t>
      </w:r>
      <w:r w:rsidRPr="007E7DCF">
        <w:rPr>
          <w:rFonts w:ascii="Arial" w:hAnsi="Arial" w:cs="Arial"/>
          <w:i/>
          <w:iCs/>
          <w:lang w:val="en"/>
        </w:rPr>
        <w:t xml:space="preserve">Caesalpinia pulcherrima, </w:t>
      </w:r>
      <w:r w:rsidRPr="007E7DCF">
        <w:rPr>
          <w:rFonts w:ascii="Arial" w:hAnsi="Arial" w:cs="Arial"/>
          <w:lang w:val="en"/>
        </w:rPr>
        <w:t xml:space="preserve">belonging to the Fabaceae family and the </w:t>
      </w:r>
      <w:r w:rsidRPr="007E7DCF">
        <w:rPr>
          <w:rFonts w:ascii="Arial" w:hAnsi="Arial" w:cs="Arial"/>
          <w:i/>
          <w:iCs/>
          <w:lang w:val="en"/>
        </w:rPr>
        <w:t>Caesalpinia genus</w:t>
      </w:r>
      <w:r w:rsidRPr="007E7DCF">
        <w:rPr>
          <w:rFonts w:ascii="Arial" w:hAnsi="Arial" w:cs="Arial"/>
          <w:lang w:val="en"/>
        </w:rPr>
        <w:t xml:space="preserve">, comprises over 500 species within the Caesalpiniaceae family. </w:t>
      </w:r>
      <w:r w:rsidRPr="007E7DCF">
        <w:rPr>
          <w:rFonts w:ascii="Arial" w:hAnsi="Arial" w:cs="Arial"/>
          <w:i/>
          <w:iCs/>
          <w:lang w:val="en"/>
        </w:rPr>
        <w:t xml:space="preserve">Caesalpinia pulcherrima </w:t>
      </w:r>
      <w:r w:rsidRPr="007E7DCF">
        <w:rPr>
          <w:rFonts w:ascii="Arial" w:hAnsi="Arial" w:cs="Arial"/>
          <w:lang w:val="en"/>
        </w:rPr>
        <w:t>is also known as an ornamental plant and is commonly used in gardens. Native to Central America, this plant is now widespread in tropical and subtropical regions of Africa, Asia, and Australia (Zanin et al., 2012). In traditional medicine, extracts from different parts of the plant are used as stimulants, emmenagogues, and abortifacients (Srinivas et al., 2003; Chiang et al., 2003). It is also recognized for the treatment of various pathologies and possesses strong antimicrobial and anti-inflammatory activity attributed to its richness in triterpenoids (</w:t>
      </w:r>
      <w:proofErr w:type="spellStart"/>
      <w:r w:rsidRPr="007E7DCF">
        <w:rPr>
          <w:rFonts w:ascii="Arial" w:hAnsi="Arial" w:cs="Arial"/>
          <w:lang w:val="en"/>
        </w:rPr>
        <w:t>Nasimul</w:t>
      </w:r>
      <w:proofErr w:type="spellEnd"/>
      <w:r w:rsidRPr="007E7DCF">
        <w:rPr>
          <w:rFonts w:ascii="Arial" w:hAnsi="Arial" w:cs="Arial"/>
          <w:lang w:val="en"/>
        </w:rPr>
        <w:t xml:space="preserve"> et al., 2003). However, specific data on the traditional uses of </w:t>
      </w:r>
      <w:r w:rsidRPr="007E7DCF">
        <w:rPr>
          <w:rFonts w:ascii="Arial" w:hAnsi="Arial" w:cs="Arial"/>
          <w:i/>
          <w:lang w:val="en"/>
        </w:rPr>
        <w:t xml:space="preserve">C. pulcherrima </w:t>
      </w:r>
      <w:r w:rsidRPr="007E7DCF">
        <w:rPr>
          <w:rFonts w:ascii="Arial" w:hAnsi="Arial" w:cs="Arial"/>
          <w:lang w:val="en"/>
        </w:rPr>
        <w:t xml:space="preserve">in Benin remain scarce, highlighting the need to conduct ethnobotanical studies on this species. This study aims to promote local knowledge of </w:t>
      </w:r>
      <w:r w:rsidRPr="007E7DCF">
        <w:rPr>
          <w:rFonts w:ascii="Arial" w:hAnsi="Arial" w:cs="Arial"/>
          <w:i/>
          <w:lang w:val="en"/>
        </w:rPr>
        <w:t xml:space="preserve">C. pulcherrima </w:t>
      </w:r>
      <w:r w:rsidRPr="007E7DCF">
        <w:rPr>
          <w:rFonts w:ascii="Arial" w:hAnsi="Arial" w:cs="Arial"/>
          <w:lang w:val="en"/>
        </w:rPr>
        <w:t>in a context of progressive erosion of traditional knowledge.</w:t>
      </w:r>
    </w:p>
    <w:p w14:paraId="3F20B310" w14:textId="77777777" w:rsidR="00790ADA" w:rsidRPr="00FB3A86" w:rsidRDefault="00790ADA" w:rsidP="00441B6F">
      <w:pPr>
        <w:pStyle w:val="Body"/>
        <w:spacing w:after="0"/>
        <w:rPr>
          <w:rFonts w:ascii="Arial" w:hAnsi="Arial" w:cs="Arial"/>
        </w:rPr>
      </w:pPr>
    </w:p>
    <w:p w14:paraId="648240A8" w14:textId="08B21CB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7F7B32">
        <w:rPr>
          <w:rFonts w:ascii="Arial" w:hAnsi="Arial" w:cs="Arial"/>
        </w:rPr>
        <w:t xml:space="preserve"> </w:t>
      </w:r>
    </w:p>
    <w:p w14:paraId="73F750AF" w14:textId="77777777" w:rsidR="00790ADA" w:rsidRPr="00FB3A86" w:rsidRDefault="00790ADA" w:rsidP="00441B6F">
      <w:pPr>
        <w:pStyle w:val="AbstHead"/>
        <w:spacing w:after="0"/>
        <w:jc w:val="both"/>
        <w:rPr>
          <w:rFonts w:ascii="Arial" w:hAnsi="Arial" w:cs="Arial"/>
        </w:rPr>
      </w:pPr>
    </w:p>
    <w:p w14:paraId="7D4AC89A" w14:textId="77777777" w:rsidR="008369BC" w:rsidRPr="008369BC" w:rsidRDefault="008369BC" w:rsidP="008369BC">
      <w:pPr>
        <w:pStyle w:val="Body"/>
        <w:rPr>
          <w:rFonts w:ascii="Arial" w:hAnsi="Arial" w:cs="Arial"/>
          <w:b/>
          <w:bCs/>
          <w:lang w:val="en"/>
        </w:rPr>
      </w:pPr>
      <w:r w:rsidRPr="008369BC">
        <w:rPr>
          <w:rFonts w:ascii="Arial" w:hAnsi="Arial" w:cs="Arial"/>
          <w:b/>
          <w:bCs/>
          <w:lang w:val="en"/>
        </w:rPr>
        <w:t>2.1. Study area and target groups</w:t>
      </w:r>
    </w:p>
    <w:p w14:paraId="38FEC045" w14:textId="77777777" w:rsidR="008369BC" w:rsidRPr="00B96789" w:rsidRDefault="008369BC" w:rsidP="008369BC">
      <w:pPr>
        <w:pStyle w:val="Body"/>
        <w:spacing w:after="0"/>
        <w:rPr>
          <w:rFonts w:ascii="Arial" w:hAnsi="Arial" w:cs="Arial"/>
          <w:lang w:val="en"/>
        </w:rPr>
      </w:pPr>
      <w:r w:rsidRPr="00B96789">
        <w:rPr>
          <w:rFonts w:ascii="Arial" w:hAnsi="Arial" w:cs="Arial"/>
          <w:lang w:val="en"/>
        </w:rPr>
        <w:t xml:space="preserve">In this study, market herbalists, traditional healers, and users of traditional plants in nine communes located in the departments of Zou, </w:t>
      </w:r>
      <w:proofErr w:type="spellStart"/>
      <w:r w:rsidRPr="00B96789">
        <w:rPr>
          <w:rFonts w:ascii="Arial" w:hAnsi="Arial" w:cs="Arial"/>
          <w:lang w:val="en"/>
        </w:rPr>
        <w:t>Atlantique</w:t>
      </w:r>
      <w:proofErr w:type="spellEnd"/>
      <w:r w:rsidRPr="00B96789">
        <w:rPr>
          <w:rFonts w:ascii="Arial" w:hAnsi="Arial" w:cs="Arial"/>
          <w:lang w:val="en"/>
        </w:rPr>
        <w:t xml:space="preserve">, Littoral, </w:t>
      </w:r>
      <w:proofErr w:type="spellStart"/>
      <w:r w:rsidRPr="00B96789">
        <w:rPr>
          <w:rFonts w:ascii="Arial" w:hAnsi="Arial" w:cs="Arial"/>
          <w:lang w:val="en"/>
        </w:rPr>
        <w:t>Ouémé</w:t>
      </w:r>
      <w:proofErr w:type="spellEnd"/>
      <w:r w:rsidRPr="00B96789">
        <w:rPr>
          <w:rFonts w:ascii="Arial" w:hAnsi="Arial" w:cs="Arial"/>
          <w:lang w:val="en"/>
        </w:rPr>
        <w:t xml:space="preserve">, Plateau, Mono, and </w:t>
      </w:r>
      <w:proofErr w:type="spellStart"/>
      <w:r w:rsidRPr="00B96789">
        <w:rPr>
          <w:rFonts w:ascii="Arial" w:hAnsi="Arial" w:cs="Arial"/>
          <w:lang w:val="en"/>
        </w:rPr>
        <w:t>Couffo</w:t>
      </w:r>
      <w:proofErr w:type="spellEnd"/>
      <w:r w:rsidRPr="00B96789">
        <w:rPr>
          <w:rFonts w:ascii="Arial" w:hAnsi="Arial" w:cs="Arial"/>
          <w:lang w:val="en"/>
        </w:rPr>
        <w:t xml:space="preserve"> (Fig. 1) were surveyed. These communes are Abomey, </w:t>
      </w:r>
      <w:proofErr w:type="spellStart"/>
      <w:r w:rsidRPr="00B96789">
        <w:rPr>
          <w:rFonts w:ascii="Arial" w:hAnsi="Arial" w:cs="Arial"/>
          <w:lang w:val="en"/>
        </w:rPr>
        <w:t>Ouinhi</w:t>
      </w:r>
      <w:proofErr w:type="spellEnd"/>
      <w:r w:rsidRPr="00B96789">
        <w:rPr>
          <w:rFonts w:ascii="Arial" w:hAnsi="Arial" w:cs="Arial"/>
          <w:lang w:val="en"/>
        </w:rPr>
        <w:t xml:space="preserve">, </w:t>
      </w:r>
      <w:proofErr w:type="spellStart"/>
      <w:r w:rsidRPr="00B96789">
        <w:rPr>
          <w:rFonts w:ascii="Arial" w:hAnsi="Arial" w:cs="Arial"/>
          <w:lang w:val="en"/>
        </w:rPr>
        <w:t>Ouidah</w:t>
      </w:r>
      <w:proofErr w:type="spellEnd"/>
      <w:r w:rsidRPr="00B96789">
        <w:rPr>
          <w:rFonts w:ascii="Arial" w:hAnsi="Arial" w:cs="Arial"/>
          <w:lang w:val="en"/>
        </w:rPr>
        <w:t>, Abomey-</w:t>
      </w:r>
      <w:proofErr w:type="spellStart"/>
      <w:r w:rsidRPr="00B96789">
        <w:rPr>
          <w:rFonts w:ascii="Arial" w:hAnsi="Arial" w:cs="Arial"/>
          <w:lang w:val="en"/>
        </w:rPr>
        <w:t>Calavi</w:t>
      </w:r>
      <w:proofErr w:type="spellEnd"/>
      <w:r w:rsidRPr="00B96789">
        <w:rPr>
          <w:rFonts w:ascii="Arial" w:hAnsi="Arial" w:cs="Arial"/>
          <w:lang w:val="en"/>
        </w:rPr>
        <w:t xml:space="preserve">, Cotonou, Porto-Novo, </w:t>
      </w:r>
      <w:proofErr w:type="spellStart"/>
      <w:r w:rsidRPr="00B96789">
        <w:rPr>
          <w:rFonts w:ascii="Arial" w:hAnsi="Arial" w:cs="Arial"/>
          <w:lang w:val="en"/>
        </w:rPr>
        <w:t>Pobè</w:t>
      </w:r>
      <w:proofErr w:type="spellEnd"/>
      <w:r w:rsidRPr="00B96789">
        <w:rPr>
          <w:rFonts w:ascii="Arial" w:hAnsi="Arial" w:cs="Arial"/>
          <w:lang w:val="en"/>
        </w:rPr>
        <w:t xml:space="preserve">, </w:t>
      </w:r>
      <w:proofErr w:type="spellStart"/>
      <w:r w:rsidRPr="00B96789">
        <w:rPr>
          <w:rFonts w:ascii="Arial" w:hAnsi="Arial" w:cs="Arial"/>
          <w:lang w:val="en"/>
        </w:rPr>
        <w:t>Comè</w:t>
      </w:r>
      <w:proofErr w:type="spellEnd"/>
      <w:r w:rsidRPr="00B96789">
        <w:rPr>
          <w:rFonts w:ascii="Arial" w:hAnsi="Arial" w:cs="Arial"/>
          <w:lang w:val="en"/>
        </w:rPr>
        <w:t xml:space="preserve">, and </w:t>
      </w:r>
      <w:proofErr w:type="spellStart"/>
      <w:r w:rsidRPr="00B96789">
        <w:rPr>
          <w:rFonts w:ascii="Arial" w:hAnsi="Arial" w:cs="Arial"/>
          <w:lang w:val="en"/>
        </w:rPr>
        <w:t>Aplahoué</w:t>
      </w:r>
      <w:proofErr w:type="spellEnd"/>
      <w:r w:rsidRPr="00B96789">
        <w:rPr>
          <w:rFonts w:ascii="Arial" w:hAnsi="Arial" w:cs="Arial"/>
          <w:lang w:val="en"/>
        </w:rPr>
        <w:t xml:space="preserve"> in southern Benin (Figure 1).</w:t>
      </w:r>
    </w:p>
    <w:p w14:paraId="2022E884" w14:textId="77777777" w:rsidR="008369BC" w:rsidRPr="008369BC" w:rsidRDefault="008369BC" w:rsidP="008369BC">
      <w:pPr>
        <w:pStyle w:val="Body"/>
        <w:rPr>
          <w:rFonts w:ascii="Arial" w:hAnsi="Arial" w:cs="Arial"/>
          <w:lang w:val="en"/>
        </w:rPr>
      </w:pPr>
      <w:bookmarkStart w:id="0" w:name="_Toc201049264"/>
      <w:bookmarkStart w:id="1" w:name="_Toc201088823"/>
      <w:bookmarkStart w:id="2" w:name="_Toc201090100"/>
      <w:bookmarkStart w:id="3" w:name="_Toc201090339"/>
      <w:r w:rsidRPr="008369BC">
        <w:rPr>
          <w:rFonts w:ascii="Arial" w:hAnsi="Arial" w:cs="Arial"/>
          <w:noProof/>
        </w:rPr>
        <w:lastRenderedPageBreak/>
        <w:drawing>
          <wp:inline distT="0" distB="0" distL="0" distR="0" wp14:anchorId="6368A746" wp14:editId="40E6197F">
            <wp:extent cx="5900468" cy="6492240"/>
            <wp:effectExtent l="0" t="0" r="5080" b="381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e especes.jpg"/>
                    <pic:cNvPicPr/>
                  </pic:nvPicPr>
                  <pic:blipFill rotWithShape="1">
                    <a:blip r:embed="rId14" cstate="print">
                      <a:extLst>
                        <a:ext uri="{28A0092B-C50C-407E-A947-70E740481C1C}">
                          <a14:useLocalDpi xmlns:a14="http://schemas.microsoft.com/office/drawing/2010/main" val="0"/>
                        </a:ext>
                      </a:extLst>
                    </a:blip>
                    <a:srcRect l="4924" t="1416" r="4586" b="2053"/>
                    <a:stretch/>
                  </pic:blipFill>
                  <pic:spPr bwMode="auto">
                    <a:xfrm>
                      <a:off x="0" y="0"/>
                      <a:ext cx="5931503" cy="6526388"/>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4AC83D29" w14:textId="25A893E4" w:rsidR="00E66E10" w:rsidRPr="003D5CC5" w:rsidRDefault="008369BC" w:rsidP="00441B6F">
      <w:pPr>
        <w:pStyle w:val="Body"/>
        <w:spacing w:after="0"/>
        <w:rPr>
          <w:rFonts w:ascii="Arial" w:hAnsi="Arial" w:cs="Arial"/>
          <w:bCs/>
          <w:i/>
          <w:lang w:val="en"/>
        </w:rPr>
      </w:pPr>
      <w:bookmarkStart w:id="4" w:name="_Toc201047573"/>
      <w:bookmarkStart w:id="5" w:name="_Toc201581797"/>
      <w:r w:rsidRPr="008369BC">
        <w:rPr>
          <w:rFonts w:ascii="Arial" w:hAnsi="Arial" w:cs="Arial"/>
          <w:b/>
          <w:lang w:val="en"/>
        </w:rPr>
        <w:t xml:space="preserve">Figure 1: </w:t>
      </w:r>
      <w:r w:rsidRPr="008369BC">
        <w:rPr>
          <w:rFonts w:ascii="Arial" w:hAnsi="Arial" w:cs="Arial"/>
          <w:lang w:val="en"/>
        </w:rPr>
        <w:t>Map of the study area</w:t>
      </w:r>
      <w:bookmarkEnd w:id="4"/>
      <w:bookmarkEnd w:id="5"/>
      <w:r w:rsidR="00E66E10">
        <w:rPr>
          <w:rFonts w:ascii="Arial" w:eastAsia="Calibri" w:hAnsi="Arial" w:cs="Arial"/>
          <w:color w:val="FF0000"/>
          <w:szCs w:val="22"/>
        </w:rPr>
        <w:t>.</w:t>
      </w:r>
    </w:p>
    <w:p w14:paraId="7EDF2C13" w14:textId="77777777" w:rsidR="00790ADA" w:rsidRPr="00FB3A86" w:rsidRDefault="00790ADA" w:rsidP="00441B6F">
      <w:pPr>
        <w:pStyle w:val="Body"/>
        <w:spacing w:after="0"/>
        <w:rPr>
          <w:rFonts w:ascii="Arial" w:hAnsi="Arial" w:cs="Arial"/>
        </w:rPr>
      </w:pPr>
    </w:p>
    <w:p w14:paraId="52AAE178" w14:textId="0A504018" w:rsidR="00AA74E0" w:rsidRDefault="00AA74E0" w:rsidP="00441B6F">
      <w:pPr>
        <w:pStyle w:val="Body"/>
        <w:spacing w:after="0"/>
        <w:rPr>
          <w:rFonts w:ascii="Arial" w:hAnsi="Arial" w:cs="Arial"/>
        </w:rPr>
      </w:pPr>
      <w:r w:rsidRPr="00C30A0F">
        <w:rPr>
          <w:rFonts w:ascii="Arial" w:hAnsi="Arial" w:cs="Arial"/>
          <w:b/>
          <w:caps/>
          <w:sz w:val="22"/>
        </w:rPr>
        <w:t>2.</w:t>
      </w:r>
      <w:r w:rsidR="008369BC">
        <w:rPr>
          <w:rFonts w:ascii="Arial" w:hAnsi="Arial" w:cs="Arial"/>
          <w:b/>
          <w:caps/>
          <w:sz w:val="22"/>
        </w:rPr>
        <w:t>2</w:t>
      </w:r>
      <w:r w:rsidRPr="00C30A0F">
        <w:rPr>
          <w:rFonts w:ascii="Arial" w:hAnsi="Arial" w:cs="Arial"/>
          <w:b/>
          <w:caps/>
          <w:sz w:val="22"/>
        </w:rPr>
        <w:t xml:space="preserve"> </w:t>
      </w:r>
      <w:r w:rsidR="008369BC" w:rsidRPr="008369BC">
        <w:rPr>
          <w:rFonts w:ascii="Arial" w:hAnsi="Arial" w:cs="Arial"/>
          <w:b/>
          <w:bCs/>
          <w:sz w:val="22"/>
          <w:lang w:val="en"/>
        </w:rPr>
        <w:t xml:space="preserve">Data collection </w:t>
      </w:r>
      <w:proofErr w:type="gramStart"/>
      <w:r w:rsidR="008369BC" w:rsidRPr="008369BC">
        <w:rPr>
          <w:rFonts w:ascii="Arial" w:hAnsi="Arial" w:cs="Arial"/>
          <w:b/>
          <w:bCs/>
          <w:sz w:val="22"/>
          <w:lang w:val="en"/>
        </w:rPr>
        <w:t>method</w:t>
      </w:r>
      <w:r w:rsidR="008369BC" w:rsidRPr="008369BC">
        <w:rPr>
          <w:rFonts w:ascii="Arial" w:hAnsi="Arial" w:cs="Arial"/>
          <w:b/>
          <w:sz w:val="22"/>
        </w:rPr>
        <w:t xml:space="preserve"> </w:t>
      </w:r>
      <w:r w:rsidRPr="00FB3A86">
        <w:rPr>
          <w:rFonts w:ascii="Arial" w:hAnsi="Arial" w:cs="Arial"/>
        </w:rPr>
        <w:t xml:space="preserve"> -</w:t>
      </w:r>
      <w:proofErr w:type="gramEnd"/>
      <w:r w:rsidRPr="00FB3A86">
        <w:rPr>
          <w:rFonts w:ascii="Arial" w:hAnsi="Arial" w:cs="Arial"/>
        </w:rPr>
        <w:t xml:space="preserve"> second level heading.  </w:t>
      </w:r>
    </w:p>
    <w:p w14:paraId="5EE3700E" w14:textId="77777777" w:rsidR="008369BC" w:rsidRPr="00B96789" w:rsidRDefault="008369BC" w:rsidP="008369BC">
      <w:pPr>
        <w:pStyle w:val="Body"/>
        <w:spacing w:after="0"/>
        <w:rPr>
          <w:rFonts w:ascii="Arial" w:hAnsi="Arial" w:cs="Arial"/>
          <w:lang w:val="en"/>
        </w:rPr>
      </w:pPr>
      <w:r w:rsidRPr="00B96789">
        <w:rPr>
          <w:rFonts w:ascii="Arial" w:hAnsi="Arial" w:cs="Arial"/>
          <w:lang w:val="en"/>
        </w:rPr>
        <w:t xml:space="preserve">Data were collected from March to April 2025 using the methods described by </w:t>
      </w:r>
      <w:proofErr w:type="spellStart"/>
      <w:r w:rsidRPr="00B96789">
        <w:rPr>
          <w:rFonts w:ascii="Arial" w:hAnsi="Arial" w:cs="Arial"/>
          <w:lang w:val="en"/>
        </w:rPr>
        <w:t>Koudokpon</w:t>
      </w:r>
      <w:proofErr w:type="spellEnd"/>
      <w:r w:rsidRPr="00B96789">
        <w:rPr>
          <w:rFonts w:ascii="Arial" w:hAnsi="Arial" w:cs="Arial"/>
          <w:lang w:val="en"/>
        </w:rPr>
        <w:t xml:space="preserve"> </w:t>
      </w:r>
      <w:r w:rsidRPr="00B96789">
        <w:rPr>
          <w:rFonts w:ascii="Arial" w:hAnsi="Arial" w:cs="Arial"/>
          <w:i/>
          <w:iCs/>
          <w:lang w:val="en"/>
        </w:rPr>
        <w:t>et al. (2017)</w:t>
      </w:r>
      <w:r w:rsidRPr="00B96789">
        <w:rPr>
          <w:rFonts w:ascii="Arial" w:hAnsi="Arial" w:cs="Arial"/>
          <w:lang w:val="en"/>
        </w:rPr>
        <w:t xml:space="preserve">, adapted to our research focus. Short, semi-structured interviews, using a data sheet, as well as occasional open discussions, were conducted with the target groups (market herbalists, traditional healers, and users of traditional plants) in our study </w:t>
      </w:r>
      <w:proofErr w:type="spellStart"/>
      <w:r w:rsidRPr="00B96789">
        <w:rPr>
          <w:rFonts w:ascii="Arial" w:hAnsi="Arial" w:cs="Arial"/>
          <w:lang w:val="en"/>
        </w:rPr>
        <w:t>area.The</w:t>
      </w:r>
      <w:proofErr w:type="spellEnd"/>
      <w:r w:rsidRPr="00B96789">
        <w:rPr>
          <w:rFonts w:ascii="Arial" w:hAnsi="Arial" w:cs="Arial"/>
          <w:lang w:val="en"/>
        </w:rPr>
        <w:t xml:space="preserve"> data collected during the study focused on the sociodemographic characteristics of market herbalists, traditional healers, and users of traditional plants, their traditional knowledge, and the sociocultural values (pathologies treated, parts used, methods of administration, and dosage) of the species. In the course of this study, the binomial distribution method proposed by </w:t>
      </w:r>
      <w:proofErr w:type="spellStart"/>
      <w:r w:rsidRPr="00B96789">
        <w:rPr>
          <w:rFonts w:ascii="Arial" w:hAnsi="Arial" w:cs="Arial"/>
          <w:lang w:val="en"/>
        </w:rPr>
        <w:t>Dagnelie</w:t>
      </w:r>
      <w:proofErr w:type="spellEnd"/>
      <w:r w:rsidRPr="00B96789">
        <w:rPr>
          <w:rFonts w:ascii="Arial" w:hAnsi="Arial" w:cs="Arial"/>
          <w:lang w:val="en"/>
        </w:rPr>
        <w:t xml:space="preserve"> (1998) was used to determine the sample size, using the following formula:</w:t>
      </w:r>
    </w:p>
    <w:p w14:paraId="564EC192" w14:textId="2D73243A" w:rsidR="008369BC" w:rsidRPr="00B96789" w:rsidRDefault="008369BC" w:rsidP="008369BC">
      <w:pPr>
        <w:pStyle w:val="Body"/>
        <w:spacing w:after="0"/>
        <w:rPr>
          <w:rFonts w:ascii="Arial" w:hAnsi="Arial" w:cs="Arial"/>
          <w:lang w:val="en"/>
        </w:rPr>
      </w:pPr>
    </w:p>
    <w:p w14:paraId="42C6F1B9" w14:textId="51649057" w:rsidR="008369BC" w:rsidRDefault="008369BC" w:rsidP="008369BC">
      <w:pPr>
        <w:pStyle w:val="Body"/>
        <w:spacing w:after="0"/>
        <w:rPr>
          <w:rFonts w:ascii="Arial" w:hAnsi="Arial" w:cs="Arial"/>
          <w:lang w:val="en"/>
        </w:rPr>
      </w:pPr>
      <w:r>
        <w:rPr>
          <w:noProof/>
        </w:rPr>
        <w:lastRenderedPageBreak/>
        <w:drawing>
          <wp:inline distT="0" distB="0" distL="0" distR="0" wp14:anchorId="76DE5697" wp14:editId="4AACD877">
            <wp:extent cx="2200275" cy="781050"/>
            <wp:effectExtent l="0" t="0" r="9525" b="0"/>
            <wp:docPr id="19490322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32288" name=""/>
                    <pic:cNvPicPr/>
                  </pic:nvPicPr>
                  <pic:blipFill>
                    <a:blip r:embed="rId15"/>
                    <a:stretch>
                      <a:fillRect/>
                    </a:stretch>
                  </pic:blipFill>
                  <pic:spPr>
                    <a:xfrm>
                      <a:off x="0" y="0"/>
                      <a:ext cx="2200275" cy="781050"/>
                    </a:xfrm>
                    <a:prstGeom prst="rect">
                      <a:avLst/>
                    </a:prstGeom>
                  </pic:spPr>
                </pic:pic>
              </a:graphicData>
            </a:graphic>
          </wp:inline>
        </w:drawing>
      </w:r>
    </w:p>
    <w:p w14:paraId="314BAE1A" w14:textId="77777777" w:rsidR="008369BC" w:rsidRDefault="008369BC" w:rsidP="008369BC">
      <w:pPr>
        <w:pStyle w:val="Body"/>
        <w:spacing w:after="0"/>
        <w:ind w:left="720"/>
        <w:rPr>
          <w:rFonts w:ascii="Arial" w:hAnsi="Arial" w:cs="Arial"/>
          <w:lang w:val="en"/>
        </w:rPr>
      </w:pPr>
    </w:p>
    <w:p w14:paraId="062D9F3E" w14:textId="14DFCAA6" w:rsidR="008369BC" w:rsidRPr="00B96789" w:rsidRDefault="008369BC" w:rsidP="008369BC">
      <w:pPr>
        <w:pStyle w:val="Body"/>
        <w:numPr>
          <w:ilvl w:val="0"/>
          <w:numId w:val="32"/>
        </w:numPr>
        <w:spacing w:after="0"/>
        <w:rPr>
          <w:rFonts w:ascii="Arial" w:hAnsi="Arial" w:cs="Arial"/>
          <w:i/>
          <w:iCs/>
          <w:lang w:val="en"/>
        </w:rPr>
      </w:pPr>
      <w:r w:rsidRPr="00B96789">
        <w:rPr>
          <w:rFonts w:ascii="Arial" w:hAnsi="Arial" w:cs="Arial"/>
          <w:i/>
          <w:iCs/>
          <w:lang w:val="en"/>
        </w:rPr>
        <w:t>U</w:t>
      </w:r>
      <w:r w:rsidRPr="00B96789">
        <w:rPr>
          <w:rFonts w:ascii="Cambria Math" w:hAnsi="Cambria Math" w:cs="Cambria Math"/>
          <w:i/>
          <w:iCs/>
          <w:lang w:val="en"/>
        </w:rPr>
        <w:t>₁₋</w:t>
      </w:r>
      <w:r w:rsidRPr="00B96789">
        <w:rPr>
          <w:rFonts w:ascii="Arial" w:hAnsi="Arial" w:cs="Arial"/>
          <w:i/>
          <w:iCs/>
          <w:lang w:val="en"/>
        </w:rPr>
        <w:t>α/2: the value of the standard normal random variable corresponding to the probability of 1–α/2, which is 0.975; therefore, U</w:t>
      </w:r>
      <w:r w:rsidRPr="00B96789">
        <w:rPr>
          <w:rFonts w:ascii="Cambria Math" w:hAnsi="Cambria Math" w:cs="Cambria Math"/>
          <w:i/>
          <w:iCs/>
          <w:lang w:val="en"/>
        </w:rPr>
        <w:t>₁₋</w:t>
      </w:r>
      <w:r w:rsidRPr="00B96789">
        <w:rPr>
          <w:rFonts w:ascii="Arial" w:hAnsi="Arial" w:cs="Arial"/>
          <w:i/>
          <w:iCs/>
          <w:lang w:val="en"/>
        </w:rPr>
        <w:t>α/2 = 1.96.</w:t>
      </w:r>
    </w:p>
    <w:p w14:paraId="1F42B52A" w14:textId="77777777" w:rsidR="008369BC" w:rsidRPr="00B96789" w:rsidRDefault="008369BC" w:rsidP="008369BC">
      <w:pPr>
        <w:pStyle w:val="Body"/>
        <w:numPr>
          <w:ilvl w:val="0"/>
          <w:numId w:val="32"/>
        </w:numPr>
        <w:spacing w:after="0"/>
        <w:rPr>
          <w:rFonts w:ascii="Arial" w:hAnsi="Arial" w:cs="Arial"/>
          <w:i/>
          <w:iCs/>
          <w:lang w:val="en"/>
        </w:rPr>
      </w:pPr>
      <w:r w:rsidRPr="00B96789">
        <w:rPr>
          <w:rFonts w:ascii="Arial" w:hAnsi="Arial" w:cs="Arial"/>
          <w:i/>
          <w:iCs/>
          <w:lang w:val="en"/>
        </w:rPr>
        <w:t>p: the proportion of individuals who use C. pulcherrima in the study area, and d: the margin of estimation error, set at 5% in this study.”</w:t>
      </w:r>
    </w:p>
    <w:p w14:paraId="00988925" w14:textId="77777777" w:rsidR="00505F06" w:rsidRDefault="00505F06" w:rsidP="00441B6F">
      <w:pPr>
        <w:pStyle w:val="Body"/>
        <w:spacing w:after="0"/>
        <w:rPr>
          <w:rFonts w:ascii="Arial" w:hAnsi="Arial" w:cs="Arial"/>
        </w:rPr>
      </w:pPr>
    </w:p>
    <w:p w14:paraId="76D20E08" w14:textId="4E6FE2BD" w:rsidR="00AA74E0" w:rsidRPr="008369BC" w:rsidRDefault="00AA74E0" w:rsidP="008369BC">
      <w:pPr>
        <w:pStyle w:val="Body"/>
        <w:rPr>
          <w:rFonts w:ascii="Arial" w:hAnsi="Arial" w:cs="Arial"/>
          <w:b/>
          <w:sz w:val="22"/>
          <w:szCs w:val="22"/>
          <w:u w:val="single"/>
          <w:lang w:val="en"/>
        </w:rPr>
      </w:pPr>
      <w:r w:rsidRPr="008369BC">
        <w:rPr>
          <w:rFonts w:ascii="Arial" w:hAnsi="Arial" w:cs="Arial"/>
          <w:b/>
          <w:sz w:val="22"/>
          <w:szCs w:val="22"/>
          <w:u w:val="single"/>
        </w:rPr>
        <w:t>2.</w:t>
      </w:r>
      <w:r w:rsidR="008369BC" w:rsidRPr="008369BC">
        <w:rPr>
          <w:rFonts w:ascii="Arial" w:hAnsi="Arial" w:cs="Arial"/>
          <w:b/>
          <w:sz w:val="22"/>
          <w:szCs w:val="22"/>
          <w:u w:val="single"/>
        </w:rPr>
        <w:t>3</w:t>
      </w:r>
      <w:r w:rsidRPr="008369BC">
        <w:rPr>
          <w:rFonts w:ascii="Arial" w:hAnsi="Arial" w:cs="Arial"/>
          <w:b/>
          <w:sz w:val="22"/>
          <w:szCs w:val="22"/>
          <w:u w:val="single"/>
        </w:rPr>
        <w:t xml:space="preserve"> </w:t>
      </w:r>
      <w:r w:rsidR="008369BC" w:rsidRPr="008369BC">
        <w:rPr>
          <w:rFonts w:ascii="Arial" w:hAnsi="Arial" w:cs="Arial"/>
          <w:b/>
          <w:sz w:val="22"/>
          <w:szCs w:val="22"/>
          <w:u w:val="single"/>
          <w:lang w:val="en"/>
        </w:rPr>
        <w:t>Data Analysis</w:t>
      </w:r>
      <w:r w:rsidR="008369BC">
        <w:rPr>
          <w:rFonts w:ascii="Arial" w:hAnsi="Arial" w:cs="Arial"/>
          <w:b/>
          <w:sz w:val="22"/>
          <w:szCs w:val="22"/>
          <w:u w:val="single"/>
          <w:lang w:val="en"/>
        </w:rPr>
        <w:t xml:space="preserve"> </w:t>
      </w:r>
    </w:p>
    <w:p w14:paraId="73712E95" w14:textId="77777777" w:rsidR="00505F06" w:rsidRDefault="00505F06" w:rsidP="00441B6F">
      <w:pPr>
        <w:pStyle w:val="Body"/>
        <w:spacing w:after="0"/>
        <w:rPr>
          <w:rFonts w:ascii="Arial" w:hAnsi="Arial" w:cs="Arial"/>
        </w:rPr>
      </w:pPr>
    </w:p>
    <w:p w14:paraId="2DD52D11" w14:textId="77777777" w:rsidR="008369BC" w:rsidRPr="00B96789" w:rsidRDefault="008369BC" w:rsidP="008369BC">
      <w:pPr>
        <w:pStyle w:val="Body"/>
        <w:spacing w:after="0"/>
        <w:rPr>
          <w:rFonts w:ascii="Arial" w:hAnsi="Arial" w:cs="Arial"/>
          <w:bCs/>
          <w:iCs/>
          <w:lang w:val="en"/>
        </w:rPr>
      </w:pPr>
      <w:r w:rsidRPr="00B96789">
        <w:rPr>
          <w:rFonts w:ascii="Arial" w:hAnsi="Arial" w:cs="Arial"/>
          <w:bCs/>
          <w:iCs/>
          <w:lang w:val="en"/>
        </w:rPr>
        <w:t>The collected data were recorded in Excel 365. The graphs were also created using Excel 365. The collected data allowed for the calculation of the ethnic participation rate and the frequency of mention (of uses, organs used, and preparation methods). For the analysis of the quantitative data and the exploration of the relationships between the parts of Caesalpinia pulcherrima used and the pathologies treated by the respondents, a Correspondence Analysis (CA) was performed using R (v4.3.2). The resulting biplot from the CA was generated using R Markdown.</w:t>
      </w:r>
    </w:p>
    <w:p w14:paraId="3903BE98" w14:textId="77777777" w:rsidR="00790ADA" w:rsidRPr="00B96789" w:rsidRDefault="00790ADA" w:rsidP="00441B6F">
      <w:pPr>
        <w:pStyle w:val="Body"/>
        <w:spacing w:after="0"/>
        <w:rPr>
          <w:rFonts w:ascii="Arial" w:hAnsi="Arial" w:cs="Arial"/>
          <w:sz w:val="18"/>
          <w:szCs w:val="18"/>
        </w:rPr>
      </w:pPr>
    </w:p>
    <w:p w14:paraId="5FB39E4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20D717" w14:textId="77777777" w:rsidR="00AF4AF5" w:rsidRDefault="00AF4AF5" w:rsidP="00AF4AF5">
      <w:pPr>
        <w:pStyle w:val="Body"/>
        <w:spacing w:after="0"/>
        <w:jc w:val="left"/>
        <w:rPr>
          <w:rFonts w:ascii="Arial" w:hAnsi="Arial" w:cs="Arial"/>
          <w:b/>
          <w:lang w:val="en"/>
        </w:rPr>
      </w:pPr>
    </w:p>
    <w:p w14:paraId="62655C75" w14:textId="7DEFD854" w:rsidR="0006346A" w:rsidRPr="0006346A" w:rsidRDefault="0006346A" w:rsidP="00AF4AF5">
      <w:pPr>
        <w:pStyle w:val="Body"/>
        <w:numPr>
          <w:ilvl w:val="1"/>
          <w:numId w:val="40"/>
        </w:numPr>
        <w:spacing w:after="0"/>
        <w:jc w:val="left"/>
        <w:rPr>
          <w:rFonts w:ascii="Arial" w:hAnsi="Arial" w:cs="Arial"/>
          <w:b/>
          <w:lang w:val="en"/>
        </w:rPr>
      </w:pPr>
      <w:r w:rsidRPr="0006346A">
        <w:rPr>
          <w:rFonts w:ascii="Arial" w:hAnsi="Arial" w:cs="Arial"/>
          <w:b/>
          <w:lang w:val="en"/>
        </w:rPr>
        <w:t xml:space="preserve">characteristics </w:t>
      </w:r>
      <w:r w:rsidRPr="0006346A">
        <w:rPr>
          <w:rFonts w:ascii="Arial" w:hAnsi="Arial" w:cs="Arial"/>
          <w:b/>
          <w:iCs/>
          <w:lang w:val="en"/>
        </w:rPr>
        <w:t>of respondents</w:t>
      </w:r>
    </w:p>
    <w:p w14:paraId="6598DDDA" w14:textId="77777777" w:rsidR="0006346A" w:rsidRPr="0006346A" w:rsidRDefault="0006346A" w:rsidP="0006346A">
      <w:pPr>
        <w:pStyle w:val="Body"/>
        <w:spacing w:after="0"/>
        <w:rPr>
          <w:rFonts w:ascii="Arial" w:hAnsi="Arial" w:cs="Arial"/>
          <w:iCs/>
          <w:lang w:val="en"/>
        </w:rPr>
      </w:pPr>
      <w:r w:rsidRPr="0006346A">
        <w:rPr>
          <w:rFonts w:ascii="Arial" w:hAnsi="Arial" w:cs="Arial"/>
          <w:iCs/>
          <w:lang w:val="en"/>
        </w:rPr>
        <w:t xml:space="preserve">The sociodemographic characteristics of the respondents are presented in Table I. Analysis of this table shows that the majority of respondents (83.6% on average) were women, compared to only 16.4% men. The dominant age group was between 30 and 59 years old (55.2% on average). Regarding education level, most were illiterate (69.8%). However, 23.3% had some education, either primary or secondary, while very few had reached a higher level (approximately 0.9%). The respondents belonged to four main ethnic groups (Fon, </w:t>
      </w:r>
      <w:proofErr w:type="spellStart"/>
      <w:r w:rsidRPr="0006346A">
        <w:rPr>
          <w:rFonts w:ascii="Arial" w:hAnsi="Arial" w:cs="Arial"/>
          <w:iCs/>
          <w:lang w:val="en"/>
        </w:rPr>
        <w:t>Adja</w:t>
      </w:r>
      <w:proofErr w:type="spellEnd"/>
      <w:r w:rsidRPr="0006346A">
        <w:rPr>
          <w:rFonts w:ascii="Arial" w:hAnsi="Arial" w:cs="Arial"/>
          <w:iCs/>
          <w:lang w:val="en"/>
        </w:rPr>
        <w:t xml:space="preserve">, Mina, and </w:t>
      </w:r>
      <w:proofErr w:type="spellStart"/>
      <w:r w:rsidRPr="0006346A">
        <w:rPr>
          <w:rFonts w:ascii="Arial" w:hAnsi="Arial" w:cs="Arial"/>
          <w:iCs/>
          <w:lang w:val="en"/>
        </w:rPr>
        <w:t>Goun</w:t>
      </w:r>
      <w:proofErr w:type="spellEnd"/>
      <w:r w:rsidRPr="0006346A">
        <w:rPr>
          <w:rFonts w:ascii="Arial" w:hAnsi="Arial" w:cs="Arial"/>
          <w:iCs/>
          <w:lang w:val="en"/>
        </w:rPr>
        <w:t>). The Fon were the largest group, with 94 individuals (81%), followed by the Adja with 15 (12.9%) individuals, and finally the Mina and Goun, who were poorly represented with 5 (4.3%) and 2 (1.7%) people respectively.</w:t>
      </w:r>
    </w:p>
    <w:p w14:paraId="3483DCDF" w14:textId="77777777" w:rsidR="0006346A" w:rsidRPr="0006346A" w:rsidRDefault="0006346A" w:rsidP="0006346A">
      <w:pPr>
        <w:pStyle w:val="Body"/>
        <w:spacing w:after="0"/>
        <w:rPr>
          <w:rFonts w:ascii="Arial" w:hAnsi="Arial" w:cs="Arial"/>
          <w:i/>
          <w:lang w:val="en"/>
        </w:rPr>
      </w:pPr>
      <w:r w:rsidRPr="0006346A">
        <w:rPr>
          <w:rFonts w:ascii="Arial" w:hAnsi="Arial" w:cs="Arial"/>
          <w:b/>
          <w:bCs/>
          <w:iCs/>
          <w:lang w:val="en"/>
        </w:rPr>
        <w:t xml:space="preserve">Table </w:t>
      </w:r>
      <w:proofErr w:type="gramStart"/>
      <w:r w:rsidRPr="0006346A">
        <w:rPr>
          <w:rFonts w:ascii="Arial" w:hAnsi="Arial" w:cs="Arial"/>
          <w:b/>
          <w:bCs/>
          <w:iCs/>
          <w:lang w:val="en"/>
        </w:rPr>
        <w:t xml:space="preserve">I </w:t>
      </w:r>
      <w:r w:rsidRPr="0006346A">
        <w:rPr>
          <w:rFonts w:ascii="Arial" w:hAnsi="Arial" w:cs="Arial"/>
          <w:i/>
          <w:lang w:val="en"/>
        </w:rPr>
        <w:t>:</w:t>
      </w:r>
      <w:proofErr w:type="gramEnd"/>
      <w:r w:rsidRPr="0006346A">
        <w:rPr>
          <w:rFonts w:ascii="Arial" w:hAnsi="Arial" w:cs="Arial"/>
          <w:i/>
          <w:lang w:val="en"/>
        </w:rPr>
        <w:t xml:space="preserve"> </w:t>
      </w:r>
      <w:r w:rsidRPr="0006346A">
        <w:rPr>
          <w:rFonts w:ascii="Arial" w:hAnsi="Arial" w:cs="Arial"/>
          <w:iCs/>
          <w:lang w:val="en"/>
        </w:rPr>
        <w:t>Sociodemographic characteristics of respondents.</w:t>
      </w:r>
    </w:p>
    <w:p w14:paraId="37F506F1" w14:textId="77777777" w:rsidR="00790ADA" w:rsidRDefault="00790ADA" w:rsidP="00441B6F">
      <w:pPr>
        <w:pStyle w:val="Body"/>
        <w:spacing w:after="0"/>
        <w:rPr>
          <w:rFonts w:ascii="Arial" w:hAnsi="Arial" w:cs="Arial"/>
        </w:rPr>
      </w:pPr>
    </w:p>
    <w:p w14:paraId="63A98282" w14:textId="77777777" w:rsidR="0006346A" w:rsidRPr="0006346A" w:rsidRDefault="009500A6" w:rsidP="0006346A">
      <w:pPr>
        <w:tabs>
          <w:tab w:val="left" w:pos="1080"/>
        </w:tabs>
        <w:rPr>
          <w:rFonts w:ascii="Arial" w:hAnsi="Arial"/>
          <w:b/>
          <w:i/>
          <w:lang w:val="en"/>
        </w:rPr>
      </w:pPr>
      <w:r>
        <w:rPr>
          <w:rFonts w:ascii="Arial" w:hAnsi="Arial"/>
          <w:b/>
        </w:rPr>
        <w:t>Table 1.</w:t>
      </w:r>
      <w:r w:rsidR="00863BD3" w:rsidRPr="00DC3180">
        <w:rPr>
          <w:rFonts w:ascii="Arial" w:hAnsi="Arial"/>
          <w:b/>
        </w:rPr>
        <w:tab/>
      </w:r>
      <w:r w:rsidR="0006346A" w:rsidRPr="0006346A">
        <w:rPr>
          <w:rFonts w:ascii="Arial" w:hAnsi="Arial"/>
          <w:b/>
          <w:iCs/>
          <w:lang w:val="en"/>
        </w:rPr>
        <w:t>Sociodemographic characteristics of respondents.</w:t>
      </w:r>
    </w:p>
    <w:p w14:paraId="4E180DDD" w14:textId="29C19FB5" w:rsidR="00863BD3" w:rsidRDefault="00863BD3" w:rsidP="00441B6F">
      <w:pPr>
        <w:tabs>
          <w:tab w:val="left" w:pos="1080"/>
        </w:tabs>
        <w:jc w:val="both"/>
        <w:rPr>
          <w:rFonts w:ascii="Arial" w:hAnsi="Arial"/>
          <w:b/>
        </w:rPr>
      </w:pPr>
    </w:p>
    <w:p w14:paraId="0BD8BE9D" w14:textId="77777777" w:rsidR="00863BD3" w:rsidRPr="00DC3180" w:rsidRDefault="00863BD3" w:rsidP="00441B6F">
      <w:pPr>
        <w:tabs>
          <w:tab w:val="left" w:pos="1080"/>
        </w:tabs>
        <w:jc w:val="both"/>
        <w:rPr>
          <w:rFonts w:ascii="Arial" w:hAnsi="Arial"/>
          <w:b/>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06346A" w:rsidRPr="00DC3180" w14:paraId="5898383E" w14:textId="77777777" w:rsidTr="00790ADA">
        <w:trPr>
          <w:jc w:val="center"/>
        </w:trPr>
        <w:tc>
          <w:tcPr>
            <w:tcW w:w="3150" w:type="dxa"/>
            <w:tcBorders>
              <w:bottom w:val="single" w:sz="4" w:space="0" w:color="auto"/>
            </w:tcBorders>
          </w:tcPr>
          <w:p w14:paraId="15155305" w14:textId="6D552D51" w:rsidR="0006346A" w:rsidRPr="00DC3180" w:rsidRDefault="0006346A" w:rsidP="0006346A">
            <w:pPr>
              <w:jc w:val="both"/>
              <w:rPr>
                <w:rFonts w:ascii="Arial" w:hAnsi="Arial"/>
                <w:b/>
                <w:bCs/>
              </w:rPr>
            </w:pPr>
            <w:r w:rsidRPr="005C3126">
              <w:t>Features</w:t>
            </w:r>
          </w:p>
        </w:tc>
        <w:tc>
          <w:tcPr>
            <w:tcW w:w="1067" w:type="dxa"/>
            <w:tcBorders>
              <w:bottom w:val="single" w:sz="4" w:space="0" w:color="auto"/>
            </w:tcBorders>
          </w:tcPr>
          <w:p w14:paraId="6E1EB351" w14:textId="7B839EF4" w:rsidR="0006346A" w:rsidRPr="00DC3180" w:rsidRDefault="0006346A" w:rsidP="0006346A">
            <w:pPr>
              <w:jc w:val="both"/>
              <w:rPr>
                <w:rFonts w:ascii="Arial" w:hAnsi="Arial"/>
                <w:b/>
                <w:bCs/>
              </w:rPr>
            </w:pPr>
            <w:r w:rsidRPr="005C3126">
              <w:t>Modality</w:t>
            </w:r>
          </w:p>
        </w:tc>
        <w:tc>
          <w:tcPr>
            <w:tcW w:w="3051" w:type="dxa"/>
            <w:tcBorders>
              <w:bottom w:val="single" w:sz="4" w:space="0" w:color="auto"/>
            </w:tcBorders>
          </w:tcPr>
          <w:p w14:paraId="2AD215BA" w14:textId="5EEA9575" w:rsidR="0006346A" w:rsidRPr="00DC3180" w:rsidRDefault="0006346A" w:rsidP="0006346A">
            <w:pPr>
              <w:jc w:val="both"/>
              <w:rPr>
                <w:rFonts w:ascii="Arial" w:hAnsi="Arial"/>
                <w:b/>
                <w:bCs/>
              </w:rPr>
            </w:pPr>
            <w:r w:rsidRPr="005C3126">
              <w:t>Percentage of respondents (%)</w:t>
            </w:r>
          </w:p>
        </w:tc>
      </w:tr>
      <w:tr w:rsidR="0006346A" w:rsidRPr="00DC3180" w14:paraId="3E1FD061" w14:textId="77777777" w:rsidTr="00790ADA">
        <w:trPr>
          <w:trHeight w:val="773"/>
          <w:jc w:val="center"/>
        </w:trPr>
        <w:tc>
          <w:tcPr>
            <w:tcW w:w="3150" w:type="dxa"/>
            <w:tcBorders>
              <w:bottom w:val="nil"/>
            </w:tcBorders>
          </w:tcPr>
          <w:p w14:paraId="6B0396DF" w14:textId="59F0AC5A" w:rsidR="0006346A" w:rsidRPr="00DC3180" w:rsidRDefault="0006346A" w:rsidP="0006346A">
            <w:pPr>
              <w:jc w:val="both"/>
              <w:rPr>
                <w:rFonts w:ascii="Arial" w:hAnsi="Arial"/>
                <w:b/>
                <w:bCs/>
              </w:rPr>
            </w:pPr>
            <w:r w:rsidRPr="005C3126">
              <w:t>Sex</w:t>
            </w:r>
          </w:p>
        </w:tc>
        <w:tc>
          <w:tcPr>
            <w:tcW w:w="1067" w:type="dxa"/>
            <w:tcBorders>
              <w:bottom w:val="nil"/>
            </w:tcBorders>
          </w:tcPr>
          <w:p w14:paraId="722EC484" w14:textId="01EA4F96" w:rsidR="0006346A" w:rsidRPr="00DC3180" w:rsidRDefault="0006346A" w:rsidP="0006346A">
            <w:pPr>
              <w:jc w:val="both"/>
              <w:rPr>
                <w:rFonts w:ascii="Arial" w:hAnsi="Arial"/>
                <w:b/>
                <w:bCs/>
              </w:rPr>
            </w:pPr>
            <w:r w:rsidRPr="005C3126">
              <w:t>Female</w:t>
            </w:r>
          </w:p>
        </w:tc>
        <w:tc>
          <w:tcPr>
            <w:tcW w:w="3051" w:type="dxa"/>
            <w:tcBorders>
              <w:bottom w:val="nil"/>
            </w:tcBorders>
          </w:tcPr>
          <w:p w14:paraId="0736030D" w14:textId="1D710D16" w:rsidR="0006346A" w:rsidRPr="00DC3180" w:rsidRDefault="0006346A" w:rsidP="0006346A">
            <w:pPr>
              <w:jc w:val="both"/>
              <w:rPr>
                <w:rFonts w:ascii="Arial" w:hAnsi="Arial"/>
                <w:b/>
                <w:bCs/>
              </w:rPr>
            </w:pPr>
            <w:r w:rsidRPr="005C3126">
              <w:t>83.6</w:t>
            </w:r>
          </w:p>
        </w:tc>
      </w:tr>
      <w:tr w:rsidR="0006346A" w:rsidRPr="00DC3180" w14:paraId="1B90E5F3" w14:textId="77777777" w:rsidTr="00790ADA">
        <w:trPr>
          <w:jc w:val="center"/>
        </w:trPr>
        <w:tc>
          <w:tcPr>
            <w:tcW w:w="3150" w:type="dxa"/>
            <w:tcBorders>
              <w:top w:val="nil"/>
              <w:bottom w:val="nil"/>
            </w:tcBorders>
          </w:tcPr>
          <w:p w14:paraId="79F4F980" w14:textId="150FCFA9" w:rsidR="0006346A" w:rsidRPr="00DC3180" w:rsidRDefault="0006346A" w:rsidP="0006346A">
            <w:pPr>
              <w:jc w:val="both"/>
              <w:rPr>
                <w:rFonts w:ascii="Arial" w:hAnsi="Arial" w:cs="Arial"/>
              </w:rPr>
            </w:pPr>
            <w:r w:rsidRPr="005C3126">
              <w:t xml:space="preserve"> </w:t>
            </w:r>
          </w:p>
        </w:tc>
        <w:tc>
          <w:tcPr>
            <w:tcW w:w="1067" w:type="dxa"/>
            <w:tcBorders>
              <w:top w:val="nil"/>
              <w:bottom w:val="nil"/>
            </w:tcBorders>
          </w:tcPr>
          <w:p w14:paraId="4614A8CC" w14:textId="46060041" w:rsidR="0006346A" w:rsidRPr="00DC3180" w:rsidRDefault="0006346A" w:rsidP="0006346A">
            <w:pPr>
              <w:jc w:val="both"/>
              <w:rPr>
                <w:rFonts w:ascii="Arial" w:hAnsi="Arial" w:cs="Arial"/>
              </w:rPr>
            </w:pPr>
            <w:r w:rsidRPr="005C3126">
              <w:t>Male</w:t>
            </w:r>
          </w:p>
        </w:tc>
        <w:tc>
          <w:tcPr>
            <w:tcW w:w="3051" w:type="dxa"/>
            <w:tcBorders>
              <w:top w:val="nil"/>
              <w:bottom w:val="nil"/>
            </w:tcBorders>
          </w:tcPr>
          <w:p w14:paraId="0060C5CC" w14:textId="6F448CB3" w:rsidR="0006346A" w:rsidRPr="00DC3180" w:rsidRDefault="0006346A" w:rsidP="0006346A">
            <w:pPr>
              <w:jc w:val="both"/>
              <w:rPr>
                <w:rFonts w:ascii="Arial" w:hAnsi="Arial"/>
              </w:rPr>
            </w:pPr>
            <w:r w:rsidRPr="005C3126">
              <w:t>16.4</w:t>
            </w:r>
          </w:p>
        </w:tc>
      </w:tr>
      <w:tr w:rsidR="0006346A" w:rsidRPr="00DC3180" w14:paraId="177F4368" w14:textId="77777777" w:rsidTr="00790ADA">
        <w:trPr>
          <w:jc w:val="center"/>
        </w:trPr>
        <w:tc>
          <w:tcPr>
            <w:tcW w:w="3150" w:type="dxa"/>
            <w:tcBorders>
              <w:top w:val="nil"/>
              <w:bottom w:val="nil"/>
            </w:tcBorders>
          </w:tcPr>
          <w:p w14:paraId="3F46A09F" w14:textId="33D69156" w:rsidR="0006346A" w:rsidRPr="00DC3180" w:rsidRDefault="0006346A" w:rsidP="0006346A">
            <w:pPr>
              <w:jc w:val="both"/>
              <w:rPr>
                <w:rFonts w:ascii="Arial" w:hAnsi="Arial"/>
              </w:rPr>
            </w:pPr>
            <w:r w:rsidRPr="005C3126">
              <w:t>Age</w:t>
            </w:r>
          </w:p>
        </w:tc>
        <w:tc>
          <w:tcPr>
            <w:tcW w:w="1067" w:type="dxa"/>
            <w:tcBorders>
              <w:top w:val="nil"/>
              <w:bottom w:val="nil"/>
            </w:tcBorders>
          </w:tcPr>
          <w:p w14:paraId="138CBD45" w14:textId="0D08A6D4" w:rsidR="0006346A" w:rsidRPr="00DC3180" w:rsidRDefault="0006346A" w:rsidP="0006346A">
            <w:pPr>
              <w:jc w:val="both"/>
              <w:rPr>
                <w:rFonts w:ascii="Arial" w:hAnsi="Arial"/>
              </w:rPr>
            </w:pPr>
            <w:r w:rsidRPr="005C3126">
              <w:t>&lt; 30 years old</w:t>
            </w:r>
          </w:p>
        </w:tc>
        <w:tc>
          <w:tcPr>
            <w:tcW w:w="3051" w:type="dxa"/>
            <w:tcBorders>
              <w:top w:val="nil"/>
              <w:bottom w:val="nil"/>
            </w:tcBorders>
          </w:tcPr>
          <w:p w14:paraId="231C80A0" w14:textId="0B4A6EA4" w:rsidR="0006346A" w:rsidRPr="00DC3180" w:rsidRDefault="0006346A" w:rsidP="0006346A">
            <w:pPr>
              <w:jc w:val="both"/>
              <w:rPr>
                <w:rFonts w:ascii="Arial" w:hAnsi="Arial" w:cs="Arial"/>
              </w:rPr>
            </w:pPr>
            <w:r w:rsidRPr="005C3126">
              <w:t>2.6</w:t>
            </w:r>
          </w:p>
        </w:tc>
      </w:tr>
      <w:tr w:rsidR="0006346A" w:rsidRPr="00DC3180" w14:paraId="68805259" w14:textId="77777777" w:rsidTr="00790ADA">
        <w:trPr>
          <w:jc w:val="center"/>
        </w:trPr>
        <w:tc>
          <w:tcPr>
            <w:tcW w:w="3150" w:type="dxa"/>
            <w:tcBorders>
              <w:top w:val="nil"/>
              <w:bottom w:val="nil"/>
            </w:tcBorders>
          </w:tcPr>
          <w:p w14:paraId="0849B8FD" w14:textId="62799761" w:rsidR="0006346A" w:rsidRPr="00DC3180" w:rsidRDefault="0006346A" w:rsidP="0006346A">
            <w:pPr>
              <w:jc w:val="both"/>
              <w:rPr>
                <w:rFonts w:ascii="Arial" w:hAnsi="Arial"/>
              </w:rPr>
            </w:pPr>
            <w:r w:rsidRPr="005C3126">
              <w:t xml:space="preserve"> </w:t>
            </w:r>
          </w:p>
        </w:tc>
        <w:tc>
          <w:tcPr>
            <w:tcW w:w="1067" w:type="dxa"/>
            <w:tcBorders>
              <w:top w:val="nil"/>
              <w:bottom w:val="nil"/>
            </w:tcBorders>
          </w:tcPr>
          <w:p w14:paraId="0F4A6AF9" w14:textId="43A19732" w:rsidR="0006346A" w:rsidRPr="00DC3180" w:rsidRDefault="0006346A" w:rsidP="0006346A">
            <w:pPr>
              <w:jc w:val="both"/>
              <w:rPr>
                <w:rFonts w:ascii="Arial" w:hAnsi="Arial"/>
              </w:rPr>
            </w:pPr>
            <w:r w:rsidRPr="005C3126">
              <w:t>30–59 years old</w:t>
            </w:r>
          </w:p>
        </w:tc>
        <w:tc>
          <w:tcPr>
            <w:tcW w:w="3051" w:type="dxa"/>
            <w:tcBorders>
              <w:top w:val="nil"/>
              <w:bottom w:val="nil"/>
            </w:tcBorders>
          </w:tcPr>
          <w:p w14:paraId="73964FCD" w14:textId="07067197" w:rsidR="0006346A" w:rsidRPr="00DC3180" w:rsidRDefault="0006346A" w:rsidP="0006346A">
            <w:pPr>
              <w:jc w:val="both"/>
              <w:rPr>
                <w:rFonts w:ascii="Arial" w:hAnsi="Arial" w:cs="Arial"/>
              </w:rPr>
            </w:pPr>
            <w:r w:rsidRPr="005C3126">
              <w:t>55.2</w:t>
            </w:r>
          </w:p>
        </w:tc>
      </w:tr>
      <w:tr w:rsidR="0006346A" w:rsidRPr="00DC3180" w14:paraId="77853127" w14:textId="77777777" w:rsidTr="00790ADA">
        <w:trPr>
          <w:jc w:val="center"/>
        </w:trPr>
        <w:tc>
          <w:tcPr>
            <w:tcW w:w="3150" w:type="dxa"/>
            <w:tcBorders>
              <w:top w:val="nil"/>
              <w:bottom w:val="single" w:sz="4" w:space="0" w:color="auto"/>
            </w:tcBorders>
          </w:tcPr>
          <w:p w14:paraId="1DE4094F" w14:textId="48D497B5" w:rsidR="0006346A" w:rsidRPr="00DC3180" w:rsidRDefault="0006346A" w:rsidP="0006346A">
            <w:pPr>
              <w:jc w:val="both"/>
              <w:rPr>
                <w:rFonts w:ascii="Arial" w:hAnsi="Arial"/>
              </w:rPr>
            </w:pPr>
            <w:r w:rsidRPr="005C3126">
              <w:t xml:space="preserve"> </w:t>
            </w:r>
          </w:p>
        </w:tc>
        <w:tc>
          <w:tcPr>
            <w:tcW w:w="1067" w:type="dxa"/>
            <w:tcBorders>
              <w:top w:val="nil"/>
              <w:bottom w:val="single" w:sz="4" w:space="0" w:color="auto"/>
            </w:tcBorders>
          </w:tcPr>
          <w:p w14:paraId="5045E188" w14:textId="33831734" w:rsidR="0006346A" w:rsidRPr="00DC3180" w:rsidRDefault="0006346A" w:rsidP="0006346A">
            <w:pPr>
              <w:jc w:val="both"/>
              <w:rPr>
                <w:rFonts w:ascii="Arial" w:hAnsi="Arial"/>
              </w:rPr>
            </w:pPr>
            <w:r w:rsidRPr="005C3126">
              <w:t>≥ 60 years old</w:t>
            </w:r>
          </w:p>
        </w:tc>
        <w:tc>
          <w:tcPr>
            <w:tcW w:w="3051" w:type="dxa"/>
            <w:tcBorders>
              <w:top w:val="nil"/>
              <w:bottom w:val="single" w:sz="4" w:space="0" w:color="auto"/>
            </w:tcBorders>
          </w:tcPr>
          <w:p w14:paraId="638EC76B" w14:textId="60A9EB7D" w:rsidR="0006346A" w:rsidRPr="00DC3180" w:rsidRDefault="0006346A" w:rsidP="0006346A">
            <w:pPr>
              <w:jc w:val="both"/>
              <w:rPr>
                <w:rFonts w:ascii="Arial" w:hAnsi="Arial" w:cs="Arial"/>
              </w:rPr>
            </w:pPr>
            <w:r w:rsidRPr="005C3126">
              <w:t>10.3</w:t>
            </w:r>
          </w:p>
        </w:tc>
      </w:tr>
    </w:tbl>
    <w:p w14:paraId="7F743F8A" w14:textId="77777777" w:rsidR="0006346A" w:rsidRDefault="0006346A" w:rsidP="00441B6F">
      <w:pPr>
        <w:pStyle w:val="BodyText3"/>
        <w:tabs>
          <w:tab w:val="left" w:pos="1080"/>
        </w:tabs>
        <w:spacing w:after="0"/>
        <w:ind w:left="1080" w:hanging="1080"/>
        <w:jc w:val="both"/>
        <w:rPr>
          <w:rFonts w:ascii="Arial" w:hAnsi="Arial"/>
          <w:bCs/>
          <w:i/>
          <w:sz w:val="18"/>
        </w:rPr>
      </w:pPr>
    </w:p>
    <w:p w14:paraId="4BBBAAD7" w14:textId="473CB839" w:rsidR="00863BD3" w:rsidRDefault="00863BD3" w:rsidP="00441B6F">
      <w:pPr>
        <w:pStyle w:val="BodyText3"/>
        <w:tabs>
          <w:tab w:val="left" w:pos="1080"/>
        </w:tabs>
        <w:spacing w:after="0"/>
        <w:ind w:left="1080" w:hanging="1080"/>
        <w:jc w:val="both"/>
        <w:rPr>
          <w:rFonts w:ascii="Arial" w:hAnsi="Arial"/>
          <w:b/>
          <w:sz w:val="20"/>
          <w:szCs w:val="20"/>
        </w:rPr>
      </w:pPr>
      <w:r w:rsidRPr="008C73BB">
        <w:rPr>
          <w:rFonts w:ascii="Arial" w:hAnsi="Arial"/>
          <w:bCs/>
          <w:i/>
          <w:sz w:val="18"/>
        </w:rPr>
        <w:t>*Moisture content on oven dry weight basis</w:t>
      </w:r>
    </w:p>
    <w:p w14:paraId="7995D5BD"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4C4F1293" w14:textId="77D70EC0" w:rsidR="00CC55D9" w:rsidRPr="00CC55D9" w:rsidRDefault="00CC55D9" w:rsidP="00AF4AF5">
      <w:pPr>
        <w:pStyle w:val="Body"/>
        <w:numPr>
          <w:ilvl w:val="1"/>
          <w:numId w:val="40"/>
        </w:numPr>
        <w:spacing w:after="0"/>
        <w:rPr>
          <w:rFonts w:ascii="Arial" w:hAnsi="Arial" w:cs="Arial"/>
          <w:b/>
          <w:iCs/>
          <w:lang w:val="en"/>
        </w:rPr>
      </w:pPr>
      <w:r w:rsidRPr="00CC55D9">
        <w:rPr>
          <w:rFonts w:ascii="Arial" w:hAnsi="Arial" w:cs="Arial"/>
          <w:b/>
          <w:iCs/>
          <w:lang w:val="en"/>
        </w:rPr>
        <w:t xml:space="preserve">Traditional Use of </w:t>
      </w:r>
      <w:r w:rsidRPr="00CC55D9">
        <w:rPr>
          <w:rFonts w:ascii="Arial" w:hAnsi="Arial" w:cs="Arial"/>
          <w:b/>
          <w:i/>
          <w:lang w:val="en"/>
        </w:rPr>
        <w:t xml:space="preserve">C. Pulcherrima </w:t>
      </w:r>
      <w:r w:rsidRPr="00CC55D9">
        <w:rPr>
          <w:rFonts w:ascii="Arial" w:hAnsi="Arial" w:cs="Arial"/>
          <w:b/>
          <w:iCs/>
          <w:lang w:val="en"/>
        </w:rPr>
        <w:t>in Southern Benin</w:t>
      </w:r>
    </w:p>
    <w:p w14:paraId="1088785B" w14:textId="77777777" w:rsidR="00CC55D9" w:rsidRPr="00CC55D9" w:rsidRDefault="00CC55D9" w:rsidP="00CC55D9">
      <w:pPr>
        <w:pStyle w:val="Body"/>
        <w:spacing w:after="0"/>
        <w:rPr>
          <w:rFonts w:ascii="Arial" w:hAnsi="Arial" w:cs="Arial"/>
          <w:bCs/>
          <w:iCs/>
          <w:lang w:val="en"/>
        </w:rPr>
      </w:pPr>
      <w:r w:rsidRPr="00CC55D9">
        <w:rPr>
          <w:rFonts w:ascii="Arial" w:hAnsi="Arial" w:cs="Arial"/>
          <w:bCs/>
          <w:iCs/>
          <w:lang w:val="en"/>
        </w:rPr>
        <w:t xml:space="preserve">Respondents have a good knowledge of the traditional medicinal use/pharmacopoeia of </w:t>
      </w:r>
      <w:r w:rsidRPr="00CC55D9">
        <w:rPr>
          <w:rFonts w:ascii="Arial" w:hAnsi="Arial" w:cs="Arial"/>
          <w:bCs/>
          <w:i/>
          <w:lang w:val="en"/>
        </w:rPr>
        <w:t xml:space="preserve">C. Pulcherrima </w:t>
      </w:r>
      <w:r w:rsidRPr="00CC55D9">
        <w:rPr>
          <w:rFonts w:ascii="Arial" w:hAnsi="Arial" w:cs="Arial"/>
          <w:bCs/>
          <w:iCs/>
          <w:lang w:val="en"/>
        </w:rPr>
        <w:t>in South Benin. The parts of the plant used (Figure 1) in traditional medicine include the leaves (88.79% of respondents) followed by the roots (40.52% of respondents), the bark (32.76% of respondents), the stems (24.14% of respondents), the flowers (17.24% of respondents), the fruits (6.90% of respondents) and finally the seeds (3.45% of respondents).</w:t>
      </w:r>
    </w:p>
    <w:p w14:paraId="1C198D69" w14:textId="77777777" w:rsidR="00376BBE" w:rsidRDefault="00376BBE" w:rsidP="00441B6F">
      <w:pPr>
        <w:pStyle w:val="Body"/>
        <w:spacing w:after="0"/>
        <w:rPr>
          <w:rFonts w:ascii="Arial" w:hAnsi="Arial" w:cs="Arial"/>
        </w:rPr>
      </w:pPr>
    </w:p>
    <w:p w14:paraId="1B52B3F0" w14:textId="77777777" w:rsidR="00376BBE" w:rsidRDefault="00376BBE" w:rsidP="00441B6F">
      <w:pPr>
        <w:pStyle w:val="Body"/>
        <w:spacing w:after="0"/>
        <w:rPr>
          <w:rFonts w:ascii="Arial" w:hAnsi="Arial" w:cs="Arial"/>
        </w:rPr>
      </w:pPr>
    </w:p>
    <w:p w14:paraId="4ECDB9E8" w14:textId="41184335" w:rsidR="00927834" w:rsidRDefault="00CC55D9" w:rsidP="00441B6F">
      <w:pPr>
        <w:autoSpaceDE w:val="0"/>
        <w:autoSpaceDN w:val="0"/>
        <w:adjustRightInd w:val="0"/>
        <w:jc w:val="both"/>
        <w:rPr>
          <w:rFonts w:ascii="Arial" w:hAnsi="Arial" w:cs="Arial"/>
          <w:b/>
          <w:bCs/>
          <w:sz w:val="22"/>
          <w:szCs w:val="22"/>
        </w:rPr>
      </w:pPr>
      <w:r w:rsidRPr="00D72399">
        <w:rPr>
          <w:rFonts w:ascii="Arial" w:hAnsi="Arial" w:cs="Arial"/>
          <w:noProof/>
          <w:sz w:val="24"/>
          <w:szCs w:val="24"/>
        </w:rPr>
        <w:lastRenderedPageBreak/>
        <w:drawing>
          <wp:inline distT="0" distB="0" distL="0" distR="0" wp14:anchorId="53CEB468" wp14:editId="61BB4C17">
            <wp:extent cx="6096000" cy="2743200"/>
            <wp:effectExtent l="0" t="0" r="0" b="0"/>
            <wp:docPr id="1" name="Graphique 1">
              <a:extLst xmlns:a="http://schemas.openxmlformats.org/drawingml/2006/main">
                <a:ext uri="{FF2B5EF4-FFF2-40B4-BE49-F238E27FC236}">
                  <a16:creationId xmlns:a16="http://schemas.microsoft.com/office/drawing/2014/main" id="{42CF4263-1165-A663-8E28-A7F0EE7013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61CA34" w14:textId="77777777" w:rsidR="00927834" w:rsidRDefault="00927834" w:rsidP="00441B6F">
      <w:pPr>
        <w:autoSpaceDE w:val="0"/>
        <w:autoSpaceDN w:val="0"/>
        <w:adjustRightInd w:val="0"/>
        <w:jc w:val="both"/>
        <w:rPr>
          <w:rFonts w:ascii="Arial" w:hAnsi="Arial" w:cs="Arial"/>
          <w:b/>
          <w:bCs/>
          <w:szCs w:val="22"/>
        </w:rPr>
      </w:pPr>
    </w:p>
    <w:p w14:paraId="780483BB" w14:textId="6E58DF42" w:rsidR="00CC55D9" w:rsidRDefault="009E048A" w:rsidP="00CC55D9">
      <w:pPr>
        <w:autoSpaceDE w:val="0"/>
        <w:autoSpaceDN w:val="0"/>
        <w:adjustRightInd w:val="0"/>
        <w:jc w:val="both"/>
        <w:rPr>
          <w:rFonts w:ascii="Arial" w:hAnsi="Arial" w:cs="Arial"/>
          <w:b/>
          <w:bCs/>
          <w:szCs w:val="22"/>
          <w:lang w:val="en"/>
        </w:rPr>
      </w:pPr>
      <w:r>
        <w:rPr>
          <w:rFonts w:ascii="Arial" w:hAnsi="Arial" w:cs="Arial"/>
          <w:b/>
          <w:bCs/>
          <w:szCs w:val="22"/>
        </w:rPr>
        <w:t>Fig.</w:t>
      </w:r>
      <w:r w:rsidR="00927834" w:rsidRPr="008247A6">
        <w:rPr>
          <w:rFonts w:ascii="Arial" w:hAnsi="Arial" w:cs="Arial"/>
          <w:b/>
          <w:bCs/>
          <w:szCs w:val="22"/>
        </w:rPr>
        <w:t xml:space="preserve"> </w:t>
      </w:r>
      <w:r w:rsidR="005E1EBB">
        <w:rPr>
          <w:rFonts w:ascii="Arial" w:hAnsi="Arial" w:cs="Arial"/>
          <w:b/>
          <w:bCs/>
          <w:szCs w:val="22"/>
        </w:rPr>
        <w:t>2</w:t>
      </w:r>
      <w:r w:rsidR="00CC55D9" w:rsidRPr="00CC55D9">
        <w:rPr>
          <w:rFonts w:ascii="Arial" w:eastAsiaTheme="minorHAnsi" w:hAnsi="Arial" w:cs="Arial"/>
          <w:bCs/>
          <w:sz w:val="24"/>
          <w:szCs w:val="24"/>
          <w:lang w:val="en"/>
        </w:rPr>
        <w:t xml:space="preserve"> </w:t>
      </w:r>
      <w:r w:rsidR="00CC55D9" w:rsidRPr="00CC55D9">
        <w:rPr>
          <w:rFonts w:ascii="Arial" w:hAnsi="Arial" w:cs="Arial"/>
          <w:b/>
          <w:bCs/>
          <w:szCs w:val="22"/>
          <w:lang w:val="en"/>
        </w:rPr>
        <w:t xml:space="preserve">The parts of </w:t>
      </w:r>
      <w:r w:rsidR="00CC55D9" w:rsidRPr="00CC55D9">
        <w:rPr>
          <w:rFonts w:ascii="Arial" w:hAnsi="Arial" w:cs="Arial"/>
          <w:b/>
          <w:bCs/>
          <w:i/>
          <w:szCs w:val="22"/>
          <w:lang w:val="en"/>
        </w:rPr>
        <w:t xml:space="preserve">C. Pulcherrima used </w:t>
      </w:r>
      <w:r w:rsidR="00CC55D9" w:rsidRPr="00CC55D9">
        <w:rPr>
          <w:rFonts w:ascii="Arial" w:hAnsi="Arial" w:cs="Arial"/>
          <w:b/>
          <w:bCs/>
          <w:szCs w:val="22"/>
          <w:lang w:val="en"/>
        </w:rPr>
        <w:t>for the treatment of diseases.</w:t>
      </w:r>
    </w:p>
    <w:p w14:paraId="6CC410C1" w14:textId="77777777" w:rsidR="00CC55D9" w:rsidRPr="00CC55D9" w:rsidRDefault="00CC55D9" w:rsidP="00CC55D9">
      <w:pPr>
        <w:autoSpaceDE w:val="0"/>
        <w:autoSpaceDN w:val="0"/>
        <w:adjustRightInd w:val="0"/>
        <w:jc w:val="both"/>
        <w:rPr>
          <w:rFonts w:ascii="Arial" w:hAnsi="Arial" w:cs="Arial"/>
          <w:b/>
          <w:bCs/>
          <w:szCs w:val="22"/>
          <w:lang w:val="en"/>
        </w:rPr>
      </w:pPr>
    </w:p>
    <w:p w14:paraId="3083BB0C"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 xml:space="preserve">The organs of </w:t>
      </w:r>
      <w:r w:rsidRPr="00CC55D9">
        <w:rPr>
          <w:rFonts w:ascii="Arial" w:hAnsi="Arial" w:cs="Arial"/>
          <w:i/>
          <w:szCs w:val="22"/>
          <w:lang w:val="en"/>
        </w:rPr>
        <w:t xml:space="preserve">Caesalpinia pulcherrima </w:t>
      </w:r>
      <w:r w:rsidRPr="00CC55D9">
        <w:rPr>
          <w:rFonts w:ascii="Arial" w:hAnsi="Arial" w:cs="Arial"/>
          <w:szCs w:val="22"/>
          <w:lang w:val="en"/>
        </w:rPr>
        <w:t>are used by herbalists and traditional healers to treat more than twenty diseases (Figure 2). Extracts are administered orally or externally. Certain parts of the plant are used in combination to treat specific illnesses. Among the conditions most frequently treated with different organs, chronic infections are the most frequently cited (74.14% of respondents). It is also widely used in the treatment of ulcers (25.0%), chronic internal, oral, or cutaneous wounds (15.52% of respondents), coughs (13.04% of respondents), and measles (10.34% of respondents).</w:t>
      </w:r>
    </w:p>
    <w:p w14:paraId="53970D53" w14:textId="603E865B" w:rsidR="00927834" w:rsidRDefault="00927834" w:rsidP="00441B6F">
      <w:pPr>
        <w:autoSpaceDE w:val="0"/>
        <w:autoSpaceDN w:val="0"/>
        <w:adjustRightInd w:val="0"/>
        <w:jc w:val="both"/>
        <w:rPr>
          <w:rFonts w:ascii="Arial" w:hAnsi="Arial" w:cs="Arial"/>
          <w:b/>
          <w:bCs/>
          <w:szCs w:val="22"/>
        </w:rPr>
      </w:pPr>
    </w:p>
    <w:p w14:paraId="043FEEFC" w14:textId="77777777" w:rsidR="00CC55D9" w:rsidRDefault="00CC55D9" w:rsidP="00CC55D9">
      <w:pPr>
        <w:autoSpaceDE w:val="0"/>
        <w:autoSpaceDN w:val="0"/>
        <w:adjustRightInd w:val="0"/>
        <w:jc w:val="both"/>
        <w:rPr>
          <w:rFonts w:ascii="Arial" w:hAnsi="Arial" w:cs="Arial"/>
          <w:b/>
          <w:bCs/>
          <w:szCs w:val="22"/>
          <w:lang w:val="en"/>
        </w:rPr>
      </w:pPr>
      <w:r w:rsidRPr="00CC55D9">
        <w:rPr>
          <w:rFonts w:ascii="Arial" w:hAnsi="Arial" w:cs="Arial"/>
          <w:b/>
          <w:bCs/>
          <w:szCs w:val="22"/>
          <w:lang w:val="en"/>
        </w:rPr>
        <w:t>Table II: Parts used to treat pathologies with preparation method</w:t>
      </w:r>
    </w:p>
    <w:tbl>
      <w:tblPr>
        <w:tblW w:w="10898" w:type="dxa"/>
        <w:tblLook w:val="04A0" w:firstRow="1" w:lastRow="0" w:firstColumn="1" w:lastColumn="0" w:noHBand="0" w:noVBand="1"/>
      </w:tblPr>
      <w:tblGrid>
        <w:gridCol w:w="1600"/>
        <w:gridCol w:w="5338"/>
        <w:gridCol w:w="3960"/>
      </w:tblGrid>
      <w:tr w:rsidR="00CC55D9" w:rsidRPr="00CC55D9" w14:paraId="1CECAAD9" w14:textId="77777777" w:rsidTr="00A05EF0">
        <w:trPr>
          <w:trHeight w:val="330"/>
        </w:trPr>
        <w:tc>
          <w:tcPr>
            <w:tcW w:w="1600" w:type="dxa"/>
            <w:tcBorders>
              <w:top w:val="single" w:sz="8" w:space="0" w:color="auto"/>
              <w:left w:val="single" w:sz="8" w:space="0" w:color="auto"/>
              <w:bottom w:val="single" w:sz="8" w:space="0" w:color="auto"/>
              <w:right w:val="single" w:sz="8" w:space="0" w:color="auto"/>
            </w:tcBorders>
            <w:vAlign w:val="center"/>
            <w:hideMark/>
          </w:tcPr>
          <w:p w14:paraId="5B33A4C2"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Parts used</w:t>
            </w:r>
          </w:p>
        </w:tc>
        <w:tc>
          <w:tcPr>
            <w:tcW w:w="5338" w:type="dxa"/>
            <w:tcBorders>
              <w:top w:val="single" w:sz="8" w:space="0" w:color="auto"/>
              <w:left w:val="nil"/>
              <w:bottom w:val="single" w:sz="8" w:space="0" w:color="auto"/>
              <w:right w:val="single" w:sz="8" w:space="0" w:color="auto"/>
            </w:tcBorders>
            <w:vAlign w:val="center"/>
            <w:hideMark/>
          </w:tcPr>
          <w:p w14:paraId="6744996A"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Conditions treated</w:t>
            </w:r>
          </w:p>
        </w:tc>
        <w:tc>
          <w:tcPr>
            <w:tcW w:w="3960" w:type="dxa"/>
            <w:tcBorders>
              <w:top w:val="single" w:sz="8" w:space="0" w:color="auto"/>
              <w:left w:val="nil"/>
              <w:bottom w:val="single" w:sz="8" w:space="0" w:color="auto"/>
              <w:right w:val="single" w:sz="8" w:space="0" w:color="auto"/>
            </w:tcBorders>
            <w:vAlign w:val="center"/>
            <w:hideMark/>
          </w:tcPr>
          <w:p w14:paraId="4DBE69C6"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Preparation methods</w:t>
            </w:r>
          </w:p>
        </w:tc>
      </w:tr>
      <w:tr w:rsidR="00CC55D9" w:rsidRPr="00CC55D9" w14:paraId="3001D3FA" w14:textId="77777777" w:rsidTr="00A05EF0">
        <w:trPr>
          <w:trHeight w:val="1944"/>
        </w:trPr>
        <w:tc>
          <w:tcPr>
            <w:tcW w:w="1600" w:type="dxa"/>
            <w:tcBorders>
              <w:top w:val="nil"/>
              <w:left w:val="single" w:sz="8" w:space="0" w:color="auto"/>
              <w:bottom w:val="single" w:sz="8" w:space="0" w:color="auto"/>
              <w:right w:val="single" w:sz="8" w:space="0" w:color="auto"/>
            </w:tcBorders>
            <w:vAlign w:val="center"/>
            <w:hideMark/>
          </w:tcPr>
          <w:p w14:paraId="3E62F91C"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Leaves</w:t>
            </w:r>
          </w:p>
        </w:tc>
        <w:tc>
          <w:tcPr>
            <w:tcW w:w="5338" w:type="dxa"/>
            <w:tcBorders>
              <w:top w:val="nil"/>
              <w:left w:val="nil"/>
              <w:bottom w:val="single" w:sz="8" w:space="0" w:color="auto"/>
              <w:right w:val="single" w:sz="8" w:space="0" w:color="auto"/>
            </w:tcBorders>
            <w:vAlign w:val="center"/>
            <w:hideMark/>
          </w:tcPr>
          <w:p w14:paraId="75FB7C70"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 xml:space="preserve">Sore throat, Anemia, Asthma, </w:t>
            </w:r>
            <w:proofErr w:type="spellStart"/>
            <w:r w:rsidRPr="00CC55D9">
              <w:rPr>
                <w:rFonts w:ascii="Arial" w:hAnsi="Arial" w:cs="Arial"/>
                <w:szCs w:val="22"/>
                <w:lang w:val="en"/>
              </w:rPr>
              <w:t>Atita</w:t>
            </w:r>
            <w:proofErr w:type="spellEnd"/>
            <w:r w:rsidRPr="00CC55D9">
              <w:rPr>
                <w:rFonts w:ascii="Arial" w:hAnsi="Arial" w:cs="Arial"/>
                <w:szCs w:val="22"/>
                <w:lang w:val="en"/>
              </w:rPr>
              <w:t>/</w:t>
            </w:r>
            <w:proofErr w:type="spellStart"/>
            <w:proofErr w:type="gramStart"/>
            <w:r w:rsidRPr="00CC55D9">
              <w:rPr>
                <w:rFonts w:ascii="Arial" w:hAnsi="Arial" w:cs="Arial"/>
                <w:szCs w:val="22"/>
                <w:lang w:val="en"/>
              </w:rPr>
              <w:t>Agnanma</w:t>
            </w:r>
            <w:proofErr w:type="spellEnd"/>
            <w:r w:rsidRPr="00CC55D9">
              <w:rPr>
                <w:rFonts w:ascii="Arial" w:hAnsi="Arial" w:cs="Arial"/>
                <w:szCs w:val="22"/>
                <w:lang w:val="en"/>
              </w:rPr>
              <w:t xml:space="preserve"> ,</w:t>
            </w:r>
            <w:proofErr w:type="gramEnd"/>
            <w:r w:rsidRPr="00CC55D9">
              <w:rPr>
                <w:rFonts w:ascii="Arial" w:hAnsi="Arial" w:cs="Arial"/>
                <w:szCs w:val="22"/>
                <w:lang w:val="en"/>
              </w:rPr>
              <w:t xml:space="preserve"> Attracts good luck, Drives away evil spirits, Constipation, Body aches, Skin conditions, Diarrhea, Typhoid fever, Fever, Hemorrhoids, Jaundice, Infection/Any type of infection, Stomach aches, Bad breath, Lower abdominal pain, Liver problems, Malaria, Wounds, Common cold, Measles, High blood pressure, Cough, Ulcer, Epilepsy</w:t>
            </w:r>
          </w:p>
        </w:tc>
        <w:tc>
          <w:tcPr>
            <w:tcW w:w="3960" w:type="dxa"/>
            <w:tcBorders>
              <w:top w:val="nil"/>
              <w:left w:val="nil"/>
              <w:bottom w:val="single" w:sz="8" w:space="0" w:color="auto"/>
              <w:right w:val="single" w:sz="8" w:space="0" w:color="auto"/>
            </w:tcBorders>
            <w:vAlign w:val="center"/>
            <w:hideMark/>
          </w:tcPr>
          <w:p w14:paraId="4BE1C9A6"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lang w:val="en"/>
              </w:rPr>
              <w:t xml:space="preserve"> </w:t>
            </w:r>
            <w:r w:rsidRPr="00CC55D9">
              <w:rPr>
                <w:rFonts w:ascii="Arial" w:hAnsi="Arial" w:cs="Arial"/>
                <w:szCs w:val="22"/>
              </w:rPr>
              <w:t>Alcohol tincture + lemon, tincture, decoction</w:t>
            </w:r>
          </w:p>
        </w:tc>
      </w:tr>
      <w:tr w:rsidR="00CC55D9" w:rsidRPr="00A05EF0" w14:paraId="27731F7D" w14:textId="77777777" w:rsidTr="00A05EF0">
        <w:trPr>
          <w:trHeight w:val="540"/>
        </w:trPr>
        <w:tc>
          <w:tcPr>
            <w:tcW w:w="1600" w:type="dxa"/>
            <w:tcBorders>
              <w:top w:val="nil"/>
              <w:left w:val="single" w:sz="8" w:space="0" w:color="auto"/>
              <w:bottom w:val="single" w:sz="8" w:space="0" w:color="auto"/>
              <w:right w:val="single" w:sz="8" w:space="0" w:color="auto"/>
            </w:tcBorders>
            <w:vAlign w:val="center"/>
            <w:hideMark/>
          </w:tcPr>
          <w:p w14:paraId="512DDC29"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Flowers</w:t>
            </w:r>
          </w:p>
        </w:tc>
        <w:tc>
          <w:tcPr>
            <w:tcW w:w="5338" w:type="dxa"/>
            <w:tcBorders>
              <w:top w:val="nil"/>
              <w:left w:val="nil"/>
              <w:bottom w:val="single" w:sz="8" w:space="0" w:color="auto"/>
              <w:right w:val="single" w:sz="8" w:space="0" w:color="auto"/>
            </w:tcBorders>
            <w:vAlign w:val="center"/>
            <w:hideMark/>
          </w:tcPr>
          <w:p w14:paraId="6763EF87"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Sore throat, Asthma, Dermatosis, Typhoid fever, Infection/Any type of infection, Malaria, Wound, Cough, Ulcer</w:t>
            </w:r>
          </w:p>
        </w:tc>
        <w:tc>
          <w:tcPr>
            <w:tcW w:w="3960" w:type="dxa"/>
            <w:tcBorders>
              <w:top w:val="nil"/>
              <w:left w:val="nil"/>
              <w:bottom w:val="single" w:sz="8" w:space="0" w:color="auto"/>
              <w:right w:val="single" w:sz="8" w:space="0" w:color="auto"/>
            </w:tcBorders>
            <w:vAlign w:val="center"/>
            <w:hideMark/>
          </w:tcPr>
          <w:p w14:paraId="7FE8F7B0" w14:textId="77777777" w:rsidR="00CC55D9" w:rsidRPr="00A05EF0" w:rsidRDefault="00CC55D9" w:rsidP="00CC55D9">
            <w:pPr>
              <w:autoSpaceDE w:val="0"/>
              <w:autoSpaceDN w:val="0"/>
              <w:adjustRightInd w:val="0"/>
              <w:jc w:val="both"/>
              <w:rPr>
                <w:rFonts w:ascii="Arial" w:hAnsi="Arial" w:cs="Arial"/>
                <w:szCs w:val="22"/>
                <w:lang w:val="fr-FR"/>
              </w:rPr>
            </w:pPr>
            <w:proofErr w:type="spellStart"/>
            <w:r w:rsidRPr="00A05EF0">
              <w:rPr>
                <w:rFonts w:ascii="Arial" w:hAnsi="Arial" w:cs="Arial"/>
                <w:szCs w:val="22"/>
                <w:lang w:val="fr-FR"/>
              </w:rPr>
              <w:t>Tincture</w:t>
            </w:r>
            <w:proofErr w:type="spellEnd"/>
            <w:r w:rsidRPr="00A05EF0">
              <w:rPr>
                <w:rFonts w:ascii="Arial" w:hAnsi="Arial" w:cs="Arial"/>
                <w:szCs w:val="22"/>
                <w:lang w:val="fr-FR"/>
              </w:rPr>
              <w:t xml:space="preserve"> + </w:t>
            </w:r>
            <w:proofErr w:type="spellStart"/>
            <w:r w:rsidRPr="00A05EF0">
              <w:rPr>
                <w:rFonts w:ascii="Arial" w:hAnsi="Arial" w:cs="Arial"/>
                <w:szCs w:val="22"/>
                <w:lang w:val="fr-FR"/>
              </w:rPr>
              <w:t>lemon</w:t>
            </w:r>
            <w:proofErr w:type="spellEnd"/>
            <w:r w:rsidRPr="00A05EF0">
              <w:rPr>
                <w:rFonts w:ascii="Arial" w:hAnsi="Arial" w:cs="Arial"/>
                <w:szCs w:val="22"/>
                <w:lang w:val="fr-FR"/>
              </w:rPr>
              <w:t xml:space="preserve">, </w:t>
            </w:r>
            <w:proofErr w:type="spellStart"/>
            <w:r w:rsidRPr="00A05EF0">
              <w:rPr>
                <w:rFonts w:ascii="Arial" w:hAnsi="Arial" w:cs="Arial"/>
                <w:szCs w:val="22"/>
                <w:lang w:val="fr-FR"/>
              </w:rPr>
              <w:t>tincture</w:t>
            </w:r>
            <w:proofErr w:type="spellEnd"/>
            <w:r w:rsidRPr="00A05EF0">
              <w:rPr>
                <w:rFonts w:ascii="Arial" w:hAnsi="Arial" w:cs="Arial"/>
                <w:szCs w:val="22"/>
                <w:lang w:val="fr-FR"/>
              </w:rPr>
              <w:t xml:space="preserve">, </w:t>
            </w:r>
            <w:proofErr w:type="spellStart"/>
            <w:r w:rsidRPr="00A05EF0">
              <w:rPr>
                <w:rFonts w:ascii="Arial" w:hAnsi="Arial" w:cs="Arial"/>
                <w:szCs w:val="22"/>
                <w:lang w:val="fr-FR"/>
              </w:rPr>
              <w:t>decoction</w:t>
            </w:r>
            <w:proofErr w:type="spellEnd"/>
            <w:r w:rsidRPr="00A05EF0">
              <w:rPr>
                <w:rFonts w:ascii="Arial" w:hAnsi="Arial" w:cs="Arial"/>
                <w:szCs w:val="22"/>
                <w:lang w:val="fr-FR"/>
              </w:rPr>
              <w:t>, infusion</w:t>
            </w:r>
          </w:p>
        </w:tc>
      </w:tr>
      <w:tr w:rsidR="00CC55D9" w:rsidRPr="00CC55D9" w14:paraId="7F760EB0" w14:textId="77777777" w:rsidTr="00A05EF0">
        <w:trPr>
          <w:trHeight w:val="549"/>
        </w:trPr>
        <w:tc>
          <w:tcPr>
            <w:tcW w:w="1600" w:type="dxa"/>
            <w:tcBorders>
              <w:top w:val="nil"/>
              <w:left w:val="single" w:sz="8" w:space="0" w:color="auto"/>
              <w:bottom w:val="single" w:sz="8" w:space="0" w:color="auto"/>
              <w:right w:val="single" w:sz="8" w:space="0" w:color="auto"/>
            </w:tcBorders>
            <w:vAlign w:val="center"/>
            <w:hideMark/>
          </w:tcPr>
          <w:p w14:paraId="068BBE54"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Fruits</w:t>
            </w:r>
          </w:p>
        </w:tc>
        <w:tc>
          <w:tcPr>
            <w:tcW w:w="5338" w:type="dxa"/>
            <w:tcBorders>
              <w:top w:val="nil"/>
              <w:left w:val="nil"/>
              <w:bottom w:val="single" w:sz="8" w:space="0" w:color="auto"/>
              <w:right w:val="single" w:sz="8" w:space="0" w:color="auto"/>
            </w:tcBorders>
            <w:vAlign w:val="center"/>
            <w:hideMark/>
          </w:tcPr>
          <w:p w14:paraId="3A114DAB"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Sore throat, infection/any type of infection, wound, high blood pressure, cough</w:t>
            </w:r>
          </w:p>
        </w:tc>
        <w:tc>
          <w:tcPr>
            <w:tcW w:w="3960" w:type="dxa"/>
            <w:tcBorders>
              <w:top w:val="nil"/>
              <w:left w:val="nil"/>
              <w:bottom w:val="single" w:sz="8" w:space="0" w:color="auto"/>
              <w:right w:val="single" w:sz="8" w:space="0" w:color="auto"/>
            </w:tcBorders>
            <w:vAlign w:val="center"/>
            <w:hideMark/>
          </w:tcPr>
          <w:p w14:paraId="44DD78F4"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Alcohol extract + lemon, tincture, decoction, infusion</w:t>
            </w:r>
          </w:p>
        </w:tc>
      </w:tr>
      <w:tr w:rsidR="00CC55D9" w:rsidRPr="00CC55D9" w14:paraId="663E3D06" w14:textId="77777777" w:rsidTr="00A05EF0">
        <w:trPr>
          <w:trHeight w:val="1125"/>
        </w:trPr>
        <w:tc>
          <w:tcPr>
            <w:tcW w:w="1600" w:type="dxa"/>
            <w:tcBorders>
              <w:top w:val="nil"/>
              <w:left w:val="single" w:sz="8" w:space="0" w:color="auto"/>
              <w:bottom w:val="single" w:sz="8" w:space="0" w:color="auto"/>
              <w:right w:val="single" w:sz="8" w:space="0" w:color="auto"/>
            </w:tcBorders>
            <w:vAlign w:val="center"/>
            <w:hideMark/>
          </w:tcPr>
          <w:p w14:paraId="6F1E8546"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Barks</w:t>
            </w:r>
          </w:p>
        </w:tc>
        <w:tc>
          <w:tcPr>
            <w:tcW w:w="5338" w:type="dxa"/>
            <w:tcBorders>
              <w:top w:val="nil"/>
              <w:left w:val="nil"/>
              <w:bottom w:val="single" w:sz="8" w:space="0" w:color="auto"/>
              <w:right w:val="single" w:sz="8" w:space="0" w:color="auto"/>
            </w:tcBorders>
            <w:vAlign w:val="center"/>
            <w:hideMark/>
          </w:tcPr>
          <w:p w14:paraId="00EBBAB5"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 xml:space="preserve">Asthma, </w:t>
            </w:r>
            <w:proofErr w:type="spellStart"/>
            <w:r w:rsidRPr="00CC55D9">
              <w:rPr>
                <w:rFonts w:ascii="Arial" w:hAnsi="Arial" w:cs="Arial"/>
                <w:szCs w:val="22"/>
                <w:lang w:val="en"/>
              </w:rPr>
              <w:t>Atita</w:t>
            </w:r>
            <w:proofErr w:type="spellEnd"/>
            <w:r w:rsidRPr="00CC55D9">
              <w:rPr>
                <w:rFonts w:ascii="Arial" w:hAnsi="Arial" w:cs="Arial"/>
                <w:szCs w:val="22"/>
                <w:lang w:val="en"/>
              </w:rPr>
              <w:t>/</w:t>
            </w:r>
            <w:proofErr w:type="spellStart"/>
            <w:proofErr w:type="gramStart"/>
            <w:r w:rsidRPr="00CC55D9">
              <w:rPr>
                <w:rFonts w:ascii="Arial" w:hAnsi="Arial" w:cs="Arial"/>
                <w:szCs w:val="22"/>
                <w:lang w:val="en"/>
              </w:rPr>
              <w:t>Agnanma</w:t>
            </w:r>
            <w:proofErr w:type="spellEnd"/>
            <w:r w:rsidRPr="00CC55D9">
              <w:rPr>
                <w:rFonts w:ascii="Arial" w:hAnsi="Arial" w:cs="Arial"/>
                <w:szCs w:val="22"/>
                <w:lang w:val="en"/>
              </w:rPr>
              <w:t xml:space="preserve"> ,</w:t>
            </w:r>
            <w:proofErr w:type="gramEnd"/>
            <w:r w:rsidRPr="00CC55D9">
              <w:rPr>
                <w:rFonts w:ascii="Arial" w:hAnsi="Arial" w:cs="Arial"/>
                <w:szCs w:val="22"/>
                <w:lang w:val="en"/>
              </w:rPr>
              <w:t xml:space="preserve"> Dental caries, Dermatosis, Diarrhea, Typhoid fever, Fever, Infantile fever, Hemorrhoids, Jaundice, Infection/Any type of infection, Stomach pain, Malaria, Wound, Measles, Cough, Ulcer</w:t>
            </w:r>
          </w:p>
        </w:tc>
        <w:tc>
          <w:tcPr>
            <w:tcW w:w="3960" w:type="dxa"/>
            <w:tcBorders>
              <w:top w:val="nil"/>
              <w:left w:val="nil"/>
              <w:bottom w:val="single" w:sz="8" w:space="0" w:color="auto"/>
              <w:right w:val="single" w:sz="8" w:space="0" w:color="auto"/>
            </w:tcBorders>
            <w:vAlign w:val="center"/>
            <w:hideMark/>
          </w:tcPr>
          <w:p w14:paraId="6E6650FF"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Alcohol extract, alcohol extract + lemon, decoction, infusion</w:t>
            </w:r>
          </w:p>
        </w:tc>
      </w:tr>
      <w:tr w:rsidR="00CC55D9" w:rsidRPr="00CC55D9" w14:paraId="2DA6AF1D" w14:textId="77777777" w:rsidTr="00A05EF0">
        <w:trPr>
          <w:trHeight w:val="390"/>
        </w:trPr>
        <w:tc>
          <w:tcPr>
            <w:tcW w:w="1600" w:type="dxa"/>
            <w:tcBorders>
              <w:top w:val="nil"/>
              <w:left w:val="single" w:sz="8" w:space="0" w:color="auto"/>
              <w:bottom w:val="single" w:sz="8" w:space="0" w:color="auto"/>
              <w:right w:val="single" w:sz="8" w:space="0" w:color="auto"/>
            </w:tcBorders>
            <w:vAlign w:val="center"/>
            <w:hideMark/>
          </w:tcPr>
          <w:p w14:paraId="7CB7F441"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Seeds</w:t>
            </w:r>
          </w:p>
        </w:tc>
        <w:tc>
          <w:tcPr>
            <w:tcW w:w="5338" w:type="dxa"/>
            <w:tcBorders>
              <w:top w:val="nil"/>
              <w:left w:val="nil"/>
              <w:bottom w:val="single" w:sz="8" w:space="0" w:color="auto"/>
              <w:right w:val="single" w:sz="8" w:space="0" w:color="auto"/>
            </w:tcBorders>
            <w:vAlign w:val="center"/>
            <w:hideMark/>
          </w:tcPr>
          <w:p w14:paraId="38226317"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Asthma, Infection/Any type of infection, Malaria, Wound, Cough</w:t>
            </w:r>
          </w:p>
        </w:tc>
        <w:tc>
          <w:tcPr>
            <w:tcW w:w="3960" w:type="dxa"/>
            <w:tcBorders>
              <w:top w:val="nil"/>
              <w:left w:val="nil"/>
              <w:bottom w:val="single" w:sz="8" w:space="0" w:color="auto"/>
              <w:right w:val="single" w:sz="8" w:space="0" w:color="auto"/>
            </w:tcBorders>
            <w:vAlign w:val="center"/>
            <w:hideMark/>
          </w:tcPr>
          <w:p w14:paraId="1A403E67"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Alcohol extract, alcohol extract + lemon, decoction, infusion</w:t>
            </w:r>
          </w:p>
        </w:tc>
      </w:tr>
      <w:tr w:rsidR="00CC55D9" w:rsidRPr="00CC55D9" w14:paraId="209E285C" w14:textId="77777777" w:rsidTr="00A05EF0">
        <w:trPr>
          <w:trHeight w:val="1688"/>
        </w:trPr>
        <w:tc>
          <w:tcPr>
            <w:tcW w:w="1600" w:type="dxa"/>
            <w:tcBorders>
              <w:top w:val="nil"/>
              <w:left w:val="single" w:sz="8" w:space="0" w:color="auto"/>
              <w:bottom w:val="single" w:sz="8" w:space="0" w:color="auto"/>
              <w:right w:val="single" w:sz="8" w:space="0" w:color="auto"/>
            </w:tcBorders>
            <w:vAlign w:val="center"/>
            <w:hideMark/>
          </w:tcPr>
          <w:p w14:paraId="6E98C020"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Roots</w:t>
            </w:r>
          </w:p>
        </w:tc>
        <w:tc>
          <w:tcPr>
            <w:tcW w:w="5338" w:type="dxa"/>
            <w:tcBorders>
              <w:top w:val="nil"/>
              <w:left w:val="nil"/>
              <w:bottom w:val="single" w:sz="8" w:space="0" w:color="auto"/>
              <w:right w:val="single" w:sz="8" w:space="0" w:color="auto"/>
            </w:tcBorders>
            <w:vAlign w:val="center"/>
            <w:hideMark/>
          </w:tcPr>
          <w:p w14:paraId="750F8E99"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 xml:space="preserve">Asthma, </w:t>
            </w:r>
            <w:proofErr w:type="spellStart"/>
            <w:r w:rsidRPr="00CC55D9">
              <w:rPr>
                <w:rFonts w:ascii="Arial" w:hAnsi="Arial" w:cs="Arial"/>
                <w:szCs w:val="22"/>
                <w:lang w:val="en"/>
              </w:rPr>
              <w:t>Atita</w:t>
            </w:r>
            <w:proofErr w:type="spellEnd"/>
            <w:r w:rsidRPr="00CC55D9">
              <w:rPr>
                <w:rFonts w:ascii="Arial" w:hAnsi="Arial" w:cs="Arial"/>
                <w:szCs w:val="22"/>
                <w:lang w:val="en"/>
              </w:rPr>
              <w:t>/</w:t>
            </w:r>
            <w:proofErr w:type="spellStart"/>
            <w:r w:rsidRPr="00CC55D9">
              <w:rPr>
                <w:rFonts w:ascii="Arial" w:hAnsi="Arial" w:cs="Arial"/>
                <w:szCs w:val="22"/>
                <w:lang w:val="en"/>
              </w:rPr>
              <w:t>Agnanma</w:t>
            </w:r>
            <w:proofErr w:type="spellEnd"/>
            <w:r w:rsidRPr="00CC55D9">
              <w:rPr>
                <w:rFonts w:ascii="Arial" w:hAnsi="Arial" w:cs="Arial"/>
                <w:szCs w:val="22"/>
                <w:lang w:val="en"/>
              </w:rPr>
              <w:t>, Dermatosis, Typhoid fever, Fever, Hemorrhoids, Jaundice, Infection/Any type of infection, Stomach pain, Lower abdominal pain, Liver pain, Malaria, Wound, Common cold, Measles, High blood pressure, Cough, Ulcer</w:t>
            </w:r>
          </w:p>
        </w:tc>
        <w:tc>
          <w:tcPr>
            <w:tcW w:w="3960" w:type="dxa"/>
            <w:tcBorders>
              <w:top w:val="nil"/>
              <w:left w:val="nil"/>
              <w:bottom w:val="single" w:sz="8" w:space="0" w:color="auto"/>
              <w:right w:val="single" w:sz="8" w:space="0" w:color="auto"/>
            </w:tcBorders>
            <w:vAlign w:val="center"/>
            <w:hideMark/>
          </w:tcPr>
          <w:p w14:paraId="70DE70E6"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Alcohol tincture + lemon, tincture, decoction, infusion</w:t>
            </w:r>
          </w:p>
        </w:tc>
      </w:tr>
      <w:tr w:rsidR="00CC55D9" w:rsidRPr="00CC55D9" w14:paraId="250A9CFB" w14:textId="77777777" w:rsidTr="00A05EF0">
        <w:trPr>
          <w:trHeight w:val="1263"/>
        </w:trPr>
        <w:tc>
          <w:tcPr>
            <w:tcW w:w="1600" w:type="dxa"/>
            <w:tcBorders>
              <w:top w:val="nil"/>
              <w:left w:val="single" w:sz="8" w:space="0" w:color="auto"/>
              <w:bottom w:val="single" w:sz="8" w:space="0" w:color="auto"/>
              <w:right w:val="single" w:sz="8" w:space="0" w:color="auto"/>
            </w:tcBorders>
            <w:vAlign w:val="center"/>
            <w:hideMark/>
          </w:tcPr>
          <w:p w14:paraId="6E7F0E30"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lastRenderedPageBreak/>
              <w:t>Stems</w:t>
            </w:r>
          </w:p>
        </w:tc>
        <w:tc>
          <w:tcPr>
            <w:tcW w:w="5338" w:type="dxa"/>
            <w:tcBorders>
              <w:top w:val="nil"/>
              <w:left w:val="nil"/>
              <w:bottom w:val="single" w:sz="8" w:space="0" w:color="auto"/>
              <w:right w:val="single" w:sz="8" w:space="0" w:color="auto"/>
            </w:tcBorders>
            <w:vAlign w:val="center"/>
            <w:hideMark/>
          </w:tcPr>
          <w:p w14:paraId="1B502D31"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 xml:space="preserve">Asthma, </w:t>
            </w:r>
            <w:proofErr w:type="spellStart"/>
            <w:r w:rsidRPr="00CC55D9">
              <w:rPr>
                <w:rFonts w:ascii="Arial" w:hAnsi="Arial" w:cs="Arial"/>
                <w:szCs w:val="22"/>
                <w:lang w:val="en"/>
              </w:rPr>
              <w:t>Atita</w:t>
            </w:r>
            <w:proofErr w:type="spellEnd"/>
            <w:r w:rsidRPr="00CC55D9">
              <w:rPr>
                <w:rFonts w:ascii="Arial" w:hAnsi="Arial" w:cs="Arial"/>
                <w:szCs w:val="22"/>
                <w:lang w:val="en"/>
              </w:rPr>
              <w:t>/</w:t>
            </w:r>
            <w:proofErr w:type="spellStart"/>
            <w:r w:rsidRPr="00CC55D9">
              <w:rPr>
                <w:rFonts w:ascii="Arial" w:hAnsi="Arial" w:cs="Arial"/>
                <w:szCs w:val="22"/>
                <w:lang w:val="en"/>
              </w:rPr>
              <w:t>Agnanma</w:t>
            </w:r>
            <w:proofErr w:type="spellEnd"/>
            <w:r w:rsidRPr="00CC55D9">
              <w:rPr>
                <w:rFonts w:ascii="Arial" w:hAnsi="Arial" w:cs="Arial"/>
                <w:szCs w:val="22"/>
                <w:lang w:val="en"/>
              </w:rPr>
              <w:t>, Dental caries, Dermatosis, Diarrhea, Typhoid fever, Fever, Infection/Any type of infection, Bad breath, Malaria, Wound, Cough, Ulcer, Stomach pain</w:t>
            </w:r>
          </w:p>
        </w:tc>
        <w:tc>
          <w:tcPr>
            <w:tcW w:w="3960" w:type="dxa"/>
            <w:tcBorders>
              <w:top w:val="nil"/>
              <w:left w:val="nil"/>
              <w:bottom w:val="single" w:sz="8" w:space="0" w:color="auto"/>
              <w:right w:val="single" w:sz="8" w:space="0" w:color="auto"/>
            </w:tcBorders>
            <w:vAlign w:val="center"/>
            <w:hideMark/>
          </w:tcPr>
          <w:p w14:paraId="6DE27E0D"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Alcohol extract + lemon, tincture, decoction, infusion</w:t>
            </w:r>
          </w:p>
        </w:tc>
      </w:tr>
    </w:tbl>
    <w:p w14:paraId="4DB17B67" w14:textId="77777777" w:rsidR="00CC55D9" w:rsidRDefault="00CC55D9" w:rsidP="00CC55D9">
      <w:pPr>
        <w:autoSpaceDE w:val="0"/>
        <w:autoSpaceDN w:val="0"/>
        <w:adjustRightInd w:val="0"/>
        <w:jc w:val="both"/>
        <w:rPr>
          <w:rFonts w:ascii="Arial" w:hAnsi="Arial" w:cs="Arial"/>
          <w:szCs w:val="22"/>
          <w:lang w:val="en"/>
        </w:rPr>
      </w:pPr>
    </w:p>
    <w:p w14:paraId="59BCDBCF" w14:textId="497CA422"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The data from our study also indicate the use of the different parts of the plant in the treatment of typhoid fever (8.62% of respondents), malaria (6.9% of respondents), dermatosis (3.45% of respondents), tooth decay (2.59% of respondents), stomach aches, and hemorrhoids (2.59% of respondents). Less frequently, the plant is mentioned in the management of conditions such as tonsillitis, high blood pressure, asthma, and the common cold (1.72% each), as well as for diarrhea, constipation, fever, bad breath, anemia, body aches, epilepsy, childhood fevers, jaundice, lower abdominal pain, and liver ailments (all at 0.86% or 0.87%). Finally, some ritual uses were also reported, notably to attract good luck or ward off evil spirits (0.86% each).</w:t>
      </w:r>
    </w:p>
    <w:p w14:paraId="3D49760E" w14:textId="77777777" w:rsidR="00CC55D9" w:rsidRPr="00CC55D9" w:rsidRDefault="00CC55D9" w:rsidP="00CC55D9">
      <w:pPr>
        <w:autoSpaceDE w:val="0"/>
        <w:autoSpaceDN w:val="0"/>
        <w:adjustRightInd w:val="0"/>
        <w:jc w:val="both"/>
        <w:rPr>
          <w:rFonts w:ascii="Arial" w:hAnsi="Arial" w:cs="Arial"/>
          <w:b/>
          <w:bCs/>
          <w:szCs w:val="22"/>
          <w:lang w:val="en"/>
        </w:rPr>
      </w:pPr>
    </w:p>
    <w:p w14:paraId="7A534520" w14:textId="77777777" w:rsidR="00EA733F" w:rsidRPr="00EA733F" w:rsidRDefault="00EA733F" w:rsidP="00EA733F">
      <w:pPr>
        <w:spacing w:after="160" w:line="360" w:lineRule="auto"/>
        <w:jc w:val="both"/>
        <w:rPr>
          <w:rFonts w:ascii="Arial" w:eastAsia="Calibri" w:hAnsi="Arial" w:cs="Arial"/>
          <w:bCs/>
          <w:sz w:val="24"/>
          <w:szCs w:val="24"/>
          <w:lang w:val="en"/>
        </w:rPr>
      </w:pPr>
    </w:p>
    <w:p w14:paraId="678FE392" w14:textId="77777777" w:rsidR="00EA733F" w:rsidRPr="00EA733F" w:rsidRDefault="00EA733F" w:rsidP="00EA733F">
      <w:pPr>
        <w:spacing w:after="160" w:line="360" w:lineRule="auto"/>
        <w:jc w:val="both"/>
        <w:rPr>
          <w:rFonts w:ascii="Arial" w:eastAsia="Calibri" w:hAnsi="Arial" w:cs="Arial"/>
          <w:bCs/>
          <w:i/>
          <w:sz w:val="24"/>
          <w:szCs w:val="24"/>
          <w:lang w:val="en"/>
        </w:rPr>
      </w:pPr>
      <w:r w:rsidRPr="00EA733F">
        <w:rPr>
          <w:rFonts w:ascii="Arial" w:eastAsia="Calibri" w:hAnsi="Arial" w:cs="Arial"/>
          <w:noProof/>
          <w:sz w:val="24"/>
          <w:szCs w:val="24"/>
        </w:rPr>
        <w:drawing>
          <wp:inline distT="0" distB="0" distL="0" distR="0" wp14:anchorId="06C18D5C" wp14:editId="5A2728BD">
            <wp:extent cx="6230816" cy="2743200"/>
            <wp:effectExtent l="0" t="0" r="17780" b="0"/>
            <wp:docPr id="3" name="Graphique 3">
              <a:extLst xmlns:a="http://schemas.openxmlformats.org/drawingml/2006/main">
                <a:ext uri="{FF2B5EF4-FFF2-40B4-BE49-F238E27FC236}">
                  <a16:creationId xmlns:a16="http://schemas.microsoft.com/office/drawing/2014/main" id="{72783C14-BC10-65F4-59DF-8575B42656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C14DE8" w14:textId="6C4CA6A5" w:rsidR="00CC55D9" w:rsidRPr="00EA733F" w:rsidRDefault="00EA733F" w:rsidP="00EA733F">
      <w:pPr>
        <w:spacing w:after="160" w:line="360" w:lineRule="auto"/>
        <w:jc w:val="both"/>
        <w:rPr>
          <w:rFonts w:ascii="Arial" w:eastAsia="Calibri" w:hAnsi="Arial" w:cs="Arial"/>
          <w:b/>
          <w:bCs/>
          <w:lang w:val="en"/>
        </w:rPr>
      </w:pPr>
      <w:r w:rsidRPr="00EA733F">
        <w:rPr>
          <w:rFonts w:ascii="Arial" w:eastAsia="Calibri" w:hAnsi="Arial" w:cs="Arial"/>
          <w:b/>
          <w:bCs/>
        </w:rPr>
        <w:t>Fig.</w:t>
      </w:r>
      <w:r w:rsidR="005E1EBB">
        <w:rPr>
          <w:rFonts w:ascii="Arial" w:eastAsia="Calibri" w:hAnsi="Arial" w:cs="Arial"/>
          <w:b/>
          <w:bCs/>
        </w:rPr>
        <w:t>3</w:t>
      </w:r>
      <w:r w:rsidRPr="00EA733F">
        <w:rPr>
          <w:rFonts w:ascii="Arial" w:eastAsia="Calibri" w:hAnsi="Arial" w:cs="Arial"/>
          <w:b/>
          <w:bCs/>
        </w:rPr>
        <w:t xml:space="preserve"> </w:t>
      </w:r>
      <w:r w:rsidRPr="00EA733F">
        <w:rPr>
          <w:rFonts w:ascii="Arial" w:eastAsia="Calibri" w:hAnsi="Arial" w:cs="Arial"/>
          <w:b/>
          <w:bCs/>
          <w:lang w:val="en"/>
        </w:rPr>
        <w:t xml:space="preserve">Pathologies treated by the different parts of </w:t>
      </w:r>
      <w:r w:rsidRPr="00EA733F">
        <w:rPr>
          <w:rFonts w:ascii="Arial" w:eastAsia="Calibri" w:hAnsi="Arial" w:cs="Arial"/>
          <w:b/>
          <w:bCs/>
          <w:i/>
          <w:lang w:val="en"/>
        </w:rPr>
        <w:t>Caesalpinia Pulcherrima</w:t>
      </w:r>
    </w:p>
    <w:p w14:paraId="10240F30" w14:textId="77777777" w:rsidR="00EA733F" w:rsidRPr="00EA733F" w:rsidRDefault="00EA733F" w:rsidP="00EA733F">
      <w:pPr>
        <w:spacing w:after="160" w:line="360" w:lineRule="auto"/>
        <w:ind w:left="-142"/>
        <w:jc w:val="both"/>
        <w:rPr>
          <w:rFonts w:ascii="Arial" w:eastAsia="Calibri" w:hAnsi="Arial" w:cs="Arial"/>
          <w:bCs/>
          <w:iCs/>
          <w:lang w:val="en"/>
        </w:rPr>
      </w:pPr>
      <w:r w:rsidRPr="00EA733F">
        <w:rPr>
          <w:rFonts w:ascii="Arial" w:eastAsia="Calibri" w:hAnsi="Arial" w:cs="Arial"/>
          <w:bCs/>
          <w:iCs/>
          <w:lang w:val="en"/>
        </w:rPr>
        <w:t xml:space="preserve">Correspondence Analysis (CA) of the collected data allowed us to visualize the relationships between the parts of </w:t>
      </w:r>
      <w:r w:rsidRPr="00EA733F">
        <w:rPr>
          <w:rFonts w:ascii="Arial" w:eastAsia="Calibri" w:hAnsi="Arial" w:cs="Arial"/>
          <w:bCs/>
          <w:i/>
          <w:iCs/>
          <w:lang w:val="en"/>
        </w:rPr>
        <w:t xml:space="preserve">Caesalpinia pulcherrima used </w:t>
      </w:r>
      <w:r w:rsidRPr="00EA733F">
        <w:rPr>
          <w:rFonts w:ascii="Arial" w:eastAsia="Calibri" w:hAnsi="Arial" w:cs="Arial"/>
          <w:bCs/>
          <w:iCs/>
          <w:lang w:val="en"/>
        </w:rPr>
        <w:t>and the pathologies treated (Figure 3). The first two factorial axes explain 61.3% of the total inertia of the information, indicating that they capture a substantial proportion of the observed variability.</w:t>
      </w:r>
    </w:p>
    <w:p w14:paraId="0E0DB774" w14:textId="3CB02585" w:rsidR="00EA733F" w:rsidRDefault="00EA733F" w:rsidP="00EA733F">
      <w:pPr>
        <w:spacing w:after="160" w:line="360" w:lineRule="auto"/>
        <w:ind w:left="-142"/>
        <w:jc w:val="both"/>
        <w:rPr>
          <w:rFonts w:ascii="Arial" w:eastAsia="Calibri" w:hAnsi="Arial" w:cs="Arial"/>
          <w:bCs/>
          <w:iCs/>
          <w:lang w:val="en"/>
        </w:rPr>
      </w:pPr>
      <w:r w:rsidRPr="00EA733F">
        <w:rPr>
          <w:rFonts w:ascii="Arial" w:eastAsia="Calibri" w:hAnsi="Arial" w:cs="Arial"/>
          <w:bCs/>
          <w:iCs/>
          <w:lang w:val="en"/>
        </w:rPr>
        <w:t xml:space="preserve">Axis 1 (Dimension 1), representing 36.3% of the inertia, highlights a marked opposition. On the one hand, parts such as the Leaf (V1), Root (V2), and Stem (V3) are frequently associated with pathologies such as Constipation (CON), Epilepsy (EPS), Lower Abdominal Pain (MBV), and Diarrhea (DIA). On the other hand, the Flowers (V4), Fruit (V5), Seed (V6), and Bark (V7) converge with a distinct set of pathologies including Chronic Wounds (PLA), Infections (INF), Malaria (PAL), and Infantile Fever (FII). This distinction suggests differentiated efficacy profiles and traditional uses depending on the plant part used. Axis 2 (Dimension 2), contributing 25% of the inertia, refines this opposition by revealing more specific associations. For example, it shows that the Fruit (V5) and the Seed (V6) are particularly closely associated with pathologies such as Sore Throat (ST) and High Blood Pressure (HBP). Conversely, the Bark (V7) tends to be associated with Infantile Fever (IFF) and Dental Caries (DC), while the Root (V2) and the Leaf (V1) are linked to conditions such as Hemorrhoids (HEM) and Measles (ROU). These two combined dimensions allow for the effective mapping of the complex relationships between the different </w:t>
      </w:r>
      <w:r w:rsidRPr="00EA733F">
        <w:rPr>
          <w:rFonts w:ascii="Arial" w:eastAsia="Calibri" w:hAnsi="Arial" w:cs="Arial"/>
          <w:bCs/>
          <w:iCs/>
          <w:lang w:val="en"/>
        </w:rPr>
        <w:lastRenderedPageBreak/>
        <w:t xml:space="preserve">parts of </w:t>
      </w:r>
      <w:r w:rsidRPr="00EA733F">
        <w:rPr>
          <w:rFonts w:ascii="Arial" w:eastAsia="Calibri" w:hAnsi="Arial" w:cs="Arial"/>
          <w:bCs/>
          <w:i/>
          <w:iCs/>
          <w:lang w:val="en"/>
        </w:rPr>
        <w:t xml:space="preserve">Caesalpinia pulcherrima </w:t>
      </w:r>
      <w:r w:rsidRPr="00EA733F">
        <w:rPr>
          <w:rFonts w:ascii="Arial" w:eastAsia="Calibri" w:hAnsi="Arial" w:cs="Arial"/>
          <w:bCs/>
          <w:iCs/>
          <w:lang w:val="en"/>
        </w:rPr>
        <w:t>and the range of pathologies they are believed to treat, thus highlighting potential specializations within local ethnobotanical knowledge.</w:t>
      </w:r>
    </w:p>
    <w:p w14:paraId="3CB73DB2" w14:textId="110FA07F" w:rsidR="00EA733F" w:rsidRPr="00EA733F" w:rsidRDefault="00EA733F" w:rsidP="00EA733F">
      <w:pPr>
        <w:spacing w:after="160" w:line="360" w:lineRule="auto"/>
        <w:ind w:left="-142"/>
        <w:jc w:val="both"/>
        <w:rPr>
          <w:rFonts w:ascii="Arial" w:eastAsia="Calibri" w:hAnsi="Arial" w:cs="Arial"/>
          <w:b/>
          <w:i/>
          <w:lang w:val="en"/>
        </w:rPr>
      </w:pPr>
      <w:r w:rsidRPr="00EA733F">
        <w:rPr>
          <w:rFonts w:ascii="Arial" w:eastAsia="Calibri" w:hAnsi="Arial" w:cs="Arial"/>
          <w:noProof/>
          <w:sz w:val="24"/>
          <w:szCs w:val="24"/>
        </w:rPr>
        <w:drawing>
          <wp:inline distT="0" distB="0" distL="0" distR="0" wp14:anchorId="1F8CDA0B" wp14:editId="79958A6B">
            <wp:extent cx="4986938" cy="2907398"/>
            <wp:effectExtent l="0" t="0" r="4445"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6823" cy="2913161"/>
                    </a:xfrm>
                    <a:prstGeom prst="rect">
                      <a:avLst/>
                    </a:prstGeom>
                    <a:noFill/>
                    <a:ln>
                      <a:noFill/>
                    </a:ln>
                  </pic:spPr>
                </pic:pic>
              </a:graphicData>
            </a:graphic>
          </wp:inline>
        </w:drawing>
      </w:r>
    </w:p>
    <w:p w14:paraId="0B123931" w14:textId="091B406E" w:rsidR="00EA733F" w:rsidRPr="00B24305" w:rsidRDefault="00EA733F" w:rsidP="00EA733F">
      <w:pPr>
        <w:spacing w:after="160" w:line="360" w:lineRule="auto"/>
        <w:jc w:val="both"/>
        <w:rPr>
          <w:rFonts w:ascii="Arial" w:eastAsia="Calibri" w:hAnsi="Arial" w:cs="Arial"/>
          <w:b/>
          <w:bCs/>
          <w:lang w:val="en"/>
        </w:rPr>
      </w:pPr>
      <w:r w:rsidRPr="00EA733F">
        <w:rPr>
          <w:rFonts w:ascii="Arial" w:eastAsia="Calibri" w:hAnsi="Arial" w:cs="Arial"/>
          <w:b/>
          <w:bCs/>
        </w:rPr>
        <w:t>Fig.</w:t>
      </w:r>
      <w:r w:rsidR="005E1EBB">
        <w:rPr>
          <w:rFonts w:ascii="Arial" w:eastAsia="Calibri" w:hAnsi="Arial" w:cs="Arial"/>
          <w:b/>
          <w:bCs/>
        </w:rPr>
        <w:t>4</w:t>
      </w:r>
      <w:r>
        <w:rPr>
          <w:rFonts w:ascii="Arial" w:eastAsia="Calibri" w:hAnsi="Arial" w:cs="Arial"/>
          <w:b/>
          <w:bCs/>
        </w:rPr>
        <w:t xml:space="preserve"> </w:t>
      </w:r>
      <w:r w:rsidRPr="00EA733F">
        <w:rPr>
          <w:rFonts w:ascii="Arial" w:eastAsia="Calibri" w:hAnsi="Arial" w:cs="Arial"/>
          <w:b/>
          <w:bCs/>
          <w:lang w:val="en"/>
        </w:rPr>
        <w:t xml:space="preserve">Biplot of the Correspondence Factor Analysis (CFA) between parts of </w:t>
      </w:r>
      <w:r w:rsidRPr="00EA733F">
        <w:rPr>
          <w:rFonts w:ascii="Arial" w:eastAsia="Calibri" w:hAnsi="Arial" w:cs="Arial"/>
          <w:b/>
          <w:bCs/>
          <w:i/>
          <w:iCs/>
          <w:lang w:val="en"/>
        </w:rPr>
        <w:t xml:space="preserve">Caesalpinia pulcherrima </w:t>
      </w:r>
      <w:r w:rsidRPr="00EA733F">
        <w:rPr>
          <w:rFonts w:ascii="Arial" w:eastAsia="Calibri" w:hAnsi="Arial" w:cs="Arial"/>
          <w:b/>
          <w:bCs/>
          <w:lang w:val="en"/>
        </w:rPr>
        <w:t>and the pathologies treated in South Benin.</w:t>
      </w:r>
    </w:p>
    <w:p w14:paraId="06C48EC2" w14:textId="77777777" w:rsidR="00B24305" w:rsidRPr="00B24305" w:rsidRDefault="00B24305" w:rsidP="00B24305">
      <w:pPr>
        <w:spacing w:after="160" w:line="360" w:lineRule="auto"/>
        <w:jc w:val="both"/>
        <w:rPr>
          <w:rFonts w:ascii="Arial" w:eastAsia="Calibri" w:hAnsi="Arial" w:cs="Arial"/>
          <w:bCs/>
          <w:i/>
          <w:sz w:val="22"/>
          <w:szCs w:val="22"/>
          <w:lang w:val="en"/>
        </w:rPr>
      </w:pPr>
      <w:proofErr w:type="gramStart"/>
      <w:r w:rsidRPr="00B24305">
        <w:rPr>
          <w:rFonts w:ascii="Arial" w:eastAsia="Calibri" w:hAnsi="Arial" w:cs="Arial"/>
          <w:b/>
          <w:bCs/>
          <w:i/>
          <w:sz w:val="22"/>
          <w:szCs w:val="22"/>
          <w:lang w:val="en"/>
        </w:rPr>
        <w:t>Legend :</w:t>
      </w:r>
      <w:proofErr w:type="gramEnd"/>
      <w:r w:rsidRPr="00B24305">
        <w:rPr>
          <w:rFonts w:ascii="Arial" w:eastAsia="Calibri" w:hAnsi="Arial" w:cs="Arial"/>
          <w:bCs/>
          <w:i/>
          <w:sz w:val="22"/>
          <w:szCs w:val="22"/>
          <w:lang w:val="en"/>
        </w:rPr>
        <w:t xml:space="preserve"> </w:t>
      </w:r>
    </w:p>
    <w:p w14:paraId="3DA5670B" w14:textId="77777777" w:rsidR="00B24305" w:rsidRPr="00B24305" w:rsidRDefault="00B24305" w:rsidP="00B24305">
      <w:pPr>
        <w:spacing w:after="160" w:line="360" w:lineRule="auto"/>
        <w:jc w:val="both"/>
        <w:rPr>
          <w:rFonts w:ascii="Arial" w:eastAsia="Calibri" w:hAnsi="Arial" w:cs="Arial"/>
          <w:b/>
          <w:iCs/>
          <w:sz w:val="24"/>
          <w:szCs w:val="24"/>
          <w:lang w:val="en"/>
        </w:rPr>
      </w:pPr>
      <w:r w:rsidRPr="00B24305">
        <w:rPr>
          <w:rFonts w:ascii="Arial" w:eastAsia="Calibri" w:hAnsi="Arial" w:cs="Arial"/>
          <w:b/>
          <w:i/>
          <w:sz w:val="16"/>
          <w:szCs w:val="16"/>
          <w:lang w:val="en"/>
        </w:rPr>
        <w:t xml:space="preserve">Parts used of </w:t>
      </w:r>
      <w:r w:rsidRPr="00B24305">
        <w:rPr>
          <w:rFonts w:ascii="Arial" w:eastAsia="Calibri" w:hAnsi="Arial" w:cs="Arial"/>
          <w:b/>
          <w:i/>
          <w:iCs/>
          <w:sz w:val="16"/>
          <w:szCs w:val="16"/>
          <w:lang w:val="en"/>
        </w:rPr>
        <w:t xml:space="preserve">C. pulcherrima </w:t>
      </w:r>
      <w:r w:rsidRPr="00B24305">
        <w:rPr>
          <w:rFonts w:ascii="Arial" w:eastAsia="Calibri" w:hAnsi="Arial" w:cs="Arial"/>
          <w:b/>
          <w:i/>
          <w:sz w:val="16"/>
          <w:szCs w:val="16"/>
          <w:lang w:val="en"/>
        </w:rPr>
        <w:t>(red triangles</w:t>
      </w:r>
      <w:proofErr w:type="gramStart"/>
      <w:r w:rsidRPr="00B24305">
        <w:rPr>
          <w:rFonts w:ascii="Arial" w:eastAsia="Calibri" w:hAnsi="Arial" w:cs="Arial"/>
          <w:b/>
          <w:i/>
          <w:sz w:val="16"/>
          <w:szCs w:val="16"/>
          <w:lang w:val="en"/>
        </w:rPr>
        <w:t xml:space="preserve">) </w:t>
      </w:r>
      <w:r w:rsidRPr="00B24305">
        <w:rPr>
          <w:rFonts w:ascii="Arial" w:eastAsia="Calibri" w:hAnsi="Arial" w:cs="Arial"/>
          <w:bCs/>
          <w:i/>
          <w:sz w:val="16"/>
          <w:szCs w:val="16"/>
          <w:lang w:val="en"/>
        </w:rPr>
        <w:t>:</w:t>
      </w:r>
      <w:proofErr w:type="gramEnd"/>
      <w:r w:rsidRPr="00B24305">
        <w:rPr>
          <w:rFonts w:ascii="Arial" w:eastAsia="Calibri" w:hAnsi="Arial" w:cs="Arial"/>
          <w:bCs/>
          <w:i/>
          <w:sz w:val="16"/>
          <w:szCs w:val="16"/>
          <w:lang w:val="en"/>
        </w:rPr>
        <w:t xml:space="preserve"> Leaf (V1), Root (V2), Stem (V3), Flower (V4), Fruit (V5), Seed (V6), Bark (V7). </w:t>
      </w:r>
      <w:r w:rsidRPr="00B24305">
        <w:rPr>
          <w:rFonts w:ascii="Arial" w:eastAsia="Calibri" w:hAnsi="Arial" w:cs="Arial"/>
          <w:b/>
          <w:i/>
          <w:sz w:val="16"/>
          <w:szCs w:val="16"/>
          <w:lang w:val="en"/>
        </w:rPr>
        <w:t xml:space="preserve">Treated pathologies (blue dots) </w:t>
      </w:r>
      <w:r w:rsidRPr="00B24305">
        <w:rPr>
          <w:rFonts w:ascii="Arial" w:eastAsia="Calibri" w:hAnsi="Arial" w:cs="Arial"/>
          <w:bCs/>
          <w:i/>
          <w:sz w:val="16"/>
          <w:szCs w:val="16"/>
          <w:lang w:val="en"/>
        </w:rPr>
        <w:t xml:space="preserve">: Infection/Chronic infections (INF), Lower abdominal pain (MBV), </w:t>
      </w:r>
      <w:proofErr w:type="spellStart"/>
      <w:r w:rsidRPr="00B24305">
        <w:rPr>
          <w:rFonts w:ascii="Arial" w:eastAsia="Calibri" w:hAnsi="Arial" w:cs="Arial"/>
          <w:bCs/>
          <w:i/>
          <w:sz w:val="16"/>
          <w:szCs w:val="16"/>
          <w:lang w:val="en"/>
        </w:rPr>
        <w:t>Agnama</w:t>
      </w:r>
      <w:proofErr w:type="spellEnd"/>
      <w:r w:rsidRPr="00B24305">
        <w:rPr>
          <w:rFonts w:ascii="Arial" w:eastAsia="Calibri" w:hAnsi="Arial" w:cs="Arial"/>
          <w:bCs/>
          <w:i/>
          <w:sz w:val="16"/>
          <w:szCs w:val="16"/>
          <w:lang w:val="en"/>
        </w:rPr>
        <w:t xml:space="preserve"> (ATI/AGN), Anemia (ANE), Sore throat (ANG), Asthma (AST), Attracts luck (ritual use) (ATC), Tooth decay (CAD), Drives away evil spirits (ritual use) (CME), Constipation (CON), Aches and pains (CBT), Dermatosis (DER), Diarrhea (DIA), Epilepsy (EPS), Fever (FIV), Infantile fever (FII), Typhoid fever (FTY), Hemorrhoids (HEM), Jaundice (ICT), Bad breath (MAH), Liver problems (MAF), Abdominal pain (MAV), Malaria (PAL), Chronic wounds (internal, oral, cutaneous) (PLA), Common cold (RHU), Measles (ROU), High blood pressure (TEN), Cough (TOU), Ulcer (ULC).</w:t>
      </w:r>
    </w:p>
    <w:p w14:paraId="3D33ADCD" w14:textId="77777777" w:rsidR="00B24305" w:rsidRDefault="00B24305" w:rsidP="00D84C36">
      <w:pPr>
        <w:pStyle w:val="Body"/>
        <w:spacing w:after="0"/>
        <w:rPr>
          <w:rFonts w:ascii="Arial" w:hAnsi="Arial" w:cs="Arial"/>
          <w:b/>
          <w:caps/>
          <w:sz w:val="22"/>
        </w:rPr>
      </w:pPr>
    </w:p>
    <w:p w14:paraId="76828DA8" w14:textId="5AEA51E8" w:rsidR="00D84C36" w:rsidRPr="00D84C36" w:rsidRDefault="00D84C36" w:rsidP="001E06EE">
      <w:pPr>
        <w:pStyle w:val="Body"/>
        <w:numPr>
          <w:ilvl w:val="1"/>
          <w:numId w:val="40"/>
        </w:numPr>
        <w:rPr>
          <w:rFonts w:ascii="Arial" w:hAnsi="Arial" w:cs="Arial"/>
          <w:b/>
          <w:iCs/>
          <w:sz w:val="22"/>
          <w:lang w:val="en"/>
        </w:rPr>
      </w:pPr>
      <w:r w:rsidRPr="00B96789">
        <w:rPr>
          <w:rFonts w:ascii="Arial" w:hAnsi="Arial" w:cs="Arial"/>
          <w:b/>
          <w:iCs/>
          <w:szCs w:val="18"/>
          <w:lang w:val="en"/>
        </w:rPr>
        <w:t>Preparation</w:t>
      </w:r>
      <w:r w:rsidRPr="00D84C36">
        <w:rPr>
          <w:rFonts w:ascii="Arial" w:hAnsi="Arial" w:cs="Arial"/>
          <w:b/>
          <w:iCs/>
          <w:sz w:val="22"/>
          <w:lang w:val="en"/>
        </w:rPr>
        <w:t xml:space="preserve"> </w:t>
      </w:r>
      <w:r w:rsidRPr="00B96789">
        <w:rPr>
          <w:rFonts w:ascii="Arial" w:hAnsi="Arial" w:cs="Arial"/>
          <w:b/>
          <w:iCs/>
          <w:szCs w:val="18"/>
          <w:lang w:val="en"/>
        </w:rPr>
        <w:t>method</w:t>
      </w:r>
    </w:p>
    <w:p w14:paraId="1A5F83E5" w14:textId="69CEB135" w:rsidR="00505F06" w:rsidRDefault="00D84C36" w:rsidP="00441B6F">
      <w:pPr>
        <w:pStyle w:val="Body"/>
        <w:spacing w:after="0"/>
        <w:rPr>
          <w:rFonts w:ascii="Arial" w:hAnsi="Arial" w:cs="Arial"/>
        </w:rPr>
      </w:pPr>
      <w:r w:rsidRPr="00D84C36">
        <w:rPr>
          <w:rFonts w:ascii="Arial" w:hAnsi="Arial" w:cs="Arial"/>
        </w:rPr>
        <w:t>Figure 4 shows the preparation methods used for the recipes. Analysis of this figure indicates that decoction is the most frequently used preparation method (91.38%</w:t>
      </w:r>
      <w:proofErr w:type="gramStart"/>
      <w:r w:rsidRPr="00D84C36">
        <w:rPr>
          <w:rFonts w:ascii="Arial" w:hAnsi="Arial" w:cs="Arial"/>
        </w:rPr>
        <w:t>) ,</w:t>
      </w:r>
      <w:proofErr w:type="gramEnd"/>
      <w:r w:rsidRPr="00D84C36">
        <w:rPr>
          <w:rFonts w:ascii="Arial" w:hAnsi="Arial" w:cs="Arial"/>
        </w:rPr>
        <w:t xml:space="preserve"> while alcohol-based preparations and infusion are less common, with frequencies of 4.31% and 3.45%, respectively.</w:t>
      </w:r>
    </w:p>
    <w:p w14:paraId="6FD6C041" w14:textId="77777777" w:rsidR="00D84C36" w:rsidRDefault="00D84C36" w:rsidP="00441B6F">
      <w:pPr>
        <w:pStyle w:val="Body"/>
        <w:spacing w:after="0"/>
        <w:rPr>
          <w:rFonts w:ascii="Arial" w:hAnsi="Arial" w:cs="Arial"/>
        </w:rPr>
      </w:pPr>
    </w:p>
    <w:p w14:paraId="1B131DDD" w14:textId="77777777" w:rsidR="00D84C36" w:rsidRPr="00D84C36" w:rsidRDefault="00D84C36" w:rsidP="00D84C36">
      <w:pPr>
        <w:pStyle w:val="Body"/>
        <w:spacing w:after="0"/>
        <w:rPr>
          <w:rFonts w:ascii="Arial" w:hAnsi="Arial" w:cs="Arial"/>
          <w:b/>
          <w:iCs/>
          <w:lang w:val="en"/>
        </w:rPr>
      </w:pPr>
      <w:r w:rsidRPr="00D84C36">
        <w:rPr>
          <w:rFonts w:ascii="Arial" w:hAnsi="Arial" w:cs="Arial"/>
          <w:iCs/>
          <w:noProof/>
        </w:rPr>
        <w:lastRenderedPageBreak/>
        <w:drawing>
          <wp:inline distT="0" distB="0" distL="0" distR="0" wp14:anchorId="4CE8D25A" wp14:editId="39BA8AE8">
            <wp:extent cx="5951220" cy="3131820"/>
            <wp:effectExtent l="0" t="0" r="11430" b="11430"/>
            <wp:docPr id="4" name="Graphique 4">
              <a:extLst xmlns:a="http://schemas.openxmlformats.org/drawingml/2006/main">
                <a:ext uri="{FF2B5EF4-FFF2-40B4-BE49-F238E27FC236}">
                  <a16:creationId xmlns:a16="http://schemas.microsoft.com/office/drawing/2014/main" id="{878614AF-2072-C750-7856-E8C936C86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7F0A0A" w14:textId="77777777" w:rsidR="00D84C36" w:rsidRDefault="00D84C36" w:rsidP="00D84C36">
      <w:pPr>
        <w:pStyle w:val="Body"/>
        <w:spacing w:after="0"/>
        <w:rPr>
          <w:rFonts w:ascii="Arial" w:hAnsi="Arial" w:cs="Arial"/>
          <w:b/>
          <w:iCs/>
          <w:lang w:val="en"/>
        </w:rPr>
      </w:pPr>
    </w:p>
    <w:p w14:paraId="20396A04" w14:textId="3CBA0D84" w:rsidR="00D84C36" w:rsidRPr="00D84C36" w:rsidRDefault="00D84C36" w:rsidP="00D84C36">
      <w:pPr>
        <w:spacing w:after="160" w:line="360" w:lineRule="auto"/>
        <w:rPr>
          <w:rFonts w:ascii="Arial" w:eastAsia="Calibri" w:hAnsi="Arial" w:cs="Arial"/>
          <w:b/>
          <w:bCs/>
          <w:iCs/>
          <w:lang w:val="en"/>
        </w:rPr>
      </w:pPr>
      <w:r w:rsidRPr="00EA733F">
        <w:rPr>
          <w:rFonts w:ascii="Arial" w:eastAsia="Calibri" w:hAnsi="Arial" w:cs="Arial"/>
          <w:b/>
          <w:bCs/>
        </w:rPr>
        <w:t>Fig.</w:t>
      </w:r>
      <w:r w:rsidR="005E1EBB">
        <w:rPr>
          <w:rFonts w:ascii="Arial" w:eastAsia="Calibri" w:hAnsi="Arial" w:cs="Arial"/>
          <w:b/>
          <w:bCs/>
        </w:rPr>
        <w:t>5</w:t>
      </w:r>
      <w:r>
        <w:rPr>
          <w:rFonts w:ascii="Arial" w:eastAsia="Calibri" w:hAnsi="Arial" w:cs="Arial"/>
          <w:b/>
          <w:bCs/>
        </w:rPr>
        <w:t xml:space="preserve"> </w:t>
      </w:r>
      <w:r w:rsidRPr="00D84C36">
        <w:rPr>
          <w:rFonts w:ascii="Arial" w:eastAsia="Calibri" w:hAnsi="Arial" w:cs="Arial"/>
          <w:b/>
          <w:bCs/>
          <w:iCs/>
          <w:lang w:val="en"/>
        </w:rPr>
        <w:t>Recipe preparation method.</w:t>
      </w:r>
    </w:p>
    <w:p w14:paraId="279E093E" w14:textId="467CBFAB" w:rsidR="00D84C36" w:rsidRPr="001E06EE" w:rsidRDefault="00D84C36" w:rsidP="001E06EE">
      <w:pPr>
        <w:pStyle w:val="ListParagraph"/>
        <w:numPr>
          <w:ilvl w:val="1"/>
          <w:numId w:val="40"/>
        </w:numPr>
        <w:spacing w:after="160" w:line="360" w:lineRule="auto"/>
        <w:jc w:val="both"/>
        <w:rPr>
          <w:rFonts w:ascii="Arial" w:eastAsia="Calibri" w:hAnsi="Arial" w:cs="Arial"/>
          <w:b/>
          <w:iCs/>
          <w:sz w:val="22"/>
          <w:szCs w:val="22"/>
          <w:lang w:val="en"/>
        </w:rPr>
      </w:pPr>
      <w:r w:rsidRPr="00B96789">
        <w:rPr>
          <w:rFonts w:ascii="Arial" w:eastAsia="Calibri" w:hAnsi="Arial" w:cs="Arial"/>
          <w:b/>
          <w:iCs/>
          <w:lang w:val="en"/>
        </w:rPr>
        <w:t>Administrative</w:t>
      </w:r>
      <w:r w:rsidRPr="001E06EE">
        <w:rPr>
          <w:rFonts w:ascii="Arial" w:eastAsia="Calibri" w:hAnsi="Arial" w:cs="Arial"/>
          <w:b/>
          <w:iCs/>
          <w:sz w:val="22"/>
          <w:szCs w:val="22"/>
          <w:lang w:val="en"/>
        </w:rPr>
        <w:t xml:space="preserve"> route</w:t>
      </w:r>
    </w:p>
    <w:p w14:paraId="6E4AE0FA" w14:textId="142BC889" w:rsidR="00505F06" w:rsidRPr="001437B8" w:rsidRDefault="001437B8" w:rsidP="00441B6F">
      <w:pPr>
        <w:pStyle w:val="Body"/>
        <w:spacing w:after="0"/>
        <w:rPr>
          <w:rFonts w:ascii="Arial" w:hAnsi="Arial" w:cs="Arial"/>
          <w:bCs/>
        </w:rPr>
      </w:pPr>
      <w:r w:rsidRPr="001437B8">
        <w:rPr>
          <w:rFonts w:ascii="Arial" w:hAnsi="Arial" w:cs="Arial"/>
          <w:bCs/>
        </w:rPr>
        <w:t>The methods of administration after the preparation of the different recipes are represented in Figure 5. This figure shows that the oral route is the route of administration used most frequently (98% of respondents) while the cutaneous, vaginal, and nasal routes were used at respective frequencies of 6%, 3%, and 1%.</w:t>
      </w:r>
    </w:p>
    <w:p w14:paraId="7EDC079A" w14:textId="77777777" w:rsidR="001437B8" w:rsidRPr="001437B8" w:rsidRDefault="001437B8" w:rsidP="00441B6F">
      <w:pPr>
        <w:pStyle w:val="Body"/>
        <w:spacing w:after="0"/>
        <w:rPr>
          <w:rFonts w:ascii="Arial" w:hAnsi="Arial" w:cs="Arial"/>
          <w:bCs/>
        </w:rPr>
      </w:pPr>
    </w:p>
    <w:p w14:paraId="77B2EFE4" w14:textId="02721952" w:rsidR="00E053D0" w:rsidRDefault="001437B8" w:rsidP="00441B6F">
      <w:pPr>
        <w:pStyle w:val="Body"/>
        <w:spacing w:after="0"/>
        <w:rPr>
          <w:rFonts w:ascii="Arial" w:hAnsi="Arial" w:cs="Arial"/>
        </w:rPr>
      </w:pPr>
      <w:r w:rsidRPr="001437B8">
        <w:rPr>
          <w:rFonts w:ascii="Arial" w:hAnsi="Arial" w:cs="Arial"/>
          <w:noProof/>
        </w:rPr>
        <w:drawing>
          <wp:inline distT="0" distB="0" distL="0" distR="0" wp14:anchorId="6E41FE8E" wp14:editId="32C99C11">
            <wp:extent cx="5996940" cy="3093720"/>
            <wp:effectExtent l="0" t="0" r="3810" b="11430"/>
            <wp:docPr id="6" name="Graphique 6">
              <a:extLst xmlns:a="http://schemas.openxmlformats.org/drawingml/2006/main">
                <a:ext uri="{FF2B5EF4-FFF2-40B4-BE49-F238E27FC236}">
                  <a16:creationId xmlns:a16="http://schemas.microsoft.com/office/drawing/2014/main" id="{CD302708-2D2C-CC83-7462-9127C7791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FF258E4" w14:textId="77777777" w:rsidR="001437B8" w:rsidRDefault="001437B8" w:rsidP="00441B6F">
      <w:pPr>
        <w:pStyle w:val="Body"/>
        <w:spacing w:after="0"/>
        <w:rPr>
          <w:rFonts w:ascii="Arial" w:hAnsi="Arial" w:cs="Arial"/>
        </w:rPr>
      </w:pPr>
    </w:p>
    <w:p w14:paraId="1D5EB859" w14:textId="166783A9" w:rsidR="001437B8" w:rsidRDefault="001437B8" w:rsidP="001437B8">
      <w:pPr>
        <w:pStyle w:val="Body"/>
        <w:spacing w:after="0"/>
        <w:rPr>
          <w:rFonts w:ascii="Arial" w:hAnsi="Arial" w:cs="Arial"/>
          <w:b/>
          <w:bCs/>
          <w:lang w:val="en"/>
        </w:rPr>
      </w:pPr>
      <w:r w:rsidRPr="00EA733F">
        <w:rPr>
          <w:rFonts w:ascii="Arial" w:hAnsi="Arial" w:cs="Arial"/>
          <w:b/>
          <w:bCs/>
        </w:rPr>
        <w:t>Fig.</w:t>
      </w:r>
      <w:r w:rsidR="005E1EBB">
        <w:rPr>
          <w:rFonts w:ascii="Arial" w:hAnsi="Arial" w:cs="Arial"/>
          <w:b/>
          <w:bCs/>
        </w:rPr>
        <w:t>6</w:t>
      </w:r>
      <w:r w:rsidRPr="001437B8">
        <w:rPr>
          <w:rFonts w:ascii="Arial" w:hAnsi="Arial" w:cs="Arial"/>
          <w:b/>
          <w:bCs/>
        </w:rPr>
        <w:t xml:space="preserve"> </w:t>
      </w:r>
      <w:r w:rsidRPr="001437B8">
        <w:rPr>
          <w:rFonts w:ascii="Arial" w:hAnsi="Arial" w:cs="Arial"/>
          <w:b/>
          <w:bCs/>
          <w:lang w:val="en"/>
        </w:rPr>
        <w:t>Methods of revenue administration</w:t>
      </w:r>
    </w:p>
    <w:p w14:paraId="600F5E8D" w14:textId="77777777" w:rsidR="001E06EE" w:rsidRDefault="001E06EE" w:rsidP="001437B8">
      <w:pPr>
        <w:pStyle w:val="Body"/>
        <w:spacing w:after="0"/>
        <w:rPr>
          <w:rFonts w:ascii="Arial" w:hAnsi="Arial" w:cs="Arial"/>
          <w:b/>
          <w:bCs/>
          <w:lang w:val="en"/>
        </w:rPr>
      </w:pPr>
    </w:p>
    <w:p w14:paraId="39EE0176" w14:textId="7329FBC0" w:rsidR="001E06EE" w:rsidRDefault="001E06EE" w:rsidP="001E06EE">
      <w:pPr>
        <w:pStyle w:val="Body"/>
        <w:numPr>
          <w:ilvl w:val="1"/>
          <w:numId w:val="40"/>
        </w:numPr>
        <w:spacing w:after="0"/>
        <w:rPr>
          <w:rFonts w:ascii="Arial" w:hAnsi="Arial" w:cs="Arial"/>
          <w:b/>
          <w:bCs/>
          <w:sz w:val="22"/>
          <w:szCs w:val="22"/>
          <w:lang w:val="en"/>
        </w:rPr>
      </w:pPr>
      <w:r w:rsidRPr="001E06EE">
        <w:rPr>
          <w:rFonts w:ascii="Arial" w:hAnsi="Arial" w:cs="Arial"/>
          <w:b/>
          <w:bCs/>
          <w:sz w:val="22"/>
          <w:szCs w:val="22"/>
          <w:lang w:val="en"/>
        </w:rPr>
        <w:t>Discussion</w:t>
      </w:r>
    </w:p>
    <w:p w14:paraId="5E9C95F9" w14:textId="77777777" w:rsidR="001E06EE" w:rsidRDefault="001E06EE" w:rsidP="001E06EE">
      <w:pPr>
        <w:pStyle w:val="Body"/>
        <w:spacing w:after="0"/>
        <w:rPr>
          <w:rFonts w:ascii="Arial" w:hAnsi="Arial" w:cs="Arial"/>
          <w:b/>
          <w:bCs/>
          <w:sz w:val="22"/>
          <w:szCs w:val="22"/>
          <w:lang w:val="en"/>
        </w:rPr>
      </w:pPr>
    </w:p>
    <w:p w14:paraId="230DA6F8" w14:textId="77777777" w:rsidR="001E06EE" w:rsidRPr="001E06EE" w:rsidRDefault="001E06EE" w:rsidP="001E06EE">
      <w:pPr>
        <w:pStyle w:val="Body"/>
        <w:spacing w:after="0"/>
        <w:rPr>
          <w:rFonts w:ascii="Arial" w:hAnsi="Arial" w:cs="Arial"/>
          <w:bCs/>
          <w:lang w:val="en"/>
        </w:rPr>
      </w:pPr>
      <w:r w:rsidRPr="001E06EE">
        <w:rPr>
          <w:rFonts w:ascii="Arial" w:hAnsi="Arial" w:cs="Arial"/>
          <w:bCs/>
          <w:lang w:val="en"/>
        </w:rPr>
        <w:t xml:space="preserve">During our survey, we met with four ethnic groups, predominantly women, in the study area. These results corroborate those of </w:t>
      </w:r>
      <w:proofErr w:type="spellStart"/>
      <w:r w:rsidRPr="001E06EE">
        <w:rPr>
          <w:rFonts w:ascii="Arial" w:hAnsi="Arial" w:cs="Arial"/>
          <w:bCs/>
          <w:lang w:val="en"/>
        </w:rPr>
        <w:t>Koudokpon</w:t>
      </w:r>
      <w:proofErr w:type="spellEnd"/>
      <w:r w:rsidRPr="001E06EE">
        <w:rPr>
          <w:rFonts w:ascii="Arial" w:hAnsi="Arial" w:cs="Arial"/>
          <w:bCs/>
          <w:lang w:val="en"/>
        </w:rPr>
        <w:t xml:space="preserve"> </w:t>
      </w:r>
      <w:r w:rsidRPr="001E06EE">
        <w:rPr>
          <w:rFonts w:ascii="Arial" w:hAnsi="Arial" w:cs="Arial"/>
          <w:bCs/>
          <w:i/>
          <w:iCs/>
          <w:lang w:val="en"/>
        </w:rPr>
        <w:t>et al. (2017),</w:t>
      </w:r>
      <w:r w:rsidRPr="001E06EE">
        <w:rPr>
          <w:rFonts w:ascii="Arial" w:hAnsi="Arial" w:cs="Arial"/>
          <w:bCs/>
          <w:lang w:val="en"/>
        </w:rPr>
        <w:t xml:space="preserve"> who found that 90% of market herbalists were women. This finding can be explained by the fact that in Benin, market sales activities are more often carried out by women. These results also highlight the </w:t>
      </w:r>
      <w:r w:rsidRPr="001E06EE">
        <w:rPr>
          <w:rFonts w:ascii="Arial" w:hAnsi="Arial" w:cs="Arial"/>
          <w:bCs/>
          <w:lang w:val="en"/>
        </w:rPr>
        <w:lastRenderedPageBreak/>
        <w:t xml:space="preserve">preeminence of women in possessing indigenous knowledge related to the use and transmission of plants (Kouchade </w:t>
      </w:r>
      <w:r w:rsidRPr="001E06EE">
        <w:rPr>
          <w:rFonts w:ascii="Arial" w:hAnsi="Arial" w:cs="Arial"/>
          <w:bCs/>
          <w:i/>
          <w:iCs/>
          <w:lang w:val="en"/>
        </w:rPr>
        <w:t>et al., 2017</w:t>
      </w:r>
      <w:r w:rsidRPr="001E06EE">
        <w:rPr>
          <w:rFonts w:ascii="Arial" w:hAnsi="Arial" w:cs="Arial"/>
          <w:bCs/>
          <w:lang w:val="en"/>
        </w:rPr>
        <w:t xml:space="preserve">). The respondents were predominantly Fon. These results are similar to those of </w:t>
      </w:r>
      <w:proofErr w:type="spellStart"/>
      <w:r w:rsidRPr="001E06EE">
        <w:rPr>
          <w:rFonts w:ascii="Arial" w:hAnsi="Arial" w:cs="Arial"/>
          <w:bCs/>
          <w:lang w:val="en"/>
        </w:rPr>
        <w:t>Dangnon</w:t>
      </w:r>
      <w:proofErr w:type="spellEnd"/>
      <w:r w:rsidRPr="001E06EE">
        <w:rPr>
          <w:rFonts w:ascii="Arial" w:hAnsi="Arial" w:cs="Arial"/>
          <w:bCs/>
          <w:lang w:val="en"/>
        </w:rPr>
        <w:t xml:space="preserve"> et al. (2024), who found that more than 60% of market herbalists surveyed about plants used to treat gastric ulcers were Fon in southern Benin. This can be explained by the fact that the Fon are the majority ethnic group in southern Benin, but also that this ethnic group makes greater use of plants for the treatment of ailments.</w:t>
      </w:r>
    </w:p>
    <w:p w14:paraId="5DCB469E" w14:textId="77777777" w:rsidR="001E06EE" w:rsidRPr="001E06EE" w:rsidRDefault="001E06EE" w:rsidP="001E06EE">
      <w:pPr>
        <w:pStyle w:val="Body"/>
        <w:spacing w:after="0"/>
        <w:rPr>
          <w:rFonts w:ascii="Arial" w:hAnsi="Arial" w:cs="Arial"/>
          <w:bCs/>
          <w:lang w:val="en"/>
        </w:rPr>
      </w:pPr>
      <w:r w:rsidRPr="001E06EE">
        <w:rPr>
          <w:rFonts w:ascii="Arial" w:hAnsi="Arial" w:cs="Arial"/>
          <w:bCs/>
          <w:lang w:val="en"/>
        </w:rPr>
        <w:t xml:space="preserve">The average age of the respondents was between 30 and 59 years, and the majority were illiterate. These results are similar to those of </w:t>
      </w:r>
      <w:proofErr w:type="spellStart"/>
      <w:r w:rsidRPr="001E06EE">
        <w:rPr>
          <w:rFonts w:ascii="Arial" w:hAnsi="Arial" w:cs="Arial"/>
          <w:bCs/>
          <w:lang w:val="en"/>
        </w:rPr>
        <w:t>Koudokpon</w:t>
      </w:r>
      <w:proofErr w:type="spellEnd"/>
      <w:r w:rsidRPr="001E06EE">
        <w:rPr>
          <w:rFonts w:ascii="Arial" w:hAnsi="Arial" w:cs="Arial"/>
          <w:bCs/>
          <w:lang w:val="en"/>
        </w:rPr>
        <w:t xml:space="preserve"> et al. (2017), who found that the average age of herbalists was 47 years and that most were illiterate in their ethnobotanical survey of plants used to treat infectious diseases in southern Benin. The high illiteracy rate and the low representation of young people under 30 confirm the risk of losing traditional knowledge, already noted in Benin for other species (Nacoulma, 1996). This underscores the importance and urgency of documenting this indigenous knowledge before it disappears.</w:t>
      </w:r>
    </w:p>
    <w:p w14:paraId="5A610306" w14:textId="3C29E7C0" w:rsidR="001E06EE" w:rsidRPr="001E06EE" w:rsidRDefault="001E06EE" w:rsidP="001E06EE">
      <w:pPr>
        <w:pStyle w:val="Body"/>
        <w:spacing w:after="0"/>
        <w:rPr>
          <w:rFonts w:ascii="Arial" w:hAnsi="Arial" w:cs="Arial"/>
          <w:bCs/>
          <w:lang w:val="en"/>
        </w:rPr>
      </w:pPr>
      <w:r w:rsidRPr="001E06EE">
        <w:rPr>
          <w:rFonts w:ascii="Arial" w:hAnsi="Arial" w:cs="Arial"/>
          <w:lang w:val="en"/>
        </w:rPr>
        <w:t xml:space="preserve">Regarding the preparation of recipes, the data obtained indicates that </w:t>
      </w:r>
      <w:r w:rsidRPr="001E06EE">
        <w:rPr>
          <w:rFonts w:ascii="Arial" w:hAnsi="Arial" w:cs="Arial"/>
          <w:bCs/>
          <w:lang w:val="en"/>
        </w:rPr>
        <w:t>herbalists</w:t>
      </w:r>
      <w:r w:rsidRPr="001E06EE">
        <w:rPr>
          <w:rFonts w:ascii="Arial" w:hAnsi="Arial" w:cs="Arial"/>
          <w:lang w:val="en"/>
        </w:rPr>
        <w:t xml:space="preserve"> </w:t>
      </w:r>
      <w:r w:rsidRPr="001E06EE">
        <w:rPr>
          <w:rFonts w:ascii="Arial" w:hAnsi="Arial" w:cs="Arial"/>
          <w:bCs/>
          <w:lang w:val="en"/>
        </w:rPr>
        <w:t xml:space="preserve">in the market, </w:t>
      </w:r>
      <w:r w:rsidRPr="001E06EE">
        <w:rPr>
          <w:rFonts w:ascii="Arial" w:hAnsi="Arial" w:cs="Arial"/>
          <w:lang w:val="en"/>
        </w:rPr>
        <w:t xml:space="preserve">traditional healers and users of traditional plants utilize various parts of </w:t>
      </w:r>
      <w:r w:rsidRPr="001E06EE">
        <w:rPr>
          <w:rFonts w:ascii="Arial" w:hAnsi="Arial" w:cs="Arial"/>
          <w:i/>
          <w:iCs/>
          <w:lang w:val="en"/>
        </w:rPr>
        <w:t xml:space="preserve">Caesalpinia pulcherrima </w:t>
      </w:r>
      <w:r w:rsidRPr="001E06EE">
        <w:rPr>
          <w:rFonts w:ascii="Arial" w:hAnsi="Arial" w:cs="Arial"/>
          <w:lang w:val="en"/>
        </w:rPr>
        <w:t xml:space="preserve">in their recipes, but the leaves are by far the most commonly used. The results of our studies are similar to those conducted in Benin and elsewhere, which report the predominant use of leaves in traditional medicinal recipes. </w:t>
      </w:r>
      <w:r w:rsidRPr="001E06EE">
        <w:rPr>
          <w:rFonts w:ascii="Arial" w:hAnsi="Arial" w:cs="Arial"/>
          <w:bCs/>
          <w:lang w:val="en"/>
        </w:rPr>
        <w:t xml:space="preserve">These observations are consistent with those of Chabi et al. (2013) and Sahli </w:t>
      </w:r>
      <w:r w:rsidRPr="001E06EE">
        <w:rPr>
          <w:rFonts w:ascii="Arial" w:hAnsi="Arial" w:cs="Arial"/>
          <w:bCs/>
          <w:i/>
          <w:iCs/>
          <w:lang w:val="en"/>
        </w:rPr>
        <w:t xml:space="preserve">et al. </w:t>
      </w:r>
      <w:r w:rsidRPr="001E06EE">
        <w:rPr>
          <w:rFonts w:ascii="Arial" w:hAnsi="Arial" w:cs="Arial"/>
          <w:bCs/>
          <w:lang w:val="en"/>
        </w:rPr>
        <w:t>(2010)</w:t>
      </w:r>
      <w:r w:rsidRPr="001E06EE">
        <w:rPr>
          <w:rFonts w:ascii="Arial" w:hAnsi="Arial" w:cs="Arial"/>
          <w:bCs/>
          <w:i/>
          <w:iCs/>
          <w:lang w:val="en"/>
        </w:rPr>
        <w:t xml:space="preserve">, </w:t>
      </w:r>
      <w:r w:rsidRPr="001E06EE">
        <w:rPr>
          <w:rFonts w:ascii="Arial" w:hAnsi="Arial" w:cs="Arial"/>
          <w:bCs/>
          <w:lang w:val="en"/>
        </w:rPr>
        <w:t xml:space="preserve">who reported the frequent use of leaves in traditional medicine. </w:t>
      </w:r>
      <w:proofErr w:type="spellStart"/>
      <w:r w:rsidRPr="001E06EE">
        <w:rPr>
          <w:rFonts w:ascii="Arial" w:hAnsi="Arial" w:cs="Arial"/>
          <w:bCs/>
          <w:lang w:val="en"/>
        </w:rPr>
        <w:t>Lagnika</w:t>
      </w:r>
      <w:proofErr w:type="spellEnd"/>
      <w:r w:rsidRPr="001E06EE">
        <w:rPr>
          <w:rFonts w:ascii="Arial" w:hAnsi="Arial" w:cs="Arial"/>
          <w:bCs/>
          <w:lang w:val="en"/>
        </w:rPr>
        <w:t xml:space="preserve"> et </w:t>
      </w:r>
      <w:r w:rsidR="00A05EF0" w:rsidRPr="001E06EE">
        <w:rPr>
          <w:rFonts w:ascii="Arial" w:hAnsi="Arial" w:cs="Arial"/>
          <w:bCs/>
          <w:i/>
          <w:iCs/>
          <w:lang w:val="en"/>
        </w:rPr>
        <w:t>al.</w:t>
      </w:r>
      <w:r w:rsidRPr="001E06EE">
        <w:rPr>
          <w:rFonts w:ascii="Arial" w:hAnsi="Arial" w:cs="Arial"/>
          <w:bCs/>
          <w:lang w:val="en"/>
        </w:rPr>
        <w:t xml:space="preserve"> (2016), in their studies on the use of medicinal plants in southern Benin against malaria, reported that leaves were the most frequently used (73.50%). Similarly, </w:t>
      </w:r>
      <w:proofErr w:type="spellStart"/>
      <w:r w:rsidRPr="001E06EE">
        <w:rPr>
          <w:rFonts w:ascii="Arial" w:hAnsi="Arial" w:cs="Arial"/>
          <w:bCs/>
          <w:lang w:val="en"/>
        </w:rPr>
        <w:t>Azonbakin</w:t>
      </w:r>
      <w:proofErr w:type="spellEnd"/>
      <w:r w:rsidRPr="001E06EE">
        <w:rPr>
          <w:rFonts w:ascii="Arial" w:hAnsi="Arial" w:cs="Arial"/>
          <w:bCs/>
          <w:lang w:val="en"/>
        </w:rPr>
        <w:t xml:space="preserve"> </w:t>
      </w:r>
      <w:r w:rsidRPr="001E06EE">
        <w:rPr>
          <w:rFonts w:ascii="Arial" w:hAnsi="Arial" w:cs="Arial"/>
          <w:bCs/>
          <w:i/>
          <w:iCs/>
          <w:lang w:val="en"/>
        </w:rPr>
        <w:t xml:space="preserve">et al. </w:t>
      </w:r>
      <w:r w:rsidRPr="001E06EE">
        <w:rPr>
          <w:rFonts w:ascii="Arial" w:hAnsi="Arial" w:cs="Arial"/>
          <w:bCs/>
          <w:lang w:val="en"/>
        </w:rPr>
        <w:t xml:space="preserve">(2021), in their study on plants used in the treatment of male infertility in Benin, showed that leaves were the most commonly used (35.77%). Catarino et al. (2016) in Guinea and </w:t>
      </w:r>
      <w:proofErr w:type="spellStart"/>
      <w:r w:rsidRPr="001E06EE">
        <w:rPr>
          <w:rFonts w:ascii="Arial" w:hAnsi="Arial" w:cs="Arial"/>
          <w:bCs/>
          <w:lang w:val="en"/>
        </w:rPr>
        <w:t>Nduche</w:t>
      </w:r>
      <w:proofErr w:type="spellEnd"/>
      <w:r w:rsidRPr="001E06EE">
        <w:rPr>
          <w:rFonts w:ascii="Arial" w:hAnsi="Arial" w:cs="Arial"/>
          <w:bCs/>
          <w:lang w:val="en"/>
        </w:rPr>
        <w:t xml:space="preserve"> et al. (2015) in Nigeria reported comparable results in their work. In Nigeria, Adebayo et al. (2011), as well as Fokou et al. (2015), noted that leaves constituted the most used parts in traditional recipes at 44.26% and 53%, respectively. </w:t>
      </w:r>
      <w:proofErr w:type="spellStart"/>
      <w:r w:rsidRPr="001E06EE">
        <w:rPr>
          <w:rFonts w:ascii="Arial" w:hAnsi="Arial" w:cs="Arial"/>
          <w:bCs/>
          <w:lang w:val="en"/>
        </w:rPr>
        <w:t>Dougnon</w:t>
      </w:r>
      <w:proofErr w:type="spellEnd"/>
      <w:r w:rsidRPr="001E06EE">
        <w:rPr>
          <w:rFonts w:ascii="Arial" w:hAnsi="Arial" w:cs="Arial"/>
          <w:bCs/>
          <w:lang w:val="en"/>
        </w:rPr>
        <w:t xml:space="preserve"> </w:t>
      </w:r>
      <w:r w:rsidRPr="001E06EE">
        <w:rPr>
          <w:rFonts w:ascii="Arial" w:hAnsi="Arial" w:cs="Arial"/>
          <w:bCs/>
          <w:i/>
          <w:iCs/>
          <w:lang w:val="en"/>
        </w:rPr>
        <w:t xml:space="preserve">et al., </w:t>
      </w:r>
      <w:r w:rsidRPr="001E06EE">
        <w:rPr>
          <w:rFonts w:ascii="Arial" w:hAnsi="Arial" w:cs="Arial"/>
          <w:bCs/>
          <w:lang w:val="en"/>
        </w:rPr>
        <w:t>(2018)</w:t>
      </w:r>
      <w:r w:rsidRPr="001E06EE">
        <w:rPr>
          <w:rFonts w:ascii="Arial" w:hAnsi="Arial" w:cs="Arial"/>
          <w:bCs/>
          <w:i/>
          <w:iCs/>
          <w:lang w:val="en"/>
        </w:rPr>
        <w:t xml:space="preserve"> </w:t>
      </w:r>
      <w:r w:rsidRPr="001E06EE">
        <w:rPr>
          <w:rFonts w:ascii="Arial" w:hAnsi="Arial" w:cs="Arial"/>
          <w:bCs/>
          <w:lang w:val="en"/>
        </w:rPr>
        <w:t>in their study on the use of plants in southern Benin for the treatment of typhoid fever, they observed that</w:t>
      </w:r>
      <w:r w:rsidRPr="001E06EE">
        <w:rPr>
          <w:rFonts w:ascii="Arial" w:hAnsi="Arial" w:cs="Arial"/>
          <w:bCs/>
          <w:i/>
          <w:iCs/>
          <w:lang w:val="en"/>
        </w:rPr>
        <w:t xml:space="preserve"> </w:t>
      </w:r>
      <w:r w:rsidRPr="001E06EE">
        <w:rPr>
          <w:rFonts w:ascii="Arial" w:hAnsi="Arial" w:cs="Arial"/>
          <w:bCs/>
          <w:lang w:val="en"/>
        </w:rPr>
        <w:t>the aerial parts, particularly the leaves, were the most frequently used at 47.37%, and using leaves poses little risk to the plant. In contrast to the devastating effects that using roots and bark can have on plant biodiversity, the frequent use of leaves in recipes is a major asset for preserving plant biodiversity (</w:t>
      </w:r>
      <w:proofErr w:type="spellStart"/>
      <w:r w:rsidRPr="001E06EE">
        <w:rPr>
          <w:rFonts w:ascii="Arial" w:hAnsi="Arial" w:cs="Arial"/>
          <w:bCs/>
          <w:lang w:val="en"/>
        </w:rPr>
        <w:t>Lagnika</w:t>
      </w:r>
      <w:proofErr w:type="spellEnd"/>
      <w:r w:rsidRPr="001E06EE">
        <w:rPr>
          <w:rFonts w:ascii="Arial" w:hAnsi="Arial" w:cs="Arial"/>
          <w:bCs/>
          <w:lang w:val="en"/>
        </w:rPr>
        <w:t xml:space="preserve"> </w:t>
      </w:r>
      <w:r w:rsidRPr="001E06EE">
        <w:rPr>
          <w:rFonts w:ascii="Arial" w:hAnsi="Arial" w:cs="Arial"/>
          <w:bCs/>
          <w:i/>
          <w:iCs/>
          <w:lang w:val="en"/>
        </w:rPr>
        <w:t xml:space="preserve">et al., </w:t>
      </w:r>
      <w:r w:rsidR="00A05EF0" w:rsidRPr="001E06EE">
        <w:rPr>
          <w:rFonts w:ascii="Arial" w:hAnsi="Arial" w:cs="Arial"/>
          <w:bCs/>
          <w:i/>
          <w:iCs/>
          <w:lang w:val="en"/>
        </w:rPr>
        <w:t>2016)</w:t>
      </w:r>
      <w:r w:rsidRPr="001E06EE">
        <w:rPr>
          <w:rFonts w:ascii="Arial" w:hAnsi="Arial" w:cs="Arial"/>
          <w:bCs/>
          <w:lang w:val="en"/>
        </w:rPr>
        <w:t>. Furthermore, using leaves is less harmful than using underground parts (roots, stem, bark) or whole plants (</w:t>
      </w:r>
      <w:proofErr w:type="spellStart"/>
      <w:r w:rsidRPr="001E06EE">
        <w:rPr>
          <w:rFonts w:ascii="Arial" w:hAnsi="Arial" w:cs="Arial"/>
          <w:bCs/>
          <w:lang w:val="en"/>
        </w:rPr>
        <w:t>Giday</w:t>
      </w:r>
      <w:proofErr w:type="spellEnd"/>
      <w:r w:rsidRPr="001E06EE">
        <w:rPr>
          <w:rFonts w:ascii="Arial" w:hAnsi="Arial" w:cs="Arial"/>
          <w:bCs/>
          <w:lang w:val="en"/>
        </w:rPr>
        <w:t xml:space="preserve"> et al., 2003; Zheng and Xing, 2009). Indeed, according to </w:t>
      </w:r>
      <w:proofErr w:type="spellStart"/>
      <w:r w:rsidRPr="001E06EE">
        <w:rPr>
          <w:rFonts w:ascii="Arial" w:hAnsi="Arial" w:cs="Arial"/>
          <w:bCs/>
          <w:lang w:val="en"/>
        </w:rPr>
        <w:t>Azonbakin</w:t>
      </w:r>
      <w:proofErr w:type="spellEnd"/>
      <w:r w:rsidRPr="001E06EE">
        <w:rPr>
          <w:rFonts w:ascii="Arial" w:hAnsi="Arial" w:cs="Arial"/>
          <w:bCs/>
          <w:lang w:val="en"/>
        </w:rPr>
        <w:t xml:space="preserve"> </w:t>
      </w:r>
      <w:r w:rsidRPr="001E06EE">
        <w:rPr>
          <w:rFonts w:ascii="Arial" w:hAnsi="Arial" w:cs="Arial"/>
          <w:bCs/>
          <w:i/>
          <w:iCs/>
          <w:lang w:val="en"/>
        </w:rPr>
        <w:t xml:space="preserve">et al. </w:t>
      </w:r>
      <w:r w:rsidRPr="001E06EE">
        <w:rPr>
          <w:rFonts w:ascii="Arial" w:hAnsi="Arial" w:cs="Arial"/>
          <w:bCs/>
          <w:lang w:val="en"/>
        </w:rPr>
        <w:t xml:space="preserve">(2021), the ease and speed of harvesting leaves could explain their increased use. The widespread use of </w:t>
      </w:r>
      <w:r w:rsidRPr="001E06EE">
        <w:rPr>
          <w:rFonts w:ascii="Arial" w:hAnsi="Arial" w:cs="Arial"/>
          <w:lang w:val="en"/>
        </w:rPr>
        <w:t xml:space="preserve">roots </w:t>
      </w:r>
      <w:r w:rsidRPr="001E06EE">
        <w:rPr>
          <w:rFonts w:ascii="Arial" w:hAnsi="Arial" w:cs="Arial"/>
          <w:bCs/>
          <w:lang w:val="en"/>
        </w:rPr>
        <w:t xml:space="preserve">(40.52%) and </w:t>
      </w:r>
      <w:r w:rsidRPr="001E06EE">
        <w:rPr>
          <w:rFonts w:ascii="Arial" w:hAnsi="Arial" w:cs="Arial"/>
          <w:lang w:val="en"/>
        </w:rPr>
        <w:t xml:space="preserve">bark </w:t>
      </w:r>
      <w:r w:rsidRPr="001E06EE">
        <w:rPr>
          <w:rFonts w:ascii="Arial" w:hAnsi="Arial" w:cs="Arial"/>
          <w:bCs/>
          <w:lang w:val="en"/>
        </w:rPr>
        <w:t xml:space="preserve">(32.76%) threatens the species' extinction, as warned by </w:t>
      </w:r>
      <w:proofErr w:type="spellStart"/>
      <w:r w:rsidRPr="001E06EE">
        <w:rPr>
          <w:rFonts w:ascii="Arial" w:hAnsi="Arial" w:cs="Arial"/>
          <w:lang w:val="en"/>
        </w:rPr>
        <w:t>Akhénaton</w:t>
      </w:r>
      <w:proofErr w:type="spellEnd"/>
      <w:r w:rsidRPr="001E06EE">
        <w:rPr>
          <w:rFonts w:ascii="Arial" w:hAnsi="Arial" w:cs="Arial"/>
          <w:lang w:val="en"/>
        </w:rPr>
        <w:t xml:space="preserve"> </w:t>
      </w:r>
      <w:r w:rsidRPr="001E06EE">
        <w:rPr>
          <w:rFonts w:ascii="Arial" w:hAnsi="Arial" w:cs="Arial"/>
          <w:bCs/>
          <w:lang w:val="en"/>
        </w:rPr>
        <w:t>et al. (2019) in Benin.</w:t>
      </w:r>
    </w:p>
    <w:p w14:paraId="56BDDF09" w14:textId="77777777" w:rsidR="001E06EE" w:rsidRPr="001E06EE" w:rsidRDefault="001E06EE" w:rsidP="001E06EE">
      <w:pPr>
        <w:pStyle w:val="Body"/>
        <w:spacing w:after="0"/>
        <w:rPr>
          <w:rFonts w:ascii="Arial" w:hAnsi="Arial" w:cs="Arial"/>
          <w:lang w:val="en"/>
        </w:rPr>
      </w:pPr>
      <w:r w:rsidRPr="001E06EE">
        <w:rPr>
          <w:rFonts w:ascii="Arial" w:hAnsi="Arial" w:cs="Arial"/>
          <w:bCs/>
          <w:lang w:val="en"/>
        </w:rPr>
        <w:t xml:space="preserve">Our studies revealed that </w:t>
      </w:r>
      <w:r w:rsidRPr="001E06EE">
        <w:rPr>
          <w:rFonts w:ascii="Arial" w:hAnsi="Arial" w:cs="Arial"/>
          <w:bCs/>
          <w:i/>
          <w:iCs/>
          <w:lang w:val="en"/>
        </w:rPr>
        <w:t xml:space="preserve">C. Pulcherrima </w:t>
      </w:r>
      <w:r w:rsidRPr="001E06EE">
        <w:rPr>
          <w:rFonts w:ascii="Arial" w:hAnsi="Arial" w:cs="Arial"/>
          <w:bCs/>
          <w:lang w:val="en"/>
        </w:rPr>
        <w:t xml:space="preserve">is used to treat up to 29 diseases according to respondents in our study area. Our results are close to those obtained by Agoyi et al. (2024) in their ethnobotanical study of </w:t>
      </w:r>
      <w:r w:rsidRPr="001E06EE">
        <w:rPr>
          <w:rFonts w:ascii="Arial" w:hAnsi="Arial" w:cs="Arial"/>
          <w:bCs/>
          <w:i/>
          <w:iCs/>
          <w:lang w:val="en"/>
        </w:rPr>
        <w:t xml:space="preserve">Moringa oleifera Lam. </w:t>
      </w:r>
      <w:r w:rsidRPr="001E06EE">
        <w:rPr>
          <w:rFonts w:ascii="Arial" w:hAnsi="Arial" w:cs="Arial"/>
          <w:bCs/>
          <w:lang w:val="en"/>
        </w:rPr>
        <w:t>in southern Benin, which reported its use by the local population for the treatment of no fewer than 34 diseases</w:t>
      </w:r>
      <w:r w:rsidRPr="001E06EE">
        <w:rPr>
          <w:rFonts w:ascii="Arial" w:hAnsi="Arial" w:cs="Arial"/>
          <w:lang w:val="en"/>
        </w:rPr>
        <w:t xml:space="preserve">. Previous studies on </w:t>
      </w:r>
      <w:r w:rsidRPr="001E06EE">
        <w:rPr>
          <w:rFonts w:ascii="Arial" w:hAnsi="Arial" w:cs="Arial"/>
          <w:i/>
          <w:iCs/>
          <w:lang w:val="en"/>
        </w:rPr>
        <w:t xml:space="preserve">C. pulcherrima </w:t>
      </w:r>
      <w:r w:rsidRPr="001E06EE">
        <w:rPr>
          <w:rFonts w:ascii="Arial" w:hAnsi="Arial" w:cs="Arial"/>
          <w:lang w:val="en"/>
        </w:rPr>
        <w:t xml:space="preserve">have led to the isolation of several diterpenoids and flavonoids (Che et al., 1986; Srinivas et al., 2003). Phytochemical studies by </w:t>
      </w:r>
      <w:proofErr w:type="spellStart"/>
      <w:r w:rsidRPr="001E06EE">
        <w:rPr>
          <w:rFonts w:ascii="Arial" w:hAnsi="Arial" w:cs="Arial"/>
          <w:lang w:val="en"/>
        </w:rPr>
        <w:t>Sivasankarie</w:t>
      </w:r>
      <w:proofErr w:type="spellEnd"/>
      <w:r w:rsidRPr="001E06EE">
        <w:rPr>
          <w:rFonts w:ascii="Arial" w:hAnsi="Arial" w:cs="Arial"/>
          <w:lang w:val="en"/>
        </w:rPr>
        <w:t xml:space="preserve"> et al. (2010) on </w:t>
      </w:r>
      <w:r w:rsidRPr="001E06EE">
        <w:rPr>
          <w:rFonts w:ascii="Arial" w:hAnsi="Arial" w:cs="Arial"/>
          <w:i/>
          <w:iCs/>
          <w:lang w:val="en"/>
        </w:rPr>
        <w:t xml:space="preserve">C. pulcherrima extracts </w:t>
      </w:r>
      <w:r w:rsidRPr="001E06EE">
        <w:rPr>
          <w:rFonts w:ascii="Arial" w:hAnsi="Arial" w:cs="Arial"/>
          <w:lang w:val="en"/>
        </w:rPr>
        <w:t xml:space="preserve">revealed the presence of alkaloids, tannins, flavonoids, and phenolic compounds. Thus, the richness of </w:t>
      </w:r>
      <w:r w:rsidRPr="001E06EE">
        <w:rPr>
          <w:rFonts w:ascii="Arial" w:hAnsi="Arial" w:cs="Arial"/>
          <w:i/>
          <w:iCs/>
          <w:lang w:val="en"/>
        </w:rPr>
        <w:t xml:space="preserve">C. pulcherrima </w:t>
      </w:r>
      <w:r w:rsidRPr="001E06EE">
        <w:rPr>
          <w:rFonts w:ascii="Arial" w:hAnsi="Arial" w:cs="Arial"/>
          <w:lang w:val="en"/>
        </w:rPr>
        <w:t>in several bioactive secondary metabolites could justify its broad spectrum of use in the traditional treatment of various diseases.</w:t>
      </w:r>
    </w:p>
    <w:p w14:paraId="4D223EA6" w14:textId="00CE5DE0" w:rsidR="001E06EE" w:rsidRPr="001E06EE" w:rsidRDefault="001E06EE" w:rsidP="001E06EE">
      <w:pPr>
        <w:pStyle w:val="Body"/>
        <w:spacing w:after="0"/>
        <w:rPr>
          <w:rFonts w:ascii="Arial" w:hAnsi="Arial" w:cs="Arial"/>
          <w:lang w:val="en"/>
        </w:rPr>
      </w:pPr>
      <w:r w:rsidRPr="001E06EE">
        <w:rPr>
          <w:rFonts w:ascii="Arial" w:hAnsi="Arial" w:cs="Arial"/>
          <w:bCs/>
          <w:lang w:val="en"/>
        </w:rPr>
        <w:t xml:space="preserve">Several preparation methods are used, among which decoction (91.38%) is the most widespread as the main method. These results are similar to those of Chabi et al. (2013), where decoction was the most frequently used preparation method for cashew nuts in the treatment of various pathologies. Similar results were reported by Diarrassouba et al. (2008). Our </w:t>
      </w:r>
      <w:r w:rsidRPr="001E06EE">
        <w:rPr>
          <w:rFonts w:ascii="Arial" w:hAnsi="Arial" w:cs="Arial"/>
          <w:bCs/>
          <w:iCs/>
          <w:lang w:val="en"/>
        </w:rPr>
        <w:t xml:space="preserve">results are also close to those obtained by </w:t>
      </w:r>
      <w:proofErr w:type="spellStart"/>
      <w:r w:rsidRPr="001E06EE">
        <w:rPr>
          <w:rFonts w:ascii="Arial" w:hAnsi="Arial" w:cs="Arial"/>
          <w:bCs/>
          <w:iCs/>
          <w:lang w:val="en"/>
        </w:rPr>
        <w:t>Lagnika</w:t>
      </w:r>
      <w:proofErr w:type="spellEnd"/>
      <w:r w:rsidRPr="001E06EE">
        <w:rPr>
          <w:rFonts w:ascii="Arial" w:hAnsi="Arial" w:cs="Arial"/>
          <w:bCs/>
          <w:iCs/>
          <w:lang w:val="en"/>
        </w:rPr>
        <w:t xml:space="preserve"> et al. (2016), whose most frequently reported preparation method in their study was decoction (91.2%). The work carried out by </w:t>
      </w:r>
      <w:proofErr w:type="spellStart"/>
      <w:r w:rsidRPr="001E06EE">
        <w:rPr>
          <w:rFonts w:ascii="Arial" w:hAnsi="Arial" w:cs="Arial"/>
          <w:bCs/>
          <w:iCs/>
          <w:lang w:val="en"/>
        </w:rPr>
        <w:t>Aboudou</w:t>
      </w:r>
      <w:proofErr w:type="spellEnd"/>
      <w:r w:rsidRPr="001E06EE">
        <w:rPr>
          <w:rFonts w:ascii="Arial" w:hAnsi="Arial" w:cs="Arial"/>
          <w:bCs/>
          <w:iCs/>
          <w:lang w:val="en"/>
        </w:rPr>
        <w:t xml:space="preserve"> </w:t>
      </w:r>
      <w:r w:rsidRPr="001E06EE">
        <w:rPr>
          <w:rFonts w:ascii="Arial" w:hAnsi="Arial" w:cs="Arial"/>
          <w:bCs/>
          <w:i/>
          <w:lang w:val="en"/>
        </w:rPr>
        <w:t>et al.</w:t>
      </w:r>
      <w:r w:rsidRPr="001E06EE">
        <w:rPr>
          <w:rFonts w:ascii="Arial" w:hAnsi="Arial" w:cs="Arial"/>
          <w:i/>
          <w:lang w:val="en"/>
        </w:rPr>
        <w:t xml:space="preserve"> </w:t>
      </w:r>
      <w:r w:rsidR="00A05EF0">
        <w:rPr>
          <w:rFonts w:ascii="Arial" w:hAnsi="Arial" w:cs="Arial"/>
          <w:i/>
          <w:lang w:val="en"/>
        </w:rPr>
        <w:t>(</w:t>
      </w:r>
      <w:r w:rsidRPr="001E06EE">
        <w:rPr>
          <w:rFonts w:ascii="Arial" w:hAnsi="Arial" w:cs="Arial"/>
          <w:iCs/>
          <w:lang w:val="en"/>
        </w:rPr>
        <w:t>2021</w:t>
      </w:r>
      <w:r w:rsidR="00A05EF0">
        <w:rPr>
          <w:rFonts w:ascii="Arial" w:hAnsi="Arial" w:cs="Arial"/>
          <w:iCs/>
          <w:lang w:val="en"/>
        </w:rPr>
        <w:t>)</w:t>
      </w:r>
      <w:r w:rsidRPr="001E06EE">
        <w:rPr>
          <w:rFonts w:ascii="Arial" w:hAnsi="Arial" w:cs="Arial"/>
          <w:iCs/>
          <w:lang w:val="en"/>
        </w:rPr>
        <w:t xml:space="preserve"> </w:t>
      </w:r>
      <w:r w:rsidRPr="001E06EE">
        <w:rPr>
          <w:rFonts w:ascii="Arial" w:hAnsi="Arial" w:cs="Arial"/>
          <w:bCs/>
          <w:iCs/>
          <w:lang w:val="en"/>
        </w:rPr>
        <w:t xml:space="preserve">on medicinal plants used in the traditional management of infectious diseases in the Lomé health region, Togo, </w:t>
      </w:r>
      <w:r w:rsidRPr="001E06EE">
        <w:rPr>
          <w:rFonts w:ascii="Arial" w:hAnsi="Arial" w:cs="Arial"/>
          <w:lang w:val="en"/>
        </w:rPr>
        <w:t xml:space="preserve">also showed that </w:t>
      </w:r>
      <w:r w:rsidRPr="001E06EE">
        <w:rPr>
          <w:rFonts w:ascii="Arial" w:hAnsi="Arial" w:cs="Arial"/>
          <w:bCs/>
          <w:iCs/>
          <w:lang w:val="en"/>
        </w:rPr>
        <w:t xml:space="preserve">decoctions are the most common (93.14%). </w:t>
      </w:r>
      <w:r w:rsidRPr="001E06EE">
        <w:rPr>
          <w:rFonts w:ascii="Arial" w:hAnsi="Arial" w:cs="Arial"/>
          <w:bCs/>
          <w:lang w:val="en"/>
        </w:rPr>
        <w:t>This could be explained by the fact that decoctions can contain the most potent active ingredients and reduce, or even eliminate, the toxic effects of certain substances (Salhi et al., 2010).</w:t>
      </w:r>
    </w:p>
    <w:p w14:paraId="35CA531A" w14:textId="77777777" w:rsidR="001E06EE" w:rsidRPr="001E06EE" w:rsidRDefault="001E06EE" w:rsidP="001E06EE">
      <w:pPr>
        <w:pStyle w:val="Body"/>
        <w:spacing w:after="0"/>
        <w:rPr>
          <w:rFonts w:ascii="Arial" w:hAnsi="Arial" w:cs="Arial"/>
          <w:bCs/>
          <w:lang w:val="en"/>
        </w:rPr>
      </w:pPr>
      <w:r w:rsidRPr="001E06EE">
        <w:rPr>
          <w:rFonts w:ascii="Arial" w:hAnsi="Arial" w:cs="Arial"/>
          <w:bCs/>
          <w:lang w:val="en"/>
        </w:rPr>
        <w:t>During our field surveys, no respondents mentioned any difference in the plant's use based on flower color. This could be explained by the absence of a specific study designed to observe this variation. The lack of distinction between floral varieties could thus conceal different uses.</w:t>
      </w:r>
    </w:p>
    <w:p w14:paraId="2DE2DC65" w14:textId="77777777" w:rsidR="001E06EE" w:rsidRPr="001E06EE" w:rsidRDefault="001E06EE" w:rsidP="001E06EE">
      <w:pPr>
        <w:pStyle w:val="Body"/>
        <w:spacing w:after="0"/>
        <w:rPr>
          <w:rFonts w:ascii="Arial" w:hAnsi="Arial" w:cs="Arial"/>
          <w:lang w:val="en"/>
        </w:rPr>
      </w:pPr>
    </w:p>
    <w:p w14:paraId="6CC809AA" w14:textId="77777777" w:rsidR="001437B8" w:rsidRPr="001437B8" w:rsidRDefault="001437B8" w:rsidP="00441B6F">
      <w:pPr>
        <w:pStyle w:val="Body"/>
        <w:spacing w:after="0"/>
        <w:rPr>
          <w:rFonts w:ascii="Arial" w:hAnsi="Arial" w:cs="Arial"/>
          <w:b/>
          <w:bCs/>
        </w:rPr>
      </w:pPr>
    </w:p>
    <w:p w14:paraId="63D95B5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491E1E3" w14:textId="77777777" w:rsidR="00790ADA" w:rsidRPr="00FB3A86" w:rsidRDefault="00790ADA" w:rsidP="00441B6F">
      <w:pPr>
        <w:pStyle w:val="ConcHead"/>
        <w:spacing w:after="0"/>
        <w:jc w:val="both"/>
        <w:rPr>
          <w:rFonts w:ascii="Arial" w:hAnsi="Arial" w:cs="Arial"/>
        </w:rPr>
      </w:pPr>
    </w:p>
    <w:p w14:paraId="092B423E" w14:textId="77777777" w:rsidR="001E06EE" w:rsidRPr="001E06EE" w:rsidRDefault="001E06EE" w:rsidP="001E06EE">
      <w:pPr>
        <w:pStyle w:val="Body"/>
        <w:spacing w:after="0"/>
        <w:rPr>
          <w:rFonts w:ascii="Arial" w:hAnsi="Arial" w:cs="Arial"/>
          <w:lang w:val="en"/>
        </w:rPr>
      </w:pPr>
      <w:r w:rsidRPr="001E06EE">
        <w:rPr>
          <w:rFonts w:ascii="Arial" w:hAnsi="Arial" w:cs="Arial"/>
          <w:lang w:val="en"/>
        </w:rPr>
        <w:t xml:space="preserve">This study has provided a comprehensive record of the ethnobotanical uses of </w:t>
      </w:r>
      <w:r w:rsidRPr="001E06EE">
        <w:rPr>
          <w:rFonts w:ascii="Arial" w:hAnsi="Arial" w:cs="Arial"/>
          <w:i/>
          <w:iCs/>
          <w:lang w:val="en"/>
        </w:rPr>
        <w:t xml:space="preserve">Caesalpinia pulcherrima </w:t>
      </w:r>
      <w:r w:rsidRPr="001E06EE">
        <w:rPr>
          <w:rFonts w:ascii="Arial" w:hAnsi="Arial" w:cs="Arial"/>
          <w:lang w:val="en"/>
        </w:rPr>
        <w:t>in southern Benin, highlighting its prominent role in local traditional medicine. Our findings have revealed a wealth of indigenous knowledge, particularly held by women. However, the high illiteracy rate and low youth involvement threaten the transmission of this knowledge. It is therefore imperative to implement strategies for conserving this knowledge and the species itself, notably by encouraging its cultivation and by conducting further phytochemical and pharmacological investigations to scientifically validate its therapeutic potential and ensure its sustainable use.</w:t>
      </w:r>
    </w:p>
    <w:p w14:paraId="36AEA88C" w14:textId="77777777" w:rsidR="00790ADA" w:rsidRPr="00FB3A86" w:rsidRDefault="00790ADA" w:rsidP="00441B6F">
      <w:pPr>
        <w:pStyle w:val="Body"/>
        <w:spacing w:after="0"/>
        <w:rPr>
          <w:rFonts w:ascii="Arial" w:hAnsi="Arial" w:cs="Arial"/>
        </w:rPr>
      </w:pPr>
    </w:p>
    <w:p w14:paraId="6A21A9C3" w14:textId="517E5CE1" w:rsidR="0041027F" w:rsidRPr="00F469F0" w:rsidRDefault="0041027F" w:rsidP="00441B6F">
      <w:pPr>
        <w:pStyle w:val="ReferHead"/>
        <w:spacing w:after="0"/>
        <w:jc w:val="both"/>
        <w:rPr>
          <w:rFonts w:ascii="Arial" w:hAnsi="Arial" w:cs="Arial"/>
          <w:b w:val="0"/>
          <w:caps w:val="0"/>
          <w:sz w:val="20"/>
          <w:u w:val="single"/>
        </w:rPr>
      </w:pPr>
    </w:p>
    <w:p w14:paraId="287A7D3A" w14:textId="77777777" w:rsidR="00860000" w:rsidRDefault="00860000" w:rsidP="00441B6F">
      <w:pPr>
        <w:pStyle w:val="ReferHead"/>
        <w:spacing w:after="0"/>
        <w:jc w:val="both"/>
        <w:rPr>
          <w:rFonts w:ascii="Arial" w:hAnsi="Arial" w:cs="Arial"/>
        </w:rPr>
      </w:pPr>
    </w:p>
    <w:p w14:paraId="49F045C7" w14:textId="090FE58F" w:rsidR="00284C4C" w:rsidRPr="00EC6968" w:rsidRDefault="00B01FCD" w:rsidP="00EC6968">
      <w:pPr>
        <w:pStyle w:val="ReferHead"/>
        <w:spacing w:after="0"/>
        <w:jc w:val="both"/>
        <w:rPr>
          <w:rFonts w:ascii="Arial" w:hAnsi="Arial" w:cs="Arial"/>
        </w:rPr>
      </w:pPr>
      <w:r w:rsidRPr="00FB3A86">
        <w:rPr>
          <w:rFonts w:ascii="Arial" w:hAnsi="Arial" w:cs="Arial"/>
        </w:rPr>
        <w:t>References</w:t>
      </w:r>
    </w:p>
    <w:p w14:paraId="667CA9C6" w14:textId="77777777" w:rsidR="001E06EE" w:rsidRPr="001E06EE" w:rsidRDefault="001E06EE" w:rsidP="001E06EE">
      <w:pPr>
        <w:pStyle w:val="Body"/>
        <w:rPr>
          <w:rFonts w:ascii="Arial" w:hAnsi="Arial" w:cs="Arial"/>
        </w:rPr>
      </w:pPr>
      <w:proofErr w:type="spellStart"/>
      <w:r w:rsidRPr="001E06EE">
        <w:rPr>
          <w:rFonts w:ascii="Arial" w:hAnsi="Arial" w:cs="Arial"/>
          <w:lang w:val="en"/>
        </w:rPr>
        <w:t>Adjatin</w:t>
      </w:r>
      <w:proofErr w:type="spellEnd"/>
      <w:r w:rsidRPr="001E06EE">
        <w:rPr>
          <w:rFonts w:ascii="Arial" w:hAnsi="Arial" w:cs="Arial"/>
          <w:lang w:val="en"/>
        </w:rPr>
        <w:t xml:space="preserve"> A., </w:t>
      </w:r>
      <w:proofErr w:type="spellStart"/>
      <w:r w:rsidRPr="001E06EE">
        <w:rPr>
          <w:rFonts w:ascii="Arial" w:hAnsi="Arial" w:cs="Arial"/>
          <w:lang w:val="en"/>
        </w:rPr>
        <w:t>Dansi</w:t>
      </w:r>
      <w:proofErr w:type="spellEnd"/>
      <w:r w:rsidRPr="001E06EE">
        <w:rPr>
          <w:rFonts w:ascii="Arial" w:hAnsi="Arial" w:cs="Arial"/>
          <w:lang w:val="en"/>
        </w:rPr>
        <w:t xml:space="preserve"> A, </w:t>
      </w:r>
      <w:proofErr w:type="spellStart"/>
      <w:r w:rsidRPr="001E06EE">
        <w:rPr>
          <w:rFonts w:ascii="Arial" w:hAnsi="Arial" w:cs="Arial"/>
          <w:lang w:val="en"/>
        </w:rPr>
        <w:t>Badoussi</w:t>
      </w:r>
      <w:proofErr w:type="spellEnd"/>
      <w:r w:rsidRPr="001E06EE">
        <w:rPr>
          <w:rFonts w:ascii="Arial" w:hAnsi="Arial" w:cs="Arial"/>
          <w:lang w:val="en"/>
        </w:rPr>
        <w:t xml:space="preserve"> E, </w:t>
      </w:r>
      <w:proofErr w:type="spellStart"/>
      <w:r w:rsidRPr="001E06EE">
        <w:rPr>
          <w:rFonts w:ascii="Arial" w:hAnsi="Arial" w:cs="Arial"/>
          <w:lang w:val="en"/>
        </w:rPr>
        <w:t>Loko</w:t>
      </w:r>
      <w:proofErr w:type="spellEnd"/>
      <w:r w:rsidRPr="001E06EE">
        <w:rPr>
          <w:rFonts w:ascii="Arial" w:hAnsi="Arial" w:cs="Arial"/>
          <w:lang w:val="en"/>
        </w:rPr>
        <w:t xml:space="preserve"> YL, Dansi M., </w:t>
      </w:r>
      <w:proofErr w:type="spellStart"/>
      <w:r w:rsidRPr="001E06EE">
        <w:rPr>
          <w:rFonts w:ascii="Arial" w:hAnsi="Arial" w:cs="Arial"/>
          <w:lang w:val="en"/>
        </w:rPr>
        <w:t>Gbaguidi</w:t>
      </w:r>
      <w:proofErr w:type="spellEnd"/>
      <w:r w:rsidRPr="001E06EE">
        <w:rPr>
          <w:rFonts w:ascii="Arial" w:hAnsi="Arial" w:cs="Arial"/>
          <w:lang w:val="en"/>
        </w:rPr>
        <w:t xml:space="preserve"> F, </w:t>
      </w:r>
      <w:proofErr w:type="spellStart"/>
      <w:r w:rsidRPr="001E06EE">
        <w:rPr>
          <w:rFonts w:ascii="Arial" w:hAnsi="Arial" w:cs="Arial"/>
          <w:lang w:val="en"/>
        </w:rPr>
        <w:t>Azokpota</w:t>
      </w:r>
      <w:proofErr w:type="spellEnd"/>
      <w:r w:rsidRPr="001E06EE">
        <w:rPr>
          <w:rFonts w:ascii="Arial" w:hAnsi="Arial" w:cs="Arial"/>
          <w:lang w:val="en"/>
        </w:rPr>
        <w:t xml:space="preserve"> P, </w:t>
      </w:r>
      <w:proofErr w:type="spellStart"/>
      <w:r w:rsidRPr="001E06EE">
        <w:rPr>
          <w:rFonts w:ascii="Arial" w:hAnsi="Arial" w:cs="Arial"/>
          <w:lang w:val="en"/>
        </w:rPr>
        <w:t>Ahissou</w:t>
      </w:r>
      <w:proofErr w:type="spellEnd"/>
      <w:r w:rsidRPr="001E06EE">
        <w:rPr>
          <w:rFonts w:ascii="Arial" w:hAnsi="Arial" w:cs="Arial"/>
          <w:lang w:val="en"/>
        </w:rPr>
        <w:t xml:space="preserve"> H., </w:t>
      </w:r>
      <w:proofErr w:type="spellStart"/>
      <w:r w:rsidRPr="001E06EE">
        <w:rPr>
          <w:rFonts w:ascii="Arial" w:hAnsi="Arial" w:cs="Arial"/>
          <w:lang w:val="en"/>
        </w:rPr>
        <w:t>Akoègninou</w:t>
      </w:r>
      <w:proofErr w:type="spellEnd"/>
      <w:r w:rsidRPr="001E06EE">
        <w:rPr>
          <w:rFonts w:ascii="Arial" w:hAnsi="Arial" w:cs="Arial"/>
          <w:lang w:val="en"/>
        </w:rPr>
        <w:t xml:space="preserve"> A., </w:t>
      </w:r>
      <w:proofErr w:type="spellStart"/>
      <w:r w:rsidRPr="001E06EE">
        <w:rPr>
          <w:rFonts w:ascii="Arial" w:hAnsi="Arial" w:cs="Arial"/>
          <w:lang w:val="en"/>
        </w:rPr>
        <w:t>Akpagana</w:t>
      </w:r>
      <w:proofErr w:type="spellEnd"/>
      <w:r w:rsidRPr="001E06EE">
        <w:rPr>
          <w:rFonts w:ascii="Arial" w:hAnsi="Arial" w:cs="Arial"/>
          <w:lang w:val="en"/>
        </w:rPr>
        <w:t xml:space="preserve"> K. and Sanni </w:t>
      </w:r>
      <w:proofErr w:type="gramStart"/>
      <w:r w:rsidRPr="001E06EE">
        <w:rPr>
          <w:rFonts w:ascii="Arial" w:hAnsi="Arial" w:cs="Arial"/>
          <w:lang w:val="en"/>
        </w:rPr>
        <w:t>A.(</w:t>
      </w:r>
      <w:proofErr w:type="gramEnd"/>
      <w:r w:rsidRPr="001E06EE">
        <w:rPr>
          <w:rFonts w:ascii="Arial" w:hAnsi="Arial" w:cs="Arial"/>
          <w:lang w:val="en"/>
        </w:rPr>
        <w:t xml:space="preserve">2013). Phytochemical screening and toxicity studies of </w:t>
      </w:r>
      <w:proofErr w:type="spellStart"/>
      <w:r w:rsidRPr="001E06EE">
        <w:rPr>
          <w:rFonts w:ascii="Arial" w:hAnsi="Arial" w:cs="Arial"/>
          <w:lang w:val="en"/>
        </w:rPr>
        <w:t>Crassocephalum</w:t>
      </w:r>
      <w:proofErr w:type="spellEnd"/>
      <w:r w:rsidRPr="001E06EE">
        <w:rPr>
          <w:rFonts w:ascii="Arial" w:hAnsi="Arial" w:cs="Arial"/>
          <w:lang w:val="en"/>
        </w:rPr>
        <w:t xml:space="preserve"> </w:t>
      </w:r>
      <w:proofErr w:type="spellStart"/>
      <w:r w:rsidRPr="001E06EE">
        <w:rPr>
          <w:rFonts w:ascii="Arial" w:hAnsi="Arial" w:cs="Arial"/>
          <w:lang w:val="en"/>
        </w:rPr>
        <w:t>rubens</w:t>
      </w:r>
      <w:proofErr w:type="spellEnd"/>
      <w:r w:rsidRPr="001E06EE">
        <w:rPr>
          <w:rFonts w:ascii="Arial" w:hAnsi="Arial" w:cs="Arial"/>
          <w:lang w:val="en"/>
        </w:rPr>
        <w:t xml:space="preserve"> (</w:t>
      </w:r>
      <w:proofErr w:type="spellStart"/>
      <w:r w:rsidRPr="001E06EE">
        <w:rPr>
          <w:rFonts w:ascii="Arial" w:hAnsi="Arial" w:cs="Arial"/>
          <w:lang w:val="en"/>
        </w:rPr>
        <w:t>Juss</w:t>
      </w:r>
      <w:proofErr w:type="spellEnd"/>
      <w:r w:rsidRPr="001E06EE">
        <w:rPr>
          <w:rFonts w:ascii="Arial" w:hAnsi="Arial" w:cs="Arial"/>
          <w:lang w:val="en"/>
        </w:rPr>
        <w:t xml:space="preserve">. ex Jacq.) S. Moore and </w:t>
      </w:r>
      <w:proofErr w:type="spellStart"/>
      <w:r w:rsidRPr="001E06EE">
        <w:rPr>
          <w:rFonts w:ascii="Arial" w:hAnsi="Arial" w:cs="Arial"/>
          <w:lang w:val="en"/>
        </w:rPr>
        <w:t>Crassocephalum</w:t>
      </w:r>
      <w:proofErr w:type="spellEnd"/>
      <w:r w:rsidRPr="001E06EE">
        <w:rPr>
          <w:rFonts w:ascii="Arial" w:hAnsi="Arial" w:cs="Arial"/>
          <w:lang w:val="en"/>
        </w:rPr>
        <w:t xml:space="preserve"> </w:t>
      </w:r>
      <w:proofErr w:type="spellStart"/>
      <w:r w:rsidRPr="001E06EE">
        <w:rPr>
          <w:rFonts w:ascii="Arial" w:hAnsi="Arial" w:cs="Arial"/>
          <w:lang w:val="en"/>
        </w:rPr>
        <w:t>crepidioides</w:t>
      </w:r>
      <w:proofErr w:type="spellEnd"/>
      <w:r w:rsidRPr="001E06EE">
        <w:rPr>
          <w:rFonts w:ascii="Arial" w:hAnsi="Arial" w:cs="Arial"/>
          <w:lang w:val="en"/>
        </w:rPr>
        <w:t xml:space="preserve"> (</w:t>
      </w:r>
      <w:proofErr w:type="spellStart"/>
      <w:r w:rsidRPr="001E06EE">
        <w:rPr>
          <w:rFonts w:ascii="Arial" w:hAnsi="Arial" w:cs="Arial"/>
          <w:lang w:val="en"/>
        </w:rPr>
        <w:t>Benth</w:t>
      </w:r>
      <w:proofErr w:type="spellEnd"/>
      <w:r w:rsidRPr="001E06EE">
        <w:rPr>
          <w:rFonts w:ascii="Arial" w:hAnsi="Arial" w:cs="Arial"/>
          <w:lang w:val="en"/>
        </w:rPr>
        <w:t xml:space="preserve">.) </w:t>
      </w:r>
      <w:r w:rsidRPr="001E06EE">
        <w:rPr>
          <w:rFonts w:ascii="Arial" w:hAnsi="Arial" w:cs="Arial"/>
        </w:rPr>
        <w:t xml:space="preserve">S. Moore as consumed vegetables in Benin. </w:t>
      </w:r>
      <w:r w:rsidRPr="001E06EE">
        <w:rPr>
          <w:rFonts w:ascii="Arial" w:hAnsi="Arial" w:cs="Arial"/>
          <w:i/>
        </w:rPr>
        <w:t xml:space="preserve">Journal of Chemical and Pharmaceutical </w:t>
      </w:r>
      <w:proofErr w:type="gramStart"/>
      <w:r w:rsidRPr="001E06EE">
        <w:rPr>
          <w:rFonts w:ascii="Arial" w:hAnsi="Arial" w:cs="Arial"/>
          <w:i/>
        </w:rPr>
        <w:t xml:space="preserve">Research </w:t>
      </w:r>
      <w:r w:rsidRPr="001E06EE">
        <w:rPr>
          <w:rFonts w:ascii="Arial" w:hAnsi="Arial" w:cs="Arial"/>
        </w:rPr>
        <w:t>,</w:t>
      </w:r>
      <w:proofErr w:type="gramEnd"/>
      <w:r w:rsidRPr="001E06EE">
        <w:rPr>
          <w:rFonts w:ascii="Arial" w:hAnsi="Arial" w:cs="Arial"/>
        </w:rPr>
        <w:t xml:space="preserve"> , 5(6):160-167</w:t>
      </w:r>
    </w:p>
    <w:p w14:paraId="28F5F618" w14:textId="77777777" w:rsidR="001E06EE" w:rsidRPr="001E06EE" w:rsidRDefault="001E06EE" w:rsidP="001E06EE">
      <w:pPr>
        <w:pStyle w:val="Body"/>
      </w:pPr>
      <w:r w:rsidRPr="001E06EE">
        <w:t xml:space="preserve">Adebayo JO, </w:t>
      </w:r>
      <w:proofErr w:type="spellStart"/>
      <w:r w:rsidRPr="001E06EE">
        <w:t>Krettli</w:t>
      </w:r>
      <w:proofErr w:type="spellEnd"/>
      <w:r w:rsidRPr="001E06EE">
        <w:t xml:space="preserve"> AU. (2011). Potential antimalarials from Nigerian plants: a review. J </w:t>
      </w:r>
      <w:proofErr w:type="spellStart"/>
      <w:r w:rsidRPr="001E06EE">
        <w:t>Ethnopharmacol</w:t>
      </w:r>
      <w:proofErr w:type="spellEnd"/>
      <w:r w:rsidRPr="001E06EE">
        <w:t>, 133: 289-302. DOI: 10.1016/j.jep.2010.11.024.</w:t>
      </w:r>
    </w:p>
    <w:p w14:paraId="78DDF7A3" w14:textId="77777777" w:rsidR="001E06EE" w:rsidRPr="001E06EE" w:rsidRDefault="001E06EE" w:rsidP="001E06EE">
      <w:pPr>
        <w:pStyle w:val="Body"/>
        <w:rPr>
          <w:lang w:val="en"/>
        </w:rPr>
      </w:pPr>
      <w:proofErr w:type="spellStart"/>
      <w:r w:rsidRPr="001E06EE">
        <w:t>Aboudou</w:t>
      </w:r>
      <w:proofErr w:type="spellEnd"/>
      <w:r w:rsidRPr="001E06EE">
        <w:t xml:space="preserve"> AD &amp; </w:t>
      </w:r>
      <w:proofErr w:type="spellStart"/>
      <w:r w:rsidRPr="001E06EE">
        <w:t>Koffi</w:t>
      </w:r>
      <w:proofErr w:type="spellEnd"/>
      <w:r w:rsidRPr="001E06EE">
        <w:t xml:space="preserve"> K. (2021). </w:t>
      </w:r>
      <w:r w:rsidRPr="001E06EE">
        <w:rPr>
          <w:lang w:val="en"/>
        </w:rPr>
        <w:t xml:space="preserve">Ethnobotanical Survey of Medicinal Plants Used in the Traditional Management of Infectious Diseases in the Lomé-Commune Health Region of Togo. European Scientific Journal, ESJ, 17(21), 46. </w:t>
      </w:r>
      <w:hyperlink r:id="rId21" w:history="1">
        <w:r w:rsidRPr="001E06EE">
          <w:rPr>
            <w:rStyle w:val="Hyperlink"/>
            <w:lang w:val="en"/>
          </w:rPr>
          <w:t>https://doi.org/10.19044/esj.2021.v17n21p46</w:t>
        </w:r>
      </w:hyperlink>
    </w:p>
    <w:p w14:paraId="10E14317" w14:textId="77777777" w:rsidR="001E06EE" w:rsidRPr="001E06EE" w:rsidRDefault="001E06EE" w:rsidP="001E06EE">
      <w:pPr>
        <w:pStyle w:val="Body"/>
      </w:pPr>
      <w:proofErr w:type="spellStart"/>
      <w:r w:rsidRPr="001E06EE">
        <w:rPr>
          <w:lang w:val="en"/>
        </w:rPr>
        <w:t>Azonbakin</w:t>
      </w:r>
      <w:proofErr w:type="spellEnd"/>
      <w:r w:rsidRPr="001E06EE">
        <w:rPr>
          <w:lang w:val="en"/>
        </w:rPr>
        <w:t xml:space="preserve"> S., P. Dangbemey, R. </w:t>
      </w:r>
      <w:proofErr w:type="spellStart"/>
      <w:r w:rsidRPr="001E06EE">
        <w:rPr>
          <w:lang w:val="en"/>
        </w:rPr>
        <w:t>Osseni</w:t>
      </w:r>
      <w:proofErr w:type="spellEnd"/>
      <w:r w:rsidRPr="001E06EE">
        <w:rPr>
          <w:lang w:val="en"/>
        </w:rPr>
        <w:t xml:space="preserve">, SA </w:t>
      </w:r>
      <w:proofErr w:type="spellStart"/>
      <w:r w:rsidRPr="001E06EE">
        <w:rPr>
          <w:lang w:val="en"/>
        </w:rPr>
        <w:t>Yaude</w:t>
      </w:r>
      <w:proofErr w:type="spellEnd"/>
      <w:r w:rsidRPr="001E06EE">
        <w:rPr>
          <w:lang w:val="en"/>
        </w:rPr>
        <w:t xml:space="preserve">, F. Kora, D. </w:t>
      </w:r>
      <w:proofErr w:type="spellStart"/>
      <w:r w:rsidRPr="001E06EE">
        <w:rPr>
          <w:lang w:val="en"/>
        </w:rPr>
        <w:t>Adovoekpe</w:t>
      </w:r>
      <w:proofErr w:type="spellEnd"/>
      <w:r w:rsidRPr="001E06EE">
        <w:rPr>
          <w:lang w:val="en"/>
        </w:rPr>
        <w:t xml:space="preserve">, F. DJEGO, A. </w:t>
      </w:r>
      <w:proofErr w:type="spellStart"/>
      <w:r w:rsidRPr="001E06EE">
        <w:rPr>
          <w:lang w:val="en"/>
        </w:rPr>
        <w:t>Laleye</w:t>
      </w:r>
      <w:proofErr w:type="spellEnd"/>
      <w:r w:rsidRPr="001E06EE">
        <w:rPr>
          <w:lang w:val="en"/>
        </w:rPr>
        <w:t xml:space="preserve"> and B. </w:t>
      </w:r>
      <w:proofErr w:type="spellStart"/>
      <w:r w:rsidRPr="001E06EE">
        <w:rPr>
          <w:lang w:val="en"/>
        </w:rPr>
        <w:t>Awede</w:t>
      </w:r>
      <w:proofErr w:type="spellEnd"/>
      <w:r w:rsidRPr="001E06EE">
        <w:rPr>
          <w:lang w:val="en"/>
        </w:rPr>
        <w:t xml:space="preserve">. (2021). Ethnobotanical survey of plants used in the treatment of male infertility in Benin. </w:t>
      </w:r>
      <w:r w:rsidRPr="001E06EE">
        <w:t>Int. J. Biol. Chem. Sci. 15(4): 1667-1677, 2021</w:t>
      </w:r>
    </w:p>
    <w:p w14:paraId="08AAF068" w14:textId="63ABEA43" w:rsidR="001E06EE" w:rsidRPr="001E06EE" w:rsidRDefault="001E06EE" w:rsidP="001E06EE">
      <w:pPr>
        <w:pStyle w:val="Body"/>
      </w:pPr>
      <w:r w:rsidRPr="001E06EE">
        <w:t>Agoyi Eric E, Achille E. Assogbadjo, Gerard Gouwakinnou, Farris AY Okou, and</w:t>
      </w:r>
      <w:r>
        <w:t xml:space="preserve"> </w:t>
      </w:r>
      <w:r w:rsidRPr="001E06EE">
        <w:rPr>
          <w:lang w:val="en"/>
        </w:rPr>
        <w:t xml:space="preserve">Brice </w:t>
      </w:r>
      <w:proofErr w:type="gramStart"/>
      <w:r w:rsidRPr="001E06EE">
        <w:rPr>
          <w:lang w:val="en"/>
        </w:rPr>
        <w:t>Sinsin.(</w:t>
      </w:r>
      <w:proofErr w:type="gramEnd"/>
      <w:r w:rsidRPr="001E06EE">
        <w:rPr>
          <w:lang w:val="en"/>
        </w:rPr>
        <w:t xml:space="preserve">2014). </w:t>
      </w:r>
      <w:hyperlink r:id="rId22" w:history="1">
        <w:r w:rsidRPr="001E06EE">
          <w:rPr>
            <w:rStyle w:val="Hyperlink"/>
            <w:lang w:val="en"/>
          </w:rPr>
          <w:t>www.ethnobotanyjournal.org/vol12/i1547-3465-12-551.pdf</w:t>
        </w:r>
      </w:hyperlink>
    </w:p>
    <w:p w14:paraId="7213314C" w14:textId="77777777" w:rsidR="001E06EE" w:rsidRPr="001E06EE" w:rsidRDefault="001E06EE" w:rsidP="001E06EE">
      <w:pPr>
        <w:pStyle w:val="Body"/>
      </w:pPr>
      <w:proofErr w:type="spellStart"/>
      <w:r w:rsidRPr="001E06EE">
        <w:rPr>
          <w:lang w:val="en"/>
        </w:rPr>
        <w:t>Akhénaton</w:t>
      </w:r>
      <w:proofErr w:type="spellEnd"/>
      <w:r w:rsidRPr="001E06EE">
        <w:rPr>
          <w:lang w:val="en"/>
        </w:rPr>
        <w:t xml:space="preserve"> </w:t>
      </w:r>
      <w:proofErr w:type="spellStart"/>
      <w:r w:rsidRPr="001E06EE">
        <w:rPr>
          <w:lang w:val="en"/>
        </w:rPr>
        <w:t>Adonaï</w:t>
      </w:r>
      <w:proofErr w:type="spellEnd"/>
      <w:r w:rsidRPr="001E06EE">
        <w:rPr>
          <w:lang w:val="en"/>
        </w:rPr>
        <w:t xml:space="preserve"> </w:t>
      </w:r>
      <w:proofErr w:type="spellStart"/>
      <w:r w:rsidRPr="001E06EE">
        <w:rPr>
          <w:lang w:val="en"/>
        </w:rPr>
        <w:t>Mahouklo</w:t>
      </w:r>
      <w:proofErr w:type="spellEnd"/>
      <w:r w:rsidRPr="001E06EE">
        <w:rPr>
          <w:lang w:val="en"/>
        </w:rPr>
        <w:t xml:space="preserve"> BADA AMOUZOUN, </w:t>
      </w:r>
      <w:proofErr w:type="spellStart"/>
      <w:r w:rsidRPr="001E06EE">
        <w:rPr>
          <w:lang w:val="en"/>
        </w:rPr>
        <w:t>Romaël</w:t>
      </w:r>
      <w:proofErr w:type="spellEnd"/>
      <w:r w:rsidRPr="001E06EE">
        <w:rPr>
          <w:lang w:val="en"/>
        </w:rPr>
        <w:t xml:space="preserve"> </w:t>
      </w:r>
      <w:proofErr w:type="spellStart"/>
      <w:r w:rsidRPr="001E06EE">
        <w:rPr>
          <w:lang w:val="en"/>
        </w:rPr>
        <w:t>Badjrêhou</w:t>
      </w:r>
      <w:proofErr w:type="spellEnd"/>
      <w:r w:rsidRPr="001E06EE">
        <w:rPr>
          <w:lang w:val="en"/>
        </w:rPr>
        <w:t xml:space="preserve"> BADOU, </w:t>
      </w:r>
      <w:proofErr w:type="spellStart"/>
      <w:r w:rsidRPr="001E06EE">
        <w:rPr>
          <w:lang w:val="en"/>
        </w:rPr>
        <w:t>Dègninou</w:t>
      </w:r>
      <w:proofErr w:type="spellEnd"/>
      <w:r w:rsidRPr="001E06EE">
        <w:rPr>
          <w:lang w:val="en"/>
        </w:rPr>
        <w:t xml:space="preserve"> </w:t>
      </w:r>
      <w:proofErr w:type="spellStart"/>
      <w:r w:rsidRPr="001E06EE">
        <w:rPr>
          <w:lang w:val="en"/>
        </w:rPr>
        <w:t>Yélognissè</w:t>
      </w:r>
      <w:proofErr w:type="spellEnd"/>
      <w:r w:rsidRPr="001E06EE">
        <w:rPr>
          <w:lang w:val="en"/>
        </w:rPr>
        <w:t xml:space="preserve"> Innocent AHAMIDE and Cossi Aristide ADOMOU (2019). Ethnobotanical knowledge and conservation of </w:t>
      </w:r>
      <w:proofErr w:type="spellStart"/>
      <w:r w:rsidRPr="001E06EE">
        <w:rPr>
          <w:lang w:val="en"/>
        </w:rPr>
        <w:t>uvariodendron</w:t>
      </w:r>
      <w:proofErr w:type="spellEnd"/>
      <w:r w:rsidRPr="001E06EE">
        <w:rPr>
          <w:lang w:val="en"/>
        </w:rPr>
        <w:t xml:space="preserve"> </w:t>
      </w:r>
      <w:proofErr w:type="spellStart"/>
      <w:r w:rsidRPr="001E06EE">
        <w:rPr>
          <w:lang w:val="en"/>
        </w:rPr>
        <w:t>angustifolium</w:t>
      </w:r>
      <w:proofErr w:type="spellEnd"/>
      <w:r w:rsidRPr="001E06EE">
        <w:rPr>
          <w:lang w:val="en"/>
        </w:rPr>
        <w:t xml:space="preserve"> (</w:t>
      </w:r>
      <w:proofErr w:type="spellStart"/>
      <w:r w:rsidRPr="001E06EE">
        <w:rPr>
          <w:lang w:val="en"/>
        </w:rPr>
        <w:t>engl.</w:t>
      </w:r>
      <w:proofErr w:type="spellEnd"/>
      <w:r w:rsidRPr="001E06EE">
        <w:rPr>
          <w:lang w:val="en"/>
        </w:rPr>
        <w:t xml:space="preserve"> &amp; </w:t>
      </w:r>
      <w:proofErr w:type="spellStart"/>
      <w:r w:rsidRPr="001E06EE">
        <w:rPr>
          <w:lang w:val="en"/>
        </w:rPr>
        <w:t>diels</w:t>
      </w:r>
      <w:proofErr w:type="spellEnd"/>
      <w:r w:rsidRPr="001E06EE">
        <w:rPr>
          <w:lang w:val="en"/>
        </w:rPr>
        <w:t>) r. E. Fries (</w:t>
      </w:r>
      <w:proofErr w:type="spellStart"/>
      <w:r w:rsidRPr="001E06EE">
        <w:rPr>
          <w:lang w:val="en"/>
        </w:rPr>
        <w:t>annonaceae</w:t>
      </w:r>
      <w:proofErr w:type="spellEnd"/>
      <w:r w:rsidRPr="001E06EE">
        <w:rPr>
          <w:lang w:val="en"/>
        </w:rPr>
        <w:t xml:space="preserve">) in the </w:t>
      </w:r>
      <w:proofErr w:type="spellStart"/>
      <w:r w:rsidRPr="001E06EE">
        <w:rPr>
          <w:lang w:val="en"/>
        </w:rPr>
        <w:t>eweadakplame</w:t>
      </w:r>
      <w:proofErr w:type="spellEnd"/>
      <w:r w:rsidRPr="001E06EE">
        <w:rPr>
          <w:lang w:val="en"/>
        </w:rPr>
        <w:t xml:space="preserve"> forest island in southeastern Benin, West Africa. </w:t>
      </w:r>
      <w:r w:rsidRPr="001E06EE">
        <w:t xml:space="preserve">Rev. Ivory. Sci. Technol., 34 (2019) 328 - 348 328 ISSN 1813-3290, </w:t>
      </w:r>
      <w:hyperlink r:id="rId23" w:history="1">
        <w:r w:rsidRPr="001E06EE">
          <w:rPr>
            <w:rStyle w:val="Hyperlink"/>
          </w:rPr>
          <w:t>http://www.revist.ci</w:t>
        </w:r>
      </w:hyperlink>
    </w:p>
    <w:p w14:paraId="7BDB315D" w14:textId="77777777" w:rsidR="00D5487B" w:rsidRPr="00D5487B" w:rsidRDefault="00D5487B" w:rsidP="00D5487B">
      <w:pPr>
        <w:pStyle w:val="Body"/>
      </w:pPr>
      <w:proofErr w:type="spellStart"/>
      <w:r w:rsidRPr="00D5487B">
        <w:t>Aththorick</w:t>
      </w:r>
      <w:proofErr w:type="spellEnd"/>
      <w:r w:rsidRPr="00D5487B">
        <w:t xml:space="preserve"> TA, </w:t>
      </w:r>
      <w:proofErr w:type="spellStart"/>
      <w:r w:rsidRPr="00D5487B">
        <w:t>Berutu</w:t>
      </w:r>
      <w:proofErr w:type="spellEnd"/>
      <w:r w:rsidRPr="00D5487B">
        <w:t xml:space="preserve"> L. (2018). Ethnobotanical study and phytochemical screening of medicinal plants on </w:t>
      </w:r>
      <w:proofErr w:type="spellStart"/>
      <w:r w:rsidRPr="00D5487B">
        <w:t>Karonese</w:t>
      </w:r>
      <w:proofErr w:type="spellEnd"/>
      <w:r w:rsidRPr="00D5487B">
        <w:t xml:space="preserve"> people from North Sumatra, Indonesia. In: Journal of physics: conference series 2018 Dec 1, vol. 1116, no. 5. </w:t>
      </w:r>
      <w:proofErr w:type="spellStart"/>
      <w:r w:rsidRPr="00D5487B">
        <w:t>IOPPublishing</w:t>
      </w:r>
      <w:proofErr w:type="spellEnd"/>
      <w:r w:rsidRPr="00D5487B">
        <w:t>. p. 052008.</w:t>
      </w:r>
    </w:p>
    <w:p w14:paraId="07FA454F" w14:textId="77777777" w:rsidR="00D5487B" w:rsidRPr="00D5487B" w:rsidRDefault="00D5487B" w:rsidP="00D5487B">
      <w:pPr>
        <w:pStyle w:val="Body"/>
      </w:pPr>
      <w:r w:rsidRPr="00D5487B">
        <w:t xml:space="preserve">Bekele Melese, </w:t>
      </w:r>
      <w:proofErr w:type="spellStart"/>
      <w:r w:rsidRPr="00D5487B">
        <w:t>Feleke</w:t>
      </w:r>
      <w:proofErr w:type="spellEnd"/>
      <w:r w:rsidRPr="00D5487B">
        <w:t xml:space="preserve"> </w:t>
      </w:r>
      <w:proofErr w:type="spellStart"/>
      <w:r w:rsidRPr="00D5487B">
        <w:t>Woldeyes</w:t>
      </w:r>
      <w:proofErr w:type="spellEnd"/>
      <w:r w:rsidRPr="00D5487B">
        <w:t xml:space="preserve">, </w:t>
      </w:r>
      <w:proofErr w:type="spellStart"/>
      <w:r w:rsidRPr="00D5487B">
        <w:t>Ermias</w:t>
      </w:r>
      <w:proofErr w:type="spellEnd"/>
      <w:r w:rsidRPr="00D5487B">
        <w:t xml:space="preserve"> </w:t>
      </w:r>
      <w:proofErr w:type="spellStart"/>
      <w:r w:rsidRPr="00D5487B">
        <w:t>Lulekal</w:t>
      </w:r>
      <w:proofErr w:type="spellEnd"/>
      <w:r w:rsidRPr="00D5487B">
        <w:t xml:space="preserve">, </w:t>
      </w:r>
      <w:proofErr w:type="spellStart"/>
      <w:r w:rsidRPr="00D5487B">
        <w:t>Tamrat</w:t>
      </w:r>
      <w:proofErr w:type="spellEnd"/>
      <w:r w:rsidRPr="00D5487B">
        <w:t xml:space="preserve"> Bekele and </w:t>
      </w:r>
      <w:proofErr w:type="spellStart"/>
      <w:r w:rsidRPr="00D5487B">
        <w:t>Sebsebe</w:t>
      </w:r>
      <w:proofErr w:type="spellEnd"/>
      <w:r w:rsidRPr="00D5487B">
        <w:t xml:space="preserve"> </w:t>
      </w:r>
      <w:proofErr w:type="spellStart"/>
      <w:r w:rsidRPr="00D5487B">
        <w:t>Demissewet</w:t>
      </w:r>
      <w:proofErr w:type="spellEnd"/>
      <w:r w:rsidRPr="00D5487B">
        <w:t xml:space="preserve"> (2022). Ethnobotanical investigation of medicinal plants in </w:t>
      </w:r>
      <w:proofErr w:type="spellStart"/>
      <w:r w:rsidRPr="00D5487B">
        <w:t>buska</w:t>
      </w:r>
      <w:proofErr w:type="spellEnd"/>
      <w:r w:rsidRPr="00D5487B">
        <w:t xml:space="preserve"> mountain range, </w:t>
      </w:r>
      <w:proofErr w:type="spellStart"/>
      <w:r w:rsidRPr="00D5487B">
        <w:t>hamar</w:t>
      </w:r>
      <w:proofErr w:type="spellEnd"/>
      <w:r w:rsidRPr="00D5487B">
        <w:t xml:space="preserve"> district, southwestern </w:t>
      </w:r>
      <w:proofErr w:type="spellStart"/>
      <w:r w:rsidRPr="00D5487B">
        <w:t>ethiopia</w:t>
      </w:r>
      <w:proofErr w:type="spellEnd"/>
      <w:r w:rsidRPr="00D5487B">
        <w:t xml:space="preserve">. Journal of Ethnobiology and Ethnomedicine </w:t>
      </w:r>
      <w:hyperlink r:id="rId24" w:history="1">
        <w:r w:rsidRPr="00D5487B">
          <w:rPr>
            <w:rStyle w:val="Hyperlink"/>
          </w:rPr>
          <w:t>https://doi.org/10.1186/s13002-022-00558-0</w:t>
        </w:r>
      </w:hyperlink>
    </w:p>
    <w:p w14:paraId="1CEC9E4B" w14:textId="77777777" w:rsidR="00D5487B" w:rsidRPr="00D5487B" w:rsidRDefault="00D5487B" w:rsidP="00D5487B">
      <w:pPr>
        <w:pStyle w:val="Body"/>
      </w:pPr>
      <w:proofErr w:type="spellStart"/>
      <w:r w:rsidRPr="00D5487B">
        <w:t>Benkhnigue</w:t>
      </w:r>
      <w:proofErr w:type="spellEnd"/>
      <w:r w:rsidRPr="00D5487B">
        <w:t xml:space="preserve"> O, Zidane L, </w:t>
      </w:r>
      <w:proofErr w:type="spellStart"/>
      <w:r w:rsidRPr="00D5487B">
        <w:t>Fadli</w:t>
      </w:r>
      <w:proofErr w:type="spellEnd"/>
      <w:r w:rsidRPr="00D5487B">
        <w:t xml:space="preserve"> M, </w:t>
      </w:r>
      <w:proofErr w:type="spellStart"/>
      <w:r w:rsidRPr="00D5487B">
        <w:t>Elyacoubi</w:t>
      </w:r>
      <w:proofErr w:type="spellEnd"/>
      <w:r w:rsidRPr="00D5487B">
        <w:t xml:space="preserve"> H, </w:t>
      </w:r>
      <w:proofErr w:type="spellStart"/>
      <w:r w:rsidRPr="00D5487B">
        <w:t>Rochdi</w:t>
      </w:r>
      <w:proofErr w:type="spellEnd"/>
      <w:r w:rsidRPr="00D5487B">
        <w:t xml:space="preserve"> A and </w:t>
      </w:r>
      <w:proofErr w:type="spellStart"/>
      <w:r w:rsidRPr="00D5487B">
        <w:t>Douira</w:t>
      </w:r>
      <w:proofErr w:type="spellEnd"/>
      <w:r w:rsidRPr="00D5487B">
        <w:t xml:space="preserve"> A. (2011). </w:t>
      </w:r>
      <w:r w:rsidRPr="00D5487B">
        <w:rPr>
          <w:lang w:val="en"/>
        </w:rPr>
        <w:t xml:space="preserve">Ethnobotanical study of medicinal plants in the region of </w:t>
      </w:r>
      <w:proofErr w:type="spellStart"/>
      <w:r w:rsidRPr="00D5487B">
        <w:rPr>
          <w:lang w:val="en"/>
        </w:rPr>
        <w:t>Mechraâ</w:t>
      </w:r>
      <w:proofErr w:type="spellEnd"/>
      <w:r w:rsidRPr="00D5487B">
        <w:rPr>
          <w:lang w:val="en"/>
        </w:rPr>
        <w:t xml:space="preserve"> Bel </w:t>
      </w:r>
      <w:proofErr w:type="spellStart"/>
      <w:r w:rsidRPr="00D5487B">
        <w:rPr>
          <w:lang w:val="en"/>
        </w:rPr>
        <w:t>Ksiri</w:t>
      </w:r>
      <w:proofErr w:type="spellEnd"/>
      <w:r w:rsidRPr="00D5487B">
        <w:rPr>
          <w:lang w:val="en"/>
        </w:rPr>
        <w:t xml:space="preserve"> (</w:t>
      </w:r>
      <w:proofErr w:type="spellStart"/>
      <w:r w:rsidRPr="00D5487B">
        <w:rPr>
          <w:lang w:val="en"/>
        </w:rPr>
        <w:t>Gharb</w:t>
      </w:r>
      <w:proofErr w:type="spellEnd"/>
      <w:r w:rsidRPr="00D5487B">
        <w:rPr>
          <w:lang w:val="en"/>
        </w:rPr>
        <w:t xml:space="preserve"> Region of Morocco). </w:t>
      </w:r>
      <w:r w:rsidRPr="00D5487B">
        <w:t>Acta Bot. Barc.,53:191-216</w:t>
      </w:r>
    </w:p>
    <w:p w14:paraId="5C8DB3A0" w14:textId="77777777" w:rsidR="00D5487B" w:rsidRPr="00D5487B" w:rsidRDefault="00D5487B" w:rsidP="00D5487B">
      <w:pPr>
        <w:pStyle w:val="Body"/>
      </w:pPr>
      <w:proofErr w:type="spellStart"/>
      <w:r w:rsidRPr="00D5487B">
        <w:t>Chabi</w:t>
      </w:r>
      <w:proofErr w:type="spellEnd"/>
      <w:r w:rsidRPr="00D5487B">
        <w:t xml:space="preserve"> Sika K, </w:t>
      </w:r>
      <w:proofErr w:type="spellStart"/>
      <w:r w:rsidRPr="00D5487B">
        <w:t>Adoukonou-Sagbadja</w:t>
      </w:r>
      <w:proofErr w:type="spellEnd"/>
      <w:r w:rsidRPr="00D5487B">
        <w:t xml:space="preserve"> H, </w:t>
      </w:r>
      <w:proofErr w:type="spellStart"/>
      <w:r w:rsidRPr="00D5487B">
        <w:t>Ahoton</w:t>
      </w:r>
      <w:proofErr w:type="spellEnd"/>
      <w:r w:rsidRPr="00D5487B">
        <w:t xml:space="preserve"> LE, </w:t>
      </w:r>
      <w:proofErr w:type="spellStart"/>
      <w:r w:rsidRPr="00D5487B">
        <w:t>Adebo</w:t>
      </w:r>
      <w:proofErr w:type="spellEnd"/>
      <w:r w:rsidRPr="00D5487B">
        <w:t xml:space="preserve"> I, </w:t>
      </w:r>
      <w:proofErr w:type="spellStart"/>
      <w:r w:rsidRPr="00D5487B">
        <w:t>Adigoun</w:t>
      </w:r>
      <w:proofErr w:type="spellEnd"/>
      <w:r w:rsidRPr="00D5487B">
        <w:t xml:space="preserve"> FA, </w:t>
      </w:r>
      <w:proofErr w:type="spellStart"/>
      <w:r w:rsidRPr="00D5487B">
        <w:t>Saidou</w:t>
      </w:r>
      <w:proofErr w:type="spellEnd"/>
      <w:r w:rsidRPr="00D5487B">
        <w:t xml:space="preserve"> A, </w:t>
      </w:r>
      <w:proofErr w:type="spellStart"/>
      <w:r w:rsidRPr="00D5487B">
        <w:t>Ahanchede</w:t>
      </w:r>
      <w:proofErr w:type="spellEnd"/>
      <w:r w:rsidRPr="00D5487B">
        <w:t xml:space="preserve"> A, </w:t>
      </w:r>
      <w:proofErr w:type="spellStart"/>
      <w:r w:rsidRPr="00D5487B">
        <w:t>Kotchoni</w:t>
      </w:r>
      <w:proofErr w:type="spellEnd"/>
      <w:r w:rsidRPr="00D5487B">
        <w:t xml:space="preserve"> SO, Baba-Moussa L (2015). Indigenous knowledge and traditional management of cashew (</w:t>
      </w:r>
      <w:proofErr w:type="spellStart"/>
      <w:r w:rsidRPr="00D5487B">
        <w:t>anacardiumouest</w:t>
      </w:r>
      <w:proofErr w:type="spellEnd"/>
      <w:r w:rsidRPr="00D5487B">
        <w:t xml:space="preserve"> l) genetic resources in Benin.</w:t>
      </w:r>
    </w:p>
    <w:p w14:paraId="52F91DBD" w14:textId="77777777" w:rsidR="00D5487B" w:rsidRPr="00D5487B" w:rsidRDefault="00D5487B" w:rsidP="00D5487B">
      <w:pPr>
        <w:pStyle w:val="Body"/>
      </w:pPr>
      <w:r w:rsidRPr="00A05EF0">
        <w:rPr>
          <w:lang w:val="pt-BR"/>
        </w:rPr>
        <w:t xml:space="preserve">Catarino L, Havik P, Indjai B, Romeiras M. (2016). </w:t>
      </w:r>
      <w:r w:rsidRPr="00D5487B">
        <w:t xml:space="preserve">Ecological data in support of an analysis of Guinea-Bissau's medicinal flora. Data in Brief, 7: 1078-1097. DOI: </w:t>
      </w:r>
      <w:hyperlink r:id="rId25" w:history="1">
        <w:r w:rsidRPr="00D5487B">
          <w:rPr>
            <w:rStyle w:val="Hyperlink"/>
          </w:rPr>
          <w:t>https://doi.org/10.1016/j.dib.2016.03.077</w:t>
        </w:r>
      </w:hyperlink>
    </w:p>
    <w:p w14:paraId="1F3250B4" w14:textId="77777777" w:rsidR="00D5487B" w:rsidRPr="00D5487B" w:rsidRDefault="00D5487B" w:rsidP="00D5487B">
      <w:pPr>
        <w:pStyle w:val="Body"/>
        <w:rPr>
          <w:lang w:val="en"/>
        </w:rPr>
      </w:pPr>
      <w:r w:rsidRPr="00D5487B">
        <w:t xml:space="preserve">Cotton CM. Ethnobotany: principles and applications. </w:t>
      </w:r>
      <w:r w:rsidRPr="00D5487B">
        <w:rPr>
          <w:lang w:val="en"/>
        </w:rPr>
        <w:t>Chichester: Wiley; 1996.</w:t>
      </w:r>
    </w:p>
    <w:p w14:paraId="4A2166A5" w14:textId="77777777" w:rsidR="00D5487B" w:rsidRPr="00D5487B" w:rsidRDefault="00D5487B" w:rsidP="00D5487B">
      <w:pPr>
        <w:pStyle w:val="Body"/>
        <w:rPr>
          <w:lang w:val="en"/>
        </w:rPr>
      </w:pPr>
      <w:r w:rsidRPr="00D5487B">
        <w:rPr>
          <w:lang w:val="en"/>
        </w:rPr>
        <w:t>Diarassouba N, Kouablan EK, N'Guessan KA, Patrick VD, Sangare A (2008) Local knowledge and its use in the management of shea parks in Côte d'Ivoire. Afrika focus 21: 77-96</w:t>
      </w:r>
    </w:p>
    <w:p w14:paraId="298E8875" w14:textId="77777777" w:rsidR="00D5487B" w:rsidRPr="00D5487B" w:rsidRDefault="00D5487B" w:rsidP="00D5487B">
      <w:pPr>
        <w:pStyle w:val="Body"/>
        <w:rPr>
          <w:lang w:val="en"/>
        </w:rPr>
      </w:pPr>
      <w:r w:rsidRPr="00D5487B">
        <w:rPr>
          <w:lang w:val="en"/>
        </w:rPr>
        <w:t>DJEGO, JS DJEGO-DJOSSOU, Y. CAKPO, P. AGNANI and B. SINSIN. (2011). Evaluation of the ethnobotanical potential of rural populations in southern and central Benin, International Journal of Biological and Chemical Sciences, 5 (4) (2011) 1432 – 144</w:t>
      </w:r>
    </w:p>
    <w:p w14:paraId="53346A71" w14:textId="77777777" w:rsidR="00D5487B" w:rsidRPr="00D5487B" w:rsidRDefault="00D5487B" w:rsidP="00D5487B">
      <w:pPr>
        <w:pStyle w:val="Body"/>
      </w:pPr>
      <w:proofErr w:type="spellStart"/>
      <w:r w:rsidRPr="00D5487B">
        <w:t>Dangnon</w:t>
      </w:r>
      <w:proofErr w:type="spellEnd"/>
      <w:r w:rsidRPr="00D5487B">
        <w:t xml:space="preserve">, B., Dah </w:t>
      </w:r>
      <w:proofErr w:type="spellStart"/>
      <w:r w:rsidRPr="00D5487B">
        <w:t>Nouvlessounon</w:t>
      </w:r>
      <w:proofErr w:type="spellEnd"/>
      <w:r w:rsidRPr="00D5487B">
        <w:t xml:space="preserve">, D., </w:t>
      </w:r>
      <w:proofErr w:type="spellStart"/>
      <w:r w:rsidRPr="00D5487B">
        <w:t>Hoteyi</w:t>
      </w:r>
      <w:proofErr w:type="spellEnd"/>
      <w:r w:rsidRPr="00D5487B">
        <w:t xml:space="preserve">, SMI, </w:t>
      </w:r>
      <w:proofErr w:type="spellStart"/>
      <w:r w:rsidRPr="00D5487B">
        <w:t>Abdelrah</w:t>
      </w:r>
      <w:proofErr w:type="spellEnd"/>
      <w:r w:rsidRPr="00D5487B">
        <w:t xml:space="preserve"> man, A., Mahamat, MA, </w:t>
      </w:r>
      <w:proofErr w:type="spellStart"/>
      <w:r w:rsidRPr="00D5487B">
        <w:t>Chabi</w:t>
      </w:r>
      <w:proofErr w:type="spellEnd"/>
      <w:r w:rsidRPr="00D5487B">
        <w:t xml:space="preserve">, NW, </w:t>
      </w:r>
      <w:proofErr w:type="spellStart"/>
      <w:r w:rsidRPr="00D5487B">
        <w:t>Haziz</w:t>
      </w:r>
      <w:proofErr w:type="spellEnd"/>
      <w:r w:rsidRPr="00D5487B">
        <w:t xml:space="preserve">, S., Baba-Moussa, F., </w:t>
      </w:r>
      <w:proofErr w:type="spellStart"/>
      <w:r w:rsidRPr="00D5487B">
        <w:t>Adjanohoun</w:t>
      </w:r>
      <w:proofErr w:type="spellEnd"/>
      <w:r w:rsidRPr="00D5487B">
        <w:t>, A. and Baba-Moussa, L. (2024</w:t>
      </w:r>
      <w:proofErr w:type="gramStart"/>
      <w:r w:rsidRPr="00D5487B">
        <w:t>).Gastrointestinal</w:t>
      </w:r>
      <w:proofErr w:type="gramEnd"/>
      <w:r w:rsidRPr="00D5487B">
        <w:t xml:space="preserve"> Ulcers Treatment: Plants and Recipes Used by Herbalists of Abomey-</w:t>
      </w:r>
      <w:proofErr w:type="spellStart"/>
      <w:r w:rsidRPr="00D5487B">
        <w:t>Calavi</w:t>
      </w:r>
      <w:proofErr w:type="spellEnd"/>
      <w:r w:rsidRPr="00D5487B">
        <w:t xml:space="preserve"> and Cotonou Districts, Southern Benin. American Journal of Plant Sciences, 15, 699-725. </w:t>
      </w:r>
      <w:hyperlink r:id="rId26" w:history="1">
        <w:r w:rsidRPr="00D5487B">
          <w:rPr>
            <w:rStyle w:val="Hyperlink"/>
          </w:rPr>
          <w:t>https://doi.org/10.4236/ajps.2024.159046</w:t>
        </w:r>
      </w:hyperlink>
    </w:p>
    <w:p w14:paraId="1A011ADB" w14:textId="77777777" w:rsidR="00D5487B" w:rsidRPr="00D5487B" w:rsidRDefault="00D5487B" w:rsidP="00D5487B">
      <w:pPr>
        <w:pStyle w:val="Body"/>
      </w:pPr>
      <w:proofErr w:type="spellStart"/>
      <w:r w:rsidRPr="00D5487B">
        <w:lastRenderedPageBreak/>
        <w:t>Dougnon</w:t>
      </w:r>
      <w:proofErr w:type="spellEnd"/>
      <w:r w:rsidRPr="00D5487B">
        <w:t xml:space="preserve"> V., Legba B., </w:t>
      </w:r>
      <w:proofErr w:type="spellStart"/>
      <w:r w:rsidRPr="00D5487B">
        <w:t>Yadouleton</w:t>
      </w:r>
      <w:proofErr w:type="spellEnd"/>
      <w:r w:rsidRPr="00D5487B">
        <w:t xml:space="preserve"> A., </w:t>
      </w:r>
      <w:proofErr w:type="spellStart"/>
      <w:r w:rsidRPr="00D5487B">
        <w:t>Agbankpe</w:t>
      </w:r>
      <w:proofErr w:type="spellEnd"/>
      <w:r w:rsidRPr="00D5487B">
        <w:t xml:space="preserve"> J., </w:t>
      </w:r>
      <w:proofErr w:type="spellStart"/>
      <w:r w:rsidRPr="00D5487B">
        <w:t>Koudokpon</w:t>
      </w:r>
      <w:proofErr w:type="spellEnd"/>
      <w:r w:rsidRPr="00D5487B">
        <w:t xml:space="preserve"> H., </w:t>
      </w:r>
      <w:proofErr w:type="spellStart"/>
      <w:r w:rsidRPr="00D5487B">
        <w:t>Hounmanou</w:t>
      </w:r>
      <w:proofErr w:type="spellEnd"/>
      <w:r w:rsidRPr="00D5487B">
        <w:t xml:space="preserve"> G., Amadou A., </w:t>
      </w:r>
      <w:proofErr w:type="spellStart"/>
      <w:r w:rsidRPr="00D5487B">
        <w:t>Fabiyi</w:t>
      </w:r>
      <w:proofErr w:type="spellEnd"/>
      <w:r w:rsidRPr="00D5487B">
        <w:t xml:space="preserve"> K., Assogba P., </w:t>
      </w:r>
      <w:proofErr w:type="spellStart"/>
      <w:r w:rsidRPr="00D5487B">
        <w:t>Hounsa</w:t>
      </w:r>
      <w:proofErr w:type="spellEnd"/>
      <w:r w:rsidRPr="00D5487B">
        <w:t xml:space="preserve"> E., </w:t>
      </w:r>
      <w:proofErr w:type="spellStart"/>
      <w:r w:rsidRPr="00D5487B">
        <w:t>Aniambossou</w:t>
      </w:r>
      <w:proofErr w:type="spellEnd"/>
      <w:r w:rsidRPr="00D5487B">
        <w:t xml:space="preserve"> A., </w:t>
      </w:r>
      <w:proofErr w:type="spellStart"/>
      <w:r w:rsidRPr="00D5487B">
        <w:t>Déguenon</w:t>
      </w:r>
      <w:proofErr w:type="spellEnd"/>
      <w:r w:rsidRPr="00D5487B">
        <w:t xml:space="preserve"> E., de Souza M., </w:t>
      </w:r>
      <w:proofErr w:type="spellStart"/>
      <w:r w:rsidRPr="00D5487B">
        <w:t>Bankolé</w:t>
      </w:r>
      <w:proofErr w:type="spellEnd"/>
      <w:r w:rsidRPr="00D5487B">
        <w:t xml:space="preserve"> HS, </w:t>
      </w:r>
      <w:proofErr w:type="spellStart"/>
      <w:r w:rsidRPr="00D5487B">
        <w:t>Dougnon</w:t>
      </w:r>
      <w:proofErr w:type="spellEnd"/>
      <w:r w:rsidRPr="00D5487B">
        <w:t xml:space="preserve"> J., Baba-Moussa L. (2018). </w:t>
      </w:r>
      <w:r w:rsidRPr="00D5487B">
        <w:rPr>
          <w:lang w:val="en"/>
        </w:rPr>
        <w:t xml:space="preserve">Use of plants from Southern Benin in the treatment of typhoid fever: the role of herbalists. </w:t>
      </w:r>
      <w:proofErr w:type="spellStart"/>
      <w:r w:rsidRPr="00D5487B">
        <w:t>Ethnopharmacologia</w:t>
      </w:r>
      <w:proofErr w:type="spellEnd"/>
      <w:r w:rsidRPr="00D5487B">
        <w:t>, No. 60, October 2018</w:t>
      </w:r>
    </w:p>
    <w:p w14:paraId="60CDBE4E" w14:textId="77777777" w:rsidR="00D5487B" w:rsidRPr="00D5487B" w:rsidRDefault="00D5487B" w:rsidP="00D5487B">
      <w:pPr>
        <w:pStyle w:val="Body"/>
      </w:pPr>
      <w:r w:rsidRPr="00D5487B">
        <w:t>Fokou P, Nyarko A, Appiah-</w:t>
      </w:r>
      <w:proofErr w:type="spellStart"/>
      <w:r w:rsidRPr="00D5487B">
        <w:t>opong</w:t>
      </w:r>
      <w:proofErr w:type="spellEnd"/>
      <w:r w:rsidRPr="00D5487B">
        <w:t xml:space="preserve"> R, </w:t>
      </w:r>
      <w:proofErr w:type="spellStart"/>
      <w:r w:rsidRPr="00D5487B">
        <w:t>Yamthe</w:t>
      </w:r>
      <w:proofErr w:type="spellEnd"/>
      <w:r w:rsidRPr="00D5487B">
        <w:t xml:space="preserve"> L, Addo P, Asante I, </w:t>
      </w:r>
      <w:proofErr w:type="spellStart"/>
      <w:r w:rsidRPr="00D5487B">
        <w:t>Fekam</w:t>
      </w:r>
      <w:proofErr w:type="spellEnd"/>
      <w:r w:rsidRPr="00D5487B">
        <w:t xml:space="preserve"> </w:t>
      </w:r>
      <w:proofErr w:type="spellStart"/>
      <w:r w:rsidRPr="00D5487B">
        <w:t>Boyom</w:t>
      </w:r>
      <w:proofErr w:type="spellEnd"/>
      <w:r w:rsidRPr="00D5487B">
        <w:t xml:space="preserve"> F. 2015. Ethnopharmacological reports on anti-Buruli ulcer medicinal plants in three West African countries. J </w:t>
      </w:r>
      <w:proofErr w:type="spellStart"/>
      <w:r w:rsidRPr="00D5487B">
        <w:t>Ethnopharmacol</w:t>
      </w:r>
      <w:proofErr w:type="spellEnd"/>
      <w:r w:rsidRPr="00D5487B">
        <w:t>., 172: 297-311. DOI: 10.1016/j.jep.2015.06.024.</w:t>
      </w:r>
    </w:p>
    <w:p w14:paraId="77EDEE9C" w14:textId="77777777" w:rsidR="00D5487B" w:rsidRPr="00D5487B" w:rsidRDefault="00D5487B" w:rsidP="00D5487B">
      <w:pPr>
        <w:pStyle w:val="Body"/>
      </w:pPr>
      <w:r w:rsidRPr="00D5487B">
        <w:t xml:space="preserve">K. Sivasankari, S. Janaky and T. Sekar, (2010), Evaluation of phytochemicals in select medicinal plants of the Caesalpinia species </w:t>
      </w:r>
      <w:hyperlink r:id="rId27" w:history="1">
        <w:r w:rsidRPr="00D5487B">
          <w:rPr>
            <w:rStyle w:val="Hyperlink"/>
          </w:rPr>
          <w:t>http://www.indjst.org</w:t>
        </w:r>
      </w:hyperlink>
    </w:p>
    <w:p w14:paraId="7E87934C" w14:textId="77777777" w:rsidR="00D5487B" w:rsidRPr="00D5487B" w:rsidRDefault="00D5487B" w:rsidP="00D5487B">
      <w:pPr>
        <w:pStyle w:val="Body"/>
      </w:pPr>
      <w:proofErr w:type="spellStart"/>
      <w:r w:rsidRPr="00D5487B">
        <w:t>Koudokpon</w:t>
      </w:r>
      <w:proofErr w:type="spellEnd"/>
      <w:r w:rsidRPr="00D5487B">
        <w:t xml:space="preserve"> H, </w:t>
      </w:r>
      <w:proofErr w:type="spellStart"/>
      <w:r w:rsidRPr="00D5487B">
        <w:t>Dougnon</w:t>
      </w:r>
      <w:proofErr w:type="spellEnd"/>
      <w:r w:rsidRPr="00D5487B">
        <w:t xml:space="preserve"> TV, Bankolé HS, Fah L, </w:t>
      </w:r>
      <w:proofErr w:type="spellStart"/>
      <w:r w:rsidRPr="00D5487B">
        <w:t>Hounmanou</w:t>
      </w:r>
      <w:proofErr w:type="spellEnd"/>
      <w:r w:rsidRPr="00D5487B">
        <w:t xml:space="preserve"> YMG, Baba-Moussa L, Loko F. (2017). Ethnobotanical survey of plants used in the treatment of infections in southern Benin. Health Sci. Dis: Vol 18 (2) April – May – June 2017. </w:t>
      </w:r>
      <w:hyperlink r:id="rId28" w:history="1">
        <w:r w:rsidRPr="00D5487B">
          <w:rPr>
            <w:rStyle w:val="Hyperlink"/>
          </w:rPr>
          <w:t>www.hsd-fmsb.org</w:t>
        </w:r>
      </w:hyperlink>
    </w:p>
    <w:p w14:paraId="652B1E6D" w14:textId="77777777" w:rsidR="00D5487B" w:rsidRPr="00D5487B" w:rsidRDefault="00D5487B" w:rsidP="00D5487B">
      <w:pPr>
        <w:pStyle w:val="Body"/>
      </w:pPr>
      <w:r w:rsidRPr="00D5487B">
        <w:t xml:space="preserve">KOÈGNINOU A, WJ VAN DER BURG and LJG VAN DER MAESEN, Analytical Flora of Benin, </w:t>
      </w:r>
      <w:proofErr w:type="spellStart"/>
      <w:r w:rsidRPr="00D5487B">
        <w:t>Backhuys</w:t>
      </w:r>
      <w:proofErr w:type="spellEnd"/>
      <w:r w:rsidRPr="00D5487B">
        <w:t xml:space="preserve"> Publishers, Wageningen, (2006) 1034 p.</w:t>
      </w:r>
    </w:p>
    <w:p w14:paraId="37DBEC02" w14:textId="77777777" w:rsidR="00D5487B" w:rsidRDefault="00D5487B" w:rsidP="00D5487B">
      <w:pPr>
        <w:pStyle w:val="Body"/>
        <w:rPr>
          <w:lang w:val="en"/>
        </w:rPr>
      </w:pPr>
      <w:r w:rsidRPr="00D5487B">
        <w:rPr>
          <w:lang w:val="en"/>
        </w:rPr>
        <w:t xml:space="preserve">HOUMENOU, VA ADJATIN, MG TOSSOU, H. YEDOMONHAN, A. DANSI, J. GBENOU and A. AKOÈGNINOU. (2017). Ethnobotanical study of plants used in the treatment of female infertility in the </w:t>
      </w:r>
      <w:proofErr w:type="spellStart"/>
      <w:r w:rsidRPr="00D5487B">
        <w:rPr>
          <w:lang w:val="en"/>
        </w:rPr>
        <w:t>Ouémé</w:t>
      </w:r>
      <w:proofErr w:type="spellEnd"/>
      <w:r w:rsidRPr="00D5487B">
        <w:rPr>
          <w:lang w:val="en"/>
        </w:rPr>
        <w:t xml:space="preserve"> and Plateau departments of southern Benin, International Journal of Biological and Chemical Sciences, 11 (4) (2017) 1851 – 1871</w:t>
      </w:r>
    </w:p>
    <w:p w14:paraId="38E88796" w14:textId="5411544D" w:rsidR="00284C4C" w:rsidRDefault="00D5487B" w:rsidP="00D5487B">
      <w:pPr>
        <w:pStyle w:val="Body"/>
        <w:rPr>
          <w:lang w:val="en"/>
        </w:rPr>
      </w:pPr>
      <w:proofErr w:type="spellStart"/>
      <w:r w:rsidRPr="00D5487B">
        <w:t>Latifou</w:t>
      </w:r>
      <w:proofErr w:type="spellEnd"/>
      <w:r w:rsidRPr="00D5487B">
        <w:t xml:space="preserve"> </w:t>
      </w:r>
      <w:proofErr w:type="spellStart"/>
      <w:r w:rsidRPr="00D5487B">
        <w:t>Lagnika</w:t>
      </w:r>
      <w:proofErr w:type="spellEnd"/>
      <w:r w:rsidRPr="00D5487B">
        <w:t xml:space="preserve">, Rock </w:t>
      </w:r>
      <w:proofErr w:type="spellStart"/>
      <w:r w:rsidRPr="00D5487B">
        <w:t>Djehoue</w:t>
      </w:r>
      <w:proofErr w:type="spellEnd"/>
      <w:r w:rsidRPr="00D5487B">
        <w:t xml:space="preserve">, </w:t>
      </w:r>
      <w:proofErr w:type="spellStart"/>
      <w:r w:rsidRPr="00D5487B">
        <w:t>Hounnankpon</w:t>
      </w:r>
      <w:proofErr w:type="spellEnd"/>
      <w:r w:rsidRPr="00D5487B">
        <w:t xml:space="preserve"> </w:t>
      </w:r>
      <w:proofErr w:type="spellStart"/>
      <w:r w:rsidRPr="00D5487B">
        <w:t>Yedomonhan</w:t>
      </w:r>
      <w:proofErr w:type="spellEnd"/>
      <w:r w:rsidRPr="00D5487B">
        <w:t xml:space="preserve"> and </w:t>
      </w:r>
      <w:proofErr w:type="spellStart"/>
      <w:r w:rsidRPr="00D5487B">
        <w:t>Ambaliou</w:t>
      </w:r>
      <w:proofErr w:type="spellEnd"/>
      <w:r w:rsidRPr="00D5487B">
        <w:t xml:space="preserve"> </w:t>
      </w:r>
      <w:proofErr w:type="gramStart"/>
      <w:r w:rsidRPr="00D5487B">
        <w:t>Sanni.(</w:t>
      </w:r>
      <w:proofErr w:type="gramEnd"/>
      <w:r w:rsidRPr="00D5487B">
        <w:t xml:space="preserve">2016). Ethnobotanical survey of medicinal plants used in malaria management in South Benin. </w:t>
      </w:r>
      <w:r w:rsidRPr="00D5487B">
        <w:rPr>
          <w:lang w:val="en"/>
        </w:rPr>
        <w:t>Flight. 10(41), pp. 748-756, November 3, 2016 DOI: 10.5897/JMPR2016.6219</w:t>
      </w:r>
    </w:p>
    <w:p w14:paraId="1F19B981" w14:textId="77777777" w:rsidR="00D5487B" w:rsidRPr="00D5487B" w:rsidRDefault="00D5487B" w:rsidP="00D5487B">
      <w:pPr>
        <w:pStyle w:val="Body"/>
        <w:rPr>
          <w:lang w:val="en"/>
        </w:rPr>
      </w:pPr>
      <w:r w:rsidRPr="00D5487B">
        <w:rPr>
          <w:lang w:val="en"/>
        </w:rPr>
        <w:t>NACOULMA-OUÉDRAOGO OG, 1996. Medicinal plants and traditional medical practices in Burkina Faso: the case of the central plateau. Doctoral thesis, Faculty of Sciences and Techniques, University of Ouagadougou, Burkina Faso, volume 1, 320 p., volume 2, 285 p.</w:t>
      </w:r>
    </w:p>
    <w:p w14:paraId="77B69AF6" w14:textId="77777777" w:rsidR="00D5487B" w:rsidRPr="00D5487B" w:rsidRDefault="00D5487B" w:rsidP="00D5487B">
      <w:pPr>
        <w:pStyle w:val="Body"/>
      </w:pPr>
      <w:proofErr w:type="spellStart"/>
      <w:r w:rsidRPr="00A05EF0">
        <w:rPr>
          <w:lang w:val="en"/>
        </w:rPr>
        <w:t>Nduche</w:t>
      </w:r>
      <w:proofErr w:type="spellEnd"/>
      <w:r w:rsidRPr="00A05EF0">
        <w:rPr>
          <w:lang w:val="en"/>
        </w:rPr>
        <w:t xml:space="preserve"> MU, </w:t>
      </w:r>
      <w:proofErr w:type="spellStart"/>
      <w:r w:rsidRPr="00A05EF0">
        <w:rPr>
          <w:lang w:val="en"/>
        </w:rPr>
        <w:t>Omosun</w:t>
      </w:r>
      <w:proofErr w:type="spellEnd"/>
      <w:r w:rsidRPr="00A05EF0">
        <w:rPr>
          <w:lang w:val="en"/>
        </w:rPr>
        <w:t xml:space="preserve"> G, </w:t>
      </w:r>
      <w:proofErr w:type="spellStart"/>
      <w:r w:rsidRPr="00A05EF0">
        <w:rPr>
          <w:lang w:val="en"/>
        </w:rPr>
        <w:t>Okwulehie</w:t>
      </w:r>
      <w:proofErr w:type="spellEnd"/>
      <w:r w:rsidRPr="00A05EF0">
        <w:rPr>
          <w:lang w:val="en"/>
        </w:rPr>
        <w:t xml:space="preserve"> IC. 2015. </w:t>
      </w:r>
      <w:r w:rsidRPr="00D5487B">
        <w:t xml:space="preserve">Ethnobotanical Survey of Plants Used as Remedy for Fertility Conditions in Ebonyi State of Nigeria. Sch </w:t>
      </w:r>
      <w:proofErr w:type="spellStart"/>
      <w:r w:rsidRPr="00D5487B">
        <w:t>Acad</w:t>
      </w:r>
      <w:proofErr w:type="spellEnd"/>
      <w:r w:rsidRPr="00D5487B">
        <w:t xml:space="preserve"> J </w:t>
      </w:r>
      <w:proofErr w:type="spellStart"/>
      <w:r w:rsidRPr="00D5487B">
        <w:t>Biosci</w:t>
      </w:r>
      <w:proofErr w:type="spellEnd"/>
      <w:r w:rsidRPr="00D5487B">
        <w:t>., 3 (2B): 214-221.</w:t>
      </w:r>
    </w:p>
    <w:p w14:paraId="1E755652" w14:textId="7F9426F9" w:rsidR="00D5487B" w:rsidRDefault="00D5487B" w:rsidP="00D5487B">
      <w:pPr>
        <w:pStyle w:val="Body"/>
        <w:rPr>
          <w:lang w:val="en"/>
        </w:rPr>
      </w:pPr>
      <w:r w:rsidRPr="00D5487B">
        <w:rPr>
          <w:lang w:val="en"/>
        </w:rPr>
        <w:t>WHO, 2002. WHO Strategy for Traditional Medicine: WHO Geneva, 65p</w:t>
      </w:r>
    </w:p>
    <w:p w14:paraId="6D7EE54A" w14:textId="77777777" w:rsidR="00D5487B" w:rsidRPr="00A05EF0" w:rsidRDefault="00D5487B" w:rsidP="00D5487B">
      <w:pPr>
        <w:pStyle w:val="Body"/>
        <w:rPr>
          <w:lang w:val="pt-BR"/>
        </w:rPr>
      </w:pPr>
      <w:r w:rsidRPr="00D5487B">
        <w:rPr>
          <w:lang w:val="en"/>
        </w:rPr>
        <w:t xml:space="preserve">WHO, 2009. Report of the WHO Interregional Workshop on the Use of Traditional Medicine in Primary Health Care. </w:t>
      </w:r>
      <w:r w:rsidRPr="00A05EF0">
        <w:rPr>
          <w:lang w:val="pt-BR"/>
        </w:rPr>
        <w:t>Ulaanbaatar, Mongolia, 23-26 August 2007; 94p.</w:t>
      </w:r>
    </w:p>
    <w:p w14:paraId="625B976D" w14:textId="77777777" w:rsidR="00D5487B" w:rsidRPr="00D5487B" w:rsidRDefault="00D5487B" w:rsidP="00D5487B">
      <w:pPr>
        <w:pStyle w:val="Body"/>
      </w:pPr>
      <w:r w:rsidRPr="00A05EF0">
        <w:rPr>
          <w:lang w:val="pt-BR"/>
        </w:rPr>
        <w:t xml:space="preserve">Salhi, S., Fadli M., Zidane L., Douira A. (2010). </w:t>
      </w:r>
      <w:r w:rsidRPr="00D5487B">
        <w:rPr>
          <w:lang w:val="en"/>
        </w:rPr>
        <w:t xml:space="preserve">Floristic and ethnobotanical studies of medicinal plants in the city of Kenitra (Morocco). </w:t>
      </w:r>
      <w:proofErr w:type="spellStart"/>
      <w:r w:rsidRPr="00D5487B">
        <w:t>Lazaroa</w:t>
      </w:r>
      <w:proofErr w:type="spellEnd"/>
      <w:r w:rsidRPr="00D5487B">
        <w:t>, 31, 133-146.</w:t>
      </w:r>
    </w:p>
    <w:p w14:paraId="35A55961" w14:textId="77777777" w:rsidR="00D5487B" w:rsidRPr="00D5487B" w:rsidRDefault="00D5487B" w:rsidP="00D5487B">
      <w:pPr>
        <w:pStyle w:val="Body"/>
      </w:pPr>
      <w:r w:rsidRPr="00D5487B">
        <w:t xml:space="preserve">Srinivas KVNS, Rao YK and Mahender </w:t>
      </w:r>
      <w:proofErr w:type="gramStart"/>
      <w:r w:rsidRPr="00D5487B">
        <w:t>I.(</w:t>
      </w:r>
      <w:proofErr w:type="gramEnd"/>
      <w:r w:rsidRPr="00D5487B">
        <w:t xml:space="preserve">2003).Flavonoids from Caesalpinia pulcherrima. </w:t>
      </w:r>
      <w:proofErr w:type="spellStart"/>
      <w:r w:rsidRPr="00D5487B">
        <w:t>Phytochem</w:t>
      </w:r>
      <w:proofErr w:type="spellEnd"/>
      <w:r w:rsidRPr="00D5487B">
        <w:t>. 63, 789-793.</w:t>
      </w:r>
    </w:p>
    <w:p w14:paraId="0BF78200" w14:textId="77777777" w:rsidR="00D5487B" w:rsidRPr="00D5487B" w:rsidRDefault="00D5487B" w:rsidP="00D5487B">
      <w:pPr>
        <w:pStyle w:val="Body"/>
        <w:rPr>
          <w:lang w:val="en"/>
        </w:rPr>
      </w:pPr>
      <w:r w:rsidRPr="00D5487B">
        <w:t xml:space="preserve">World Health Organization. Traditional medicine and modern health care: progress report by the director general. </w:t>
      </w:r>
      <w:r w:rsidRPr="00D5487B">
        <w:rPr>
          <w:lang w:val="en"/>
        </w:rPr>
        <w:t>Geneva: World Health Organization; 1991.</w:t>
      </w:r>
    </w:p>
    <w:p w14:paraId="3142E216" w14:textId="77777777" w:rsidR="00D5487B" w:rsidRPr="00D5487B" w:rsidRDefault="00D5487B" w:rsidP="00D5487B">
      <w:pPr>
        <w:pStyle w:val="Body"/>
        <w:spacing w:after="0"/>
        <w:rPr>
          <w:lang w:val="en"/>
        </w:rPr>
      </w:pPr>
    </w:p>
    <w:p w14:paraId="1529C7EA" w14:textId="77777777" w:rsidR="00B01FCD" w:rsidRPr="00FB3A86" w:rsidRDefault="00B01FCD" w:rsidP="00441B6F">
      <w:pPr>
        <w:pStyle w:val="Appendix"/>
        <w:spacing w:after="0"/>
        <w:jc w:val="both"/>
        <w:rPr>
          <w:rFonts w:ascii="Arial" w:hAnsi="Arial" w:cs="Arial"/>
          <w:b w:val="0"/>
        </w:rPr>
      </w:pPr>
      <w:bookmarkStart w:id="6" w:name="_GoBack"/>
      <w:bookmarkEnd w:id="6"/>
    </w:p>
    <w:sectPr w:rsidR="00B01FCD" w:rsidRPr="00FB3A86" w:rsidSect="00926FB1">
      <w:headerReference w:type="even" r:id="rId29"/>
      <w:headerReference w:type="default" r:id="rId30"/>
      <w:footerReference w:type="default" r:id="rId31"/>
      <w:headerReference w:type="first" r:id="rId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C4B3C" w14:textId="77777777" w:rsidR="00CC7159" w:rsidRDefault="00CC7159" w:rsidP="00C37E61">
      <w:r>
        <w:separator/>
      </w:r>
    </w:p>
  </w:endnote>
  <w:endnote w:type="continuationSeparator" w:id="0">
    <w:p w14:paraId="591B4C68" w14:textId="77777777" w:rsidR="00CC7159" w:rsidRDefault="00CC71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DB426" w14:textId="77777777" w:rsidR="00F80728" w:rsidRDefault="00F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AD4D7" w14:textId="77777777" w:rsidR="00F80728" w:rsidRDefault="00F80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A666D" w14:textId="77777777" w:rsidR="009E048A" w:rsidRDefault="009E048A">
    <w:pPr>
      <w:pStyle w:val="Footer"/>
      <w:rPr>
        <w:rFonts w:ascii="Arial" w:hAnsi="Arial" w:cs="Arial"/>
        <w:sz w:val="16"/>
      </w:rPr>
    </w:pPr>
  </w:p>
  <w:p w14:paraId="6EE842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F3EDB36" w14:textId="77777777" w:rsidR="009E048A" w:rsidRDefault="009E048A">
    <w:pPr>
      <w:pStyle w:val="Footer"/>
      <w:rPr>
        <w:rFonts w:ascii="Arial" w:hAnsi="Arial" w:cs="Arial"/>
        <w:sz w:val="16"/>
      </w:rPr>
    </w:pPr>
  </w:p>
  <w:p w14:paraId="096C8900" w14:textId="2B2005B5" w:rsidR="00754C9A" w:rsidRPr="009E048A" w:rsidRDefault="00754C9A">
    <w:pPr>
      <w:pStyle w:val="Footer"/>
      <w:rPr>
        <w:rFonts w:ascii="Arial" w:hAnsi="Arial" w:cs="Arial"/>
        <w:i/>
        <w:sz w:val="16"/>
      </w:rPr>
    </w:pPr>
    <w:r w:rsidRPr="009E048A">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F1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A9B08" w14:textId="77777777" w:rsidR="00CC7159" w:rsidRDefault="00CC7159" w:rsidP="00C37E61">
      <w:r>
        <w:separator/>
      </w:r>
    </w:p>
  </w:footnote>
  <w:footnote w:type="continuationSeparator" w:id="0">
    <w:p w14:paraId="243A20A7" w14:textId="77777777" w:rsidR="00CC7159" w:rsidRDefault="00CC71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01891" w14:textId="30C74EF1" w:rsidR="00F80728" w:rsidRDefault="00F80728">
    <w:pPr>
      <w:pStyle w:val="Header"/>
    </w:pPr>
    <w:r>
      <w:rPr>
        <w:noProof/>
      </w:rPr>
      <w:pict w14:anchorId="6E1B8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69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3ADB" w14:textId="5183915F" w:rsidR="00F80728" w:rsidRDefault="00F80728">
    <w:pPr>
      <w:pStyle w:val="Header"/>
    </w:pPr>
    <w:r>
      <w:rPr>
        <w:noProof/>
      </w:rPr>
      <w:pict w14:anchorId="0534B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69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B33C7" w14:textId="366FCBC7" w:rsidR="00296529" w:rsidRPr="00296529" w:rsidRDefault="00F80728" w:rsidP="00296529">
    <w:pPr>
      <w:ind w:left="2160"/>
      <w:jc w:val="center"/>
      <w:rPr>
        <w:rFonts w:ascii="Times New Roman" w:eastAsia="Calibri" w:hAnsi="Times New Roman"/>
        <w:i/>
        <w:sz w:val="18"/>
        <w:szCs w:val="22"/>
      </w:rPr>
    </w:pPr>
    <w:r>
      <w:rPr>
        <w:noProof/>
      </w:rPr>
      <w:pict w14:anchorId="7860D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69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AE34D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2E8E0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0C50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67FFE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D214F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7A46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DF983" w14:textId="56964C12" w:rsidR="00F80728" w:rsidRDefault="00F80728">
    <w:pPr>
      <w:pStyle w:val="Header"/>
    </w:pPr>
    <w:r>
      <w:rPr>
        <w:noProof/>
      </w:rPr>
      <w:pict w14:anchorId="5F6C3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69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17D8" w14:textId="7CAC9E59" w:rsidR="00F80728" w:rsidRDefault="00F80728">
    <w:pPr>
      <w:pStyle w:val="Header"/>
    </w:pPr>
    <w:r>
      <w:rPr>
        <w:noProof/>
      </w:rPr>
      <w:pict w14:anchorId="1756E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69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C4902" w14:textId="37565C6E" w:rsidR="00F80728" w:rsidRDefault="00F80728">
    <w:pPr>
      <w:pStyle w:val="Header"/>
    </w:pPr>
    <w:r>
      <w:rPr>
        <w:noProof/>
      </w:rPr>
      <w:pict w14:anchorId="0CBFD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69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9E0135"/>
    <w:multiLevelType w:val="hybridMultilevel"/>
    <w:tmpl w:val="1924E6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3F0E90"/>
    <w:multiLevelType w:val="multilevel"/>
    <w:tmpl w:val="DB084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896901"/>
    <w:multiLevelType w:val="multilevel"/>
    <w:tmpl w:val="118969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E8F7E61"/>
    <w:multiLevelType w:val="hybridMultilevel"/>
    <w:tmpl w:val="1924E6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216FCE"/>
    <w:multiLevelType w:val="hybridMultilevel"/>
    <w:tmpl w:val="213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221A54"/>
    <w:multiLevelType w:val="multilevel"/>
    <w:tmpl w:val="8A1E1D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B1874"/>
    <w:multiLevelType w:val="multilevel"/>
    <w:tmpl w:val="9A3ED3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F1D2A29"/>
    <w:multiLevelType w:val="multilevel"/>
    <w:tmpl w:val="23D4CF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8141F0F"/>
    <w:multiLevelType w:val="hybridMultilevel"/>
    <w:tmpl w:val="1924E6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637E44"/>
    <w:multiLevelType w:val="multilevel"/>
    <w:tmpl w:val="B414E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56D1D94"/>
    <w:multiLevelType w:val="hybridMultilevel"/>
    <w:tmpl w:val="1924E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9"/>
  </w:num>
  <w:num w:numId="9">
    <w:abstractNumId w:val="36"/>
  </w:num>
  <w:num w:numId="10">
    <w:abstractNumId w:val="2"/>
  </w:num>
  <w:num w:numId="11">
    <w:abstractNumId w:val="27"/>
  </w:num>
  <w:num w:numId="12">
    <w:abstractNumId w:val="3"/>
  </w:num>
  <w:num w:numId="13">
    <w:abstractNumId w:val="26"/>
  </w:num>
  <w:num w:numId="14">
    <w:abstractNumId w:val="11"/>
  </w:num>
  <w:num w:numId="15">
    <w:abstractNumId w:val="31"/>
  </w:num>
  <w:num w:numId="16">
    <w:abstractNumId w:val="5"/>
  </w:num>
  <w:num w:numId="17">
    <w:abstractNumId w:val="32"/>
  </w:num>
  <w:num w:numId="18">
    <w:abstractNumId w:val="22"/>
  </w:num>
  <w:num w:numId="19">
    <w:abstractNumId w:val="39"/>
  </w:num>
  <w:num w:numId="20">
    <w:abstractNumId w:val="18"/>
  </w:num>
  <w:num w:numId="21">
    <w:abstractNumId w:val="14"/>
  </w:num>
  <w:num w:numId="22">
    <w:abstractNumId w:val="20"/>
  </w:num>
  <w:num w:numId="23">
    <w:abstractNumId w:val="28"/>
  </w:num>
  <w:num w:numId="24">
    <w:abstractNumId w:val="37"/>
  </w:num>
  <w:num w:numId="25">
    <w:abstractNumId w:val="4"/>
  </w:num>
  <w:num w:numId="26">
    <w:abstractNumId w:val="25"/>
  </w:num>
  <w:num w:numId="27">
    <w:abstractNumId w:val="29"/>
  </w:num>
  <w:num w:numId="28">
    <w:abstractNumId w:val="38"/>
  </w:num>
  <w:num w:numId="29">
    <w:abstractNumId w:val="35"/>
  </w:num>
  <w:num w:numId="30">
    <w:abstractNumId w:val="16"/>
  </w:num>
  <w:num w:numId="31">
    <w:abstractNumId w:val="9"/>
  </w:num>
  <w:num w:numId="32">
    <w:abstractNumId w:val="13"/>
  </w:num>
  <w:num w:numId="33">
    <w:abstractNumId w:val="34"/>
  </w:num>
  <w:num w:numId="34">
    <w:abstractNumId w:val="23"/>
  </w:num>
  <w:num w:numId="35">
    <w:abstractNumId w:val="6"/>
  </w:num>
  <w:num w:numId="36">
    <w:abstractNumId w:val="12"/>
  </w:num>
  <w:num w:numId="37">
    <w:abstractNumId w:val="8"/>
  </w:num>
  <w:num w:numId="38">
    <w:abstractNumId w:val="17"/>
  </w:num>
  <w:num w:numId="39">
    <w:abstractNumId w:val="21"/>
  </w:num>
  <w:num w:numId="40">
    <w:abstractNumId w:val="15"/>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8FD"/>
    <w:rsid w:val="00030174"/>
    <w:rsid w:val="0004579C"/>
    <w:rsid w:val="0006346A"/>
    <w:rsid w:val="000A173B"/>
    <w:rsid w:val="000A47FA"/>
    <w:rsid w:val="000A65D3"/>
    <w:rsid w:val="000B1E33"/>
    <w:rsid w:val="000D689F"/>
    <w:rsid w:val="000E7B7B"/>
    <w:rsid w:val="000E7D62"/>
    <w:rsid w:val="000F6F74"/>
    <w:rsid w:val="00103357"/>
    <w:rsid w:val="00123C9F"/>
    <w:rsid w:val="00126190"/>
    <w:rsid w:val="00130F17"/>
    <w:rsid w:val="001320BF"/>
    <w:rsid w:val="00134559"/>
    <w:rsid w:val="001437B8"/>
    <w:rsid w:val="00163BC4"/>
    <w:rsid w:val="00191062"/>
    <w:rsid w:val="00192B72"/>
    <w:rsid w:val="001A29D8"/>
    <w:rsid w:val="001A5CAA"/>
    <w:rsid w:val="001B0427"/>
    <w:rsid w:val="001D3A51"/>
    <w:rsid w:val="001E06EE"/>
    <w:rsid w:val="001E10D2"/>
    <w:rsid w:val="001E25B4"/>
    <w:rsid w:val="001E44FE"/>
    <w:rsid w:val="001F3884"/>
    <w:rsid w:val="00200595"/>
    <w:rsid w:val="00204835"/>
    <w:rsid w:val="00231920"/>
    <w:rsid w:val="0023195C"/>
    <w:rsid w:val="0024282C"/>
    <w:rsid w:val="002460DC"/>
    <w:rsid w:val="00250985"/>
    <w:rsid w:val="002556F6"/>
    <w:rsid w:val="00283105"/>
    <w:rsid w:val="00284C4C"/>
    <w:rsid w:val="00287E68"/>
    <w:rsid w:val="00296451"/>
    <w:rsid w:val="00296529"/>
    <w:rsid w:val="002B27FB"/>
    <w:rsid w:val="002B685A"/>
    <w:rsid w:val="002C57D2"/>
    <w:rsid w:val="002E0D56"/>
    <w:rsid w:val="00307F00"/>
    <w:rsid w:val="00315186"/>
    <w:rsid w:val="0033343E"/>
    <w:rsid w:val="003512C2"/>
    <w:rsid w:val="00352B60"/>
    <w:rsid w:val="00371FB6"/>
    <w:rsid w:val="003763C1"/>
    <w:rsid w:val="00376BBE"/>
    <w:rsid w:val="0039224F"/>
    <w:rsid w:val="003A43A4"/>
    <w:rsid w:val="003A7E18"/>
    <w:rsid w:val="003C4C86"/>
    <w:rsid w:val="003C6258"/>
    <w:rsid w:val="003D5CC5"/>
    <w:rsid w:val="003E2904"/>
    <w:rsid w:val="00401927"/>
    <w:rsid w:val="0041027F"/>
    <w:rsid w:val="00412475"/>
    <w:rsid w:val="00423541"/>
    <w:rsid w:val="00423789"/>
    <w:rsid w:val="00426025"/>
    <w:rsid w:val="004262FB"/>
    <w:rsid w:val="00440F43"/>
    <w:rsid w:val="00441B6F"/>
    <w:rsid w:val="00446221"/>
    <w:rsid w:val="00450E62"/>
    <w:rsid w:val="004539DB"/>
    <w:rsid w:val="00471A80"/>
    <w:rsid w:val="004D305E"/>
    <w:rsid w:val="004D4277"/>
    <w:rsid w:val="004E68DA"/>
    <w:rsid w:val="00502516"/>
    <w:rsid w:val="00505F06"/>
    <w:rsid w:val="00506828"/>
    <w:rsid w:val="00507285"/>
    <w:rsid w:val="0053056E"/>
    <w:rsid w:val="00554FDA"/>
    <w:rsid w:val="005C784C"/>
    <w:rsid w:val="005D17F6"/>
    <w:rsid w:val="005E1EBB"/>
    <w:rsid w:val="005E5539"/>
    <w:rsid w:val="00602BF5"/>
    <w:rsid w:val="00605A98"/>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3E34"/>
    <w:rsid w:val="007369E6"/>
    <w:rsid w:val="00746E59"/>
    <w:rsid w:val="00754C9A"/>
    <w:rsid w:val="0075599A"/>
    <w:rsid w:val="00761230"/>
    <w:rsid w:val="00761D52"/>
    <w:rsid w:val="00765514"/>
    <w:rsid w:val="0077749E"/>
    <w:rsid w:val="00790ADA"/>
    <w:rsid w:val="007947F9"/>
    <w:rsid w:val="007B09D8"/>
    <w:rsid w:val="007B6A72"/>
    <w:rsid w:val="007D2288"/>
    <w:rsid w:val="007E088F"/>
    <w:rsid w:val="007E7DCF"/>
    <w:rsid w:val="007F7B32"/>
    <w:rsid w:val="00804BC2"/>
    <w:rsid w:val="0081431A"/>
    <w:rsid w:val="0083216F"/>
    <w:rsid w:val="008369BC"/>
    <w:rsid w:val="00860000"/>
    <w:rsid w:val="00863BD3"/>
    <w:rsid w:val="008641ED"/>
    <w:rsid w:val="00866D66"/>
    <w:rsid w:val="008671C6"/>
    <w:rsid w:val="00875803"/>
    <w:rsid w:val="008B459E"/>
    <w:rsid w:val="008E13AE"/>
    <w:rsid w:val="008E1506"/>
    <w:rsid w:val="008E710C"/>
    <w:rsid w:val="008F245A"/>
    <w:rsid w:val="008F69D6"/>
    <w:rsid w:val="00902823"/>
    <w:rsid w:val="00915CA6"/>
    <w:rsid w:val="00926FB1"/>
    <w:rsid w:val="00927834"/>
    <w:rsid w:val="00945D8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5EF0"/>
    <w:rsid w:val="00A1134E"/>
    <w:rsid w:val="00A23152"/>
    <w:rsid w:val="00A24E7E"/>
    <w:rsid w:val="00A258C3"/>
    <w:rsid w:val="00A347C0"/>
    <w:rsid w:val="00A51431"/>
    <w:rsid w:val="00A539AD"/>
    <w:rsid w:val="00A53F96"/>
    <w:rsid w:val="00A94063"/>
    <w:rsid w:val="00AA6219"/>
    <w:rsid w:val="00AA74E0"/>
    <w:rsid w:val="00AB703F"/>
    <w:rsid w:val="00AC6BB8"/>
    <w:rsid w:val="00AE008F"/>
    <w:rsid w:val="00AF4AF5"/>
    <w:rsid w:val="00B01FCD"/>
    <w:rsid w:val="00B166B3"/>
    <w:rsid w:val="00B1776C"/>
    <w:rsid w:val="00B24305"/>
    <w:rsid w:val="00B52583"/>
    <w:rsid w:val="00B52896"/>
    <w:rsid w:val="00B95236"/>
    <w:rsid w:val="00B96789"/>
    <w:rsid w:val="00B96BD9"/>
    <w:rsid w:val="00BA1B01"/>
    <w:rsid w:val="00BA2641"/>
    <w:rsid w:val="00BB37AA"/>
    <w:rsid w:val="00BC53A0"/>
    <w:rsid w:val="00BE62AD"/>
    <w:rsid w:val="00BF121F"/>
    <w:rsid w:val="00BF1F80"/>
    <w:rsid w:val="00C166EF"/>
    <w:rsid w:val="00C17EB0"/>
    <w:rsid w:val="00C27F5F"/>
    <w:rsid w:val="00C30A0F"/>
    <w:rsid w:val="00C37E61"/>
    <w:rsid w:val="00C62DE0"/>
    <w:rsid w:val="00C70F1B"/>
    <w:rsid w:val="00C71A47"/>
    <w:rsid w:val="00C7464C"/>
    <w:rsid w:val="00C85588"/>
    <w:rsid w:val="00CC55D9"/>
    <w:rsid w:val="00CC7159"/>
    <w:rsid w:val="00CD6755"/>
    <w:rsid w:val="00CD6856"/>
    <w:rsid w:val="00CE0089"/>
    <w:rsid w:val="00CE793C"/>
    <w:rsid w:val="00CF193C"/>
    <w:rsid w:val="00D14C9C"/>
    <w:rsid w:val="00D173F1"/>
    <w:rsid w:val="00D5487B"/>
    <w:rsid w:val="00D74CB0"/>
    <w:rsid w:val="00D8295D"/>
    <w:rsid w:val="00D84C36"/>
    <w:rsid w:val="00DC2A65"/>
    <w:rsid w:val="00DD5CD9"/>
    <w:rsid w:val="00DE15F0"/>
    <w:rsid w:val="00DE5663"/>
    <w:rsid w:val="00DE78AA"/>
    <w:rsid w:val="00DF74C7"/>
    <w:rsid w:val="00E053D0"/>
    <w:rsid w:val="00E15994"/>
    <w:rsid w:val="00E3114E"/>
    <w:rsid w:val="00E31A70"/>
    <w:rsid w:val="00E35B02"/>
    <w:rsid w:val="00E66496"/>
    <w:rsid w:val="00E66B35"/>
    <w:rsid w:val="00E66E10"/>
    <w:rsid w:val="00E769F6"/>
    <w:rsid w:val="00E8407C"/>
    <w:rsid w:val="00E84F3C"/>
    <w:rsid w:val="00EA012C"/>
    <w:rsid w:val="00EA0EAF"/>
    <w:rsid w:val="00EA733F"/>
    <w:rsid w:val="00EC6968"/>
    <w:rsid w:val="00EC6A55"/>
    <w:rsid w:val="00ED0288"/>
    <w:rsid w:val="00ED6333"/>
    <w:rsid w:val="00EE52CB"/>
    <w:rsid w:val="00EF581D"/>
    <w:rsid w:val="00EF7FD8"/>
    <w:rsid w:val="00F06F59"/>
    <w:rsid w:val="00F17988"/>
    <w:rsid w:val="00F469F0"/>
    <w:rsid w:val="00F53273"/>
    <w:rsid w:val="00F755E4"/>
    <w:rsid w:val="00F77D02"/>
    <w:rsid w:val="00F80728"/>
    <w:rsid w:val="00FA5F04"/>
    <w:rsid w:val="00FB3A86"/>
    <w:rsid w:val="00FD1344"/>
    <w:rsid w:val="00FD1955"/>
    <w:rsid w:val="00FD36C8"/>
    <w:rsid w:val="00FF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7D135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84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14928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doi.org/10.4236/ajps.2024.159046" TargetMode="External"/><Relationship Id="rId3" Type="http://schemas.openxmlformats.org/officeDocument/2006/relationships/styles" Target="styles.xml"/><Relationship Id="rId21" Type="http://schemas.openxmlformats.org/officeDocument/2006/relationships/hyperlink" Target="https://doi.org/10.19044/esj.2021.v17n21p4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16/j.dib.2016.03.07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3002-022-00558-0"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revist.ci" TargetMode="External"/><Relationship Id="rId28" Type="http://schemas.openxmlformats.org/officeDocument/2006/relationships/hyperlink" Target="http://www.hsd-fmsb.org" TargetMode="Externa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www.ethnobotanyjournal.org/vol12/i1547-3465-12-551.pdf" TargetMode="External"/><Relationship Id="rId27" Type="http://schemas.openxmlformats.org/officeDocument/2006/relationships/hyperlink" Target="http://www.indjst.org"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Public\Documents\THESE\ARTICLE%20POUR%20CHAPITRE%201\BASE%20ENQ%20ETHNOBOTANIQUE\VFFF%20PROF%20DONNEE\Enqu&#234;te_Ethno%20base%201505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'Partie utilisée'!$B$124:$H$124</c:f>
              <c:strCache>
                <c:ptCount val="7"/>
                <c:pt idx="0">
                  <c:v>Feu</c:v>
                </c:pt>
                <c:pt idx="1">
                  <c:v>Rac</c:v>
                </c:pt>
                <c:pt idx="2">
                  <c:v>Tig</c:v>
                </c:pt>
                <c:pt idx="3">
                  <c:v>Fle</c:v>
                </c:pt>
                <c:pt idx="4">
                  <c:v>Fru</c:v>
                </c:pt>
                <c:pt idx="5">
                  <c:v>Gra</c:v>
                </c:pt>
                <c:pt idx="6">
                  <c:v>Eco</c:v>
                </c:pt>
              </c:strCache>
            </c:strRef>
          </c:cat>
          <c:val>
            <c:numRef>
              <c:f>'Partie utilisée'!$B$125:$H$125</c:f>
              <c:numCache>
                <c:formatCode>0.00%</c:formatCode>
                <c:ptCount val="7"/>
                <c:pt idx="0">
                  <c:v>0.88793103448275867</c:v>
                </c:pt>
                <c:pt idx="1">
                  <c:v>0.40517241379310343</c:v>
                </c:pt>
                <c:pt idx="2">
                  <c:v>0.2413793103448276</c:v>
                </c:pt>
                <c:pt idx="3">
                  <c:v>0.17241379310344829</c:v>
                </c:pt>
                <c:pt idx="4">
                  <c:v>6.8965517241379309E-2</c:v>
                </c:pt>
                <c:pt idx="5">
                  <c:v>3.4482758620689655E-2</c:v>
                </c:pt>
                <c:pt idx="6">
                  <c:v>0.32758620689655171</c:v>
                </c:pt>
              </c:numCache>
            </c:numRef>
          </c:val>
          <c:extLst>
            <c:ext xmlns:c16="http://schemas.microsoft.com/office/drawing/2014/chart" uri="{C3380CC4-5D6E-409C-BE32-E72D297353CC}">
              <c16:uniqueId val="{00000000-3B1B-4771-8B11-F5E8BDDE1009}"/>
            </c:ext>
          </c:extLst>
        </c:ser>
        <c:dLbls>
          <c:dLblPos val="outEnd"/>
          <c:showLegendKey val="0"/>
          <c:showVal val="1"/>
          <c:showCatName val="0"/>
          <c:showSerName val="0"/>
          <c:showPercent val="0"/>
          <c:showBubbleSize val="0"/>
        </c:dLbls>
        <c:gapWidth val="444"/>
        <c:overlap val="-90"/>
        <c:axId val="484521695"/>
        <c:axId val="665219087"/>
      </c:barChart>
      <c:catAx>
        <c:axId val="48452169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USED Parts</a:t>
                </a:r>
              </a:p>
            </c:rich>
          </c:tx>
          <c:overlay val="0"/>
          <c:spPr>
            <a:noFill/>
            <a:ln>
              <a:noFill/>
            </a:ln>
            <a:effectLst/>
          </c:spPr>
          <c:txPr>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65219087"/>
        <c:crosses val="autoZero"/>
        <c:auto val="1"/>
        <c:lblAlgn val="ctr"/>
        <c:lblOffset val="100"/>
        <c:noMultiLvlLbl val="0"/>
      </c:catAx>
      <c:valAx>
        <c:axId val="665219087"/>
        <c:scaling>
          <c:orientation val="minMax"/>
        </c:scaling>
        <c:delete val="1"/>
        <c:axPos val="l"/>
        <c:title>
          <c:tx>
            <c:rich>
              <a:bodyPr rot="-540000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crossAx val="4845216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'Maladie traitée'!$C$124:$AE$124</c:f>
              <c:strCache>
                <c:ptCount val="29"/>
                <c:pt idx="0">
                  <c:v>ULC</c:v>
                </c:pt>
                <c:pt idx="1">
                  <c:v>INF</c:v>
                </c:pt>
                <c:pt idx="2">
                  <c:v>PLA</c:v>
                </c:pt>
                <c:pt idx="3">
                  <c:v>MAV</c:v>
                </c:pt>
                <c:pt idx="4">
                  <c:v>MBV</c:v>
                </c:pt>
                <c:pt idx="5">
                  <c:v>PAL</c:v>
                </c:pt>
                <c:pt idx="6">
                  <c:v>TEN</c:v>
                </c:pt>
                <c:pt idx="7">
                  <c:v>ANG</c:v>
                </c:pt>
                <c:pt idx="8">
                  <c:v>MAH</c:v>
                </c:pt>
                <c:pt idx="9">
                  <c:v>DIA</c:v>
                </c:pt>
                <c:pt idx="10">
                  <c:v>AST</c:v>
                </c:pt>
                <c:pt idx="11">
                  <c:v>TOU</c:v>
                </c:pt>
                <c:pt idx="12">
                  <c:v>DER</c:v>
                </c:pt>
                <c:pt idx="13">
                  <c:v>CAD</c:v>
                </c:pt>
                <c:pt idx="14">
                  <c:v>ICT</c:v>
                </c:pt>
                <c:pt idx="15">
                  <c:v>FII</c:v>
                </c:pt>
                <c:pt idx="16">
                  <c:v>ROU</c:v>
                </c:pt>
                <c:pt idx="17">
                  <c:v>CME</c:v>
                </c:pt>
                <c:pt idx="18">
                  <c:v>ATC</c:v>
                </c:pt>
                <c:pt idx="19">
                  <c:v>EPS</c:v>
                </c:pt>
                <c:pt idx="20">
                  <c:v>CBT</c:v>
                </c:pt>
                <c:pt idx="21">
                  <c:v>HEM</c:v>
                </c:pt>
                <c:pt idx="22">
                  <c:v>ATI/AGN</c:v>
                </c:pt>
                <c:pt idx="23">
                  <c:v>RHU</c:v>
                </c:pt>
                <c:pt idx="24">
                  <c:v>CON</c:v>
                </c:pt>
                <c:pt idx="25">
                  <c:v>FTY</c:v>
                </c:pt>
                <c:pt idx="26">
                  <c:v>FIV</c:v>
                </c:pt>
                <c:pt idx="27">
                  <c:v>ANE</c:v>
                </c:pt>
                <c:pt idx="28">
                  <c:v>MAF</c:v>
                </c:pt>
              </c:strCache>
            </c:strRef>
          </c:cat>
          <c:val>
            <c:numRef>
              <c:f>'Maladie traitée'!$C$125:$AE$125</c:f>
              <c:numCache>
                <c:formatCode>0.00%</c:formatCode>
                <c:ptCount val="29"/>
                <c:pt idx="0">
                  <c:v>0.25</c:v>
                </c:pt>
                <c:pt idx="1">
                  <c:v>0.74137931034482762</c:v>
                </c:pt>
                <c:pt idx="2">
                  <c:v>0.15517241379310345</c:v>
                </c:pt>
                <c:pt idx="3">
                  <c:v>2.5862068965517241E-2</c:v>
                </c:pt>
                <c:pt idx="4">
                  <c:v>8.6206896551724137E-3</c:v>
                </c:pt>
                <c:pt idx="5">
                  <c:v>6.8965517241379309E-2</c:v>
                </c:pt>
                <c:pt idx="6">
                  <c:v>1.7241379310344827E-2</c:v>
                </c:pt>
                <c:pt idx="7">
                  <c:v>1.7241379310344827E-2</c:v>
                </c:pt>
                <c:pt idx="8">
                  <c:v>8.6206896551724137E-3</c:v>
                </c:pt>
                <c:pt idx="9">
                  <c:v>8.6956521739130436E-3</c:v>
                </c:pt>
                <c:pt idx="10">
                  <c:v>1.7241379310344827E-2</c:v>
                </c:pt>
                <c:pt idx="11">
                  <c:v>0.13043478260869565</c:v>
                </c:pt>
                <c:pt idx="12">
                  <c:v>3.4482758620689655E-2</c:v>
                </c:pt>
                <c:pt idx="13">
                  <c:v>2.5862068965517241E-2</c:v>
                </c:pt>
                <c:pt idx="14">
                  <c:v>8.6206896551724137E-3</c:v>
                </c:pt>
                <c:pt idx="15">
                  <c:v>8.6206896551724137E-3</c:v>
                </c:pt>
                <c:pt idx="16">
                  <c:v>0.10344827586206896</c:v>
                </c:pt>
                <c:pt idx="17">
                  <c:v>8.6206896551724137E-3</c:v>
                </c:pt>
                <c:pt idx="18">
                  <c:v>8.6206896551724137E-3</c:v>
                </c:pt>
                <c:pt idx="19">
                  <c:v>8.6206896551724137E-3</c:v>
                </c:pt>
                <c:pt idx="20">
                  <c:v>8.6206896551724137E-3</c:v>
                </c:pt>
                <c:pt idx="21">
                  <c:v>2.5862068965517241E-2</c:v>
                </c:pt>
                <c:pt idx="22">
                  <c:v>8.8495575221238937E-2</c:v>
                </c:pt>
                <c:pt idx="23">
                  <c:v>1.7241379310344827E-2</c:v>
                </c:pt>
                <c:pt idx="24">
                  <c:v>8.6206896551724137E-3</c:v>
                </c:pt>
                <c:pt idx="25">
                  <c:v>8.6206896551724144E-2</c:v>
                </c:pt>
                <c:pt idx="26">
                  <c:v>8.6206896551724137E-3</c:v>
                </c:pt>
                <c:pt idx="27">
                  <c:v>8.6206896551724137E-3</c:v>
                </c:pt>
                <c:pt idx="28">
                  <c:v>8.6206896551724137E-3</c:v>
                </c:pt>
              </c:numCache>
            </c:numRef>
          </c:val>
          <c:extLst>
            <c:ext xmlns:c16="http://schemas.microsoft.com/office/drawing/2014/chart" uri="{C3380CC4-5D6E-409C-BE32-E72D297353CC}">
              <c16:uniqueId val="{00000000-48A6-4FFB-8355-442075432B53}"/>
            </c:ext>
          </c:extLst>
        </c:ser>
        <c:dLbls>
          <c:dLblPos val="outEnd"/>
          <c:showLegendKey val="0"/>
          <c:showVal val="1"/>
          <c:showCatName val="0"/>
          <c:showSerName val="0"/>
          <c:showPercent val="0"/>
          <c:showBubbleSize val="0"/>
        </c:dLbls>
        <c:gapWidth val="444"/>
        <c:overlap val="-90"/>
        <c:axId val="290181695"/>
        <c:axId val="290177855"/>
      </c:barChart>
      <c:catAx>
        <c:axId val="29018169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i="0" u="none" strike="noStrike" cap="all" baseline="0">
                    <a:latin typeface="Arial" panose="020B0604020202020204" pitchFamily="34" charset="0"/>
                    <a:cs typeface="Arial" panose="020B0604020202020204" pitchFamily="34" charset="0"/>
                  </a:rPr>
                  <a:t>Pathologies treated</a:t>
                </a:r>
                <a:endParaRPr lang="en-US" sz="10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90177855"/>
        <c:crosses val="autoZero"/>
        <c:auto val="1"/>
        <c:lblAlgn val="ctr"/>
        <c:lblOffset val="100"/>
        <c:noMultiLvlLbl val="0"/>
      </c:catAx>
      <c:valAx>
        <c:axId val="290177855"/>
        <c:scaling>
          <c:orientation val="minMax"/>
        </c:scaling>
        <c:delete val="1"/>
        <c:axPos val="l"/>
        <c:title>
          <c:tx>
            <c:rich>
              <a:bodyPr rot="-540000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crossAx val="2901816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706687730384416E-2"/>
          <c:y val="0.2061574074074074"/>
          <c:w val="0.90729331226961563"/>
          <c:h val="0.60186473041234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'mode de preparation 2'!$E$125:$G$125</c:f>
              <c:strCache>
                <c:ptCount val="3"/>
                <c:pt idx="0">
                  <c:v>Décoction </c:v>
                </c:pt>
                <c:pt idx="1">
                  <c:v> Alcolature</c:v>
                </c:pt>
                <c:pt idx="2">
                  <c:v>Infusion </c:v>
                </c:pt>
              </c:strCache>
            </c:strRef>
          </c:cat>
          <c:val>
            <c:numRef>
              <c:f>'mode de preparation 2'!$E$126:$G$126</c:f>
              <c:numCache>
                <c:formatCode>0.00%</c:formatCode>
                <c:ptCount val="3"/>
                <c:pt idx="0">
                  <c:v>0.91379310344827591</c:v>
                </c:pt>
                <c:pt idx="1">
                  <c:v>4.3103448275862072E-2</c:v>
                </c:pt>
                <c:pt idx="2">
                  <c:v>3.4482758620689655E-2</c:v>
                </c:pt>
              </c:numCache>
            </c:numRef>
          </c:val>
          <c:extLst>
            <c:ext xmlns:c16="http://schemas.microsoft.com/office/drawing/2014/chart" uri="{C3380CC4-5D6E-409C-BE32-E72D297353CC}">
              <c16:uniqueId val="{00000000-BEB7-4DE1-B4D8-E2F6CB0D3B69}"/>
            </c:ext>
          </c:extLst>
        </c:ser>
        <c:dLbls>
          <c:dLblPos val="outEnd"/>
          <c:showLegendKey val="0"/>
          <c:showVal val="1"/>
          <c:showCatName val="0"/>
          <c:showSerName val="0"/>
          <c:showPercent val="0"/>
          <c:showBubbleSize val="0"/>
        </c:dLbls>
        <c:gapWidth val="444"/>
        <c:overlap val="-90"/>
        <c:axId val="822772927"/>
        <c:axId val="822768127"/>
      </c:barChart>
      <c:catAx>
        <c:axId val="8227729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 preparation methods</a:t>
                </a:r>
              </a:p>
            </c:rich>
          </c:tx>
          <c:layout>
            <c:manualLayout>
              <c:xMode val="edge"/>
              <c:yMode val="edge"/>
              <c:x val="0.47478283224075662"/>
              <c:y val="0.92295214922952151"/>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822768127"/>
        <c:crosses val="autoZero"/>
        <c:auto val="1"/>
        <c:lblAlgn val="ctr"/>
        <c:lblOffset val="100"/>
        <c:noMultiLvlLbl val="0"/>
      </c:catAx>
      <c:valAx>
        <c:axId val="822768127"/>
        <c:scaling>
          <c:orientation val="minMax"/>
        </c:scaling>
        <c:delete val="1"/>
        <c:axPos val="l"/>
        <c:title>
          <c:tx>
            <c:rich>
              <a:bodyPr rot="-5400000" spcFirstLastPara="1" vertOverflow="ellipsis" vert="horz" wrap="square" anchor="ctr" anchorCtr="1"/>
              <a:lstStyle/>
              <a:p>
                <a:pPr>
                  <a:defRPr sz="12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Percentage</a:t>
                </a:r>
                <a:endParaRPr lang="en-US" sz="1200" b="1">
                  <a:latin typeface="Arial" panose="020B0604020202020204" pitchFamily="34" charset="0"/>
                  <a:cs typeface="Arial" panose="020B0604020202020204" pitchFamily="34" charset="0"/>
                </a:endParaRPr>
              </a:p>
            </c:rich>
          </c:tx>
          <c:layout>
            <c:manualLayout>
              <c:xMode val="edge"/>
              <c:yMode val="edge"/>
              <c:x val="1.4639283833596627E-2"/>
              <c:y val="0.36387180617021414"/>
            </c:manualLayout>
          </c:layout>
          <c:overlay val="0"/>
          <c:spPr>
            <a:noFill/>
            <a:ln>
              <a:noFill/>
            </a:ln>
            <a:effectLst/>
          </c:spPr>
          <c:txPr>
            <a:bodyPr rot="-5400000" spcFirstLastPara="1" vertOverflow="ellipsis" vert="horz" wrap="square" anchor="ctr" anchorCtr="1"/>
            <a:lstStyle/>
            <a:p>
              <a:pPr>
                <a:defRPr sz="12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crossAx val="8227729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02724389438615"/>
          <c:y val="0.17171296296296298"/>
          <c:w val="0.80475042271558495"/>
          <c:h val="0.55422098279381737"/>
        </c:manualLayout>
      </c:layout>
      <c:barChart>
        <c:barDir val="col"/>
        <c:grouping val="clustered"/>
        <c:varyColors val="0"/>
        <c:ser>
          <c:idx val="0"/>
          <c:order val="0"/>
          <c:spPr>
            <a:solidFill>
              <a:schemeClr val="accent1"/>
            </a:solidFill>
            <a:ln>
              <a:noFill/>
            </a:ln>
            <a:effectLst/>
          </c:spPr>
          <c:invertIfNegative val="0"/>
          <c:cat>
            <c:strRef>
              <c:f>'Voie d''administration'!$B$120:$E$120</c:f>
              <c:strCache>
                <c:ptCount val="4"/>
                <c:pt idx="0">
                  <c:v>Voie orale</c:v>
                </c:pt>
                <c:pt idx="1">
                  <c:v>Voie vaginale</c:v>
                </c:pt>
                <c:pt idx="2">
                  <c:v>Voie cutanée</c:v>
                </c:pt>
                <c:pt idx="3">
                  <c:v>Voie nazale</c:v>
                </c:pt>
              </c:strCache>
            </c:strRef>
          </c:cat>
          <c:val>
            <c:numRef>
              <c:f>'Voie d''administration'!$B$121:$E$121</c:f>
              <c:numCache>
                <c:formatCode>0.00%</c:formatCode>
                <c:ptCount val="4"/>
                <c:pt idx="0">
                  <c:v>0.98275862068965514</c:v>
                </c:pt>
                <c:pt idx="1">
                  <c:v>2.5862068965517241E-2</c:v>
                </c:pt>
                <c:pt idx="2">
                  <c:v>6.0344827586206899E-2</c:v>
                </c:pt>
                <c:pt idx="3">
                  <c:v>8.6206896551724137E-3</c:v>
                </c:pt>
              </c:numCache>
            </c:numRef>
          </c:val>
          <c:extLst>
            <c:ext xmlns:c16="http://schemas.microsoft.com/office/drawing/2014/chart" uri="{C3380CC4-5D6E-409C-BE32-E72D297353CC}">
              <c16:uniqueId val="{00000000-3393-4A42-A293-20A013E57B10}"/>
            </c:ext>
          </c:extLst>
        </c:ser>
        <c:dLbls>
          <c:showLegendKey val="0"/>
          <c:showVal val="0"/>
          <c:showCatName val="0"/>
          <c:showSerName val="0"/>
          <c:showPercent val="0"/>
          <c:showBubbleSize val="0"/>
        </c:dLbls>
        <c:gapWidth val="219"/>
        <c:overlap val="-27"/>
        <c:axId val="326871439"/>
        <c:axId val="385465247"/>
      </c:barChart>
      <c:catAx>
        <c:axId val="32687143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i="0" u="none" strike="noStrike" baseline="0">
                    <a:latin typeface="Arial" panose="020B0604020202020204" pitchFamily="34" charset="0"/>
                    <a:cs typeface="Arial" panose="020B0604020202020204" pitchFamily="34" charset="0"/>
                  </a:rPr>
                  <a:t>ADMISTRATION ROUTE </a:t>
                </a:r>
                <a:endParaRPr lang="en-US">
                  <a:latin typeface="Arial" panose="020B0604020202020204" pitchFamily="34" charset="0"/>
                  <a:cs typeface="Arial" panose="020B0604020202020204" pitchFamily="34" charset="0"/>
                </a:endParaRPr>
              </a:p>
            </c:rich>
          </c:tx>
          <c:layout>
            <c:manualLayout>
              <c:xMode val="edge"/>
              <c:yMode val="edge"/>
              <c:x val="0.52211461178534391"/>
              <c:y val="0.8935185185185184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465247"/>
        <c:crosses val="autoZero"/>
        <c:auto val="1"/>
        <c:lblAlgn val="ctr"/>
        <c:lblOffset val="100"/>
        <c:noMultiLvlLbl val="0"/>
      </c:catAx>
      <c:valAx>
        <c:axId val="385465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8714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0BE7B-E7B6-482E-B822-F2459AA6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11</Pages>
  <Words>4197</Words>
  <Characters>23923</Characters>
  <Application>Microsoft Office Word</Application>
  <DocSecurity>0</DocSecurity>
  <Lines>199</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28064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18</cp:revision>
  <cp:lastPrinted>1999-07-06T11:00:00Z</cp:lastPrinted>
  <dcterms:created xsi:type="dcterms:W3CDTF">2026-03-15T20:42:00Z</dcterms:created>
  <dcterms:modified xsi:type="dcterms:W3CDTF">2026-03-16T10:49:00Z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a6d66dc9-71d2-4f34-80cd-b37fae92ce8f</vt:lpwstr>
  </property>
</Properties>
</file>