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CBCFF" w14:textId="60E11710" w:rsidR="001C6B9A" w:rsidRPr="001C6B9A" w:rsidRDefault="001C6B9A" w:rsidP="001C6B9A">
      <w:pPr>
        <w:spacing w:before="100" w:beforeAutospacing="1" w:after="100" w:afterAutospacing="1" w:line="360" w:lineRule="auto"/>
        <w:rPr>
          <w:rFonts w:ascii="Arial" w:eastAsia="Times New Roman" w:hAnsi="Arial" w:cs="Arial"/>
          <w:b/>
          <w:bCs/>
          <w:sz w:val="28"/>
          <w:szCs w:val="28"/>
          <w:u w:val="single"/>
          <w:lang w:val="en-GB" w:eastAsia="ru-RU"/>
        </w:rPr>
      </w:pPr>
      <w:r w:rsidRPr="001C6B9A">
        <w:rPr>
          <w:rFonts w:ascii="Arial" w:eastAsia="Times New Roman" w:hAnsi="Arial" w:cs="Arial"/>
          <w:b/>
          <w:bCs/>
          <w:sz w:val="28"/>
          <w:szCs w:val="28"/>
          <w:u w:val="single"/>
          <w:lang w:val="en-GB" w:eastAsia="ru-RU"/>
        </w:rPr>
        <w:t>Original Research Article</w:t>
      </w:r>
    </w:p>
    <w:p w14:paraId="16F96478" w14:textId="52CF1671" w:rsidR="004C0156" w:rsidRPr="008D7711" w:rsidRDefault="00BB60F6" w:rsidP="001D6291">
      <w:pPr>
        <w:spacing w:before="100" w:beforeAutospacing="1" w:after="100" w:afterAutospacing="1" w:line="360" w:lineRule="auto"/>
        <w:jc w:val="center"/>
        <w:rPr>
          <w:rFonts w:ascii="Arial" w:eastAsia="Times New Roman" w:hAnsi="Arial" w:cs="Arial"/>
          <w:b/>
          <w:bCs/>
          <w:sz w:val="36"/>
          <w:szCs w:val="36"/>
          <w:lang w:val="en-US" w:eastAsia="ru-RU"/>
        </w:rPr>
      </w:pPr>
      <w:r w:rsidRPr="008D7711">
        <w:rPr>
          <w:rFonts w:ascii="Arial" w:eastAsia="Times New Roman" w:hAnsi="Arial" w:cs="Arial"/>
          <w:b/>
          <w:bCs/>
          <w:sz w:val="36"/>
          <w:szCs w:val="36"/>
          <w:lang w:val="en-GB" w:eastAsia="ru-RU"/>
        </w:rPr>
        <w:t>Ecological</w:t>
      </w:r>
      <w:r w:rsidRPr="008D7711">
        <w:rPr>
          <w:rFonts w:ascii="Arial" w:eastAsia="Times New Roman" w:hAnsi="Arial" w:cs="Arial"/>
          <w:b/>
          <w:bCs/>
          <w:sz w:val="36"/>
          <w:szCs w:val="36"/>
          <w:lang w:val="en-US" w:eastAsia="ru-RU"/>
        </w:rPr>
        <w:t xml:space="preserve"> and Taxonomic Characteristics of Microscopic</w:t>
      </w:r>
      <w:r w:rsidR="001D6291" w:rsidRPr="008D7711">
        <w:rPr>
          <w:rFonts w:ascii="Arial" w:eastAsia="Times New Roman" w:hAnsi="Arial" w:cs="Arial"/>
          <w:b/>
          <w:bCs/>
          <w:sz w:val="36"/>
          <w:szCs w:val="36"/>
          <w:lang w:val="en-US" w:eastAsia="ru-RU"/>
        </w:rPr>
        <w:t xml:space="preserve"> </w:t>
      </w:r>
      <w:r w:rsidRPr="008D7711">
        <w:rPr>
          <w:rFonts w:ascii="Arial" w:eastAsia="Times New Roman" w:hAnsi="Arial" w:cs="Arial"/>
          <w:b/>
          <w:bCs/>
          <w:sz w:val="36"/>
          <w:szCs w:val="36"/>
          <w:lang w:val="en-US" w:eastAsia="ru-RU"/>
        </w:rPr>
        <w:t xml:space="preserve">Fungi </w:t>
      </w:r>
      <w:r w:rsidR="001E3E66" w:rsidRPr="008D7711">
        <w:rPr>
          <w:rFonts w:ascii="Arial" w:eastAsia="Times New Roman" w:hAnsi="Arial" w:cs="Arial"/>
          <w:b/>
          <w:bCs/>
          <w:sz w:val="36"/>
          <w:szCs w:val="36"/>
          <w:lang w:val="en-US" w:eastAsia="ru-RU"/>
        </w:rPr>
        <w:t xml:space="preserve">Distributed </w:t>
      </w:r>
      <w:r w:rsidRPr="008D7711">
        <w:rPr>
          <w:rFonts w:ascii="Arial" w:eastAsia="Times New Roman" w:hAnsi="Arial" w:cs="Arial"/>
          <w:b/>
          <w:bCs/>
          <w:sz w:val="36"/>
          <w:szCs w:val="36"/>
          <w:lang w:val="en-US" w:eastAsia="ru-RU"/>
        </w:rPr>
        <w:t xml:space="preserve">in Alluvial and </w:t>
      </w:r>
      <w:r w:rsidR="004C0156" w:rsidRPr="008D7711">
        <w:rPr>
          <w:rFonts w:ascii="Arial" w:eastAsia="Times New Roman" w:hAnsi="Arial" w:cs="Arial"/>
          <w:b/>
          <w:bCs/>
          <w:sz w:val="36"/>
          <w:szCs w:val="36"/>
          <w:lang w:val="ka-GE" w:eastAsia="ru-RU"/>
        </w:rPr>
        <w:t>Brown</w:t>
      </w:r>
      <w:r w:rsidRPr="008D7711">
        <w:rPr>
          <w:rFonts w:ascii="Arial" w:eastAsia="Times New Roman" w:hAnsi="Arial" w:cs="Arial"/>
          <w:b/>
          <w:bCs/>
          <w:sz w:val="36"/>
          <w:szCs w:val="36"/>
          <w:lang w:val="en-US" w:eastAsia="ru-RU"/>
        </w:rPr>
        <w:t xml:space="preserve"> Soil</w:t>
      </w:r>
      <w:r w:rsidR="004C0156" w:rsidRPr="008D7711">
        <w:rPr>
          <w:rFonts w:ascii="Arial" w:eastAsia="Times New Roman" w:hAnsi="Arial" w:cs="Arial"/>
          <w:b/>
          <w:bCs/>
          <w:sz w:val="36"/>
          <w:szCs w:val="36"/>
          <w:lang w:val="en-US" w:eastAsia="ru-RU"/>
        </w:rPr>
        <w:t>s</w:t>
      </w:r>
      <w:r w:rsidRPr="008D7711">
        <w:rPr>
          <w:rFonts w:ascii="Arial" w:eastAsia="Times New Roman" w:hAnsi="Arial" w:cs="Arial"/>
          <w:b/>
          <w:bCs/>
          <w:sz w:val="36"/>
          <w:szCs w:val="36"/>
          <w:lang w:val="en-US" w:eastAsia="ru-RU"/>
        </w:rPr>
        <w:t xml:space="preserve"> of Georgia</w:t>
      </w:r>
    </w:p>
    <w:p w14:paraId="42848E7B" w14:textId="77777777" w:rsidR="004463C6" w:rsidRDefault="004463C6" w:rsidP="00A67C98">
      <w:pPr>
        <w:spacing w:after="0" w:line="360" w:lineRule="auto"/>
        <w:jc w:val="both"/>
        <w:rPr>
          <w:rFonts w:ascii="Arial" w:hAnsi="Arial" w:cs="Arial"/>
          <w:b/>
          <w:bCs/>
          <w:lang w:val="en-US"/>
        </w:rPr>
      </w:pPr>
    </w:p>
    <w:p w14:paraId="6A69FA1F" w14:textId="070AC06B" w:rsidR="00A67C98" w:rsidRPr="00195753" w:rsidRDefault="00A67C98" w:rsidP="00A67C98">
      <w:pPr>
        <w:spacing w:after="0" w:line="360" w:lineRule="auto"/>
        <w:jc w:val="both"/>
        <w:rPr>
          <w:rFonts w:ascii="Arial" w:eastAsia="Times New Roman" w:hAnsi="Arial" w:cs="Arial"/>
          <w:b/>
          <w:bCs/>
          <w:sz w:val="20"/>
          <w:szCs w:val="20"/>
          <w:lang w:val="en-US" w:eastAsia="ru-RU"/>
        </w:rPr>
      </w:pPr>
      <w:bookmarkStart w:id="0" w:name="_GoBack"/>
      <w:bookmarkEnd w:id="0"/>
      <w:r w:rsidRPr="00195753">
        <w:rPr>
          <w:rFonts w:ascii="Arial" w:hAnsi="Arial" w:cs="Arial"/>
          <w:b/>
          <w:bCs/>
          <w:lang w:val="en-US"/>
        </w:rPr>
        <w:t>ABSTRACT</w:t>
      </w:r>
      <w:r w:rsidRPr="00195753">
        <w:rPr>
          <w:rFonts w:ascii="Arial" w:eastAsia="Times New Roman" w:hAnsi="Arial" w:cs="Arial"/>
          <w:b/>
          <w:bCs/>
          <w:sz w:val="20"/>
          <w:szCs w:val="20"/>
          <w:lang w:val="en-US" w:eastAsia="ru-RU"/>
        </w:rPr>
        <w:t xml:space="preserve"> </w:t>
      </w:r>
    </w:p>
    <w:p w14:paraId="7EAD566B" w14:textId="77777777" w:rsidR="00A67C98" w:rsidRPr="00271B17" w:rsidRDefault="00A67C98" w:rsidP="00A67C98">
      <w:pPr>
        <w:spacing w:after="0" w:line="360" w:lineRule="auto"/>
        <w:jc w:val="both"/>
        <w:rPr>
          <w:rFonts w:ascii="Arial" w:eastAsia="Times New Roman" w:hAnsi="Arial" w:cs="Arial"/>
          <w:color w:val="FF0000"/>
          <w:sz w:val="20"/>
          <w:szCs w:val="20"/>
          <w:lang w:val="en-US" w:eastAsia="ru-RU"/>
        </w:rPr>
      </w:pPr>
      <w:r w:rsidRPr="00271B17">
        <w:rPr>
          <w:rFonts w:ascii="Arial" w:eastAsia="Times New Roman" w:hAnsi="Arial" w:cs="Arial"/>
          <w:sz w:val="20"/>
          <w:szCs w:val="20"/>
          <w:lang w:val="en-US" w:eastAsia="ru-RU"/>
        </w:rPr>
        <w:t>The study of soil microbial biodiversity is one of the priority areas of modern ecological science. Although microscopic fungi represent one of the most diverse and ecologically active components of soils, information on their distribution, taxonomic composition, and ecological characteristics in Georgia remains scarce.</w:t>
      </w:r>
      <w:r>
        <w:rPr>
          <w:rFonts w:ascii="Arial" w:eastAsia="Times New Roman" w:hAnsi="Arial" w:cs="Arial"/>
          <w:color w:val="FF0000"/>
          <w:sz w:val="20"/>
          <w:szCs w:val="20"/>
          <w:lang w:val="en-US" w:eastAsia="ru-RU"/>
        </w:rPr>
        <w:t xml:space="preserve"> </w:t>
      </w:r>
      <w:r w:rsidRPr="006D4A49">
        <w:rPr>
          <w:rFonts w:ascii="Arial" w:eastAsia="Times New Roman" w:hAnsi="Arial" w:cs="Arial"/>
          <w:sz w:val="20"/>
          <w:szCs w:val="20"/>
          <w:lang w:val="en-US" w:eastAsia="ru-RU"/>
        </w:rPr>
        <w:t xml:space="preserve">The present research provides a comparative analysis of the mycoflora in alluvial and brown soils from various pedological regions of Georgia. </w:t>
      </w:r>
      <w:r w:rsidRPr="008D7711">
        <w:rPr>
          <w:rFonts w:ascii="Arial" w:eastAsia="Times New Roman" w:hAnsi="Arial" w:cs="Arial"/>
          <w:sz w:val="20"/>
          <w:szCs w:val="20"/>
          <w:lang w:val="en-US" w:eastAsia="ru-RU"/>
        </w:rPr>
        <w:t>The study was conducted on alluvial and brown soils from Western, Eastern, and Southern Georgia. Alluvial soil samples were collected from three distinct microrelief zones within each region, within a radius of 50 cm, at depths of 10–20 cm, under maximum sterile conditions</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Pure cultures of microscopic fungi were obtained using standard methods and stored in test tubes on slanted agar medium at 4 °C in a refrigerator.</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Taxonomic identification (to the genus level) was based on macro- and micromorphological characteristics, including the structure and arrangement of hyphae, conidia, and spores.</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 xml:space="preserve">The dominant genera identified in alluvial soils are </w:t>
      </w:r>
      <w:r w:rsidRPr="006D4A49">
        <w:rPr>
          <w:rFonts w:ascii="Arial" w:eastAsia="Times New Roman" w:hAnsi="Arial" w:cs="Arial"/>
          <w:i/>
          <w:iCs/>
          <w:sz w:val="20"/>
          <w:szCs w:val="20"/>
          <w:lang w:val="en-US" w:eastAsia="ru-RU"/>
        </w:rPr>
        <w:t>Penicillium</w:t>
      </w:r>
      <w:r w:rsidRPr="006D4A49">
        <w:rPr>
          <w:rFonts w:ascii="Arial" w:eastAsia="Times New Roman" w:hAnsi="Arial" w:cs="Arial"/>
          <w:sz w:val="20"/>
          <w:szCs w:val="20"/>
          <w:lang w:val="en-US" w:eastAsia="ru-RU"/>
        </w:rPr>
        <w:t xml:space="preserve"> and </w:t>
      </w:r>
      <w:r w:rsidRPr="006D4A49">
        <w:rPr>
          <w:rFonts w:ascii="Arial" w:eastAsia="Times New Roman" w:hAnsi="Arial" w:cs="Arial"/>
          <w:i/>
          <w:iCs/>
          <w:sz w:val="20"/>
          <w:szCs w:val="20"/>
          <w:lang w:val="en-US" w:eastAsia="ru-RU"/>
        </w:rPr>
        <w:t>Aspergillus</w:t>
      </w:r>
      <w:r w:rsidRPr="006D4A49">
        <w:rPr>
          <w:rFonts w:ascii="Arial" w:eastAsia="Times New Roman" w:hAnsi="Arial" w:cs="Arial"/>
          <w:sz w:val="20"/>
          <w:szCs w:val="20"/>
          <w:lang w:val="en-US" w:eastAsia="ru-RU"/>
        </w:rPr>
        <w:t xml:space="preserve">. The distribution of other genera varies greatly among regions: in Eastern Georgia predominate </w:t>
      </w:r>
      <w:proofErr w:type="spellStart"/>
      <w:r w:rsidRPr="006D4A49">
        <w:rPr>
          <w:rFonts w:ascii="Arial" w:eastAsia="Times New Roman" w:hAnsi="Arial" w:cs="Arial"/>
          <w:sz w:val="20"/>
          <w:szCs w:val="20"/>
          <w:lang w:val="en-US" w:eastAsia="ru-RU"/>
        </w:rPr>
        <w:t>xerotolerant</w:t>
      </w:r>
      <w:proofErr w:type="spellEnd"/>
      <w:r w:rsidRPr="006D4A49">
        <w:rPr>
          <w:rFonts w:ascii="Arial" w:eastAsia="Times New Roman" w:hAnsi="Arial" w:cs="Arial"/>
          <w:sz w:val="20"/>
          <w:szCs w:val="20"/>
          <w:lang w:val="en-US" w:eastAsia="ru-RU"/>
        </w:rPr>
        <w:t xml:space="preserve"> fungi; in Western Georgia hygrophilous and humus-loving taxa are prevalent; while in Southern Georgia, under mixed ecotonal conditions, representatives of both groups are present.</w:t>
      </w:r>
    </w:p>
    <w:p w14:paraId="5AD93AEF" w14:textId="77777777" w:rsidR="00A67C98" w:rsidRPr="006D4A49" w:rsidRDefault="00A67C98" w:rsidP="00A67C98">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The mycoflora of brown soils in Eastern and Southern Georgia was found to be relatively similar, whereas in Western Georgia it differed markedly, likely due to the influence of local climate and the physicochemical properties of the soil.</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The results confirm that the taxonomic structure of soil mycoflora clearly reflects the combined effects of geographical location and abiotic factors. This underlines the bioindicator potential of soil fungal communities and their importance for the study of fundamental ecological processes.</w:t>
      </w:r>
    </w:p>
    <w:p w14:paraId="5AB6CA99" w14:textId="77777777" w:rsidR="00023539" w:rsidRPr="008D7711" w:rsidRDefault="00023539" w:rsidP="00023539">
      <w:pPr>
        <w:spacing w:before="100" w:beforeAutospacing="1" w:after="100" w:afterAutospacing="1" w:line="360" w:lineRule="auto"/>
        <w:jc w:val="both"/>
        <w:rPr>
          <w:rFonts w:ascii="Arial" w:eastAsia="Times New Roman" w:hAnsi="Arial" w:cs="Arial"/>
          <w:i/>
          <w:iCs/>
          <w:sz w:val="20"/>
          <w:szCs w:val="20"/>
          <w:lang w:val="en-US" w:eastAsia="ru-RU"/>
        </w:rPr>
      </w:pPr>
      <w:r w:rsidRPr="008D7711">
        <w:rPr>
          <w:rFonts w:ascii="Arial" w:eastAsia="Times New Roman" w:hAnsi="Arial" w:cs="Arial"/>
          <w:b/>
          <w:bCs/>
          <w:i/>
          <w:iCs/>
          <w:sz w:val="20"/>
          <w:szCs w:val="20"/>
          <w:lang w:val="en-US" w:eastAsia="ru-RU"/>
        </w:rPr>
        <w:t>Keywords:</w:t>
      </w:r>
      <w:r w:rsidRPr="008D7711">
        <w:rPr>
          <w:rFonts w:ascii="Arial" w:eastAsia="Times New Roman" w:hAnsi="Arial" w:cs="Arial"/>
          <w:i/>
          <w:iCs/>
          <w:sz w:val="20"/>
          <w:szCs w:val="20"/>
          <w:lang w:val="en-US" w:eastAsia="ru-RU"/>
        </w:rPr>
        <w:t xml:space="preserve"> alluvial and brown soils, soil mycoflora, taxonomic diversity, soil bioindication, ecotonal zone</w:t>
      </w:r>
    </w:p>
    <w:p w14:paraId="31873F60" w14:textId="77777777" w:rsidR="00195753" w:rsidRPr="00195753" w:rsidRDefault="00195753"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r w:rsidRPr="00195753">
        <w:rPr>
          <w:rFonts w:ascii="Arial" w:hAnsi="Arial" w:cs="Arial"/>
          <w:b/>
          <w:bCs/>
          <w:lang w:val="en-US"/>
        </w:rPr>
        <w:t xml:space="preserve"> INTRODUCTION</w:t>
      </w:r>
    </w:p>
    <w:p w14:paraId="2C972004" w14:textId="77777777" w:rsidR="00BB60F6" w:rsidRPr="00195753" w:rsidRDefault="00195753" w:rsidP="00195753">
      <w:pPr>
        <w:spacing w:after="0" w:line="360" w:lineRule="auto"/>
        <w:jc w:val="both"/>
        <w:rPr>
          <w:rFonts w:ascii="Arial" w:eastAsia="Times New Roman" w:hAnsi="Arial" w:cs="Arial"/>
          <w:sz w:val="20"/>
          <w:szCs w:val="20"/>
          <w:lang w:val="en-US" w:eastAsia="ru-RU"/>
        </w:rPr>
      </w:pPr>
      <w:r w:rsidRPr="00195753">
        <w:rPr>
          <w:rFonts w:ascii="Arial" w:hAnsi="Arial" w:cs="Arial"/>
          <w:lang w:val="en-US"/>
        </w:rPr>
        <w:t xml:space="preserve"> </w:t>
      </w:r>
      <w:r w:rsidR="00BB60F6" w:rsidRPr="00195753">
        <w:rPr>
          <w:rFonts w:ascii="Arial" w:eastAsia="Times New Roman" w:hAnsi="Arial" w:cs="Arial"/>
          <w:sz w:val="20"/>
          <w:szCs w:val="20"/>
          <w:lang w:val="en-US" w:eastAsia="ru-RU"/>
        </w:rPr>
        <w:t xml:space="preserve">One of the priority directions in modern ecological research is the study of soil biodiversity, as it determines ecosystem stability and functional resilience. Among the most diverse </w:t>
      </w:r>
      <w:proofErr w:type="spellStart"/>
      <w:r w:rsidR="00BB60F6" w:rsidRPr="00195753">
        <w:rPr>
          <w:rFonts w:ascii="Arial" w:eastAsia="Times New Roman" w:hAnsi="Arial" w:cs="Arial"/>
          <w:sz w:val="20"/>
          <w:szCs w:val="20"/>
          <w:lang w:val="en-US" w:eastAsia="ru-RU"/>
        </w:rPr>
        <w:t>andecologically</w:t>
      </w:r>
      <w:proofErr w:type="spellEnd"/>
      <w:r w:rsidR="00BB60F6" w:rsidRPr="00195753">
        <w:rPr>
          <w:rFonts w:ascii="Arial" w:eastAsia="Times New Roman" w:hAnsi="Arial" w:cs="Arial"/>
          <w:sz w:val="20"/>
          <w:szCs w:val="20"/>
          <w:lang w:val="en-US" w:eastAsia="ru-RU"/>
        </w:rPr>
        <w:t xml:space="preserve"> important groups of soil microbiota are microscopic fungi, which occur in almost all soil types (Classen et al., 2003). Their biological activity significantly contributes to biogeochemical cycles, humus formation, the decomposition of organic residues, and the accumulation of nutrients in the soil. It is known that 60–90% of cellulose-decomposing microorganisms are represented by soil </w:t>
      </w:r>
      <w:proofErr w:type="spellStart"/>
      <w:r w:rsidR="00BB60F6" w:rsidRPr="00195753">
        <w:rPr>
          <w:rFonts w:ascii="Arial" w:eastAsia="Times New Roman" w:hAnsi="Arial" w:cs="Arial"/>
          <w:sz w:val="20"/>
          <w:szCs w:val="20"/>
          <w:lang w:val="en-US" w:eastAsia="ru-RU"/>
        </w:rPr>
        <w:t>micromycetes</w:t>
      </w:r>
      <w:proofErr w:type="spellEnd"/>
      <w:r w:rsidR="00BB60F6" w:rsidRPr="00195753">
        <w:rPr>
          <w:rFonts w:ascii="Arial" w:eastAsia="Times New Roman" w:hAnsi="Arial" w:cs="Arial"/>
          <w:sz w:val="20"/>
          <w:szCs w:val="20"/>
          <w:lang w:val="en-US" w:eastAsia="ru-RU"/>
        </w:rPr>
        <w:t xml:space="preserve"> (Blume, 2004).</w:t>
      </w:r>
    </w:p>
    <w:p w14:paraId="3CB400A3"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lastRenderedPageBreak/>
        <w:t>Despite their important ecological role, there is still a lack of data on the geographical distribution patterns of microscopic fungi. This deficit may be due to their highly specialized and heterogeneous nature, which complicates systematization and accurate modelling of their ecological niches.</w:t>
      </w:r>
    </w:p>
    <w:p w14:paraId="6089361E"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The distribution of fungi is strongly influenced by the physicochemical properties of the soil, climatic conditions, and habitat type. Different geographical zones are characterized by distinct soils, vegetation, temperature, humidity, and pH levels, all of which largely determine the composition and functional structure of mycoflora (Derry et al., 2004). Consequently, ecological studies of microscopic fungi must be conducted on a regional basis to identify the interrelationship between geographical zonation, soil type, and climatic factors.</w:t>
      </w:r>
    </w:p>
    <w:p w14:paraId="0AEE12FD" w14:textId="77777777" w:rsidR="00335CEE"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The aim of the present research is to provide a comparative analysis of the taxonomic diversity and distribution characteristics of microscopic fungi in alluvial 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The study focuses on identifying </w:t>
      </w:r>
      <w:r w:rsidR="00254F05" w:rsidRPr="008D7711">
        <w:rPr>
          <w:rFonts w:ascii="Arial" w:eastAsia="Times New Roman" w:hAnsi="Arial" w:cs="Arial"/>
          <w:sz w:val="20"/>
          <w:szCs w:val="20"/>
          <w:lang w:val="en-US" w:eastAsia="ru-RU"/>
        </w:rPr>
        <w:t xml:space="preserve">the genera distribution </w:t>
      </w:r>
      <w:proofErr w:type="spellStart"/>
      <w:r w:rsidR="00254F05" w:rsidRPr="008D7711">
        <w:rPr>
          <w:rFonts w:ascii="Arial" w:eastAsia="Times New Roman" w:hAnsi="Arial" w:cs="Arial"/>
          <w:sz w:val="20"/>
          <w:szCs w:val="20"/>
          <w:lang w:val="en-US" w:eastAsia="ru-RU"/>
        </w:rPr>
        <w:t>reguliarities</w:t>
      </w:r>
      <w:proofErr w:type="spellEnd"/>
      <w:r w:rsidR="00254F05" w:rsidRPr="008D7711">
        <w:rPr>
          <w:rFonts w:ascii="Arial" w:eastAsia="Times New Roman" w:hAnsi="Arial" w:cs="Arial"/>
          <w:sz w:val="20"/>
          <w:szCs w:val="20"/>
          <w:lang w:val="en-US" w:eastAsia="ru-RU"/>
        </w:rPr>
        <w:t xml:space="preserve"> of the microscopic fungi,</w:t>
      </w:r>
      <w:r w:rsidRPr="008D7711">
        <w:rPr>
          <w:rFonts w:ascii="Arial" w:eastAsia="Times New Roman" w:hAnsi="Arial" w:cs="Arial"/>
          <w:sz w:val="20"/>
          <w:szCs w:val="20"/>
          <w:lang w:val="en-US" w:eastAsia="ru-RU"/>
        </w:rPr>
        <w:t xml:space="preserve"> thereby improving the ecological structure analysis of Georgia’s soil </w:t>
      </w:r>
      <w:proofErr w:type="spellStart"/>
      <w:r w:rsidRPr="008D7711">
        <w:rPr>
          <w:rFonts w:ascii="Arial" w:eastAsia="Times New Roman" w:hAnsi="Arial" w:cs="Arial"/>
          <w:sz w:val="20"/>
          <w:szCs w:val="20"/>
          <w:lang w:val="en-US" w:eastAsia="ru-RU"/>
        </w:rPr>
        <w:t>mycobiota</w:t>
      </w:r>
      <w:proofErr w:type="spellEnd"/>
      <w:r w:rsidRPr="008D7711">
        <w:rPr>
          <w:rFonts w:ascii="Arial" w:eastAsia="Times New Roman" w:hAnsi="Arial" w:cs="Arial"/>
          <w:sz w:val="20"/>
          <w:szCs w:val="20"/>
          <w:lang w:val="en-US" w:eastAsia="ru-RU"/>
        </w:rPr>
        <w:t>.</w:t>
      </w:r>
    </w:p>
    <w:p w14:paraId="6A5B3193" w14:textId="77777777" w:rsidR="00195753" w:rsidRPr="00195753" w:rsidRDefault="00E855EC" w:rsidP="00195753">
      <w:pPr>
        <w:pStyle w:val="ListParagraph"/>
        <w:numPr>
          <w:ilvl w:val="0"/>
          <w:numId w:val="4"/>
        </w:numPr>
        <w:spacing w:after="0" w:line="360" w:lineRule="auto"/>
        <w:jc w:val="both"/>
        <w:rPr>
          <w:rFonts w:ascii="Arial" w:hAnsi="Arial" w:cs="Arial"/>
          <w:b/>
          <w:bCs/>
          <w:lang w:val="en-US"/>
        </w:rPr>
      </w:pPr>
      <w:r>
        <w:rPr>
          <w:rFonts w:ascii="Arial" w:hAnsi="Arial" w:cs="Arial"/>
          <w:b/>
          <w:bCs/>
          <w:lang w:val="en-US"/>
        </w:rPr>
        <w:t>MATERIAL AND METHODS</w:t>
      </w:r>
    </w:p>
    <w:p w14:paraId="4789C10C"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The study was conducted on alluvial 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Alluvial soil samples were collected from three distinct microrelief zones within each region, within a radius of 50 cm, at depths of 10–20 cm, under maximum sterile conditions (</w:t>
      </w:r>
      <w:r w:rsidR="001E3E66" w:rsidRPr="008D7711">
        <w:rPr>
          <w:rFonts w:ascii="Arial" w:eastAsia="Times New Roman" w:hAnsi="Arial" w:cs="Arial"/>
          <w:sz w:val="20"/>
          <w:szCs w:val="20"/>
          <w:lang w:val="en-US" w:eastAsia="ru-RU"/>
        </w:rPr>
        <w:t xml:space="preserve">Fomin </w:t>
      </w:r>
      <w:r w:rsidR="00815F78" w:rsidRPr="008D7711">
        <w:rPr>
          <w:rFonts w:ascii="Arial" w:eastAsia="Times New Roman" w:hAnsi="Arial" w:cs="Arial"/>
          <w:sz w:val="20"/>
          <w:szCs w:val="20"/>
          <w:lang w:val="en-US" w:eastAsia="ru-RU"/>
        </w:rPr>
        <w:t>and</w:t>
      </w:r>
      <w:r w:rsidR="001E3E66" w:rsidRPr="008D7711">
        <w:rPr>
          <w:rFonts w:ascii="Arial" w:eastAsia="Times New Roman" w:hAnsi="Arial" w:cs="Arial"/>
          <w:sz w:val="20"/>
          <w:szCs w:val="20"/>
          <w:lang w:val="en-US" w:eastAsia="ru-RU"/>
        </w:rPr>
        <w:t xml:space="preserve"> Fomin</w:t>
      </w:r>
      <w:r w:rsidRPr="008D7711">
        <w:rPr>
          <w:rFonts w:ascii="Arial" w:eastAsia="Times New Roman" w:hAnsi="Arial" w:cs="Arial"/>
          <w:sz w:val="20"/>
          <w:szCs w:val="20"/>
          <w:lang w:val="en-US" w:eastAsia="ru-RU"/>
        </w:rPr>
        <w:t xml:space="preserve">, 2001). </w:t>
      </w:r>
      <w:r w:rsidR="00254F05" w:rsidRPr="008D7711">
        <w:rPr>
          <w:rFonts w:ascii="Arial" w:eastAsia="Times New Roman" w:hAnsi="Arial" w:cs="Arial"/>
          <w:sz w:val="20"/>
          <w:szCs w:val="20"/>
          <w:lang w:val="en-US" w:eastAsia="ru-RU"/>
        </w:rPr>
        <w:t>In particular,</w:t>
      </w:r>
      <w:r w:rsidRPr="008D7711">
        <w:rPr>
          <w:rFonts w:ascii="Arial" w:eastAsia="Times New Roman" w:hAnsi="Arial" w:cs="Arial"/>
          <w:sz w:val="20"/>
          <w:szCs w:val="20"/>
          <w:lang w:val="en-US" w:eastAsia="ru-RU"/>
        </w:rPr>
        <w:t xml:space="preserve"> the alluvial soil sampling sites were: the bank of the </w:t>
      </w:r>
      <w:proofErr w:type="spellStart"/>
      <w:r w:rsidRPr="008D7711">
        <w:rPr>
          <w:rFonts w:ascii="Arial" w:eastAsia="Times New Roman" w:hAnsi="Arial" w:cs="Arial"/>
          <w:sz w:val="20"/>
          <w:szCs w:val="20"/>
          <w:lang w:val="en-US" w:eastAsia="ru-RU"/>
        </w:rPr>
        <w:t>Gubistskali</w:t>
      </w:r>
      <w:proofErr w:type="spellEnd"/>
      <w:r w:rsidRPr="008D7711">
        <w:rPr>
          <w:rFonts w:ascii="Arial" w:eastAsia="Times New Roman" w:hAnsi="Arial" w:cs="Arial"/>
          <w:sz w:val="20"/>
          <w:szCs w:val="20"/>
          <w:lang w:val="en-US" w:eastAsia="ru-RU"/>
        </w:rPr>
        <w:t xml:space="preserve"> River (Western Georgia), the bank of the </w:t>
      </w:r>
      <w:proofErr w:type="spellStart"/>
      <w:r w:rsidRPr="008D7711">
        <w:rPr>
          <w:rFonts w:ascii="Arial" w:eastAsia="Times New Roman" w:hAnsi="Arial" w:cs="Arial"/>
          <w:sz w:val="20"/>
          <w:szCs w:val="20"/>
          <w:lang w:val="en-US" w:eastAsia="ru-RU"/>
        </w:rPr>
        <w:t>Mtkvari</w:t>
      </w:r>
      <w:proofErr w:type="spellEnd"/>
      <w:r w:rsidRPr="008D7711">
        <w:rPr>
          <w:rFonts w:ascii="Arial" w:eastAsia="Times New Roman" w:hAnsi="Arial" w:cs="Arial"/>
          <w:sz w:val="20"/>
          <w:szCs w:val="20"/>
          <w:lang w:val="en-US" w:eastAsia="ru-RU"/>
        </w:rPr>
        <w:t xml:space="preserve"> River (Eastern Georgia), and the bank of the </w:t>
      </w:r>
      <w:proofErr w:type="spellStart"/>
      <w:r w:rsidRPr="008D7711">
        <w:rPr>
          <w:rFonts w:ascii="Arial" w:eastAsia="Times New Roman" w:hAnsi="Arial" w:cs="Arial"/>
          <w:sz w:val="20"/>
          <w:szCs w:val="20"/>
          <w:lang w:val="en-US" w:eastAsia="ru-RU"/>
        </w:rPr>
        <w:t>Fotskhovi</w:t>
      </w:r>
      <w:proofErr w:type="spellEnd"/>
      <w:r w:rsidRPr="008D7711">
        <w:rPr>
          <w:rFonts w:ascii="Arial" w:eastAsia="Times New Roman" w:hAnsi="Arial" w:cs="Arial"/>
          <w:sz w:val="20"/>
          <w:szCs w:val="20"/>
          <w:lang w:val="en-US" w:eastAsia="ru-RU"/>
        </w:rPr>
        <w:t xml:space="preserve"> River (Southern Georgia).</w:t>
      </w:r>
    </w:p>
    <w:p w14:paraId="0ABFD1BD" w14:textId="77777777" w:rsidR="00BB60F6" w:rsidRPr="008D7711" w:rsidRDefault="004C015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Brown</w:t>
      </w:r>
      <w:r w:rsidR="00BB60F6" w:rsidRPr="008D7711">
        <w:rPr>
          <w:rFonts w:ascii="Arial" w:eastAsia="Times New Roman" w:hAnsi="Arial" w:cs="Arial"/>
          <w:sz w:val="20"/>
          <w:szCs w:val="20"/>
          <w:lang w:val="en-US" w:eastAsia="ru-RU"/>
        </w:rPr>
        <w:t xml:space="preserve"> soil samples were collected from the following locations: </w:t>
      </w:r>
      <w:proofErr w:type="spellStart"/>
      <w:r w:rsidR="00BB60F6" w:rsidRPr="008D7711">
        <w:rPr>
          <w:rFonts w:ascii="Arial" w:eastAsia="Times New Roman" w:hAnsi="Arial" w:cs="Arial"/>
          <w:sz w:val="20"/>
          <w:szCs w:val="20"/>
          <w:lang w:val="en-US" w:eastAsia="ru-RU"/>
        </w:rPr>
        <w:t>Bakhmaro</w:t>
      </w:r>
      <w:proofErr w:type="spellEnd"/>
      <w:r w:rsidR="00BB60F6" w:rsidRPr="008D7711">
        <w:rPr>
          <w:rFonts w:ascii="Arial" w:eastAsia="Times New Roman" w:hAnsi="Arial" w:cs="Arial"/>
          <w:sz w:val="20"/>
          <w:szCs w:val="20"/>
          <w:lang w:val="en-US" w:eastAsia="ru-RU"/>
        </w:rPr>
        <w:t xml:space="preserve"> (Western Georgia), </w:t>
      </w:r>
      <w:proofErr w:type="spellStart"/>
      <w:r w:rsidR="00BB60F6" w:rsidRPr="008D7711">
        <w:rPr>
          <w:rFonts w:ascii="Arial" w:eastAsia="Times New Roman" w:hAnsi="Arial" w:cs="Arial"/>
          <w:sz w:val="20"/>
          <w:szCs w:val="20"/>
          <w:lang w:val="en-US" w:eastAsia="ru-RU"/>
        </w:rPr>
        <w:t>Tskhvarichamia</w:t>
      </w:r>
      <w:proofErr w:type="spellEnd"/>
      <w:r w:rsidR="00BB60F6" w:rsidRPr="008D7711">
        <w:rPr>
          <w:rFonts w:ascii="Arial" w:eastAsia="Times New Roman" w:hAnsi="Arial" w:cs="Arial"/>
          <w:sz w:val="20"/>
          <w:szCs w:val="20"/>
          <w:lang w:val="en-US" w:eastAsia="ru-RU"/>
        </w:rPr>
        <w:t xml:space="preserve"> (Eastern Georgia), and </w:t>
      </w:r>
      <w:proofErr w:type="spellStart"/>
      <w:r w:rsidR="00BB60F6" w:rsidRPr="008D7711">
        <w:rPr>
          <w:rFonts w:ascii="Arial" w:eastAsia="Times New Roman" w:hAnsi="Arial" w:cs="Arial"/>
          <w:sz w:val="20"/>
          <w:szCs w:val="20"/>
          <w:lang w:val="en-US" w:eastAsia="ru-RU"/>
        </w:rPr>
        <w:t>Manglisi</w:t>
      </w:r>
      <w:proofErr w:type="spellEnd"/>
      <w:r w:rsidR="00BB60F6" w:rsidRPr="008D7711">
        <w:rPr>
          <w:rFonts w:ascii="Arial" w:eastAsia="Times New Roman" w:hAnsi="Arial" w:cs="Arial"/>
          <w:sz w:val="20"/>
          <w:szCs w:val="20"/>
          <w:lang w:val="en-US" w:eastAsia="ru-RU"/>
        </w:rPr>
        <w:t xml:space="preserve"> (Southern Georgia).</w:t>
      </w:r>
    </w:p>
    <w:p w14:paraId="7BDDF41B"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Isolation of microscopic fungi from the soil samples was performed using the classical soil dilution plate method (Waksman, 1922). The primary </w:t>
      </w:r>
      <w:r w:rsidR="00023539" w:rsidRPr="008D7711">
        <w:rPr>
          <w:rFonts w:ascii="Arial" w:eastAsia="Times New Roman" w:hAnsi="Arial" w:cs="Arial"/>
          <w:sz w:val="20"/>
          <w:szCs w:val="20"/>
          <w:lang w:val="en-US" w:eastAsia="ru-RU"/>
        </w:rPr>
        <w:t>sowings</w:t>
      </w:r>
      <w:r w:rsidRPr="008D7711">
        <w:rPr>
          <w:rFonts w:ascii="Arial" w:eastAsia="Times New Roman" w:hAnsi="Arial" w:cs="Arial"/>
          <w:sz w:val="20"/>
          <w:szCs w:val="20"/>
          <w:lang w:val="en-US" w:eastAsia="ru-RU"/>
        </w:rPr>
        <w:t xml:space="preserve"> were incubated in Petri dishes at 28–30 °C for 10 days, using a universal agar medium </w:t>
      </w:r>
      <w:r w:rsidR="00023539" w:rsidRPr="008D7711">
        <w:rPr>
          <w:rFonts w:ascii="Arial" w:eastAsia="Times New Roman" w:hAnsi="Arial" w:cs="Arial"/>
          <w:sz w:val="20"/>
          <w:szCs w:val="20"/>
          <w:lang w:val="en-US" w:eastAsia="ru-RU"/>
        </w:rPr>
        <w:t>of</w:t>
      </w:r>
      <w:r w:rsidRPr="008D7711">
        <w:rPr>
          <w:rFonts w:ascii="Arial" w:eastAsia="Times New Roman" w:hAnsi="Arial" w:cs="Arial"/>
          <w:sz w:val="20"/>
          <w:szCs w:val="20"/>
          <w:lang w:val="en-US" w:eastAsia="ru-RU"/>
        </w:rPr>
        <w:t xml:space="preserve"> the following composition: wort – 0.5 L; tap water – 0.5 L; agar-agar – 20 g; pH 5.5–6.0. Sterilization was carried out at 0.7 atm for 40 minutes.</w:t>
      </w:r>
    </w:p>
    <w:p w14:paraId="0CEAB5B5"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Pure cultures of microscopic fungi were obtained using standard methods (</w:t>
      </w:r>
      <w:proofErr w:type="spellStart"/>
      <w:r w:rsidRPr="008D7711">
        <w:rPr>
          <w:rFonts w:ascii="Arial" w:eastAsia="Times New Roman" w:hAnsi="Arial" w:cs="Arial"/>
          <w:sz w:val="20"/>
          <w:szCs w:val="20"/>
          <w:lang w:val="en-US" w:eastAsia="ru-RU"/>
        </w:rPr>
        <w:t>Shavadze</w:t>
      </w:r>
      <w:proofErr w:type="spellEnd"/>
      <w:r w:rsidRPr="008D7711">
        <w:rPr>
          <w:rFonts w:ascii="Arial" w:eastAsia="Times New Roman" w:hAnsi="Arial" w:cs="Arial"/>
          <w:sz w:val="20"/>
          <w:szCs w:val="20"/>
          <w:lang w:val="en-US" w:eastAsia="ru-RU"/>
        </w:rPr>
        <w:t xml:space="preserve"> et al., 2024) and stored in test tubes on slanted agar medium at 4 °C in a refrigerator.</w:t>
      </w:r>
    </w:p>
    <w:p w14:paraId="2349AB03" w14:textId="77777777" w:rsidR="00335CEE"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Taxonomic identification (to the genus level) was based on macro- and micromorphological characteristics, including the structure and arrangement of hyphae, conidia, and spores. Relevant diagnostic literature and atlases were used for identification (Chaverri et al., 2003; Samuels, 2003; </w:t>
      </w:r>
      <w:proofErr w:type="spellStart"/>
      <w:r w:rsidRPr="008D7711">
        <w:rPr>
          <w:rFonts w:ascii="Arial" w:eastAsia="Times New Roman" w:hAnsi="Arial" w:cs="Arial"/>
          <w:sz w:val="20"/>
          <w:szCs w:val="20"/>
          <w:lang w:val="en-US" w:eastAsia="ru-RU"/>
        </w:rPr>
        <w:t>Domsch</w:t>
      </w:r>
      <w:proofErr w:type="spellEnd"/>
      <w:r w:rsidRPr="008D7711">
        <w:rPr>
          <w:rFonts w:ascii="Arial" w:eastAsia="Times New Roman" w:hAnsi="Arial" w:cs="Arial"/>
          <w:sz w:val="20"/>
          <w:szCs w:val="20"/>
          <w:lang w:val="en-US" w:eastAsia="ru-RU"/>
        </w:rPr>
        <w:t xml:space="preserve"> et al., 2007; Pitt &amp; Hocking, 2009; Dugan, 2006; Malloch, 1981).</w:t>
      </w:r>
    </w:p>
    <w:p w14:paraId="5C3245CA" w14:textId="77777777" w:rsidR="00195753" w:rsidRPr="00E855EC" w:rsidRDefault="00E855EC"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r>
        <w:rPr>
          <w:rFonts w:ascii="Arial" w:eastAsia="Times New Roman" w:hAnsi="Arial" w:cs="Arial"/>
          <w:b/>
          <w:bCs/>
          <w:sz w:val="20"/>
          <w:szCs w:val="20"/>
          <w:lang w:val="en-US" w:eastAsia="ru-RU"/>
        </w:rPr>
        <w:t xml:space="preserve"> </w:t>
      </w:r>
      <w:r w:rsidRPr="00E855EC">
        <w:rPr>
          <w:rFonts w:ascii="Arial" w:eastAsia="Times New Roman" w:hAnsi="Arial" w:cs="Arial"/>
          <w:b/>
          <w:bCs/>
          <w:sz w:val="20"/>
          <w:szCs w:val="20"/>
          <w:lang w:val="en-US" w:eastAsia="ru-RU"/>
        </w:rPr>
        <w:t>RESULTS AND DISCUSSION</w:t>
      </w:r>
    </w:p>
    <w:p w14:paraId="0FAC3CF7" w14:textId="77777777" w:rsidR="00BB60F6" w:rsidRPr="006D4A49" w:rsidRDefault="00FF080C" w:rsidP="00E677C3">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w:t>
      </w:r>
      <w:r w:rsidR="00BB60F6" w:rsidRPr="006D4A49">
        <w:rPr>
          <w:rFonts w:ascii="Arial" w:eastAsia="Times New Roman" w:hAnsi="Arial" w:cs="Arial"/>
          <w:sz w:val="20"/>
          <w:szCs w:val="20"/>
          <w:lang w:val="en-US" w:eastAsia="ru-RU"/>
        </w:rPr>
        <w:t>hree pedological regions can be distinguished in Georgia</w:t>
      </w:r>
      <w:r w:rsidRPr="006D4A49">
        <w:rPr>
          <w:rFonts w:ascii="Arial" w:eastAsia="Times New Roman" w:hAnsi="Arial" w:cs="Arial"/>
          <w:sz w:val="20"/>
          <w:szCs w:val="20"/>
          <w:lang w:val="en-US" w:eastAsia="ru-RU"/>
        </w:rPr>
        <w:t>, considering various geographical factors</w:t>
      </w:r>
      <w:r w:rsidR="00BB60F6" w:rsidRPr="006D4A49">
        <w:rPr>
          <w:rFonts w:ascii="Arial" w:eastAsia="Times New Roman" w:hAnsi="Arial" w:cs="Arial"/>
          <w:sz w:val="20"/>
          <w:szCs w:val="20"/>
          <w:lang w:val="en-US" w:eastAsia="ru-RU"/>
        </w:rPr>
        <w:t xml:space="preserve">: Western, Eastern, and Southern Georgia. Only two soil types are common to all three: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The purpose of this research was to conduct a comparative analysis of the </w:t>
      </w:r>
      <w:r w:rsidR="00023539" w:rsidRPr="006D4A49">
        <w:rPr>
          <w:rFonts w:ascii="Arial" w:eastAsia="Times New Roman" w:hAnsi="Arial" w:cs="Arial"/>
          <w:sz w:val="20"/>
          <w:szCs w:val="20"/>
          <w:lang w:val="en-US" w:eastAsia="ru-RU"/>
        </w:rPr>
        <w:t xml:space="preserve">composition of </w:t>
      </w:r>
      <w:r w:rsidR="00BB60F6" w:rsidRPr="006D4A49">
        <w:rPr>
          <w:rFonts w:ascii="Arial" w:eastAsia="Times New Roman" w:hAnsi="Arial" w:cs="Arial"/>
          <w:sz w:val="20"/>
          <w:szCs w:val="20"/>
          <w:lang w:val="en-US" w:eastAsia="ru-RU"/>
        </w:rPr>
        <w:t xml:space="preserve">mycoflora of the same soil types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across different geographical regions of Georgia, and to determine </w:t>
      </w:r>
      <w:r w:rsidR="00023539" w:rsidRPr="006D4A49">
        <w:rPr>
          <w:rFonts w:ascii="Arial" w:eastAsia="Times New Roman" w:hAnsi="Arial" w:cs="Arial"/>
          <w:sz w:val="20"/>
          <w:szCs w:val="20"/>
          <w:lang w:val="en-US" w:eastAsia="ru-RU"/>
        </w:rPr>
        <w:t>the patterns of distribution of a particular genus of</w:t>
      </w:r>
      <w:r w:rsidR="00BB60F6" w:rsidRPr="006D4A49">
        <w:rPr>
          <w:rFonts w:ascii="Arial" w:eastAsia="Times New Roman" w:hAnsi="Arial" w:cs="Arial"/>
          <w:sz w:val="20"/>
          <w:szCs w:val="20"/>
          <w:lang w:val="en-US" w:eastAsia="ru-RU"/>
        </w:rPr>
        <w:t xml:space="preserve"> microscopic fungi.</w:t>
      </w:r>
    </w:p>
    <w:p w14:paraId="5DAB7664" w14:textId="77777777" w:rsidR="00BB60F6"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 xml:space="preserve">It is known that alluvial soils are </w:t>
      </w:r>
      <w:r w:rsidR="00F7515C" w:rsidRPr="006D4A49">
        <w:rPr>
          <w:rFonts w:ascii="Arial" w:eastAsia="Times New Roman" w:hAnsi="Arial" w:cs="Arial"/>
          <w:sz w:val="20"/>
          <w:szCs w:val="20"/>
          <w:lang w:val="en-US" w:eastAsia="ru-RU"/>
        </w:rPr>
        <w:t>the result</w:t>
      </w:r>
      <w:r w:rsidRPr="006D4A49">
        <w:rPr>
          <w:rFonts w:ascii="Arial" w:eastAsia="Times New Roman" w:hAnsi="Arial" w:cs="Arial"/>
          <w:sz w:val="20"/>
          <w:szCs w:val="20"/>
          <w:lang w:val="en-US" w:eastAsia="ru-RU"/>
        </w:rPr>
        <w:t xml:space="preserve"> of </w:t>
      </w:r>
      <w:r w:rsidR="00F7515C" w:rsidRPr="006D4A49">
        <w:rPr>
          <w:rFonts w:ascii="Arial" w:eastAsia="Times New Roman" w:hAnsi="Arial" w:cs="Arial"/>
          <w:sz w:val="20"/>
          <w:szCs w:val="20"/>
          <w:lang w:val="en-US" w:eastAsia="ru-RU"/>
        </w:rPr>
        <w:t xml:space="preserve">accumulating processes in a </w:t>
      </w:r>
      <w:r w:rsidRPr="006D4A49">
        <w:rPr>
          <w:rFonts w:ascii="Arial" w:eastAsia="Times New Roman" w:hAnsi="Arial" w:cs="Arial"/>
          <w:sz w:val="20"/>
          <w:szCs w:val="20"/>
          <w:lang w:val="en-US" w:eastAsia="ru-RU"/>
        </w:rPr>
        <w:t>river. These soils occur in all landscape zones, with varying thicknesses and particle-size compositions (</w:t>
      </w:r>
      <w:hyperlink r:id="rId8" w:tgtFrame="_new" w:history="1">
        <w:r w:rsidRPr="006D4A49">
          <w:rPr>
            <w:rFonts w:ascii="Arial" w:eastAsia="Times New Roman" w:hAnsi="Arial" w:cs="Arial"/>
            <w:color w:val="0000FF"/>
            <w:sz w:val="20"/>
            <w:szCs w:val="20"/>
            <w:u w:val="single"/>
            <w:lang w:val="en-US" w:eastAsia="ru-RU"/>
          </w:rPr>
          <w:t>https://soilsmatter.wordpress.com/2020/02/15/what-are-alluvial-soils/</w:t>
        </w:r>
      </w:hyperlink>
      <w:r w:rsidRPr="006D4A49">
        <w:rPr>
          <w:rFonts w:ascii="Arial" w:eastAsia="Times New Roman" w:hAnsi="Arial" w:cs="Arial"/>
          <w:sz w:val="20"/>
          <w:szCs w:val="20"/>
          <w:lang w:val="en-US" w:eastAsia="ru-RU"/>
        </w:rPr>
        <w:t>).</w:t>
      </w:r>
    </w:p>
    <w:p w14:paraId="15E9D00B" w14:textId="77777777" w:rsidR="004D27EE"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The mycoflora of alluvial soils from the three pedological regions of Georgia proved to be different (Fig. 1). The highest fungal diversity (14 genera) was recorded in West</w:t>
      </w:r>
      <w:r w:rsidR="00FF080C" w:rsidRPr="006D4A49">
        <w:rPr>
          <w:rFonts w:ascii="Arial" w:eastAsia="Times New Roman" w:hAnsi="Arial" w:cs="Arial"/>
          <w:sz w:val="20"/>
          <w:szCs w:val="20"/>
          <w:lang w:val="en-US" w:eastAsia="ru-RU"/>
        </w:rPr>
        <w:t>ern Georgia; Southern Georgia</w:t>
      </w:r>
      <w:r w:rsidRPr="006D4A49">
        <w:rPr>
          <w:rFonts w:ascii="Arial" w:eastAsia="Times New Roman" w:hAnsi="Arial" w:cs="Arial"/>
          <w:sz w:val="20"/>
          <w:szCs w:val="20"/>
          <w:lang w:val="en-US" w:eastAsia="ru-RU"/>
        </w:rPr>
        <w:t xml:space="preserve"> alluvial </w:t>
      </w:r>
      <w:r w:rsidRPr="006D4A49">
        <w:rPr>
          <w:rFonts w:ascii="Arial" w:eastAsia="Times New Roman" w:hAnsi="Arial" w:cs="Arial"/>
          <w:sz w:val="20"/>
          <w:szCs w:val="20"/>
          <w:lang w:val="en-US" w:eastAsia="ru-RU"/>
        </w:rPr>
        <w:lastRenderedPageBreak/>
        <w:t xml:space="preserve">soils yielded </w:t>
      </w:r>
      <w:r w:rsidR="00FF080C" w:rsidRPr="006D4A49">
        <w:rPr>
          <w:rFonts w:ascii="Arial" w:eastAsia="Times New Roman" w:hAnsi="Arial" w:cs="Arial"/>
          <w:sz w:val="20"/>
          <w:szCs w:val="20"/>
          <w:lang w:val="en-US" w:eastAsia="ru-RU"/>
        </w:rPr>
        <w:t>12 genera, and Eastern Georgia</w:t>
      </w:r>
      <w:r w:rsidRPr="006D4A49">
        <w:rPr>
          <w:rFonts w:ascii="Arial" w:eastAsia="Times New Roman" w:hAnsi="Arial" w:cs="Arial"/>
          <w:sz w:val="20"/>
          <w:szCs w:val="20"/>
          <w:lang w:val="en-US" w:eastAsia="ru-RU"/>
        </w:rPr>
        <w:t xml:space="preserve"> soils</w:t>
      </w:r>
      <w:r w:rsidR="00023539" w:rsidRPr="006D4A49">
        <w:rPr>
          <w:rFonts w:ascii="Arial" w:eastAsia="Times New Roman" w:hAnsi="Arial" w:cs="Arial"/>
          <w:sz w:val="20"/>
          <w:szCs w:val="20"/>
          <w:lang w:val="en-US" w:eastAsia="ru-RU"/>
        </w:rPr>
        <w:t xml:space="preserve"> - </w:t>
      </w:r>
      <w:r w:rsidRPr="006D4A49">
        <w:rPr>
          <w:rFonts w:ascii="Arial" w:eastAsia="Times New Roman" w:hAnsi="Arial" w:cs="Arial"/>
          <w:sz w:val="20"/>
          <w:szCs w:val="20"/>
          <w:lang w:val="en-US" w:eastAsia="ru-RU"/>
        </w:rPr>
        <w:t>only 7. This quantitative difference correlates well with the ecological characteristics of each region.</w:t>
      </w:r>
    </w:p>
    <w:p w14:paraId="45DEF72F" w14:textId="77777777" w:rsidR="00CF0FC8" w:rsidRPr="003E2669" w:rsidRDefault="00CF0FC8" w:rsidP="004D27EE">
      <w:pPr>
        <w:pStyle w:val="NormalWeb"/>
        <w:spacing w:before="0" w:beforeAutospacing="0" w:after="0" w:afterAutospacing="0" w:line="360" w:lineRule="auto"/>
        <w:jc w:val="both"/>
        <w:rPr>
          <w:rFonts w:ascii="Arial" w:hAnsi="Arial" w:cs="Arial"/>
          <w:lang w:val="en-US"/>
        </w:rPr>
      </w:pPr>
    </w:p>
    <w:p w14:paraId="15BDA0F7" w14:textId="77777777" w:rsidR="00CF0FC8" w:rsidRPr="003E2669" w:rsidRDefault="00CF0FC8" w:rsidP="00CF0FC8">
      <w:pPr>
        <w:pStyle w:val="NormalWeb"/>
        <w:spacing w:before="0" w:beforeAutospacing="0" w:after="0" w:afterAutospacing="0" w:line="360" w:lineRule="auto"/>
        <w:jc w:val="center"/>
        <w:rPr>
          <w:rFonts w:ascii="Arial" w:hAnsi="Arial" w:cs="Arial"/>
          <w:lang w:val="en-US"/>
        </w:rPr>
      </w:pPr>
      <w:r w:rsidRPr="003E2669">
        <w:rPr>
          <w:rFonts w:ascii="Arial" w:hAnsi="Arial" w:cs="Arial"/>
          <w:noProof/>
        </w:rPr>
        <w:drawing>
          <wp:inline distT="0" distB="0" distL="0" distR="0" wp14:anchorId="4203F120" wp14:editId="2C46395C">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4E3DF" w14:textId="77777777" w:rsidR="00CF0FC8" w:rsidRPr="006D4A49" w:rsidRDefault="00CF0FC8" w:rsidP="00CF0FC8">
      <w:pPr>
        <w:pStyle w:val="NormalWeb"/>
        <w:spacing w:before="0" w:beforeAutospacing="0" w:after="0" w:afterAutospacing="0" w:line="360" w:lineRule="auto"/>
        <w:jc w:val="both"/>
        <w:rPr>
          <w:rFonts w:ascii="Arial" w:hAnsi="Arial" w:cs="Arial"/>
          <w:b/>
          <w:bCs/>
          <w:sz w:val="20"/>
          <w:szCs w:val="20"/>
          <w:lang w:val="en-US"/>
        </w:rPr>
      </w:pPr>
      <w:r w:rsidRPr="006D4A49">
        <w:rPr>
          <w:rFonts w:ascii="Arial" w:eastAsia="Calibri" w:hAnsi="Arial" w:cs="Arial"/>
          <w:b/>
          <w:bCs/>
          <w:sz w:val="20"/>
          <w:szCs w:val="20"/>
          <w:lang w:val="en-US"/>
        </w:rPr>
        <w:t xml:space="preserve">Fig. 1. </w:t>
      </w:r>
      <w:r w:rsidRPr="006D4A49">
        <w:rPr>
          <w:rFonts w:ascii="Arial" w:hAnsi="Arial" w:cs="Arial"/>
          <w:b/>
          <w:bCs/>
          <w:sz w:val="20"/>
          <w:szCs w:val="20"/>
          <w:lang w:val="en-US"/>
        </w:rPr>
        <w:t>Frequency of occurrence (%) of genera of microscopic fungi in alluvial soils across different pedological regions of Georgia</w:t>
      </w:r>
    </w:p>
    <w:p w14:paraId="5036A812" w14:textId="77777777" w:rsidR="00E15FA5" w:rsidRPr="006D4A49" w:rsidRDefault="00E15FA5" w:rsidP="00E677C3">
      <w:pPr>
        <w:spacing w:after="0" w:line="360" w:lineRule="auto"/>
        <w:jc w:val="both"/>
        <w:rPr>
          <w:rFonts w:ascii="Arial" w:eastAsia="Times New Roman" w:hAnsi="Arial" w:cs="Arial"/>
          <w:sz w:val="20"/>
          <w:szCs w:val="20"/>
          <w:lang w:val="en-US" w:eastAsia="ru-RU"/>
        </w:rPr>
      </w:pPr>
    </w:p>
    <w:p w14:paraId="5BDA8E02" w14:textId="77777777"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comparative analysis of alluvial soil mycoflora demonstrates that ecological conditions have a significant impact on the </w:t>
      </w:r>
      <w:r w:rsidR="00FF080C" w:rsidRPr="006D4A49">
        <w:rPr>
          <w:rFonts w:ascii="Arial" w:hAnsi="Arial" w:cs="Arial"/>
          <w:sz w:val="20"/>
          <w:szCs w:val="20"/>
          <w:lang w:val="en-US"/>
        </w:rPr>
        <w:t xml:space="preserve">formation of </w:t>
      </w:r>
      <w:r w:rsidRPr="006D4A49">
        <w:rPr>
          <w:rFonts w:ascii="Arial" w:hAnsi="Arial" w:cs="Arial"/>
          <w:sz w:val="20"/>
          <w:szCs w:val="20"/>
          <w:lang w:val="en-US"/>
        </w:rPr>
        <w:t xml:space="preserve">taxonomic diversity and </w:t>
      </w:r>
      <w:r w:rsidR="00FF080C" w:rsidRPr="006D4A49">
        <w:rPr>
          <w:rFonts w:ascii="Arial" w:hAnsi="Arial" w:cs="Arial"/>
          <w:sz w:val="20"/>
          <w:szCs w:val="20"/>
          <w:lang w:val="en-US"/>
        </w:rPr>
        <w:t xml:space="preserve">dominant genera </w:t>
      </w:r>
      <w:r w:rsidR="00EF17BA" w:rsidRPr="006D4A49">
        <w:rPr>
          <w:rFonts w:ascii="Arial" w:hAnsi="Arial" w:cs="Arial"/>
          <w:sz w:val="20"/>
          <w:szCs w:val="20"/>
          <w:lang w:val="en-US"/>
        </w:rPr>
        <w:t xml:space="preserve">composition </w:t>
      </w:r>
      <w:r w:rsidR="00FF080C" w:rsidRPr="006D4A49">
        <w:rPr>
          <w:rFonts w:ascii="Arial" w:hAnsi="Arial" w:cs="Arial"/>
          <w:sz w:val="20"/>
          <w:szCs w:val="20"/>
          <w:lang w:val="en-US"/>
        </w:rPr>
        <w:t xml:space="preserve">of microscopic fungi </w:t>
      </w:r>
      <w:r w:rsidRPr="006D4A49">
        <w:rPr>
          <w:rFonts w:ascii="Arial" w:hAnsi="Arial" w:cs="Arial"/>
          <w:sz w:val="20"/>
          <w:szCs w:val="20"/>
          <w:lang w:val="en-US"/>
        </w:rPr>
        <w:t xml:space="preserve">(Fig. 1). </w:t>
      </w:r>
      <w:r w:rsidR="00EF17BA" w:rsidRPr="006D4A49">
        <w:rPr>
          <w:rFonts w:ascii="Arial" w:hAnsi="Arial" w:cs="Arial"/>
          <w:sz w:val="20"/>
          <w:szCs w:val="20"/>
          <w:lang w:val="en-US"/>
        </w:rPr>
        <w:t xml:space="preserve">Common to all </w:t>
      </w:r>
      <w:proofErr w:type="gramStart"/>
      <w:r w:rsidR="00EF17BA" w:rsidRPr="006D4A49">
        <w:rPr>
          <w:rFonts w:ascii="Arial" w:hAnsi="Arial" w:cs="Arial"/>
          <w:sz w:val="20"/>
          <w:szCs w:val="20"/>
          <w:lang w:val="en-US"/>
        </w:rPr>
        <w:t>regions</w:t>
      </w:r>
      <w:proofErr w:type="gramEnd"/>
      <w:r w:rsidR="00EF17BA" w:rsidRPr="006D4A49">
        <w:rPr>
          <w:rFonts w:ascii="Arial" w:hAnsi="Arial" w:cs="Arial"/>
          <w:sz w:val="20"/>
          <w:szCs w:val="20"/>
          <w:lang w:val="en-US"/>
        </w:rPr>
        <w:t xml:space="preserve"> </w:t>
      </w:r>
      <w:r w:rsidRPr="006D4A49">
        <w:rPr>
          <w:rFonts w:ascii="Arial" w:hAnsi="Arial" w:cs="Arial"/>
          <w:sz w:val="20"/>
          <w:szCs w:val="20"/>
          <w:lang w:val="en-US"/>
        </w:rPr>
        <w:t xml:space="preserve">dominant </w:t>
      </w:r>
      <w:r w:rsidR="00EF17BA" w:rsidRPr="006D4A49">
        <w:rPr>
          <w:rFonts w:ascii="Arial" w:hAnsi="Arial" w:cs="Arial"/>
          <w:sz w:val="20"/>
          <w:szCs w:val="20"/>
          <w:lang w:val="en-US"/>
        </w:rPr>
        <w:t xml:space="preserve">were </w:t>
      </w:r>
      <w:r w:rsidRPr="006D4A49">
        <w:rPr>
          <w:rFonts w:ascii="Arial" w:hAnsi="Arial" w:cs="Arial"/>
          <w:sz w:val="20"/>
          <w:szCs w:val="20"/>
          <w:lang w:val="en-US"/>
        </w:rPr>
        <w:t xml:space="preserve">genera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while the distribution of other taxa is closely linked to geo</w:t>
      </w:r>
      <w:r w:rsidR="00FF080C" w:rsidRPr="006D4A49">
        <w:rPr>
          <w:rFonts w:ascii="Arial" w:hAnsi="Arial" w:cs="Arial"/>
          <w:sz w:val="20"/>
          <w:szCs w:val="20"/>
          <w:lang w:val="en-US"/>
        </w:rPr>
        <w:t>-</w:t>
      </w:r>
      <w:r w:rsidRPr="006D4A49">
        <w:rPr>
          <w:rFonts w:ascii="Arial" w:hAnsi="Arial" w:cs="Arial"/>
          <w:sz w:val="20"/>
          <w:szCs w:val="20"/>
          <w:lang w:val="en-US"/>
        </w:rPr>
        <w:t>ecological characteristics.</w:t>
      </w:r>
    </w:p>
    <w:p w14:paraId="6A86C9E7" w14:textId="77777777"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humid climate of Western Georgia, combined with a relatively stable temperature regime and humus-rich soils, favors the proliferation of both ascomycetes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including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and representatives of the phyla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Absidia</w:t>
      </w:r>
      <w:proofErr w:type="spellEnd"/>
      <w:r w:rsidRPr="006D4A49">
        <w:rPr>
          <w:rFonts w:ascii="Arial" w:hAnsi="Arial" w:cs="Arial"/>
          <w:sz w:val="20"/>
          <w:szCs w:val="20"/>
          <w:lang w:val="en-US"/>
        </w:rPr>
        <w:t xml:space="preserve">) and </w:t>
      </w:r>
      <w:proofErr w:type="spellStart"/>
      <w:r w:rsidRPr="006D4A49">
        <w:rPr>
          <w:rStyle w:val="Emphasis"/>
          <w:rFonts w:ascii="Arial" w:hAnsi="Arial" w:cs="Arial"/>
          <w:sz w:val="20"/>
          <w:szCs w:val="20"/>
          <w:lang w:val="en-US"/>
        </w:rPr>
        <w:t>Mortierellomycota</w:t>
      </w:r>
      <w:proofErr w:type="spellEnd"/>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Additionally, </w:t>
      </w:r>
      <w:proofErr w:type="spellStart"/>
      <w:r w:rsidRPr="006D4A49">
        <w:rPr>
          <w:rFonts w:ascii="Arial" w:hAnsi="Arial" w:cs="Arial"/>
          <w:sz w:val="20"/>
          <w:szCs w:val="20"/>
          <w:lang w:val="en-US"/>
        </w:rPr>
        <w:t>hyphomycetous</w:t>
      </w:r>
      <w:proofErr w:type="spellEnd"/>
      <w:r w:rsidRPr="006D4A49">
        <w:rPr>
          <w:rFonts w:ascii="Arial" w:hAnsi="Arial" w:cs="Arial"/>
          <w:sz w:val="20"/>
          <w:szCs w:val="20"/>
          <w:lang w:val="en-US"/>
        </w:rPr>
        <w:t xml:space="preserve"> morphotypes belonging to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Botrytis</w:t>
      </w:r>
      <w:r w:rsidRPr="006D4A49">
        <w:rPr>
          <w:rFonts w:ascii="Arial" w:hAnsi="Arial" w:cs="Arial"/>
          <w:sz w:val="20"/>
          <w:szCs w:val="20"/>
          <w:lang w:val="en-US"/>
        </w:rPr>
        <w:t xml:space="preserve">, </w:t>
      </w:r>
      <w:r w:rsidRPr="006D4A49">
        <w:rPr>
          <w:rStyle w:val="Emphasis"/>
          <w:rFonts w:ascii="Arial" w:hAnsi="Arial" w:cs="Arial"/>
          <w:sz w:val="20"/>
          <w:szCs w:val="20"/>
          <w:lang w:val="en-US"/>
        </w:rPr>
        <w:t>Trichothecium</w:t>
      </w:r>
      <w:r w:rsidRPr="006D4A49">
        <w:rPr>
          <w:rFonts w:ascii="Arial" w:hAnsi="Arial" w:cs="Arial"/>
          <w:sz w:val="20"/>
          <w:szCs w:val="20"/>
          <w:lang w:val="en-US"/>
        </w:rPr>
        <w:t xml:space="preserve">, </w:t>
      </w:r>
      <w:r w:rsidRPr="006D4A49">
        <w:rPr>
          <w:rStyle w:val="Emphasis"/>
          <w:rFonts w:ascii="Arial" w:hAnsi="Arial" w:cs="Arial"/>
          <w:sz w:val="20"/>
          <w:szCs w:val="20"/>
          <w:lang w:val="en-US"/>
        </w:rPr>
        <w:t>Stachybotrys</w:t>
      </w:r>
      <w:r w:rsidRPr="006D4A49">
        <w:rPr>
          <w:rFonts w:ascii="Arial" w:hAnsi="Arial" w:cs="Arial"/>
          <w:sz w:val="20"/>
          <w:szCs w:val="20"/>
          <w:lang w:val="en-US"/>
        </w:rPr>
        <w:t>) are noteworthy.</w:t>
      </w:r>
    </w:p>
    <w:p w14:paraId="4FFC8154" w14:textId="77777777"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xerophilic conditions of Eastern Georgia—dry climate, high temperature amplitude, and relatively low soil moisture—limit the diversity of microscopic fungi. The mycoflora here is represented by a smaller number of genera, although dominant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genera such as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and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remain prevalent. Their widespread occurrence is likely explained by intensive sporogenesis and efficient airborne dispersal mechanisms. The presence of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suggests an influence of abundant plant residues. Notably,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is particularly common in drought-affected soils and is often associated with stressed, anthropogenically influenced zones (Summerell et al., 2010).</w:t>
      </w:r>
    </w:p>
    <w:p w14:paraId="24FA4843" w14:textId="77777777"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relatively high diversity of alluvial soil mycoflora in Southern Georgia may be explained by its mixed-type climate and microrelief variation. Alluvial soils in this zone retain the organic richness characteristic of Western Georgia as well as the water-deficient regime typical of Eastern Georgia, creating a natural ecotonal zone. Both hygrophilous and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fungal genera coexist here, further underscoring the influence of microclimate and substrate type on </w:t>
      </w:r>
      <w:r w:rsidR="00E677C3" w:rsidRPr="006D4A49">
        <w:rPr>
          <w:rFonts w:ascii="Arial" w:hAnsi="Arial" w:cs="Arial"/>
          <w:sz w:val="20"/>
          <w:szCs w:val="20"/>
          <w:lang w:val="en-US"/>
        </w:rPr>
        <w:t xml:space="preserve">the </w:t>
      </w:r>
      <w:r w:rsidRPr="006D4A49">
        <w:rPr>
          <w:rFonts w:ascii="Arial" w:hAnsi="Arial" w:cs="Arial"/>
          <w:sz w:val="20"/>
          <w:szCs w:val="20"/>
          <w:lang w:val="en-US"/>
        </w:rPr>
        <w:t>mycoflora structure.</w:t>
      </w:r>
    </w:p>
    <w:p w14:paraId="30B2F687" w14:textId="77777777" w:rsidR="00E677C3"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Modern classification of soil mycoflora is based on phylogenetic data. Consequently, most genera of microscopic fungi isolated from alluvial soils belong to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which dominates in soils due to its </w:t>
      </w:r>
      <w:r w:rsidRPr="006D4A49">
        <w:rPr>
          <w:rFonts w:ascii="Arial" w:hAnsi="Arial" w:cs="Arial"/>
          <w:sz w:val="20"/>
          <w:szCs w:val="20"/>
          <w:lang w:val="en-US"/>
        </w:rPr>
        <w:lastRenderedPageBreak/>
        <w:t xml:space="preserve">metabolic diversity and ecological plasticity (Hawksworth &amp; Lücking, 2017). In the past, the term </w:t>
      </w:r>
      <w:proofErr w:type="spellStart"/>
      <w:r w:rsidRPr="006D4A49">
        <w:rPr>
          <w:rStyle w:val="Emphasis"/>
          <w:rFonts w:ascii="Arial" w:hAnsi="Arial" w:cs="Arial"/>
          <w:sz w:val="20"/>
          <w:szCs w:val="20"/>
          <w:lang w:val="en-US"/>
        </w:rPr>
        <w:t>Deuteromycota</w:t>
      </w:r>
      <w:proofErr w:type="spellEnd"/>
      <w:r w:rsidRPr="006D4A49">
        <w:rPr>
          <w:rFonts w:ascii="Arial" w:hAnsi="Arial" w:cs="Arial"/>
          <w:sz w:val="20"/>
          <w:szCs w:val="20"/>
          <w:lang w:val="en-US"/>
        </w:rPr>
        <w:t xml:space="preserve"> was often used, but in current classification this group has been abolished, and its formerly assigned genera—such as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Acremonium</w:t>
      </w:r>
      <w:r w:rsidRPr="006D4A49">
        <w:rPr>
          <w:rFonts w:ascii="Arial" w:hAnsi="Arial" w:cs="Arial"/>
          <w:sz w:val="20"/>
          <w:szCs w:val="20"/>
          <w:lang w:val="en-US"/>
        </w:rPr>
        <w:t xml:space="preserve">—are now included in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(Kirk et al., 2011). As for representatives of the former </w:t>
      </w:r>
      <w:r w:rsidRPr="006D4A49">
        <w:rPr>
          <w:rStyle w:val="Emphasis"/>
          <w:rFonts w:ascii="Arial" w:hAnsi="Arial" w:cs="Arial"/>
          <w:sz w:val="20"/>
          <w:szCs w:val="20"/>
          <w:lang w:val="en-US"/>
        </w:rPr>
        <w:t>Zygomycota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Absidia</w:t>
      </w:r>
      <w:proofErr w:type="spellEnd"/>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they are now assigned to the redefined phylum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which occurs in small quantities but is widespread, especially in moist and humus-rich soils (Spatafora et al., 2016). This updated classification provides a more accurate understanding of ecological niches and the functional structure of mycoflora.</w:t>
      </w:r>
    </w:p>
    <w:p w14:paraId="5CA857C2" w14:textId="77777777" w:rsidR="00BB60F6" w:rsidRPr="006D4A49" w:rsidRDefault="004C015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Brown</w:t>
      </w:r>
      <w:r w:rsidR="00BB60F6" w:rsidRPr="006D4A49">
        <w:rPr>
          <w:rFonts w:ascii="Arial" w:hAnsi="Arial" w:cs="Arial"/>
          <w:sz w:val="20"/>
          <w:szCs w:val="20"/>
          <w:lang w:val="en-US"/>
        </w:rPr>
        <w:t xml:space="preserve"> soils cover 18% of </w:t>
      </w:r>
      <w:r w:rsidR="00E677C3" w:rsidRPr="006D4A49">
        <w:rPr>
          <w:rFonts w:ascii="Arial" w:hAnsi="Arial" w:cs="Arial"/>
          <w:sz w:val="20"/>
          <w:szCs w:val="20"/>
          <w:lang w:val="en-US"/>
        </w:rPr>
        <w:t>the territory of Georgia.</w:t>
      </w:r>
      <w:r w:rsidR="00BB60F6" w:rsidRPr="006D4A49">
        <w:rPr>
          <w:rFonts w:ascii="Arial" w:hAnsi="Arial" w:cs="Arial"/>
          <w:sz w:val="20"/>
          <w:szCs w:val="20"/>
          <w:lang w:val="en-US"/>
        </w:rPr>
        <w:t xml:space="preserve"> They develop under various forest covers, are characterized by an undifferentiated profile, and exhibit a more or less distinct dark-grey coloration.</w:t>
      </w:r>
    </w:p>
    <w:p w14:paraId="413B8897" w14:textId="77777777"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Among the studied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the highest </w:t>
      </w:r>
      <w:r w:rsidR="00E677C3" w:rsidRPr="006D4A49">
        <w:rPr>
          <w:rFonts w:ascii="Arial" w:hAnsi="Arial" w:cs="Arial"/>
          <w:sz w:val="20"/>
          <w:szCs w:val="20"/>
          <w:lang w:val="en-US"/>
        </w:rPr>
        <w:t xml:space="preserve">diversity of </w:t>
      </w:r>
      <w:r w:rsidRPr="006D4A49">
        <w:rPr>
          <w:rFonts w:ascii="Arial" w:hAnsi="Arial" w:cs="Arial"/>
          <w:sz w:val="20"/>
          <w:szCs w:val="20"/>
          <w:lang w:val="en-US"/>
        </w:rPr>
        <w:t>mycoflora was recorded in Southern Georgia (</w:t>
      </w:r>
      <w:proofErr w:type="spellStart"/>
      <w:r w:rsidRPr="006D4A49">
        <w:rPr>
          <w:rFonts w:ascii="Arial" w:hAnsi="Arial" w:cs="Arial"/>
          <w:sz w:val="20"/>
          <w:szCs w:val="20"/>
          <w:lang w:val="en-US"/>
        </w:rPr>
        <w:t>Manglisi</w:t>
      </w:r>
      <w:proofErr w:type="spellEnd"/>
      <w:r w:rsidRPr="006D4A49">
        <w:rPr>
          <w:rFonts w:ascii="Arial" w:hAnsi="Arial" w:cs="Arial"/>
          <w:sz w:val="20"/>
          <w:szCs w:val="20"/>
          <w:lang w:val="en-US"/>
        </w:rPr>
        <w:t>), where nine different genera of microscopic fungi were found (</w:t>
      </w:r>
      <w:r w:rsidR="00CF0FC8" w:rsidRPr="006D4A49">
        <w:rPr>
          <w:rFonts w:ascii="Arial" w:hAnsi="Arial" w:cs="Arial"/>
          <w:sz w:val="20"/>
          <w:szCs w:val="20"/>
          <w:lang w:val="en-US"/>
        </w:rPr>
        <w:t>Fig. 2)</w:t>
      </w:r>
      <w:r w:rsidRPr="006D4A49">
        <w:rPr>
          <w:rFonts w:ascii="Arial" w:hAnsi="Arial" w:cs="Arial"/>
          <w:sz w:val="20"/>
          <w:szCs w:val="20"/>
          <w:lang w:val="en-US"/>
        </w:rPr>
        <w:t>. Similarities were observed between the mycoflora composition o</w:t>
      </w:r>
      <w:r w:rsidR="00E677C3" w:rsidRPr="006D4A49">
        <w:rPr>
          <w:rFonts w:ascii="Arial" w:hAnsi="Arial" w:cs="Arial"/>
          <w:sz w:val="20"/>
          <w:szCs w:val="20"/>
          <w:lang w:val="en-US"/>
        </w:rPr>
        <w:t>f Eastern and Southern Georgian</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in both regions, the genera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Rhizopus</w:t>
      </w:r>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present. Across all three regions,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common;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was absent only in Eastern Georgia. The genera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were specific to So</w:t>
      </w:r>
      <w:r w:rsidR="00E677C3" w:rsidRPr="006D4A49">
        <w:rPr>
          <w:rFonts w:ascii="Arial" w:hAnsi="Arial" w:cs="Arial"/>
          <w:sz w:val="20"/>
          <w:szCs w:val="20"/>
          <w:lang w:val="en-US"/>
        </w:rPr>
        <w:t>uthern Georgia</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w:t>
      </w:r>
      <w:proofErr w:type="spellStart"/>
      <w:r w:rsidRPr="006D4A49">
        <w:rPr>
          <w:rStyle w:val="Emphasis"/>
          <w:rFonts w:ascii="Arial" w:hAnsi="Arial" w:cs="Arial"/>
          <w:sz w:val="20"/>
          <w:szCs w:val="20"/>
          <w:lang w:val="en-US"/>
        </w:rPr>
        <w:t>Actinomucor</w:t>
      </w:r>
      <w:proofErr w:type="spellEnd"/>
      <w:r w:rsidRPr="006D4A49">
        <w:rPr>
          <w:rFonts w:ascii="Arial" w:hAnsi="Arial" w:cs="Arial"/>
          <w:sz w:val="20"/>
          <w:szCs w:val="20"/>
          <w:lang w:val="en-US"/>
        </w:rPr>
        <w:t xml:space="preserve"> was unique to Eastern Georgia, and </w:t>
      </w:r>
      <w:r w:rsidRPr="006D4A49">
        <w:rPr>
          <w:rStyle w:val="Emphasis"/>
          <w:rFonts w:ascii="Arial" w:hAnsi="Arial" w:cs="Arial"/>
          <w:sz w:val="20"/>
          <w:szCs w:val="20"/>
          <w:lang w:val="en-US"/>
        </w:rPr>
        <w:t>Acremonium</w:t>
      </w:r>
      <w:r w:rsidRPr="006D4A49">
        <w:rPr>
          <w:rFonts w:ascii="Arial" w:hAnsi="Arial" w:cs="Arial"/>
          <w:sz w:val="20"/>
          <w:szCs w:val="20"/>
          <w:lang w:val="en-US"/>
        </w:rPr>
        <w:t xml:space="preserve"> was specific to Western Georgia.</w:t>
      </w:r>
    </w:p>
    <w:p w14:paraId="23F3DDE7" w14:textId="77777777" w:rsidR="00BB60F6" w:rsidRPr="006D4A49" w:rsidRDefault="00BB60F6" w:rsidP="00DD222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distinctness </w:t>
      </w:r>
      <w:r w:rsidR="00EF17BA" w:rsidRPr="006D4A49">
        <w:rPr>
          <w:rFonts w:ascii="Arial" w:hAnsi="Arial" w:cs="Arial"/>
          <w:sz w:val="20"/>
          <w:szCs w:val="20"/>
          <w:lang w:val="en-US"/>
        </w:rPr>
        <w:t xml:space="preserve">of the mycoflora </w:t>
      </w:r>
      <w:r w:rsidR="00DD2223" w:rsidRPr="006D4A49">
        <w:rPr>
          <w:rFonts w:ascii="Arial" w:hAnsi="Arial" w:cs="Arial"/>
          <w:sz w:val="20"/>
          <w:szCs w:val="20"/>
          <w:lang w:val="en-US"/>
        </w:rPr>
        <w:t>of Western Georgia</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w:t>
      </w:r>
      <w:r w:rsidR="00DD2223" w:rsidRPr="006D4A49">
        <w:rPr>
          <w:rFonts w:ascii="Arial" w:hAnsi="Arial" w:cs="Arial"/>
          <w:sz w:val="20"/>
          <w:szCs w:val="20"/>
          <w:lang w:val="en-US"/>
        </w:rPr>
        <w:t>s</w:t>
      </w:r>
      <w:r w:rsidRPr="006D4A49">
        <w:rPr>
          <w:rFonts w:ascii="Arial" w:hAnsi="Arial" w:cs="Arial"/>
          <w:sz w:val="20"/>
          <w:szCs w:val="20"/>
          <w:lang w:val="en-US"/>
        </w:rPr>
        <w:t xml:space="preserve"> compared to the other two regions may be explained by the fact that </w:t>
      </w:r>
      <w:proofErr w:type="spellStart"/>
      <w:r w:rsidRPr="006D4A49">
        <w:rPr>
          <w:rFonts w:ascii="Arial" w:hAnsi="Arial" w:cs="Arial"/>
          <w:sz w:val="20"/>
          <w:szCs w:val="20"/>
          <w:lang w:val="en-US"/>
        </w:rPr>
        <w:t>Bakhmaro</w:t>
      </w:r>
      <w:proofErr w:type="spellEnd"/>
      <w:r w:rsidRPr="006D4A49">
        <w:rPr>
          <w:rFonts w:ascii="Arial" w:hAnsi="Arial" w:cs="Arial"/>
          <w:sz w:val="20"/>
          <w:szCs w:val="20"/>
          <w:lang w:val="en-US"/>
        </w:rPr>
        <w:t xml:space="preserve"> is located at an altitude of 2050 m </w:t>
      </w:r>
      <w:proofErr w:type="spellStart"/>
      <w:r w:rsidRPr="006D4A49">
        <w:rPr>
          <w:rFonts w:ascii="Arial" w:hAnsi="Arial" w:cs="Arial"/>
          <w:sz w:val="20"/>
          <w:szCs w:val="20"/>
          <w:lang w:val="en-US"/>
        </w:rPr>
        <w:t>a.s.l</w:t>
      </w:r>
      <w:proofErr w:type="spellEnd"/>
      <w:r w:rsidRPr="006D4A49">
        <w:rPr>
          <w:rFonts w:ascii="Arial" w:hAnsi="Arial" w:cs="Arial"/>
          <w:sz w:val="20"/>
          <w:szCs w:val="20"/>
          <w:lang w:val="en-US"/>
        </w:rPr>
        <w:t>. and is dominated by coniferous forests. Con</w:t>
      </w:r>
      <w:r w:rsidR="00DD2223" w:rsidRPr="006D4A49">
        <w:rPr>
          <w:rFonts w:ascii="Arial" w:hAnsi="Arial" w:cs="Arial"/>
          <w:sz w:val="20"/>
          <w:szCs w:val="20"/>
          <w:lang w:val="en-US"/>
        </w:rPr>
        <w:t>sequently, its soils are acidic;</w:t>
      </w:r>
      <w:r w:rsidRPr="006D4A49">
        <w:rPr>
          <w:rFonts w:ascii="Arial" w:hAnsi="Arial" w:cs="Arial"/>
          <w:sz w:val="20"/>
          <w:szCs w:val="20"/>
          <w:lang w:val="en-US"/>
        </w:rPr>
        <w:t xml:space="preserve"> whereas </w:t>
      </w:r>
      <w:proofErr w:type="spellStart"/>
      <w:r w:rsidRPr="006D4A49">
        <w:rPr>
          <w:rFonts w:ascii="Arial" w:hAnsi="Arial" w:cs="Arial"/>
          <w:sz w:val="20"/>
          <w:szCs w:val="20"/>
          <w:lang w:val="en-US"/>
        </w:rPr>
        <w:t>Manglisi</w:t>
      </w:r>
      <w:proofErr w:type="spellEnd"/>
      <w:r w:rsidRPr="006D4A49">
        <w:rPr>
          <w:rFonts w:ascii="Arial" w:hAnsi="Arial" w:cs="Arial"/>
          <w:sz w:val="20"/>
          <w:szCs w:val="20"/>
          <w:lang w:val="en-US"/>
        </w:rPr>
        <w:t xml:space="preserve"> and </w:t>
      </w:r>
      <w:proofErr w:type="spellStart"/>
      <w:r w:rsidRPr="006D4A49">
        <w:rPr>
          <w:rFonts w:ascii="Arial" w:hAnsi="Arial" w:cs="Arial"/>
          <w:sz w:val="20"/>
          <w:szCs w:val="20"/>
          <w:lang w:val="en-US"/>
        </w:rPr>
        <w:t>Tskhvarichamia</w:t>
      </w:r>
      <w:proofErr w:type="spellEnd"/>
      <w:r w:rsidRPr="006D4A49">
        <w:rPr>
          <w:rFonts w:ascii="Arial" w:hAnsi="Arial" w:cs="Arial"/>
          <w:sz w:val="20"/>
          <w:szCs w:val="20"/>
          <w:lang w:val="en-US"/>
        </w:rPr>
        <w:t xml:space="preserve"> lie at similar elevations (1180–1200 m </w:t>
      </w:r>
      <w:proofErr w:type="spellStart"/>
      <w:r w:rsidRPr="006D4A49">
        <w:rPr>
          <w:rFonts w:ascii="Arial" w:hAnsi="Arial" w:cs="Arial"/>
          <w:sz w:val="20"/>
          <w:szCs w:val="20"/>
          <w:lang w:val="en-US"/>
        </w:rPr>
        <w:t>a.s.l</w:t>
      </w:r>
      <w:proofErr w:type="spellEnd"/>
      <w:r w:rsidRPr="006D4A49">
        <w:rPr>
          <w:rFonts w:ascii="Arial" w:hAnsi="Arial" w:cs="Arial"/>
          <w:sz w:val="20"/>
          <w:szCs w:val="20"/>
          <w:lang w:val="en-US"/>
        </w:rPr>
        <w:t xml:space="preserve">.) and the soil samples for mycoflora analysis there were collected from comparable habitats—mixed forests. In contrast to </w:t>
      </w:r>
      <w:proofErr w:type="spellStart"/>
      <w:r w:rsidRPr="006D4A49">
        <w:rPr>
          <w:rFonts w:ascii="Arial" w:hAnsi="Arial" w:cs="Arial"/>
          <w:sz w:val="20"/>
          <w:szCs w:val="20"/>
          <w:lang w:val="en-US"/>
        </w:rPr>
        <w:t>Bakhmaro</w:t>
      </w:r>
      <w:proofErr w:type="spellEnd"/>
      <w:r w:rsidRPr="006D4A49">
        <w:rPr>
          <w:rFonts w:ascii="Arial" w:hAnsi="Arial" w:cs="Arial"/>
          <w:sz w:val="20"/>
          <w:szCs w:val="20"/>
          <w:lang w:val="en-US"/>
        </w:rPr>
        <w:t xml:space="preserve">, </w:t>
      </w:r>
      <w:proofErr w:type="spellStart"/>
      <w:r w:rsidRPr="006D4A49">
        <w:rPr>
          <w:rFonts w:ascii="Arial" w:hAnsi="Arial" w:cs="Arial"/>
          <w:sz w:val="20"/>
          <w:szCs w:val="20"/>
          <w:lang w:val="en-US"/>
        </w:rPr>
        <w:t>Manglisi’s</w:t>
      </w:r>
      <w:proofErr w:type="spellEnd"/>
      <w:r w:rsidRPr="006D4A49">
        <w:rPr>
          <w:rFonts w:ascii="Arial" w:hAnsi="Arial" w:cs="Arial"/>
          <w:sz w:val="20"/>
          <w:szCs w:val="20"/>
          <w:lang w:val="en-US"/>
        </w:rPr>
        <w:t xml:space="preserve"> mixed forest soils have a neutral </w:t>
      </w:r>
      <w:proofErr w:type="spellStart"/>
      <w:r w:rsidRPr="006D4A49">
        <w:rPr>
          <w:rFonts w:ascii="Arial" w:hAnsi="Arial" w:cs="Arial"/>
          <w:sz w:val="20"/>
          <w:szCs w:val="20"/>
          <w:lang w:val="en-US"/>
        </w:rPr>
        <w:t>pH.</w:t>
      </w:r>
      <w:proofErr w:type="spellEnd"/>
    </w:p>
    <w:p w14:paraId="5D94A09C" w14:textId="77777777" w:rsidR="00BB60F6" w:rsidRPr="006D4A49" w:rsidRDefault="00BB60F6" w:rsidP="00DD222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It is generally known that mixed forests adapt more successfully to environmental changes than monocultures (Bravo-Oviedo et al., 2014). The coexistence of different tree species enhances nutrient uptake from the soil, promotes plant growth, and creates mutually supportive ecological niches. These niches contribute to the exceptional taxonomic richness of mixed forest ecosystems (Ishida et al., 2007; </w:t>
      </w:r>
      <w:proofErr w:type="spellStart"/>
      <w:r w:rsidRPr="006D4A49">
        <w:rPr>
          <w:rFonts w:ascii="Arial" w:hAnsi="Arial" w:cs="Arial"/>
          <w:sz w:val="20"/>
          <w:szCs w:val="20"/>
          <w:lang w:val="en-US"/>
        </w:rPr>
        <w:t>Cavard</w:t>
      </w:r>
      <w:proofErr w:type="spellEnd"/>
      <w:r w:rsidRPr="006D4A49">
        <w:rPr>
          <w:rFonts w:ascii="Arial" w:hAnsi="Arial" w:cs="Arial"/>
          <w:sz w:val="20"/>
          <w:szCs w:val="20"/>
          <w:lang w:val="en-US"/>
        </w:rPr>
        <w:t xml:space="preserve"> et al., 2011). Naturally, this is reflected in the diversity of fungal co-communities in mixed forest soils as well (Ishida et al., 2007; Nagati et al., 2018). The full spectrum of differing abiotic factors (vertical zonation, temperature, humidity, soil pH) and the species composition of the </w:t>
      </w:r>
      <w:proofErr w:type="spellStart"/>
      <w:r w:rsidRPr="006D4A49">
        <w:rPr>
          <w:rFonts w:ascii="Arial" w:hAnsi="Arial" w:cs="Arial"/>
          <w:sz w:val="20"/>
          <w:szCs w:val="20"/>
          <w:lang w:val="en-US"/>
        </w:rPr>
        <w:t>phytocoenosis</w:t>
      </w:r>
      <w:proofErr w:type="spellEnd"/>
      <w:r w:rsidRPr="006D4A49">
        <w:rPr>
          <w:rFonts w:ascii="Arial" w:hAnsi="Arial" w:cs="Arial"/>
          <w:sz w:val="20"/>
          <w:szCs w:val="20"/>
          <w:lang w:val="en-US"/>
        </w:rPr>
        <w:t xml:space="preserve"> provided sufficient conditions for the formation of a </w:t>
      </w:r>
      <w:r w:rsidR="00DD2223" w:rsidRPr="006D4A49">
        <w:rPr>
          <w:rFonts w:ascii="Arial" w:hAnsi="Arial" w:cs="Arial"/>
          <w:sz w:val="20"/>
          <w:szCs w:val="20"/>
          <w:lang w:val="en-US"/>
        </w:rPr>
        <w:t xml:space="preserve">distinct </w:t>
      </w:r>
      <w:proofErr w:type="spellStart"/>
      <w:r w:rsidR="00DD2223" w:rsidRPr="006D4A49">
        <w:rPr>
          <w:rFonts w:ascii="Arial" w:hAnsi="Arial" w:cs="Arial"/>
          <w:sz w:val="20"/>
          <w:szCs w:val="20"/>
          <w:lang w:val="en-US"/>
        </w:rPr>
        <w:t>mycoflora</w:t>
      </w:r>
      <w:proofErr w:type="spellEnd"/>
      <w:r w:rsidR="00DD2223" w:rsidRPr="006D4A49">
        <w:rPr>
          <w:rFonts w:ascii="Arial" w:hAnsi="Arial" w:cs="Arial"/>
          <w:sz w:val="20"/>
          <w:szCs w:val="20"/>
          <w:lang w:val="en-US"/>
        </w:rPr>
        <w:t xml:space="preserve"> in </w:t>
      </w:r>
      <w:proofErr w:type="spellStart"/>
      <w:r w:rsidR="00DD2223" w:rsidRPr="006D4A49">
        <w:rPr>
          <w:rFonts w:ascii="Arial" w:hAnsi="Arial" w:cs="Arial"/>
          <w:sz w:val="20"/>
          <w:szCs w:val="20"/>
          <w:lang w:val="en-US"/>
        </w:rPr>
        <w:t>Bakhmaro</w:t>
      </w:r>
      <w:proofErr w:type="spellEnd"/>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w:t>
      </w:r>
    </w:p>
    <w:p w14:paraId="29E27BA2" w14:textId="77777777" w:rsidR="00E15FA5" w:rsidRPr="006D4A49" w:rsidRDefault="00335CEE" w:rsidP="00335CEE">
      <w:pPr>
        <w:pStyle w:val="NormalWeb"/>
        <w:spacing w:before="0" w:beforeAutospacing="0" w:after="0" w:afterAutospacing="0" w:line="360" w:lineRule="auto"/>
        <w:jc w:val="center"/>
        <w:rPr>
          <w:rFonts w:ascii="Arial" w:hAnsi="Arial" w:cs="Arial"/>
          <w:sz w:val="20"/>
          <w:szCs w:val="20"/>
          <w:lang w:val="en-US"/>
        </w:rPr>
      </w:pPr>
      <w:r w:rsidRPr="006D4A49">
        <w:rPr>
          <w:rFonts w:ascii="Arial" w:hAnsi="Arial" w:cs="Arial"/>
          <w:noProof/>
          <w:sz w:val="20"/>
          <w:szCs w:val="20"/>
        </w:rPr>
        <w:lastRenderedPageBreak/>
        <w:drawing>
          <wp:inline distT="0" distB="0" distL="0" distR="0" wp14:anchorId="1D134502" wp14:editId="074B1541">
            <wp:extent cx="4572000" cy="26212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ADAC19" w14:textId="77777777" w:rsidR="00335CEE" w:rsidRPr="006D4A49" w:rsidRDefault="00335CEE" w:rsidP="00335CEE">
      <w:pPr>
        <w:pStyle w:val="NormalWeb"/>
        <w:spacing w:before="0" w:beforeAutospacing="0" w:after="0" w:afterAutospacing="0" w:line="360" w:lineRule="auto"/>
        <w:rPr>
          <w:rFonts w:ascii="Arial" w:hAnsi="Arial" w:cs="Arial"/>
          <w:b/>
          <w:bCs/>
          <w:sz w:val="20"/>
          <w:szCs w:val="20"/>
          <w:lang w:val="en-US"/>
        </w:rPr>
      </w:pPr>
      <w:r w:rsidRPr="006D4A49">
        <w:rPr>
          <w:rStyle w:val="Strong"/>
          <w:rFonts w:ascii="Arial" w:hAnsi="Arial" w:cs="Arial"/>
          <w:b w:val="0"/>
          <w:bCs w:val="0"/>
          <w:sz w:val="20"/>
          <w:szCs w:val="20"/>
          <w:lang w:val="en-US"/>
        </w:rPr>
        <w:t>Fig. 2.</w:t>
      </w:r>
      <w:r w:rsidRPr="006D4A49">
        <w:rPr>
          <w:rFonts w:ascii="Arial" w:hAnsi="Arial" w:cs="Arial"/>
          <w:b/>
          <w:bCs/>
          <w:sz w:val="20"/>
          <w:szCs w:val="20"/>
          <w:lang w:val="en-US"/>
        </w:rPr>
        <w:t xml:space="preserve"> Frequency of occurrence (%) of</w:t>
      </w:r>
      <w:r w:rsidR="00A73741" w:rsidRPr="006D4A49">
        <w:rPr>
          <w:rFonts w:ascii="Arial" w:hAnsi="Arial" w:cs="Arial"/>
          <w:b/>
          <w:bCs/>
          <w:sz w:val="20"/>
          <w:szCs w:val="20"/>
          <w:lang w:val="en-US"/>
        </w:rPr>
        <w:t xml:space="preserve"> the</w:t>
      </w:r>
      <w:r w:rsidRPr="006D4A49">
        <w:rPr>
          <w:rFonts w:ascii="Arial" w:hAnsi="Arial" w:cs="Arial"/>
          <w:b/>
          <w:bCs/>
          <w:sz w:val="20"/>
          <w:szCs w:val="20"/>
          <w:lang w:val="en-US"/>
        </w:rPr>
        <w:t xml:space="preserve"> genera of microscopic fungi in brown soils across different pedological regions of Georgia</w:t>
      </w:r>
      <w:r w:rsidR="005577A5" w:rsidRPr="006D4A49">
        <w:rPr>
          <w:rFonts w:ascii="Arial" w:hAnsi="Arial" w:cs="Arial"/>
          <w:b/>
          <w:bCs/>
          <w:sz w:val="20"/>
          <w:szCs w:val="20"/>
          <w:lang w:val="en-US"/>
        </w:rPr>
        <w:t>.</w:t>
      </w:r>
    </w:p>
    <w:p w14:paraId="51B02867" w14:textId="77777777" w:rsidR="005577A5" w:rsidRPr="006D4A49" w:rsidRDefault="005577A5" w:rsidP="00335CEE">
      <w:pPr>
        <w:pStyle w:val="NormalWeb"/>
        <w:spacing w:before="0" w:beforeAutospacing="0" w:after="0" w:afterAutospacing="0" w:line="360" w:lineRule="auto"/>
        <w:rPr>
          <w:rFonts w:ascii="Arial" w:hAnsi="Arial" w:cs="Arial"/>
          <w:sz w:val="20"/>
          <w:szCs w:val="20"/>
          <w:lang w:val="en-US"/>
        </w:rPr>
      </w:pPr>
    </w:p>
    <w:p w14:paraId="6E0AD1DB" w14:textId="77777777" w:rsidR="00195753" w:rsidRDefault="00195753" w:rsidP="00195753">
      <w:pPr>
        <w:pStyle w:val="ConcHead"/>
        <w:numPr>
          <w:ilvl w:val="0"/>
          <w:numId w:val="4"/>
        </w:numPr>
        <w:spacing w:after="0"/>
        <w:jc w:val="both"/>
        <w:rPr>
          <w:rFonts w:ascii="Arial" w:hAnsi="Arial" w:cs="Arial"/>
        </w:rPr>
      </w:pPr>
      <w:r w:rsidRPr="00FB3A86">
        <w:rPr>
          <w:rFonts w:ascii="Arial" w:hAnsi="Arial" w:cs="Arial"/>
        </w:rPr>
        <w:t>Conclusion</w:t>
      </w:r>
      <w:r>
        <w:rPr>
          <w:rFonts w:ascii="Arial" w:hAnsi="Arial" w:cs="Arial"/>
        </w:rPr>
        <w:t>s</w:t>
      </w:r>
    </w:p>
    <w:p w14:paraId="3021A19D" w14:textId="77777777" w:rsidR="00BB60F6" w:rsidRPr="006D4A49" w:rsidRDefault="00BB60F6" w:rsidP="00DD222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Based on the conducted research, the following conclusions were drawn:</w:t>
      </w:r>
    </w:p>
    <w:p w14:paraId="1541E2F9"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The taxonomic structure of the mycoflora in the same soil types (alluvial and </w:t>
      </w:r>
      <w:r w:rsidR="004C0156" w:rsidRPr="006D4A49">
        <w:rPr>
          <w:rFonts w:ascii="Arial" w:hAnsi="Arial" w:cs="Arial"/>
          <w:sz w:val="20"/>
          <w:szCs w:val="20"/>
          <w:lang w:val="en-US"/>
        </w:rPr>
        <w:t>brown</w:t>
      </w:r>
      <w:r w:rsidRPr="006D4A49">
        <w:rPr>
          <w:rFonts w:ascii="Arial" w:hAnsi="Arial" w:cs="Arial"/>
          <w:sz w:val="20"/>
          <w:szCs w:val="20"/>
          <w:lang w:val="en-US"/>
        </w:rPr>
        <w:t xml:space="preserve">) of Western, Eastern, and Southern Georgia is shaped by a combination of factors, including climatic conditions, microrelief, and the </w:t>
      </w:r>
      <w:proofErr w:type="spellStart"/>
      <w:r w:rsidRPr="006D4A49">
        <w:rPr>
          <w:rFonts w:ascii="Arial" w:hAnsi="Arial" w:cs="Arial"/>
          <w:sz w:val="20"/>
          <w:szCs w:val="20"/>
          <w:lang w:val="en-US"/>
        </w:rPr>
        <w:t>physico</w:t>
      </w:r>
      <w:proofErr w:type="spellEnd"/>
      <w:r w:rsidR="00DD2223" w:rsidRPr="006D4A49">
        <w:rPr>
          <w:rFonts w:ascii="Arial" w:hAnsi="Arial" w:cs="Arial"/>
          <w:sz w:val="20"/>
          <w:szCs w:val="20"/>
          <w:lang w:val="en-US"/>
        </w:rPr>
        <w:t>-</w:t>
      </w:r>
      <w:r w:rsidRPr="006D4A49">
        <w:rPr>
          <w:rFonts w:ascii="Arial" w:hAnsi="Arial" w:cs="Arial"/>
          <w:sz w:val="20"/>
          <w:szCs w:val="20"/>
          <w:lang w:val="en-US"/>
        </w:rPr>
        <w:t>chemical properties of the soil.</w:t>
      </w:r>
    </w:p>
    <w:p w14:paraId="1BAD2341"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Comparative analysis of alluvial soil mycoflora revealed that the dominant genera common to all three regions are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which can be explained by their ecological plasticity and strong sporogenesis. The distribution of other taxa is closely related to the specific </w:t>
      </w:r>
      <w:proofErr w:type="spellStart"/>
      <w:r w:rsidRPr="006D4A49">
        <w:rPr>
          <w:rFonts w:ascii="Arial" w:hAnsi="Arial" w:cs="Arial"/>
          <w:sz w:val="20"/>
          <w:szCs w:val="20"/>
          <w:lang w:val="en-US"/>
        </w:rPr>
        <w:t>geoecological</w:t>
      </w:r>
      <w:proofErr w:type="spellEnd"/>
      <w:r w:rsidRPr="006D4A49">
        <w:rPr>
          <w:rFonts w:ascii="Arial" w:hAnsi="Arial" w:cs="Arial"/>
          <w:sz w:val="20"/>
          <w:szCs w:val="20"/>
          <w:lang w:val="en-US"/>
        </w:rPr>
        <w:t xml:space="preserve"> characteristics of each region.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genera are characteristic of Eastern Georgia, while the coexistence of both </w:t>
      </w:r>
      <w:r w:rsidR="00DD2223" w:rsidRPr="006D4A49">
        <w:rPr>
          <w:rFonts w:ascii="Arial" w:hAnsi="Arial" w:cs="Arial"/>
          <w:sz w:val="20"/>
          <w:szCs w:val="20"/>
          <w:lang w:val="en-US"/>
        </w:rPr>
        <w:t xml:space="preserve">- </w:t>
      </w:r>
      <w:r w:rsidRPr="006D4A49">
        <w:rPr>
          <w:rFonts w:ascii="Arial" w:hAnsi="Arial" w:cs="Arial"/>
          <w:sz w:val="20"/>
          <w:szCs w:val="20"/>
          <w:lang w:val="en-US"/>
        </w:rPr>
        <w:t>hygrophilous and xerophilous species in the Southern region is likely determined by ecotonal conditions.</w:t>
      </w:r>
    </w:p>
    <w:p w14:paraId="5C2E4250"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Comparison of </w:t>
      </w:r>
      <w:r w:rsidR="004C0156" w:rsidRPr="006D4A49">
        <w:rPr>
          <w:rFonts w:ascii="Arial" w:hAnsi="Arial" w:cs="Arial"/>
          <w:sz w:val="20"/>
          <w:szCs w:val="20"/>
          <w:lang w:val="en-US"/>
        </w:rPr>
        <w:t>brown</w:t>
      </w:r>
      <w:r w:rsidRPr="006D4A49">
        <w:rPr>
          <w:rFonts w:ascii="Arial" w:hAnsi="Arial" w:cs="Arial"/>
          <w:sz w:val="20"/>
          <w:szCs w:val="20"/>
          <w:lang w:val="en-US"/>
        </w:rPr>
        <w:t xml:space="preserve"> soil mycoflora showed that, despite general similarities, significant local specificities exist, mainly linked to topographic, botanical, and climatic heterogeneity. The highest taxonomic diversity was recorded in the soils of mixed forests in Southern Georgia, which is likely explained by their structurally rich, neutral pH soils. In contrast, the relatively low diversity of mycoflora in Western Georgia (</w:t>
      </w:r>
      <w:proofErr w:type="spellStart"/>
      <w:r w:rsidRPr="006D4A49">
        <w:rPr>
          <w:rFonts w:ascii="Arial" w:hAnsi="Arial" w:cs="Arial"/>
          <w:sz w:val="20"/>
          <w:szCs w:val="20"/>
          <w:lang w:val="en-US"/>
        </w:rPr>
        <w:t>Bakhmaro</w:t>
      </w:r>
      <w:proofErr w:type="spellEnd"/>
      <w:r w:rsidRPr="006D4A49">
        <w:rPr>
          <w:rFonts w:ascii="Arial" w:hAnsi="Arial" w:cs="Arial"/>
          <w:sz w:val="20"/>
          <w:szCs w:val="20"/>
          <w:lang w:val="en-US"/>
        </w:rPr>
        <w:t>) is associated with acidic soils and the monoculture coniferous forest cover.</w:t>
      </w:r>
    </w:p>
    <w:p w14:paraId="75B2DEC3"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The ma</w:t>
      </w:r>
      <w:r w:rsidR="00DD2223" w:rsidRPr="006D4A49">
        <w:rPr>
          <w:rFonts w:ascii="Arial" w:hAnsi="Arial" w:cs="Arial"/>
          <w:sz w:val="20"/>
          <w:szCs w:val="20"/>
          <w:lang w:val="en-US"/>
        </w:rPr>
        <w:t>jority of mycoflora in Georgia</w:t>
      </w:r>
      <w:r w:rsidRPr="006D4A49">
        <w:rPr>
          <w:rFonts w:ascii="Arial" w:hAnsi="Arial" w:cs="Arial"/>
          <w:sz w:val="20"/>
          <w:szCs w:val="20"/>
          <w:lang w:val="en-US"/>
        </w:rPr>
        <w:t xml:space="preserve"> alluvial and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belong to the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while representatives of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xml:space="preserve"> and </w:t>
      </w:r>
      <w:proofErr w:type="spellStart"/>
      <w:r w:rsidRPr="006D4A49">
        <w:rPr>
          <w:rStyle w:val="Emphasis"/>
          <w:rFonts w:ascii="Arial" w:hAnsi="Arial" w:cs="Arial"/>
          <w:sz w:val="20"/>
          <w:szCs w:val="20"/>
          <w:lang w:val="en-US"/>
        </w:rPr>
        <w:t>Mortierellomycota</w:t>
      </w:r>
      <w:proofErr w:type="spellEnd"/>
      <w:r w:rsidRPr="006D4A49">
        <w:rPr>
          <w:rFonts w:ascii="Arial" w:hAnsi="Arial" w:cs="Arial"/>
          <w:sz w:val="20"/>
          <w:szCs w:val="20"/>
          <w:lang w:val="en-US"/>
        </w:rPr>
        <w:t xml:space="preserve"> are present in comparatively smaller numbers.</w:t>
      </w:r>
    </w:p>
    <w:p w14:paraId="6A18C7AA" w14:textId="77777777" w:rsidR="00BB60F6"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The taxonomic structure of </w:t>
      </w:r>
      <w:proofErr w:type="spellStart"/>
      <w:r w:rsidRPr="006D4A49">
        <w:rPr>
          <w:rFonts w:ascii="Arial" w:hAnsi="Arial" w:cs="Arial"/>
          <w:sz w:val="20"/>
          <w:szCs w:val="20"/>
          <w:lang w:val="en-US"/>
        </w:rPr>
        <w:t>mycocommunities</w:t>
      </w:r>
      <w:proofErr w:type="spellEnd"/>
      <w:r w:rsidRPr="006D4A49">
        <w:rPr>
          <w:rFonts w:ascii="Arial" w:hAnsi="Arial" w:cs="Arial"/>
          <w:sz w:val="20"/>
          <w:szCs w:val="20"/>
          <w:lang w:val="en-US"/>
        </w:rPr>
        <w:t xml:space="preserve"> is largely determined by soil type and geographical location, further emphasizing the role of abiotic factors in shaping soil biocenoses.</w:t>
      </w:r>
    </w:p>
    <w:p w14:paraId="2FB95C30" w14:textId="77777777" w:rsidR="001C6B9A" w:rsidRPr="006D4A49" w:rsidRDefault="001C6B9A" w:rsidP="001C6B9A">
      <w:pPr>
        <w:pStyle w:val="NormalWeb"/>
        <w:spacing w:before="0" w:beforeAutospacing="0" w:after="0" w:afterAutospacing="0" w:line="360" w:lineRule="auto"/>
        <w:ind w:left="360"/>
        <w:jc w:val="both"/>
        <w:rPr>
          <w:rFonts w:ascii="Arial" w:hAnsi="Arial" w:cs="Arial"/>
          <w:sz w:val="20"/>
          <w:szCs w:val="20"/>
          <w:lang w:val="en-US"/>
        </w:rPr>
      </w:pPr>
    </w:p>
    <w:p w14:paraId="53B0A317" w14:textId="77777777" w:rsidR="00195753" w:rsidRPr="00786D36" w:rsidRDefault="00195753" w:rsidP="00195753">
      <w:pPr>
        <w:pStyle w:val="ReferHead"/>
        <w:numPr>
          <w:ilvl w:val="0"/>
          <w:numId w:val="4"/>
        </w:numPr>
        <w:spacing w:after="0"/>
        <w:jc w:val="both"/>
        <w:rPr>
          <w:rFonts w:ascii="Arial" w:hAnsi="Arial" w:cs="Arial"/>
          <w:bCs/>
        </w:rPr>
      </w:pPr>
      <w:r w:rsidRPr="00786D36">
        <w:rPr>
          <w:rFonts w:ascii="Arial" w:hAnsi="Arial" w:cs="Arial"/>
          <w:bCs/>
        </w:rPr>
        <w:t>Competing interests</w:t>
      </w:r>
    </w:p>
    <w:p w14:paraId="3A6D9D7F" w14:textId="77777777" w:rsidR="00335CEE" w:rsidRDefault="006D4A49" w:rsidP="00E15FA5">
      <w:pPr>
        <w:spacing w:after="0" w:line="360" w:lineRule="auto"/>
        <w:jc w:val="both"/>
        <w:rPr>
          <w:rFonts w:ascii="Arial" w:hAnsi="Arial" w:cs="Arial"/>
          <w:bCs/>
          <w:sz w:val="20"/>
          <w:szCs w:val="20"/>
          <w:lang w:val="en-US"/>
        </w:rPr>
      </w:pPr>
      <w:r w:rsidRPr="00195753">
        <w:rPr>
          <w:rFonts w:ascii="Arial" w:hAnsi="Arial" w:cs="Arial"/>
          <w:bCs/>
          <w:sz w:val="20"/>
          <w:szCs w:val="20"/>
          <w:lang w:val="en-US"/>
        </w:rPr>
        <w:t>Authors have declared that no competing interests exist.</w:t>
      </w:r>
    </w:p>
    <w:p w14:paraId="5BF32474" w14:textId="77777777" w:rsidR="001C6B9A" w:rsidRDefault="001C6B9A" w:rsidP="00E15FA5">
      <w:pPr>
        <w:spacing w:after="0" w:line="360" w:lineRule="auto"/>
        <w:jc w:val="both"/>
        <w:rPr>
          <w:rFonts w:ascii="Arial" w:hAnsi="Arial" w:cs="Arial"/>
          <w:bCs/>
          <w:sz w:val="20"/>
          <w:szCs w:val="20"/>
          <w:lang w:val="en-US"/>
        </w:rPr>
      </w:pPr>
    </w:p>
    <w:p w14:paraId="7D0B333E" w14:textId="77777777" w:rsidR="001C6B9A" w:rsidRPr="001C6B9A" w:rsidRDefault="001C6B9A" w:rsidP="001C6B9A">
      <w:pPr>
        <w:spacing w:after="0" w:line="360" w:lineRule="auto"/>
        <w:jc w:val="both"/>
        <w:rPr>
          <w:rFonts w:ascii="Arial" w:hAnsi="Arial" w:cs="Arial"/>
          <w:bCs/>
          <w:sz w:val="20"/>
          <w:szCs w:val="20"/>
          <w:lang w:val="en-US"/>
        </w:rPr>
      </w:pPr>
      <w:r w:rsidRPr="001C6B9A">
        <w:rPr>
          <w:rFonts w:ascii="Arial" w:hAnsi="Arial" w:cs="Arial"/>
          <w:bCs/>
          <w:sz w:val="20"/>
          <w:szCs w:val="20"/>
          <w:lang w:val="en-US"/>
        </w:rPr>
        <w:t>COMPETING INTERESTS DISCLAIMER:</w:t>
      </w:r>
    </w:p>
    <w:p w14:paraId="0268167B" w14:textId="31B9CCEE" w:rsidR="001C6B9A" w:rsidRDefault="001C6B9A" w:rsidP="001C6B9A">
      <w:pPr>
        <w:spacing w:after="0" w:line="360" w:lineRule="auto"/>
        <w:jc w:val="both"/>
        <w:rPr>
          <w:rFonts w:ascii="Arial" w:hAnsi="Arial" w:cs="Arial"/>
          <w:bCs/>
          <w:sz w:val="20"/>
          <w:szCs w:val="20"/>
          <w:lang w:val="en-US"/>
        </w:rPr>
      </w:pPr>
      <w:r w:rsidRPr="001C6B9A">
        <w:rPr>
          <w:rFonts w:ascii="Arial" w:hAnsi="Arial" w:cs="Arial"/>
          <w:bCs/>
          <w:sz w:val="20"/>
          <w:szCs w:val="20"/>
          <w:lang w:val="en-US"/>
        </w:rPr>
        <w:lastRenderedPageBreak/>
        <w:t>Authors have declared that they have no known competing financial interests OR non-financial interests OR personal relationships that could have appeared to influence the work reported in this paper.</w:t>
      </w:r>
    </w:p>
    <w:p w14:paraId="37B97559" w14:textId="77777777" w:rsidR="001C6B9A" w:rsidRPr="00195753" w:rsidRDefault="001C6B9A" w:rsidP="00E15FA5">
      <w:pPr>
        <w:spacing w:after="0" w:line="360" w:lineRule="auto"/>
        <w:jc w:val="both"/>
        <w:rPr>
          <w:rFonts w:ascii="Arial" w:hAnsi="Arial" w:cs="Arial"/>
          <w:bCs/>
          <w:sz w:val="20"/>
          <w:szCs w:val="20"/>
          <w:lang w:val="en-US"/>
        </w:rPr>
      </w:pPr>
    </w:p>
    <w:p w14:paraId="1A3FD972" w14:textId="77777777" w:rsidR="00195753" w:rsidRDefault="00195753" w:rsidP="00195753">
      <w:pPr>
        <w:pStyle w:val="ReferHead"/>
        <w:numPr>
          <w:ilvl w:val="0"/>
          <w:numId w:val="4"/>
        </w:numPr>
        <w:spacing w:after="0"/>
        <w:jc w:val="both"/>
        <w:rPr>
          <w:rFonts w:ascii="Arial" w:hAnsi="Arial" w:cs="Arial"/>
        </w:rPr>
      </w:pPr>
      <w:r w:rsidRPr="00FB3A86">
        <w:rPr>
          <w:rFonts w:ascii="Arial" w:hAnsi="Arial" w:cs="Arial"/>
        </w:rPr>
        <w:t>References</w:t>
      </w:r>
    </w:p>
    <w:p w14:paraId="1E85A8C2"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Anderson, I. C., &amp; Cairney, J. W. G. (2004). Diversity and ecology of soil fungal communities: increased understanding through the application of molecular techniques. </w:t>
      </w:r>
      <w:r w:rsidRPr="006D4A49">
        <w:rPr>
          <w:rFonts w:ascii="Arial" w:hAnsi="Arial" w:cs="Arial"/>
          <w:i/>
          <w:iCs/>
          <w:sz w:val="20"/>
          <w:szCs w:val="20"/>
          <w:lang w:val="en-US"/>
        </w:rPr>
        <w:t>Environmental Microbiology</w:t>
      </w:r>
      <w:r w:rsidRPr="006D4A49">
        <w:rPr>
          <w:rFonts w:ascii="Arial" w:hAnsi="Arial" w:cs="Arial"/>
          <w:sz w:val="20"/>
          <w:szCs w:val="20"/>
          <w:lang w:val="en-US"/>
        </w:rPr>
        <w:t xml:space="preserve">, 6(8), 769–779. </w:t>
      </w:r>
      <w:hyperlink r:id="rId11" w:tgtFrame="_new" w:history="1">
        <w:r w:rsidRPr="006D4A49">
          <w:rPr>
            <w:rFonts w:ascii="Arial" w:hAnsi="Arial" w:cs="Arial"/>
            <w:color w:val="0000FF"/>
            <w:sz w:val="20"/>
            <w:szCs w:val="20"/>
            <w:u w:val="single"/>
            <w:lang w:val="en-US"/>
          </w:rPr>
          <w:t>https://doi.org/10.1111/j.1462-2920.2004.00675.x</w:t>
        </w:r>
      </w:hyperlink>
    </w:p>
    <w:p w14:paraId="08A7D2C0"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Blume, H.-P. (2004). </w:t>
      </w:r>
      <w:proofErr w:type="spellStart"/>
      <w:r w:rsidRPr="006D4A49">
        <w:rPr>
          <w:rFonts w:ascii="Arial" w:hAnsi="Arial" w:cs="Arial"/>
          <w:iCs/>
          <w:sz w:val="20"/>
          <w:szCs w:val="20"/>
          <w:lang w:val="en-US"/>
        </w:rPr>
        <w:t>Bodenkundliches</w:t>
      </w:r>
      <w:proofErr w:type="spellEnd"/>
      <w:r w:rsidRPr="006D4A49">
        <w:rPr>
          <w:rFonts w:ascii="Arial" w:hAnsi="Arial" w:cs="Arial"/>
          <w:iCs/>
          <w:sz w:val="20"/>
          <w:szCs w:val="20"/>
          <w:lang w:val="en-US"/>
        </w:rPr>
        <w:t xml:space="preserve"> </w:t>
      </w:r>
      <w:proofErr w:type="spellStart"/>
      <w:r w:rsidRPr="006D4A49">
        <w:rPr>
          <w:rFonts w:ascii="Arial" w:hAnsi="Arial" w:cs="Arial"/>
          <w:iCs/>
          <w:sz w:val="20"/>
          <w:szCs w:val="20"/>
          <w:lang w:val="en-US"/>
        </w:rPr>
        <w:t>Praktikum</w:t>
      </w:r>
      <w:proofErr w:type="spellEnd"/>
      <w:r w:rsidRPr="006D4A49">
        <w:rPr>
          <w:rFonts w:ascii="Arial" w:hAnsi="Arial" w:cs="Arial"/>
          <w:sz w:val="20"/>
          <w:szCs w:val="20"/>
          <w:lang w:val="en-US"/>
        </w:rPr>
        <w:t xml:space="preserve"> (4th ed.). Springer</w:t>
      </w:r>
      <w:r w:rsidR="00A73741" w:rsidRPr="006D4A49">
        <w:rPr>
          <w:rFonts w:ascii="Arial" w:hAnsi="Arial" w:cs="Arial"/>
          <w:sz w:val="20"/>
          <w:szCs w:val="20"/>
          <w:lang w:val="en-US"/>
        </w:rPr>
        <w:t>,</w:t>
      </w:r>
      <w:r w:rsidRPr="006D4A49">
        <w:rPr>
          <w:rFonts w:ascii="Arial" w:hAnsi="Arial" w:cs="Arial"/>
          <w:sz w:val="20"/>
          <w:szCs w:val="20"/>
          <w:lang w:val="en-US"/>
        </w:rPr>
        <w:t xml:space="preserve"> Verlag.</w:t>
      </w:r>
    </w:p>
    <w:p w14:paraId="294CD30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Bravo-Oviedo, A., </w:t>
      </w:r>
      <w:proofErr w:type="spellStart"/>
      <w:r w:rsidRPr="006D4A49">
        <w:rPr>
          <w:rFonts w:ascii="Arial" w:hAnsi="Arial" w:cs="Arial"/>
          <w:sz w:val="20"/>
          <w:szCs w:val="20"/>
          <w:lang w:val="en-US"/>
        </w:rPr>
        <w:t>Pretzsch</w:t>
      </w:r>
      <w:proofErr w:type="spellEnd"/>
      <w:r w:rsidRPr="006D4A49">
        <w:rPr>
          <w:rFonts w:ascii="Arial" w:hAnsi="Arial" w:cs="Arial"/>
          <w:sz w:val="20"/>
          <w:szCs w:val="20"/>
          <w:lang w:val="en-US"/>
        </w:rPr>
        <w:t xml:space="preserve">, H., Ammer, C., </w:t>
      </w:r>
      <w:proofErr w:type="spellStart"/>
      <w:r w:rsidRPr="006D4A49">
        <w:rPr>
          <w:rFonts w:ascii="Arial" w:hAnsi="Arial" w:cs="Arial"/>
          <w:sz w:val="20"/>
          <w:szCs w:val="20"/>
          <w:lang w:val="en-US"/>
        </w:rPr>
        <w:t>Andenmatten</w:t>
      </w:r>
      <w:proofErr w:type="spellEnd"/>
      <w:r w:rsidRPr="006D4A49">
        <w:rPr>
          <w:rFonts w:ascii="Arial" w:hAnsi="Arial" w:cs="Arial"/>
          <w:sz w:val="20"/>
          <w:szCs w:val="20"/>
          <w:lang w:val="en-US"/>
        </w:rPr>
        <w:t>, E., Barbati, A., Barreiro, S., ... &amp;</w:t>
      </w:r>
      <w:proofErr w:type="spellStart"/>
      <w:r w:rsidRPr="006D4A49">
        <w:rPr>
          <w:rFonts w:ascii="Arial" w:hAnsi="Arial" w:cs="Arial"/>
          <w:sz w:val="20"/>
          <w:szCs w:val="20"/>
          <w:lang w:val="en-US"/>
        </w:rPr>
        <w:t>Jactel</w:t>
      </w:r>
      <w:proofErr w:type="spellEnd"/>
      <w:r w:rsidRPr="006D4A49">
        <w:rPr>
          <w:rFonts w:ascii="Arial" w:hAnsi="Arial" w:cs="Arial"/>
          <w:sz w:val="20"/>
          <w:szCs w:val="20"/>
          <w:lang w:val="en-US"/>
        </w:rPr>
        <w:t xml:space="preserve">, H. (2014). European mixed forests: definition and research perspectives. </w:t>
      </w:r>
      <w:r w:rsidRPr="006D4A49">
        <w:rPr>
          <w:rFonts w:ascii="Arial" w:hAnsi="Arial" w:cs="Arial"/>
          <w:i/>
          <w:iCs/>
          <w:sz w:val="20"/>
          <w:szCs w:val="20"/>
          <w:lang w:val="en-US"/>
        </w:rPr>
        <w:t>Forest Systems</w:t>
      </w:r>
      <w:r w:rsidRPr="006D4A49">
        <w:rPr>
          <w:rFonts w:ascii="Arial" w:hAnsi="Arial" w:cs="Arial"/>
          <w:sz w:val="20"/>
          <w:szCs w:val="20"/>
          <w:lang w:val="en-US"/>
        </w:rPr>
        <w:t>,</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23(3), 518–533. </w:t>
      </w:r>
      <w:hyperlink r:id="rId12" w:tgtFrame="_new" w:history="1">
        <w:r w:rsidRPr="006D4A49">
          <w:rPr>
            <w:rFonts w:ascii="Arial" w:hAnsi="Arial" w:cs="Arial"/>
            <w:color w:val="0000FF"/>
            <w:sz w:val="20"/>
            <w:szCs w:val="20"/>
            <w:u w:val="single"/>
            <w:lang w:val="en-US"/>
          </w:rPr>
          <w:t>https://doi.org/10.5424/fs/2014233-06491</w:t>
        </w:r>
      </w:hyperlink>
      <w:r w:rsidR="000E6AD9" w:rsidRPr="006D4A49">
        <w:rPr>
          <w:rFonts w:ascii="Arial" w:hAnsi="Arial" w:cs="Arial"/>
          <w:sz w:val="20"/>
          <w:szCs w:val="20"/>
          <w:lang w:val="en-US"/>
        </w:rPr>
        <w:t xml:space="preserve"> </w:t>
      </w:r>
    </w:p>
    <w:p w14:paraId="0348DE75"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Cavard</w:t>
      </w:r>
      <w:proofErr w:type="spellEnd"/>
      <w:r w:rsidRPr="006D4A49">
        <w:rPr>
          <w:rFonts w:ascii="Arial" w:hAnsi="Arial" w:cs="Arial"/>
          <w:sz w:val="20"/>
          <w:szCs w:val="20"/>
          <w:lang w:val="en-US"/>
        </w:rPr>
        <w:t>, X., Macdonald, S. E., Bergeron, Y., &amp; Chen, H. Y. H. (2011). Importance of mixed</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forests for biodiversity conservation: response of </w:t>
      </w:r>
      <w:proofErr w:type="spellStart"/>
      <w:r w:rsidRPr="006D4A49">
        <w:rPr>
          <w:rFonts w:ascii="Arial" w:hAnsi="Arial" w:cs="Arial"/>
          <w:sz w:val="20"/>
          <w:szCs w:val="20"/>
          <w:lang w:val="en-US"/>
        </w:rPr>
        <w:t>understorey</w:t>
      </w:r>
      <w:proofErr w:type="spellEnd"/>
      <w:r w:rsidRPr="006D4A49">
        <w:rPr>
          <w:rFonts w:ascii="Arial" w:hAnsi="Arial" w:cs="Arial"/>
          <w:sz w:val="20"/>
          <w:szCs w:val="20"/>
          <w:lang w:val="en-US"/>
        </w:rPr>
        <w:t xml:space="preserve"> plants to </w:t>
      </w:r>
      <w:proofErr w:type="spellStart"/>
      <w:r w:rsidRPr="006D4A49">
        <w:rPr>
          <w:rFonts w:ascii="Arial" w:hAnsi="Arial" w:cs="Arial"/>
          <w:sz w:val="20"/>
          <w:szCs w:val="20"/>
          <w:lang w:val="en-US"/>
        </w:rPr>
        <w:t>overstorey</w:t>
      </w:r>
      <w:proofErr w:type="spellEnd"/>
      <w:r w:rsidRPr="006D4A49">
        <w:rPr>
          <w:rFonts w:ascii="Arial" w:hAnsi="Arial" w:cs="Arial"/>
          <w:sz w:val="20"/>
          <w:szCs w:val="20"/>
          <w:lang w:val="en-US"/>
        </w:rPr>
        <w:t xml:space="preserve"> composition. </w:t>
      </w:r>
      <w:r w:rsidRPr="006D4A49">
        <w:rPr>
          <w:rFonts w:ascii="Arial" w:hAnsi="Arial" w:cs="Arial"/>
          <w:i/>
          <w:iCs/>
          <w:sz w:val="20"/>
          <w:szCs w:val="20"/>
          <w:lang w:val="en-US"/>
        </w:rPr>
        <w:t>Journal of Ecology</w:t>
      </w:r>
      <w:r w:rsidRPr="006D4A49">
        <w:rPr>
          <w:rFonts w:ascii="Arial" w:hAnsi="Arial" w:cs="Arial"/>
          <w:sz w:val="20"/>
          <w:szCs w:val="20"/>
          <w:lang w:val="en-US"/>
        </w:rPr>
        <w:t>, 99(6), 1394–1404.</w:t>
      </w:r>
    </w:p>
    <w:p w14:paraId="1D8AEE58"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Chaverri, P., &amp; Samuels, G. J. (2003). </w:t>
      </w:r>
      <w:proofErr w:type="spellStart"/>
      <w:r w:rsidRPr="006D4A49">
        <w:rPr>
          <w:rFonts w:ascii="Arial" w:hAnsi="Arial" w:cs="Arial"/>
          <w:sz w:val="20"/>
          <w:szCs w:val="20"/>
          <w:lang w:val="en-US"/>
        </w:rPr>
        <w:t>Hypocrea</w:t>
      </w:r>
      <w:proofErr w:type="spellEnd"/>
      <w:r w:rsidRPr="006D4A49">
        <w:rPr>
          <w:rFonts w:ascii="Arial" w:hAnsi="Arial" w:cs="Arial"/>
          <w:sz w:val="20"/>
          <w:szCs w:val="20"/>
          <w:lang w:val="en-US"/>
        </w:rPr>
        <w:t xml:space="preserve">/Trichoderma (Ascomycota, Hypocreales): Species with green ascospores. </w:t>
      </w:r>
      <w:r w:rsidRPr="006D4A49">
        <w:rPr>
          <w:rFonts w:ascii="Arial" w:hAnsi="Arial" w:cs="Arial"/>
          <w:i/>
          <w:iCs/>
          <w:sz w:val="20"/>
          <w:szCs w:val="20"/>
          <w:lang w:val="en-US"/>
        </w:rPr>
        <w:t>Studies in Mycology</w:t>
      </w:r>
      <w:r w:rsidRPr="006D4A49">
        <w:rPr>
          <w:rFonts w:ascii="Arial" w:hAnsi="Arial" w:cs="Arial"/>
          <w:sz w:val="20"/>
          <w:szCs w:val="20"/>
          <w:lang w:val="en-US"/>
        </w:rPr>
        <w:t>, 48, 1–116.</w:t>
      </w:r>
    </w:p>
    <w:p w14:paraId="75E67684"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Classen, A. T., Boyle, S. I., Haskins, K. E., Overby, S. T., &amp; Hart, S. C. (2003). Community-level physiological profiles of bacteria and fungi: plate type and incubation temperature influences on contrasting soils. </w:t>
      </w:r>
      <w:r w:rsidRPr="006D4A49">
        <w:rPr>
          <w:rFonts w:ascii="Arial" w:hAnsi="Arial" w:cs="Arial"/>
          <w:i/>
          <w:iCs/>
          <w:sz w:val="20"/>
          <w:szCs w:val="20"/>
          <w:lang w:val="en-US"/>
        </w:rPr>
        <w:t>FEMS Microbiology Ecology</w:t>
      </w:r>
      <w:r w:rsidRPr="006D4A49">
        <w:rPr>
          <w:rFonts w:ascii="Arial" w:hAnsi="Arial" w:cs="Arial"/>
          <w:sz w:val="20"/>
          <w:szCs w:val="20"/>
          <w:lang w:val="en-US"/>
        </w:rPr>
        <w:t xml:space="preserve">, 44(3), 319–328. </w:t>
      </w:r>
      <w:hyperlink r:id="rId13" w:tgtFrame="_new" w:history="1">
        <w:r w:rsidRPr="006D4A49">
          <w:rPr>
            <w:rFonts w:ascii="Arial" w:hAnsi="Arial" w:cs="Arial"/>
            <w:color w:val="0000FF"/>
            <w:sz w:val="20"/>
            <w:szCs w:val="20"/>
            <w:u w:val="single"/>
            <w:lang w:val="en-US"/>
          </w:rPr>
          <w:t>https://doi.org/10.1016/S0168-6496(03)00072-6</w:t>
        </w:r>
      </w:hyperlink>
    </w:p>
    <w:p w14:paraId="255DA0EA"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Domsch</w:t>
      </w:r>
      <w:proofErr w:type="spellEnd"/>
      <w:r w:rsidRPr="006D4A49">
        <w:rPr>
          <w:rFonts w:ascii="Arial" w:hAnsi="Arial" w:cs="Arial"/>
          <w:sz w:val="20"/>
          <w:szCs w:val="20"/>
          <w:lang w:val="en-US"/>
        </w:rPr>
        <w:t xml:space="preserve">, K. H., Gams, W., &amp; Anderson, T.-H. (2007). </w:t>
      </w:r>
      <w:r w:rsidRPr="006D4A49">
        <w:rPr>
          <w:rFonts w:ascii="Arial" w:hAnsi="Arial" w:cs="Arial"/>
          <w:iCs/>
          <w:sz w:val="20"/>
          <w:szCs w:val="20"/>
          <w:lang w:val="en-US"/>
        </w:rPr>
        <w:t>Compendium of Soil Fungi</w:t>
      </w:r>
      <w:r w:rsidRPr="006D4A49">
        <w:rPr>
          <w:rFonts w:ascii="Arial" w:hAnsi="Arial" w:cs="Arial"/>
          <w:sz w:val="20"/>
          <w:szCs w:val="20"/>
          <w:lang w:val="en-US"/>
        </w:rPr>
        <w:t xml:space="preserve"> (2nd ed.). IHW Verlag.</w:t>
      </w:r>
    </w:p>
    <w:p w14:paraId="13F2E75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Dugan, F. M. (2006). </w:t>
      </w:r>
      <w:r w:rsidRPr="006D4A49">
        <w:rPr>
          <w:rFonts w:ascii="Arial" w:hAnsi="Arial" w:cs="Arial"/>
          <w:iCs/>
          <w:sz w:val="20"/>
          <w:szCs w:val="20"/>
          <w:lang w:val="en-US"/>
        </w:rPr>
        <w:t>The Identification of Fungi: An Illustrated Introduction with Keys, Glossary, and Guide to Literature</w:t>
      </w:r>
      <w:r w:rsidRPr="006D4A49">
        <w:rPr>
          <w:rFonts w:ascii="Arial" w:hAnsi="Arial" w:cs="Arial"/>
          <w:sz w:val="20"/>
          <w:szCs w:val="20"/>
          <w:lang w:val="en-US"/>
        </w:rPr>
        <w:t>. APS Press.</w:t>
      </w:r>
    </w:p>
    <w:p w14:paraId="68A175CD" w14:textId="77777777" w:rsidR="000E6AD9" w:rsidRPr="006D4A49" w:rsidRDefault="00A73741"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Fomin G. S., and Fomin A. G.</w:t>
      </w:r>
      <w:r w:rsidR="00E15FA5" w:rsidRPr="006D4A49">
        <w:rPr>
          <w:rFonts w:ascii="Arial" w:hAnsi="Arial" w:cs="Arial"/>
          <w:sz w:val="20"/>
          <w:szCs w:val="20"/>
          <w:lang w:val="en-US"/>
        </w:rPr>
        <w:t xml:space="preserve"> (2001). </w:t>
      </w:r>
      <w:r w:rsidRPr="006D4A49">
        <w:rPr>
          <w:rFonts w:ascii="Arial" w:hAnsi="Arial" w:cs="Arial"/>
          <w:sz w:val="20"/>
          <w:szCs w:val="20"/>
          <w:lang w:val="en-US"/>
        </w:rPr>
        <w:t xml:space="preserve">Methods of soils investigation </w:t>
      </w:r>
      <w:r w:rsidRPr="006D4A49">
        <w:rPr>
          <w:rFonts w:ascii="Arial" w:hAnsi="Arial" w:cs="Arial"/>
          <w:iCs/>
          <w:sz w:val="20"/>
          <w:szCs w:val="20"/>
          <w:lang w:val="en-US"/>
        </w:rPr>
        <w:t>Moscow, Kolos</w:t>
      </w:r>
      <w:r w:rsidRPr="006D4A49">
        <w:rPr>
          <w:rFonts w:ascii="Arial" w:hAnsi="Arial" w:cs="Arial"/>
          <w:i/>
          <w:iCs/>
          <w:sz w:val="20"/>
          <w:szCs w:val="20"/>
          <w:lang w:val="en-US"/>
        </w:rPr>
        <w:t xml:space="preserve"> </w:t>
      </w:r>
      <w:r w:rsidRPr="006D4A49">
        <w:rPr>
          <w:rFonts w:ascii="Arial" w:hAnsi="Arial" w:cs="Arial"/>
          <w:iCs/>
          <w:sz w:val="20"/>
          <w:szCs w:val="20"/>
          <w:lang w:val="en-US"/>
        </w:rPr>
        <w:t>(Russian)</w:t>
      </w:r>
      <w:r w:rsidRPr="006D4A49">
        <w:rPr>
          <w:rFonts w:ascii="Arial" w:hAnsi="Arial" w:cs="Arial"/>
          <w:i/>
          <w:iCs/>
          <w:sz w:val="20"/>
          <w:szCs w:val="20"/>
          <w:lang w:val="en-US"/>
        </w:rPr>
        <w:t>.</w:t>
      </w:r>
    </w:p>
    <w:p w14:paraId="1531361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Hawksworth, D. L., &amp; Lücking, R. (2017). Fungal Diversity Revisited: 2.2 to 3.8 Million Species. </w:t>
      </w:r>
      <w:r w:rsidRPr="006D4A49">
        <w:rPr>
          <w:rFonts w:ascii="Arial" w:hAnsi="Arial" w:cs="Arial"/>
          <w:i/>
          <w:iCs/>
          <w:sz w:val="20"/>
          <w:szCs w:val="20"/>
          <w:lang w:val="en-US"/>
        </w:rPr>
        <w:t>Microbiology Spectrum</w:t>
      </w:r>
      <w:r w:rsidRPr="006D4A49">
        <w:rPr>
          <w:rFonts w:ascii="Arial" w:hAnsi="Arial" w:cs="Arial"/>
          <w:sz w:val="20"/>
          <w:szCs w:val="20"/>
          <w:lang w:val="en-US"/>
        </w:rPr>
        <w:t xml:space="preserve">, 5(4). </w:t>
      </w:r>
      <w:hyperlink r:id="rId14" w:tgtFrame="_new" w:history="1">
        <w:r w:rsidRPr="006D4A49">
          <w:rPr>
            <w:rFonts w:ascii="Arial" w:hAnsi="Arial" w:cs="Arial"/>
            <w:color w:val="0000FF"/>
            <w:sz w:val="20"/>
            <w:szCs w:val="20"/>
            <w:u w:val="single"/>
            <w:lang w:val="en-US"/>
          </w:rPr>
          <w:t>https://doi.org/10.1128/microbiolspec.FUNK-0052-2016</w:t>
        </w:r>
      </w:hyperlink>
    </w:p>
    <w:p w14:paraId="1BF479BB"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Ishida, T. A., </w:t>
      </w:r>
      <w:proofErr w:type="spellStart"/>
      <w:r w:rsidRPr="006D4A49">
        <w:rPr>
          <w:rFonts w:ascii="Arial" w:hAnsi="Arial" w:cs="Arial"/>
          <w:sz w:val="20"/>
          <w:szCs w:val="20"/>
          <w:lang w:val="en-US"/>
        </w:rPr>
        <w:t>Niihei</w:t>
      </w:r>
      <w:proofErr w:type="spellEnd"/>
      <w:r w:rsidRPr="006D4A49">
        <w:rPr>
          <w:rFonts w:ascii="Arial" w:hAnsi="Arial" w:cs="Arial"/>
          <w:sz w:val="20"/>
          <w:szCs w:val="20"/>
          <w:lang w:val="en-US"/>
        </w:rPr>
        <w:t xml:space="preserve">, N., </w:t>
      </w:r>
      <w:proofErr w:type="spellStart"/>
      <w:r w:rsidRPr="006D4A49">
        <w:rPr>
          <w:rFonts w:ascii="Arial" w:hAnsi="Arial" w:cs="Arial"/>
          <w:sz w:val="20"/>
          <w:szCs w:val="20"/>
          <w:lang w:val="en-US"/>
        </w:rPr>
        <w:t>Ushimaru</w:t>
      </w:r>
      <w:proofErr w:type="spellEnd"/>
      <w:r w:rsidRPr="006D4A49">
        <w:rPr>
          <w:rFonts w:ascii="Arial" w:hAnsi="Arial" w:cs="Arial"/>
          <w:sz w:val="20"/>
          <w:szCs w:val="20"/>
          <w:lang w:val="en-US"/>
        </w:rPr>
        <w:t xml:space="preserve">, A., &amp; </w:t>
      </w:r>
      <w:proofErr w:type="spellStart"/>
      <w:r w:rsidRPr="006D4A49">
        <w:rPr>
          <w:rFonts w:ascii="Arial" w:hAnsi="Arial" w:cs="Arial"/>
          <w:sz w:val="20"/>
          <w:szCs w:val="20"/>
          <w:lang w:val="en-US"/>
        </w:rPr>
        <w:t>Washitani</w:t>
      </w:r>
      <w:proofErr w:type="spellEnd"/>
      <w:r w:rsidRPr="006D4A49">
        <w:rPr>
          <w:rFonts w:ascii="Arial" w:hAnsi="Arial" w:cs="Arial"/>
          <w:sz w:val="20"/>
          <w:szCs w:val="20"/>
          <w:lang w:val="en-US"/>
        </w:rPr>
        <w:t xml:space="preserve">, I. (2007). Restoration of wetland vegetation after topsoil removal: the effects of water-level manipulation and monitoring. </w:t>
      </w:r>
      <w:r w:rsidRPr="006D4A49">
        <w:rPr>
          <w:rFonts w:ascii="Arial" w:hAnsi="Arial" w:cs="Arial"/>
          <w:i/>
          <w:iCs/>
          <w:sz w:val="20"/>
          <w:szCs w:val="20"/>
          <w:lang w:val="en-US"/>
        </w:rPr>
        <w:t>Ecological Research</w:t>
      </w:r>
      <w:r w:rsidRPr="006D4A49">
        <w:rPr>
          <w:rFonts w:ascii="Arial" w:hAnsi="Arial" w:cs="Arial"/>
          <w:sz w:val="20"/>
          <w:szCs w:val="20"/>
          <w:lang w:val="en-US"/>
        </w:rPr>
        <w:t>, 22(4), 724–734.</w:t>
      </w:r>
    </w:p>
    <w:p w14:paraId="0CEEB3F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Kirk, P. M., Cannon, P. F., Minter, D. W., &amp; </w:t>
      </w:r>
      <w:proofErr w:type="spellStart"/>
      <w:r w:rsidRPr="006D4A49">
        <w:rPr>
          <w:rFonts w:ascii="Arial" w:hAnsi="Arial" w:cs="Arial"/>
          <w:sz w:val="20"/>
          <w:szCs w:val="20"/>
          <w:lang w:val="en-US"/>
        </w:rPr>
        <w:t>Stalpers</w:t>
      </w:r>
      <w:proofErr w:type="spellEnd"/>
      <w:r w:rsidRPr="006D4A49">
        <w:rPr>
          <w:rFonts w:ascii="Arial" w:hAnsi="Arial" w:cs="Arial"/>
          <w:sz w:val="20"/>
          <w:szCs w:val="20"/>
          <w:lang w:val="en-US"/>
        </w:rPr>
        <w:t xml:space="preserve">, J. A. (2011). </w:t>
      </w:r>
      <w:r w:rsidRPr="006D4A49">
        <w:rPr>
          <w:rFonts w:ascii="Arial" w:hAnsi="Arial" w:cs="Arial"/>
          <w:iCs/>
          <w:sz w:val="20"/>
          <w:szCs w:val="20"/>
          <w:lang w:val="en-US"/>
        </w:rPr>
        <w:t>Dictionary of the Fungi</w:t>
      </w:r>
      <w:r w:rsidRPr="006D4A49">
        <w:rPr>
          <w:rFonts w:ascii="Arial" w:hAnsi="Arial" w:cs="Arial"/>
          <w:sz w:val="20"/>
          <w:szCs w:val="20"/>
          <w:lang w:val="en-US"/>
        </w:rPr>
        <w:t xml:space="preserve"> (10th ed.). CAB International.</w:t>
      </w:r>
    </w:p>
    <w:p w14:paraId="3C7A7A3F"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Malloch, D. (1981). </w:t>
      </w:r>
      <w:proofErr w:type="spellStart"/>
      <w:r w:rsidRPr="006D4A49">
        <w:rPr>
          <w:rFonts w:ascii="Arial" w:hAnsi="Arial" w:cs="Arial"/>
          <w:iCs/>
          <w:sz w:val="20"/>
          <w:szCs w:val="20"/>
          <w:lang w:val="en-US"/>
        </w:rPr>
        <w:t>Moulds</w:t>
      </w:r>
      <w:proofErr w:type="spellEnd"/>
      <w:r w:rsidRPr="006D4A49">
        <w:rPr>
          <w:rFonts w:ascii="Arial" w:hAnsi="Arial" w:cs="Arial"/>
          <w:iCs/>
          <w:sz w:val="20"/>
          <w:szCs w:val="20"/>
          <w:lang w:val="en-US"/>
        </w:rPr>
        <w:t>: Their isolation, cultivation, and identification</w:t>
      </w:r>
      <w:r w:rsidRPr="006D4A49">
        <w:rPr>
          <w:rFonts w:ascii="Arial" w:hAnsi="Arial" w:cs="Arial"/>
          <w:sz w:val="20"/>
          <w:szCs w:val="20"/>
          <w:lang w:val="en-US"/>
        </w:rPr>
        <w:t>. University of Toronto Press.</w:t>
      </w:r>
    </w:p>
    <w:p w14:paraId="41B09E39"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Nagati, M., Roy, M., Desrochers, A., &amp; Thiffault, N. (2018). Black spruce–feather moss forests under warming climate: evidence of lower ectomycorrhizal diversity. </w:t>
      </w:r>
      <w:r w:rsidRPr="006D4A49">
        <w:rPr>
          <w:rFonts w:ascii="Arial" w:hAnsi="Arial" w:cs="Arial"/>
          <w:i/>
          <w:iCs/>
          <w:sz w:val="20"/>
          <w:szCs w:val="20"/>
          <w:lang w:val="en-US"/>
        </w:rPr>
        <w:t>Fungal Ecology</w:t>
      </w:r>
      <w:r w:rsidRPr="006D4A49">
        <w:rPr>
          <w:rFonts w:ascii="Arial" w:hAnsi="Arial" w:cs="Arial"/>
          <w:sz w:val="20"/>
          <w:szCs w:val="20"/>
          <w:lang w:val="en-US"/>
        </w:rPr>
        <w:t xml:space="preserve">, 36, 107–117. </w:t>
      </w:r>
      <w:hyperlink r:id="rId15" w:tgtFrame="_new" w:history="1">
        <w:r w:rsidRPr="006D4A49">
          <w:rPr>
            <w:rFonts w:ascii="Arial" w:hAnsi="Arial" w:cs="Arial"/>
            <w:color w:val="0000FF"/>
            <w:sz w:val="20"/>
            <w:szCs w:val="20"/>
            <w:u w:val="single"/>
            <w:lang w:val="en-US"/>
          </w:rPr>
          <w:t>https://doi.org/10.1016/j.funeco.2018.08.006</w:t>
        </w:r>
      </w:hyperlink>
    </w:p>
    <w:p w14:paraId="2FB2DAA8"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Pitt, J. I., &amp; Hocking, A. D. (2009). </w:t>
      </w:r>
      <w:r w:rsidRPr="006D4A49">
        <w:rPr>
          <w:rFonts w:ascii="Arial" w:hAnsi="Arial" w:cs="Arial"/>
          <w:iCs/>
          <w:sz w:val="20"/>
          <w:szCs w:val="20"/>
          <w:lang w:val="en-US"/>
        </w:rPr>
        <w:t>Fungi and Food Spoilage</w:t>
      </w:r>
      <w:r w:rsidRPr="006D4A49">
        <w:rPr>
          <w:rFonts w:ascii="Arial" w:hAnsi="Arial" w:cs="Arial"/>
          <w:sz w:val="20"/>
          <w:szCs w:val="20"/>
          <w:lang w:val="en-US"/>
        </w:rPr>
        <w:t xml:space="preserve"> (3rd ed.). Springer.</w:t>
      </w:r>
    </w:p>
    <w:p w14:paraId="7B7B32B9"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Samuels, G. J. (2003). Trichoderma: Systematics, the sexual state, and ecology. </w:t>
      </w:r>
      <w:r w:rsidRPr="006D4A49">
        <w:rPr>
          <w:rFonts w:ascii="Arial" w:hAnsi="Arial" w:cs="Arial"/>
          <w:i/>
          <w:iCs/>
          <w:sz w:val="20"/>
          <w:szCs w:val="20"/>
          <w:lang w:val="en-US"/>
        </w:rPr>
        <w:t>Phytopathology</w:t>
      </w:r>
      <w:r w:rsidRPr="006D4A49">
        <w:rPr>
          <w:rFonts w:ascii="Arial" w:hAnsi="Arial" w:cs="Arial"/>
          <w:sz w:val="20"/>
          <w:szCs w:val="20"/>
          <w:lang w:val="en-US"/>
        </w:rPr>
        <w:t>, 93(9), 1035–1038.</w:t>
      </w:r>
    </w:p>
    <w:p w14:paraId="4055DF4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Shavadze, B., </w:t>
      </w:r>
      <w:proofErr w:type="spellStart"/>
      <w:r w:rsidRPr="006D4A49">
        <w:rPr>
          <w:rFonts w:ascii="Arial" w:hAnsi="Arial" w:cs="Arial"/>
          <w:sz w:val="20"/>
          <w:szCs w:val="20"/>
          <w:lang w:val="en-US"/>
        </w:rPr>
        <w:t>Zakariashvili</w:t>
      </w:r>
      <w:proofErr w:type="spellEnd"/>
      <w:r w:rsidRPr="006D4A49">
        <w:rPr>
          <w:rFonts w:ascii="Arial" w:hAnsi="Arial" w:cs="Arial"/>
          <w:sz w:val="20"/>
          <w:szCs w:val="20"/>
          <w:lang w:val="en-US"/>
        </w:rPr>
        <w:t xml:space="preserve">, N., Badridze, A., Amiranashvili, L., Machavariani, N., &amp; </w:t>
      </w:r>
      <w:proofErr w:type="spellStart"/>
      <w:r w:rsidRPr="006D4A49">
        <w:rPr>
          <w:rFonts w:ascii="Arial" w:hAnsi="Arial" w:cs="Arial"/>
          <w:sz w:val="20"/>
          <w:szCs w:val="20"/>
          <w:lang w:val="en-US"/>
        </w:rPr>
        <w:t>Sadunishvili</w:t>
      </w:r>
      <w:proofErr w:type="spellEnd"/>
      <w:r w:rsidRPr="006D4A49">
        <w:rPr>
          <w:rFonts w:ascii="Arial" w:hAnsi="Arial" w:cs="Arial"/>
          <w:sz w:val="20"/>
          <w:szCs w:val="20"/>
          <w:lang w:val="en-US"/>
        </w:rPr>
        <w:t xml:space="preserve">, T. (2024). Selection of halotolerant cellulose- and starch-degrading microscopic fungi strains for composting remediation of saline soils. </w:t>
      </w:r>
      <w:r w:rsidRPr="006D4A49">
        <w:rPr>
          <w:rFonts w:ascii="Arial" w:hAnsi="Arial" w:cs="Arial"/>
          <w:i/>
          <w:iCs/>
          <w:sz w:val="20"/>
          <w:szCs w:val="20"/>
          <w:lang w:val="en-US"/>
        </w:rPr>
        <w:t>Bulletin of the Georgian National Academy of Sciences</w:t>
      </w:r>
      <w:r w:rsidRPr="006D4A49">
        <w:rPr>
          <w:rFonts w:ascii="Arial" w:hAnsi="Arial" w:cs="Arial"/>
          <w:sz w:val="20"/>
          <w:szCs w:val="20"/>
          <w:lang w:val="en-US"/>
        </w:rPr>
        <w:t>, 18(4).</w:t>
      </w:r>
    </w:p>
    <w:p w14:paraId="3963EBEE"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Spatafora, J. W., Chang, Y., Benny, G. L., Lazarus, K., Smith, M. E., </w:t>
      </w:r>
      <w:proofErr w:type="spellStart"/>
      <w:r w:rsidRPr="006D4A49">
        <w:rPr>
          <w:rFonts w:ascii="Arial" w:hAnsi="Arial" w:cs="Arial"/>
          <w:sz w:val="20"/>
          <w:szCs w:val="20"/>
          <w:lang w:val="en-US"/>
        </w:rPr>
        <w:t>Berbee</w:t>
      </w:r>
      <w:proofErr w:type="spellEnd"/>
      <w:r w:rsidRPr="006D4A49">
        <w:rPr>
          <w:rFonts w:ascii="Arial" w:hAnsi="Arial" w:cs="Arial"/>
          <w:sz w:val="20"/>
          <w:szCs w:val="20"/>
          <w:lang w:val="en-US"/>
        </w:rPr>
        <w:t xml:space="preserve">, M. L., ... &amp; Taylor, J. W. (2016). A phylum-level phylogenetic classification of zygomycete fungi based on genome-scale data. </w:t>
      </w:r>
      <w:proofErr w:type="spellStart"/>
      <w:r w:rsidRPr="006D4A49">
        <w:rPr>
          <w:rFonts w:ascii="Arial" w:hAnsi="Arial" w:cs="Arial"/>
          <w:i/>
          <w:iCs/>
          <w:sz w:val="20"/>
          <w:szCs w:val="20"/>
          <w:lang w:val="en-US"/>
        </w:rPr>
        <w:t>Mycologia</w:t>
      </w:r>
      <w:proofErr w:type="spellEnd"/>
      <w:r w:rsidRPr="006D4A49">
        <w:rPr>
          <w:rFonts w:ascii="Arial" w:hAnsi="Arial" w:cs="Arial"/>
          <w:sz w:val="20"/>
          <w:szCs w:val="20"/>
          <w:lang w:val="en-US"/>
        </w:rPr>
        <w:t xml:space="preserve">, 108(5), 1028–1046. </w:t>
      </w:r>
      <w:hyperlink r:id="rId16" w:tgtFrame="_new" w:history="1">
        <w:r w:rsidRPr="006D4A49">
          <w:rPr>
            <w:rFonts w:ascii="Arial" w:hAnsi="Arial" w:cs="Arial"/>
            <w:color w:val="0000FF"/>
            <w:sz w:val="20"/>
            <w:szCs w:val="20"/>
            <w:u w:val="single"/>
            <w:lang w:val="en-US"/>
          </w:rPr>
          <w:t>https://doi.org/10.3852/16-042</w:t>
        </w:r>
      </w:hyperlink>
    </w:p>
    <w:p w14:paraId="495EDF54"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Summerell, B. A., Laurence, M. H., Liew, E. C. Y., &amp; Leslie, J. F. (2010). Biogeography and phylogeography of </w:t>
      </w:r>
      <w:r w:rsidRPr="006D4A49">
        <w:rPr>
          <w:rFonts w:ascii="Arial" w:hAnsi="Arial" w:cs="Arial"/>
          <w:i/>
          <w:iCs/>
          <w:sz w:val="20"/>
          <w:szCs w:val="20"/>
          <w:lang w:val="en-US"/>
        </w:rPr>
        <w:t>Fusarium</w:t>
      </w:r>
      <w:r w:rsidRPr="006D4A49">
        <w:rPr>
          <w:rFonts w:ascii="Arial" w:hAnsi="Arial" w:cs="Arial"/>
          <w:sz w:val="20"/>
          <w:szCs w:val="20"/>
          <w:lang w:val="en-US"/>
        </w:rPr>
        <w:t xml:space="preserve">: a review. </w:t>
      </w:r>
      <w:r w:rsidRPr="006D4A49">
        <w:rPr>
          <w:rFonts w:ascii="Arial" w:hAnsi="Arial" w:cs="Arial"/>
          <w:i/>
          <w:iCs/>
          <w:sz w:val="20"/>
          <w:szCs w:val="20"/>
          <w:lang w:val="en-US"/>
        </w:rPr>
        <w:t>Fungal Diversity</w:t>
      </w:r>
      <w:r w:rsidRPr="006D4A49">
        <w:rPr>
          <w:rFonts w:ascii="Arial" w:hAnsi="Arial" w:cs="Arial"/>
          <w:sz w:val="20"/>
          <w:szCs w:val="20"/>
          <w:lang w:val="en-US"/>
        </w:rPr>
        <w:t xml:space="preserve">, 44, 3–13. </w:t>
      </w:r>
      <w:hyperlink r:id="rId17" w:tgtFrame="_new" w:history="1">
        <w:r w:rsidRPr="006D4A49">
          <w:rPr>
            <w:rFonts w:ascii="Arial" w:hAnsi="Arial" w:cs="Arial"/>
            <w:color w:val="0000FF"/>
            <w:sz w:val="20"/>
            <w:szCs w:val="20"/>
            <w:u w:val="single"/>
            <w:lang w:val="en-US"/>
          </w:rPr>
          <w:t>https://doi.org/10.1007/s13225-010-0060-2</w:t>
        </w:r>
      </w:hyperlink>
    </w:p>
    <w:p w14:paraId="57AA797F" w14:textId="77777777" w:rsidR="00E15FA5"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Waksman, S. A. (1922). A method for counting the number of fungi in the soil. </w:t>
      </w:r>
      <w:r w:rsidRPr="006D4A49">
        <w:rPr>
          <w:rFonts w:ascii="Arial" w:hAnsi="Arial" w:cs="Arial"/>
          <w:i/>
          <w:iCs/>
          <w:sz w:val="20"/>
          <w:szCs w:val="20"/>
          <w:lang w:val="en-US"/>
        </w:rPr>
        <w:t>Journal of Bacteriology</w:t>
      </w:r>
      <w:r w:rsidRPr="006D4A49">
        <w:rPr>
          <w:rFonts w:ascii="Arial" w:hAnsi="Arial" w:cs="Arial"/>
          <w:sz w:val="20"/>
          <w:szCs w:val="20"/>
          <w:lang w:val="en-US"/>
        </w:rPr>
        <w:t>, 7(3), 339–341.</w:t>
      </w:r>
    </w:p>
    <w:sectPr w:rsidR="00E15FA5" w:rsidRPr="006D4A49" w:rsidSect="00F00EBD">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7840" w14:textId="77777777" w:rsidR="00B616C2" w:rsidRDefault="00B616C2" w:rsidP="00335CEE">
      <w:pPr>
        <w:spacing w:after="0" w:line="240" w:lineRule="auto"/>
      </w:pPr>
      <w:r>
        <w:separator/>
      </w:r>
    </w:p>
  </w:endnote>
  <w:endnote w:type="continuationSeparator" w:id="0">
    <w:p w14:paraId="115A4494" w14:textId="77777777" w:rsidR="00B616C2" w:rsidRDefault="00B616C2" w:rsidP="0033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3243" w14:textId="77777777" w:rsidR="004463C6" w:rsidRDefault="0044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26825"/>
      <w:docPartObj>
        <w:docPartGallery w:val="Page Numbers (Bottom of Page)"/>
        <w:docPartUnique/>
      </w:docPartObj>
    </w:sdtPr>
    <w:sdtEndPr/>
    <w:sdtContent>
      <w:p w14:paraId="0BDCBE68" w14:textId="77777777" w:rsidR="00335CEE" w:rsidRDefault="006233D9">
        <w:pPr>
          <w:pStyle w:val="Footer"/>
          <w:jc w:val="right"/>
        </w:pPr>
        <w:r>
          <w:fldChar w:fldCharType="begin"/>
        </w:r>
        <w:r>
          <w:instrText xml:space="preserve"> PAGE   \* MERGEFORMAT </w:instrText>
        </w:r>
        <w:r>
          <w:fldChar w:fldCharType="separate"/>
        </w:r>
        <w:r w:rsidR="00001187">
          <w:rPr>
            <w:noProof/>
          </w:rPr>
          <w:t>1</w:t>
        </w:r>
        <w:r>
          <w:rPr>
            <w:noProof/>
          </w:rPr>
          <w:fldChar w:fldCharType="end"/>
        </w:r>
      </w:p>
    </w:sdtContent>
  </w:sdt>
  <w:p w14:paraId="2E815328" w14:textId="77777777" w:rsidR="00335CEE" w:rsidRDefault="00335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1C90" w14:textId="77777777" w:rsidR="004463C6" w:rsidRDefault="0044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5628C" w14:textId="77777777" w:rsidR="00B616C2" w:rsidRDefault="00B616C2" w:rsidP="00335CEE">
      <w:pPr>
        <w:spacing w:after="0" w:line="240" w:lineRule="auto"/>
      </w:pPr>
      <w:r>
        <w:separator/>
      </w:r>
    </w:p>
  </w:footnote>
  <w:footnote w:type="continuationSeparator" w:id="0">
    <w:p w14:paraId="49CBB396" w14:textId="77777777" w:rsidR="00B616C2" w:rsidRDefault="00B616C2" w:rsidP="0033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FD4C" w14:textId="3A6A40B3" w:rsidR="004463C6" w:rsidRDefault="004463C6">
    <w:pPr>
      <w:pStyle w:val="Header"/>
    </w:pPr>
    <w:r>
      <w:rPr>
        <w:noProof/>
      </w:rPr>
      <w:pict w14:anchorId="6B1FB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5"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1987" w14:textId="4CA9AED6" w:rsidR="004463C6" w:rsidRDefault="004463C6">
    <w:pPr>
      <w:pStyle w:val="Header"/>
    </w:pPr>
    <w:r>
      <w:rPr>
        <w:noProof/>
      </w:rPr>
      <w:pict w14:anchorId="550F7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6"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C8" w14:textId="240D88A9" w:rsidR="004463C6" w:rsidRDefault="004463C6">
    <w:pPr>
      <w:pStyle w:val="Header"/>
    </w:pPr>
    <w:r>
      <w:rPr>
        <w:noProof/>
      </w:rPr>
      <w:pict w14:anchorId="61C6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4"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6789C"/>
    <w:multiLevelType w:val="hybridMultilevel"/>
    <w:tmpl w:val="7A208BF8"/>
    <w:lvl w:ilvl="0" w:tplc="BB5C712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83761"/>
    <w:multiLevelType w:val="multilevel"/>
    <w:tmpl w:val="932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F38B2"/>
    <w:multiLevelType w:val="hybridMultilevel"/>
    <w:tmpl w:val="E48C92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15407"/>
    <w:multiLevelType w:val="multilevel"/>
    <w:tmpl w:val="A9E4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0F6"/>
    <w:rsid w:val="00001187"/>
    <w:rsid w:val="00023539"/>
    <w:rsid w:val="00062EBE"/>
    <w:rsid w:val="00065842"/>
    <w:rsid w:val="000E6AD9"/>
    <w:rsid w:val="000F1F34"/>
    <w:rsid w:val="00195753"/>
    <w:rsid w:val="001C6B9A"/>
    <w:rsid w:val="001D09B8"/>
    <w:rsid w:val="001D6291"/>
    <w:rsid w:val="001E3E66"/>
    <w:rsid w:val="00254F05"/>
    <w:rsid w:val="00300BC5"/>
    <w:rsid w:val="00335CEE"/>
    <w:rsid w:val="003E2669"/>
    <w:rsid w:val="00424AE4"/>
    <w:rsid w:val="004463C6"/>
    <w:rsid w:val="00482108"/>
    <w:rsid w:val="00482693"/>
    <w:rsid w:val="004C0156"/>
    <w:rsid w:val="004D27EE"/>
    <w:rsid w:val="004D35B4"/>
    <w:rsid w:val="005577A5"/>
    <w:rsid w:val="00616A3D"/>
    <w:rsid w:val="006233D9"/>
    <w:rsid w:val="00642971"/>
    <w:rsid w:val="006D4A49"/>
    <w:rsid w:val="00714806"/>
    <w:rsid w:val="00815F78"/>
    <w:rsid w:val="0089236E"/>
    <w:rsid w:val="008C25A5"/>
    <w:rsid w:val="008D7711"/>
    <w:rsid w:val="00A020DB"/>
    <w:rsid w:val="00A67C98"/>
    <w:rsid w:val="00A73741"/>
    <w:rsid w:val="00A8285A"/>
    <w:rsid w:val="00B125C0"/>
    <w:rsid w:val="00B616C2"/>
    <w:rsid w:val="00BB60F6"/>
    <w:rsid w:val="00C137D6"/>
    <w:rsid w:val="00CB14B2"/>
    <w:rsid w:val="00CF0FC8"/>
    <w:rsid w:val="00D10F37"/>
    <w:rsid w:val="00DD2223"/>
    <w:rsid w:val="00DE4305"/>
    <w:rsid w:val="00E15FA5"/>
    <w:rsid w:val="00E677C3"/>
    <w:rsid w:val="00E855EC"/>
    <w:rsid w:val="00E86306"/>
    <w:rsid w:val="00EF17BA"/>
    <w:rsid w:val="00F00EBD"/>
    <w:rsid w:val="00F56AC1"/>
    <w:rsid w:val="00F7515C"/>
    <w:rsid w:val="00FF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5A344"/>
  <w15:docId w15:val="{1AA97A21-ACA6-4A52-BA72-22FEECB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BD"/>
  </w:style>
  <w:style w:type="paragraph" w:styleId="Heading1">
    <w:name w:val="heading 1"/>
    <w:basedOn w:val="Normal"/>
    <w:link w:val="Heading1Char"/>
    <w:uiPriority w:val="9"/>
    <w:qFormat/>
    <w:rsid w:val="00001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B60F6"/>
    <w:rPr>
      <w:b/>
      <w:bCs/>
    </w:rPr>
  </w:style>
  <w:style w:type="character" w:styleId="Emphasis">
    <w:name w:val="Emphasis"/>
    <w:basedOn w:val="DefaultParagraphFont"/>
    <w:uiPriority w:val="20"/>
    <w:qFormat/>
    <w:rsid w:val="00BB60F6"/>
    <w:rPr>
      <w:i/>
      <w:iCs/>
    </w:rPr>
  </w:style>
  <w:style w:type="character" w:styleId="Hyperlink">
    <w:name w:val="Hyperlink"/>
    <w:basedOn w:val="DefaultParagraphFont"/>
    <w:uiPriority w:val="99"/>
    <w:unhideWhenUsed/>
    <w:rsid w:val="00BB60F6"/>
    <w:rPr>
      <w:color w:val="0000FF"/>
      <w:u w:val="single"/>
    </w:rPr>
  </w:style>
  <w:style w:type="table" w:styleId="TableGrid">
    <w:name w:val="Table Grid"/>
    <w:basedOn w:val="TableNormal"/>
    <w:uiPriority w:val="59"/>
    <w:rsid w:val="00E1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C8"/>
    <w:rPr>
      <w:rFonts w:ascii="Tahoma" w:hAnsi="Tahoma" w:cs="Tahoma"/>
      <w:sz w:val="16"/>
      <w:szCs w:val="16"/>
    </w:rPr>
  </w:style>
  <w:style w:type="paragraph" w:styleId="Header">
    <w:name w:val="header"/>
    <w:basedOn w:val="Normal"/>
    <w:link w:val="HeaderChar"/>
    <w:uiPriority w:val="99"/>
    <w:unhideWhenUsed/>
    <w:rsid w:val="00335CE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CEE"/>
  </w:style>
  <w:style w:type="paragraph" w:styleId="Footer">
    <w:name w:val="footer"/>
    <w:basedOn w:val="Normal"/>
    <w:link w:val="FooterChar"/>
    <w:uiPriority w:val="99"/>
    <w:unhideWhenUsed/>
    <w:rsid w:val="00335CE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35CEE"/>
  </w:style>
  <w:style w:type="character" w:customStyle="1" w:styleId="Heading1Char">
    <w:name w:val="Heading 1 Char"/>
    <w:basedOn w:val="DefaultParagraphFont"/>
    <w:link w:val="Heading1"/>
    <w:uiPriority w:val="9"/>
    <w:rsid w:val="00001187"/>
    <w:rPr>
      <w:rFonts w:ascii="Times New Roman" w:eastAsia="Times New Roman" w:hAnsi="Times New Roman" w:cs="Times New Roman"/>
      <w:b/>
      <w:bCs/>
      <w:kern w:val="36"/>
      <w:sz w:val="48"/>
      <w:szCs w:val="48"/>
      <w:lang w:eastAsia="ru-RU"/>
    </w:rPr>
  </w:style>
  <w:style w:type="paragraph" w:styleId="ListParagraph">
    <w:name w:val="List Paragraph"/>
    <w:basedOn w:val="Normal"/>
    <w:uiPriority w:val="34"/>
    <w:qFormat/>
    <w:rsid w:val="008D7711"/>
    <w:pPr>
      <w:ind w:left="720"/>
      <w:contextualSpacing/>
    </w:pPr>
  </w:style>
  <w:style w:type="paragraph" w:customStyle="1" w:styleId="ReferHead">
    <w:name w:val="Refer Head"/>
    <w:basedOn w:val="Normal"/>
    <w:rsid w:val="00195753"/>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195753"/>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1C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080">
      <w:bodyDiv w:val="1"/>
      <w:marLeft w:val="0"/>
      <w:marRight w:val="0"/>
      <w:marTop w:val="0"/>
      <w:marBottom w:val="0"/>
      <w:divBdr>
        <w:top w:val="none" w:sz="0" w:space="0" w:color="auto"/>
        <w:left w:val="none" w:sz="0" w:space="0" w:color="auto"/>
        <w:bottom w:val="none" w:sz="0" w:space="0" w:color="auto"/>
        <w:right w:val="none" w:sz="0" w:space="0" w:color="auto"/>
      </w:divBdr>
    </w:div>
    <w:div w:id="713389350">
      <w:bodyDiv w:val="1"/>
      <w:marLeft w:val="0"/>
      <w:marRight w:val="0"/>
      <w:marTop w:val="0"/>
      <w:marBottom w:val="0"/>
      <w:divBdr>
        <w:top w:val="none" w:sz="0" w:space="0" w:color="auto"/>
        <w:left w:val="none" w:sz="0" w:space="0" w:color="auto"/>
        <w:bottom w:val="none" w:sz="0" w:space="0" w:color="auto"/>
        <w:right w:val="none" w:sz="0" w:space="0" w:color="auto"/>
      </w:divBdr>
    </w:div>
    <w:div w:id="1166096233">
      <w:bodyDiv w:val="1"/>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sChild>
            <w:div w:id="1127890657">
              <w:marLeft w:val="0"/>
              <w:marRight w:val="0"/>
              <w:marTop w:val="0"/>
              <w:marBottom w:val="0"/>
              <w:divBdr>
                <w:top w:val="none" w:sz="0" w:space="0" w:color="auto"/>
                <w:left w:val="none" w:sz="0" w:space="0" w:color="auto"/>
                <w:bottom w:val="none" w:sz="0" w:space="0" w:color="auto"/>
                <w:right w:val="none" w:sz="0" w:space="0" w:color="auto"/>
              </w:divBdr>
              <w:divsChild>
                <w:div w:id="456417422">
                  <w:marLeft w:val="0"/>
                  <w:marRight w:val="0"/>
                  <w:marTop w:val="0"/>
                  <w:marBottom w:val="0"/>
                  <w:divBdr>
                    <w:top w:val="none" w:sz="0" w:space="0" w:color="auto"/>
                    <w:left w:val="none" w:sz="0" w:space="0" w:color="auto"/>
                    <w:bottom w:val="none" w:sz="0" w:space="0" w:color="auto"/>
                    <w:right w:val="none" w:sz="0" w:space="0" w:color="auto"/>
                  </w:divBdr>
                  <w:divsChild>
                    <w:div w:id="19380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1115">
      <w:bodyDiv w:val="1"/>
      <w:marLeft w:val="0"/>
      <w:marRight w:val="0"/>
      <w:marTop w:val="0"/>
      <w:marBottom w:val="0"/>
      <w:divBdr>
        <w:top w:val="none" w:sz="0" w:space="0" w:color="auto"/>
        <w:left w:val="none" w:sz="0" w:space="0" w:color="auto"/>
        <w:bottom w:val="none" w:sz="0" w:space="0" w:color="auto"/>
        <w:right w:val="none" w:sz="0" w:space="0" w:color="auto"/>
      </w:divBdr>
    </w:div>
    <w:div w:id="20836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ilsmatter.wordpress.com/2020/02/15/what-are-alluvial-soils/" TargetMode="External"/><Relationship Id="rId13" Type="http://schemas.openxmlformats.org/officeDocument/2006/relationships/hyperlink" Target="https://doi.org/10.1016/S0168-6496(03)0007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424/fs/2014233-06491" TargetMode="External"/><Relationship Id="rId17" Type="http://schemas.openxmlformats.org/officeDocument/2006/relationships/hyperlink" Target="https://doi.org/10.1007/s13225-010-006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852/16-0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2-2920.2004.00675.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funeco.2018.08.006"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28/microbiolspec.FUNK-0052-2016"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651137357830678E-2"/>
          <c:y val="5.0925925925925979E-2"/>
          <c:w val="0.71658902012248471"/>
          <c:h val="0.68423082531350421"/>
        </c:manualLayout>
      </c:layout>
      <c:barChart>
        <c:barDir val="col"/>
        <c:grouping val="clustered"/>
        <c:varyColors val="0"/>
        <c:ser>
          <c:idx val="0"/>
          <c:order val="0"/>
          <c:tx>
            <c:strRef>
              <c:f>Лист1!$C$1:$C$2</c:f>
              <c:strCache>
                <c:ptCount val="1"/>
                <c:pt idx="0">
                  <c:v>West Georgia %</c:v>
                </c:pt>
              </c:strCache>
            </c:strRef>
          </c:tx>
          <c:spPr>
            <a:solidFill>
              <a:schemeClr val="tx1"/>
            </a:solidFill>
            <a:ln>
              <a:solidFill>
                <a:schemeClr val="tx1"/>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Лист1!$C$3:$C$16</c:f>
              <c:numCache>
                <c:formatCode>General</c:formatCode>
                <c:ptCount val="14"/>
                <c:pt idx="0">
                  <c:v>23.38</c:v>
                </c:pt>
                <c:pt idx="1">
                  <c:v>18.18</c:v>
                </c:pt>
                <c:pt idx="2">
                  <c:v>10.39</c:v>
                </c:pt>
                <c:pt idx="3">
                  <c:v>9.09</c:v>
                </c:pt>
                <c:pt idx="4">
                  <c:v>7.79</c:v>
                </c:pt>
                <c:pt idx="5">
                  <c:v>1.3</c:v>
                </c:pt>
                <c:pt idx="6">
                  <c:v>2.6</c:v>
                </c:pt>
                <c:pt idx="7">
                  <c:v>5.1899999999999995</c:v>
                </c:pt>
                <c:pt idx="8">
                  <c:v>3.9</c:v>
                </c:pt>
                <c:pt idx="9">
                  <c:v>2.6</c:v>
                </c:pt>
                <c:pt idx="10">
                  <c:v>2.6</c:v>
                </c:pt>
                <c:pt idx="11">
                  <c:v>3.9</c:v>
                </c:pt>
                <c:pt idx="12">
                  <c:v>2.6</c:v>
                </c:pt>
                <c:pt idx="13">
                  <c:v>6.48</c:v>
                </c:pt>
              </c:numCache>
            </c:numRef>
          </c:val>
          <c:extLst>
            <c:ext xmlns:c16="http://schemas.microsoft.com/office/drawing/2014/chart" uri="{C3380CC4-5D6E-409C-BE32-E72D297353CC}">
              <c16:uniqueId val="{00000000-2F93-4009-AD67-3F22F4EEF0CF}"/>
            </c:ext>
          </c:extLst>
        </c:ser>
        <c:ser>
          <c:idx val="1"/>
          <c:order val="1"/>
          <c:tx>
            <c:strRef>
              <c:f>Лист1!$D$1:$D$2</c:f>
              <c:strCache>
                <c:ptCount val="1"/>
                <c:pt idx="0">
                  <c:v>East Georgia %</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Лист1!$D$3:$D$16</c:f>
              <c:numCache>
                <c:formatCode>General</c:formatCode>
                <c:ptCount val="14"/>
                <c:pt idx="0">
                  <c:v>33.870000000000005</c:v>
                </c:pt>
                <c:pt idx="1">
                  <c:v>27.419999999999987</c:v>
                </c:pt>
                <c:pt idx="2">
                  <c:v>0</c:v>
                </c:pt>
                <c:pt idx="3">
                  <c:v>8.06</c:v>
                </c:pt>
                <c:pt idx="4">
                  <c:v>6.45</c:v>
                </c:pt>
                <c:pt idx="5">
                  <c:v>0</c:v>
                </c:pt>
                <c:pt idx="6">
                  <c:v>8.06</c:v>
                </c:pt>
                <c:pt idx="7">
                  <c:v>0</c:v>
                </c:pt>
                <c:pt idx="8">
                  <c:v>0</c:v>
                </c:pt>
                <c:pt idx="9">
                  <c:v>0</c:v>
                </c:pt>
                <c:pt idx="10">
                  <c:v>0</c:v>
                </c:pt>
                <c:pt idx="11">
                  <c:v>0</c:v>
                </c:pt>
                <c:pt idx="12">
                  <c:v>1.62</c:v>
                </c:pt>
                <c:pt idx="13">
                  <c:v>0</c:v>
                </c:pt>
              </c:numCache>
            </c:numRef>
          </c:val>
          <c:extLst>
            <c:ext xmlns:c16="http://schemas.microsoft.com/office/drawing/2014/chart" uri="{C3380CC4-5D6E-409C-BE32-E72D297353CC}">
              <c16:uniqueId val="{00000001-2F93-4009-AD67-3F22F4EEF0CF}"/>
            </c:ext>
          </c:extLst>
        </c:ser>
        <c:ser>
          <c:idx val="2"/>
          <c:order val="2"/>
          <c:tx>
            <c:strRef>
              <c:f>Лист1!$E$1:$E$2</c:f>
              <c:strCache>
                <c:ptCount val="1"/>
                <c:pt idx="0">
                  <c:v>South Georgia %</c:v>
                </c:pt>
              </c:strCache>
            </c:strRef>
          </c:tx>
          <c:spPr>
            <a:no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Лист1!$E$3:$E$16</c:f>
              <c:numCache>
                <c:formatCode>General</c:formatCode>
                <c:ptCount val="14"/>
                <c:pt idx="0">
                  <c:v>30.91</c:v>
                </c:pt>
                <c:pt idx="1">
                  <c:v>23.64</c:v>
                </c:pt>
                <c:pt idx="2">
                  <c:v>5.64</c:v>
                </c:pt>
                <c:pt idx="3">
                  <c:v>7.2700000000000014</c:v>
                </c:pt>
                <c:pt idx="4">
                  <c:v>5.45</c:v>
                </c:pt>
                <c:pt idx="5">
                  <c:v>9.09</c:v>
                </c:pt>
                <c:pt idx="6">
                  <c:v>5.64</c:v>
                </c:pt>
                <c:pt idx="7">
                  <c:v>3.64</c:v>
                </c:pt>
                <c:pt idx="8">
                  <c:v>1.82</c:v>
                </c:pt>
                <c:pt idx="9">
                  <c:v>1.82</c:v>
                </c:pt>
                <c:pt idx="10">
                  <c:v>1.81</c:v>
                </c:pt>
                <c:pt idx="11">
                  <c:v>3.2600000000000002</c:v>
                </c:pt>
                <c:pt idx="12">
                  <c:v>0</c:v>
                </c:pt>
                <c:pt idx="13">
                  <c:v>0</c:v>
                </c:pt>
              </c:numCache>
            </c:numRef>
          </c:val>
          <c:extLst>
            <c:ext xmlns:c16="http://schemas.microsoft.com/office/drawing/2014/chart" uri="{C3380CC4-5D6E-409C-BE32-E72D297353CC}">
              <c16:uniqueId val="{00000002-2F93-4009-AD67-3F22F4EEF0CF}"/>
            </c:ext>
          </c:extLst>
        </c:ser>
        <c:dLbls>
          <c:showLegendKey val="0"/>
          <c:showVal val="0"/>
          <c:showCatName val="0"/>
          <c:showSerName val="0"/>
          <c:showPercent val="0"/>
          <c:showBubbleSize val="0"/>
        </c:dLbls>
        <c:gapWidth val="150"/>
        <c:axId val="92030080"/>
        <c:axId val="92032000"/>
      </c:barChart>
      <c:catAx>
        <c:axId val="92030080"/>
        <c:scaling>
          <c:orientation val="minMax"/>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Fungal 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32000"/>
        <c:crosses val="autoZero"/>
        <c:auto val="1"/>
        <c:lblAlgn val="ctr"/>
        <c:lblOffset val="100"/>
        <c:noMultiLvlLbl val="0"/>
      </c:catAx>
      <c:valAx>
        <c:axId val="92032000"/>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30080"/>
        <c:crosses val="autoZero"/>
        <c:crossBetween val="between"/>
      </c:valAx>
    </c:plotArea>
    <c:legend>
      <c:legendPos val="r"/>
      <c:layout>
        <c:manualLayout>
          <c:xMode val="edge"/>
          <c:yMode val="edge"/>
          <c:x val="0.74939020122484834"/>
          <c:y val="2.7201808107320067E-2"/>
          <c:w val="0.21375984251968524"/>
          <c:h val="0.2203521434820651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3188976377952"/>
          <c:y val="5.5555555555555455E-2"/>
          <c:w val="0.75288604549431315"/>
          <c:h val="0.65556750900323457"/>
        </c:manualLayout>
      </c:layout>
      <c:barChart>
        <c:barDir val="col"/>
        <c:grouping val="clustered"/>
        <c:varyColors val="0"/>
        <c:ser>
          <c:idx val="0"/>
          <c:order val="0"/>
          <c:tx>
            <c:strRef>
              <c:f>Лист1!$C$22:$C$23</c:f>
              <c:strCache>
                <c:ptCount val="1"/>
                <c:pt idx="0">
                  <c:v>West Georgia</c:v>
                </c:pt>
              </c:strCache>
            </c:strRef>
          </c:tx>
          <c:spPr>
            <a:solidFill>
              <a:schemeClr val="tx1"/>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Лист1!$C$24:$C$36</c:f>
              <c:numCache>
                <c:formatCode>General</c:formatCode>
                <c:ptCount val="13"/>
                <c:pt idx="0">
                  <c:v>45</c:v>
                </c:pt>
                <c:pt idx="1">
                  <c:v>0</c:v>
                </c:pt>
                <c:pt idx="2">
                  <c:v>0</c:v>
                </c:pt>
                <c:pt idx="3" formatCode="0%">
                  <c:v>11</c:v>
                </c:pt>
                <c:pt idx="4">
                  <c:v>0</c:v>
                </c:pt>
                <c:pt idx="5">
                  <c:v>0</c:v>
                </c:pt>
                <c:pt idx="6">
                  <c:v>0</c:v>
                </c:pt>
                <c:pt idx="7">
                  <c:v>0</c:v>
                </c:pt>
                <c:pt idx="8">
                  <c:v>11</c:v>
                </c:pt>
                <c:pt idx="9">
                  <c:v>11</c:v>
                </c:pt>
                <c:pt idx="10">
                  <c:v>11</c:v>
                </c:pt>
                <c:pt idx="11">
                  <c:v>0</c:v>
                </c:pt>
                <c:pt idx="12">
                  <c:v>11</c:v>
                </c:pt>
              </c:numCache>
            </c:numRef>
          </c:val>
          <c:extLst>
            <c:ext xmlns:c16="http://schemas.microsoft.com/office/drawing/2014/chart" uri="{C3380CC4-5D6E-409C-BE32-E72D297353CC}">
              <c16:uniqueId val="{00000000-3189-4783-A367-6DFD7350F5BF}"/>
            </c:ext>
          </c:extLst>
        </c:ser>
        <c:ser>
          <c:idx val="1"/>
          <c:order val="1"/>
          <c:tx>
            <c:strRef>
              <c:f>Лист1!$D$22:$D$23</c:f>
              <c:strCache>
                <c:ptCount val="1"/>
                <c:pt idx="0">
                  <c:v>East Georgia</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Лист1!$D$24:$D$36</c:f>
              <c:numCache>
                <c:formatCode>General</c:formatCode>
                <c:ptCount val="13"/>
                <c:pt idx="0">
                  <c:v>28.86</c:v>
                </c:pt>
                <c:pt idx="1">
                  <c:v>28.86</c:v>
                </c:pt>
                <c:pt idx="2">
                  <c:v>7</c:v>
                </c:pt>
                <c:pt idx="3">
                  <c:v>7</c:v>
                </c:pt>
                <c:pt idx="4">
                  <c:v>7</c:v>
                </c:pt>
                <c:pt idx="5">
                  <c:v>0</c:v>
                </c:pt>
                <c:pt idx="6">
                  <c:v>7</c:v>
                </c:pt>
                <c:pt idx="7">
                  <c:v>0</c:v>
                </c:pt>
                <c:pt idx="8">
                  <c:v>0</c:v>
                </c:pt>
                <c:pt idx="9">
                  <c:v>0</c:v>
                </c:pt>
                <c:pt idx="10">
                  <c:v>0</c:v>
                </c:pt>
                <c:pt idx="11">
                  <c:v>0</c:v>
                </c:pt>
                <c:pt idx="12">
                  <c:v>14.28</c:v>
                </c:pt>
              </c:numCache>
            </c:numRef>
          </c:val>
          <c:extLst>
            <c:ext xmlns:c16="http://schemas.microsoft.com/office/drawing/2014/chart" uri="{C3380CC4-5D6E-409C-BE32-E72D297353CC}">
              <c16:uniqueId val="{00000001-3189-4783-A367-6DFD7350F5BF}"/>
            </c:ext>
          </c:extLst>
        </c:ser>
        <c:ser>
          <c:idx val="2"/>
          <c:order val="2"/>
          <c:tx>
            <c:strRef>
              <c:f>Лист1!$E$22:$E$23</c:f>
              <c:strCache>
                <c:ptCount val="1"/>
                <c:pt idx="0">
                  <c:v>South Georgia</c:v>
                </c:pt>
              </c:strCache>
            </c:strRef>
          </c:tx>
          <c:spPr>
            <a:no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Лист1!$E$24:$E$36</c:f>
              <c:numCache>
                <c:formatCode>General</c:formatCode>
                <c:ptCount val="13"/>
                <c:pt idx="0">
                  <c:v>15</c:v>
                </c:pt>
                <c:pt idx="1">
                  <c:v>15</c:v>
                </c:pt>
                <c:pt idx="2">
                  <c:v>20</c:v>
                </c:pt>
                <c:pt idx="3">
                  <c:v>10</c:v>
                </c:pt>
                <c:pt idx="4">
                  <c:v>10</c:v>
                </c:pt>
                <c:pt idx="5">
                  <c:v>5</c:v>
                </c:pt>
                <c:pt idx="6">
                  <c:v>10</c:v>
                </c:pt>
                <c:pt idx="7">
                  <c:v>10</c:v>
                </c:pt>
                <c:pt idx="8">
                  <c:v>5</c:v>
                </c:pt>
                <c:pt idx="9">
                  <c:v>0</c:v>
                </c:pt>
                <c:pt idx="10">
                  <c:v>0</c:v>
                </c:pt>
                <c:pt idx="11">
                  <c:v>0</c:v>
                </c:pt>
                <c:pt idx="12">
                  <c:v>0</c:v>
                </c:pt>
              </c:numCache>
            </c:numRef>
          </c:val>
          <c:extLst>
            <c:ext xmlns:c16="http://schemas.microsoft.com/office/drawing/2014/chart" uri="{C3380CC4-5D6E-409C-BE32-E72D297353CC}">
              <c16:uniqueId val="{00000002-3189-4783-A367-6DFD7350F5BF}"/>
            </c:ext>
          </c:extLst>
        </c:ser>
        <c:dLbls>
          <c:showLegendKey val="0"/>
          <c:showVal val="0"/>
          <c:showCatName val="0"/>
          <c:showSerName val="0"/>
          <c:showPercent val="0"/>
          <c:showBubbleSize val="0"/>
        </c:dLbls>
        <c:gapWidth val="150"/>
        <c:axId val="92067328"/>
        <c:axId val="92069248"/>
      </c:barChart>
      <c:catAx>
        <c:axId val="92067328"/>
        <c:scaling>
          <c:orientation val="minMax"/>
        </c:scaling>
        <c:delete val="0"/>
        <c:axPos val="b"/>
        <c:title>
          <c:tx>
            <c:rich>
              <a:bodyPr/>
              <a:lstStyle/>
              <a:p>
                <a:pPr>
                  <a:defRPr sz="900" b="0"/>
                </a:pPr>
                <a:r>
                  <a:rPr lang="en-US" sz="900" b="0"/>
                  <a:t>Fungal </a:t>
                </a:r>
                <a:r>
                  <a:rPr lang="en-US" sz="900" b="0">
                    <a:latin typeface="Times New Roman" pitchFamily="18" charset="0"/>
                    <a:cs typeface="Times New Roman" pitchFamily="18" charset="0"/>
                  </a:rPr>
                  <a:t>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69248"/>
        <c:crosses val="autoZero"/>
        <c:auto val="1"/>
        <c:lblAlgn val="ctr"/>
        <c:lblOffset val="100"/>
        <c:noMultiLvlLbl val="0"/>
      </c:catAx>
      <c:valAx>
        <c:axId val="92069248"/>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67328"/>
        <c:crosses val="autoZero"/>
        <c:crossBetween val="between"/>
      </c:valAx>
    </c:plotArea>
    <c:legend>
      <c:legendPos val="r"/>
      <c:layout>
        <c:manualLayout>
          <c:xMode val="edge"/>
          <c:yMode val="edge"/>
          <c:x val="0.76327909011373773"/>
          <c:y val="1.3312919218431075E-2"/>
          <c:w val="0.18669028871391091"/>
          <c:h val="0.2306010803882072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3C7C6-4F47-4558-BEA9-A4894456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2767</Words>
  <Characters>15772</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SDI 1084</cp:lastModifiedBy>
  <cp:revision>31</cp:revision>
  <dcterms:created xsi:type="dcterms:W3CDTF">2025-08-09T08:24:00Z</dcterms:created>
  <dcterms:modified xsi:type="dcterms:W3CDTF">2026-04-02T10:08:00Z</dcterms:modified>
</cp:coreProperties>
</file>