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48C5A8" w14:textId="77777777" w:rsidR="006D335C" w:rsidRPr="006D335C" w:rsidRDefault="006D335C" w:rsidP="006D335C">
      <w:pPr>
        <w:spacing w:line="360" w:lineRule="auto"/>
        <w:jc w:val="right"/>
        <w:rPr>
          <w:rFonts w:ascii="Arial" w:hAnsi="Arial" w:cs="Arial"/>
          <w:b/>
          <w:bCs/>
          <w:i/>
          <w:iCs/>
          <w:sz w:val="20"/>
          <w:szCs w:val="20"/>
          <w:u w:val="single"/>
          <w:lang w:val="en-US"/>
        </w:rPr>
      </w:pPr>
      <w:r w:rsidRPr="006D335C">
        <w:rPr>
          <w:rFonts w:ascii="Arial" w:hAnsi="Arial" w:cs="Arial"/>
          <w:b/>
          <w:bCs/>
          <w:i/>
          <w:iCs/>
          <w:sz w:val="20"/>
          <w:szCs w:val="20"/>
          <w:u w:val="single"/>
          <w:lang w:val="en-US"/>
        </w:rPr>
        <w:t>Original Research Article</w:t>
      </w:r>
    </w:p>
    <w:p w14:paraId="3CA1E73E" w14:textId="05E6F7F1" w:rsidR="00F86919" w:rsidRPr="00C53F81" w:rsidRDefault="00F86919" w:rsidP="007502A4">
      <w:pPr>
        <w:spacing w:line="360" w:lineRule="auto"/>
        <w:jc w:val="right"/>
        <w:rPr>
          <w:rFonts w:ascii="Arial" w:hAnsi="Arial" w:cs="Arial"/>
          <w:b/>
          <w:bCs/>
          <w:sz w:val="20"/>
          <w:szCs w:val="20"/>
        </w:rPr>
      </w:pPr>
      <w:r w:rsidRPr="00C53F81">
        <w:rPr>
          <w:rFonts w:ascii="Arial" w:hAnsi="Arial" w:cs="Arial"/>
          <w:b/>
          <w:bCs/>
          <w:sz w:val="20"/>
          <w:szCs w:val="20"/>
        </w:rPr>
        <w:t>Plate–Rod Fixation Using Locking Compression Plates with an Open-But-Do-Not-Touch Approach for Femoral Fractures in Dogs: A Clinical Study</w:t>
      </w:r>
    </w:p>
    <w:p w14:paraId="4BB18AC9" w14:textId="77777777" w:rsidR="0080100B" w:rsidRDefault="0080100B" w:rsidP="00DF549C">
      <w:pPr>
        <w:spacing w:line="360" w:lineRule="auto"/>
        <w:jc w:val="both"/>
        <w:rPr>
          <w:rFonts w:ascii="Arial" w:hAnsi="Arial" w:cs="Arial"/>
          <w:sz w:val="20"/>
          <w:szCs w:val="20"/>
        </w:rPr>
      </w:pPr>
    </w:p>
    <w:p w14:paraId="079207D2" w14:textId="1329F53B" w:rsidR="00261E54" w:rsidRPr="00DF549C" w:rsidRDefault="00ED5B35" w:rsidP="00DF549C">
      <w:pPr>
        <w:spacing w:line="360" w:lineRule="auto"/>
        <w:jc w:val="both"/>
        <w:rPr>
          <w:rFonts w:ascii="Arial" w:hAnsi="Arial" w:cs="Arial"/>
          <w:sz w:val="20"/>
          <w:szCs w:val="20"/>
        </w:rPr>
      </w:pPr>
      <w:r w:rsidRPr="00DF549C">
        <w:rPr>
          <w:rFonts w:ascii="Arial" w:hAnsi="Arial" w:cs="Arial"/>
          <w:sz w:val="20"/>
          <w:szCs w:val="20"/>
        </w:rPr>
        <w:t>ABSTRACT</w:t>
      </w:r>
    </w:p>
    <w:p w14:paraId="030F3B92" w14:textId="5E241D76" w:rsidR="00B264F0" w:rsidRPr="00B264F0" w:rsidRDefault="00B264F0" w:rsidP="00B264F0">
      <w:pPr>
        <w:spacing w:before="100" w:beforeAutospacing="1" w:after="100" w:afterAutospacing="1" w:line="240" w:lineRule="auto"/>
        <w:jc w:val="both"/>
        <w:rPr>
          <w:rFonts w:ascii="Arial" w:eastAsia="Times New Roman" w:hAnsi="Arial" w:cs="Arial"/>
          <w:kern w:val="0"/>
          <w:sz w:val="20"/>
          <w:szCs w:val="20"/>
          <w:lang w:eastAsia="en-IN" w:bidi="ar-SA"/>
          <w14:ligatures w14:val="none"/>
        </w:rPr>
      </w:pPr>
      <w:r w:rsidRPr="00B264F0">
        <w:rPr>
          <w:rFonts w:ascii="Arial" w:eastAsia="Times New Roman" w:hAnsi="Arial" w:cs="Arial"/>
          <w:b/>
          <w:bCs/>
          <w:kern w:val="0"/>
          <w:sz w:val="20"/>
          <w:szCs w:val="20"/>
          <w:lang w:eastAsia="en-IN" w:bidi="ar-SA"/>
          <w14:ligatures w14:val="none"/>
        </w:rPr>
        <w:t>Aims:</w:t>
      </w:r>
      <w:r w:rsidRPr="00B264F0">
        <w:rPr>
          <w:rFonts w:ascii="Arial" w:eastAsia="Times New Roman" w:hAnsi="Arial" w:cs="Arial"/>
          <w:kern w:val="0"/>
          <w:sz w:val="20"/>
          <w:szCs w:val="20"/>
          <w:lang w:eastAsia="en-IN" w:bidi="ar-SA"/>
          <w14:ligatures w14:val="none"/>
        </w:rPr>
        <w:br/>
        <w:t>To evaluate the clinical and radiographic outcomes of femoral fracture repair in dogs using a plate–rod construct with locking compression plates (LCP) combined with an intramedullary rod occupying approximately 40% of the medullary cavity, employing an open-but-do-not-touch (OBDNT) biological approach</w:t>
      </w:r>
    </w:p>
    <w:p w14:paraId="4485A11C" w14:textId="018FFA2D" w:rsidR="00B264F0" w:rsidRPr="00B264F0" w:rsidRDefault="00B264F0" w:rsidP="00B264F0">
      <w:pPr>
        <w:spacing w:before="100" w:beforeAutospacing="1" w:after="100" w:afterAutospacing="1" w:line="240" w:lineRule="auto"/>
        <w:rPr>
          <w:rFonts w:ascii="Arial" w:eastAsia="Times New Roman" w:hAnsi="Arial" w:cs="Arial"/>
          <w:kern w:val="0"/>
          <w:sz w:val="20"/>
          <w:szCs w:val="20"/>
          <w:lang w:eastAsia="en-IN" w:bidi="ar-SA"/>
          <w14:ligatures w14:val="none"/>
        </w:rPr>
      </w:pPr>
      <w:r w:rsidRPr="00B264F0">
        <w:rPr>
          <w:rFonts w:ascii="Arial" w:eastAsia="Times New Roman" w:hAnsi="Arial" w:cs="Arial"/>
          <w:b/>
          <w:bCs/>
          <w:kern w:val="0"/>
          <w:sz w:val="20"/>
          <w:szCs w:val="20"/>
          <w:lang w:eastAsia="en-IN" w:bidi="ar-SA"/>
          <w14:ligatures w14:val="none"/>
        </w:rPr>
        <w:t>Study Design:</w:t>
      </w:r>
      <w:r w:rsidRPr="00B264F0">
        <w:rPr>
          <w:rFonts w:ascii="Arial" w:eastAsia="Times New Roman" w:hAnsi="Arial" w:cs="Arial"/>
          <w:kern w:val="0"/>
          <w:sz w:val="20"/>
          <w:szCs w:val="20"/>
          <w:lang w:eastAsia="en-IN" w:bidi="ar-SA"/>
          <w14:ligatures w14:val="none"/>
        </w:rPr>
        <w:br/>
        <w:t>A prospective clinical case series.</w:t>
      </w:r>
    </w:p>
    <w:p w14:paraId="0A145DAE" w14:textId="64D51910" w:rsidR="00B264F0" w:rsidRPr="00B264F0" w:rsidRDefault="00B264F0" w:rsidP="00B264F0">
      <w:pPr>
        <w:spacing w:before="100" w:beforeAutospacing="1" w:after="100" w:afterAutospacing="1" w:line="240" w:lineRule="auto"/>
        <w:rPr>
          <w:rFonts w:ascii="Arial" w:eastAsia="Times New Roman" w:hAnsi="Arial" w:cs="Arial"/>
          <w:kern w:val="0"/>
          <w:sz w:val="20"/>
          <w:szCs w:val="20"/>
          <w:lang w:eastAsia="en-IN" w:bidi="ar-SA"/>
          <w14:ligatures w14:val="none"/>
        </w:rPr>
      </w:pPr>
      <w:r w:rsidRPr="00B264F0">
        <w:rPr>
          <w:rFonts w:ascii="Arial" w:eastAsia="Times New Roman" w:hAnsi="Arial" w:cs="Arial"/>
          <w:b/>
          <w:bCs/>
          <w:kern w:val="0"/>
          <w:sz w:val="20"/>
          <w:szCs w:val="20"/>
          <w:lang w:eastAsia="en-IN" w:bidi="ar-SA"/>
          <w14:ligatures w14:val="none"/>
        </w:rPr>
        <w:t>Place and Duration of Study:</w:t>
      </w:r>
      <w:r w:rsidRPr="00B264F0">
        <w:rPr>
          <w:rFonts w:ascii="Arial" w:eastAsia="Times New Roman" w:hAnsi="Arial" w:cs="Arial"/>
          <w:kern w:val="0"/>
          <w:sz w:val="20"/>
          <w:szCs w:val="20"/>
          <w:lang w:eastAsia="en-IN" w:bidi="ar-SA"/>
          <w14:ligatures w14:val="none"/>
        </w:rPr>
        <w:br/>
        <w:t xml:space="preserve">The study was conducted at the Department of Veterinary Surgery and Radiology, College of Veterinary and Animal Sciences, </w:t>
      </w:r>
      <w:proofErr w:type="spellStart"/>
      <w:r w:rsidRPr="00B264F0">
        <w:rPr>
          <w:rFonts w:ascii="Arial" w:eastAsia="Times New Roman" w:hAnsi="Arial" w:cs="Arial"/>
          <w:kern w:val="0"/>
          <w:sz w:val="20"/>
          <w:szCs w:val="20"/>
          <w:lang w:eastAsia="en-IN" w:bidi="ar-SA"/>
          <w14:ligatures w14:val="none"/>
        </w:rPr>
        <w:t>Pookode</w:t>
      </w:r>
      <w:proofErr w:type="spellEnd"/>
      <w:r w:rsidRPr="00B264F0">
        <w:rPr>
          <w:rFonts w:ascii="Arial" w:eastAsia="Times New Roman" w:hAnsi="Arial" w:cs="Arial"/>
          <w:kern w:val="0"/>
          <w:sz w:val="20"/>
          <w:szCs w:val="20"/>
          <w:lang w:eastAsia="en-IN" w:bidi="ar-SA"/>
          <w14:ligatures w14:val="none"/>
        </w:rPr>
        <w:t>, Wayanad, over a period of one year.</w:t>
      </w:r>
    </w:p>
    <w:p w14:paraId="12550170" w14:textId="7CDF366B" w:rsidR="00B264F0" w:rsidRPr="00B264F0" w:rsidRDefault="00B264F0" w:rsidP="00B264F0">
      <w:pPr>
        <w:spacing w:before="100" w:beforeAutospacing="1" w:after="100" w:afterAutospacing="1" w:line="240" w:lineRule="auto"/>
        <w:jc w:val="both"/>
        <w:rPr>
          <w:rFonts w:ascii="Arial" w:eastAsia="Times New Roman" w:hAnsi="Arial" w:cs="Arial"/>
          <w:kern w:val="0"/>
          <w:sz w:val="20"/>
          <w:szCs w:val="20"/>
          <w:lang w:eastAsia="en-IN" w:bidi="ar-SA"/>
          <w14:ligatures w14:val="none"/>
        </w:rPr>
      </w:pPr>
      <w:r w:rsidRPr="00B264F0">
        <w:rPr>
          <w:rFonts w:ascii="Arial" w:eastAsia="Times New Roman" w:hAnsi="Arial" w:cs="Arial"/>
          <w:b/>
          <w:bCs/>
          <w:kern w:val="0"/>
          <w:sz w:val="20"/>
          <w:szCs w:val="20"/>
          <w:lang w:eastAsia="en-IN" w:bidi="ar-SA"/>
          <w14:ligatures w14:val="none"/>
        </w:rPr>
        <w:t>Methodology:</w:t>
      </w:r>
      <w:r w:rsidRPr="00B264F0">
        <w:rPr>
          <w:rFonts w:ascii="Arial" w:eastAsia="Times New Roman" w:hAnsi="Arial" w:cs="Arial"/>
          <w:kern w:val="0"/>
          <w:sz w:val="20"/>
          <w:szCs w:val="20"/>
          <w:lang w:eastAsia="en-IN" w:bidi="ar-SA"/>
          <w14:ligatures w14:val="none"/>
        </w:rPr>
        <w:br/>
        <w:t xml:space="preserve">Six dogs with femoral fractures of varying configurations (simple, wedge, and </w:t>
      </w:r>
      <w:proofErr w:type="spellStart"/>
      <w:r w:rsidRPr="00B264F0">
        <w:rPr>
          <w:rFonts w:ascii="Arial" w:eastAsia="Times New Roman" w:hAnsi="Arial" w:cs="Arial"/>
          <w:kern w:val="0"/>
          <w:sz w:val="20"/>
          <w:szCs w:val="20"/>
          <w:lang w:eastAsia="en-IN" w:bidi="ar-SA"/>
          <w14:ligatures w14:val="none"/>
        </w:rPr>
        <w:t>comminuted</w:t>
      </w:r>
      <w:proofErr w:type="spellEnd"/>
      <w:r w:rsidRPr="00B264F0">
        <w:rPr>
          <w:rFonts w:ascii="Arial" w:eastAsia="Times New Roman" w:hAnsi="Arial" w:cs="Arial"/>
          <w:kern w:val="0"/>
          <w:sz w:val="20"/>
          <w:szCs w:val="20"/>
          <w:lang w:eastAsia="en-IN" w:bidi="ar-SA"/>
          <w14:ligatures w14:val="none"/>
        </w:rPr>
        <w:t>) were included irrespective of age, breed, and sex. Fractures were classified according to Unger’s classification system. All animals underwent surgical stabilisation using a plate–rod construct with an intramedullary rod occupying approximately 40% of the medullary cavity, combined with appropriately sized locking compression plates. A standard craniolateral approach was used, adhering to the OBDNT principle to preserve the biological environment. Postoperative evaluation included clinical assessment of posture, gait, lameness, and functional outcome, along with serial radiographic evaluation at 14, 30, 60, and 90 days.</w:t>
      </w:r>
    </w:p>
    <w:p w14:paraId="0B364B72" w14:textId="77777777" w:rsidR="00B264F0" w:rsidRPr="00B264F0" w:rsidRDefault="00B264F0" w:rsidP="00B264F0">
      <w:pPr>
        <w:spacing w:before="100" w:beforeAutospacing="1" w:after="100" w:afterAutospacing="1" w:line="240" w:lineRule="auto"/>
        <w:jc w:val="both"/>
        <w:rPr>
          <w:rFonts w:ascii="Arial" w:eastAsia="Times New Roman" w:hAnsi="Arial" w:cs="Arial"/>
          <w:kern w:val="0"/>
          <w:sz w:val="20"/>
          <w:szCs w:val="20"/>
          <w:lang w:eastAsia="en-IN" w:bidi="ar-SA"/>
          <w14:ligatures w14:val="none"/>
        </w:rPr>
      </w:pPr>
      <w:r w:rsidRPr="00B264F0">
        <w:rPr>
          <w:rFonts w:ascii="Arial" w:eastAsia="Times New Roman" w:hAnsi="Arial" w:cs="Arial"/>
          <w:b/>
          <w:bCs/>
          <w:kern w:val="0"/>
          <w:sz w:val="20"/>
          <w:szCs w:val="20"/>
          <w:lang w:eastAsia="en-IN" w:bidi="ar-SA"/>
          <w14:ligatures w14:val="none"/>
        </w:rPr>
        <w:t>Results:</w:t>
      </w:r>
      <w:r w:rsidRPr="00B264F0">
        <w:rPr>
          <w:rFonts w:ascii="Arial" w:eastAsia="Times New Roman" w:hAnsi="Arial" w:cs="Arial"/>
          <w:kern w:val="0"/>
          <w:sz w:val="20"/>
          <w:szCs w:val="20"/>
          <w:lang w:eastAsia="en-IN" w:bidi="ar-SA"/>
          <w14:ligatures w14:val="none"/>
        </w:rPr>
        <w:br/>
        <w:t>All fractures healed successfully through callus formation and secondary bone healing. Early weight bearing was observed in most animals within 2–4 weeks postoperatively. Radiographic evaluation demonstrated progressive callus formation, with complete fracture union achieved in all cases by 90 days. No major complications such as implant failure, malalignment, or infection were observed. Functional outcomes were graded as excellent in all animals, with complete resolution of lameness.</w:t>
      </w:r>
    </w:p>
    <w:p w14:paraId="1CF841C1" w14:textId="3DC35F92" w:rsidR="00B264F0" w:rsidRPr="00B264F0" w:rsidRDefault="00B264F0" w:rsidP="00B264F0">
      <w:pPr>
        <w:spacing w:before="100" w:beforeAutospacing="1" w:after="100" w:afterAutospacing="1" w:line="240" w:lineRule="auto"/>
        <w:jc w:val="both"/>
        <w:rPr>
          <w:rFonts w:ascii="Arial" w:eastAsia="Times New Roman" w:hAnsi="Arial" w:cs="Arial"/>
          <w:kern w:val="0"/>
          <w:sz w:val="20"/>
          <w:szCs w:val="20"/>
          <w:lang w:eastAsia="en-IN" w:bidi="ar-SA"/>
          <w14:ligatures w14:val="none"/>
        </w:rPr>
      </w:pPr>
      <w:r w:rsidRPr="00B264F0">
        <w:rPr>
          <w:rFonts w:ascii="Arial" w:eastAsia="Times New Roman" w:hAnsi="Arial" w:cs="Arial"/>
          <w:b/>
          <w:bCs/>
          <w:kern w:val="0"/>
          <w:sz w:val="20"/>
          <w:szCs w:val="20"/>
          <w:lang w:eastAsia="en-IN" w:bidi="ar-SA"/>
          <w14:ligatures w14:val="none"/>
        </w:rPr>
        <w:t>Conclusion:</w:t>
      </w:r>
      <w:r w:rsidRPr="00B264F0">
        <w:rPr>
          <w:rFonts w:ascii="Arial" w:eastAsia="Times New Roman" w:hAnsi="Arial" w:cs="Arial"/>
          <w:kern w:val="0"/>
          <w:sz w:val="20"/>
          <w:szCs w:val="20"/>
          <w:lang w:eastAsia="en-IN" w:bidi="ar-SA"/>
          <w14:ligatures w14:val="none"/>
        </w:rPr>
        <w:br/>
        <w:t>The plate–rod construct using a 40% intramedullary rod in combination with locking compression plates, applied using an OBDNT approach, provides effective stabilisation and promotes favourable biological healing in canine femoral fractures. This technique is a reliable option for managing fractures of varying configurations with excellent functional outcomes.</w:t>
      </w:r>
    </w:p>
    <w:p w14:paraId="00453E29" w14:textId="61EE4CFC" w:rsidR="00441F1D" w:rsidRPr="00DF549C" w:rsidRDefault="00441F1D" w:rsidP="00DF549C">
      <w:pPr>
        <w:spacing w:line="360" w:lineRule="auto"/>
        <w:ind w:firstLine="720"/>
        <w:jc w:val="both"/>
        <w:rPr>
          <w:rFonts w:ascii="Arial" w:hAnsi="Arial" w:cs="Arial"/>
          <w:sz w:val="20"/>
          <w:szCs w:val="20"/>
        </w:rPr>
      </w:pPr>
      <w:r w:rsidRPr="00DF549C">
        <w:rPr>
          <w:rFonts w:ascii="Arial" w:hAnsi="Arial" w:cs="Arial"/>
          <w:sz w:val="20"/>
          <w:szCs w:val="20"/>
        </w:rPr>
        <w:t xml:space="preserve">Key words: </w:t>
      </w:r>
      <w:r w:rsidR="00471FA7" w:rsidRPr="00DF549C">
        <w:rPr>
          <w:rFonts w:ascii="Arial" w:hAnsi="Arial" w:cs="Arial"/>
          <w:sz w:val="20"/>
          <w:szCs w:val="20"/>
        </w:rPr>
        <w:t>P</w:t>
      </w:r>
      <w:r w:rsidRPr="00DF549C">
        <w:rPr>
          <w:rFonts w:ascii="Arial" w:hAnsi="Arial" w:cs="Arial"/>
          <w:sz w:val="20"/>
          <w:szCs w:val="20"/>
        </w:rPr>
        <w:t xml:space="preserve">late rod, LCP, </w:t>
      </w:r>
      <w:r w:rsidR="00471FA7" w:rsidRPr="00DF549C">
        <w:rPr>
          <w:rFonts w:ascii="Arial" w:hAnsi="Arial" w:cs="Arial"/>
          <w:sz w:val="20"/>
          <w:szCs w:val="20"/>
        </w:rPr>
        <w:t>Open but do not touch,</w:t>
      </w:r>
    </w:p>
    <w:p w14:paraId="4BF4A1F6" w14:textId="77777777" w:rsidR="00F518C6" w:rsidRPr="00DF549C" w:rsidRDefault="00F518C6" w:rsidP="00DF549C">
      <w:pPr>
        <w:spacing w:line="360" w:lineRule="auto"/>
        <w:jc w:val="both"/>
        <w:rPr>
          <w:rFonts w:ascii="Arial" w:hAnsi="Arial" w:cs="Arial"/>
          <w:sz w:val="20"/>
          <w:szCs w:val="20"/>
        </w:rPr>
      </w:pPr>
    </w:p>
    <w:p w14:paraId="16BC34A5" w14:textId="2432CD24" w:rsidR="00AA7B54" w:rsidRPr="00DF549C" w:rsidRDefault="00AA7B54" w:rsidP="00DF549C">
      <w:pPr>
        <w:spacing w:line="360" w:lineRule="auto"/>
        <w:jc w:val="both"/>
        <w:rPr>
          <w:rFonts w:ascii="Arial" w:hAnsi="Arial" w:cs="Arial"/>
          <w:sz w:val="20"/>
          <w:szCs w:val="20"/>
        </w:rPr>
      </w:pPr>
      <w:r w:rsidRPr="00DF549C">
        <w:rPr>
          <w:rFonts w:ascii="Arial" w:hAnsi="Arial" w:cs="Arial"/>
          <w:sz w:val="20"/>
          <w:szCs w:val="20"/>
        </w:rPr>
        <w:t>Introduction</w:t>
      </w:r>
    </w:p>
    <w:p w14:paraId="5FC31F15" w14:textId="3686223E" w:rsidR="00F8436A" w:rsidRPr="00DF549C" w:rsidRDefault="001E0AAE" w:rsidP="00DF549C">
      <w:pPr>
        <w:spacing w:line="360" w:lineRule="auto"/>
        <w:ind w:firstLine="720"/>
        <w:jc w:val="both"/>
        <w:rPr>
          <w:rFonts w:ascii="Arial" w:hAnsi="Arial" w:cs="Arial"/>
          <w:sz w:val="20"/>
          <w:szCs w:val="20"/>
        </w:rPr>
      </w:pPr>
      <w:r w:rsidRPr="00DF549C">
        <w:rPr>
          <w:rFonts w:ascii="Arial" w:hAnsi="Arial" w:cs="Arial"/>
          <w:sz w:val="20"/>
          <w:szCs w:val="20"/>
        </w:rPr>
        <w:t>Long bone fractures are prevalent in young dogs, with a higher incidence in the hind limbs (64.29%) compared to the forelimbs (35.71%). Within hind limb fractures, the femur is predominantly affected, accounting for 81.81% of cases (</w:t>
      </w:r>
      <w:proofErr w:type="spellStart"/>
      <w:r w:rsidRPr="00DF549C">
        <w:rPr>
          <w:rFonts w:ascii="Arial" w:hAnsi="Arial" w:cs="Arial"/>
          <w:sz w:val="20"/>
          <w:szCs w:val="20"/>
        </w:rPr>
        <w:t>Henea</w:t>
      </w:r>
      <w:proofErr w:type="spellEnd"/>
      <w:r w:rsidRPr="00DF549C">
        <w:rPr>
          <w:rFonts w:ascii="Arial" w:hAnsi="Arial" w:cs="Arial"/>
          <w:sz w:val="20"/>
          <w:szCs w:val="20"/>
        </w:rPr>
        <w:t xml:space="preserve"> et al., 2020). Specifically, fractures of the femur and tibia constitute 45% and 26% of cases, respectively (Ali, 2013). The primary </w:t>
      </w:r>
      <w:proofErr w:type="spellStart"/>
      <w:r w:rsidRPr="00DF549C">
        <w:rPr>
          <w:rFonts w:ascii="Arial" w:hAnsi="Arial" w:cs="Arial"/>
          <w:sz w:val="20"/>
          <w:szCs w:val="20"/>
        </w:rPr>
        <w:t>etiologies</w:t>
      </w:r>
      <w:proofErr w:type="spellEnd"/>
      <w:r w:rsidRPr="00DF549C">
        <w:rPr>
          <w:rFonts w:ascii="Arial" w:hAnsi="Arial" w:cs="Arial"/>
          <w:sz w:val="20"/>
          <w:szCs w:val="20"/>
        </w:rPr>
        <w:t xml:space="preserve"> include road </w:t>
      </w:r>
      <w:r w:rsidRPr="00DF549C">
        <w:rPr>
          <w:rFonts w:ascii="Arial" w:hAnsi="Arial" w:cs="Arial"/>
          <w:sz w:val="20"/>
          <w:szCs w:val="20"/>
        </w:rPr>
        <w:lastRenderedPageBreak/>
        <w:t>accidents, falls, and other forms of trauma. A comprehensive understanding of bone biomechanics is essential for the appropriate selection of implants and fixation systems. Available options encompass bone plates and screws, intramedullary pins and cerclages, pin-plate combinations, locked intramedullary nails, and external fixators. Beale (2004) demonstrated that the combination of an intramedullary pin with a bone plate is optimal for biological fracture management, as it enhances construct stiffness and resistance to fatigue failure. Reems et al. (2003) observed that the inclusion of an intramedullary pin significantly extends the fatigue life of the implant by reducing plate strain. An intramedullary pin occupying 35-40</w:t>
      </w:r>
      <w:r w:rsidR="00EB4F52" w:rsidRPr="00DF549C">
        <w:rPr>
          <w:rFonts w:ascii="Arial" w:hAnsi="Arial" w:cs="Arial"/>
          <w:sz w:val="20"/>
          <w:szCs w:val="20"/>
        </w:rPr>
        <w:t>%</w:t>
      </w:r>
      <w:r w:rsidRPr="00DF549C">
        <w:rPr>
          <w:rFonts w:ascii="Arial" w:hAnsi="Arial" w:cs="Arial"/>
          <w:sz w:val="20"/>
          <w:szCs w:val="20"/>
        </w:rPr>
        <w:t xml:space="preserve"> of the medullary cavity effectively protects the plate while allowing sufficient space for screws (Stiffler, 2004). The reduced plate-bone contact of the Locking Compression Plate (LCP) preserves the blood supply, thereby facilitating bone healing (Miller and Goswami, 2007). This study documents the successful application of plate-rod combinations with LCP for femur fracture repair in dogs.</w:t>
      </w:r>
    </w:p>
    <w:p w14:paraId="55FD9FC8" w14:textId="77777777" w:rsidR="00F518C6" w:rsidRPr="00DF549C" w:rsidRDefault="003F0F81" w:rsidP="00DF549C">
      <w:pPr>
        <w:spacing w:line="360" w:lineRule="auto"/>
        <w:jc w:val="both"/>
        <w:rPr>
          <w:rFonts w:ascii="Arial" w:hAnsi="Arial" w:cs="Arial"/>
          <w:sz w:val="20"/>
          <w:szCs w:val="20"/>
        </w:rPr>
      </w:pPr>
      <w:r w:rsidRPr="00DF549C">
        <w:rPr>
          <w:rFonts w:ascii="Arial" w:hAnsi="Arial" w:cs="Arial"/>
          <w:sz w:val="20"/>
          <w:szCs w:val="20"/>
        </w:rPr>
        <w:t>Materials and methods</w:t>
      </w:r>
    </w:p>
    <w:p w14:paraId="0ACCF020" w14:textId="30EBA6D7" w:rsidR="00151DA9" w:rsidRPr="00DF549C" w:rsidRDefault="001134F9" w:rsidP="00DF549C">
      <w:pPr>
        <w:spacing w:line="360" w:lineRule="auto"/>
        <w:ind w:firstLine="720"/>
        <w:jc w:val="both"/>
        <w:rPr>
          <w:rFonts w:ascii="Arial" w:hAnsi="Arial" w:cs="Arial"/>
          <w:sz w:val="20"/>
          <w:szCs w:val="20"/>
        </w:rPr>
      </w:pPr>
      <w:r w:rsidRPr="00DF549C">
        <w:rPr>
          <w:rFonts w:ascii="Arial" w:hAnsi="Arial" w:cs="Arial"/>
          <w:sz w:val="20"/>
          <w:szCs w:val="20"/>
        </w:rPr>
        <w:t>The present study was performed to evaluate the efficacy of the plate</w:t>
      </w:r>
      <w:r w:rsidR="009A3C28" w:rsidRPr="00DF549C">
        <w:rPr>
          <w:rFonts w:ascii="Arial" w:hAnsi="Arial" w:cs="Arial"/>
          <w:sz w:val="20"/>
          <w:szCs w:val="20"/>
        </w:rPr>
        <w:t>-</w:t>
      </w:r>
      <w:r w:rsidRPr="00DF549C">
        <w:rPr>
          <w:rFonts w:ascii="Arial" w:hAnsi="Arial" w:cs="Arial"/>
          <w:sz w:val="20"/>
          <w:szCs w:val="20"/>
        </w:rPr>
        <w:t>rod technique and an “Open but do not touch” approach for the management of various types of traumatic femur fractures in dogs.</w:t>
      </w:r>
      <w:r w:rsidR="00B67ECD" w:rsidRPr="00DF549C">
        <w:rPr>
          <w:rFonts w:ascii="Arial" w:hAnsi="Arial" w:cs="Arial"/>
          <w:sz w:val="20"/>
          <w:szCs w:val="20"/>
        </w:rPr>
        <w:t xml:space="preserve"> </w:t>
      </w:r>
      <w:r w:rsidR="004A39AD" w:rsidRPr="00DF549C">
        <w:rPr>
          <w:rFonts w:ascii="Arial" w:hAnsi="Arial" w:cs="Arial"/>
          <w:sz w:val="20"/>
          <w:szCs w:val="20"/>
        </w:rPr>
        <w:t>Six</w:t>
      </w:r>
      <w:r w:rsidR="00571B46" w:rsidRPr="00DF549C">
        <w:rPr>
          <w:rFonts w:ascii="Arial" w:hAnsi="Arial" w:cs="Arial"/>
          <w:sz w:val="20"/>
          <w:szCs w:val="20"/>
        </w:rPr>
        <w:t xml:space="preserve"> </w:t>
      </w:r>
      <w:r w:rsidR="008237C9" w:rsidRPr="00DF549C">
        <w:rPr>
          <w:rFonts w:ascii="Arial" w:hAnsi="Arial" w:cs="Arial"/>
          <w:sz w:val="20"/>
          <w:szCs w:val="20"/>
        </w:rPr>
        <w:t>cases of</w:t>
      </w:r>
      <w:r w:rsidR="007E10BD" w:rsidRPr="00DF549C">
        <w:rPr>
          <w:rFonts w:ascii="Arial" w:hAnsi="Arial" w:cs="Arial"/>
          <w:sz w:val="20"/>
          <w:szCs w:val="20"/>
        </w:rPr>
        <w:t xml:space="preserve"> femoral fractures in dogs </w:t>
      </w:r>
      <w:r w:rsidR="00262127" w:rsidRPr="00DF549C">
        <w:rPr>
          <w:rFonts w:ascii="Arial" w:hAnsi="Arial" w:cs="Arial"/>
          <w:sz w:val="20"/>
          <w:szCs w:val="20"/>
        </w:rPr>
        <w:t xml:space="preserve">presented to the </w:t>
      </w:r>
      <w:r w:rsidR="00F807A5" w:rsidRPr="00DF549C">
        <w:rPr>
          <w:rFonts w:ascii="Arial" w:hAnsi="Arial" w:cs="Arial"/>
          <w:sz w:val="20"/>
          <w:szCs w:val="20"/>
        </w:rPr>
        <w:t>D</w:t>
      </w:r>
      <w:r w:rsidR="00262127" w:rsidRPr="00DF549C">
        <w:rPr>
          <w:rFonts w:ascii="Arial" w:hAnsi="Arial" w:cs="Arial"/>
          <w:sz w:val="20"/>
          <w:szCs w:val="20"/>
        </w:rPr>
        <w:t xml:space="preserve">epartment of </w:t>
      </w:r>
      <w:r w:rsidR="00F807A5" w:rsidRPr="00DF549C">
        <w:rPr>
          <w:rFonts w:ascii="Arial" w:hAnsi="Arial" w:cs="Arial"/>
          <w:sz w:val="20"/>
          <w:szCs w:val="20"/>
        </w:rPr>
        <w:t>V</w:t>
      </w:r>
      <w:r w:rsidR="00BD472D" w:rsidRPr="00DF549C">
        <w:rPr>
          <w:rFonts w:ascii="Arial" w:hAnsi="Arial" w:cs="Arial"/>
          <w:sz w:val="20"/>
          <w:szCs w:val="20"/>
        </w:rPr>
        <w:t>eterinary</w:t>
      </w:r>
      <w:r w:rsidR="00262127" w:rsidRPr="00DF549C">
        <w:rPr>
          <w:rFonts w:ascii="Arial" w:hAnsi="Arial" w:cs="Arial"/>
          <w:sz w:val="20"/>
          <w:szCs w:val="20"/>
        </w:rPr>
        <w:t xml:space="preserve"> Surgery </w:t>
      </w:r>
      <w:r w:rsidR="00BD472D" w:rsidRPr="00DF549C">
        <w:rPr>
          <w:rFonts w:ascii="Arial" w:hAnsi="Arial" w:cs="Arial"/>
          <w:sz w:val="20"/>
          <w:szCs w:val="20"/>
        </w:rPr>
        <w:t>and</w:t>
      </w:r>
      <w:r w:rsidR="00262127" w:rsidRPr="00DF549C">
        <w:rPr>
          <w:rFonts w:ascii="Arial" w:hAnsi="Arial" w:cs="Arial"/>
          <w:sz w:val="20"/>
          <w:szCs w:val="20"/>
        </w:rPr>
        <w:t xml:space="preserve"> Radiology, College of Veterinary and</w:t>
      </w:r>
      <w:r w:rsidR="00B2517B" w:rsidRPr="00DF549C">
        <w:rPr>
          <w:rFonts w:ascii="Arial" w:hAnsi="Arial" w:cs="Arial"/>
          <w:sz w:val="20"/>
          <w:szCs w:val="20"/>
        </w:rPr>
        <w:t xml:space="preserve"> Animal Sciences, </w:t>
      </w:r>
      <w:proofErr w:type="spellStart"/>
      <w:r w:rsidR="00B2517B" w:rsidRPr="00DF549C">
        <w:rPr>
          <w:rFonts w:ascii="Arial" w:hAnsi="Arial" w:cs="Arial"/>
          <w:sz w:val="20"/>
          <w:szCs w:val="20"/>
        </w:rPr>
        <w:t>Pookode</w:t>
      </w:r>
      <w:proofErr w:type="spellEnd"/>
      <w:r w:rsidR="00B2517B" w:rsidRPr="00DF549C">
        <w:rPr>
          <w:rFonts w:ascii="Arial" w:hAnsi="Arial" w:cs="Arial"/>
          <w:sz w:val="20"/>
          <w:szCs w:val="20"/>
        </w:rPr>
        <w:t xml:space="preserve">, Wayanad </w:t>
      </w:r>
      <w:r w:rsidR="007E10BD" w:rsidRPr="00DF549C">
        <w:rPr>
          <w:rFonts w:ascii="Arial" w:hAnsi="Arial" w:cs="Arial"/>
          <w:sz w:val="20"/>
          <w:szCs w:val="20"/>
        </w:rPr>
        <w:t>was recorded irrespective of age, breed, and sex.</w:t>
      </w:r>
      <w:r w:rsidR="008237C9" w:rsidRPr="00DF549C">
        <w:rPr>
          <w:rFonts w:ascii="Arial" w:hAnsi="Arial" w:cs="Arial"/>
          <w:sz w:val="20"/>
          <w:szCs w:val="20"/>
        </w:rPr>
        <w:t xml:space="preserve"> </w:t>
      </w:r>
      <w:r w:rsidR="002C036F" w:rsidRPr="00DF549C">
        <w:rPr>
          <w:rFonts w:ascii="Arial" w:hAnsi="Arial" w:cs="Arial"/>
          <w:sz w:val="20"/>
          <w:szCs w:val="20"/>
        </w:rPr>
        <w:t>Dogs that presented with complaints of hindlimb lameness were further examined, and radiographic examination was performed to confirm the type of fracture.</w:t>
      </w:r>
      <w:r w:rsidR="007E10BD" w:rsidRPr="00DF549C">
        <w:rPr>
          <w:rFonts w:ascii="Arial" w:hAnsi="Arial" w:cs="Arial"/>
          <w:sz w:val="20"/>
          <w:szCs w:val="20"/>
        </w:rPr>
        <w:t xml:space="preserve"> </w:t>
      </w:r>
      <w:r w:rsidR="0033203B" w:rsidRPr="00DF549C">
        <w:rPr>
          <w:rFonts w:ascii="Arial" w:hAnsi="Arial" w:cs="Arial"/>
          <w:sz w:val="20"/>
          <w:szCs w:val="20"/>
        </w:rPr>
        <w:t xml:space="preserve">The fractures were classified based on </w:t>
      </w:r>
      <w:r w:rsidR="00AA392D" w:rsidRPr="00DF549C">
        <w:rPr>
          <w:rFonts w:ascii="Arial" w:hAnsi="Arial" w:cs="Arial"/>
          <w:sz w:val="20"/>
          <w:szCs w:val="20"/>
        </w:rPr>
        <w:t>Unger’s</w:t>
      </w:r>
      <w:r w:rsidR="0033203B" w:rsidRPr="00DF549C">
        <w:rPr>
          <w:rFonts w:ascii="Arial" w:hAnsi="Arial" w:cs="Arial"/>
          <w:sz w:val="20"/>
          <w:szCs w:val="20"/>
        </w:rPr>
        <w:t xml:space="preserve"> system of fracture classification</w:t>
      </w:r>
      <w:r w:rsidR="000D1929" w:rsidRPr="00DF549C">
        <w:rPr>
          <w:rFonts w:ascii="Arial" w:hAnsi="Arial" w:cs="Arial"/>
          <w:sz w:val="20"/>
          <w:szCs w:val="20"/>
        </w:rPr>
        <w:t xml:space="preserve"> </w:t>
      </w:r>
      <w:r w:rsidR="004E234C" w:rsidRPr="00DF549C">
        <w:rPr>
          <w:rFonts w:ascii="Arial" w:hAnsi="Arial" w:cs="Arial"/>
          <w:sz w:val="20"/>
          <w:szCs w:val="20"/>
        </w:rPr>
        <w:t>(Unger et al.</w:t>
      </w:r>
      <w:r w:rsidR="000D1929" w:rsidRPr="00DF549C">
        <w:rPr>
          <w:rFonts w:ascii="Arial" w:hAnsi="Arial" w:cs="Arial"/>
          <w:sz w:val="20"/>
          <w:szCs w:val="20"/>
        </w:rPr>
        <w:t xml:space="preserve"> 1990</w:t>
      </w:r>
      <w:r w:rsidR="004E234C" w:rsidRPr="00DF549C">
        <w:rPr>
          <w:rFonts w:ascii="Arial" w:hAnsi="Arial" w:cs="Arial"/>
          <w:sz w:val="20"/>
          <w:szCs w:val="20"/>
        </w:rPr>
        <w:t>)</w:t>
      </w:r>
      <w:r w:rsidR="00A83165" w:rsidRPr="00DF549C">
        <w:rPr>
          <w:rFonts w:ascii="Arial" w:hAnsi="Arial" w:cs="Arial"/>
          <w:sz w:val="20"/>
          <w:szCs w:val="20"/>
        </w:rPr>
        <w:t xml:space="preserve">. Blood samples were collected to perform </w:t>
      </w:r>
      <w:r w:rsidR="00A83165" w:rsidRPr="00DF549C">
        <w:rPr>
          <w:rStyle w:val="Strong"/>
          <w:rFonts w:ascii="Arial" w:hAnsi="Arial" w:cs="Arial"/>
          <w:b w:val="0"/>
          <w:bCs w:val="0"/>
          <w:sz w:val="20"/>
          <w:szCs w:val="20"/>
        </w:rPr>
        <w:t>haematological analysis</w:t>
      </w:r>
      <w:r w:rsidR="00A83165" w:rsidRPr="00DF549C">
        <w:rPr>
          <w:rStyle w:val="Strong"/>
          <w:rFonts w:ascii="Arial" w:hAnsi="Arial" w:cs="Arial"/>
          <w:sz w:val="20"/>
          <w:szCs w:val="20"/>
        </w:rPr>
        <w:t xml:space="preserve"> </w:t>
      </w:r>
      <w:r w:rsidR="00A83165" w:rsidRPr="00DF549C">
        <w:rPr>
          <w:rStyle w:val="Strong"/>
          <w:rFonts w:ascii="Arial" w:hAnsi="Arial" w:cs="Arial"/>
          <w:b w:val="0"/>
          <w:bCs w:val="0"/>
          <w:sz w:val="20"/>
          <w:szCs w:val="20"/>
        </w:rPr>
        <w:t>and to determine serum calcium, phosphorus, and alkaline phosphatase concentrations</w:t>
      </w:r>
      <w:r w:rsidR="00A83165" w:rsidRPr="00DF549C">
        <w:rPr>
          <w:rFonts w:ascii="Arial" w:hAnsi="Arial" w:cs="Arial"/>
          <w:sz w:val="20"/>
          <w:szCs w:val="20"/>
        </w:rPr>
        <w:t>.</w:t>
      </w:r>
      <w:r w:rsidR="00A83165" w:rsidRPr="00DF549C">
        <w:rPr>
          <w:rFonts w:ascii="Arial" w:hAnsi="Arial" w:cs="Arial"/>
          <w:color w:val="C00000"/>
          <w:sz w:val="20"/>
          <w:szCs w:val="20"/>
        </w:rPr>
        <w:t xml:space="preserve"> </w:t>
      </w:r>
      <w:r w:rsidR="007E26AC" w:rsidRPr="00DF549C">
        <w:rPr>
          <w:rFonts w:ascii="Arial" w:hAnsi="Arial" w:cs="Arial"/>
          <w:sz w:val="20"/>
          <w:szCs w:val="20"/>
        </w:rPr>
        <w:t>All fractures were surgically managed with a plate rod system with an intramedullary rod occupying 40 percent of the isthmus of the femur.</w:t>
      </w:r>
      <w:r w:rsidR="00BF5CCC" w:rsidRPr="00DF549C">
        <w:rPr>
          <w:rFonts w:ascii="Arial" w:hAnsi="Arial" w:cs="Arial"/>
          <w:sz w:val="20"/>
          <w:szCs w:val="20"/>
        </w:rPr>
        <w:t xml:space="preserve"> </w:t>
      </w:r>
      <w:r w:rsidR="007E26AC" w:rsidRPr="00DF549C">
        <w:rPr>
          <w:rFonts w:ascii="Arial" w:hAnsi="Arial" w:cs="Arial"/>
          <w:sz w:val="20"/>
          <w:szCs w:val="20"/>
        </w:rPr>
        <w:t xml:space="preserve">The locking plate (LCP) size required for the respective body weights was chosen with screws placed </w:t>
      </w:r>
      <w:proofErr w:type="spellStart"/>
      <w:r w:rsidR="007E26AC" w:rsidRPr="00DF549C">
        <w:rPr>
          <w:rFonts w:ascii="Arial" w:hAnsi="Arial" w:cs="Arial"/>
          <w:sz w:val="20"/>
          <w:szCs w:val="20"/>
        </w:rPr>
        <w:t>bicortically</w:t>
      </w:r>
      <w:proofErr w:type="spellEnd"/>
      <w:r w:rsidR="007E26AC" w:rsidRPr="00DF549C">
        <w:rPr>
          <w:rFonts w:ascii="Arial" w:hAnsi="Arial" w:cs="Arial"/>
          <w:sz w:val="20"/>
          <w:szCs w:val="20"/>
        </w:rPr>
        <w:t xml:space="preserve"> in the fracture fragments.</w:t>
      </w:r>
      <w:r w:rsidR="00123083" w:rsidRPr="00DF549C">
        <w:rPr>
          <w:rFonts w:ascii="Arial" w:hAnsi="Arial" w:cs="Arial"/>
          <w:sz w:val="20"/>
          <w:szCs w:val="20"/>
        </w:rPr>
        <w:t xml:space="preserve"> </w:t>
      </w:r>
      <w:r w:rsidR="0058617F" w:rsidRPr="00DF549C">
        <w:rPr>
          <w:rFonts w:ascii="Arial" w:hAnsi="Arial" w:cs="Arial"/>
          <w:sz w:val="20"/>
          <w:szCs w:val="20"/>
        </w:rPr>
        <w:t xml:space="preserve"> </w:t>
      </w:r>
      <w:r w:rsidR="007E26AC" w:rsidRPr="00DF549C">
        <w:rPr>
          <w:rFonts w:ascii="Arial" w:hAnsi="Arial" w:cs="Arial"/>
          <w:sz w:val="20"/>
          <w:szCs w:val="20"/>
        </w:rPr>
        <w:t xml:space="preserve">All femurs were approached through a standard craniolateral approach under general </w:t>
      </w:r>
      <w:r w:rsidR="00B9457F" w:rsidRPr="00DF549C">
        <w:rPr>
          <w:rFonts w:ascii="Arial" w:hAnsi="Arial" w:cs="Arial"/>
          <w:sz w:val="20"/>
          <w:szCs w:val="20"/>
        </w:rPr>
        <w:t>anaesthesia</w:t>
      </w:r>
      <w:r w:rsidR="007E26AC" w:rsidRPr="00DF549C">
        <w:rPr>
          <w:rFonts w:ascii="Arial" w:hAnsi="Arial" w:cs="Arial"/>
          <w:sz w:val="20"/>
          <w:szCs w:val="20"/>
        </w:rPr>
        <w:t>.</w:t>
      </w:r>
      <w:r w:rsidR="00690D4B" w:rsidRPr="00DF549C">
        <w:rPr>
          <w:rFonts w:ascii="Arial" w:hAnsi="Arial" w:cs="Arial"/>
          <w:sz w:val="20"/>
          <w:szCs w:val="20"/>
        </w:rPr>
        <w:t xml:space="preserve"> </w:t>
      </w:r>
      <w:r w:rsidR="00EE53E2" w:rsidRPr="00DF549C">
        <w:rPr>
          <w:rFonts w:ascii="Arial" w:hAnsi="Arial" w:cs="Arial"/>
          <w:sz w:val="20"/>
          <w:szCs w:val="20"/>
        </w:rPr>
        <w:t xml:space="preserve">A Steinman pin was initially inserted </w:t>
      </w:r>
      <w:proofErr w:type="spellStart"/>
      <w:r w:rsidR="00EE53E2" w:rsidRPr="00DF549C">
        <w:rPr>
          <w:rFonts w:ascii="Arial" w:hAnsi="Arial" w:cs="Arial"/>
          <w:sz w:val="20"/>
          <w:szCs w:val="20"/>
        </w:rPr>
        <w:t>normograde</w:t>
      </w:r>
      <w:proofErr w:type="spellEnd"/>
      <w:r w:rsidR="00EE53E2" w:rsidRPr="00DF549C">
        <w:rPr>
          <w:rFonts w:ascii="Arial" w:hAnsi="Arial" w:cs="Arial"/>
          <w:sz w:val="20"/>
          <w:szCs w:val="20"/>
        </w:rPr>
        <w:t xml:space="preserve"> to </w:t>
      </w:r>
      <w:proofErr w:type="spellStart"/>
      <w:r w:rsidR="00EE53E2" w:rsidRPr="00DF549C">
        <w:rPr>
          <w:rFonts w:ascii="Arial" w:hAnsi="Arial" w:cs="Arial"/>
          <w:sz w:val="20"/>
          <w:szCs w:val="20"/>
        </w:rPr>
        <w:t>reestablish</w:t>
      </w:r>
      <w:proofErr w:type="spellEnd"/>
      <w:r w:rsidR="00EE53E2" w:rsidRPr="00DF549C">
        <w:rPr>
          <w:rFonts w:ascii="Arial" w:hAnsi="Arial" w:cs="Arial"/>
          <w:sz w:val="20"/>
          <w:szCs w:val="20"/>
        </w:rPr>
        <w:t xml:space="preserve"> the axial realignment and length of the femur.</w:t>
      </w:r>
      <w:r w:rsidR="0033372E" w:rsidRPr="00DF549C">
        <w:rPr>
          <w:rFonts w:ascii="Arial" w:hAnsi="Arial" w:cs="Arial"/>
          <w:sz w:val="20"/>
          <w:szCs w:val="20"/>
        </w:rPr>
        <w:t xml:space="preserve"> </w:t>
      </w:r>
      <w:r w:rsidR="00831603" w:rsidRPr="00DF549C">
        <w:rPr>
          <w:rFonts w:ascii="Arial" w:hAnsi="Arial" w:cs="Arial"/>
          <w:sz w:val="20"/>
          <w:szCs w:val="20"/>
        </w:rPr>
        <w:t>Ancillary</w:t>
      </w:r>
      <w:r w:rsidR="00A25E9E" w:rsidRPr="00DF549C">
        <w:rPr>
          <w:rFonts w:ascii="Arial" w:hAnsi="Arial" w:cs="Arial"/>
          <w:sz w:val="20"/>
          <w:szCs w:val="20"/>
        </w:rPr>
        <w:t xml:space="preserve"> technique of cerclage wiring was used whenever required</w:t>
      </w:r>
      <w:r w:rsidR="00407099" w:rsidRPr="00DF549C">
        <w:rPr>
          <w:rFonts w:ascii="Arial" w:hAnsi="Arial" w:cs="Arial"/>
          <w:sz w:val="20"/>
          <w:szCs w:val="20"/>
        </w:rPr>
        <w:t xml:space="preserve">. Every effort was made to preserve the </w:t>
      </w:r>
      <w:r w:rsidR="00831603" w:rsidRPr="00DF549C">
        <w:rPr>
          <w:rFonts w:ascii="Arial" w:hAnsi="Arial" w:cs="Arial"/>
          <w:sz w:val="20"/>
          <w:szCs w:val="20"/>
        </w:rPr>
        <w:t>periosteal blood supply and muscle attachments</w:t>
      </w:r>
      <w:r w:rsidR="000A61C3" w:rsidRPr="00DF549C">
        <w:rPr>
          <w:rFonts w:ascii="Arial" w:hAnsi="Arial" w:cs="Arial"/>
          <w:sz w:val="20"/>
          <w:szCs w:val="20"/>
        </w:rPr>
        <w:t xml:space="preserve"> to facilitate a good biological environment. </w:t>
      </w:r>
      <w:r w:rsidR="009D420F" w:rsidRPr="00DF549C">
        <w:rPr>
          <w:rFonts w:ascii="Arial" w:hAnsi="Arial" w:cs="Arial"/>
          <w:sz w:val="20"/>
          <w:szCs w:val="20"/>
        </w:rPr>
        <w:t xml:space="preserve">Fracture fragments with soft tissue attachments were retained without compromising muscle attachments, thus ensuring an </w:t>
      </w:r>
      <w:r w:rsidR="00471FA7" w:rsidRPr="00DF549C">
        <w:rPr>
          <w:rFonts w:ascii="Arial" w:hAnsi="Arial" w:cs="Arial"/>
          <w:sz w:val="20"/>
          <w:szCs w:val="20"/>
        </w:rPr>
        <w:t>“open</w:t>
      </w:r>
      <w:r w:rsidR="009D420F" w:rsidRPr="00DF549C">
        <w:rPr>
          <w:rFonts w:ascii="Arial" w:hAnsi="Arial" w:cs="Arial"/>
          <w:sz w:val="20"/>
          <w:szCs w:val="20"/>
        </w:rPr>
        <w:t xml:space="preserve"> but do not touch” approach</w:t>
      </w:r>
      <w:r w:rsidR="003B3081" w:rsidRPr="00DF549C">
        <w:rPr>
          <w:rFonts w:ascii="Arial" w:hAnsi="Arial" w:cs="Arial"/>
          <w:sz w:val="20"/>
          <w:szCs w:val="20"/>
        </w:rPr>
        <w:t xml:space="preserve"> </w:t>
      </w:r>
      <w:r w:rsidR="00047662" w:rsidRPr="00DF549C">
        <w:rPr>
          <w:rFonts w:ascii="Arial" w:hAnsi="Arial" w:cs="Arial"/>
          <w:sz w:val="20"/>
          <w:szCs w:val="20"/>
        </w:rPr>
        <w:t>(Griffon</w:t>
      </w:r>
      <w:r w:rsidR="003B3081" w:rsidRPr="00DF549C">
        <w:rPr>
          <w:rFonts w:ascii="Arial" w:hAnsi="Arial" w:cs="Arial"/>
          <w:sz w:val="20"/>
          <w:szCs w:val="20"/>
        </w:rPr>
        <w:t>. 2005</w:t>
      </w:r>
      <w:r w:rsidR="00047662" w:rsidRPr="00DF549C">
        <w:rPr>
          <w:rFonts w:ascii="Arial" w:hAnsi="Arial" w:cs="Arial"/>
          <w:sz w:val="20"/>
          <w:szCs w:val="20"/>
        </w:rPr>
        <w:t>)</w:t>
      </w:r>
      <w:r w:rsidR="009D420F" w:rsidRPr="00DF549C">
        <w:rPr>
          <w:rFonts w:ascii="Arial" w:hAnsi="Arial" w:cs="Arial"/>
          <w:sz w:val="20"/>
          <w:szCs w:val="20"/>
        </w:rPr>
        <w:t>.</w:t>
      </w:r>
      <w:r w:rsidR="00784EA4" w:rsidRPr="00DF549C">
        <w:rPr>
          <w:rFonts w:ascii="Arial" w:hAnsi="Arial" w:cs="Arial"/>
          <w:sz w:val="20"/>
          <w:szCs w:val="20"/>
        </w:rPr>
        <w:t xml:space="preserve"> </w:t>
      </w:r>
      <w:r w:rsidR="009E185C" w:rsidRPr="00DF549C">
        <w:rPr>
          <w:rFonts w:ascii="Arial" w:hAnsi="Arial" w:cs="Arial"/>
          <w:sz w:val="20"/>
          <w:szCs w:val="20"/>
        </w:rPr>
        <w:t xml:space="preserve">A minimum of two </w:t>
      </w:r>
      <w:proofErr w:type="spellStart"/>
      <w:r w:rsidR="009E185C" w:rsidRPr="00DF549C">
        <w:rPr>
          <w:rFonts w:ascii="Arial" w:hAnsi="Arial" w:cs="Arial"/>
          <w:sz w:val="20"/>
          <w:szCs w:val="20"/>
        </w:rPr>
        <w:t>bicortical</w:t>
      </w:r>
      <w:proofErr w:type="spellEnd"/>
      <w:r w:rsidR="009E185C" w:rsidRPr="00DF549C">
        <w:rPr>
          <w:rFonts w:ascii="Arial" w:hAnsi="Arial" w:cs="Arial"/>
          <w:sz w:val="20"/>
          <w:szCs w:val="20"/>
        </w:rPr>
        <w:t xml:space="preserve"> screws were placed in each fracture fragment.</w:t>
      </w:r>
      <w:r w:rsidR="0013178F" w:rsidRPr="00DF549C">
        <w:rPr>
          <w:rFonts w:ascii="Arial" w:hAnsi="Arial" w:cs="Arial"/>
          <w:sz w:val="20"/>
          <w:szCs w:val="20"/>
        </w:rPr>
        <w:t xml:space="preserve"> </w:t>
      </w:r>
    </w:p>
    <w:p w14:paraId="4A7844E6" w14:textId="0C68F019" w:rsidR="00263C05" w:rsidRPr="00DF549C" w:rsidRDefault="00FD7F0D" w:rsidP="00DF549C">
      <w:pPr>
        <w:spacing w:line="360" w:lineRule="auto"/>
        <w:ind w:firstLine="720"/>
        <w:jc w:val="both"/>
        <w:rPr>
          <w:rFonts w:ascii="Arial" w:hAnsi="Arial" w:cs="Arial"/>
          <w:sz w:val="20"/>
          <w:szCs w:val="20"/>
        </w:rPr>
      </w:pPr>
      <w:r w:rsidRPr="00DF549C">
        <w:rPr>
          <w:rFonts w:ascii="Arial" w:hAnsi="Arial" w:cs="Arial"/>
          <w:sz w:val="20"/>
          <w:szCs w:val="20"/>
        </w:rPr>
        <w:t xml:space="preserve">Postoperatively, all the animals were treated with amoxicillin clavulanate at the dose rate of 20 mg/kg </w:t>
      </w:r>
      <w:r w:rsidR="00E82F57" w:rsidRPr="00DF549C">
        <w:rPr>
          <w:rFonts w:ascii="Arial" w:hAnsi="Arial" w:cs="Arial"/>
          <w:sz w:val="20"/>
          <w:szCs w:val="20"/>
        </w:rPr>
        <w:t xml:space="preserve">body weight </w:t>
      </w:r>
      <w:r w:rsidRPr="00DF549C">
        <w:rPr>
          <w:rFonts w:ascii="Arial" w:hAnsi="Arial" w:cs="Arial"/>
          <w:sz w:val="20"/>
          <w:szCs w:val="20"/>
        </w:rPr>
        <w:t xml:space="preserve">BID for 5 days along with </w:t>
      </w:r>
      <w:r w:rsidR="00BA5451" w:rsidRPr="00DF549C">
        <w:rPr>
          <w:rFonts w:ascii="Arial" w:hAnsi="Arial" w:cs="Arial"/>
          <w:sz w:val="20"/>
          <w:szCs w:val="20"/>
        </w:rPr>
        <w:t>carprofen</w:t>
      </w:r>
      <w:r w:rsidRPr="00DF549C">
        <w:rPr>
          <w:rFonts w:ascii="Arial" w:hAnsi="Arial" w:cs="Arial"/>
          <w:sz w:val="20"/>
          <w:szCs w:val="20"/>
        </w:rPr>
        <w:t xml:space="preserve"> at the rate of 3 mg/kg body weight BID for 7 days and gabapentin at the rate of 20 mg/kg for 2 weeks.</w:t>
      </w:r>
      <w:r w:rsidR="00317676" w:rsidRPr="00DF549C">
        <w:rPr>
          <w:rFonts w:ascii="Arial" w:hAnsi="Arial" w:cs="Arial"/>
          <w:sz w:val="20"/>
          <w:szCs w:val="20"/>
        </w:rPr>
        <w:t xml:space="preserve"> Multivitamin supplements were prescribed</w:t>
      </w:r>
      <w:r w:rsidR="000D42ED" w:rsidRPr="00DF549C">
        <w:rPr>
          <w:rFonts w:ascii="Arial" w:hAnsi="Arial" w:cs="Arial"/>
          <w:sz w:val="20"/>
          <w:szCs w:val="20"/>
        </w:rPr>
        <w:t xml:space="preserve">. </w:t>
      </w:r>
      <w:r w:rsidRPr="00DF549C">
        <w:rPr>
          <w:rFonts w:ascii="Arial" w:hAnsi="Arial" w:cs="Arial"/>
          <w:sz w:val="20"/>
          <w:szCs w:val="20"/>
        </w:rPr>
        <w:t>All owners were advised to provide strict cage rest for four weeks, followed by leash walking for the next four weeks.</w:t>
      </w:r>
      <w:r w:rsidR="00593596" w:rsidRPr="00DF549C">
        <w:rPr>
          <w:rFonts w:ascii="Arial" w:hAnsi="Arial" w:cs="Arial"/>
          <w:sz w:val="20"/>
          <w:szCs w:val="20"/>
        </w:rPr>
        <w:t xml:space="preserve"> </w:t>
      </w:r>
      <w:r w:rsidRPr="00DF549C">
        <w:rPr>
          <w:rFonts w:ascii="Arial" w:hAnsi="Arial" w:cs="Arial"/>
          <w:sz w:val="20"/>
          <w:szCs w:val="20"/>
        </w:rPr>
        <w:t>Skin sutures were removed on the tenth postoperative day.</w:t>
      </w:r>
      <w:r w:rsidR="00D0630E" w:rsidRPr="00DF549C">
        <w:rPr>
          <w:rFonts w:ascii="Arial" w:hAnsi="Arial" w:cs="Arial"/>
          <w:sz w:val="20"/>
          <w:szCs w:val="20"/>
        </w:rPr>
        <w:t xml:space="preserve"> </w:t>
      </w:r>
      <w:r w:rsidR="00587070" w:rsidRPr="00DF549C">
        <w:rPr>
          <w:rFonts w:ascii="Arial" w:hAnsi="Arial" w:cs="Arial"/>
          <w:sz w:val="20"/>
          <w:szCs w:val="20"/>
        </w:rPr>
        <w:t>The limbs were not bandaged.</w:t>
      </w:r>
      <w:r w:rsidR="002A5A70" w:rsidRPr="00DF549C">
        <w:rPr>
          <w:rFonts w:ascii="Arial" w:hAnsi="Arial" w:cs="Arial"/>
          <w:sz w:val="20"/>
          <w:szCs w:val="20"/>
        </w:rPr>
        <w:t xml:space="preserve"> </w:t>
      </w:r>
      <w:r w:rsidR="00FE4EA4" w:rsidRPr="00DF549C">
        <w:rPr>
          <w:rFonts w:ascii="Arial" w:hAnsi="Arial" w:cs="Arial"/>
          <w:sz w:val="20"/>
          <w:szCs w:val="20"/>
        </w:rPr>
        <w:t xml:space="preserve"> </w:t>
      </w:r>
      <w:r w:rsidR="0013178F" w:rsidRPr="00DF549C">
        <w:rPr>
          <w:rFonts w:ascii="Arial" w:hAnsi="Arial" w:cs="Arial"/>
          <w:sz w:val="20"/>
          <w:szCs w:val="20"/>
        </w:rPr>
        <w:t xml:space="preserve">All the fracture </w:t>
      </w:r>
      <w:r w:rsidR="0006296D" w:rsidRPr="00DF549C">
        <w:rPr>
          <w:rFonts w:ascii="Arial" w:hAnsi="Arial" w:cs="Arial"/>
          <w:sz w:val="20"/>
          <w:szCs w:val="20"/>
        </w:rPr>
        <w:t>repairs were evaluated for apposition</w:t>
      </w:r>
      <w:r w:rsidR="009062B6" w:rsidRPr="00DF549C">
        <w:rPr>
          <w:rFonts w:ascii="Arial" w:hAnsi="Arial" w:cs="Arial"/>
          <w:sz w:val="20"/>
          <w:szCs w:val="20"/>
        </w:rPr>
        <w:t>,</w:t>
      </w:r>
      <w:r w:rsidR="005A327F" w:rsidRPr="00DF549C">
        <w:rPr>
          <w:rFonts w:ascii="Arial" w:hAnsi="Arial" w:cs="Arial"/>
          <w:sz w:val="20"/>
          <w:szCs w:val="20"/>
        </w:rPr>
        <w:t xml:space="preserve"> </w:t>
      </w:r>
      <w:r w:rsidR="0006296D" w:rsidRPr="00DF549C">
        <w:rPr>
          <w:rFonts w:ascii="Arial" w:hAnsi="Arial" w:cs="Arial"/>
          <w:sz w:val="20"/>
          <w:szCs w:val="20"/>
        </w:rPr>
        <w:t>alignment, apparatus</w:t>
      </w:r>
      <w:r w:rsidR="009062B6" w:rsidRPr="00DF549C">
        <w:rPr>
          <w:rFonts w:ascii="Arial" w:hAnsi="Arial" w:cs="Arial"/>
          <w:sz w:val="20"/>
          <w:szCs w:val="20"/>
        </w:rPr>
        <w:t xml:space="preserve"> and activity</w:t>
      </w:r>
      <w:r w:rsidR="00B36356" w:rsidRPr="00DF549C">
        <w:rPr>
          <w:rFonts w:ascii="Arial" w:hAnsi="Arial" w:cs="Arial"/>
          <w:sz w:val="20"/>
          <w:szCs w:val="20"/>
        </w:rPr>
        <w:t xml:space="preserve">. </w:t>
      </w:r>
      <w:r w:rsidR="00356D1B" w:rsidRPr="00DF549C">
        <w:rPr>
          <w:rFonts w:ascii="Arial" w:hAnsi="Arial" w:cs="Arial"/>
          <w:sz w:val="20"/>
          <w:szCs w:val="20"/>
        </w:rPr>
        <w:t xml:space="preserve">Radiographic evaluation was conducted at </w:t>
      </w:r>
      <w:r w:rsidR="0096667D" w:rsidRPr="00DF549C">
        <w:rPr>
          <w:rFonts w:ascii="Arial" w:hAnsi="Arial" w:cs="Arial"/>
          <w:sz w:val="20"/>
          <w:szCs w:val="20"/>
        </w:rPr>
        <w:t>14</w:t>
      </w:r>
      <w:r w:rsidR="00356D1B" w:rsidRPr="00DF549C">
        <w:rPr>
          <w:rFonts w:ascii="Arial" w:hAnsi="Arial" w:cs="Arial"/>
          <w:sz w:val="20"/>
          <w:szCs w:val="20"/>
        </w:rPr>
        <w:t>, 30, 60, and 90 postoperative days.</w:t>
      </w:r>
      <w:r w:rsidR="005C772D" w:rsidRPr="00DF549C">
        <w:rPr>
          <w:rFonts w:ascii="Arial" w:hAnsi="Arial" w:cs="Arial"/>
          <w:sz w:val="20"/>
          <w:szCs w:val="20"/>
        </w:rPr>
        <w:t xml:space="preserve"> Postoperative </w:t>
      </w:r>
      <w:r w:rsidR="005C772D" w:rsidRPr="00DF549C">
        <w:rPr>
          <w:rFonts w:ascii="Arial" w:hAnsi="Arial" w:cs="Arial"/>
          <w:sz w:val="20"/>
          <w:szCs w:val="20"/>
        </w:rPr>
        <w:lastRenderedPageBreak/>
        <w:t xml:space="preserve">grading was performed </w:t>
      </w:r>
      <w:r w:rsidR="0011704B" w:rsidRPr="00DF549C">
        <w:rPr>
          <w:rFonts w:ascii="Arial" w:hAnsi="Arial" w:cs="Arial"/>
          <w:sz w:val="20"/>
          <w:szCs w:val="20"/>
        </w:rPr>
        <w:t>for lameness, weight bearing while running</w:t>
      </w:r>
      <w:r w:rsidR="002549AF" w:rsidRPr="00DF549C">
        <w:rPr>
          <w:rFonts w:ascii="Arial" w:hAnsi="Arial" w:cs="Arial"/>
          <w:sz w:val="20"/>
          <w:szCs w:val="20"/>
        </w:rPr>
        <w:t xml:space="preserve">, and functional outcome during the </w:t>
      </w:r>
      <w:r w:rsidR="00151DA9" w:rsidRPr="00DF549C">
        <w:rPr>
          <w:rFonts w:ascii="Arial" w:hAnsi="Arial" w:cs="Arial"/>
          <w:sz w:val="20"/>
          <w:szCs w:val="20"/>
        </w:rPr>
        <w:t>review periods</w:t>
      </w:r>
      <w:r w:rsidR="005A327F" w:rsidRPr="00DF549C">
        <w:rPr>
          <w:rFonts w:ascii="Arial" w:hAnsi="Arial" w:cs="Arial"/>
          <w:sz w:val="20"/>
          <w:szCs w:val="20"/>
        </w:rPr>
        <w:t>.</w:t>
      </w:r>
    </w:p>
    <w:p w14:paraId="02AB6612" w14:textId="5DFD961C" w:rsidR="00263C05" w:rsidRPr="004667D5" w:rsidRDefault="00724D40" w:rsidP="00DF549C">
      <w:pPr>
        <w:spacing w:line="360" w:lineRule="auto"/>
        <w:jc w:val="both"/>
        <w:rPr>
          <w:rFonts w:ascii="Arial" w:hAnsi="Arial" w:cs="Arial"/>
          <w:b/>
          <w:bCs/>
          <w:sz w:val="20"/>
          <w:szCs w:val="20"/>
        </w:rPr>
      </w:pPr>
      <w:r w:rsidRPr="004667D5">
        <w:rPr>
          <w:rFonts w:ascii="Arial" w:hAnsi="Arial" w:cs="Arial"/>
          <w:b/>
          <w:bCs/>
          <w:sz w:val="20"/>
          <w:szCs w:val="20"/>
        </w:rPr>
        <w:t>Result and discussion</w:t>
      </w:r>
    </w:p>
    <w:p w14:paraId="6B216607" w14:textId="34ECDFE5" w:rsidR="00955F6E" w:rsidRPr="00DF549C" w:rsidRDefault="00EF12F9" w:rsidP="00DF549C">
      <w:pPr>
        <w:spacing w:line="360" w:lineRule="auto"/>
        <w:ind w:firstLine="720"/>
        <w:jc w:val="both"/>
        <w:rPr>
          <w:rFonts w:ascii="Arial" w:hAnsi="Arial" w:cs="Arial"/>
          <w:sz w:val="20"/>
          <w:szCs w:val="20"/>
        </w:rPr>
      </w:pPr>
      <w:r w:rsidRPr="00DF549C">
        <w:rPr>
          <w:rFonts w:ascii="Arial" w:hAnsi="Arial" w:cs="Arial"/>
          <w:sz w:val="20"/>
          <w:szCs w:val="20"/>
        </w:rPr>
        <w:t xml:space="preserve">The clinical and radiographic progression of femoral fracture repair in </w:t>
      </w:r>
      <w:r w:rsidR="004F3B39" w:rsidRPr="00DF549C">
        <w:rPr>
          <w:rFonts w:ascii="Arial" w:hAnsi="Arial" w:cs="Arial"/>
          <w:sz w:val="20"/>
          <w:szCs w:val="20"/>
        </w:rPr>
        <w:t>dogs A</w:t>
      </w:r>
      <w:r w:rsidR="00760514" w:rsidRPr="00DF549C">
        <w:rPr>
          <w:rFonts w:ascii="Arial" w:hAnsi="Arial" w:cs="Arial"/>
          <w:sz w:val="20"/>
          <w:szCs w:val="20"/>
        </w:rPr>
        <w:t>1 to A6</w:t>
      </w:r>
      <w:r w:rsidR="00C27D38" w:rsidRPr="00DF549C">
        <w:rPr>
          <w:rFonts w:ascii="Arial" w:hAnsi="Arial" w:cs="Arial"/>
          <w:sz w:val="20"/>
          <w:szCs w:val="20"/>
        </w:rPr>
        <w:t xml:space="preserve"> is shown in Fig</w:t>
      </w:r>
      <w:r w:rsidR="004F3B39" w:rsidRPr="00DF549C">
        <w:rPr>
          <w:rFonts w:ascii="Arial" w:hAnsi="Arial" w:cs="Arial"/>
          <w:sz w:val="20"/>
          <w:szCs w:val="20"/>
        </w:rPr>
        <w:t>. 1-6.</w:t>
      </w:r>
      <w:bookmarkStart w:id="0" w:name="_Hlk220747134"/>
    </w:p>
    <w:tbl>
      <w:tblPr>
        <w:tblStyle w:val="TableGrid"/>
        <w:tblW w:w="0" w:type="auto"/>
        <w:tblLook w:val="04A0" w:firstRow="1" w:lastRow="0" w:firstColumn="1" w:lastColumn="0" w:noHBand="0" w:noVBand="1"/>
      </w:tblPr>
      <w:tblGrid>
        <w:gridCol w:w="2021"/>
        <w:gridCol w:w="1548"/>
        <w:gridCol w:w="1607"/>
        <w:gridCol w:w="1462"/>
        <w:gridCol w:w="2378"/>
      </w:tblGrid>
      <w:tr w:rsidR="00955F6E" w:rsidRPr="00DF549C" w14:paraId="1AE59887" w14:textId="77777777" w:rsidTr="0073456C">
        <w:trPr>
          <w:trHeight w:val="2240"/>
        </w:trPr>
        <w:tc>
          <w:tcPr>
            <w:tcW w:w="2046" w:type="dxa"/>
            <w:tcBorders>
              <w:bottom w:val="nil"/>
              <w:right w:val="nil"/>
            </w:tcBorders>
          </w:tcPr>
          <w:p w14:paraId="429775E7"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64384" behindDoc="0" locked="0" layoutInCell="1" allowOverlap="1" wp14:anchorId="14CAB8D5" wp14:editId="40217462">
                  <wp:simplePos x="0" y="0"/>
                  <wp:positionH relativeFrom="margin">
                    <wp:posOffset>19851</wp:posOffset>
                  </wp:positionH>
                  <wp:positionV relativeFrom="margin">
                    <wp:posOffset>1009595</wp:posOffset>
                  </wp:positionV>
                  <wp:extent cx="311150" cy="341630"/>
                  <wp:effectExtent l="0" t="0" r="0" b="0"/>
                  <wp:wrapSquare wrapText="bothSides"/>
                  <wp:docPr id="1996920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50" cy="341630"/>
                          </a:xfrm>
                          <a:prstGeom prst="rect">
                            <a:avLst/>
                          </a:prstGeom>
                          <a:noFill/>
                        </pic:spPr>
                      </pic:pic>
                    </a:graphicData>
                  </a:graphic>
                  <wp14:sizeRelV relativeFrom="margin">
                    <wp14:pctHeight>0</wp14:pctHeight>
                  </wp14:sizeRelV>
                </wp:anchor>
              </w:drawing>
            </w:r>
            <w:r w:rsidRPr="00DF549C">
              <w:rPr>
                <w:rFonts w:ascii="Arial" w:hAnsi="Arial" w:cs="Arial"/>
                <w:noProof/>
                <w:sz w:val="20"/>
                <w:szCs w:val="20"/>
              </w:rPr>
              <w:drawing>
                <wp:anchor distT="0" distB="0" distL="114300" distR="114300" simplePos="0" relativeHeight="251659264" behindDoc="0" locked="0" layoutInCell="1" allowOverlap="1" wp14:anchorId="5E7AA57F" wp14:editId="222BE76F">
                  <wp:simplePos x="0" y="0"/>
                  <wp:positionH relativeFrom="margin">
                    <wp:posOffset>-635</wp:posOffset>
                  </wp:positionH>
                  <wp:positionV relativeFrom="margin">
                    <wp:posOffset>131445</wp:posOffset>
                  </wp:positionV>
                  <wp:extent cx="1152525" cy="1233805"/>
                  <wp:effectExtent l="0" t="0" r="9525" b="4445"/>
                  <wp:wrapSquare wrapText="bothSides"/>
                  <wp:docPr id="20653849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a:extLst>
                              <a:ext uri="{28A0092B-C50C-407E-A947-70E740481C1C}">
                                <a14:useLocalDpi xmlns:a14="http://schemas.microsoft.com/office/drawing/2010/main" val="0"/>
                              </a:ext>
                            </a:extLst>
                          </a:blip>
                          <a:srcRect l="30148" t="31232" r="34714" b="24070"/>
                          <a:stretch>
                            <a:fillRect/>
                          </a:stretch>
                        </pic:blipFill>
                        <pic:spPr bwMode="auto">
                          <a:xfrm>
                            <a:off x="0" y="0"/>
                            <a:ext cx="1152525" cy="1233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12" w:type="dxa"/>
            <w:tcBorders>
              <w:left w:val="nil"/>
              <w:bottom w:val="nil"/>
              <w:right w:val="nil"/>
            </w:tcBorders>
          </w:tcPr>
          <w:p w14:paraId="4792FAEE"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65408" behindDoc="0" locked="0" layoutInCell="1" allowOverlap="1" wp14:anchorId="095A4F31" wp14:editId="689CB150">
                  <wp:simplePos x="0" y="0"/>
                  <wp:positionH relativeFrom="margin">
                    <wp:posOffset>20072</wp:posOffset>
                  </wp:positionH>
                  <wp:positionV relativeFrom="margin">
                    <wp:posOffset>1019147</wp:posOffset>
                  </wp:positionV>
                  <wp:extent cx="316865" cy="341630"/>
                  <wp:effectExtent l="0" t="0" r="0" b="0"/>
                  <wp:wrapSquare wrapText="bothSides"/>
                  <wp:docPr id="6127417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60288" behindDoc="0" locked="0" layoutInCell="1" allowOverlap="1" wp14:anchorId="5E4B31D6" wp14:editId="05C3CE8A">
                  <wp:simplePos x="0" y="0"/>
                  <wp:positionH relativeFrom="margin">
                    <wp:posOffset>-6709</wp:posOffset>
                  </wp:positionH>
                  <wp:positionV relativeFrom="margin">
                    <wp:posOffset>135255</wp:posOffset>
                  </wp:positionV>
                  <wp:extent cx="855345" cy="1234440"/>
                  <wp:effectExtent l="0" t="0" r="1905" b="3810"/>
                  <wp:wrapSquare wrapText="bothSides"/>
                  <wp:docPr id="2892800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5345" cy="123444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99" w:type="dxa"/>
            <w:tcBorders>
              <w:left w:val="nil"/>
              <w:bottom w:val="nil"/>
              <w:right w:val="nil"/>
            </w:tcBorders>
          </w:tcPr>
          <w:p w14:paraId="6CB15865"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66432" behindDoc="0" locked="0" layoutInCell="1" allowOverlap="1" wp14:anchorId="43D737E9" wp14:editId="3288ACD4">
                  <wp:simplePos x="0" y="0"/>
                  <wp:positionH relativeFrom="margin">
                    <wp:posOffset>27967</wp:posOffset>
                  </wp:positionH>
                  <wp:positionV relativeFrom="margin">
                    <wp:posOffset>1026877</wp:posOffset>
                  </wp:positionV>
                  <wp:extent cx="316865" cy="341630"/>
                  <wp:effectExtent l="0" t="0" r="0" b="0"/>
                  <wp:wrapSquare wrapText="bothSides"/>
                  <wp:docPr id="14625994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61312" behindDoc="0" locked="0" layoutInCell="1" allowOverlap="1" wp14:anchorId="405B09EC" wp14:editId="7F987274">
                  <wp:simplePos x="0" y="0"/>
                  <wp:positionH relativeFrom="margin">
                    <wp:posOffset>14522</wp:posOffset>
                  </wp:positionH>
                  <wp:positionV relativeFrom="margin">
                    <wp:posOffset>131445</wp:posOffset>
                  </wp:positionV>
                  <wp:extent cx="890270" cy="1234440"/>
                  <wp:effectExtent l="0" t="0" r="5080" b="3810"/>
                  <wp:wrapSquare wrapText="bothSides"/>
                  <wp:docPr id="19318417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a:extLst>
                              <a:ext uri="{28A0092B-C50C-407E-A947-70E740481C1C}">
                                <a14:useLocalDpi xmlns:a14="http://schemas.microsoft.com/office/drawing/2010/main" val="0"/>
                              </a:ext>
                            </a:extLst>
                          </a:blip>
                          <a:srcRect l="16902" t="14586" r="31914" b="5572"/>
                          <a:stretch>
                            <a:fillRect/>
                          </a:stretch>
                        </pic:blipFill>
                        <pic:spPr bwMode="auto">
                          <a:xfrm>
                            <a:off x="0" y="0"/>
                            <a:ext cx="890270"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98" w:type="dxa"/>
            <w:tcBorders>
              <w:left w:val="nil"/>
              <w:bottom w:val="nil"/>
              <w:right w:val="nil"/>
            </w:tcBorders>
          </w:tcPr>
          <w:p w14:paraId="6A991605"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67456" behindDoc="0" locked="0" layoutInCell="1" allowOverlap="1" wp14:anchorId="166BD689" wp14:editId="42120C21">
                  <wp:simplePos x="0" y="0"/>
                  <wp:positionH relativeFrom="margin">
                    <wp:posOffset>12893</wp:posOffset>
                  </wp:positionH>
                  <wp:positionV relativeFrom="margin">
                    <wp:posOffset>1017601</wp:posOffset>
                  </wp:positionV>
                  <wp:extent cx="316865" cy="341630"/>
                  <wp:effectExtent l="0" t="0" r="0" b="0"/>
                  <wp:wrapSquare wrapText="bothSides"/>
                  <wp:docPr id="4971469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63360" behindDoc="0" locked="0" layoutInCell="1" allowOverlap="1" wp14:anchorId="496816F8" wp14:editId="3945FEC9">
                  <wp:simplePos x="0" y="0"/>
                  <wp:positionH relativeFrom="margin">
                    <wp:posOffset>-5715</wp:posOffset>
                  </wp:positionH>
                  <wp:positionV relativeFrom="margin">
                    <wp:posOffset>134620</wp:posOffset>
                  </wp:positionV>
                  <wp:extent cx="802005" cy="1234440"/>
                  <wp:effectExtent l="0" t="0" r="0" b="3810"/>
                  <wp:wrapSquare wrapText="bothSides"/>
                  <wp:docPr id="20599733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a:extLst>
                              <a:ext uri="{28A0092B-C50C-407E-A947-70E740481C1C}">
                                <a14:useLocalDpi xmlns:a14="http://schemas.microsoft.com/office/drawing/2010/main" val="0"/>
                              </a:ext>
                            </a:extLst>
                          </a:blip>
                          <a:srcRect l="33138" t="25998" r="24190" b="33323"/>
                          <a:stretch>
                            <a:fillRect/>
                          </a:stretch>
                        </pic:blipFill>
                        <pic:spPr bwMode="auto">
                          <a:xfrm>
                            <a:off x="0" y="0"/>
                            <a:ext cx="802005"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61" w:type="dxa"/>
            <w:tcBorders>
              <w:left w:val="nil"/>
              <w:bottom w:val="nil"/>
            </w:tcBorders>
          </w:tcPr>
          <w:p w14:paraId="0DEEBD6C"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68480" behindDoc="0" locked="0" layoutInCell="1" allowOverlap="1" wp14:anchorId="4D4C44ED" wp14:editId="01FD251F">
                  <wp:simplePos x="0" y="0"/>
                  <wp:positionH relativeFrom="margin">
                    <wp:posOffset>6433</wp:posOffset>
                  </wp:positionH>
                  <wp:positionV relativeFrom="margin">
                    <wp:posOffset>1009678</wp:posOffset>
                  </wp:positionV>
                  <wp:extent cx="316865" cy="341630"/>
                  <wp:effectExtent l="0" t="0" r="0" b="0"/>
                  <wp:wrapSquare wrapText="bothSides"/>
                  <wp:docPr id="14907959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62336" behindDoc="0" locked="0" layoutInCell="1" allowOverlap="1" wp14:anchorId="6785D4C0" wp14:editId="143FB654">
                  <wp:simplePos x="0" y="0"/>
                  <wp:positionH relativeFrom="margin">
                    <wp:posOffset>-2623</wp:posOffset>
                  </wp:positionH>
                  <wp:positionV relativeFrom="margin">
                    <wp:posOffset>131445</wp:posOffset>
                  </wp:positionV>
                  <wp:extent cx="1391285" cy="1234440"/>
                  <wp:effectExtent l="0" t="0" r="0" b="3810"/>
                  <wp:wrapSquare wrapText="bothSides"/>
                  <wp:docPr id="17255189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a:extLst>
                              <a:ext uri="{28A0092B-C50C-407E-A947-70E740481C1C}">
                                <a14:useLocalDpi xmlns:a14="http://schemas.microsoft.com/office/drawing/2010/main" val="0"/>
                              </a:ext>
                            </a:extLst>
                          </a:blip>
                          <a:srcRect l="11130" t="23840" r="10111" b="12462"/>
                          <a:stretch>
                            <a:fillRect/>
                          </a:stretch>
                        </pic:blipFill>
                        <pic:spPr bwMode="auto">
                          <a:xfrm>
                            <a:off x="0" y="0"/>
                            <a:ext cx="1391285"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955F6E" w:rsidRPr="00DF549C" w14:paraId="60075813" w14:textId="77777777" w:rsidTr="0073456C">
        <w:trPr>
          <w:trHeight w:val="1179"/>
        </w:trPr>
        <w:tc>
          <w:tcPr>
            <w:tcW w:w="9016" w:type="dxa"/>
            <w:gridSpan w:val="5"/>
            <w:tcBorders>
              <w:top w:val="nil"/>
            </w:tcBorders>
          </w:tcPr>
          <w:p w14:paraId="751920AC" w14:textId="77777777" w:rsidR="00955F6E" w:rsidRPr="00DF549C" w:rsidRDefault="00955F6E" w:rsidP="00DF549C">
            <w:pPr>
              <w:spacing w:line="360" w:lineRule="auto"/>
              <w:jc w:val="both"/>
              <w:rPr>
                <w:rFonts w:ascii="Arial" w:hAnsi="Arial" w:cs="Arial"/>
                <w:color w:val="0D0D0D" w:themeColor="text1" w:themeTint="F2"/>
                <w:sz w:val="20"/>
                <w:szCs w:val="20"/>
              </w:rPr>
            </w:pPr>
            <w:r w:rsidRPr="00DF549C">
              <w:rPr>
                <w:rFonts w:ascii="Arial" w:hAnsi="Arial" w:cs="Arial"/>
                <w:b/>
                <w:bCs/>
                <w:color w:val="0D0D0D" w:themeColor="text1" w:themeTint="F2"/>
                <w:sz w:val="20"/>
                <w:szCs w:val="20"/>
              </w:rPr>
              <w:t>Fig. 1</w:t>
            </w:r>
            <w:r w:rsidRPr="00DF549C">
              <w:rPr>
                <w:rFonts w:ascii="Arial" w:hAnsi="Arial" w:cs="Arial"/>
                <w:color w:val="0D0D0D" w:themeColor="text1" w:themeTint="F2"/>
                <w:sz w:val="20"/>
                <w:szCs w:val="20"/>
              </w:rPr>
              <w:t xml:space="preserve"> (a-e): Photographs and radiographs of Dog A1. </w:t>
            </w:r>
            <w:r w:rsidRPr="00DF549C">
              <w:rPr>
                <w:rFonts w:ascii="Arial" w:hAnsi="Arial" w:cs="Arial"/>
                <w:b/>
                <w:bCs/>
                <w:color w:val="0D0D0D" w:themeColor="text1" w:themeTint="F2"/>
                <w:sz w:val="20"/>
                <w:szCs w:val="20"/>
              </w:rPr>
              <w:t xml:space="preserve">(a) </w:t>
            </w:r>
            <w:r w:rsidRPr="00DF549C">
              <w:rPr>
                <w:rFonts w:ascii="Arial" w:hAnsi="Arial" w:cs="Arial"/>
                <w:color w:val="0D0D0D" w:themeColor="text1" w:themeTint="F2"/>
                <w:sz w:val="20"/>
                <w:szCs w:val="20"/>
              </w:rPr>
              <w:t xml:space="preserve">Preoperative photograph showing non-weight bearing lameness </w:t>
            </w:r>
            <w:r w:rsidRPr="00DF549C">
              <w:rPr>
                <w:rFonts w:ascii="Arial" w:hAnsi="Arial" w:cs="Arial"/>
                <w:b/>
                <w:bCs/>
                <w:color w:val="0D0D0D" w:themeColor="text1" w:themeTint="F2"/>
                <w:sz w:val="20"/>
                <w:szCs w:val="20"/>
              </w:rPr>
              <w:t>(b)</w:t>
            </w:r>
            <w:r w:rsidRPr="00DF549C">
              <w:rPr>
                <w:rFonts w:ascii="Arial" w:hAnsi="Arial" w:cs="Arial"/>
                <w:color w:val="0D0D0D" w:themeColor="text1" w:themeTint="F2"/>
                <w:sz w:val="20"/>
                <w:szCs w:val="20"/>
              </w:rPr>
              <w:t xml:space="preserve"> Preoperative radiograph </w:t>
            </w:r>
            <w:r w:rsidRPr="00DF549C">
              <w:rPr>
                <w:rFonts w:ascii="Arial" w:hAnsi="Arial" w:cs="Arial"/>
                <w:b/>
                <w:bCs/>
                <w:color w:val="0D0D0D" w:themeColor="text1" w:themeTint="F2"/>
                <w:sz w:val="20"/>
                <w:szCs w:val="20"/>
              </w:rPr>
              <w:t>(c)</w:t>
            </w:r>
            <w:r w:rsidRPr="00DF549C">
              <w:rPr>
                <w:rFonts w:ascii="Arial" w:hAnsi="Arial" w:cs="Arial"/>
                <w:color w:val="0D0D0D" w:themeColor="text1" w:themeTint="F2"/>
                <w:sz w:val="20"/>
                <w:szCs w:val="20"/>
              </w:rPr>
              <w:t xml:space="preserve"> Immediate postoperative radiograph </w:t>
            </w:r>
            <w:r w:rsidRPr="00DF549C">
              <w:rPr>
                <w:rFonts w:ascii="Arial" w:hAnsi="Arial" w:cs="Arial"/>
                <w:b/>
                <w:bCs/>
                <w:color w:val="0D0D0D" w:themeColor="text1" w:themeTint="F2"/>
                <w:sz w:val="20"/>
                <w:szCs w:val="20"/>
              </w:rPr>
              <w:t>(d)</w:t>
            </w:r>
            <w:r w:rsidRPr="00DF549C">
              <w:rPr>
                <w:rFonts w:ascii="Arial" w:hAnsi="Arial" w:cs="Arial"/>
                <w:color w:val="0D0D0D" w:themeColor="text1" w:themeTint="F2"/>
                <w:sz w:val="20"/>
                <w:szCs w:val="20"/>
              </w:rPr>
              <w:t xml:space="preserve"> Postoperative radiograph after 3 months </w:t>
            </w:r>
            <w:r w:rsidRPr="00DF549C">
              <w:rPr>
                <w:rFonts w:ascii="Arial" w:hAnsi="Arial" w:cs="Arial"/>
                <w:b/>
                <w:bCs/>
                <w:color w:val="0D0D0D" w:themeColor="text1" w:themeTint="F2"/>
                <w:sz w:val="20"/>
                <w:szCs w:val="20"/>
              </w:rPr>
              <w:t>(e)</w:t>
            </w:r>
            <w:r w:rsidRPr="00DF549C">
              <w:rPr>
                <w:rFonts w:ascii="Arial" w:hAnsi="Arial" w:cs="Arial"/>
                <w:color w:val="0D0D0D" w:themeColor="text1" w:themeTint="F2"/>
                <w:sz w:val="20"/>
                <w:szCs w:val="20"/>
              </w:rPr>
              <w:t xml:space="preserve"> Photograph showing complete weight bearing- 3 months postoperative</w:t>
            </w:r>
          </w:p>
        </w:tc>
      </w:tr>
    </w:tbl>
    <w:p w14:paraId="5FF2986A" w14:textId="77777777" w:rsidR="00955F6E" w:rsidRPr="00DF549C" w:rsidRDefault="00955F6E" w:rsidP="00DF549C">
      <w:pPr>
        <w:spacing w:line="36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2101"/>
        <w:gridCol w:w="1542"/>
        <w:gridCol w:w="1424"/>
        <w:gridCol w:w="1376"/>
        <w:gridCol w:w="2573"/>
      </w:tblGrid>
      <w:tr w:rsidR="00955F6E" w:rsidRPr="00DF549C" w14:paraId="09077FEA" w14:textId="77777777" w:rsidTr="0073456C">
        <w:trPr>
          <w:trHeight w:val="2240"/>
        </w:trPr>
        <w:tc>
          <w:tcPr>
            <w:tcW w:w="1943" w:type="dxa"/>
            <w:tcBorders>
              <w:bottom w:val="nil"/>
              <w:right w:val="nil"/>
            </w:tcBorders>
          </w:tcPr>
          <w:p w14:paraId="637C2CC0"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75648" behindDoc="0" locked="0" layoutInCell="1" allowOverlap="1" wp14:anchorId="70C9D954" wp14:editId="0AA34D73">
                  <wp:simplePos x="0" y="0"/>
                  <wp:positionH relativeFrom="margin">
                    <wp:posOffset>908685</wp:posOffset>
                  </wp:positionH>
                  <wp:positionV relativeFrom="margin">
                    <wp:posOffset>135172</wp:posOffset>
                  </wp:positionV>
                  <wp:extent cx="311150" cy="341630"/>
                  <wp:effectExtent l="0" t="0" r="0" b="0"/>
                  <wp:wrapSquare wrapText="bothSides"/>
                  <wp:docPr id="14746363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50"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70528" behindDoc="0" locked="0" layoutInCell="1" allowOverlap="1" wp14:anchorId="35DEF7D7" wp14:editId="45D6BC63">
                  <wp:simplePos x="0" y="0"/>
                  <wp:positionH relativeFrom="margin">
                    <wp:posOffset>0</wp:posOffset>
                  </wp:positionH>
                  <wp:positionV relativeFrom="margin">
                    <wp:posOffset>127055</wp:posOffset>
                  </wp:positionV>
                  <wp:extent cx="1220394" cy="1234440"/>
                  <wp:effectExtent l="0" t="0" r="0" b="3810"/>
                  <wp:wrapSquare wrapText="bothSides"/>
                  <wp:docPr id="4436929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859" r="25494"/>
                          <a:stretch>
                            <a:fillRect/>
                          </a:stretch>
                        </pic:blipFill>
                        <pic:spPr bwMode="auto">
                          <a:xfrm>
                            <a:off x="0" y="0"/>
                            <a:ext cx="1220394"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48" w:type="dxa"/>
            <w:tcBorders>
              <w:left w:val="nil"/>
              <w:bottom w:val="nil"/>
              <w:right w:val="nil"/>
            </w:tcBorders>
          </w:tcPr>
          <w:p w14:paraId="2DCDA10F"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76672" behindDoc="0" locked="0" layoutInCell="1" allowOverlap="1" wp14:anchorId="5A05EE2A" wp14:editId="308EB70C">
                  <wp:simplePos x="0" y="0"/>
                  <wp:positionH relativeFrom="margin">
                    <wp:posOffset>547894</wp:posOffset>
                  </wp:positionH>
                  <wp:positionV relativeFrom="margin">
                    <wp:posOffset>143123</wp:posOffset>
                  </wp:positionV>
                  <wp:extent cx="316865" cy="341630"/>
                  <wp:effectExtent l="0" t="0" r="0" b="0"/>
                  <wp:wrapSquare wrapText="bothSides"/>
                  <wp:docPr id="4490232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71552" behindDoc="0" locked="0" layoutInCell="1" allowOverlap="1" wp14:anchorId="6E110F83" wp14:editId="1F8D11B9">
                  <wp:simplePos x="0" y="0"/>
                  <wp:positionH relativeFrom="margin">
                    <wp:posOffset>15875</wp:posOffset>
                  </wp:positionH>
                  <wp:positionV relativeFrom="margin">
                    <wp:posOffset>134371</wp:posOffset>
                  </wp:positionV>
                  <wp:extent cx="848360" cy="1234440"/>
                  <wp:effectExtent l="0" t="0" r="8890" b="3810"/>
                  <wp:wrapSquare wrapText="bothSides"/>
                  <wp:docPr id="1718984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593" t="22940" r="11585" b="18768"/>
                          <a:stretch>
                            <a:fillRect/>
                          </a:stretch>
                        </pic:blipFill>
                        <pic:spPr bwMode="auto">
                          <a:xfrm>
                            <a:off x="0" y="0"/>
                            <a:ext cx="848360" cy="123444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757" w:type="dxa"/>
            <w:tcBorders>
              <w:left w:val="nil"/>
              <w:bottom w:val="nil"/>
              <w:right w:val="nil"/>
            </w:tcBorders>
          </w:tcPr>
          <w:p w14:paraId="44A89816"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77696" behindDoc="0" locked="0" layoutInCell="1" allowOverlap="1" wp14:anchorId="01EDA6E0" wp14:editId="1527897D">
                  <wp:simplePos x="0" y="0"/>
                  <wp:positionH relativeFrom="margin">
                    <wp:posOffset>445356</wp:posOffset>
                  </wp:positionH>
                  <wp:positionV relativeFrom="margin">
                    <wp:posOffset>159026</wp:posOffset>
                  </wp:positionV>
                  <wp:extent cx="316865" cy="347345"/>
                  <wp:effectExtent l="0" t="0" r="0" b="0"/>
                  <wp:wrapSquare wrapText="bothSides"/>
                  <wp:docPr id="6717054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865" cy="347345"/>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72576" behindDoc="0" locked="0" layoutInCell="1" allowOverlap="1" wp14:anchorId="28D23709" wp14:editId="23962EB6">
                  <wp:simplePos x="0" y="0"/>
                  <wp:positionH relativeFrom="margin">
                    <wp:posOffset>-12175</wp:posOffset>
                  </wp:positionH>
                  <wp:positionV relativeFrom="margin">
                    <wp:posOffset>147983</wp:posOffset>
                  </wp:positionV>
                  <wp:extent cx="775970" cy="1234440"/>
                  <wp:effectExtent l="0" t="0" r="5080" b="3810"/>
                  <wp:wrapSquare wrapText="bothSides"/>
                  <wp:docPr id="18516966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083" t="11092" r="2177"/>
                          <a:stretch>
                            <a:fillRect/>
                          </a:stretch>
                        </pic:blipFill>
                        <pic:spPr bwMode="auto">
                          <a:xfrm>
                            <a:off x="0" y="0"/>
                            <a:ext cx="775970"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28" w:type="dxa"/>
            <w:tcBorders>
              <w:left w:val="nil"/>
              <w:bottom w:val="nil"/>
              <w:right w:val="nil"/>
            </w:tcBorders>
          </w:tcPr>
          <w:p w14:paraId="12DF6374"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78720" behindDoc="0" locked="0" layoutInCell="1" allowOverlap="1" wp14:anchorId="538AB8CF" wp14:editId="0BE0BBFD">
                  <wp:simplePos x="0" y="0"/>
                  <wp:positionH relativeFrom="margin">
                    <wp:posOffset>408333</wp:posOffset>
                  </wp:positionH>
                  <wp:positionV relativeFrom="margin">
                    <wp:posOffset>151074</wp:posOffset>
                  </wp:positionV>
                  <wp:extent cx="316865" cy="341630"/>
                  <wp:effectExtent l="0" t="0" r="0" b="0"/>
                  <wp:wrapSquare wrapText="bothSides"/>
                  <wp:docPr id="5931986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73600" behindDoc="0" locked="0" layoutInCell="1" allowOverlap="1" wp14:anchorId="479883C5" wp14:editId="4103F282">
                  <wp:simplePos x="0" y="0"/>
                  <wp:positionH relativeFrom="margin">
                    <wp:posOffset>-11541</wp:posOffset>
                  </wp:positionH>
                  <wp:positionV relativeFrom="margin">
                    <wp:posOffset>150854</wp:posOffset>
                  </wp:positionV>
                  <wp:extent cx="749935" cy="1234440"/>
                  <wp:effectExtent l="0" t="0" r="0" b="3810"/>
                  <wp:wrapSquare wrapText="bothSides"/>
                  <wp:docPr id="723290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562" t="8552" r="6528"/>
                          <a:stretch>
                            <a:fillRect/>
                          </a:stretch>
                        </pic:blipFill>
                        <pic:spPr bwMode="auto">
                          <a:xfrm>
                            <a:off x="0" y="0"/>
                            <a:ext cx="749935"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40" w:type="dxa"/>
            <w:tcBorders>
              <w:left w:val="nil"/>
              <w:bottom w:val="nil"/>
            </w:tcBorders>
          </w:tcPr>
          <w:p w14:paraId="1EF71C5B"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79744" behindDoc="0" locked="0" layoutInCell="1" allowOverlap="1" wp14:anchorId="4F7B4C2D" wp14:editId="48264A37">
                  <wp:simplePos x="0" y="0"/>
                  <wp:positionH relativeFrom="margin">
                    <wp:posOffset>1191729</wp:posOffset>
                  </wp:positionH>
                  <wp:positionV relativeFrom="margin">
                    <wp:posOffset>151074</wp:posOffset>
                  </wp:positionV>
                  <wp:extent cx="316865" cy="341630"/>
                  <wp:effectExtent l="0" t="0" r="0" b="0"/>
                  <wp:wrapSquare wrapText="bothSides"/>
                  <wp:docPr id="20574441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74624" behindDoc="0" locked="0" layoutInCell="1" allowOverlap="1" wp14:anchorId="7FFA0115" wp14:editId="3508926B">
                  <wp:simplePos x="0" y="0"/>
                  <wp:positionH relativeFrom="margin">
                    <wp:posOffset>-10795</wp:posOffset>
                  </wp:positionH>
                  <wp:positionV relativeFrom="margin">
                    <wp:posOffset>147679</wp:posOffset>
                  </wp:positionV>
                  <wp:extent cx="1521853" cy="1234440"/>
                  <wp:effectExtent l="0" t="0" r="2540" b="3810"/>
                  <wp:wrapSquare wrapText="bothSides"/>
                  <wp:docPr id="2176641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415" t="13948" r="13720" b="13106"/>
                          <a:stretch>
                            <a:fillRect/>
                          </a:stretch>
                        </pic:blipFill>
                        <pic:spPr bwMode="auto">
                          <a:xfrm>
                            <a:off x="0" y="0"/>
                            <a:ext cx="1521853"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55F6E" w:rsidRPr="00DF549C" w14:paraId="75AFB544" w14:textId="77777777" w:rsidTr="0073456C">
        <w:trPr>
          <w:trHeight w:val="1233"/>
        </w:trPr>
        <w:tc>
          <w:tcPr>
            <w:tcW w:w="9016" w:type="dxa"/>
            <w:gridSpan w:val="5"/>
            <w:tcBorders>
              <w:top w:val="nil"/>
            </w:tcBorders>
          </w:tcPr>
          <w:p w14:paraId="7FC2F7F7" w14:textId="77777777" w:rsidR="00955F6E" w:rsidRPr="00DF549C" w:rsidRDefault="00955F6E" w:rsidP="00DF549C">
            <w:pPr>
              <w:spacing w:line="360" w:lineRule="auto"/>
              <w:jc w:val="both"/>
              <w:rPr>
                <w:rFonts w:ascii="Arial" w:hAnsi="Arial" w:cs="Arial"/>
                <w:color w:val="0D0D0D" w:themeColor="text1" w:themeTint="F2"/>
                <w:sz w:val="20"/>
                <w:szCs w:val="20"/>
              </w:rPr>
            </w:pPr>
            <w:r w:rsidRPr="00DF549C">
              <w:rPr>
                <w:rFonts w:ascii="Arial" w:hAnsi="Arial" w:cs="Arial"/>
                <w:b/>
                <w:bCs/>
                <w:color w:val="0D0D0D" w:themeColor="text1" w:themeTint="F2"/>
                <w:sz w:val="20"/>
                <w:szCs w:val="20"/>
              </w:rPr>
              <w:t>Fig. 2</w:t>
            </w:r>
            <w:r w:rsidRPr="00DF549C">
              <w:rPr>
                <w:rFonts w:ascii="Arial" w:hAnsi="Arial" w:cs="Arial"/>
                <w:color w:val="0D0D0D" w:themeColor="text1" w:themeTint="F2"/>
                <w:sz w:val="20"/>
                <w:szCs w:val="20"/>
              </w:rPr>
              <w:t xml:space="preserve"> (a-e): Photographs and radiographs of Dog A2. </w:t>
            </w:r>
            <w:r w:rsidRPr="00DF549C">
              <w:rPr>
                <w:rFonts w:ascii="Arial" w:hAnsi="Arial" w:cs="Arial"/>
                <w:b/>
                <w:bCs/>
                <w:color w:val="0D0D0D" w:themeColor="text1" w:themeTint="F2"/>
                <w:sz w:val="20"/>
                <w:szCs w:val="20"/>
              </w:rPr>
              <w:t>(a)</w:t>
            </w:r>
            <w:r w:rsidRPr="00DF549C">
              <w:rPr>
                <w:rFonts w:ascii="Arial" w:hAnsi="Arial" w:cs="Arial"/>
                <w:color w:val="0D0D0D" w:themeColor="text1" w:themeTint="F2"/>
                <w:sz w:val="20"/>
                <w:szCs w:val="20"/>
              </w:rPr>
              <w:t xml:space="preserve"> Preoperative photograph showing non-weight bearing lameness </w:t>
            </w:r>
            <w:r w:rsidRPr="00DF549C">
              <w:rPr>
                <w:rFonts w:ascii="Arial" w:hAnsi="Arial" w:cs="Arial"/>
                <w:b/>
                <w:bCs/>
                <w:color w:val="0D0D0D" w:themeColor="text1" w:themeTint="F2"/>
                <w:sz w:val="20"/>
                <w:szCs w:val="20"/>
              </w:rPr>
              <w:t>(b)</w:t>
            </w:r>
            <w:r w:rsidRPr="00DF549C">
              <w:rPr>
                <w:rFonts w:ascii="Arial" w:hAnsi="Arial" w:cs="Arial"/>
                <w:color w:val="0D0D0D" w:themeColor="text1" w:themeTint="F2"/>
                <w:sz w:val="20"/>
                <w:szCs w:val="20"/>
              </w:rPr>
              <w:t xml:space="preserve"> Preoperative radiograph </w:t>
            </w:r>
            <w:r w:rsidRPr="00DF549C">
              <w:rPr>
                <w:rFonts w:ascii="Arial" w:hAnsi="Arial" w:cs="Arial"/>
                <w:b/>
                <w:bCs/>
                <w:color w:val="0D0D0D" w:themeColor="text1" w:themeTint="F2"/>
                <w:sz w:val="20"/>
                <w:szCs w:val="20"/>
              </w:rPr>
              <w:t>(c)</w:t>
            </w:r>
            <w:r w:rsidRPr="00DF549C">
              <w:rPr>
                <w:rFonts w:ascii="Arial" w:hAnsi="Arial" w:cs="Arial"/>
                <w:color w:val="0D0D0D" w:themeColor="text1" w:themeTint="F2"/>
                <w:sz w:val="20"/>
                <w:szCs w:val="20"/>
              </w:rPr>
              <w:t xml:space="preserve"> Immediate postoperative radiograph </w:t>
            </w:r>
            <w:r w:rsidRPr="00DF549C">
              <w:rPr>
                <w:rFonts w:ascii="Arial" w:hAnsi="Arial" w:cs="Arial"/>
                <w:b/>
                <w:bCs/>
                <w:color w:val="0D0D0D" w:themeColor="text1" w:themeTint="F2"/>
                <w:sz w:val="20"/>
                <w:szCs w:val="20"/>
              </w:rPr>
              <w:t>(d)</w:t>
            </w:r>
            <w:r w:rsidRPr="00DF549C">
              <w:rPr>
                <w:rFonts w:ascii="Arial" w:hAnsi="Arial" w:cs="Arial"/>
                <w:color w:val="0D0D0D" w:themeColor="text1" w:themeTint="F2"/>
                <w:sz w:val="20"/>
                <w:szCs w:val="20"/>
              </w:rPr>
              <w:t xml:space="preserve"> Postoperative radiograph after 3 months </w:t>
            </w:r>
            <w:r w:rsidRPr="00DF549C">
              <w:rPr>
                <w:rFonts w:ascii="Arial" w:hAnsi="Arial" w:cs="Arial"/>
                <w:b/>
                <w:bCs/>
                <w:color w:val="0D0D0D" w:themeColor="text1" w:themeTint="F2"/>
                <w:sz w:val="20"/>
                <w:szCs w:val="20"/>
              </w:rPr>
              <w:t>(e)</w:t>
            </w:r>
            <w:r w:rsidRPr="00DF549C">
              <w:rPr>
                <w:rFonts w:ascii="Arial" w:hAnsi="Arial" w:cs="Arial"/>
                <w:color w:val="0D0D0D" w:themeColor="text1" w:themeTint="F2"/>
                <w:sz w:val="20"/>
                <w:szCs w:val="20"/>
              </w:rPr>
              <w:t xml:space="preserve"> Photograph showing complete weight bearing- 3 months postoperative</w:t>
            </w:r>
          </w:p>
        </w:tc>
      </w:tr>
    </w:tbl>
    <w:p w14:paraId="7076D7D8" w14:textId="77777777" w:rsidR="00955F6E" w:rsidRPr="00DF549C" w:rsidRDefault="00955F6E" w:rsidP="00DF549C">
      <w:pPr>
        <w:spacing w:line="360" w:lineRule="auto"/>
        <w:jc w:val="both"/>
        <w:rPr>
          <w:rFonts w:ascii="Arial" w:hAnsi="Arial" w:cs="Arial"/>
          <w:b/>
          <w:bCs/>
          <w:sz w:val="20"/>
          <w:szCs w:val="20"/>
        </w:rPr>
      </w:pPr>
    </w:p>
    <w:tbl>
      <w:tblPr>
        <w:tblStyle w:val="TableGrid"/>
        <w:tblW w:w="0" w:type="auto"/>
        <w:tblLook w:val="04A0" w:firstRow="1" w:lastRow="0" w:firstColumn="1" w:lastColumn="0" w:noHBand="0" w:noVBand="1"/>
      </w:tblPr>
      <w:tblGrid>
        <w:gridCol w:w="1795"/>
        <w:gridCol w:w="1800"/>
        <w:gridCol w:w="2160"/>
        <w:gridCol w:w="3261"/>
      </w:tblGrid>
      <w:tr w:rsidR="00955F6E" w:rsidRPr="00DF549C" w14:paraId="184F8D5E" w14:textId="77777777" w:rsidTr="00261E54">
        <w:trPr>
          <w:trHeight w:val="2582"/>
        </w:trPr>
        <w:tc>
          <w:tcPr>
            <w:tcW w:w="1795" w:type="dxa"/>
            <w:tcBorders>
              <w:bottom w:val="nil"/>
              <w:right w:val="nil"/>
            </w:tcBorders>
          </w:tcPr>
          <w:p w14:paraId="33186472"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88960" behindDoc="0" locked="0" layoutInCell="1" allowOverlap="1" wp14:anchorId="16C61874" wp14:editId="48A4C66C">
                  <wp:simplePos x="0" y="0"/>
                  <wp:positionH relativeFrom="margin">
                    <wp:posOffset>579120</wp:posOffset>
                  </wp:positionH>
                  <wp:positionV relativeFrom="margin">
                    <wp:posOffset>1068070</wp:posOffset>
                  </wp:positionV>
                  <wp:extent cx="311150" cy="341630"/>
                  <wp:effectExtent l="0" t="0" r="0" b="0"/>
                  <wp:wrapSquare wrapText="bothSides"/>
                  <wp:docPr id="1757015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50"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84864" behindDoc="0" locked="0" layoutInCell="1" allowOverlap="1" wp14:anchorId="745D047C" wp14:editId="2F81EE6D">
                  <wp:simplePos x="0" y="0"/>
                  <wp:positionH relativeFrom="margin">
                    <wp:posOffset>62230</wp:posOffset>
                  </wp:positionH>
                  <wp:positionV relativeFrom="margin">
                    <wp:posOffset>180340</wp:posOffset>
                  </wp:positionV>
                  <wp:extent cx="834543" cy="1234440"/>
                  <wp:effectExtent l="0" t="0" r="3810" b="3810"/>
                  <wp:wrapSquare wrapText="bothSides"/>
                  <wp:docPr id="3012711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l="7151" t="16565" b="31364"/>
                          <a:stretch>
                            <a:fillRect/>
                          </a:stretch>
                        </pic:blipFill>
                        <pic:spPr bwMode="auto">
                          <a:xfrm>
                            <a:off x="0" y="0"/>
                            <a:ext cx="834543"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00" w:type="dxa"/>
            <w:tcBorders>
              <w:left w:val="nil"/>
              <w:bottom w:val="nil"/>
              <w:right w:val="nil"/>
            </w:tcBorders>
          </w:tcPr>
          <w:p w14:paraId="49D23AF0" w14:textId="72755E6B" w:rsidR="00955F6E" w:rsidRPr="00DF549C" w:rsidRDefault="00261E54"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85888" behindDoc="0" locked="0" layoutInCell="1" allowOverlap="1" wp14:anchorId="4C3FAB26" wp14:editId="3A54A12F">
                  <wp:simplePos x="0" y="0"/>
                  <wp:positionH relativeFrom="margin">
                    <wp:posOffset>74295</wp:posOffset>
                  </wp:positionH>
                  <wp:positionV relativeFrom="margin">
                    <wp:posOffset>179705</wp:posOffset>
                  </wp:positionV>
                  <wp:extent cx="894642" cy="1234440"/>
                  <wp:effectExtent l="0" t="0" r="1270" b="3810"/>
                  <wp:wrapSquare wrapText="bothSides"/>
                  <wp:docPr id="18633732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t="23580"/>
                          <a:stretch>
                            <a:fillRect/>
                          </a:stretch>
                        </pic:blipFill>
                        <pic:spPr bwMode="auto">
                          <a:xfrm>
                            <a:off x="0" y="0"/>
                            <a:ext cx="894642"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5F6E" w:rsidRPr="00DF549C">
              <w:rPr>
                <w:rFonts w:ascii="Arial" w:hAnsi="Arial" w:cs="Arial"/>
                <w:noProof/>
                <w:sz w:val="20"/>
                <w:szCs w:val="20"/>
              </w:rPr>
              <w:drawing>
                <wp:anchor distT="0" distB="0" distL="114300" distR="114300" simplePos="0" relativeHeight="251689984" behindDoc="0" locked="0" layoutInCell="1" allowOverlap="1" wp14:anchorId="26A49C4C" wp14:editId="5E96C4EA">
                  <wp:simplePos x="0" y="0"/>
                  <wp:positionH relativeFrom="margin">
                    <wp:posOffset>548640</wp:posOffset>
                  </wp:positionH>
                  <wp:positionV relativeFrom="margin">
                    <wp:posOffset>1066800</wp:posOffset>
                  </wp:positionV>
                  <wp:extent cx="316865" cy="341630"/>
                  <wp:effectExtent l="0" t="0" r="0" b="0"/>
                  <wp:wrapSquare wrapText="bothSides"/>
                  <wp:docPr id="2692642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00955F6E" w:rsidRPr="00DF549C">
              <w:rPr>
                <w:rFonts w:ascii="Arial" w:hAnsi="Arial" w:cs="Arial"/>
                <w:noProof/>
                <w:sz w:val="20"/>
                <w:szCs w:val="20"/>
              </w:rPr>
              <w:drawing>
                <wp:anchor distT="0" distB="0" distL="114300" distR="114300" simplePos="0" relativeHeight="251681792" behindDoc="0" locked="0" layoutInCell="1" allowOverlap="1" wp14:anchorId="28A8CC1F" wp14:editId="6EAB7B1B">
                  <wp:simplePos x="0" y="0"/>
                  <wp:positionH relativeFrom="margin">
                    <wp:posOffset>555072</wp:posOffset>
                  </wp:positionH>
                  <wp:positionV relativeFrom="margin">
                    <wp:posOffset>1027707</wp:posOffset>
                  </wp:positionV>
                  <wp:extent cx="316865" cy="341630"/>
                  <wp:effectExtent l="0" t="0" r="0" b="0"/>
                  <wp:wrapSquare wrapText="bothSides"/>
                  <wp:docPr id="816106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14:sizeRelV relativeFrom="margin">
                    <wp14:pctHeight>0</wp14:pctHeight>
                  </wp14:sizeRelV>
                </wp:anchor>
              </w:drawing>
            </w:r>
          </w:p>
        </w:tc>
        <w:tc>
          <w:tcPr>
            <w:tcW w:w="2160" w:type="dxa"/>
            <w:tcBorders>
              <w:left w:val="nil"/>
              <w:bottom w:val="nil"/>
              <w:right w:val="nil"/>
            </w:tcBorders>
          </w:tcPr>
          <w:p w14:paraId="212BD4A4"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91008" behindDoc="0" locked="0" layoutInCell="1" allowOverlap="1" wp14:anchorId="439E9D57" wp14:editId="3706E70D">
                  <wp:simplePos x="0" y="0"/>
                  <wp:positionH relativeFrom="margin">
                    <wp:posOffset>723265</wp:posOffset>
                  </wp:positionH>
                  <wp:positionV relativeFrom="margin">
                    <wp:posOffset>1074420</wp:posOffset>
                  </wp:positionV>
                  <wp:extent cx="316865" cy="341630"/>
                  <wp:effectExtent l="0" t="0" r="0" b="0"/>
                  <wp:wrapSquare wrapText="bothSides"/>
                  <wp:docPr id="16283487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86912" behindDoc="0" locked="0" layoutInCell="1" allowOverlap="1" wp14:anchorId="1EDAAC66" wp14:editId="46149441">
                  <wp:simplePos x="0" y="0"/>
                  <wp:positionH relativeFrom="margin">
                    <wp:posOffset>167640</wp:posOffset>
                  </wp:positionH>
                  <wp:positionV relativeFrom="margin">
                    <wp:posOffset>194945</wp:posOffset>
                  </wp:positionV>
                  <wp:extent cx="890270" cy="1233805"/>
                  <wp:effectExtent l="0" t="0" r="5080" b="4445"/>
                  <wp:wrapSquare wrapText="bothSides"/>
                  <wp:docPr id="8876424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l="20435" t="10133" r="22514"/>
                          <a:stretch>
                            <a:fillRect/>
                          </a:stretch>
                        </pic:blipFill>
                        <pic:spPr bwMode="auto">
                          <a:xfrm>
                            <a:off x="0" y="0"/>
                            <a:ext cx="890270" cy="1233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549C">
              <w:rPr>
                <w:rFonts w:ascii="Arial" w:hAnsi="Arial" w:cs="Arial"/>
                <w:noProof/>
                <w:sz w:val="20"/>
                <w:szCs w:val="20"/>
              </w:rPr>
              <w:drawing>
                <wp:anchor distT="0" distB="0" distL="114300" distR="114300" simplePos="0" relativeHeight="251682816" behindDoc="0" locked="0" layoutInCell="1" allowOverlap="1" wp14:anchorId="1E885B3B" wp14:editId="7020A333">
                  <wp:simplePos x="0" y="0"/>
                  <wp:positionH relativeFrom="margin">
                    <wp:posOffset>485251</wp:posOffset>
                  </wp:positionH>
                  <wp:positionV relativeFrom="margin">
                    <wp:posOffset>1017767</wp:posOffset>
                  </wp:positionV>
                  <wp:extent cx="316865" cy="341630"/>
                  <wp:effectExtent l="0" t="0" r="0" b="0"/>
                  <wp:wrapSquare wrapText="bothSides"/>
                  <wp:docPr id="17334925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p>
        </w:tc>
        <w:tc>
          <w:tcPr>
            <w:tcW w:w="3261" w:type="dxa"/>
            <w:tcBorders>
              <w:left w:val="nil"/>
              <w:bottom w:val="nil"/>
            </w:tcBorders>
          </w:tcPr>
          <w:p w14:paraId="29896E0C"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92032" behindDoc="0" locked="0" layoutInCell="1" allowOverlap="1" wp14:anchorId="2F21C148" wp14:editId="3D00B468">
                  <wp:simplePos x="0" y="0"/>
                  <wp:positionH relativeFrom="margin">
                    <wp:posOffset>1346200</wp:posOffset>
                  </wp:positionH>
                  <wp:positionV relativeFrom="margin">
                    <wp:posOffset>1068070</wp:posOffset>
                  </wp:positionV>
                  <wp:extent cx="316865" cy="341630"/>
                  <wp:effectExtent l="0" t="0" r="0" b="0"/>
                  <wp:wrapSquare wrapText="bothSides"/>
                  <wp:docPr id="16643106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87936" behindDoc="0" locked="0" layoutInCell="1" allowOverlap="1" wp14:anchorId="5F15DE09" wp14:editId="64F3DA75">
                  <wp:simplePos x="0" y="0"/>
                  <wp:positionH relativeFrom="margin">
                    <wp:posOffset>114300</wp:posOffset>
                  </wp:positionH>
                  <wp:positionV relativeFrom="margin">
                    <wp:posOffset>204904</wp:posOffset>
                  </wp:positionV>
                  <wp:extent cx="1567096" cy="1234440"/>
                  <wp:effectExtent l="0" t="0" r="0" b="3810"/>
                  <wp:wrapSquare wrapText="bothSides"/>
                  <wp:docPr id="20827737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73710" name="Picture 20827737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7096" cy="1234440"/>
                          </a:xfrm>
                          <a:prstGeom prst="rect">
                            <a:avLst/>
                          </a:prstGeom>
                        </pic:spPr>
                      </pic:pic>
                    </a:graphicData>
                  </a:graphic>
                </wp:anchor>
              </w:drawing>
            </w:r>
            <w:r w:rsidRPr="00DF549C">
              <w:rPr>
                <w:rFonts w:ascii="Arial" w:hAnsi="Arial" w:cs="Arial"/>
                <w:noProof/>
                <w:sz w:val="20"/>
                <w:szCs w:val="20"/>
              </w:rPr>
              <w:drawing>
                <wp:anchor distT="0" distB="0" distL="114300" distR="114300" simplePos="0" relativeHeight="251683840" behindDoc="0" locked="0" layoutInCell="1" allowOverlap="1" wp14:anchorId="7A109683" wp14:editId="696B21E3">
                  <wp:simplePos x="0" y="0"/>
                  <wp:positionH relativeFrom="margin">
                    <wp:posOffset>560097</wp:posOffset>
                  </wp:positionH>
                  <wp:positionV relativeFrom="margin">
                    <wp:posOffset>1025719</wp:posOffset>
                  </wp:positionV>
                  <wp:extent cx="316865" cy="341630"/>
                  <wp:effectExtent l="0" t="0" r="0" b="0"/>
                  <wp:wrapSquare wrapText="bothSides"/>
                  <wp:docPr id="8565518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p>
        </w:tc>
      </w:tr>
      <w:tr w:rsidR="00955F6E" w:rsidRPr="00DF549C" w14:paraId="713EF190" w14:textId="77777777" w:rsidTr="00261E54">
        <w:trPr>
          <w:trHeight w:val="927"/>
        </w:trPr>
        <w:tc>
          <w:tcPr>
            <w:tcW w:w="9016" w:type="dxa"/>
            <w:gridSpan w:val="4"/>
            <w:tcBorders>
              <w:top w:val="nil"/>
            </w:tcBorders>
          </w:tcPr>
          <w:p w14:paraId="3EEEFBCE" w14:textId="77777777" w:rsidR="00955F6E" w:rsidRPr="00DF549C" w:rsidRDefault="00955F6E" w:rsidP="00DF549C">
            <w:pPr>
              <w:spacing w:line="360" w:lineRule="auto"/>
              <w:jc w:val="both"/>
              <w:rPr>
                <w:rFonts w:ascii="Arial" w:hAnsi="Arial" w:cs="Arial"/>
                <w:color w:val="0D0D0D" w:themeColor="text1" w:themeTint="F2"/>
                <w:sz w:val="20"/>
                <w:szCs w:val="20"/>
              </w:rPr>
            </w:pPr>
            <w:r w:rsidRPr="00DF549C">
              <w:rPr>
                <w:rFonts w:ascii="Arial" w:hAnsi="Arial" w:cs="Arial"/>
                <w:b/>
                <w:bCs/>
                <w:color w:val="0D0D0D" w:themeColor="text1" w:themeTint="F2"/>
                <w:sz w:val="20"/>
                <w:szCs w:val="20"/>
              </w:rPr>
              <w:lastRenderedPageBreak/>
              <w:t>Fig. 3</w:t>
            </w:r>
            <w:r w:rsidRPr="00DF549C">
              <w:rPr>
                <w:rFonts w:ascii="Arial" w:hAnsi="Arial" w:cs="Arial"/>
                <w:color w:val="0D0D0D" w:themeColor="text1" w:themeTint="F2"/>
                <w:sz w:val="20"/>
                <w:szCs w:val="20"/>
              </w:rPr>
              <w:t xml:space="preserve"> (a-d): Photographs and radiographs of Dog A3. </w:t>
            </w:r>
            <w:r w:rsidRPr="00DF549C">
              <w:rPr>
                <w:rFonts w:ascii="Arial" w:hAnsi="Arial" w:cs="Arial"/>
                <w:b/>
                <w:bCs/>
                <w:color w:val="0D0D0D" w:themeColor="text1" w:themeTint="F2"/>
                <w:sz w:val="20"/>
                <w:szCs w:val="20"/>
              </w:rPr>
              <w:t>(a)</w:t>
            </w:r>
            <w:r w:rsidRPr="00DF549C">
              <w:rPr>
                <w:rFonts w:ascii="Arial" w:hAnsi="Arial" w:cs="Arial"/>
                <w:color w:val="0D0D0D" w:themeColor="text1" w:themeTint="F2"/>
                <w:sz w:val="20"/>
                <w:szCs w:val="20"/>
              </w:rPr>
              <w:t xml:space="preserve"> Preoperative radiograph </w:t>
            </w:r>
            <w:r w:rsidRPr="00DF549C">
              <w:rPr>
                <w:rFonts w:ascii="Arial" w:hAnsi="Arial" w:cs="Arial"/>
                <w:b/>
                <w:bCs/>
                <w:color w:val="0D0D0D" w:themeColor="text1" w:themeTint="F2"/>
                <w:sz w:val="20"/>
                <w:szCs w:val="20"/>
              </w:rPr>
              <w:t>(b)</w:t>
            </w:r>
            <w:r w:rsidRPr="00DF549C">
              <w:rPr>
                <w:rFonts w:ascii="Arial" w:hAnsi="Arial" w:cs="Arial"/>
                <w:color w:val="0D0D0D" w:themeColor="text1" w:themeTint="F2"/>
                <w:sz w:val="20"/>
                <w:szCs w:val="20"/>
              </w:rPr>
              <w:t xml:space="preserve">Immediate postoperative radiograph </w:t>
            </w:r>
            <w:r w:rsidRPr="00DF549C">
              <w:rPr>
                <w:rFonts w:ascii="Arial" w:hAnsi="Arial" w:cs="Arial"/>
                <w:b/>
                <w:bCs/>
                <w:color w:val="0D0D0D" w:themeColor="text1" w:themeTint="F2"/>
                <w:sz w:val="20"/>
                <w:szCs w:val="20"/>
              </w:rPr>
              <w:t>(c)</w:t>
            </w:r>
            <w:r w:rsidRPr="00DF549C">
              <w:rPr>
                <w:rFonts w:ascii="Arial" w:hAnsi="Arial" w:cs="Arial"/>
                <w:color w:val="0D0D0D" w:themeColor="text1" w:themeTint="F2"/>
                <w:sz w:val="20"/>
                <w:szCs w:val="20"/>
              </w:rPr>
              <w:t xml:space="preserve"> Postoperative radiograph after 3 months </w:t>
            </w:r>
            <w:r w:rsidRPr="00DF549C">
              <w:rPr>
                <w:rFonts w:ascii="Arial" w:hAnsi="Arial" w:cs="Arial"/>
                <w:b/>
                <w:bCs/>
                <w:color w:val="0D0D0D" w:themeColor="text1" w:themeTint="F2"/>
                <w:sz w:val="20"/>
                <w:szCs w:val="20"/>
              </w:rPr>
              <w:t>(d)</w:t>
            </w:r>
            <w:r w:rsidRPr="00DF549C">
              <w:rPr>
                <w:rFonts w:ascii="Arial" w:hAnsi="Arial" w:cs="Arial"/>
                <w:color w:val="0D0D0D" w:themeColor="text1" w:themeTint="F2"/>
                <w:sz w:val="20"/>
                <w:szCs w:val="20"/>
              </w:rPr>
              <w:t>Photograph showing complete weight bearing- 3 months postoperative</w:t>
            </w:r>
          </w:p>
        </w:tc>
      </w:tr>
    </w:tbl>
    <w:p w14:paraId="2233BB59" w14:textId="77777777" w:rsidR="00955F6E" w:rsidRPr="00DF549C" w:rsidRDefault="00955F6E" w:rsidP="00DF549C">
      <w:pPr>
        <w:spacing w:line="360" w:lineRule="auto"/>
        <w:jc w:val="both"/>
        <w:rPr>
          <w:rFonts w:ascii="Arial" w:hAnsi="Arial" w:cs="Arial"/>
          <w:b/>
          <w:bCs/>
          <w:sz w:val="20"/>
          <w:szCs w:val="20"/>
        </w:rPr>
      </w:pPr>
    </w:p>
    <w:tbl>
      <w:tblPr>
        <w:tblStyle w:val="TableGrid"/>
        <w:tblW w:w="0" w:type="auto"/>
        <w:tblLayout w:type="fixed"/>
        <w:tblLook w:val="04A0" w:firstRow="1" w:lastRow="0" w:firstColumn="1" w:lastColumn="0" w:noHBand="0" w:noVBand="1"/>
      </w:tblPr>
      <w:tblGrid>
        <w:gridCol w:w="2422"/>
        <w:gridCol w:w="1628"/>
        <w:gridCol w:w="1638"/>
        <w:gridCol w:w="1597"/>
        <w:gridCol w:w="1731"/>
      </w:tblGrid>
      <w:tr w:rsidR="00955F6E" w:rsidRPr="00DF549C" w14:paraId="16A229F2" w14:textId="77777777" w:rsidTr="0073456C">
        <w:trPr>
          <w:trHeight w:val="2366"/>
        </w:trPr>
        <w:tc>
          <w:tcPr>
            <w:tcW w:w="2422" w:type="dxa"/>
            <w:tcBorders>
              <w:bottom w:val="nil"/>
              <w:right w:val="nil"/>
            </w:tcBorders>
          </w:tcPr>
          <w:p w14:paraId="598BB0BA" w14:textId="77777777" w:rsidR="00955F6E" w:rsidRPr="00DF549C" w:rsidRDefault="00955F6E" w:rsidP="00DF549C">
            <w:pPr>
              <w:tabs>
                <w:tab w:val="center" w:pos="862"/>
              </w:tabs>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97152" behindDoc="0" locked="0" layoutInCell="1" allowOverlap="1" wp14:anchorId="3BAF804D" wp14:editId="56D9E589">
                  <wp:simplePos x="0" y="0"/>
                  <wp:positionH relativeFrom="margin">
                    <wp:posOffset>1049903</wp:posOffset>
                  </wp:positionH>
                  <wp:positionV relativeFrom="margin">
                    <wp:posOffset>1076932</wp:posOffset>
                  </wp:positionV>
                  <wp:extent cx="311150" cy="341630"/>
                  <wp:effectExtent l="0" t="0" r="0" b="0"/>
                  <wp:wrapSquare wrapText="bothSides"/>
                  <wp:docPr id="1559424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50"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694080" behindDoc="0" locked="0" layoutInCell="1" allowOverlap="1" wp14:anchorId="00479144" wp14:editId="549C7EAC">
                  <wp:simplePos x="0" y="0"/>
                  <wp:positionH relativeFrom="margin">
                    <wp:posOffset>-16510</wp:posOffset>
                  </wp:positionH>
                  <wp:positionV relativeFrom="margin">
                    <wp:posOffset>104112</wp:posOffset>
                  </wp:positionV>
                  <wp:extent cx="1422400" cy="1315720"/>
                  <wp:effectExtent l="0" t="0" r="6350" b="0"/>
                  <wp:wrapSquare wrapText="bothSides"/>
                  <wp:docPr id="19391508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5763" t="8814" r="25224"/>
                          <a:stretch>
                            <a:fillRect/>
                          </a:stretch>
                        </pic:blipFill>
                        <pic:spPr bwMode="auto">
                          <a:xfrm>
                            <a:off x="0" y="0"/>
                            <a:ext cx="1422400" cy="13157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F549C">
              <w:rPr>
                <w:rFonts w:ascii="Arial" w:hAnsi="Arial" w:cs="Arial"/>
                <w:sz w:val="20"/>
                <w:szCs w:val="20"/>
              </w:rPr>
              <w:tab/>
            </w:r>
          </w:p>
        </w:tc>
        <w:tc>
          <w:tcPr>
            <w:tcW w:w="1628" w:type="dxa"/>
            <w:tcBorders>
              <w:left w:val="nil"/>
              <w:bottom w:val="nil"/>
              <w:right w:val="nil"/>
            </w:tcBorders>
          </w:tcPr>
          <w:p w14:paraId="5F07AF67"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95104" behindDoc="0" locked="0" layoutInCell="1" allowOverlap="1" wp14:anchorId="12B46355" wp14:editId="2D536363">
                  <wp:simplePos x="0" y="0"/>
                  <wp:positionH relativeFrom="margin">
                    <wp:posOffset>0</wp:posOffset>
                  </wp:positionH>
                  <wp:positionV relativeFrom="margin">
                    <wp:posOffset>96520</wp:posOffset>
                  </wp:positionV>
                  <wp:extent cx="906145" cy="1296035"/>
                  <wp:effectExtent l="0" t="0" r="8255" b="0"/>
                  <wp:wrapSquare wrapText="bothSides"/>
                  <wp:docPr id="1092823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3799" t="16824" r="42972" b="32689"/>
                          <a:stretch>
                            <a:fillRect/>
                          </a:stretch>
                        </pic:blipFill>
                        <pic:spPr bwMode="auto">
                          <a:xfrm>
                            <a:off x="0" y="0"/>
                            <a:ext cx="906145" cy="12960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F549C">
              <w:rPr>
                <w:rFonts w:ascii="Arial" w:hAnsi="Arial" w:cs="Arial"/>
                <w:noProof/>
                <w:sz w:val="20"/>
                <w:szCs w:val="20"/>
              </w:rPr>
              <w:drawing>
                <wp:anchor distT="0" distB="0" distL="114300" distR="114300" simplePos="0" relativeHeight="251698176" behindDoc="0" locked="0" layoutInCell="1" allowOverlap="1" wp14:anchorId="73188695" wp14:editId="0EEFF61F">
                  <wp:simplePos x="0" y="0"/>
                  <wp:positionH relativeFrom="margin">
                    <wp:posOffset>568325</wp:posOffset>
                  </wp:positionH>
                  <wp:positionV relativeFrom="margin">
                    <wp:posOffset>1041400</wp:posOffset>
                  </wp:positionV>
                  <wp:extent cx="316865" cy="341630"/>
                  <wp:effectExtent l="0" t="0" r="0" b="0"/>
                  <wp:wrapSquare wrapText="bothSides"/>
                  <wp:docPr id="6246330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p>
        </w:tc>
        <w:tc>
          <w:tcPr>
            <w:tcW w:w="1638" w:type="dxa"/>
            <w:tcBorders>
              <w:left w:val="nil"/>
              <w:bottom w:val="nil"/>
              <w:right w:val="nil"/>
            </w:tcBorders>
          </w:tcPr>
          <w:p w14:paraId="44E0E878"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699200" behindDoc="0" locked="0" layoutInCell="1" allowOverlap="1" wp14:anchorId="26C1BDA2" wp14:editId="7194B66E">
                  <wp:simplePos x="0" y="0"/>
                  <wp:positionH relativeFrom="margin">
                    <wp:posOffset>600600</wp:posOffset>
                  </wp:positionH>
                  <wp:positionV relativeFrom="margin">
                    <wp:posOffset>1041566</wp:posOffset>
                  </wp:positionV>
                  <wp:extent cx="316865" cy="341630"/>
                  <wp:effectExtent l="0" t="0" r="0" b="0"/>
                  <wp:wrapSquare wrapText="bothSides"/>
                  <wp:docPr id="6471462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14:sizeRelH relativeFrom="margin">
                    <wp14:pctWidth>0</wp14:pctWidth>
                  </wp14:sizeRelH>
                  <wp14:sizeRelV relativeFrom="margin">
                    <wp14:pctHeight>0</wp14:pctHeight>
                  </wp14:sizeRelV>
                </wp:anchor>
              </w:drawing>
            </w:r>
            <w:r w:rsidRPr="00DF549C">
              <w:rPr>
                <w:rFonts w:ascii="Arial" w:hAnsi="Arial" w:cs="Arial"/>
                <w:noProof/>
                <w:sz w:val="20"/>
                <w:szCs w:val="20"/>
              </w:rPr>
              <w:drawing>
                <wp:anchor distT="0" distB="0" distL="114300" distR="114300" simplePos="0" relativeHeight="251696128" behindDoc="0" locked="0" layoutInCell="1" allowOverlap="1" wp14:anchorId="71279E35" wp14:editId="17ED4806">
                  <wp:simplePos x="0" y="0"/>
                  <wp:positionH relativeFrom="margin">
                    <wp:posOffset>21590</wp:posOffset>
                  </wp:positionH>
                  <wp:positionV relativeFrom="margin">
                    <wp:posOffset>104443</wp:posOffset>
                  </wp:positionV>
                  <wp:extent cx="920750" cy="1280160"/>
                  <wp:effectExtent l="0" t="0" r="0" b="0"/>
                  <wp:wrapSquare wrapText="bothSides"/>
                  <wp:docPr id="8838460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18506" t="8042" r="18460" b="22404"/>
                          <a:stretch>
                            <a:fillRect/>
                          </a:stretch>
                        </pic:blipFill>
                        <pic:spPr bwMode="auto">
                          <a:xfrm>
                            <a:off x="0" y="0"/>
                            <a:ext cx="920750" cy="128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97" w:type="dxa"/>
            <w:tcBorders>
              <w:left w:val="nil"/>
              <w:bottom w:val="nil"/>
              <w:right w:val="nil"/>
            </w:tcBorders>
          </w:tcPr>
          <w:p w14:paraId="03432C93"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02272" behindDoc="0" locked="0" layoutInCell="1" allowOverlap="1" wp14:anchorId="04F0CFE5" wp14:editId="25644322">
                  <wp:simplePos x="0" y="0"/>
                  <wp:positionH relativeFrom="margin">
                    <wp:posOffset>559517</wp:posOffset>
                  </wp:positionH>
                  <wp:positionV relativeFrom="margin">
                    <wp:posOffset>1049821</wp:posOffset>
                  </wp:positionV>
                  <wp:extent cx="316865" cy="341630"/>
                  <wp:effectExtent l="0" t="0" r="0" b="0"/>
                  <wp:wrapSquare wrapText="bothSides"/>
                  <wp:docPr id="2365602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14:sizeRelH relativeFrom="margin">
                    <wp14:pctWidth>0</wp14:pctWidth>
                  </wp14:sizeRelH>
                </wp:anchor>
              </w:drawing>
            </w:r>
            <w:r w:rsidRPr="00DF549C">
              <w:rPr>
                <w:rFonts w:ascii="Arial" w:hAnsi="Arial" w:cs="Arial"/>
                <w:noProof/>
                <w:sz w:val="20"/>
                <w:szCs w:val="20"/>
              </w:rPr>
              <w:drawing>
                <wp:anchor distT="0" distB="0" distL="114300" distR="114300" simplePos="0" relativeHeight="251700224" behindDoc="0" locked="0" layoutInCell="1" allowOverlap="1" wp14:anchorId="12703902" wp14:editId="7647CA67">
                  <wp:simplePos x="0" y="0"/>
                  <wp:positionH relativeFrom="margin">
                    <wp:posOffset>-34290</wp:posOffset>
                  </wp:positionH>
                  <wp:positionV relativeFrom="margin">
                    <wp:posOffset>96520</wp:posOffset>
                  </wp:positionV>
                  <wp:extent cx="937895" cy="1296035"/>
                  <wp:effectExtent l="0" t="0" r="0" b="0"/>
                  <wp:wrapSquare wrapText="bothSides"/>
                  <wp:docPr id="708031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a:extLst>
                              <a:ext uri="{28A0092B-C50C-407E-A947-70E740481C1C}">
                                <a14:useLocalDpi xmlns:a14="http://schemas.microsoft.com/office/drawing/2010/main" val="0"/>
                              </a:ext>
                            </a:extLst>
                          </a:blip>
                          <a:srcRect l="10512" t="9154" r="-2729" b="24098"/>
                          <a:stretch>
                            <a:fillRect/>
                          </a:stretch>
                        </pic:blipFill>
                        <pic:spPr bwMode="auto">
                          <a:xfrm>
                            <a:off x="0" y="0"/>
                            <a:ext cx="937895" cy="129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31" w:type="dxa"/>
            <w:tcBorders>
              <w:left w:val="nil"/>
              <w:bottom w:val="nil"/>
            </w:tcBorders>
          </w:tcPr>
          <w:p w14:paraId="4311A2DF"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03296" behindDoc="0" locked="0" layoutInCell="1" allowOverlap="1" wp14:anchorId="3B2CD8F7" wp14:editId="428C45D6">
                  <wp:simplePos x="0" y="0"/>
                  <wp:positionH relativeFrom="margin">
                    <wp:posOffset>603167</wp:posOffset>
                  </wp:positionH>
                  <wp:positionV relativeFrom="margin">
                    <wp:posOffset>1025718</wp:posOffset>
                  </wp:positionV>
                  <wp:extent cx="311150" cy="341630"/>
                  <wp:effectExtent l="0" t="0" r="0" b="0"/>
                  <wp:wrapSquare wrapText="bothSides"/>
                  <wp:docPr id="6012892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150" cy="341630"/>
                          </a:xfrm>
                          <a:prstGeom prst="rect">
                            <a:avLst/>
                          </a:prstGeom>
                          <a:noFill/>
                        </pic:spPr>
                      </pic:pic>
                    </a:graphicData>
                  </a:graphic>
                  <wp14:sizeRelH relativeFrom="margin">
                    <wp14:pctWidth>0</wp14:pctWidth>
                  </wp14:sizeRelH>
                </wp:anchor>
              </w:drawing>
            </w:r>
            <w:r w:rsidRPr="00DF549C">
              <w:rPr>
                <w:rFonts w:ascii="Arial" w:hAnsi="Arial" w:cs="Arial"/>
                <w:noProof/>
                <w:sz w:val="20"/>
                <w:szCs w:val="20"/>
              </w:rPr>
              <w:drawing>
                <wp:anchor distT="0" distB="0" distL="114300" distR="114300" simplePos="0" relativeHeight="251701248" behindDoc="0" locked="0" layoutInCell="1" allowOverlap="1" wp14:anchorId="1A5FEEDF" wp14:editId="6D5BA977">
                  <wp:simplePos x="0" y="0"/>
                  <wp:positionH relativeFrom="margin">
                    <wp:posOffset>-31115</wp:posOffset>
                  </wp:positionH>
                  <wp:positionV relativeFrom="margin">
                    <wp:posOffset>96520</wp:posOffset>
                  </wp:positionV>
                  <wp:extent cx="937895" cy="1287780"/>
                  <wp:effectExtent l="0" t="0" r="0" b="7620"/>
                  <wp:wrapSquare wrapText="bothSides"/>
                  <wp:docPr id="6211689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599" t="-1684" r="11672" b="176"/>
                          <a:stretch>
                            <a:fillRect/>
                          </a:stretch>
                        </pic:blipFill>
                        <pic:spPr bwMode="auto">
                          <a:xfrm>
                            <a:off x="0" y="0"/>
                            <a:ext cx="937895" cy="128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55F6E" w:rsidRPr="00DF549C" w14:paraId="56B36827" w14:textId="77777777" w:rsidTr="0073456C">
        <w:trPr>
          <w:trHeight w:val="1215"/>
        </w:trPr>
        <w:tc>
          <w:tcPr>
            <w:tcW w:w="9016" w:type="dxa"/>
            <w:gridSpan w:val="5"/>
            <w:tcBorders>
              <w:top w:val="nil"/>
            </w:tcBorders>
          </w:tcPr>
          <w:p w14:paraId="662FE6BA" w14:textId="77777777" w:rsidR="00955F6E" w:rsidRPr="00DF549C" w:rsidRDefault="00955F6E" w:rsidP="00DF549C">
            <w:pPr>
              <w:spacing w:line="360" w:lineRule="auto"/>
              <w:jc w:val="both"/>
              <w:rPr>
                <w:rFonts w:ascii="Arial" w:hAnsi="Arial" w:cs="Arial"/>
                <w:color w:val="0D0D0D" w:themeColor="text1" w:themeTint="F2"/>
                <w:sz w:val="20"/>
                <w:szCs w:val="20"/>
              </w:rPr>
            </w:pPr>
            <w:r w:rsidRPr="00DF549C">
              <w:rPr>
                <w:rFonts w:ascii="Arial" w:hAnsi="Arial" w:cs="Arial"/>
                <w:b/>
                <w:bCs/>
                <w:color w:val="0D0D0D" w:themeColor="text1" w:themeTint="F2"/>
                <w:sz w:val="20"/>
                <w:szCs w:val="20"/>
              </w:rPr>
              <w:t>Fig. 4</w:t>
            </w:r>
            <w:r w:rsidRPr="00DF549C">
              <w:rPr>
                <w:rFonts w:ascii="Arial" w:hAnsi="Arial" w:cs="Arial"/>
                <w:color w:val="0D0D0D" w:themeColor="text1" w:themeTint="F2"/>
                <w:sz w:val="20"/>
                <w:szCs w:val="20"/>
              </w:rPr>
              <w:t xml:space="preserve"> (a-e): Photographs and radiographs of Dog A4. </w:t>
            </w:r>
            <w:r w:rsidRPr="00DF549C">
              <w:rPr>
                <w:rFonts w:ascii="Arial" w:hAnsi="Arial" w:cs="Arial"/>
                <w:b/>
                <w:bCs/>
                <w:color w:val="0D0D0D" w:themeColor="text1" w:themeTint="F2"/>
                <w:sz w:val="20"/>
                <w:szCs w:val="20"/>
              </w:rPr>
              <w:t>(a)</w:t>
            </w:r>
            <w:r w:rsidRPr="00DF549C">
              <w:rPr>
                <w:rFonts w:ascii="Arial" w:hAnsi="Arial" w:cs="Arial"/>
                <w:color w:val="0D0D0D" w:themeColor="text1" w:themeTint="F2"/>
                <w:sz w:val="20"/>
                <w:szCs w:val="20"/>
              </w:rPr>
              <w:t xml:space="preserve"> Preoperative photograph showing non-weight bearing lameness </w:t>
            </w:r>
            <w:r w:rsidRPr="00DF549C">
              <w:rPr>
                <w:rFonts w:ascii="Arial" w:hAnsi="Arial" w:cs="Arial"/>
                <w:b/>
                <w:bCs/>
                <w:color w:val="0D0D0D" w:themeColor="text1" w:themeTint="F2"/>
                <w:sz w:val="20"/>
                <w:szCs w:val="20"/>
              </w:rPr>
              <w:t>(b)</w:t>
            </w:r>
            <w:r w:rsidRPr="00DF549C">
              <w:rPr>
                <w:rFonts w:ascii="Arial" w:hAnsi="Arial" w:cs="Arial"/>
                <w:color w:val="0D0D0D" w:themeColor="text1" w:themeTint="F2"/>
                <w:sz w:val="20"/>
                <w:szCs w:val="20"/>
              </w:rPr>
              <w:t xml:space="preserve"> Preoperative radiograph </w:t>
            </w:r>
            <w:r w:rsidRPr="00DF549C">
              <w:rPr>
                <w:rFonts w:ascii="Arial" w:hAnsi="Arial" w:cs="Arial"/>
                <w:b/>
                <w:bCs/>
                <w:color w:val="0D0D0D" w:themeColor="text1" w:themeTint="F2"/>
                <w:sz w:val="20"/>
                <w:szCs w:val="20"/>
              </w:rPr>
              <w:t>(c)</w:t>
            </w:r>
            <w:r w:rsidRPr="00DF549C">
              <w:rPr>
                <w:rFonts w:ascii="Arial" w:hAnsi="Arial" w:cs="Arial"/>
                <w:color w:val="0D0D0D" w:themeColor="text1" w:themeTint="F2"/>
                <w:sz w:val="20"/>
                <w:szCs w:val="20"/>
              </w:rPr>
              <w:t xml:space="preserve"> Immediate postoperative radiograph </w:t>
            </w:r>
            <w:r w:rsidRPr="00DF549C">
              <w:rPr>
                <w:rFonts w:ascii="Arial" w:hAnsi="Arial" w:cs="Arial"/>
                <w:b/>
                <w:bCs/>
                <w:color w:val="0D0D0D" w:themeColor="text1" w:themeTint="F2"/>
                <w:sz w:val="20"/>
                <w:szCs w:val="20"/>
              </w:rPr>
              <w:t>(d)</w:t>
            </w:r>
            <w:r w:rsidRPr="00DF549C">
              <w:rPr>
                <w:rFonts w:ascii="Arial" w:hAnsi="Arial" w:cs="Arial"/>
                <w:color w:val="0D0D0D" w:themeColor="text1" w:themeTint="F2"/>
                <w:sz w:val="20"/>
                <w:szCs w:val="20"/>
              </w:rPr>
              <w:t xml:space="preserve"> Postoperative radiograph after 3 months </w:t>
            </w:r>
            <w:r w:rsidRPr="00DF549C">
              <w:rPr>
                <w:rFonts w:ascii="Arial" w:hAnsi="Arial" w:cs="Arial"/>
                <w:b/>
                <w:bCs/>
                <w:color w:val="0D0D0D" w:themeColor="text1" w:themeTint="F2"/>
                <w:sz w:val="20"/>
                <w:szCs w:val="20"/>
              </w:rPr>
              <w:t>(e)</w:t>
            </w:r>
            <w:r w:rsidRPr="00DF549C">
              <w:rPr>
                <w:rFonts w:ascii="Arial" w:hAnsi="Arial" w:cs="Arial"/>
                <w:color w:val="0D0D0D" w:themeColor="text1" w:themeTint="F2"/>
                <w:sz w:val="20"/>
                <w:szCs w:val="20"/>
              </w:rPr>
              <w:t xml:space="preserve"> Photograph showing complete weight bearing- 3 months postoperative</w:t>
            </w:r>
          </w:p>
        </w:tc>
      </w:tr>
    </w:tbl>
    <w:p w14:paraId="53BB3766" w14:textId="77777777" w:rsidR="00955F6E" w:rsidRPr="00DF549C" w:rsidRDefault="00955F6E" w:rsidP="00DF549C">
      <w:pPr>
        <w:spacing w:line="360" w:lineRule="auto"/>
        <w:jc w:val="both"/>
        <w:rPr>
          <w:rFonts w:ascii="Arial" w:hAnsi="Arial" w:cs="Arial"/>
          <w:b/>
          <w:bCs/>
          <w:sz w:val="20"/>
          <w:szCs w:val="20"/>
        </w:rPr>
      </w:pPr>
    </w:p>
    <w:tbl>
      <w:tblPr>
        <w:tblStyle w:val="TableGrid"/>
        <w:tblW w:w="0" w:type="auto"/>
        <w:tblLayout w:type="fixed"/>
        <w:tblLook w:val="04A0" w:firstRow="1" w:lastRow="0" w:firstColumn="1" w:lastColumn="0" w:noHBand="0" w:noVBand="1"/>
      </w:tblPr>
      <w:tblGrid>
        <w:gridCol w:w="2779"/>
        <w:gridCol w:w="1319"/>
        <w:gridCol w:w="1323"/>
        <w:gridCol w:w="1468"/>
        <w:gridCol w:w="2127"/>
      </w:tblGrid>
      <w:tr w:rsidR="00955F6E" w:rsidRPr="00DF549C" w14:paraId="462D75B6" w14:textId="77777777" w:rsidTr="00261E54">
        <w:trPr>
          <w:trHeight w:val="2240"/>
        </w:trPr>
        <w:tc>
          <w:tcPr>
            <w:tcW w:w="2779" w:type="dxa"/>
            <w:tcBorders>
              <w:bottom w:val="nil"/>
              <w:right w:val="nil"/>
            </w:tcBorders>
          </w:tcPr>
          <w:p w14:paraId="625B3F98"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10464" behindDoc="0" locked="0" layoutInCell="1" allowOverlap="1" wp14:anchorId="2E5C3BA4" wp14:editId="2368D6F3">
                  <wp:simplePos x="0" y="0"/>
                  <wp:positionH relativeFrom="margin">
                    <wp:posOffset>1324838</wp:posOffset>
                  </wp:positionH>
                  <wp:positionV relativeFrom="margin">
                    <wp:posOffset>1063849</wp:posOffset>
                  </wp:positionV>
                  <wp:extent cx="311150" cy="341630"/>
                  <wp:effectExtent l="0" t="0" r="0" b="0"/>
                  <wp:wrapSquare wrapText="bothSides"/>
                  <wp:docPr id="7491930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50"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05344" behindDoc="0" locked="0" layoutInCell="1" allowOverlap="1" wp14:anchorId="080AEFFD" wp14:editId="26A569DE">
                  <wp:simplePos x="0" y="0"/>
                  <wp:positionH relativeFrom="margin">
                    <wp:posOffset>7620</wp:posOffset>
                  </wp:positionH>
                  <wp:positionV relativeFrom="margin">
                    <wp:posOffset>175895</wp:posOffset>
                  </wp:positionV>
                  <wp:extent cx="1629410" cy="1233805"/>
                  <wp:effectExtent l="0" t="0" r="8890" b="4445"/>
                  <wp:wrapSquare wrapText="bothSides"/>
                  <wp:docPr id="4666441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512" r="19831"/>
                          <a:stretch>
                            <a:fillRect/>
                          </a:stretch>
                        </pic:blipFill>
                        <pic:spPr bwMode="auto">
                          <a:xfrm>
                            <a:off x="0" y="0"/>
                            <a:ext cx="1629410" cy="1233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1319" w:type="dxa"/>
            <w:tcBorders>
              <w:left w:val="nil"/>
              <w:bottom w:val="nil"/>
              <w:right w:val="nil"/>
            </w:tcBorders>
          </w:tcPr>
          <w:p w14:paraId="61A38EC5"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11488" behindDoc="0" locked="0" layoutInCell="1" allowOverlap="1" wp14:anchorId="32DB42E4" wp14:editId="20A1E51E">
                  <wp:simplePos x="0" y="0"/>
                  <wp:positionH relativeFrom="margin">
                    <wp:posOffset>382905</wp:posOffset>
                  </wp:positionH>
                  <wp:positionV relativeFrom="margin">
                    <wp:posOffset>1062355</wp:posOffset>
                  </wp:positionV>
                  <wp:extent cx="316865" cy="341630"/>
                  <wp:effectExtent l="0" t="0" r="0" b="0"/>
                  <wp:wrapSquare wrapText="bothSides"/>
                  <wp:docPr id="6073366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06368" behindDoc="0" locked="0" layoutInCell="1" allowOverlap="1" wp14:anchorId="7DDF83E4" wp14:editId="02D3B36C">
                  <wp:simplePos x="0" y="0"/>
                  <wp:positionH relativeFrom="margin">
                    <wp:posOffset>-2927</wp:posOffset>
                  </wp:positionH>
                  <wp:positionV relativeFrom="margin">
                    <wp:posOffset>167640</wp:posOffset>
                  </wp:positionV>
                  <wp:extent cx="699135" cy="1233805"/>
                  <wp:effectExtent l="0" t="0" r="5715" b="4445"/>
                  <wp:wrapSquare wrapText="bothSides"/>
                  <wp:docPr id="7566663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3064" t="3608" r="11017" b="5582"/>
                          <a:stretch>
                            <a:fillRect/>
                          </a:stretch>
                        </pic:blipFill>
                        <pic:spPr bwMode="auto">
                          <a:xfrm>
                            <a:off x="0" y="0"/>
                            <a:ext cx="699135" cy="1233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1323" w:type="dxa"/>
            <w:tcBorders>
              <w:left w:val="nil"/>
              <w:bottom w:val="nil"/>
              <w:right w:val="nil"/>
            </w:tcBorders>
          </w:tcPr>
          <w:p w14:paraId="5AA912A0"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12512" behindDoc="0" locked="0" layoutInCell="1" allowOverlap="1" wp14:anchorId="0E96F7CD" wp14:editId="50AD247A">
                  <wp:simplePos x="0" y="0"/>
                  <wp:positionH relativeFrom="margin">
                    <wp:posOffset>376135</wp:posOffset>
                  </wp:positionH>
                  <wp:positionV relativeFrom="margin">
                    <wp:posOffset>1032812</wp:posOffset>
                  </wp:positionV>
                  <wp:extent cx="316865" cy="347345"/>
                  <wp:effectExtent l="0" t="0" r="0" b="0"/>
                  <wp:wrapSquare wrapText="bothSides"/>
                  <wp:docPr id="3285025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865" cy="347345"/>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07392" behindDoc="0" locked="0" layoutInCell="1" allowOverlap="1" wp14:anchorId="1D5D4539" wp14:editId="1E355A93">
                  <wp:simplePos x="0" y="0"/>
                  <wp:positionH relativeFrom="margin">
                    <wp:posOffset>-3479</wp:posOffset>
                  </wp:positionH>
                  <wp:positionV relativeFrom="margin">
                    <wp:posOffset>168275</wp:posOffset>
                  </wp:positionV>
                  <wp:extent cx="707390" cy="1233805"/>
                  <wp:effectExtent l="0" t="0" r="0" b="4445"/>
                  <wp:wrapSquare wrapText="bothSides"/>
                  <wp:docPr id="9515650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a:fillRect/>
                          </a:stretch>
                        </pic:blipFill>
                        <pic:spPr bwMode="auto">
                          <a:xfrm>
                            <a:off x="0" y="0"/>
                            <a:ext cx="707390" cy="1233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1468" w:type="dxa"/>
            <w:tcBorders>
              <w:left w:val="nil"/>
              <w:bottom w:val="nil"/>
              <w:right w:val="nil"/>
            </w:tcBorders>
          </w:tcPr>
          <w:p w14:paraId="233C7605"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13536" behindDoc="0" locked="0" layoutInCell="1" allowOverlap="1" wp14:anchorId="7FE07C16" wp14:editId="62054B28">
                  <wp:simplePos x="0" y="0"/>
                  <wp:positionH relativeFrom="margin">
                    <wp:posOffset>470339</wp:posOffset>
                  </wp:positionH>
                  <wp:positionV relativeFrom="margin">
                    <wp:posOffset>1056635</wp:posOffset>
                  </wp:positionV>
                  <wp:extent cx="316865" cy="341630"/>
                  <wp:effectExtent l="0" t="0" r="0" b="0"/>
                  <wp:wrapSquare wrapText="bothSides"/>
                  <wp:docPr id="2412346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08416" behindDoc="0" locked="0" layoutInCell="1" allowOverlap="1" wp14:anchorId="00211E6B" wp14:editId="11989D08">
                  <wp:simplePos x="0" y="0"/>
                  <wp:positionH relativeFrom="margin">
                    <wp:posOffset>-1629</wp:posOffset>
                  </wp:positionH>
                  <wp:positionV relativeFrom="margin">
                    <wp:posOffset>166370</wp:posOffset>
                  </wp:positionV>
                  <wp:extent cx="792150" cy="1234440"/>
                  <wp:effectExtent l="0" t="0" r="8255" b="3810"/>
                  <wp:wrapSquare wrapText="bothSides"/>
                  <wp:docPr id="3403698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2150" cy="1234440"/>
                          </a:xfrm>
                          <a:prstGeom prst="rect">
                            <a:avLst/>
                          </a:prstGeom>
                          <a:noFill/>
                        </pic:spPr>
                      </pic:pic>
                    </a:graphicData>
                  </a:graphic>
                </wp:anchor>
              </w:drawing>
            </w:r>
          </w:p>
        </w:tc>
        <w:tc>
          <w:tcPr>
            <w:tcW w:w="2127" w:type="dxa"/>
            <w:tcBorders>
              <w:left w:val="nil"/>
              <w:bottom w:val="nil"/>
            </w:tcBorders>
          </w:tcPr>
          <w:p w14:paraId="618854E3"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14560" behindDoc="0" locked="0" layoutInCell="1" allowOverlap="1" wp14:anchorId="26CCEB30" wp14:editId="1E6769E3">
                  <wp:simplePos x="0" y="0"/>
                  <wp:positionH relativeFrom="margin">
                    <wp:posOffset>-5308</wp:posOffset>
                  </wp:positionH>
                  <wp:positionV relativeFrom="margin">
                    <wp:posOffset>1071423</wp:posOffset>
                  </wp:positionV>
                  <wp:extent cx="316865" cy="341630"/>
                  <wp:effectExtent l="0" t="0" r="0" b="0"/>
                  <wp:wrapSquare wrapText="bothSides"/>
                  <wp:docPr id="18373692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09440" behindDoc="0" locked="0" layoutInCell="1" allowOverlap="1" wp14:anchorId="0055E02B" wp14:editId="798575A9">
                  <wp:simplePos x="0" y="0"/>
                  <wp:positionH relativeFrom="margin">
                    <wp:posOffset>-16206</wp:posOffset>
                  </wp:positionH>
                  <wp:positionV relativeFrom="margin">
                    <wp:posOffset>174928</wp:posOffset>
                  </wp:positionV>
                  <wp:extent cx="1221825" cy="1234440"/>
                  <wp:effectExtent l="0" t="0" r="0" b="3810"/>
                  <wp:wrapSquare wrapText="bothSides"/>
                  <wp:docPr id="14643267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8">
                            <a:extLst>
                              <a:ext uri="{28A0092B-C50C-407E-A947-70E740481C1C}">
                                <a14:useLocalDpi xmlns:a14="http://schemas.microsoft.com/office/drawing/2010/main" val="0"/>
                              </a:ext>
                            </a:extLst>
                          </a:blip>
                          <a:srcRect l="36740" t="7292" r="16406" b="37040"/>
                          <a:stretch>
                            <a:fillRect/>
                          </a:stretch>
                        </pic:blipFill>
                        <pic:spPr bwMode="auto">
                          <a:xfrm>
                            <a:off x="0" y="0"/>
                            <a:ext cx="1221825" cy="123444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955F6E" w:rsidRPr="00DF549C" w14:paraId="607973CC" w14:textId="77777777" w:rsidTr="00261E54">
        <w:trPr>
          <w:trHeight w:val="1178"/>
        </w:trPr>
        <w:tc>
          <w:tcPr>
            <w:tcW w:w="9016" w:type="dxa"/>
            <w:gridSpan w:val="5"/>
            <w:tcBorders>
              <w:top w:val="nil"/>
            </w:tcBorders>
          </w:tcPr>
          <w:p w14:paraId="59099A83" w14:textId="77777777" w:rsidR="00955F6E" w:rsidRPr="00DF549C" w:rsidRDefault="00955F6E" w:rsidP="00DF549C">
            <w:pPr>
              <w:spacing w:line="360" w:lineRule="auto"/>
              <w:jc w:val="both"/>
              <w:rPr>
                <w:rFonts w:ascii="Arial" w:hAnsi="Arial" w:cs="Arial"/>
                <w:color w:val="0D0D0D" w:themeColor="text1" w:themeTint="F2"/>
                <w:sz w:val="20"/>
                <w:szCs w:val="20"/>
              </w:rPr>
            </w:pPr>
            <w:r w:rsidRPr="00DF549C">
              <w:rPr>
                <w:rFonts w:ascii="Arial" w:hAnsi="Arial" w:cs="Arial"/>
                <w:b/>
                <w:bCs/>
                <w:color w:val="0D0D0D" w:themeColor="text1" w:themeTint="F2"/>
                <w:sz w:val="20"/>
                <w:szCs w:val="20"/>
              </w:rPr>
              <w:t>Fig. 5</w:t>
            </w:r>
            <w:r w:rsidRPr="00DF549C">
              <w:rPr>
                <w:rFonts w:ascii="Arial" w:hAnsi="Arial" w:cs="Arial"/>
                <w:color w:val="0D0D0D" w:themeColor="text1" w:themeTint="F2"/>
                <w:sz w:val="20"/>
                <w:szCs w:val="20"/>
              </w:rPr>
              <w:t xml:space="preserve"> (a-e): Photographs and radiographs of Dog A5. </w:t>
            </w:r>
            <w:r w:rsidRPr="00DF549C">
              <w:rPr>
                <w:rFonts w:ascii="Arial" w:hAnsi="Arial" w:cs="Arial"/>
                <w:b/>
                <w:bCs/>
                <w:color w:val="0D0D0D" w:themeColor="text1" w:themeTint="F2"/>
                <w:sz w:val="20"/>
                <w:szCs w:val="20"/>
              </w:rPr>
              <w:t>(a)</w:t>
            </w:r>
            <w:r w:rsidRPr="00DF549C">
              <w:rPr>
                <w:rFonts w:ascii="Arial" w:hAnsi="Arial" w:cs="Arial"/>
                <w:color w:val="0D0D0D" w:themeColor="text1" w:themeTint="F2"/>
                <w:sz w:val="20"/>
                <w:szCs w:val="20"/>
              </w:rPr>
              <w:t xml:space="preserve"> Preoperative photograph showing non-weight bearing lameness </w:t>
            </w:r>
            <w:r w:rsidRPr="00DF549C">
              <w:rPr>
                <w:rFonts w:ascii="Arial" w:hAnsi="Arial" w:cs="Arial"/>
                <w:b/>
                <w:bCs/>
                <w:color w:val="0D0D0D" w:themeColor="text1" w:themeTint="F2"/>
                <w:sz w:val="20"/>
                <w:szCs w:val="20"/>
              </w:rPr>
              <w:t>(b)</w:t>
            </w:r>
            <w:r w:rsidRPr="00DF549C">
              <w:rPr>
                <w:rFonts w:ascii="Arial" w:hAnsi="Arial" w:cs="Arial"/>
                <w:color w:val="0D0D0D" w:themeColor="text1" w:themeTint="F2"/>
                <w:sz w:val="20"/>
                <w:szCs w:val="20"/>
              </w:rPr>
              <w:t xml:space="preserve"> Preoperative radiograph </w:t>
            </w:r>
            <w:r w:rsidRPr="00DF549C">
              <w:rPr>
                <w:rFonts w:ascii="Arial" w:hAnsi="Arial" w:cs="Arial"/>
                <w:b/>
                <w:bCs/>
                <w:color w:val="0D0D0D" w:themeColor="text1" w:themeTint="F2"/>
                <w:sz w:val="20"/>
                <w:szCs w:val="20"/>
              </w:rPr>
              <w:t>(c)</w:t>
            </w:r>
            <w:r w:rsidRPr="00DF549C">
              <w:rPr>
                <w:rFonts w:ascii="Arial" w:hAnsi="Arial" w:cs="Arial"/>
                <w:color w:val="0D0D0D" w:themeColor="text1" w:themeTint="F2"/>
                <w:sz w:val="20"/>
                <w:szCs w:val="20"/>
              </w:rPr>
              <w:t xml:space="preserve"> Immediate postoperative radiograph </w:t>
            </w:r>
            <w:r w:rsidRPr="00DF549C">
              <w:rPr>
                <w:rFonts w:ascii="Arial" w:hAnsi="Arial" w:cs="Arial"/>
                <w:b/>
                <w:bCs/>
                <w:color w:val="0D0D0D" w:themeColor="text1" w:themeTint="F2"/>
                <w:sz w:val="20"/>
                <w:szCs w:val="20"/>
              </w:rPr>
              <w:t>(d)</w:t>
            </w:r>
            <w:r w:rsidRPr="00DF549C">
              <w:rPr>
                <w:rFonts w:ascii="Arial" w:hAnsi="Arial" w:cs="Arial"/>
                <w:color w:val="0D0D0D" w:themeColor="text1" w:themeTint="F2"/>
                <w:sz w:val="20"/>
                <w:szCs w:val="20"/>
              </w:rPr>
              <w:t xml:space="preserve"> Postoperative radiograph after 3 months </w:t>
            </w:r>
            <w:r w:rsidRPr="00DF549C">
              <w:rPr>
                <w:rFonts w:ascii="Arial" w:hAnsi="Arial" w:cs="Arial"/>
                <w:b/>
                <w:bCs/>
                <w:color w:val="0D0D0D" w:themeColor="text1" w:themeTint="F2"/>
                <w:sz w:val="20"/>
                <w:szCs w:val="20"/>
              </w:rPr>
              <w:t>(e)</w:t>
            </w:r>
            <w:r w:rsidRPr="00DF549C">
              <w:rPr>
                <w:rFonts w:ascii="Arial" w:hAnsi="Arial" w:cs="Arial"/>
                <w:color w:val="0D0D0D" w:themeColor="text1" w:themeTint="F2"/>
                <w:sz w:val="20"/>
                <w:szCs w:val="20"/>
              </w:rPr>
              <w:t xml:space="preserve"> Photograph showing complete weight bearing- 3 months postoperative</w:t>
            </w:r>
          </w:p>
        </w:tc>
      </w:tr>
    </w:tbl>
    <w:p w14:paraId="4EEE3EF9" w14:textId="77777777" w:rsidR="00955F6E" w:rsidRPr="00DF549C" w:rsidRDefault="00955F6E" w:rsidP="00DF549C">
      <w:pPr>
        <w:spacing w:line="360" w:lineRule="auto"/>
        <w:jc w:val="both"/>
        <w:rPr>
          <w:rFonts w:ascii="Arial" w:hAnsi="Arial" w:cs="Arial"/>
          <w:b/>
          <w:bCs/>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843"/>
        <w:gridCol w:w="1173"/>
        <w:gridCol w:w="1279"/>
        <w:gridCol w:w="1232"/>
        <w:gridCol w:w="2489"/>
      </w:tblGrid>
      <w:tr w:rsidR="00955F6E" w:rsidRPr="00DF549C" w14:paraId="781F2AB4" w14:textId="77777777" w:rsidTr="0073456C">
        <w:trPr>
          <w:trHeight w:val="2240"/>
        </w:trPr>
        <w:tc>
          <w:tcPr>
            <w:tcW w:w="3216" w:type="dxa"/>
          </w:tcPr>
          <w:p w14:paraId="566CC1EC"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21728" behindDoc="0" locked="0" layoutInCell="1" allowOverlap="1" wp14:anchorId="21F2F7C0" wp14:editId="011737AD">
                  <wp:simplePos x="0" y="0"/>
                  <wp:positionH relativeFrom="margin">
                    <wp:posOffset>0</wp:posOffset>
                  </wp:positionH>
                  <wp:positionV relativeFrom="margin">
                    <wp:posOffset>190500</wp:posOffset>
                  </wp:positionV>
                  <wp:extent cx="311150" cy="341630"/>
                  <wp:effectExtent l="0" t="0" r="0" b="0"/>
                  <wp:wrapSquare wrapText="bothSides"/>
                  <wp:docPr id="556805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50"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19680" behindDoc="0" locked="0" layoutInCell="1" allowOverlap="1" wp14:anchorId="72BFA0CA" wp14:editId="3C886763">
                  <wp:simplePos x="0" y="0"/>
                  <wp:positionH relativeFrom="margin">
                    <wp:posOffset>-15240</wp:posOffset>
                  </wp:positionH>
                  <wp:positionV relativeFrom="margin">
                    <wp:posOffset>168910</wp:posOffset>
                  </wp:positionV>
                  <wp:extent cx="1690370" cy="1237615"/>
                  <wp:effectExtent l="0" t="0" r="5080" b="635"/>
                  <wp:wrapSquare wrapText="bothSides"/>
                  <wp:docPr id="14044178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l="10851"/>
                          <a:stretch>
                            <a:fillRect/>
                          </a:stretch>
                        </pic:blipFill>
                        <pic:spPr bwMode="auto">
                          <a:xfrm>
                            <a:off x="0" y="0"/>
                            <a:ext cx="1690370" cy="1237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1369" w:type="dxa"/>
          </w:tcPr>
          <w:p w14:paraId="25585ADF"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22752" behindDoc="0" locked="0" layoutInCell="1" allowOverlap="1" wp14:anchorId="57F305AC" wp14:editId="212D86FB">
                  <wp:simplePos x="0" y="0"/>
                  <wp:positionH relativeFrom="margin">
                    <wp:posOffset>-22225</wp:posOffset>
                  </wp:positionH>
                  <wp:positionV relativeFrom="margin">
                    <wp:posOffset>175895</wp:posOffset>
                  </wp:positionV>
                  <wp:extent cx="316865" cy="341630"/>
                  <wp:effectExtent l="0" t="0" r="0" b="0"/>
                  <wp:wrapSquare wrapText="bothSides"/>
                  <wp:docPr id="2075222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17632" behindDoc="0" locked="0" layoutInCell="1" allowOverlap="1" wp14:anchorId="6AA00972" wp14:editId="18975872">
                  <wp:simplePos x="0" y="0"/>
                  <wp:positionH relativeFrom="margin">
                    <wp:posOffset>-25400</wp:posOffset>
                  </wp:positionH>
                  <wp:positionV relativeFrom="margin">
                    <wp:posOffset>161290</wp:posOffset>
                  </wp:positionV>
                  <wp:extent cx="617220" cy="1234440"/>
                  <wp:effectExtent l="0" t="0" r="0" b="3810"/>
                  <wp:wrapSquare wrapText="bothSides"/>
                  <wp:docPr id="18460633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2382" t="27432" r="19624" b="15846"/>
                          <a:stretch>
                            <a:fillRect/>
                          </a:stretch>
                        </pic:blipFill>
                        <pic:spPr bwMode="auto">
                          <a:xfrm>
                            <a:off x="0" y="0"/>
                            <a:ext cx="617220"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1350" w:type="dxa"/>
          </w:tcPr>
          <w:p w14:paraId="49A2D236"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23776" behindDoc="0" locked="0" layoutInCell="1" allowOverlap="1" wp14:anchorId="0128D4D3" wp14:editId="16795A1A">
                  <wp:simplePos x="0" y="0"/>
                  <wp:positionH relativeFrom="margin">
                    <wp:posOffset>-635</wp:posOffset>
                  </wp:positionH>
                  <wp:positionV relativeFrom="margin">
                    <wp:posOffset>152400</wp:posOffset>
                  </wp:positionV>
                  <wp:extent cx="316865" cy="347345"/>
                  <wp:effectExtent l="0" t="0" r="0" b="0"/>
                  <wp:wrapSquare wrapText="bothSides"/>
                  <wp:docPr id="2051355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865" cy="347345"/>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16608" behindDoc="0" locked="0" layoutInCell="1" allowOverlap="1" wp14:anchorId="48825ACF" wp14:editId="4BE2817D">
                  <wp:simplePos x="0" y="0"/>
                  <wp:positionH relativeFrom="margin">
                    <wp:posOffset>-1270</wp:posOffset>
                  </wp:positionH>
                  <wp:positionV relativeFrom="margin">
                    <wp:posOffset>146050</wp:posOffset>
                  </wp:positionV>
                  <wp:extent cx="678180" cy="1233805"/>
                  <wp:effectExtent l="0" t="0" r="7620" b="4445"/>
                  <wp:wrapSquare wrapText="bothSides"/>
                  <wp:docPr id="1045247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854" t="26378" r="29723" b="24860"/>
                          <a:stretch>
                            <a:fillRect/>
                          </a:stretch>
                        </pic:blipFill>
                        <pic:spPr bwMode="auto">
                          <a:xfrm>
                            <a:off x="0" y="0"/>
                            <a:ext cx="678180" cy="1233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350" w:type="dxa"/>
          </w:tcPr>
          <w:p w14:paraId="06673A1D"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24800" behindDoc="0" locked="0" layoutInCell="1" allowOverlap="1" wp14:anchorId="4B8E891A" wp14:editId="362E8B7A">
                  <wp:simplePos x="0" y="0"/>
                  <wp:positionH relativeFrom="margin">
                    <wp:posOffset>11430</wp:posOffset>
                  </wp:positionH>
                  <wp:positionV relativeFrom="margin">
                    <wp:posOffset>144780</wp:posOffset>
                  </wp:positionV>
                  <wp:extent cx="316865" cy="341630"/>
                  <wp:effectExtent l="0" t="0" r="0" b="0"/>
                  <wp:wrapSquare wrapText="bothSides"/>
                  <wp:docPr id="1632175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18656" behindDoc="0" locked="0" layoutInCell="1" allowOverlap="1" wp14:anchorId="32A9A9C7" wp14:editId="31E304B2">
                  <wp:simplePos x="0" y="0"/>
                  <wp:positionH relativeFrom="margin">
                    <wp:posOffset>-5080</wp:posOffset>
                  </wp:positionH>
                  <wp:positionV relativeFrom="margin">
                    <wp:posOffset>138430</wp:posOffset>
                  </wp:positionV>
                  <wp:extent cx="655320" cy="1234440"/>
                  <wp:effectExtent l="0" t="0" r="0" b="3810"/>
                  <wp:wrapSquare wrapText="bothSides"/>
                  <wp:docPr id="17138625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5172"/>
                          <a:stretch>
                            <a:fillRect/>
                          </a:stretch>
                        </pic:blipFill>
                        <pic:spPr bwMode="auto">
                          <a:xfrm>
                            <a:off x="0" y="0"/>
                            <a:ext cx="655320"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1731" w:type="dxa"/>
          </w:tcPr>
          <w:p w14:paraId="412D0B81" w14:textId="77777777" w:rsidR="00955F6E" w:rsidRPr="00DF549C" w:rsidRDefault="00955F6E" w:rsidP="00DF549C">
            <w:pPr>
              <w:spacing w:line="360" w:lineRule="auto"/>
              <w:jc w:val="both"/>
              <w:rPr>
                <w:rFonts w:ascii="Arial" w:hAnsi="Arial" w:cs="Arial"/>
                <w:sz w:val="20"/>
                <w:szCs w:val="20"/>
              </w:rPr>
            </w:pPr>
            <w:r w:rsidRPr="00DF549C">
              <w:rPr>
                <w:rFonts w:ascii="Arial" w:hAnsi="Arial" w:cs="Arial"/>
                <w:noProof/>
                <w:sz w:val="20"/>
                <w:szCs w:val="20"/>
              </w:rPr>
              <w:drawing>
                <wp:anchor distT="0" distB="0" distL="114300" distR="114300" simplePos="0" relativeHeight="251725824" behindDoc="0" locked="0" layoutInCell="1" allowOverlap="1" wp14:anchorId="6D37EC7D" wp14:editId="157870B9">
                  <wp:simplePos x="0" y="0"/>
                  <wp:positionH relativeFrom="margin">
                    <wp:posOffset>13970</wp:posOffset>
                  </wp:positionH>
                  <wp:positionV relativeFrom="margin">
                    <wp:posOffset>182880</wp:posOffset>
                  </wp:positionV>
                  <wp:extent cx="316865" cy="341630"/>
                  <wp:effectExtent l="0" t="0" r="0" b="0"/>
                  <wp:wrapSquare wrapText="bothSides"/>
                  <wp:docPr id="20346363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865" cy="341630"/>
                          </a:xfrm>
                          <a:prstGeom prst="rect">
                            <a:avLst/>
                          </a:prstGeom>
                          <a:noFill/>
                        </pic:spPr>
                      </pic:pic>
                    </a:graphicData>
                  </a:graphic>
                </wp:anchor>
              </w:drawing>
            </w:r>
            <w:r w:rsidRPr="00DF549C">
              <w:rPr>
                <w:rFonts w:ascii="Arial" w:hAnsi="Arial" w:cs="Arial"/>
                <w:noProof/>
                <w:sz w:val="20"/>
                <w:szCs w:val="20"/>
              </w:rPr>
              <w:drawing>
                <wp:anchor distT="0" distB="0" distL="114300" distR="114300" simplePos="0" relativeHeight="251720704" behindDoc="0" locked="0" layoutInCell="1" allowOverlap="1" wp14:anchorId="48891FAE" wp14:editId="4F913213">
                  <wp:simplePos x="0" y="0"/>
                  <wp:positionH relativeFrom="margin">
                    <wp:posOffset>-13335</wp:posOffset>
                  </wp:positionH>
                  <wp:positionV relativeFrom="margin">
                    <wp:posOffset>171185</wp:posOffset>
                  </wp:positionV>
                  <wp:extent cx="1466655" cy="1234440"/>
                  <wp:effectExtent l="0" t="0" r="635" b="3810"/>
                  <wp:wrapSquare wrapText="bothSides"/>
                  <wp:docPr id="8218997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6655" cy="1234440"/>
                          </a:xfrm>
                          <a:prstGeom prst="rect">
                            <a:avLst/>
                          </a:prstGeom>
                          <a:noFill/>
                        </pic:spPr>
                      </pic:pic>
                    </a:graphicData>
                  </a:graphic>
                  <wp14:sizeRelH relativeFrom="margin">
                    <wp14:pctWidth>0</wp14:pctWidth>
                  </wp14:sizeRelH>
                  <wp14:sizeRelV relativeFrom="margin">
                    <wp14:pctHeight>0</wp14:pctHeight>
                  </wp14:sizeRelV>
                </wp:anchor>
              </w:drawing>
            </w:r>
          </w:p>
        </w:tc>
      </w:tr>
      <w:tr w:rsidR="00955F6E" w:rsidRPr="00DF549C" w14:paraId="0D58C7BB" w14:textId="77777777" w:rsidTr="0073456C">
        <w:trPr>
          <w:trHeight w:val="1179"/>
        </w:trPr>
        <w:tc>
          <w:tcPr>
            <w:tcW w:w="9016" w:type="dxa"/>
            <w:gridSpan w:val="5"/>
          </w:tcPr>
          <w:p w14:paraId="5EB6293C" w14:textId="77777777" w:rsidR="00955F6E" w:rsidRPr="00DF549C" w:rsidRDefault="00955F6E" w:rsidP="00DF549C">
            <w:pPr>
              <w:spacing w:line="360" w:lineRule="auto"/>
              <w:jc w:val="both"/>
              <w:rPr>
                <w:rFonts w:ascii="Arial" w:hAnsi="Arial" w:cs="Arial"/>
                <w:color w:val="0D0D0D" w:themeColor="text1" w:themeTint="F2"/>
                <w:sz w:val="20"/>
                <w:szCs w:val="20"/>
              </w:rPr>
            </w:pPr>
            <w:r w:rsidRPr="00DF549C">
              <w:rPr>
                <w:rFonts w:ascii="Arial" w:hAnsi="Arial" w:cs="Arial"/>
                <w:b/>
                <w:bCs/>
                <w:color w:val="0D0D0D" w:themeColor="text1" w:themeTint="F2"/>
                <w:sz w:val="20"/>
                <w:szCs w:val="20"/>
              </w:rPr>
              <w:t>Fig. 6</w:t>
            </w:r>
            <w:r w:rsidRPr="00DF549C">
              <w:rPr>
                <w:rFonts w:ascii="Arial" w:hAnsi="Arial" w:cs="Arial"/>
                <w:color w:val="0D0D0D" w:themeColor="text1" w:themeTint="F2"/>
                <w:sz w:val="20"/>
                <w:szCs w:val="20"/>
              </w:rPr>
              <w:t xml:space="preserve"> (a-e): Photographs and radiographs of Dog A6. </w:t>
            </w:r>
            <w:r w:rsidRPr="00DF549C">
              <w:rPr>
                <w:rFonts w:ascii="Arial" w:hAnsi="Arial" w:cs="Arial"/>
                <w:b/>
                <w:bCs/>
                <w:color w:val="0D0D0D" w:themeColor="text1" w:themeTint="F2"/>
                <w:sz w:val="20"/>
                <w:szCs w:val="20"/>
              </w:rPr>
              <w:t>(a)</w:t>
            </w:r>
            <w:r w:rsidRPr="00DF549C">
              <w:rPr>
                <w:rFonts w:ascii="Arial" w:hAnsi="Arial" w:cs="Arial"/>
                <w:color w:val="0D0D0D" w:themeColor="text1" w:themeTint="F2"/>
                <w:sz w:val="20"/>
                <w:szCs w:val="20"/>
              </w:rPr>
              <w:t xml:space="preserve"> Preoperative photograph showing non-weight bearing lameness </w:t>
            </w:r>
            <w:r w:rsidRPr="00DF549C">
              <w:rPr>
                <w:rFonts w:ascii="Arial" w:hAnsi="Arial" w:cs="Arial"/>
                <w:b/>
                <w:bCs/>
                <w:color w:val="0D0D0D" w:themeColor="text1" w:themeTint="F2"/>
                <w:sz w:val="20"/>
                <w:szCs w:val="20"/>
              </w:rPr>
              <w:t xml:space="preserve">(b) </w:t>
            </w:r>
            <w:r w:rsidRPr="00DF549C">
              <w:rPr>
                <w:rFonts w:ascii="Arial" w:hAnsi="Arial" w:cs="Arial"/>
                <w:color w:val="0D0D0D" w:themeColor="text1" w:themeTint="F2"/>
                <w:sz w:val="20"/>
                <w:szCs w:val="20"/>
              </w:rPr>
              <w:t xml:space="preserve">Preoperative radiograph </w:t>
            </w:r>
            <w:r w:rsidRPr="00DF549C">
              <w:rPr>
                <w:rFonts w:ascii="Arial" w:hAnsi="Arial" w:cs="Arial"/>
                <w:b/>
                <w:bCs/>
                <w:color w:val="0D0D0D" w:themeColor="text1" w:themeTint="F2"/>
                <w:sz w:val="20"/>
                <w:szCs w:val="20"/>
              </w:rPr>
              <w:t>(c)</w:t>
            </w:r>
            <w:r w:rsidRPr="00DF549C">
              <w:rPr>
                <w:rFonts w:ascii="Arial" w:hAnsi="Arial" w:cs="Arial"/>
                <w:color w:val="0D0D0D" w:themeColor="text1" w:themeTint="F2"/>
                <w:sz w:val="20"/>
                <w:szCs w:val="20"/>
              </w:rPr>
              <w:t xml:space="preserve"> Immediate postoperative radiograph </w:t>
            </w:r>
            <w:r w:rsidRPr="00DF549C">
              <w:rPr>
                <w:rFonts w:ascii="Arial" w:hAnsi="Arial" w:cs="Arial"/>
                <w:b/>
                <w:bCs/>
                <w:color w:val="0D0D0D" w:themeColor="text1" w:themeTint="F2"/>
                <w:sz w:val="20"/>
                <w:szCs w:val="20"/>
              </w:rPr>
              <w:t xml:space="preserve">(d) </w:t>
            </w:r>
            <w:r w:rsidRPr="00DF549C">
              <w:rPr>
                <w:rFonts w:ascii="Arial" w:hAnsi="Arial" w:cs="Arial"/>
                <w:color w:val="0D0D0D" w:themeColor="text1" w:themeTint="F2"/>
                <w:sz w:val="20"/>
                <w:szCs w:val="20"/>
              </w:rPr>
              <w:lastRenderedPageBreak/>
              <w:t xml:space="preserve">Postoperative radiograph after 3 months </w:t>
            </w:r>
            <w:r w:rsidRPr="00DF549C">
              <w:rPr>
                <w:rFonts w:ascii="Arial" w:hAnsi="Arial" w:cs="Arial"/>
                <w:b/>
                <w:bCs/>
                <w:color w:val="0D0D0D" w:themeColor="text1" w:themeTint="F2"/>
                <w:sz w:val="20"/>
                <w:szCs w:val="20"/>
              </w:rPr>
              <w:t>(e)</w:t>
            </w:r>
            <w:r w:rsidRPr="00DF549C">
              <w:rPr>
                <w:rFonts w:ascii="Arial" w:hAnsi="Arial" w:cs="Arial"/>
                <w:color w:val="0D0D0D" w:themeColor="text1" w:themeTint="F2"/>
                <w:sz w:val="20"/>
                <w:szCs w:val="20"/>
              </w:rPr>
              <w:t xml:space="preserve"> Photograph showing complete weight bearing- 3 months postoperative</w:t>
            </w:r>
          </w:p>
        </w:tc>
      </w:tr>
    </w:tbl>
    <w:p w14:paraId="0C1D53E6" w14:textId="77777777" w:rsidR="00955F6E" w:rsidRPr="00DF549C" w:rsidRDefault="00955F6E" w:rsidP="00DF549C">
      <w:pPr>
        <w:spacing w:line="360" w:lineRule="auto"/>
        <w:jc w:val="both"/>
        <w:rPr>
          <w:rFonts w:ascii="Arial" w:hAnsi="Arial" w:cs="Arial"/>
          <w:b/>
          <w:bCs/>
          <w:sz w:val="20"/>
          <w:szCs w:val="20"/>
        </w:rPr>
      </w:pPr>
    </w:p>
    <w:p w14:paraId="4B7737F7" w14:textId="78379D65" w:rsidR="00934ED5" w:rsidRPr="00DF549C" w:rsidRDefault="0014115A" w:rsidP="00DF549C">
      <w:pPr>
        <w:spacing w:line="360" w:lineRule="auto"/>
        <w:ind w:firstLine="720"/>
        <w:jc w:val="both"/>
        <w:rPr>
          <w:rFonts w:ascii="Arial" w:hAnsi="Arial" w:cs="Arial"/>
          <w:b/>
          <w:bCs/>
          <w:sz w:val="20"/>
          <w:szCs w:val="20"/>
        </w:rPr>
      </w:pPr>
      <w:r w:rsidRPr="00DF549C">
        <w:rPr>
          <w:rFonts w:ascii="Arial" w:hAnsi="Arial" w:cs="Arial"/>
          <w:b/>
          <w:bCs/>
          <w:sz w:val="20"/>
          <w:szCs w:val="20"/>
        </w:rPr>
        <w:t>Table 1.</w:t>
      </w:r>
      <w:r w:rsidR="00415C21" w:rsidRPr="00DF549C">
        <w:rPr>
          <w:rFonts w:ascii="Arial" w:hAnsi="Arial" w:cs="Arial"/>
          <w:b/>
          <w:bCs/>
          <w:sz w:val="20"/>
          <w:szCs w:val="20"/>
        </w:rPr>
        <w:t xml:space="preserve"> </w:t>
      </w:r>
      <w:r w:rsidR="00934ED5" w:rsidRPr="00DF549C">
        <w:rPr>
          <w:rFonts w:ascii="Arial" w:hAnsi="Arial" w:cs="Arial"/>
          <w:b/>
          <w:bCs/>
          <w:sz w:val="20"/>
          <w:szCs w:val="20"/>
        </w:rPr>
        <w:t xml:space="preserve">Details of dogs with femur fracture repaired using </w:t>
      </w:r>
      <w:r w:rsidR="00923F28" w:rsidRPr="00DF549C">
        <w:rPr>
          <w:rFonts w:ascii="Arial" w:hAnsi="Arial" w:cs="Arial"/>
          <w:b/>
          <w:bCs/>
          <w:sz w:val="20"/>
          <w:szCs w:val="20"/>
        </w:rPr>
        <w:t>plate rod technique</w:t>
      </w:r>
      <w:bookmarkEnd w:id="0"/>
    </w:p>
    <w:tbl>
      <w:tblPr>
        <w:tblStyle w:val="TableGrid"/>
        <w:tblW w:w="0" w:type="auto"/>
        <w:tblLook w:val="04A0" w:firstRow="1" w:lastRow="0" w:firstColumn="1" w:lastColumn="0" w:noHBand="0" w:noVBand="1"/>
      </w:tblPr>
      <w:tblGrid>
        <w:gridCol w:w="631"/>
        <w:gridCol w:w="804"/>
        <w:gridCol w:w="900"/>
        <w:gridCol w:w="1260"/>
        <w:gridCol w:w="1530"/>
        <w:gridCol w:w="1980"/>
        <w:gridCol w:w="1911"/>
      </w:tblGrid>
      <w:tr w:rsidR="00934ED5" w:rsidRPr="00DF549C" w14:paraId="78DDD443" w14:textId="77777777" w:rsidTr="00FF7014">
        <w:trPr>
          <w:trHeight w:val="1016"/>
        </w:trPr>
        <w:tc>
          <w:tcPr>
            <w:tcW w:w="631" w:type="dxa"/>
            <w:vAlign w:val="center"/>
          </w:tcPr>
          <w:p w14:paraId="37AAEC94" w14:textId="77777777" w:rsidR="00934ED5" w:rsidRPr="00DF549C" w:rsidRDefault="00934ED5" w:rsidP="00DF549C">
            <w:pPr>
              <w:spacing w:line="360" w:lineRule="auto"/>
              <w:jc w:val="both"/>
              <w:rPr>
                <w:rFonts w:ascii="Arial" w:hAnsi="Arial" w:cs="Arial"/>
                <w:b/>
                <w:bCs/>
                <w:sz w:val="20"/>
                <w:szCs w:val="20"/>
              </w:rPr>
            </w:pPr>
            <w:bookmarkStart w:id="1" w:name="_Hlk220747117"/>
            <w:r w:rsidRPr="00DF549C">
              <w:rPr>
                <w:rFonts w:ascii="Arial" w:hAnsi="Arial" w:cs="Arial"/>
                <w:b/>
                <w:bCs/>
                <w:sz w:val="20"/>
                <w:szCs w:val="20"/>
              </w:rPr>
              <w:t xml:space="preserve">Dog </w:t>
            </w:r>
          </w:p>
        </w:tc>
        <w:tc>
          <w:tcPr>
            <w:tcW w:w="804" w:type="dxa"/>
            <w:vAlign w:val="center"/>
          </w:tcPr>
          <w:p w14:paraId="3342A82F" w14:textId="77777777" w:rsidR="00934ED5" w:rsidRPr="00DF549C" w:rsidRDefault="00934ED5" w:rsidP="00DF549C">
            <w:pPr>
              <w:spacing w:line="360" w:lineRule="auto"/>
              <w:jc w:val="both"/>
              <w:rPr>
                <w:rFonts w:ascii="Arial" w:hAnsi="Arial" w:cs="Arial"/>
                <w:b/>
                <w:bCs/>
                <w:sz w:val="20"/>
                <w:szCs w:val="20"/>
              </w:rPr>
            </w:pPr>
            <w:r w:rsidRPr="00DF549C">
              <w:rPr>
                <w:rFonts w:ascii="Arial" w:hAnsi="Arial" w:cs="Arial"/>
                <w:b/>
                <w:bCs/>
                <w:sz w:val="20"/>
                <w:szCs w:val="20"/>
              </w:rPr>
              <w:t xml:space="preserve">Age </w:t>
            </w:r>
          </w:p>
        </w:tc>
        <w:tc>
          <w:tcPr>
            <w:tcW w:w="900" w:type="dxa"/>
            <w:vAlign w:val="center"/>
          </w:tcPr>
          <w:p w14:paraId="1F3AD251" w14:textId="77777777" w:rsidR="00934ED5" w:rsidRPr="00DF549C" w:rsidRDefault="00934ED5" w:rsidP="00DF549C">
            <w:pPr>
              <w:spacing w:line="360" w:lineRule="auto"/>
              <w:jc w:val="both"/>
              <w:rPr>
                <w:rFonts w:ascii="Arial" w:hAnsi="Arial" w:cs="Arial"/>
                <w:b/>
                <w:bCs/>
                <w:sz w:val="20"/>
                <w:szCs w:val="20"/>
              </w:rPr>
            </w:pPr>
            <w:r w:rsidRPr="00DF549C">
              <w:rPr>
                <w:rFonts w:ascii="Arial" w:hAnsi="Arial" w:cs="Arial"/>
                <w:b/>
                <w:bCs/>
                <w:sz w:val="20"/>
                <w:szCs w:val="20"/>
              </w:rPr>
              <w:t xml:space="preserve">Breed </w:t>
            </w:r>
          </w:p>
        </w:tc>
        <w:tc>
          <w:tcPr>
            <w:tcW w:w="1260" w:type="dxa"/>
            <w:vAlign w:val="center"/>
          </w:tcPr>
          <w:p w14:paraId="2EA32C97" w14:textId="77777777" w:rsidR="00934ED5" w:rsidRPr="00DF549C" w:rsidRDefault="00934ED5" w:rsidP="00DF549C">
            <w:pPr>
              <w:spacing w:line="360" w:lineRule="auto"/>
              <w:jc w:val="both"/>
              <w:rPr>
                <w:rFonts w:ascii="Arial" w:hAnsi="Arial" w:cs="Arial"/>
                <w:b/>
                <w:bCs/>
                <w:sz w:val="20"/>
                <w:szCs w:val="20"/>
              </w:rPr>
            </w:pPr>
            <w:r w:rsidRPr="00DF549C">
              <w:rPr>
                <w:rFonts w:ascii="Arial" w:hAnsi="Arial" w:cs="Arial"/>
                <w:b/>
                <w:bCs/>
                <w:sz w:val="20"/>
                <w:szCs w:val="20"/>
              </w:rPr>
              <w:t>Sex (M/F)</w:t>
            </w:r>
          </w:p>
        </w:tc>
        <w:tc>
          <w:tcPr>
            <w:tcW w:w="1530" w:type="dxa"/>
            <w:vAlign w:val="center"/>
          </w:tcPr>
          <w:p w14:paraId="44F27B6A" w14:textId="77777777" w:rsidR="00934ED5" w:rsidRPr="00DF549C" w:rsidRDefault="00934ED5" w:rsidP="00DF549C">
            <w:pPr>
              <w:spacing w:line="360" w:lineRule="auto"/>
              <w:jc w:val="both"/>
              <w:rPr>
                <w:rFonts w:ascii="Arial" w:hAnsi="Arial" w:cs="Arial"/>
                <w:b/>
                <w:bCs/>
                <w:sz w:val="20"/>
                <w:szCs w:val="20"/>
              </w:rPr>
            </w:pPr>
            <w:r w:rsidRPr="00DF549C">
              <w:rPr>
                <w:rFonts w:ascii="Arial" w:hAnsi="Arial" w:cs="Arial"/>
                <w:b/>
                <w:bCs/>
                <w:sz w:val="20"/>
                <w:szCs w:val="20"/>
              </w:rPr>
              <w:t>Body weight (Kg)</w:t>
            </w:r>
          </w:p>
        </w:tc>
        <w:tc>
          <w:tcPr>
            <w:tcW w:w="1980" w:type="dxa"/>
            <w:vAlign w:val="center"/>
          </w:tcPr>
          <w:p w14:paraId="25757431" w14:textId="77777777" w:rsidR="00934ED5" w:rsidRPr="00DF549C" w:rsidRDefault="00934ED5" w:rsidP="00DF549C">
            <w:pPr>
              <w:spacing w:line="360" w:lineRule="auto"/>
              <w:jc w:val="both"/>
              <w:rPr>
                <w:rFonts w:ascii="Arial" w:hAnsi="Arial" w:cs="Arial"/>
                <w:b/>
                <w:bCs/>
                <w:sz w:val="20"/>
                <w:szCs w:val="20"/>
              </w:rPr>
            </w:pPr>
            <w:r w:rsidRPr="00DF549C">
              <w:rPr>
                <w:rFonts w:ascii="Arial" w:hAnsi="Arial" w:cs="Arial"/>
                <w:b/>
                <w:bCs/>
                <w:sz w:val="20"/>
                <w:szCs w:val="20"/>
              </w:rPr>
              <w:t xml:space="preserve">Etiology </w:t>
            </w:r>
          </w:p>
        </w:tc>
        <w:tc>
          <w:tcPr>
            <w:tcW w:w="1911" w:type="dxa"/>
            <w:vAlign w:val="center"/>
          </w:tcPr>
          <w:p w14:paraId="182259DB" w14:textId="2E283218" w:rsidR="00934ED5" w:rsidRPr="00DF549C" w:rsidRDefault="00934ED5" w:rsidP="00DF549C">
            <w:pPr>
              <w:spacing w:line="360" w:lineRule="auto"/>
              <w:jc w:val="both"/>
              <w:rPr>
                <w:rFonts w:ascii="Arial" w:hAnsi="Arial" w:cs="Arial"/>
                <w:b/>
                <w:bCs/>
                <w:sz w:val="20"/>
                <w:szCs w:val="20"/>
              </w:rPr>
            </w:pPr>
            <w:r w:rsidRPr="00DF549C">
              <w:rPr>
                <w:rFonts w:ascii="Arial" w:hAnsi="Arial" w:cs="Arial"/>
                <w:b/>
                <w:bCs/>
                <w:sz w:val="20"/>
                <w:szCs w:val="20"/>
              </w:rPr>
              <w:t>Time lapsed till repair (days)</w:t>
            </w:r>
          </w:p>
        </w:tc>
      </w:tr>
      <w:tr w:rsidR="00934ED5" w:rsidRPr="00DF549C" w14:paraId="753360B6" w14:textId="77777777" w:rsidTr="00FF7014">
        <w:tc>
          <w:tcPr>
            <w:tcW w:w="631" w:type="dxa"/>
            <w:vAlign w:val="center"/>
          </w:tcPr>
          <w:p w14:paraId="712506E6"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A1</w:t>
            </w:r>
          </w:p>
        </w:tc>
        <w:tc>
          <w:tcPr>
            <w:tcW w:w="804" w:type="dxa"/>
            <w:vAlign w:val="center"/>
          </w:tcPr>
          <w:p w14:paraId="3486896F"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9 m</w:t>
            </w:r>
          </w:p>
        </w:tc>
        <w:tc>
          <w:tcPr>
            <w:tcW w:w="900" w:type="dxa"/>
            <w:vAlign w:val="center"/>
          </w:tcPr>
          <w:p w14:paraId="2853461C"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ND</w:t>
            </w:r>
          </w:p>
        </w:tc>
        <w:tc>
          <w:tcPr>
            <w:tcW w:w="1260" w:type="dxa"/>
            <w:vAlign w:val="center"/>
          </w:tcPr>
          <w:p w14:paraId="1DB57166"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 xml:space="preserve">Male </w:t>
            </w:r>
          </w:p>
        </w:tc>
        <w:tc>
          <w:tcPr>
            <w:tcW w:w="1530" w:type="dxa"/>
            <w:vAlign w:val="center"/>
          </w:tcPr>
          <w:p w14:paraId="54CC05A2"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12.8</w:t>
            </w:r>
          </w:p>
        </w:tc>
        <w:tc>
          <w:tcPr>
            <w:tcW w:w="1980" w:type="dxa"/>
            <w:vAlign w:val="center"/>
          </w:tcPr>
          <w:p w14:paraId="3200FECE"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RTA</w:t>
            </w:r>
          </w:p>
        </w:tc>
        <w:tc>
          <w:tcPr>
            <w:tcW w:w="1911" w:type="dxa"/>
            <w:vAlign w:val="center"/>
          </w:tcPr>
          <w:p w14:paraId="6B3BEE57"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5</w:t>
            </w:r>
          </w:p>
        </w:tc>
      </w:tr>
      <w:tr w:rsidR="00934ED5" w:rsidRPr="00DF549C" w14:paraId="09F40221" w14:textId="77777777" w:rsidTr="00FF7014">
        <w:tc>
          <w:tcPr>
            <w:tcW w:w="631" w:type="dxa"/>
            <w:vAlign w:val="center"/>
          </w:tcPr>
          <w:p w14:paraId="4F120F8A"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A2</w:t>
            </w:r>
          </w:p>
        </w:tc>
        <w:tc>
          <w:tcPr>
            <w:tcW w:w="804" w:type="dxa"/>
            <w:vAlign w:val="center"/>
          </w:tcPr>
          <w:p w14:paraId="02EB10DB"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1.5 yr</w:t>
            </w:r>
          </w:p>
        </w:tc>
        <w:tc>
          <w:tcPr>
            <w:tcW w:w="900" w:type="dxa"/>
            <w:vAlign w:val="center"/>
          </w:tcPr>
          <w:p w14:paraId="0EF24E5E"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ND</w:t>
            </w:r>
          </w:p>
        </w:tc>
        <w:tc>
          <w:tcPr>
            <w:tcW w:w="1260" w:type="dxa"/>
            <w:vAlign w:val="center"/>
          </w:tcPr>
          <w:p w14:paraId="00B53775"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 xml:space="preserve">Male </w:t>
            </w:r>
          </w:p>
        </w:tc>
        <w:tc>
          <w:tcPr>
            <w:tcW w:w="1530" w:type="dxa"/>
            <w:vAlign w:val="center"/>
          </w:tcPr>
          <w:p w14:paraId="431D3CAD"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20</w:t>
            </w:r>
          </w:p>
        </w:tc>
        <w:tc>
          <w:tcPr>
            <w:tcW w:w="1980" w:type="dxa"/>
            <w:vAlign w:val="center"/>
          </w:tcPr>
          <w:p w14:paraId="53AD8307"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 xml:space="preserve">Fall from height </w:t>
            </w:r>
          </w:p>
        </w:tc>
        <w:tc>
          <w:tcPr>
            <w:tcW w:w="1911" w:type="dxa"/>
            <w:vAlign w:val="center"/>
          </w:tcPr>
          <w:p w14:paraId="4288821A"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5</w:t>
            </w:r>
          </w:p>
        </w:tc>
      </w:tr>
      <w:tr w:rsidR="00934ED5" w:rsidRPr="00DF549C" w14:paraId="0F695263" w14:textId="77777777" w:rsidTr="00FF7014">
        <w:tc>
          <w:tcPr>
            <w:tcW w:w="631" w:type="dxa"/>
            <w:vAlign w:val="center"/>
          </w:tcPr>
          <w:p w14:paraId="710267EE"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A3</w:t>
            </w:r>
          </w:p>
        </w:tc>
        <w:tc>
          <w:tcPr>
            <w:tcW w:w="804" w:type="dxa"/>
            <w:vAlign w:val="center"/>
          </w:tcPr>
          <w:p w14:paraId="0459FB4B"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8m</w:t>
            </w:r>
          </w:p>
        </w:tc>
        <w:tc>
          <w:tcPr>
            <w:tcW w:w="900" w:type="dxa"/>
            <w:vAlign w:val="center"/>
          </w:tcPr>
          <w:p w14:paraId="0B0A1A08"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ND</w:t>
            </w:r>
          </w:p>
        </w:tc>
        <w:tc>
          <w:tcPr>
            <w:tcW w:w="1260" w:type="dxa"/>
            <w:vAlign w:val="center"/>
          </w:tcPr>
          <w:p w14:paraId="1D9557B6"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 xml:space="preserve">Male </w:t>
            </w:r>
          </w:p>
        </w:tc>
        <w:tc>
          <w:tcPr>
            <w:tcW w:w="1530" w:type="dxa"/>
            <w:vAlign w:val="center"/>
          </w:tcPr>
          <w:p w14:paraId="05529A71"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8</w:t>
            </w:r>
          </w:p>
        </w:tc>
        <w:tc>
          <w:tcPr>
            <w:tcW w:w="1980" w:type="dxa"/>
            <w:vAlign w:val="center"/>
          </w:tcPr>
          <w:p w14:paraId="4CFB92CD"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RTA</w:t>
            </w:r>
          </w:p>
        </w:tc>
        <w:tc>
          <w:tcPr>
            <w:tcW w:w="1911" w:type="dxa"/>
            <w:vAlign w:val="center"/>
          </w:tcPr>
          <w:p w14:paraId="6A3BB3B0"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6</w:t>
            </w:r>
          </w:p>
        </w:tc>
      </w:tr>
      <w:tr w:rsidR="00934ED5" w:rsidRPr="00DF549C" w14:paraId="695A5C10" w14:textId="77777777" w:rsidTr="00FF7014">
        <w:tc>
          <w:tcPr>
            <w:tcW w:w="631" w:type="dxa"/>
            <w:vAlign w:val="center"/>
          </w:tcPr>
          <w:p w14:paraId="568A6592"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A4</w:t>
            </w:r>
          </w:p>
        </w:tc>
        <w:tc>
          <w:tcPr>
            <w:tcW w:w="804" w:type="dxa"/>
            <w:vAlign w:val="center"/>
          </w:tcPr>
          <w:p w14:paraId="1667886E"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9m</w:t>
            </w:r>
          </w:p>
        </w:tc>
        <w:tc>
          <w:tcPr>
            <w:tcW w:w="900" w:type="dxa"/>
            <w:vAlign w:val="center"/>
          </w:tcPr>
          <w:p w14:paraId="1CE99724"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ND</w:t>
            </w:r>
          </w:p>
        </w:tc>
        <w:tc>
          <w:tcPr>
            <w:tcW w:w="1260" w:type="dxa"/>
            <w:vAlign w:val="center"/>
          </w:tcPr>
          <w:p w14:paraId="4857F5E0"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 xml:space="preserve">Female </w:t>
            </w:r>
          </w:p>
        </w:tc>
        <w:tc>
          <w:tcPr>
            <w:tcW w:w="1530" w:type="dxa"/>
            <w:vAlign w:val="center"/>
          </w:tcPr>
          <w:p w14:paraId="71807C3F"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10</w:t>
            </w:r>
          </w:p>
        </w:tc>
        <w:tc>
          <w:tcPr>
            <w:tcW w:w="1980" w:type="dxa"/>
            <w:vAlign w:val="center"/>
          </w:tcPr>
          <w:p w14:paraId="692B6FF9"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RTA</w:t>
            </w:r>
          </w:p>
        </w:tc>
        <w:tc>
          <w:tcPr>
            <w:tcW w:w="1911" w:type="dxa"/>
            <w:vAlign w:val="center"/>
          </w:tcPr>
          <w:p w14:paraId="4273A3A9"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10</w:t>
            </w:r>
          </w:p>
        </w:tc>
      </w:tr>
      <w:tr w:rsidR="00934ED5" w:rsidRPr="00DF549C" w14:paraId="200B0017" w14:textId="77777777" w:rsidTr="00FF7014">
        <w:tc>
          <w:tcPr>
            <w:tcW w:w="631" w:type="dxa"/>
            <w:vAlign w:val="center"/>
          </w:tcPr>
          <w:p w14:paraId="4A8AD191"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A5</w:t>
            </w:r>
          </w:p>
        </w:tc>
        <w:tc>
          <w:tcPr>
            <w:tcW w:w="804" w:type="dxa"/>
            <w:vAlign w:val="center"/>
          </w:tcPr>
          <w:p w14:paraId="4A9675E7"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3yr</w:t>
            </w:r>
          </w:p>
        </w:tc>
        <w:tc>
          <w:tcPr>
            <w:tcW w:w="900" w:type="dxa"/>
            <w:vAlign w:val="center"/>
          </w:tcPr>
          <w:p w14:paraId="0935EAAD"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ND</w:t>
            </w:r>
          </w:p>
        </w:tc>
        <w:tc>
          <w:tcPr>
            <w:tcW w:w="1260" w:type="dxa"/>
            <w:vAlign w:val="center"/>
          </w:tcPr>
          <w:p w14:paraId="74789475"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 xml:space="preserve">Male </w:t>
            </w:r>
          </w:p>
        </w:tc>
        <w:tc>
          <w:tcPr>
            <w:tcW w:w="1530" w:type="dxa"/>
            <w:vAlign w:val="center"/>
          </w:tcPr>
          <w:p w14:paraId="50E453C0"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14.5</w:t>
            </w:r>
          </w:p>
        </w:tc>
        <w:tc>
          <w:tcPr>
            <w:tcW w:w="1980" w:type="dxa"/>
            <w:vAlign w:val="center"/>
          </w:tcPr>
          <w:p w14:paraId="626DC158"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RTA</w:t>
            </w:r>
          </w:p>
        </w:tc>
        <w:tc>
          <w:tcPr>
            <w:tcW w:w="1911" w:type="dxa"/>
            <w:vAlign w:val="center"/>
          </w:tcPr>
          <w:p w14:paraId="279F2995"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28</w:t>
            </w:r>
          </w:p>
        </w:tc>
      </w:tr>
      <w:tr w:rsidR="00934ED5" w:rsidRPr="00DF549C" w14:paraId="11C8BD58" w14:textId="77777777" w:rsidTr="00FF7014">
        <w:tc>
          <w:tcPr>
            <w:tcW w:w="631" w:type="dxa"/>
            <w:vAlign w:val="center"/>
          </w:tcPr>
          <w:p w14:paraId="610F265B"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A6</w:t>
            </w:r>
          </w:p>
        </w:tc>
        <w:tc>
          <w:tcPr>
            <w:tcW w:w="804" w:type="dxa"/>
            <w:vAlign w:val="center"/>
          </w:tcPr>
          <w:p w14:paraId="1D3F4D26"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7m</w:t>
            </w:r>
          </w:p>
        </w:tc>
        <w:tc>
          <w:tcPr>
            <w:tcW w:w="900" w:type="dxa"/>
            <w:vAlign w:val="center"/>
          </w:tcPr>
          <w:p w14:paraId="207F6759"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ND</w:t>
            </w:r>
          </w:p>
        </w:tc>
        <w:tc>
          <w:tcPr>
            <w:tcW w:w="1260" w:type="dxa"/>
            <w:vAlign w:val="center"/>
          </w:tcPr>
          <w:p w14:paraId="52AC922E"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 xml:space="preserve">Male </w:t>
            </w:r>
          </w:p>
        </w:tc>
        <w:tc>
          <w:tcPr>
            <w:tcW w:w="1530" w:type="dxa"/>
            <w:vAlign w:val="center"/>
          </w:tcPr>
          <w:p w14:paraId="4170C82D"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24.2</w:t>
            </w:r>
          </w:p>
        </w:tc>
        <w:tc>
          <w:tcPr>
            <w:tcW w:w="1980" w:type="dxa"/>
            <w:vAlign w:val="center"/>
          </w:tcPr>
          <w:p w14:paraId="1EBC3B8B"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RTA</w:t>
            </w:r>
          </w:p>
        </w:tc>
        <w:tc>
          <w:tcPr>
            <w:tcW w:w="1911" w:type="dxa"/>
            <w:vAlign w:val="center"/>
          </w:tcPr>
          <w:p w14:paraId="36450B21" w14:textId="77777777" w:rsidR="00934ED5" w:rsidRPr="00DF549C" w:rsidRDefault="00934ED5" w:rsidP="00DF549C">
            <w:pPr>
              <w:spacing w:line="360" w:lineRule="auto"/>
              <w:jc w:val="both"/>
              <w:rPr>
                <w:rFonts w:ascii="Arial" w:hAnsi="Arial" w:cs="Arial"/>
                <w:sz w:val="20"/>
                <w:szCs w:val="20"/>
              </w:rPr>
            </w:pPr>
            <w:r w:rsidRPr="00DF549C">
              <w:rPr>
                <w:rFonts w:ascii="Arial" w:hAnsi="Arial" w:cs="Arial"/>
                <w:sz w:val="20"/>
                <w:szCs w:val="20"/>
              </w:rPr>
              <w:t>12</w:t>
            </w:r>
          </w:p>
        </w:tc>
      </w:tr>
      <w:bookmarkEnd w:id="1"/>
    </w:tbl>
    <w:p w14:paraId="1806C392" w14:textId="77777777" w:rsidR="00FF7014" w:rsidRPr="00DF549C" w:rsidRDefault="00FF7014" w:rsidP="00DF549C">
      <w:pPr>
        <w:spacing w:line="360" w:lineRule="auto"/>
        <w:jc w:val="both"/>
        <w:rPr>
          <w:rFonts w:ascii="Arial" w:hAnsi="Arial" w:cs="Arial"/>
          <w:b/>
          <w:bCs/>
          <w:sz w:val="20"/>
          <w:szCs w:val="20"/>
        </w:rPr>
      </w:pPr>
    </w:p>
    <w:p w14:paraId="4714F012" w14:textId="07671113" w:rsidR="003D0AD5" w:rsidRPr="00DF549C" w:rsidRDefault="00415C21" w:rsidP="00DF549C">
      <w:pPr>
        <w:spacing w:line="360" w:lineRule="auto"/>
        <w:ind w:firstLine="720"/>
        <w:jc w:val="both"/>
        <w:rPr>
          <w:rFonts w:ascii="Arial" w:hAnsi="Arial" w:cs="Arial"/>
          <w:b/>
          <w:bCs/>
          <w:sz w:val="20"/>
          <w:szCs w:val="20"/>
        </w:rPr>
      </w:pPr>
      <w:r w:rsidRPr="00DF549C">
        <w:rPr>
          <w:rFonts w:ascii="Arial" w:hAnsi="Arial" w:cs="Arial"/>
          <w:b/>
          <w:bCs/>
          <w:sz w:val="20"/>
          <w:szCs w:val="20"/>
        </w:rPr>
        <w:t>Table 2.</w:t>
      </w:r>
      <w:r w:rsidR="0014115A" w:rsidRPr="00DF549C">
        <w:rPr>
          <w:rFonts w:ascii="Arial" w:hAnsi="Arial" w:cs="Arial"/>
          <w:b/>
          <w:bCs/>
          <w:sz w:val="20"/>
          <w:szCs w:val="20"/>
        </w:rPr>
        <w:t xml:space="preserve"> </w:t>
      </w:r>
      <w:r w:rsidR="003D0AD5" w:rsidRPr="00DF549C">
        <w:rPr>
          <w:rFonts w:ascii="Arial" w:hAnsi="Arial" w:cs="Arial"/>
          <w:b/>
          <w:bCs/>
          <w:sz w:val="20"/>
          <w:szCs w:val="20"/>
        </w:rPr>
        <w:t xml:space="preserve">Configuration of femur fractures of dogs in </w:t>
      </w:r>
      <w:r w:rsidR="00E62E21" w:rsidRPr="00DF549C">
        <w:rPr>
          <w:rFonts w:ascii="Arial" w:hAnsi="Arial" w:cs="Arial"/>
          <w:b/>
          <w:bCs/>
          <w:sz w:val="20"/>
          <w:szCs w:val="20"/>
        </w:rPr>
        <w:t>the study g</w:t>
      </w:r>
      <w:r w:rsidR="003D0AD5" w:rsidRPr="00DF549C">
        <w:rPr>
          <w:rFonts w:ascii="Arial" w:hAnsi="Arial" w:cs="Arial"/>
          <w:b/>
          <w:bCs/>
          <w:sz w:val="20"/>
          <w:szCs w:val="20"/>
        </w:rPr>
        <w:t xml:space="preserve">roup </w:t>
      </w:r>
    </w:p>
    <w:tbl>
      <w:tblPr>
        <w:tblStyle w:val="TableGrid"/>
        <w:tblW w:w="0" w:type="auto"/>
        <w:tblLayout w:type="fixed"/>
        <w:tblLook w:val="04A0" w:firstRow="1" w:lastRow="0" w:firstColumn="1" w:lastColumn="0" w:noHBand="0" w:noVBand="1"/>
      </w:tblPr>
      <w:tblGrid>
        <w:gridCol w:w="715"/>
        <w:gridCol w:w="990"/>
        <w:gridCol w:w="1080"/>
        <w:gridCol w:w="1260"/>
        <w:gridCol w:w="1440"/>
        <w:gridCol w:w="1080"/>
        <w:gridCol w:w="1260"/>
        <w:gridCol w:w="1191"/>
      </w:tblGrid>
      <w:tr w:rsidR="00FF7014" w:rsidRPr="00DF549C" w14:paraId="2E3991F2" w14:textId="77777777" w:rsidTr="00763520">
        <w:tc>
          <w:tcPr>
            <w:tcW w:w="715" w:type="dxa"/>
            <w:vAlign w:val="center"/>
          </w:tcPr>
          <w:p w14:paraId="094AD02A" w14:textId="77777777" w:rsidR="003D0AD5" w:rsidRPr="00DF549C" w:rsidRDefault="003D0AD5" w:rsidP="00DF549C">
            <w:pPr>
              <w:spacing w:line="360" w:lineRule="auto"/>
              <w:jc w:val="both"/>
              <w:rPr>
                <w:rFonts w:ascii="Arial" w:hAnsi="Arial" w:cs="Arial"/>
                <w:b/>
                <w:bCs/>
                <w:sz w:val="20"/>
                <w:szCs w:val="20"/>
              </w:rPr>
            </w:pPr>
            <w:r w:rsidRPr="00DF549C">
              <w:rPr>
                <w:rFonts w:ascii="Arial" w:hAnsi="Arial" w:cs="Arial"/>
                <w:b/>
                <w:bCs/>
                <w:sz w:val="20"/>
                <w:szCs w:val="20"/>
              </w:rPr>
              <w:t>Dog</w:t>
            </w:r>
          </w:p>
        </w:tc>
        <w:tc>
          <w:tcPr>
            <w:tcW w:w="990" w:type="dxa"/>
            <w:vAlign w:val="center"/>
          </w:tcPr>
          <w:p w14:paraId="72A13A4D" w14:textId="77634DDC" w:rsidR="003D0AD5" w:rsidRPr="00DF549C" w:rsidRDefault="003D0AD5" w:rsidP="00DF549C">
            <w:pPr>
              <w:spacing w:line="360" w:lineRule="auto"/>
              <w:jc w:val="both"/>
              <w:rPr>
                <w:rFonts w:ascii="Arial" w:hAnsi="Arial" w:cs="Arial"/>
                <w:b/>
                <w:bCs/>
                <w:sz w:val="20"/>
                <w:szCs w:val="20"/>
              </w:rPr>
            </w:pPr>
            <w:r w:rsidRPr="00DF549C">
              <w:rPr>
                <w:rFonts w:ascii="Arial" w:hAnsi="Arial" w:cs="Arial"/>
                <w:b/>
                <w:bCs/>
                <w:sz w:val="20"/>
                <w:szCs w:val="20"/>
              </w:rPr>
              <w:t xml:space="preserve">Nature </w:t>
            </w:r>
          </w:p>
        </w:tc>
        <w:tc>
          <w:tcPr>
            <w:tcW w:w="1080" w:type="dxa"/>
            <w:vAlign w:val="center"/>
          </w:tcPr>
          <w:p w14:paraId="2E46961B" w14:textId="77777777" w:rsidR="003D0AD5" w:rsidRPr="00DF549C" w:rsidRDefault="003D0AD5" w:rsidP="00DF549C">
            <w:pPr>
              <w:spacing w:line="360" w:lineRule="auto"/>
              <w:jc w:val="both"/>
              <w:rPr>
                <w:rFonts w:ascii="Arial" w:hAnsi="Arial" w:cs="Arial"/>
                <w:b/>
                <w:bCs/>
                <w:sz w:val="20"/>
                <w:szCs w:val="20"/>
              </w:rPr>
            </w:pPr>
            <w:r w:rsidRPr="00DF549C">
              <w:rPr>
                <w:rFonts w:ascii="Arial" w:hAnsi="Arial" w:cs="Arial"/>
                <w:b/>
                <w:bCs/>
                <w:sz w:val="20"/>
                <w:szCs w:val="20"/>
              </w:rPr>
              <w:t xml:space="preserve">Severity </w:t>
            </w:r>
          </w:p>
        </w:tc>
        <w:tc>
          <w:tcPr>
            <w:tcW w:w="1260" w:type="dxa"/>
            <w:vAlign w:val="center"/>
          </w:tcPr>
          <w:p w14:paraId="64F966A5" w14:textId="7CE7D25F" w:rsidR="003D0AD5" w:rsidRPr="00DF549C" w:rsidRDefault="003D0AD5" w:rsidP="00DF549C">
            <w:pPr>
              <w:spacing w:line="360" w:lineRule="auto"/>
              <w:jc w:val="both"/>
              <w:rPr>
                <w:rFonts w:ascii="Arial" w:hAnsi="Arial" w:cs="Arial"/>
                <w:b/>
                <w:bCs/>
                <w:sz w:val="20"/>
                <w:szCs w:val="20"/>
              </w:rPr>
            </w:pPr>
            <w:r w:rsidRPr="00DF549C">
              <w:rPr>
                <w:rFonts w:ascii="Arial" w:hAnsi="Arial" w:cs="Arial"/>
                <w:b/>
                <w:bCs/>
                <w:sz w:val="20"/>
                <w:szCs w:val="20"/>
              </w:rPr>
              <w:t>Diaphysi</w:t>
            </w:r>
            <w:r w:rsidR="00763520" w:rsidRPr="00DF549C">
              <w:rPr>
                <w:rFonts w:ascii="Arial" w:hAnsi="Arial" w:cs="Arial"/>
                <w:b/>
                <w:bCs/>
                <w:sz w:val="20"/>
                <w:szCs w:val="20"/>
              </w:rPr>
              <w:t xml:space="preserve">s </w:t>
            </w:r>
            <w:r w:rsidRPr="00DF549C">
              <w:rPr>
                <w:rFonts w:ascii="Arial" w:hAnsi="Arial" w:cs="Arial"/>
                <w:b/>
                <w:bCs/>
                <w:sz w:val="20"/>
                <w:szCs w:val="20"/>
              </w:rPr>
              <w:t>involved</w:t>
            </w:r>
          </w:p>
        </w:tc>
        <w:tc>
          <w:tcPr>
            <w:tcW w:w="1440" w:type="dxa"/>
            <w:vAlign w:val="center"/>
          </w:tcPr>
          <w:p w14:paraId="4EE3A3CE" w14:textId="77777777" w:rsidR="003D0AD5" w:rsidRPr="00DF549C" w:rsidRDefault="003D0AD5" w:rsidP="00DF549C">
            <w:pPr>
              <w:spacing w:line="360" w:lineRule="auto"/>
              <w:jc w:val="both"/>
              <w:rPr>
                <w:rFonts w:ascii="Arial" w:hAnsi="Arial" w:cs="Arial"/>
                <w:b/>
                <w:bCs/>
                <w:sz w:val="20"/>
                <w:szCs w:val="20"/>
              </w:rPr>
            </w:pPr>
            <w:r w:rsidRPr="00DF549C">
              <w:rPr>
                <w:rFonts w:ascii="Arial" w:hAnsi="Arial" w:cs="Arial"/>
                <w:b/>
                <w:bCs/>
                <w:sz w:val="20"/>
                <w:szCs w:val="20"/>
              </w:rPr>
              <w:t xml:space="preserve">Orientation/complexity </w:t>
            </w:r>
          </w:p>
        </w:tc>
        <w:tc>
          <w:tcPr>
            <w:tcW w:w="1080" w:type="dxa"/>
            <w:vAlign w:val="center"/>
          </w:tcPr>
          <w:p w14:paraId="0E0FE3D7" w14:textId="77777777" w:rsidR="003D0AD5" w:rsidRPr="00DF549C" w:rsidRDefault="003D0AD5" w:rsidP="00DF549C">
            <w:pPr>
              <w:spacing w:line="360" w:lineRule="auto"/>
              <w:jc w:val="both"/>
              <w:rPr>
                <w:rFonts w:ascii="Arial" w:hAnsi="Arial" w:cs="Arial"/>
                <w:b/>
                <w:bCs/>
                <w:sz w:val="20"/>
                <w:szCs w:val="20"/>
              </w:rPr>
            </w:pPr>
            <w:r w:rsidRPr="00DF549C">
              <w:rPr>
                <w:rFonts w:ascii="Arial" w:hAnsi="Arial" w:cs="Arial"/>
                <w:b/>
                <w:bCs/>
                <w:sz w:val="20"/>
                <w:szCs w:val="20"/>
              </w:rPr>
              <w:t>Unger’s class</w:t>
            </w:r>
          </w:p>
        </w:tc>
        <w:tc>
          <w:tcPr>
            <w:tcW w:w="1260" w:type="dxa"/>
            <w:vAlign w:val="center"/>
          </w:tcPr>
          <w:p w14:paraId="12A465F5" w14:textId="662AFB1C" w:rsidR="003D0AD5" w:rsidRPr="00DF549C" w:rsidRDefault="003D0AD5" w:rsidP="00DF549C">
            <w:pPr>
              <w:spacing w:line="360" w:lineRule="auto"/>
              <w:jc w:val="both"/>
              <w:rPr>
                <w:rFonts w:ascii="Arial" w:hAnsi="Arial" w:cs="Arial"/>
                <w:b/>
                <w:bCs/>
                <w:sz w:val="20"/>
                <w:szCs w:val="20"/>
              </w:rPr>
            </w:pPr>
            <w:r w:rsidRPr="00DF549C">
              <w:rPr>
                <w:rFonts w:ascii="Arial" w:hAnsi="Arial" w:cs="Arial"/>
                <w:b/>
                <w:bCs/>
                <w:sz w:val="20"/>
                <w:szCs w:val="20"/>
              </w:rPr>
              <w:t>N</w:t>
            </w:r>
            <w:r w:rsidR="00763520" w:rsidRPr="00DF549C">
              <w:rPr>
                <w:rFonts w:ascii="Arial" w:hAnsi="Arial" w:cs="Arial"/>
                <w:b/>
                <w:bCs/>
                <w:sz w:val="20"/>
                <w:szCs w:val="20"/>
              </w:rPr>
              <w:t xml:space="preserve">umber </w:t>
            </w:r>
            <w:r w:rsidRPr="00DF549C">
              <w:rPr>
                <w:rFonts w:ascii="Arial" w:hAnsi="Arial" w:cs="Arial"/>
                <w:b/>
                <w:bCs/>
                <w:sz w:val="20"/>
                <w:szCs w:val="20"/>
              </w:rPr>
              <w:t xml:space="preserve">of fragments </w:t>
            </w:r>
          </w:p>
        </w:tc>
        <w:tc>
          <w:tcPr>
            <w:tcW w:w="1191" w:type="dxa"/>
            <w:vAlign w:val="center"/>
          </w:tcPr>
          <w:p w14:paraId="47E819FB" w14:textId="0C31BCA5" w:rsidR="003D0AD5" w:rsidRPr="00DF549C" w:rsidRDefault="003D0AD5" w:rsidP="00DF549C">
            <w:pPr>
              <w:spacing w:line="360" w:lineRule="auto"/>
              <w:jc w:val="both"/>
              <w:rPr>
                <w:rFonts w:ascii="Arial" w:hAnsi="Arial" w:cs="Arial"/>
                <w:b/>
                <w:bCs/>
                <w:sz w:val="20"/>
                <w:szCs w:val="20"/>
              </w:rPr>
            </w:pPr>
            <w:proofErr w:type="spellStart"/>
            <w:r w:rsidRPr="00DF549C">
              <w:rPr>
                <w:rFonts w:ascii="Arial" w:hAnsi="Arial" w:cs="Arial"/>
                <w:b/>
                <w:bCs/>
                <w:sz w:val="20"/>
                <w:szCs w:val="20"/>
              </w:rPr>
              <w:t>Intrame</w:t>
            </w:r>
            <w:r w:rsidR="00763520" w:rsidRPr="00DF549C">
              <w:rPr>
                <w:rFonts w:ascii="Arial" w:hAnsi="Arial" w:cs="Arial"/>
                <w:b/>
                <w:bCs/>
                <w:sz w:val="20"/>
                <w:szCs w:val="20"/>
              </w:rPr>
              <w:t>-</w:t>
            </w:r>
            <w:r w:rsidRPr="00DF549C">
              <w:rPr>
                <w:rFonts w:ascii="Arial" w:hAnsi="Arial" w:cs="Arial"/>
                <w:b/>
                <w:bCs/>
                <w:sz w:val="20"/>
                <w:szCs w:val="20"/>
              </w:rPr>
              <w:t>dullary</w:t>
            </w:r>
            <w:proofErr w:type="spellEnd"/>
            <w:r w:rsidRPr="00DF549C">
              <w:rPr>
                <w:rFonts w:ascii="Arial" w:hAnsi="Arial" w:cs="Arial"/>
                <w:b/>
                <w:bCs/>
                <w:sz w:val="20"/>
                <w:szCs w:val="20"/>
              </w:rPr>
              <w:t xml:space="preserve"> diameter (mm)</w:t>
            </w:r>
          </w:p>
        </w:tc>
      </w:tr>
      <w:tr w:rsidR="00FF7014" w:rsidRPr="00DF549C" w14:paraId="5AF43D08" w14:textId="77777777" w:rsidTr="00763520">
        <w:tc>
          <w:tcPr>
            <w:tcW w:w="715" w:type="dxa"/>
            <w:vAlign w:val="center"/>
          </w:tcPr>
          <w:p w14:paraId="71A0A9A2"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A1</w:t>
            </w:r>
          </w:p>
        </w:tc>
        <w:tc>
          <w:tcPr>
            <w:tcW w:w="990" w:type="dxa"/>
            <w:vAlign w:val="center"/>
          </w:tcPr>
          <w:p w14:paraId="3B9898F3"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Closed </w:t>
            </w:r>
          </w:p>
        </w:tc>
        <w:tc>
          <w:tcPr>
            <w:tcW w:w="1080" w:type="dxa"/>
            <w:vAlign w:val="center"/>
          </w:tcPr>
          <w:p w14:paraId="683067BC"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Wedge </w:t>
            </w:r>
          </w:p>
        </w:tc>
        <w:tc>
          <w:tcPr>
            <w:tcW w:w="1260" w:type="dxa"/>
            <w:vAlign w:val="center"/>
          </w:tcPr>
          <w:p w14:paraId="24087FC0"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Mid </w:t>
            </w:r>
          </w:p>
        </w:tc>
        <w:tc>
          <w:tcPr>
            <w:tcW w:w="1440" w:type="dxa"/>
            <w:vAlign w:val="center"/>
          </w:tcPr>
          <w:p w14:paraId="7519A42A"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Several reducible wedge </w:t>
            </w:r>
          </w:p>
        </w:tc>
        <w:tc>
          <w:tcPr>
            <w:tcW w:w="1080" w:type="dxa"/>
            <w:vAlign w:val="center"/>
          </w:tcPr>
          <w:p w14:paraId="73BBE108"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32B2</w:t>
            </w:r>
          </w:p>
        </w:tc>
        <w:tc>
          <w:tcPr>
            <w:tcW w:w="1260" w:type="dxa"/>
            <w:vAlign w:val="center"/>
          </w:tcPr>
          <w:p w14:paraId="09B4E0D4"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4</w:t>
            </w:r>
          </w:p>
        </w:tc>
        <w:tc>
          <w:tcPr>
            <w:tcW w:w="1191" w:type="dxa"/>
            <w:vAlign w:val="center"/>
          </w:tcPr>
          <w:p w14:paraId="7B21CE4C"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8.1</w:t>
            </w:r>
          </w:p>
        </w:tc>
      </w:tr>
      <w:tr w:rsidR="00FF7014" w:rsidRPr="00DF549C" w14:paraId="78474A5A" w14:textId="77777777" w:rsidTr="00763520">
        <w:tc>
          <w:tcPr>
            <w:tcW w:w="715" w:type="dxa"/>
            <w:vAlign w:val="center"/>
          </w:tcPr>
          <w:p w14:paraId="66D64CD2"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A2</w:t>
            </w:r>
          </w:p>
        </w:tc>
        <w:tc>
          <w:tcPr>
            <w:tcW w:w="990" w:type="dxa"/>
            <w:vAlign w:val="center"/>
          </w:tcPr>
          <w:p w14:paraId="464E0A3A"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Closed </w:t>
            </w:r>
          </w:p>
        </w:tc>
        <w:tc>
          <w:tcPr>
            <w:tcW w:w="1080" w:type="dxa"/>
            <w:vAlign w:val="center"/>
          </w:tcPr>
          <w:p w14:paraId="3AEB292A"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Wedge</w:t>
            </w:r>
          </w:p>
        </w:tc>
        <w:tc>
          <w:tcPr>
            <w:tcW w:w="1260" w:type="dxa"/>
            <w:vAlign w:val="center"/>
          </w:tcPr>
          <w:p w14:paraId="6A96FEC8"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Mid</w:t>
            </w:r>
          </w:p>
        </w:tc>
        <w:tc>
          <w:tcPr>
            <w:tcW w:w="1440" w:type="dxa"/>
            <w:vAlign w:val="center"/>
          </w:tcPr>
          <w:p w14:paraId="739D4BF4" w14:textId="77777777" w:rsidR="00763520"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Non</w:t>
            </w:r>
          </w:p>
          <w:p w14:paraId="3DB92648" w14:textId="17820F9A"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reducible wedges </w:t>
            </w:r>
          </w:p>
        </w:tc>
        <w:tc>
          <w:tcPr>
            <w:tcW w:w="1080" w:type="dxa"/>
            <w:vAlign w:val="center"/>
          </w:tcPr>
          <w:p w14:paraId="02FE7A04"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32B3</w:t>
            </w:r>
          </w:p>
        </w:tc>
        <w:tc>
          <w:tcPr>
            <w:tcW w:w="1260" w:type="dxa"/>
            <w:vAlign w:val="center"/>
          </w:tcPr>
          <w:p w14:paraId="779BA778"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4</w:t>
            </w:r>
          </w:p>
        </w:tc>
        <w:tc>
          <w:tcPr>
            <w:tcW w:w="1191" w:type="dxa"/>
            <w:vAlign w:val="center"/>
          </w:tcPr>
          <w:p w14:paraId="29749365"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9</w:t>
            </w:r>
          </w:p>
        </w:tc>
      </w:tr>
      <w:tr w:rsidR="00FF7014" w:rsidRPr="00DF549C" w14:paraId="068DA832" w14:textId="77777777" w:rsidTr="00763520">
        <w:tc>
          <w:tcPr>
            <w:tcW w:w="715" w:type="dxa"/>
            <w:vAlign w:val="center"/>
          </w:tcPr>
          <w:p w14:paraId="61FC5588"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A3</w:t>
            </w:r>
          </w:p>
        </w:tc>
        <w:tc>
          <w:tcPr>
            <w:tcW w:w="990" w:type="dxa"/>
            <w:vAlign w:val="center"/>
          </w:tcPr>
          <w:p w14:paraId="286A1F8B"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Closed </w:t>
            </w:r>
          </w:p>
        </w:tc>
        <w:tc>
          <w:tcPr>
            <w:tcW w:w="1080" w:type="dxa"/>
            <w:vAlign w:val="center"/>
          </w:tcPr>
          <w:p w14:paraId="0A48E8DF"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Wedge</w:t>
            </w:r>
          </w:p>
        </w:tc>
        <w:tc>
          <w:tcPr>
            <w:tcW w:w="1260" w:type="dxa"/>
            <w:vAlign w:val="center"/>
          </w:tcPr>
          <w:p w14:paraId="2A1A7088"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Mid</w:t>
            </w:r>
          </w:p>
        </w:tc>
        <w:tc>
          <w:tcPr>
            <w:tcW w:w="1440" w:type="dxa"/>
            <w:vAlign w:val="center"/>
          </w:tcPr>
          <w:p w14:paraId="535BC9C0"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Reducible wedge </w:t>
            </w:r>
          </w:p>
        </w:tc>
        <w:tc>
          <w:tcPr>
            <w:tcW w:w="1080" w:type="dxa"/>
            <w:vAlign w:val="center"/>
          </w:tcPr>
          <w:p w14:paraId="0357BB5F"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32B1</w:t>
            </w:r>
          </w:p>
        </w:tc>
        <w:tc>
          <w:tcPr>
            <w:tcW w:w="1260" w:type="dxa"/>
            <w:vAlign w:val="center"/>
          </w:tcPr>
          <w:p w14:paraId="57BBDF36"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3</w:t>
            </w:r>
          </w:p>
        </w:tc>
        <w:tc>
          <w:tcPr>
            <w:tcW w:w="1191" w:type="dxa"/>
            <w:vAlign w:val="center"/>
          </w:tcPr>
          <w:p w14:paraId="5D6F0131"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7</w:t>
            </w:r>
          </w:p>
        </w:tc>
      </w:tr>
      <w:tr w:rsidR="00FF7014" w:rsidRPr="00DF549C" w14:paraId="6965D7E4" w14:textId="77777777" w:rsidTr="00763520">
        <w:tc>
          <w:tcPr>
            <w:tcW w:w="715" w:type="dxa"/>
            <w:vAlign w:val="center"/>
          </w:tcPr>
          <w:p w14:paraId="037A2F27"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A4</w:t>
            </w:r>
          </w:p>
        </w:tc>
        <w:tc>
          <w:tcPr>
            <w:tcW w:w="990" w:type="dxa"/>
            <w:vAlign w:val="center"/>
          </w:tcPr>
          <w:p w14:paraId="016FAC5C"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Closed </w:t>
            </w:r>
          </w:p>
        </w:tc>
        <w:tc>
          <w:tcPr>
            <w:tcW w:w="1080" w:type="dxa"/>
            <w:vAlign w:val="center"/>
          </w:tcPr>
          <w:p w14:paraId="3433F9F3"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Wedge</w:t>
            </w:r>
          </w:p>
        </w:tc>
        <w:tc>
          <w:tcPr>
            <w:tcW w:w="1260" w:type="dxa"/>
            <w:vAlign w:val="center"/>
          </w:tcPr>
          <w:p w14:paraId="49089F6B"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Mid</w:t>
            </w:r>
          </w:p>
        </w:tc>
        <w:tc>
          <w:tcPr>
            <w:tcW w:w="1440" w:type="dxa"/>
            <w:vAlign w:val="center"/>
          </w:tcPr>
          <w:p w14:paraId="6AD89D6E"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Non reducible wedge </w:t>
            </w:r>
          </w:p>
        </w:tc>
        <w:tc>
          <w:tcPr>
            <w:tcW w:w="1080" w:type="dxa"/>
            <w:vAlign w:val="center"/>
          </w:tcPr>
          <w:p w14:paraId="131C671F"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32B3</w:t>
            </w:r>
          </w:p>
        </w:tc>
        <w:tc>
          <w:tcPr>
            <w:tcW w:w="1260" w:type="dxa"/>
            <w:vAlign w:val="center"/>
          </w:tcPr>
          <w:p w14:paraId="43ACC1F0"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5</w:t>
            </w:r>
          </w:p>
        </w:tc>
        <w:tc>
          <w:tcPr>
            <w:tcW w:w="1191" w:type="dxa"/>
            <w:vAlign w:val="center"/>
          </w:tcPr>
          <w:p w14:paraId="5598FE6F"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6.5</w:t>
            </w:r>
          </w:p>
        </w:tc>
      </w:tr>
      <w:tr w:rsidR="00FF7014" w:rsidRPr="00DF549C" w14:paraId="5304F154" w14:textId="77777777" w:rsidTr="00763520">
        <w:tc>
          <w:tcPr>
            <w:tcW w:w="715" w:type="dxa"/>
            <w:vAlign w:val="center"/>
          </w:tcPr>
          <w:p w14:paraId="0318316E"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A5</w:t>
            </w:r>
          </w:p>
        </w:tc>
        <w:tc>
          <w:tcPr>
            <w:tcW w:w="990" w:type="dxa"/>
            <w:vAlign w:val="center"/>
          </w:tcPr>
          <w:p w14:paraId="522CF624"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Closed </w:t>
            </w:r>
          </w:p>
        </w:tc>
        <w:tc>
          <w:tcPr>
            <w:tcW w:w="1080" w:type="dxa"/>
            <w:vAlign w:val="center"/>
          </w:tcPr>
          <w:p w14:paraId="21EBB13A"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Simple </w:t>
            </w:r>
          </w:p>
        </w:tc>
        <w:tc>
          <w:tcPr>
            <w:tcW w:w="1260" w:type="dxa"/>
            <w:vAlign w:val="center"/>
          </w:tcPr>
          <w:p w14:paraId="69FAC8FF"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Proximal </w:t>
            </w:r>
          </w:p>
        </w:tc>
        <w:tc>
          <w:tcPr>
            <w:tcW w:w="1440" w:type="dxa"/>
            <w:vAlign w:val="center"/>
          </w:tcPr>
          <w:p w14:paraId="54FDD10D"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Oblique </w:t>
            </w:r>
          </w:p>
        </w:tc>
        <w:tc>
          <w:tcPr>
            <w:tcW w:w="1080" w:type="dxa"/>
            <w:vAlign w:val="center"/>
          </w:tcPr>
          <w:p w14:paraId="2849C793"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32A2</w:t>
            </w:r>
          </w:p>
        </w:tc>
        <w:tc>
          <w:tcPr>
            <w:tcW w:w="1260" w:type="dxa"/>
            <w:vAlign w:val="center"/>
          </w:tcPr>
          <w:p w14:paraId="317A22CD"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2</w:t>
            </w:r>
          </w:p>
        </w:tc>
        <w:tc>
          <w:tcPr>
            <w:tcW w:w="1191" w:type="dxa"/>
            <w:vAlign w:val="center"/>
          </w:tcPr>
          <w:p w14:paraId="3595E87E"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7.8</w:t>
            </w:r>
          </w:p>
        </w:tc>
      </w:tr>
      <w:tr w:rsidR="00FF7014" w:rsidRPr="00DF549C" w14:paraId="51CB2C7D" w14:textId="77777777" w:rsidTr="00763520">
        <w:tc>
          <w:tcPr>
            <w:tcW w:w="715" w:type="dxa"/>
            <w:vAlign w:val="center"/>
          </w:tcPr>
          <w:p w14:paraId="7FAB0F42"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A6</w:t>
            </w:r>
          </w:p>
        </w:tc>
        <w:tc>
          <w:tcPr>
            <w:tcW w:w="990" w:type="dxa"/>
            <w:vAlign w:val="center"/>
          </w:tcPr>
          <w:p w14:paraId="60755ED2"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Closed </w:t>
            </w:r>
          </w:p>
        </w:tc>
        <w:tc>
          <w:tcPr>
            <w:tcW w:w="1080" w:type="dxa"/>
            <w:vAlign w:val="center"/>
          </w:tcPr>
          <w:p w14:paraId="11C38445"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Simple </w:t>
            </w:r>
          </w:p>
        </w:tc>
        <w:tc>
          <w:tcPr>
            <w:tcW w:w="1260" w:type="dxa"/>
            <w:vAlign w:val="center"/>
          </w:tcPr>
          <w:p w14:paraId="14B606B6"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Mid </w:t>
            </w:r>
          </w:p>
        </w:tc>
        <w:tc>
          <w:tcPr>
            <w:tcW w:w="1440" w:type="dxa"/>
            <w:vAlign w:val="center"/>
          </w:tcPr>
          <w:p w14:paraId="262C3E13"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 xml:space="preserve">Oblique </w:t>
            </w:r>
          </w:p>
        </w:tc>
        <w:tc>
          <w:tcPr>
            <w:tcW w:w="1080" w:type="dxa"/>
            <w:vAlign w:val="center"/>
          </w:tcPr>
          <w:p w14:paraId="0A561D19"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32A2</w:t>
            </w:r>
          </w:p>
        </w:tc>
        <w:tc>
          <w:tcPr>
            <w:tcW w:w="1260" w:type="dxa"/>
            <w:vAlign w:val="center"/>
          </w:tcPr>
          <w:p w14:paraId="24A6F26B"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2</w:t>
            </w:r>
          </w:p>
        </w:tc>
        <w:tc>
          <w:tcPr>
            <w:tcW w:w="1191" w:type="dxa"/>
            <w:vAlign w:val="center"/>
          </w:tcPr>
          <w:p w14:paraId="33AEBE66" w14:textId="77777777" w:rsidR="003D0AD5" w:rsidRPr="00DF549C" w:rsidRDefault="003D0AD5" w:rsidP="00DF549C">
            <w:pPr>
              <w:spacing w:line="360" w:lineRule="auto"/>
              <w:jc w:val="both"/>
              <w:rPr>
                <w:rFonts w:ascii="Arial" w:hAnsi="Arial" w:cs="Arial"/>
                <w:sz w:val="20"/>
                <w:szCs w:val="20"/>
              </w:rPr>
            </w:pPr>
            <w:r w:rsidRPr="00DF549C">
              <w:rPr>
                <w:rFonts w:ascii="Arial" w:hAnsi="Arial" w:cs="Arial"/>
                <w:sz w:val="20"/>
                <w:szCs w:val="20"/>
              </w:rPr>
              <w:t>8</w:t>
            </w:r>
          </w:p>
        </w:tc>
      </w:tr>
    </w:tbl>
    <w:p w14:paraId="050D42C8" w14:textId="77777777" w:rsidR="00934ED5" w:rsidRPr="00DF549C" w:rsidRDefault="00934ED5" w:rsidP="00DF549C">
      <w:pPr>
        <w:spacing w:line="360" w:lineRule="auto"/>
        <w:jc w:val="both"/>
        <w:rPr>
          <w:rFonts w:ascii="Arial" w:hAnsi="Arial" w:cs="Arial"/>
          <w:sz w:val="20"/>
          <w:szCs w:val="20"/>
        </w:rPr>
      </w:pPr>
    </w:p>
    <w:p w14:paraId="764CF121" w14:textId="19F9ECFD" w:rsidR="00A3106B" w:rsidRPr="00DF549C" w:rsidRDefault="002F1D47" w:rsidP="00DF549C">
      <w:pPr>
        <w:spacing w:after="0" w:line="360" w:lineRule="auto"/>
        <w:jc w:val="both"/>
        <w:rPr>
          <w:rFonts w:ascii="Arial" w:eastAsia="Times New Roman" w:hAnsi="Arial" w:cs="Arial"/>
          <w:b/>
          <w:bCs/>
          <w:color w:val="000000"/>
          <w:kern w:val="0"/>
          <w:sz w:val="20"/>
          <w:szCs w:val="20"/>
          <w:lang w:eastAsia="en-IN" w:bidi="ar-SA"/>
          <w14:ligatures w14:val="none"/>
        </w:rPr>
      </w:pPr>
      <w:r w:rsidRPr="00DF549C">
        <w:rPr>
          <w:rFonts w:ascii="Arial" w:eastAsia="Times New Roman" w:hAnsi="Arial" w:cs="Arial"/>
          <w:b/>
          <w:bCs/>
          <w:color w:val="000000"/>
          <w:kern w:val="0"/>
          <w:sz w:val="20"/>
          <w:szCs w:val="20"/>
          <w:lang w:eastAsia="en-IN" w:bidi="ar-SA"/>
          <w14:ligatures w14:val="none"/>
        </w:rPr>
        <w:t>Table 3.</w:t>
      </w:r>
      <w:r w:rsidR="00763520" w:rsidRPr="00DF549C">
        <w:rPr>
          <w:rFonts w:ascii="Arial" w:eastAsia="Times New Roman" w:hAnsi="Arial" w:cs="Arial"/>
          <w:b/>
          <w:bCs/>
          <w:color w:val="000000"/>
          <w:kern w:val="0"/>
          <w:sz w:val="20"/>
          <w:szCs w:val="20"/>
          <w:lang w:eastAsia="en-IN" w:bidi="ar-SA"/>
          <w14:ligatures w14:val="none"/>
        </w:rPr>
        <w:t xml:space="preserve"> </w:t>
      </w:r>
      <w:r w:rsidR="0038325F" w:rsidRPr="00DF549C">
        <w:rPr>
          <w:rFonts w:ascii="Arial" w:eastAsia="Times New Roman" w:hAnsi="Arial" w:cs="Arial"/>
          <w:b/>
          <w:bCs/>
          <w:color w:val="000000"/>
          <w:kern w:val="0"/>
          <w:sz w:val="20"/>
          <w:szCs w:val="20"/>
          <w:lang w:eastAsia="en-IN" w:bidi="ar-SA"/>
          <w14:ligatures w14:val="none"/>
        </w:rPr>
        <w:t xml:space="preserve">Dimension and configuration of implants </w:t>
      </w:r>
      <w:r w:rsidR="004F627E" w:rsidRPr="00DF549C">
        <w:rPr>
          <w:rFonts w:ascii="Arial" w:eastAsia="Times New Roman" w:hAnsi="Arial" w:cs="Arial"/>
          <w:b/>
          <w:bCs/>
          <w:color w:val="000000"/>
          <w:kern w:val="0"/>
          <w:sz w:val="20"/>
          <w:szCs w:val="20"/>
          <w:lang w:eastAsia="en-IN" w:bidi="ar-SA"/>
          <w14:ligatures w14:val="none"/>
        </w:rPr>
        <w:t>used</w:t>
      </w:r>
    </w:p>
    <w:tbl>
      <w:tblPr>
        <w:tblW w:w="8995" w:type="dxa"/>
        <w:tblLook w:val="04A0" w:firstRow="1" w:lastRow="0" w:firstColumn="1" w:lastColumn="0" w:noHBand="0" w:noVBand="1"/>
      </w:tblPr>
      <w:tblGrid>
        <w:gridCol w:w="630"/>
        <w:gridCol w:w="1975"/>
        <w:gridCol w:w="1803"/>
        <w:gridCol w:w="1167"/>
        <w:gridCol w:w="1210"/>
        <w:gridCol w:w="960"/>
        <w:gridCol w:w="1250"/>
      </w:tblGrid>
      <w:tr w:rsidR="00BE57A0" w:rsidRPr="00DF549C" w14:paraId="55E5EA96" w14:textId="77777777" w:rsidTr="000F139E">
        <w:trPr>
          <w:trHeight w:val="1152"/>
        </w:trPr>
        <w:tc>
          <w:tcPr>
            <w:tcW w:w="630" w:type="dxa"/>
            <w:vMerge w:val="restart"/>
            <w:tcBorders>
              <w:top w:val="single" w:sz="4" w:space="0" w:color="auto"/>
              <w:left w:val="single" w:sz="4" w:space="0" w:color="auto"/>
              <w:bottom w:val="single" w:sz="4" w:space="0" w:color="000000"/>
              <w:right w:val="single" w:sz="4" w:space="0" w:color="auto"/>
            </w:tcBorders>
            <w:noWrap/>
            <w:vAlign w:val="center"/>
            <w:hideMark/>
          </w:tcPr>
          <w:p w14:paraId="3E15170F"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r w:rsidRPr="00DF549C">
              <w:rPr>
                <w:rFonts w:ascii="Arial" w:eastAsia="Times New Roman" w:hAnsi="Arial" w:cs="Arial"/>
                <w:b/>
                <w:bCs/>
                <w:color w:val="000000"/>
                <w:kern w:val="0"/>
                <w:sz w:val="20"/>
                <w:szCs w:val="20"/>
                <w:lang w:eastAsia="en-IN" w:bidi="ar-SA"/>
                <w14:ligatures w14:val="none"/>
              </w:rPr>
              <w:lastRenderedPageBreak/>
              <w:t>Dog</w:t>
            </w:r>
          </w:p>
        </w:tc>
        <w:tc>
          <w:tcPr>
            <w:tcW w:w="1975" w:type="dxa"/>
            <w:vMerge w:val="restart"/>
            <w:tcBorders>
              <w:top w:val="single" w:sz="4" w:space="0" w:color="auto"/>
              <w:left w:val="single" w:sz="4" w:space="0" w:color="auto"/>
              <w:bottom w:val="single" w:sz="4" w:space="0" w:color="000000"/>
              <w:right w:val="single" w:sz="4" w:space="0" w:color="auto"/>
            </w:tcBorders>
            <w:vAlign w:val="center"/>
            <w:hideMark/>
          </w:tcPr>
          <w:p w14:paraId="4A226035" w14:textId="6B51A14C"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r w:rsidRPr="00DF549C">
              <w:rPr>
                <w:rFonts w:ascii="Arial" w:eastAsia="Times New Roman" w:hAnsi="Arial" w:cs="Arial"/>
                <w:b/>
                <w:bCs/>
                <w:color w:val="000000"/>
                <w:kern w:val="0"/>
                <w:sz w:val="20"/>
                <w:szCs w:val="20"/>
                <w:lang w:eastAsia="en-IN" w:bidi="ar-SA"/>
                <w14:ligatures w14:val="none"/>
              </w:rPr>
              <w:t xml:space="preserve">Dimension of LCP plate used </w:t>
            </w:r>
          </w:p>
        </w:tc>
        <w:tc>
          <w:tcPr>
            <w:tcW w:w="1803" w:type="dxa"/>
            <w:vMerge w:val="restart"/>
            <w:tcBorders>
              <w:top w:val="single" w:sz="4" w:space="0" w:color="auto"/>
              <w:left w:val="single" w:sz="4" w:space="0" w:color="auto"/>
              <w:bottom w:val="single" w:sz="4" w:space="0" w:color="000000"/>
              <w:right w:val="single" w:sz="4" w:space="0" w:color="auto"/>
            </w:tcBorders>
            <w:vAlign w:val="center"/>
            <w:hideMark/>
          </w:tcPr>
          <w:p w14:paraId="23D1AF37" w14:textId="0348E71F"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r w:rsidRPr="00DF549C">
              <w:rPr>
                <w:rFonts w:ascii="Arial" w:eastAsia="Times New Roman" w:hAnsi="Arial" w:cs="Arial"/>
                <w:b/>
                <w:bCs/>
                <w:color w:val="000000"/>
                <w:kern w:val="0"/>
                <w:sz w:val="20"/>
                <w:szCs w:val="20"/>
                <w:lang w:eastAsia="en-IN" w:bidi="ar-SA"/>
                <w14:ligatures w14:val="none"/>
              </w:rPr>
              <w:t>Intramedullary rod</w:t>
            </w:r>
            <w:r w:rsidR="0009646A" w:rsidRPr="00DF549C">
              <w:rPr>
                <w:rFonts w:ascii="Arial" w:eastAsia="Times New Roman" w:hAnsi="Arial" w:cs="Arial"/>
                <w:b/>
                <w:bCs/>
                <w:color w:val="000000"/>
                <w:kern w:val="0"/>
                <w:sz w:val="20"/>
                <w:szCs w:val="20"/>
                <w:lang w:eastAsia="en-IN" w:bidi="ar-SA"/>
                <w14:ligatures w14:val="none"/>
              </w:rPr>
              <w:t xml:space="preserve"> </w:t>
            </w:r>
            <w:r w:rsidR="00817ED5" w:rsidRPr="00DF549C">
              <w:rPr>
                <w:rFonts w:ascii="Arial" w:eastAsia="Times New Roman" w:hAnsi="Arial" w:cs="Arial"/>
                <w:b/>
                <w:bCs/>
                <w:color w:val="000000"/>
                <w:kern w:val="0"/>
                <w:sz w:val="20"/>
                <w:szCs w:val="20"/>
                <w:lang w:eastAsia="en-IN" w:bidi="ar-SA"/>
                <w14:ligatures w14:val="none"/>
              </w:rPr>
              <w:t>(mm)</w:t>
            </w:r>
          </w:p>
        </w:tc>
        <w:tc>
          <w:tcPr>
            <w:tcW w:w="2377" w:type="dxa"/>
            <w:gridSpan w:val="2"/>
            <w:tcBorders>
              <w:top w:val="single" w:sz="4" w:space="0" w:color="auto"/>
              <w:left w:val="nil"/>
              <w:bottom w:val="single" w:sz="4" w:space="0" w:color="auto"/>
              <w:right w:val="single" w:sz="4" w:space="0" w:color="000000"/>
            </w:tcBorders>
            <w:vAlign w:val="center"/>
            <w:hideMark/>
          </w:tcPr>
          <w:p w14:paraId="3E3BA247"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r w:rsidRPr="00DF549C">
              <w:rPr>
                <w:rFonts w:ascii="Arial" w:eastAsia="Times New Roman" w:hAnsi="Arial" w:cs="Arial"/>
                <w:b/>
                <w:bCs/>
                <w:color w:val="000000"/>
                <w:kern w:val="0"/>
                <w:sz w:val="20"/>
                <w:szCs w:val="20"/>
                <w:lang w:eastAsia="en-IN" w:bidi="ar-SA"/>
                <w14:ligatures w14:val="none"/>
              </w:rPr>
              <w:t xml:space="preserve">Number of </w:t>
            </w:r>
            <w:proofErr w:type="spellStart"/>
            <w:r w:rsidRPr="00DF549C">
              <w:rPr>
                <w:rFonts w:ascii="Arial" w:eastAsia="Times New Roman" w:hAnsi="Arial" w:cs="Arial"/>
                <w:b/>
                <w:bCs/>
                <w:color w:val="000000"/>
                <w:kern w:val="0"/>
                <w:sz w:val="20"/>
                <w:szCs w:val="20"/>
                <w:lang w:eastAsia="en-IN" w:bidi="ar-SA"/>
                <w14:ligatures w14:val="none"/>
              </w:rPr>
              <w:t>bicortical</w:t>
            </w:r>
            <w:proofErr w:type="spellEnd"/>
            <w:r w:rsidRPr="00DF549C">
              <w:rPr>
                <w:rFonts w:ascii="Arial" w:eastAsia="Times New Roman" w:hAnsi="Arial" w:cs="Arial"/>
                <w:b/>
                <w:bCs/>
                <w:color w:val="000000"/>
                <w:kern w:val="0"/>
                <w:sz w:val="20"/>
                <w:szCs w:val="20"/>
                <w:lang w:eastAsia="en-IN" w:bidi="ar-SA"/>
                <w14:ligatures w14:val="none"/>
              </w:rPr>
              <w:t xml:space="preserve"> locking screws</w:t>
            </w:r>
          </w:p>
        </w:tc>
        <w:tc>
          <w:tcPr>
            <w:tcW w:w="960" w:type="dxa"/>
            <w:vMerge w:val="restart"/>
            <w:tcBorders>
              <w:top w:val="single" w:sz="4" w:space="0" w:color="auto"/>
              <w:left w:val="single" w:sz="4" w:space="0" w:color="auto"/>
              <w:bottom w:val="single" w:sz="4" w:space="0" w:color="000000"/>
              <w:right w:val="single" w:sz="4" w:space="0" w:color="auto"/>
            </w:tcBorders>
            <w:vAlign w:val="center"/>
            <w:hideMark/>
          </w:tcPr>
          <w:p w14:paraId="10CD5AB5"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r w:rsidRPr="00DF549C">
              <w:rPr>
                <w:rFonts w:ascii="Arial" w:eastAsia="Times New Roman" w:hAnsi="Arial" w:cs="Arial"/>
                <w:b/>
                <w:bCs/>
                <w:color w:val="000000"/>
                <w:kern w:val="0"/>
                <w:sz w:val="20"/>
                <w:szCs w:val="20"/>
                <w:lang w:eastAsia="en-IN" w:bidi="ar-SA"/>
                <w14:ligatures w14:val="none"/>
              </w:rPr>
              <w:t xml:space="preserve"> Total screws</w:t>
            </w:r>
          </w:p>
        </w:tc>
        <w:tc>
          <w:tcPr>
            <w:tcW w:w="1250" w:type="dxa"/>
            <w:vMerge w:val="restart"/>
            <w:tcBorders>
              <w:top w:val="single" w:sz="4" w:space="0" w:color="auto"/>
              <w:left w:val="single" w:sz="4" w:space="0" w:color="auto"/>
              <w:bottom w:val="single" w:sz="4" w:space="0" w:color="000000"/>
              <w:right w:val="single" w:sz="4" w:space="0" w:color="auto"/>
            </w:tcBorders>
            <w:vAlign w:val="center"/>
            <w:hideMark/>
          </w:tcPr>
          <w:p w14:paraId="311D8E39"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r w:rsidRPr="00DF549C">
              <w:rPr>
                <w:rFonts w:ascii="Arial" w:eastAsia="Times New Roman" w:hAnsi="Arial" w:cs="Arial"/>
                <w:b/>
                <w:bCs/>
                <w:color w:val="000000"/>
                <w:kern w:val="0"/>
                <w:sz w:val="20"/>
                <w:szCs w:val="20"/>
                <w:lang w:eastAsia="en-IN" w:bidi="ar-SA"/>
                <w14:ligatures w14:val="none"/>
              </w:rPr>
              <w:t xml:space="preserve">Ancillary implants used </w:t>
            </w:r>
          </w:p>
        </w:tc>
      </w:tr>
      <w:tr w:rsidR="00BE57A0" w:rsidRPr="00DF549C" w14:paraId="7BCC8139" w14:textId="77777777" w:rsidTr="000F139E">
        <w:trPr>
          <w:trHeight w:val="288"/>
        </w:trPr>
        <w:tc>
          <w:tcPr>
            <w:tcW w:w="630" w:type="dxa"/>
            <w:vMerge/>
            <w:tcBorders>
              <w:top w:val="single" w:sz="4" w:space="0" w:color="auto"/>
              <w:left w:val="single" w:sz="4" w:space="0" w:color="auto"/>
              <w:bottom w:val="single" w:sz="4" w:space="0" w:color="000000"/>
              <w:right w:val="single" w:sz="4" w:space="0" w:color="auto"/>
            </w:tcBorders>
            <w:vAlign w:val="center"/>
            <w:hideMark/>
          </w:tcPr>
          <w:p w14:paraId="70655A13"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p>
        </w:tc>
        <w:tc>
          <w:tcPr>
            <w:tcW w:w="1975" w:type="dxa"/>
            <w:vMerge/>
            <w:tcBorders>
              <w:top w:val="single" w:sz="4" w:space="0" w:color="auto"/>
              <w:left w:val="single" w:sz="4" w:space="0" w:color="auto"/>
              <w:bottom w:val="single" w:sz="4" w:space="0" w:color="000000"/>
              <w:right w:val="single" w:sz="4" w:space="0" w:color="auto"/>
            </w:tcBorders>
            <w:vAlign w:val="center"/>
            <w:hideMark/>
          </w:tcPr>
          <w:p w14:paraId="7B3D8615"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p>
        </w:tc>
        <w:tc>
          <w:tcPr>
            <w:tcW w:w="1803" w:type="dxa"/>
            <w:vMerge/>
            <w:tcBorders>
              <w:top w:val="single" w:sz="4" w:space="0" w:color="auto"/>
              <w:left w:val="single" w:sz="4" w:space="0" w:color="auto"/>
              <w:bottom w:val="single" w:sz="4" w:space="0" w:color="000000"/>
              <w:right w:val="single" w:sz="4" w:space="0" w:color="auto"/>
            </w:tcBorders>
            <w:vAlign w:val="center"/>
            <w:hideMark/>
          </w:tcPr>
          <w:p w14:paraId="024DC526"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p>
        </w:tc>
        <w:tc>
          <w:tcPr>
            <w:tcW w:w="1167" w:type="dxa"/>
            <w:tcBorders>
              <w:top w:val="nil"/>
              <w:left w:val="nil"/>
              <w:bottom w:val="single" w:sz="4" w:space="0" w:color="auto"/>
              <w:right w:val="single" w:sz="4" w:space="0" w:color="auto"/>
            </w:tcBorders>
            <w:noWrap/>
            <w:vAlign w:val="center"/>
            <w:hideMark/>
          </w:tcPr>
          <w:p w14:paraId="7C90FD78"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r w:rsidRPr="00DF549C">
              <w:rPr>
                <w:rFonts w:ascii="Arial" w:eastAsia="Times New Roman" w:hAnsi="Arial" w:cs="Arial"/>
                <w:b/>
                <w:bCs/>
                <w:color w:val="000000"/>
                <w:kern w:val="0"/>
                <w:sz w:val="20"/>
                <w:szCs w:val="20"/>
                <w:lang w:eastAsia="en-IN" w:bidi="ar-SA"/>
                <w14:ligatures w14:val="none"/>
              </w:rPr>
              <w:t xml:space="preserve">Proximal </w:t>
            </w:r>
          </w:p>
        </w:tc>
        <w:tc>
          <w:tcPr>
            <w:tcW w:w="1210" w:type="dxa"/>
            <w:tcBorders>
              <w:top w:val="nil"/>
              <w:left w:val="nil"/>
              <w:bottom w:val="single" w:sz="4" w:space="0" w:color="auto"/>
              <w:right w:val="single" w:sz="4" w:space="0" w:color="auto"/>
            </w:tcBorders>
            <w:noWrap/>
            <w:vAlign w:val="center"/>
            <w:hideMark/>
          </w:tcPr>
          <w:p w14:paraId="6158ED6A"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r w:rsidRPr="00DF549C">
              <w:rPr>
                <w:rFonts w:ascii="Arial" w:eastAsia="Times New Roman" w:hAnsi="Arial" w:cs="Arial"/>
                <w:b/>
                <w:bCs/>
                <w:color w:val="000000"/>
                <w:kern w:val="0"/>
                <w:sz w:val="20"/>
                <w:szCs w:val="20"/>
                <w:lang w:eastAsia="en-IN" w:bidi="ar-SA"/>
                <w14:ligatures w14:val="none"/>
              </w:rPr>
              <w:t>Distal</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2B98DFFD"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22D5B6A4" w14:textId="77777777" w:rsidR="00BE57A0" w:rsidRPr="00DF549C" w:rsidRDefault="00BE57A0" w:rsidP="00DF549C">
            <w:pPr>
              <w:spacing w:after="0" w:line="360" w:lineRule="auto"/>
              <w:jc w:val="both"/>
              <w:rPr>
                <w:rFonts w:ascii="Arial" w:eastAsia="Times New Roman" w:hAnsi="Arial" w:cs="Arial"/>
                <w:b/>
                <w:bCs/>
                <w:color w:val="000000"/>
                <w:kern w:val="0"/>
                <w:sz w:val="20"/>
                <w:szCs w:val="20"/>
                <w:lang w:eastAsia="en-IN" w:bidi="ar-SA"/>
                <w14:ligatures w14:val="none"/>
              </w:rPr>
            </w:pPr>
          </w:p>
        </w:tc>
      </w:tr>
      <w:tr w:rsidR="00BE57A0" w:rsidRPr="00DF549C" w14:paraId="1BE1509A" w14:textId="77777777" w:rsidTr="000F139E">
        <w:trPr>
          <w:trHeight w:val="288"/>
        </w:trPr>
        <w:tc>
          <w:tcPr>
            <w:tcW w:w="630" w:type="dxa"/>
            <w:tcBorders>
              <w:top w:val="nil"/>
              <w:left w:val="single" w:sz="4" w:space="0" w:color="auto"/>
              <w:bottom w:val="single" w:sz="4" w:space="0" w:color="auto"/>
              <w:right w:val="single" w:sz="4" w:space="0" w:color="auto"/>
            </w:tcBorders>
            <w:noWrap/>
            <w:vAlign w:val="center"/>
            <w:hideMark/>
          </w:tcPr>
          <w:p w14:paraId="6F866B21"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A1</w:t>
            </w:r>
          </w:p>
        </w:tc>
        <w:tc>
          <w:tcPr>
            <w:tcW w:w="1975" w:type="dxa"/>
            <w:tcBorders>
              <w:top w:val="nil"/>
              <w:left w:val="nil"/>
              <w:bottom w:val="single" w:sz="4" w:space="0" w:color="auto"/>
              <w:right w:val="single" w:sz="4" w:space="0" w:color="auto"/>
            </w:tcBorders>
            <w:noWrap/>
            <w:vAlign w:val="center"/>
            <w:hideMark/>
          </w:tcPr>
          <w:p w14:paraId="12C8C1E9"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 xml:space="preserve">12 </w:t>
            </w:r>
            <w:proofErr w:type="gramStart"/>
            <w:r w:rsidRPr="00DF549C">
              <w:rPr>
                <w:rFonts w:ascii="Arial" w:eastAsia="Times New Roman" w:hAnsi="Arial" w:cs="Arial"/>
                <w:color w:val="000000"/>
                <w:kern w:val="0"/>
                <w:sz w:val="20"/>
                <w:szCs w:val="20"/>
                <w:lang w:eastAsia="en-IN" w:bidi="ar-SA"/>
                <w14:ligatures w14:val="none"/>
              </w:rPr>
              <w:t>hole</w:t>
            </w:r>
            <w:proofErr w:type="gramEnd"/>
            <w:r w:rsidRPr="00DF549C">
              <w:rPr>
                <w:rFonts w:ascii="Arial" w:eastAsia="Times New Roman" w:hAnsi="Arial" w:cs="Arial"/>
                <w:color w:val="000000"/>
                <w:kern w:val="0"/>
                <w:sz w:val="20"/>
                <w:szCs w:val="20"/>
                <w:lang w:eastAsia="en-IN" w:bidi="ar-SA"/>
                <w14:ligatures w14:val="none"/>
              </w:rPr>
              <w:t xml:space="preserve"> 2.7</w:t>
            </w:r>
          </w:p>
        </w:tc>
        <w:tc>
          <w:tcPr>
            <w:tcW w:w="1803" w:type="dxa"/>
            <w:tcBorders>
              <w:top w:val="nil"/>
              <w:left w:val="nil"/>
              <w:bottom w:val="single" w:sz="4" w:space="0" w:color="auto"/>
              <w:right w:val="single" w:sz="4" w:space="0" w:color="auto"/>
            </w:tcBorders>
            <w:noWrap/>
            <w:vAlign w:val="center"/>
            <w:hideMark/>
          </w:tcPr>
          <w:p w14:paraId="3AC3B0EE"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w:t>
            </w:r>
          </w:p>
        </w:tc>
        <w:tc>
          <w:tcPr>
            <w:tcW w:w="1167" w:type="dxa"/>
            <w:tcBorders>
              <w:top w:val="nil"/>
              <w:left w:val="nil"/>
              <w:bottom w:val="single" w:sz="4" w:space="0" w:color="auto"/>
              <w:right w:val="single" w:sz="4" w:space="0" w:color="auto"/>
            </w:tcBorders>
            <w:noWrap/>
            <w:vAlign w:val="center"/>
            <w:hideMark/>
          </w:tcPr>
          <w:p w14:paraId="00677787"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w:t>
            </w:r>
          </w:p>
        </w:tc>
        <w:tc>
          <w:tcPr>
            <w:tcW w:w="1210" w:type="dxa"/>
            <w:tcBorders>
              <w:top w:val="nil"/>
              <w:left w:val="nil"/>
              <w:bottom w:val="single" w:sz="4" w:space="0" w:color="auto"/>
              <w:right w:val="single" w:sz="4" w:space="0" w:color="auto"/>
            </w:tcBorders>
            <w:noWrap/>
            <w:vAlign w:val="center"/>
            <w:hideMark/>
          </w:tcPr>
          <w:p w14:paraId="1C611A16"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w:t>
            </w:r>
          </w:p>
        </w:tc>
        <w:tc>
          <w:tcPr>
            <w:tcW w:w="960" w:type="dxa"/>
            <w:tcBorders>
              <w:top w:val="nil"/>
              <w:left w:val="nil"/>
              <w:bottom w:val="single" w:sz="4" w:space="0" w:color="auto"/>
              <w:right w:val="single" w:sz="4" w:space="0" w:color="auto"/>
            </w:tcBorders>
            <w:noWrap/>
            <w:vAlign w:val="center"/>
            <w:hideMark/>
          </w:tcPr>
          <w:p w14:paraId="54327FA1"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6</w:t>
            </w:r>
          </w:p>
        </w:tc>
        <w:tc>
          <w:tcPr>
            <w:tcW w:w="1250" w:type="dxa"/>
            <w:tcBorders>
              <w:top w:val="nil"/>
              <w:left w:val="nil"/>
              <w:bottom w:val="single" w:sz="4" w:space="0" w:color="auto"/>
              <w:right w:val="single" w:sz="4" w:space="0" w:color="auto"/>
            </w:tcBorders>
            <w:noWrap/>
            <w:vAlign w:val="center"/>
            <w:hideMark/>
          </w:tcPr>
          <w:p w14:paraId="30573036"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nil</w:t>
            </w:r>
          </w:p>
        </w:tc>
      </w:tr>
      <w:tr w:rsidR="00BE57A0" w:rsidRPr="00DF549C" w14:paraId="440AD9FF" w14:textId="77777777" w:rsidTr="000F139E">
        <w:trPr>
          <w:trHeight w:val="288"/>
        </w:trPr>
        <w:tc>
          <w:tcPr>
            <w:tcW w:w="630" w:type="dxa"/>
            <w:tcBorders>
              <w:top w:val="nil"/>
              <w:left w:val="single" w:sz="4" w:space="0" w:color="auto"/>
              <w:bottom w:val="single" w:sz="4" w:space="0" w:color="auto"/>
              <w:right w:val="single" w:sz="4" w:space="0" w:color="auto"/>
            </w:tcBorders>
            <w:noWrap/>
            <w:vAlign w:val="center"/>
            <w:hideMark/>
          </w:tcPr>
          <w:p w14:paraId="2DDDD447"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A2</w:t>
            </w:r>
          </w:p>
        </w:tc>
        <w:tc>
          <w:tcPr>
            <w:tcW w:w="1975" w:type="dxa"/>
            <w:tcBorders>
              <w:top w:val="nil"/>
              <w:left w:val="nil"/>
              <w:bottom w:val="single" w:sz="4" w:space="0" w:color="auto"/>
              <w:right w:val="single" w:sz="4" w:space="0" w:color="auto"/>
            </w:tcBorders>
            <w:noWrap/>
            <w:vAlign w:val="center"/>
            <w:hideMark/>
          </w:tcPr>
          <w:p w14:paraId="32256157"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 xml:space="preserve">9 </w:t>
            </w:r>
            <w:proofErr w:type="gramStart"/>
            <w:r w:rsidRPr="00DF549C">
              <w:rPr>
                <w:rFonts w:ascii="Arial" w:eastAsia="Times New Roman" w:hAnsi="Arial" w:cs="Arial"/>
                <w:color w:val="000000"/>
                <w:kern w:val="0"/>
                <w:sz w:val="20"/>
                <w:szCs w:val="20"/>
                <w:lang w:eastAsia="en-IN" w:bidi="ar-SA"/>
                <w14:ligatures w14:val="none"/>
              </w:rPr>
              <w:t>hole</w:t>
            </w:r>
            <w:proofErr w:type="gramEnd"/>
            <w:r w:rsidRPr="00DF549C">
              <w:rPr>
                <w:rFonts w:ascii="Arial" w:eastAsia="Times New Roman" w:hAnsi="Arial" w:cs="Arial"/>
                <w:color w:val="000000"/>
                <w:kern w:val="0"/>
                <w:sz w:val="20"/>
                <w:szCs w:val="20"/>
                <w:lang w:eastAsia="en-IN" w:bidi="ar-SA"/>
                <w14:ligatures w14:val="none"/>
              </w:rPr>
              <w:t xml:space="preserve"> 3.5</w:t>
            </w:r>
          </w:p>
        </w:tc>
        <w:tc>
          <w:tcPr>
            <w:tcW w:w="1803" w:type="dxa"/>
            <w:tcBorders>
              <w:top w:val="nil"/>
              <w:left w:val="nil"/>
              <w:bottom w:val="single" w:sz="4" w:space="0" w:color="auto"/>
              <w:right w:val="single" w:sz="4" w:space="0" w:color="auto"/>
            </w:tcBorders>
            <w:noWrap/>
            <w:vAlign w:val="center"/>
            <w:hideMark/>
          </w:tcPr>
          <w:p w14:paraId="5F140D43"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3.5</w:t>
            </w:r>
          </w:p>
        </w:tc>
        <w:tc>
          <w:tcPr>
            <w:tcW w:w="1167" w:type="dxa"/>
            <w:tcBorders>
              <w:top w:val="nil"/>
              <w:left w:val="nil"/>
              <w:bottom w:val="single" w:sz="4" w:space="0" w:color="auto"/>
              <w:right w:val="single" w:sz="4" w:space="0" w:color="auto"/>
            </w:tcBorders>
            <w:noWrap/>
            <w:vAlign w:val="center"/>
            <w:hideMark/>
          </w:tcPr>
          <w:p w14:paraId="1F4DA832"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2</w:t>
            </w:r>
          </w:p>
        </w:tc>
        <w:tc>
          <w:tcPr>
            <w:tcW w:w="1210" w:type="dxa"/>
            <w:tcBorders>
              <w:top w:val="nil"/>
              <w:left w:val="nil"/>
              <w:bottom w:val="single" w:sz="4" w:space="0" w:color="auto"/>
              <w:right w:val="single" w:sz="4" w:space="0" w:color="auto"/>
            </w:tcBorders>
            <w:noWrap/>
            <w:vAlign w:val="center"/>
            <w:hideMark/>
          </w:tcPr>
          <w:p w14:paraId="013A4C60"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w:t>
            </w:r>
          </w:p>
        </w:tc>
        <w:tc>
          <w:tcPr>
            <w:tcW w:w="960" w:type="dxa"/>
            <w:tcBorders>
              <w:top w:val="nil"/>
              <w:left w:val="nil"/>
              <w:bottom w:val="single" w:sz="4" w:space="0" w:color="auto"/>
              <w:right w:val="single" w:sz="4" w:space="0" w:color="auto"/>
            </w:tcBorders>
            <w:noWrap/>
            <w:vAlign w:val="center"/>
            <w:hideMark/>
          </w:tcPr>
          <w:p w14:paraId="3490B9EB"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5</w:t>
            </w:r>
          </w:p>
        </w:tc>
        <w:tc>
          <w:tcPr>
            <w:tcW w:w="1250" w:type="dxa"/>
            <w:tcBorders>
              <w:top w:val="nil"/>
              <w:left w:val="nil"/>
              <w:bottom w:val="single" w:sz="4" w:space="0" w:color="auto"/>
              <w:right w:val="single" w:sz="4" w:space="0" w:color="auto"/>
            </w:tcBorders>
            <w:noWrap/>
            <w:vAlign w:val="center"/>
            <w:hideMark/>
          </w:tcPr>
          <w:p w14:paraId="2F394B4F"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 xml:space="preserve">cerclage </w:t>
            </w:r>
          </w:p>
        </w:tc>
      </w:tr>
      <w:tr w:rsidR="00BE57A0" w:rsidRPr="00DF549C" w14:paraId="504B171E" w14:textId="77777777" w:rsidTr="000F139E">
        <w:trPr>
          <w:trHeight w:val="288"/>
        </w:trPr>
        <w:tc>
          <w:tcPr>
            <w:tcW w:w="630" w:type="dxa"/>
            <w:tcBorders>
              <w:top w:val="nil"/>
              <w:left w:val="single" w:sz="4" w:space="0" w:color="auto"/>
              <w:bottom w:val="single" w:sz="4" w:space="0" w:color="auto"/>
              <w:right w:val="single" w:sz="4" w:space="0" w:color="auto"/>
            </w:tcBorders>
            <w:noWrap/>
            <w:vAlign w:val="center"/>
            <w:hideMark/>
          </w:tcPr>
          <w:p w14:paraId="6F59E7FC"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A3</w:t>
            </w:r>
          </w:p>
        </w:tc>
        <w:tc>
          <w:tcPr>
            <w:tcW w:w="1975" w:type="dxa"/>
            <w:tcBorders>
              <w:top w:val="nil"/>
              <w:left w:val="nil"/>
              <w:bottom w:val="single" w:sz="4" w:space="0" w:color="auto"/>
              <w:right w:val="single" w:sz="4" w:space="0" w:color="auto"/>
            </w:tcBorders>
            <w:noWrap/>
            <w:vAlign w:val="center"/>
            <w:hideMark/>
          </w:tcPr>
          <w:p w14:paraId="672596B2"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 xml:space="preserve">7 </w:t>
            </w:r>
            <w:proofErr w:type="gramStart"/>
            <w:r w:rsidRPr="00DF549C">
              <w:rPr>
                <w:rFonts w:ascii="Arial" w:eastAsia="Times New Roman" w:hAnsi="Arial" w:cs="Arial"/>
                <w:color w:val="000000"/>
                <w:kern w:val="0"/>
                <w:sz w:val="20"/>
                <w:szCs w:val="20"/>
                <w:lang w:eastAsia="en-IN" w:bidi="ar-SA"/>
                <w14:ligatures w14:val="none"/>
              </w:rPr>
              <w:t>hole</w:t>
            </w:r>
            <w:proofErr w:type="gramEnd"/>
            <w:r w:rsidRPr="00DF549C">
              <w:rPr>
                <w:rFonts w:ascii="Arial" w:eastAsia="Times New Roman" w:hAnsi="Arial" w:cs="Arial"/>
                <w:color w:val="000000"/>
                <w:kern w:val="0"/>
                <w:sz w:val="20"/>
                <w:szCs w:val="20"/>
                <w:lang w:eastAsia="en-IN" w:bidi="ar-SA"/>
                <w14:ligatures w14:val="none"/>
              </w:rPr>
              <w:t xml:space="preserve"> 2.7</w:t>
            </w:r>
          </w:p>
        </w:tc>
        <w:tc>
          <w:tcPr>
            <w:tcW w:w="1803" w:type="dxa"/>
            <w:tcBorders>
              <w:top w:val="nil"/>
              <w:left w:val="nil"/>
              <w:bottom w:val="single" w:sz="4" w:space="0" w:color="auto"/>
              <w:right w:val="single" w:sz="4" w:space="0" w:color="auto"/>
            </w:tcBorders>
            <w:noWrap/>
            <w:vAlign w:val="center"/>
            <w:hideMark/>
          </w:tcPr>
          <w:p w14:paraId="28131716"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2.5</w:t>
            </w:r>
          </w:p>
        </w:tc>
        <w:tc>
          <w:tcPr>
            <w:tcW w:w="1167" w:type="dxa"/>
            <w:tcBorders>
              <w:top w:val="nil"/>
              <w:left w:val="nil"/>
              <w:bottom w:val="single" w:sz="4" w:space="0" w:color="auto"/>
              <w:right w:val="single" w:sz="4" w:space="0" w:color="auto"/>
            </w:tcBorders>
            <w:noWrap/>
            <w:vAlign w:val="center"/>
            <w:hideMark/>
          </w:tcPr>
          <w:p w14:paraId="7F697A75"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2</w:t>
            </w:r>
          </w:p>
        </w:tc>
        <w:tc>
          <w:tcPr>
            <w:tcW w:w="1210" w:type="dxa"/>
            <w:tcBorders>
              <w:top w:val="nil"/>
              <w:left w:val="nil"/>
              <w:bottom w:val="single" w:sz="4" w:space="0" w:color="auto"/>
              <w:right w:val="single" w:sz="4" w:space="0" w:color="auto"/>
            </w:tcBorders>
            <w:noWrap/>
            <w:vAlign w:val="center"/>
            <w:hideMark/>
          </w:tcPr>
          <w:p w14:paraId="0C8BE80C"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2</w:t>
            </w:r>
          </w:p>
        </w:tc>
        <w:tc>
          <w:tcPr>
            <w:tcW w:w="960" w:type="dxa"/>
            <w:tcBorders>
              <w:top w:val="nil"/>
              <w:left w:val="nil"/>
              <w:bottom w:val="single" w:sz="4" w:space="0" w:color="auto"/>
              <w:right w:val="single" w:sz="4" w:space="0" w:color="auto"/>
            </w:tcBorders>
            <w:noWrap/>
            <w:vAlign w:val="center"/>
            <w:hideMark/>
          </w:tcPr>
          <w:p w14:paraId="6E51CC7A"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4</w:t>
            </w:r>
          </w:p>
        </w:tc>
        <w:tc>
          <w:tcPr>
            <w:tcW w:w="1250" w:type="dxa"/>
            <w:tcBorders>
              <w:top w:val="nil"/>
              <w:left w:val="nil"/>
              <w:bottom w:val="single" w:sz="4" w:space="0" w:color="auto"/>
              <w:right w:val="single" w:sz="4" w:space="0" w:color="auto"/>
            </w:tcBorders>
            <w:noWrap/>
            <w:vAlign w:val="center"/>
            <w:hideMark/>
          </w:tcPr>
          <w:p w14:paraId="531E6665"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nil</w:t>
            </w:r>
          </w:p>
        </w:tc>
      </w:tr>
      <w:tr w:rsidR="00BE57A0" w:rsidRPr="00DF549C" w14:paraId="24C9F4A4" w14:textId="77777777" w:rsidTr="000F139E">
        <w:trPr>
          <w:trHeight w:val="288"/>
        </w:trPr>
        <w:tc>
          <w:tcPr>
            <w:tcW w:w="630" w:type="dxa"/>
            <w:tcBorders>
              <w:top w:val="nil"/>
              <w:left w:val="single" w:sz="4" w:space="0" w:color="auto"/>
              <w:bottom w:val="single" w:sz="4" w:space="0" w:color="auto"/>
              <w:right w:val="single" w:sz="4" w:space="0" w:color="auto"/>
            </w:tcBorders>
            <w:noWrap/>
            <w:vAlign w:val="center"/>
            <w:hideMark/>
          </w:tcPr>
          <w:p w14:paraId="6BC2BF59"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A4</w:t>
            </w:r>
          </w:p>
        </w:tc>
        <w:tc>
          <w:tcPr>
            <w:tcW w:w="1975" w:type="dxa"/>
            <w:tcBorders>
              <w:top w:val="nil"/>
              <w:left w:val="nil"/>
              <w:bottom w:val="single" w:sz="4" w:space="0" w:color="auto"/>
              <w:right w:val="single" w:sz="4" w:space="0" w:color="auto"/>
            </w:tcBorders>
            <w:noWrap/>
            <w:vAlign w:val="center"/>
            <w:hideMark/>
          </w:tcPr>
          <w:p w14:paraId="2933B74A"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 xml:space="preserve">10 </w:t>
            </w:r>
            <w:proofErr w:type="gramStart"/>
            <w:r w:rsidRPr="00DF549C">
              <w:rPr>
                <w:rFonts w:ascii="Arial" w:eastAsia="Times New Roman" w:hAnsi="Arial" w:cs="Arial"/>
                <w:color w:val="000000"/>
                <w:kern w:val="0"/>
                <w:sz w:val="20"/>
                <w:szCs w:val="20"/>
                <w:lang w:eastAsia="en-IN" w:bidi="ar-SA"/>
                <w14:ligatures w14:val="none"/>
              </w:rPr>
              <w:t>hole</w:t>
            </w:r>
            <w:proofErr w:type="gramEnd"/>
            <w:r w:rsidRPr="00DF549C">
              <w:rPr>
                <w:rFonts w:ascii="Arial" w:eastAsia="Times New Roman" w:hAnsi="Arial" w:cs="Arial"/>
                <w:color w:val="000000"/>
                <w:kern w:val="0"/>
                <w:sz w:val="20"/>
                <w:szCs w:val="20"/>
                <w:lang w:eastAsia="en-IN" w:bidi="ar-SA"/>
                <w14:ligatures w14:val="none"/>
              </w:rPr>
              <w:t xml:space="preserve"> 2.7</w:t>
            </w:r>
          </w:p>
        </w:tc>
        <w:tc>
          <w:tcPr>
            <w:tcW w:w="1803" w:type="dxa"/>
            <w:tcBorders>
              <w:top w:val="nil"/>
              <w:left w:val="nil"/>
              <w:bottom w:val="single" w:sz="4" w:space="0" w:color="auto"/>
              <w:right w:val="single" w:sz="4" w:space="0" w:color="auto"/>
            </w:tcBorders>
            <w:noWrap/>
            <w:vAlign w:val="center"/>
            <w:hideMark/>
          </w:tcPr>
          <w:p w14:paraId="400B5265"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2.5</w:t>
            </w:r>
          </w:p>
        </w:tc>
        <w:tc>
          <w:tcPr>
            <w:tcW w:w="1167" w:type="dxa"/>
            <w:tcBorders>
              <w:top w:val="nil"/>
              <w:left w:val="nil"/>
              <w:bottom w:val="single" w:sz="4" w:space="0" w:color="auto"/>
              <w:right w:val="single" w:sz="4" w:space="0" w:color="auto"/>
            </w:tcBorders>
            <w:noWrap/>
            <w:vAlign w:val="center"/>
            <w:hideMark/>
          </w:tcPr>
          <w:p w14:paraId="0D64D598"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w:t>
            </w:r>
          </w:p>
        </w:tc>
        <w:tc>
          <w:tcPr>
            <w:tcW w:w="1210" w:type="dxa"/>
            <w:tcBorders>
              <w:top w:val="nil"/>
              <w:left w:val="nil"/>
              <w:bottom w:val="single" w:sz="4" w:space="0" w:color="auto"/>
              <w:right w:val="single" w:sz="4" w:space="0" w:color="auto"/>
            </w:tcBorders>
            <w:noWrap/>
            <w:vAlign w:val="center"/>
            <w:hideMark/>
          </w:tcPr>
          <w:p w14:paraId="7062E715"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w:t>
            </w:r>
          </w:p>
        </w:tc>
        <w:tc>
          <w:tcPr>
            <w:tcW w:w="960" w:type="dxa"/>
            <w:tcBorders>
              <w:top w:val="nil"/>
              <w:left w:val="nil"/>
              <w:bottom w:val="single" w:sz="4" w:space="0" w:color="auto"/>
              <w:right w:val="single" w:sz="4" w:space="0" w:color="auto"/>
            </w:tcBorders>
            <w:noWrap/>
            <w:vAlign w:val="center"/>
            <w:hideMark/>
          </w:tcPr>
          <w:p w14:paraId="1D47F9AE"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6</w:t>
            </w:r>
          </w:p>
        </w:tc>
        <w:tc>
          <w:tcPr>
            <w:tcW w:w="1250" w:type="dxa"/>
            <w:tcBorders>
              <w:top w:val="nil"/>
              <w:left w:val="nil"/>
              <w:bottom w:val="single" w:sz="4" w:space="0" w:color="auto"/>
              <w:right w:val="single" w:sz="4" w:space="0" w:color="auto"/>
            </w:tcBorders>
            <w:noWrap/>
            <w:vAlign w:val="center"/>
            <w:hideMark/>
          </w:tcPr>
          <w:p w14:paraId="6D425529"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nil</w:t>
            </w:r>
          </w:p>
        </w:tc>
      </w:tr>
      <w:tr w:rsidR="00BE57A0" w:rsidRPr="00DF549C" w14:paraId="2CE60B52" w14:textId="77777777" w:rsidTr="000F139E">
        <w:trPr>
          <w:trHeight w:val="288"/>
        </w:trPr>
        <w:tc>
          <w:tcPr>
            <w:tcW w:w="630" w:type="dxa"/>
            <w:tcBorders>
              <w:top w:val="nil"/>
              <w:left w:val="single" w:sz="4" w:space="0" w:color="auto"/>
              <w:bottom w:val="single" w:sz="4" w:space="0" w:color="auto"/>
              <w:right w:val="single" w:sz="4" w:space="0" w:color="auto"/>
            </w:tcBorders>
            <w:noWrap/>
            <w:vAlign w:val="center"/>
            <w:hideMark/>
          </w:tcPr>
          <w:p w14:paraId="72BAFD09"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A5</w:t>
            </w:r>
          </w:p>
        </w:tc>
        <w:tc>
          <w:tcPr>
            <w:tcW w:w="1975" w:type="dxa"/>
            <w:tcBorders>
              <w:top w:val="nil"/>
              <w:left w:val="nil"/>
              <w:bottom w:val="single" w:sz="4" w:space="0" w:color="auto"/>
              <w:right w:val="single" w:sz="4" w:space="0" w:color="auto"/>
            </w:tcBorders>
            <w:noWrap/>
            <w:vAlign w:val="center"/>
            <w:hideMark/>
          </w:tcPr>
          <w:p w14:paraId="0A8A2AB9"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 xml:space="preserve">12 </w:t>
            </w:r>
            <w:proofErr w:type="gramStart"/>
            <w:r w:rsidRPr="00DF549C">
              <w:rPr>
                <w:rFonts w:ascii="Arial" w:eastAsia="Times New Roman" w:hAnsi="Arial" w:cs="Arial"/>
                <w:color w:val="000000"/>
                <w:kern w:val="0"/>
                <w:sz w:val="20"/>
                <w:szCs w:val="20"/>
                <w:lang w:eastAsia="en-IN" w:bidi="ar-SA"/>
                <w14:ligatures w14:val="none"/>
              </w:rPr>
              <w:t>hole</w:t>
            </w:r>
            <w:proofErr w:type="gramEnd"/>
            <w:r w:rsidRPr="00DF549C">
              <w:rPr>
                <w:rFonts w:ascii="Arial" w:eastAsia="Times New Roman" w:hAnsi="Arial" w:cs="Arial"/>
                <w:color w:val="000000"/>
                <w:kern w:val="0"/>
                <w:sz w:val="20"/>
                <w:szCs w:val="20"/>
                <w:lang w:eastAsia="en-IN" w:bidi="ar-SA"/>
                <w14:ligatures w14:val="none"/>
              </w:rPr>
              <w:t xml:space="preserve"> 2.7</w:t>
            </w:r>
          </w:p>
        </w:tc>
        <w:tc>
          <w:tcPr>
            <w:tcW w:w="1803" w:type="dxa"/>
            <w:tcBorders>
              <w:top w:val="nil"/>
              <w:left w:val="nil"/>
              <w:bottom w:val="single" w:sz="4" w:space="0" w:color="auto"/>
              <w:right w:val="single" w:sz="4" w:space="0" w:color="auto"/>
            </w:tcBorders>
            <w:noWrap/>
            <w:vAlign w:val="center"/>
            <w:hideMark/>
          </w:tcPr>
          <w:p w14:paraId="7195B6C6"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2.5</w:t>
            </w:r>
          </w:p>
        </w:tc>
        <w:tc>
          <w:tcPr>
            <w:tcW w:w="1167" w:type="dxa"/>
            <w:tcBorders>
              <w:top w:val="nil"/>
              <w:left w:val="nil"/>
              <w:bottom w:val="single" w:sz="4" w:space="0" w:color="auto"/>
              <w:right w:val="single" w:sz="4" w:space="0" w:color="auto"/>
            </w:tcBorders>
            <w:noWrap/>
            <w:vAlign w:val="center"/>
            <w:hideMark/>
          </w:tcPr>
          <w:p w14:paraId="1791B348"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w:t>
            </w:r>
          </w:p>
        </w:tc>
        <w:tc>
          <w:tcPr>
            <w:tcW w:w="1210" w:type="dxa"/>
            <w:tcBorders>
              <w:top w:val="nil"/>
              <w:left w:val="nil"/>
              <w:bottom w:val="single" w:sz="4" w:space="0" w:color="auto"/>
              <w:right w:val="single" w:sz="4" w:space="0" w:color="auto"/>
            </w:tcBorders>
            <w:noWrap/>
            <w:vAlign w:val="center"/>
            <w:hideMark/>
          </w:tcPr>
          <w:p w14:paraId="4B97939E"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4</w:t>
            </w:r>
          </w:p>
        </w:tc>
        <w:tc>
          <w:tcPr>
            <w:tcW w:w="960" w:type="dxa"/>
            <w:tcBorders>
              <w:top w:val="nil"/>
              <w:left w:val="nil"/>
              <w:bottom w:val="single" w:sz="4" w:space="0" w:color="auto"/>
              <w:right w:val="single" w:sz="4" w:space="0" w:color="auto"/>
            </w:tcBorders>
            <w:noWrap/>
            <w:vAlign w:val="center"/>
            <w:hideMark/>
          </w:tcPr>
          <w:p w14:paraId="1106F2A9"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7</w:t>
            </w:r>
          </w:p>
        </w:tc>
        <w:tc>
          <w:tcPr>
            <w:tcW w:w="1250" w:type="dxa"/>
            <w:tcBorders>
              <w:top w:val="nil"/>
              <w:left w:val="nil"/>
              <w:bottom w:val="single" w:sz="4" w:space="0" w:color="auto"/>
              <w:right w:val="single" w:sz="4" w:space="0" w:color="auto"/>
            </w:tcBorders>
            <w:noWrap/>
            <w:vAlign w:val="center"/>
            <w:hideMark/>
          </w:tcPr>
          <w:p w14:paraId="52980433"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 xml:space="preserve">cerclage </w:t>
            </w:r>
          </w:p>
        </w:tc>
      </w:tr>
      <w:tr w:rsidR="00BE57A0" w:rsidRPr="00DF549C" w14:paraId="0B4D4397" w14:textId="77777777" w:rsidTr="000F139E">
        <w:trPr>
          <w:trHeight w:val="288"/>
        </w:trPr>
        <w:tc>
          <w:tcPr>
            <w:tcW w:w="630" w:type="dxa"/>
            <w:tcBorders>
              <w:top w:val="nil"/>
              <w:left w:val="single" w:sz="4" w:space="0" w:color="auto"/>
              <w:bottom w:val="single" w:sz="4" w:space="0" w:color="auto"/>
              <w:right w:val="single" w:sz="4" w:space="0" w:color="auto"/>
            </w:tcBorders>
            <w:noWrap/>
            <w:vAlign w:val="center"/>
            <w:hideMark/>
          </w:tcPr>
          <w:p w14:paraId="104D06C2"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A6</w:t>
            </w:r>
          </w:p>
        </w:tc>
        <w:tc>
          <w:tcPr>
            <w:tcW w:w="1975" w:type="dxa"/>
            <w:tcBorders>
              <w:top w:val="nil"/>
              <w:left w:val="nil"/>
              <w:bottom w:val="single" w:sz="4" w:space="0" w:color="auto"/>
              <w:right w:val="single" w:sz="4" w:space="0" w:color="auto"/>
            </w:tcBorders>
            <w:noWrap/>
            <w:vAlign w:val="center"/>
            <w:hideMark/>
          </w:tcPr>
          <w:p w14:paraId="7608FC44"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 xml:space="preserve">9 </w:t>
            </w:r>
            <w:proofErr w:type="gramStart"/>
            <w:r w:rsidRPr="00DF549C">
              <w:rPr>
                <w:rFonts w:ascii="Arial" w:eastAsia="Times New Roman" w:hAnsi="Arial" w:cs="Arial"/>
                <w:color w:val="000000"/>
                <w:kern w:val="0"/>
                <w:sz w:val="20"/>
                <w:szCs w:val="20"/>
                <w:lang w:eastAsia="en-IN" w:bidi="ar-SA"/>
                <w14:ligatures w14:val="none"/>
              </w:rPr>
              <w:t>hole</w:t>
            </w:r>
            <w:proofErr w:type="gramEnd"/>
            <w:r w:rsidRPr="00DF549C">
              <w:rPr>
                <w:rFonts w:ascii="Arial" w:eastAsia="Times New Roman" w:hAnsi="Arial" w:cs="Arial"/>
                <w:color w:val="000000"/>
                <w:kern w:val="0"/>
                <w:sz w:val="20"/>
                <w:szCs w:val="20"/>
                <w:lang w:eastAsia="en-IN" w:bidi="ar-SA"/>
                <w14:ligatures w14:val="none"/>
              </w:rPr>
              <w:t xml:space="preserve"> 3.5</w:t>
            </w:r>
          </w:p>
        </w:tc>
        <w:tc>
          <w:tcPr>
            <w:tcW w:w="1803" w:type="dxa"/>
            <w:tcBorders>
              <w:top w:val="nil"/>
              <w:left w:val="nil"/>
              <w:bottom w:val="single" w:sz="4" w:space="0" w:color="auto"/>
              <w:right w:val="single" w:sz="4" w:space="0" w:color="auto"/>
            </w:tcBorders>
            <w:noWrap/>
            <w:vAlign w:val="center"/>
            <w:hideMark/>
          </w:tcPr>
          <w:p w14:paraId="51C2BAF5"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3.5</w:t>
            </w:r>
          </w:p>
        </w:tc>
        <w:tc>
          <w:tcPr>
            <w:tcW w:w="1167" w:type="dxa"/>
            <w:tcBorders>
              <w:top w:val="nil"/>
              <w:left w:val="nil"/>
              <w:bottom w:val="single" w:sz="4" w:space="0" w:color="auto"/>
              <w:right w:val="single" w:sz="4" w:space="0" w:color="auto"/>
            </w:tcBorders>
            <w:noWrap/>
            <w:vAlign w:val="center"/>
            <w:hideMark/>
          </w:tcPr>
          <w:p w14:paraId="368B2564"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2</w:t>
            </w:r>
          </w:p>
        </w:tc>
        <w:tc>
          <w:tcPr>
            <w:tcW w:w="1210" w:type="dxa"/>
            <w:tcBorders>
              <w:top w:val="nil"/>
              <w:left w:val="nil"/>
              <w:bottom w:val="single" w:sz="4" w:space="0" w:color="auto"/>
              <w:right w:val="single" w:sz="4" w:space="0" w:color="auto"/>
            </w:tcBorders>
            <w:noWrap/>
            <w:vAlign w:val="center"/>
            <w:hideMark/>
          </w:tcPr>
          <w:p w14:paraId="132645BF"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3</w:t>
            </w:r>
          </w:p>
        </w:tc>
        <w:tc>
          <w:tcPr>
            <w:tcW w:w="960" w:type="dxa"/>
            <w:tcBorders>
              <w:top w:val="nil"/>
              <w:left w:val="nil"/>
              <w:bottom w:val="single" w:sz="4" w:space="0" w:color="auto"/>
              <w:right w:val="single" w:sz="4" w:space="0" w:color="auto"/>
            </w:tcBorders>
            <w:noWrap/>
            <w:vAlign w:val="center"/>
            <w:hideMark/>
          </w:tcPr>
          <w:p w14:paraId="3E4E70C0"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5</w:t>
            </w:r>
          </w:p>
        </w:tc>
        <w:tc>
          <w:tcPr>
            <w:tcW w:w="1250" w:type="dxa"/>
            <w:tcBorders>
              <w:top w:val="nil"/>
              <w:left w:val="nil"/>
              <w:bottom w:val="single" w:sz="4" w:space="0" w:color="auto"/>
              <w:right w:val="single" w:sz="4" w:space="0" w:color="auto"/>
            </w:tcBorders>
            <w:noWrap/>
            <w:vAlign w:val="center"/>
            <w:hideMark/>
          </w:tcPr>
          <w:p w14:paraId="624850B6" w14:textId="77777777" w:rsidR="00BE57A0" w:rsidRPr="00DF549C" w:rsidRDefault="00BE57A0" w:rsidP="00DF549C">
            <w:pPr>
              <w:spacing w:after="0" w:line="360" w:lineRule="auto"/>
              <w:jc w:val="both"/>
              <w:rPr>
                <w:rFonts w:ascii="Arial" w:eastAsia="Times New Roman" w:hAnsi="Arial" w:cs="Arial"/>
                <w:color w:val="000000"/>
                <w:kern w:val="0"/>
                <w:sz w:val="20"/>
                <w:szCs w:val="20"/>
                <w:lang w:eastAsia="en-IN" w:bidi="ar-SA"/>
                <w14:ligatures w14:val="none"/>
              </w:rPr>
            </w:pPr>
            <w:r w:rsidRPr="00DF549C">
              <w:rPr>
                <w:rFonts w:ascii="Arial" w:eastAsia="Times New Roman" w:hAnsi="Arial" w:cs="Arial"/>
                <w:color w:val="000000"/>
                <w:kern w:val="0"/>
                <w:sz w:val="20"/>
                <w:szCs w:val="20"/>
                <w:lang w:eastAsia="en-IN" w:bidi="ar-SA"/>
                <w14:ligatures w14:val="none"/>
              </w:rPr>
              <w:t>nil</w:t>
            </w:r>
          </w:p>
        </w:tc>
      </w:tr>
    </w:tbl>
    <w:p w14:paraId="6614361E" w14:textId="77777777" w:rsidR="005C00F4" w:rsidRPr="00DF549C" w:rsidRDefault="005C00F4" w:rsidP="00DF549C">
      <w:pPr>
        <w:spacing w:after="0" w:line="360" w:lineRule="auto"/>
        <w:jc w:val="both"/>
        <w:rPr>
          <w:rFonts w:ascii="Arial" w:eastAsia="Times New Roman" w:hAnsi="Arial" w:cs="Arial"/>
          <w:b/>
          <w:bCs/>
          <w:color w:val="000000"/>
          <w:kern w:val="0"/>
          <w:sz w:val="20"/>
          <w:szCs w:val="20"/>
          <w:lang w:eastAsia="en-IN" w:bidi="ar-SA"/>
          <w14:ligatures w14:val="none"/>
        </w:rPr>
      </w:pPr>
    </w:p>
    <w:p w14:paraId="3D882622" w14:textId="674141A7" w:rsidR="00180FFF" w:rsidRPr="00DF549C" w:rsidRDefault="00356D1B" w:rsidP="00DF549C">
      <w:pPr>
        <w:pStyle w:val="ListParagraph"/>
        <w:spacing w:line="360" w:lineRule="auto"/>
        <w:ind w:left="0" w:firstLine="720"/>
        <w:jc w:val="both"/>
        <w:rPr>
          <w:rFonts w:ascii="Arial" w:hAnsi="Arial" w:cs="Arial"/>
          <w:sz w:val="20"/>
          <w:szCs w:val="20"/>
        </w:rPr>
      </w:pPr>
      <w:r w:rsidRPr="00DF549C">
        <w:rPr>
          <w:rFonts w:ascii="Arial" w:hAnsi="Arial" w:cs="Arial"/>
          <w:sz w:val="20"/>
          <w:szCs w:val="20"/>
        </w:rPr>
        <w:t>All animals were non-descript dog breeds.</w:t>
      </w:r>
      <w:r w:rsidR="008C3454" w:rsidRPr="00DF549C">
        <w:rPr>
          <w:rFonts w:ascii="Arial" w:hAnsi="Arial" w:cs="Arial"/>
          <w:sz w:val="20"/>
          <w:szCs w:val="20"/>
        </w:rPr>
        <w:t xml:space="preserve"> </w:t>
      </w:r>
      <w:r w:rsidR="00792BAB" w:rsidRPr="00DF549C">
        <w:rPr>
          <w:rFonts w:ascii="Arial" w:hAnsi="Arial" w:cs="Arial"/>
          <w:sz w:val="20"/>
          <w:szCs w:val="20"/>
        </w:rPr>
        <w:t>Among the six dogs, five were male and one was female.</w:t>
      </w:r>
      <w:r w:rsidR="008C3454" w:rsidRPr="00DF549C">
        <w:rPr>
          <w:rFonts w:ascii="Arial" w:hAnsi="Arial" w:cs="Arial"/>
          <w:sz w:val="20"/>
          <w:szCs w:val="20"/>
        </w:rPr>
        <w:t xml:space="preserve"> </w:t>
      </w:r>
      <w:r w:rsidR="00792BAB" w:rsidRPr="00DF549C">
        <w:rPr>
          <w:rFonts w:ascii="Arial" w:hAnsi="Arial" w:cs="Arial"/>
          <w:sz w:val="20"/>
          <w:szCs w:val="20"/>
        </w:rPr>
        <w:t xml:space="preserve">The mean body weight (mean ± SE) of the animals was </w:t>
      </w:r>
      <w:r w:rsidR="00792BAB" w:rsidRPr="00DF549C">
        <w:rPr>
          <w:rStyle w:val="Strong"/>
          <w:rFonts w:ascii="Arial" w:hAnsi="Arial" w:cs="Arial"/>
          <w:b w:val="0"/>
          <w:bCs w:val="0"/>
          <w:sz w:val="20"/>
          <w:szCs w:val="20"/>
        </w:rPr>
        <w:t>14.92 ± 2.51 kg</w:t>
      </w:r>
      <w:r w:rsidR="00620537" w:rsidRPr="00DF549C">
        <w:rPr>
          <w:rStyle w:val="Strong"/>
          <w:rFonts w:ascii="Arial" w:hAnsi="Arial" w:cs="Arial"/>
          <w:b w:val="0"/>
          <w:bCs w:val="0"/>
          <w:sz w:val="20"/>
          <w:szCs w:val="20"/>
        </w:rPr>
        <w:t xml:space="preserve"> </w:t>
      </w:r>
      <w:r w:rsidR="00792BAB" w:rsidRPr="00DF549C">
        <w:rPr>
          <w:rStyle w:val="Strong"/>
          <w:rFonts w:ascii="Arial" w:hAnsi="Arial" w:cs="Arial"/>
          <w:b w:val="0"/>
          <w:bCs w:val="0"/>
          <w:sz w:val="20"/>
          <w:szCs w:val="20"/>
        </w:rPr>
        <w:t>(range–8-24.2 kg)</w:t>
      </w:r>
      <w:r w:rsidR="00792BAB" w:rsidRPr="00DF549C">
        <w:rPr>
          <w:rFonts w:ascii="Arial" w:hAnsi="Arial" w:cs="Arial"/>
          <w:b/>
          <w:bCs/>
          <w:sz w:val="20"/>
          <w:szCs w:val="20"/>
        </w:rPr>
        <w:t>.</w:t>
      </w:r>
      <w:r w:rsidR="00405779" w:rsidRPr="00DF549C">
        <w:rPr>
          <w:rFonts w:ascii="Arial" w:hAnsi="Arial" w:cs="Arial"/>
          <w:sz w:val="20"/>
          <w:szCs w:val="20"/>
        </w:rPr>
        <w:t xml:space="preserve"> </w:t>
      </w:r>
      <w:r w:rsidR="00135321" w:rsidRPr="00DF549C">
        <w:rPr>
          <w:rFonts w:ascii="Arial" w:hAnsi="Arial" w:cs="Arial"/>
          <w:sz w:val="20"/>
          <w:szCs w:val="20"/>
        </w:rPr>
        <w:t xml:space="preserve">The age of animals ranged from 7 to 36 months, with a mean age of (mean ± SE) </w:t>
      </w:r>
      <w:r w:rsidR="00135321" w:rsidRPr="00DF549C">
        <w:rPr>
          <w:rStyle w:val="Strong"/>
          <w:rFonts w:ascii="Arial" w:hAnsi="Arial" w:cs="Arial"/>
          <w:b w:val="0"/>
          <w:bCs w:val="0"/>
          <w:sz w:val="20"/>
          <w:szCs w:val="20"/>
        </w:rPr>
        <w:t>14.5 ± 4.59 months</w:t>
      </w:r>
      <w:r w:rsidR="00135321" w:rsidRPr="00DF549C">
        <w:rPr>
          <w:rFonts w:ascii="Arial" w:hAnsi="Arial" w:cs="Arial"/>
          <w:sz w:val="20"/>
          <w:szCs w:val="20"/>
        </w:rPr>
        <w:t>.</w:t>
      </w:r>
      <w:r w:rsidR="008C3454" w:rsidRPr="00DF549C">
        <w:rPr>
          <w:rFonts w:ascii="Arial" w:hAnsi="Arial" w:cs="Arial"/>
          <w:sz w:val="20"/>
          <w:szCs w:val="20"/>
        </w:rPr>
        <w:t xml:space="preserve"> </w:t>
      </w:r>
      <w:r w:rsidR="009A5F2E" w:rsidRPr="00DF549C">
        <w:rPr>
          <w:rFonts w:ascii="Arial" w:hAnsi="Arial" w:cs="Arial"/>
          <w:sz w:val="20"/>
          <w:szCs w:val="20"/>
        </w:rPr>
        <w:t>T</w:t>
      </w:r>
      <w:r w:rsidR="008C3454" w:rsidRPr="00DF549C">
        <w:rPr>
          <w:rFonts w:ascii="Arial" w:hAnsi="Arial" w:cs="Arial"/>
          <w:sz w:val="20"/>
          <w:szCs w:val="20"/>
        </w:rPr>
        <w:t xml:space="preserve">he common </w:t>
      </w:r>
      <w:proofErr w:type="spellStart"/>
      <w:r w:rsidR="008C3454" w:rsidRPr="00DF549C">
        <w:rPr>
          <w:rFonts w:ascii="Arial" w:hAnsi="Arial" w:cs="Arial"/>
          <w:sz w:val="20"/>
          <w:szCs w:val="20"/>
        </w:rPr>
        <w:t>etiology</w:t>
      </w:r>
      <w:proofErr w:type="spellEnd"/>
      <w:r w:rsidR="008C3454" w:rsidRPr="00DF549C">
        <w:rPr>
          <w:rFonts w:ascii="Arial" w:hAnsi="Arial" w:cs="Arial"/>
          <w:sz w:val="20"/>
          <w:szCs w:val="20"/>
        </w:rPr>
        <w:t xml:space="preserve"> behind the fracture was road traffic accident which accounted for five animals while one dog sustained fracture due to a fall from height. </w:t>
      </w:r>
      <w:r w:rsidR="00F77330" w:rsidRPr="00DF549C">
        <w:rPr>
          <w:rFonts w:ascii="Arial" w:hAnsi="Arial" w:cs="Arial"/>
          <w:sz w:val="20"/>
          <w:szCs w:val="20"/>
        </w:rPr>
        <w:t xml:space="preserve">Earlier research by Aithal et al. (1999), Beale (2004), </w:t>
      </w:r>
      <w:proofErr w:type="spellStart"/>
      <w:r w:rsidR="00F77330" w:rsidRPr="00DF549C">
        <w:rPr>
          <w:rFonts w:ascii="Arial" w:hAnsi="Arial" w:cs="Arial"/>
          <w:sz w:val="20"/>
          <w:szCs w:val="20"/>
        </w:rPr>
        <w:t>Libardoni</w:t>
      </w:r>
      <w:proofErr w:type="spellEnd"/>
      <w:r w:rsidR="00F77330" w:rsidRPr="00DF549C">
        <w:rPr>
          <w:rFonts w:ascii="Arial" w:hAnsi="Arial" w:cs="Arial"/>
          <w:sz w:val="20"/>
          <w:szCs w:val="20"/>
        </w:rPr>
        <w:t xml:space="preserve"> et al. (2016), </w:t>
      </w:r>
      <w:proofErr w:type="spellStart"/>
      <w:r w:rsidR="00F77330" w:rsidRPr="00DF549C">
        <w:rPr>
          <w:rFonts w:ascii="Arial" w:hAnsi="Arial" w:cs="Arial"/>
          <w:sz w:val="20"/>
          <w:szCs w:val="20"/>
        </w:rPr>
        <w:t>Vallefuoco</w:t>
      </w:r>
      <w:proofErr w:type="spellEnd"/>
      <w:r w:rsidR="00F77330" w:rsidRPr="00DF549C">
        <w:rPr>
          <w:rFonts w:ascii="Arial" w:hAnsi="Arial" w:cs="Arial"/>
          <w:sz w:val="20"/>
          <w:szCs w:val="20"/>
        </w:rPr>
        <w:t xml:space="preserve"> et al. (2016) and Kallianpur et al. (2018) has documented similar results.</w:t>
      </w:r>
      <w:r w:rsidR="00620537" w:rsidRPr="00DF549C">
        <w:rPr>
          <w:rFonts w:ascii="Arial" w:hAnsi="Arial" w:cs="Arial"/>
          <w:sz w:val="20"/>
          <w:szCs w:val="20"/>
        </w:rPr>
        <w:t xml:space="preserve"> </w:t>
      </w:r>
      <w:r w:rsidR="00135321" w:rsidRPr="00DF549C">
        <w:rPr>
          <w:rFonts w:ascii="Arial" w:hAnsi="Arial" w:cs="Arial"/>
          <w:sz w:val="20"/>
          <w:szCs w:val="20"/>
        </w:rPr>
        <w:t>The</w:t>
      </w:r>
      <w:r w:rsidR="00620537" w:rsidRPr="00DF549C">
        <w:rPr>
          <w:rFonts w:ascii="Arial" w:hAnsi="Arial" w:cs="Arial"/>
          <w:sz w:val="20"/>
          <w:szCs w:val="20"/>
        </w:rPr>
        <w:t xml:space="preserve"> </w:t>
      </w:r>
      <w:r w:rsidR="00135321" w:rsidRPr="00DF549C">
        <w:rPr>
          <w:rFonts w:ascii="Arial" w:hAnsi="Arial" w:cs="Arial"/>
          <w:sz w:val="20"/>
          <w:szCs w:val="20"/>
        </w:rPr>
        <w:t xml:space="preserve">mean time to repair was </w:t>
      </w:r>
      <w:r w:rsidR="00135321" w:rsidRPr="00DF549C">
        <w:rPr>
          <w:rStyle w:val="Strong"/>
          <w:rFonts w:ascii="Arial" w:hAnsi="Arial" w:cs="Arial"/>
          <w:b w:val="0"/>
          <w:bCs w:val="0"/>
          <w:sz w:val="20"/>
          <w:szCs w:val="20"/>
        </w:rPr>
        <w:t>11 ± 3.60 days, and the</w:t>
      </w:r>
      <w:r w:rsidR="00135321" w:rsidRPr="00DF549C">
        <w:rPr>
          <w:rFonts w:ascii="Arial" w:hAnsi="Arial" w:cs="Arial"/>
          <w:sz w:val="20"/>
          <w:szCs w:val="20"/>
        </w:rPr>
        <w:t xml:space="preserve"> time interval between injury and surgical intervention ranged from 5 to 28 days.</w:t>
      </w:r>
      <w:r w:rsidR="008C3454" w:rsidRPr="00DF549C">
        <w:rPr>
          <w:rFonts w:ascii="Arial" w:hAnsi="Arial" w:cs="Arial"/>
          <w:sz w:val="20"/>
          <w:szCs w:val="20"/>
        </w:rPr>
        <w:t xml:space="preserve"> </w:t>
      </w:r>
      <w:r w:rsidR="0007794F" w:rsidRPr="00DF549C">
        <w:rPr>
          <w:rFonts w:ascii="Arial" w:hAnsi="Arial" w:cs="Arial"/>
          <w:sz w:val="20"/>
          <w:szCs w:val="20"/>
        </w:rPr>
        <w:t>Animal A5 had the longest time delay with a time period of 28 days and showed quadriceps contracture.</w:t>
      </w:r>
      <w:r w:rsidR="001375F4" w:rsidRPr="00DF549C">
        <w:rPr>
          <w:rFonts w:ascii="Arial" w:hAnsi="Arial" w:cs="Arial"/>
          <w:sz w:val="20"/>
          <w:szCs w:val="20"/>
        </w:rPr>
        <w:t xml:space="preserve"> The current study found that the interval between the fracture occurrence and its fixation was longer than the </w:t>
      </w:r>
      <w:proofErr w:type="gramStart"/>
      <w:r w:rsidR="001375F4" w:rsidRPr="00DF549C">
        <w:rPr>
          <w:rFonts w:ascii="Arial" w:hAnsi="Arial" w:cs="Arial"/>
          <w:sz w:val="20"/>
          <w:szCs w:val="20"/>
        </w:rPr>
        <w:t>five day</w:t>
      </w:r>
      <w:proofErr w:type="gramEnd"/>
      <w:r w:rsidR="001375F4" w:rsidRPr="00DF549C">
        <w:rPr>
          <w:rFonts w:ascii="Arial" w:hAnsi="Arial" w:cs="Arial"/>
          <w:sz w:val="20"/>
          <w:szCs w:val="20"/>
        </w:rPr>
        <w:t xml:space="preserve"> period reported by Wangchuk et al. (2021) and Gopinathan et al. (20</w:t>
      </w:r>
      <w:r w:rsidR="0047117E" w:rsidRPr="00DF549C">
        <w:rPr>
          <w:rFonts w:ascii="Arial" w:hAnsi="Arial" w:cs="Arial"/>
          <w:sz w:val="20"/>
          <w:szCs w:val="20"/>
        </w:rPr>
        <w:t>23</w:t>
      </w:r>
      <w:r w:rsidR="001375F4" w:rsidRPr="00DF549C">
        <w:rPr>
          <w:rFonts w:ascii="Arial" w:hAnsi="Arial" w:cs="Arial"/>
          <w:sz w:val="20"/>
          <w:szCs w:val="20"/>
        </w:rPr>
        <w:t xml:space="preserve">).  </w:t>
      </w:r>
      <w:r w:rsidR="00AC4B76" w:rsidRPr="00DF549C">
        <w:rPr>
          <w:rFonts w:ascii="Arial" w:hAnsi="Arial" w:cs="Arial"/>
          <w:sz w:val="20"/>
          <w:szCs w:val="20"/>
        </w:rPr>
        <w:t>The d</w:t>
      </w:r>
      <w:r w:rsidR="00180FFF" w:rsidRPr="00DF549C">
        <w:rPr>
          <w:rFonts w:ascii="Arial" w:hAnsi="Arial" w:cs="Arial"/>
          <w:sz w:val="20"/>
          <w:szCs w:val="20"/>
        </w:rPr>
        <w:t>etails of dogs with femur fracture repaired using plate rod technique</w:t>
      </w:r>
      <w:r w:rsidR="00AC4B76" w:rsidRPr="00DF549C">
        <w:rPr>
          <w:rFonts w:ascii="Arial" w:hAnsi="Arial" w:cs="Arial"/>
          <w:sz w:val="20"/>
          <w:szCs w:val="20"/>
        </w:rPr>
        <w:t xml:space="preserve"> are given in table </w:t>
      </w:r>
      <w:r w:rsidR="0014115A" w:rsidRPr="00DF549C">
        <w:rPr>
          <w:rFonts w:ascii="Arial" w:hAnsi="Arial" w:cs="Arial"/>
          <w:sz w:val="20"/>
          <w:szCs w:val="20"/>
        </w:rPr>
        <w:t>1.</w:t>
      </w:r>
    </w:p>
    <w:p w14:paraId="5044F8BE" w14:textId="2B2BCA15" w:rsidR="008C3454" w:rsidRPr="00DF549C" w:rsidRDefault="00DA7E39" w:rsidP="00DF549C">
      <w:pPr>
        <w:spacing w:line="360" w:lineRule="auto"/>
        <w:ind w:firstLine="720"/>
        <w:jc w:val="both"/>
        <w:rPr>
          <w:rFonts w:ascii="Arial" w:hAnsi="Arial" w:cs="Arial"/>
          <w:sz w:val="20"/>
          <w:szCs w:val="20"/>
        </w:rPr>
      </w:pPr>
      <w:r w:rsidRPr="00DF549C">
        <w:rPr>
          <w:rFonts w:ascii="Arial" w:hAnsi="Arial" w:cs="Arial"/>
          <w:sz w:val="20"/>
          <w:szCs w:val="20"/>
        </w:rPr>
        <w:t xml:space="preserve"> </w:t>
      </w:r>
      <w:r w:rsidR="0007794F" w:rsidRPr="00DF549C">
        <w:rPr>
          <w:rFonts w:ascii="Arial" w:hAnsi="Arial" w:cs="Arial"/>
          <w:sz w:val="20"/>
          <w:szCs w:val="20"/>
        </w:rPr>
        <w:t>The general body condition of the animals was good on the day of presentation.</w:t>
      </w:r>
      <w:r w:rsidR="00154C9D" w:rsidRPr="00DF549C">
        <w:rPr>
          <w:rFonts w:ascii="Arial" w:hAnsi="Arial" w:cs="Arial"/>
          <w:sz w:val="20"/>
          <w:szCs w:val="20"/>
        </w:rPr>
        <w:t xml:space="preserve"> </w:t>
      </w:r>
      <w:r w:rsidR="00F1558B" w:rsidRPr="00DF549C">
        <w:rPr>
          <w:rFonts w:ascii="Arial" w:hAnsi="Arial" w:cs="Arial"/>
          <w:sz w:val="20"/>
          <w:szCs w:val="20"/>
        </w:rPr>
        <w:t>All dogs, irrespective of the group, showed severe pain, crepitus, oedema, and non-weight-bearing lameness of the affected limbs.</w:t>
      </w:r>
    </w:p>
    <w:p w14:paraId="3ABA988F" w14:textId="0669B01B" w:rsidR="00F1558B" w:rsidRPr="00DF549C" w:rsidRDefault="00F1558B" w:rsidP="00DF549C">
      <w:pPr>
        <w:pStyle w:val="ListParagraph"/>
        <w:spacing w:line="360" w:lineRule="auto"/>
        <w:ind w:left="0" w:firstLine="720"/>
        <w:jc w:val="both"/>
        <w:rPr>
          <w:rFonts w:ascii="Arial" w:hAnsi="Arial" w:cs="Arial"/>
          <w:sz w:val="20"/>
          <w:szCs w:val="20"/>
        </w:rPr>
      </w:pPr>
      <w:r w:rsidRPr="00DF549C">
        <w:rPr>
          <w:rFonts w:ascii="Arial" w:hAnsi="Arial" w:cs="Arial"/>
          <w:sz w:val="20"/>
          <w:szCs w:val="20"/>
        </w:rPr>
        <w:t xml:space="preserve"> </w:t>
      </w:r>
      <w:r w:rsidR="00BC3C0E" w:rsidRPr="00DF549C">
        <w:rPr>
          <w:rFonts w:ascii="Arial" w:hAnsi="Arial" w:cs="Arial"/>
          <w:sz w:val="20"/>
          <w:szCs w:val="20"/>
        </w:rPr>
        <w:t>W</w:t>
      </w:r>
      <w:r w:rsidRPr="00DF549C">
        <w:rPr>
          <w:rFonts w:ascii="Arial" w:hAnsi="Arial" w:cs="Arial"/>
          <w:sz w:val="20"/>
          <w:szCs w:val="20"/>
        </w:rPr>
        <w:t>edge fractures were the most frequently encountered type, accounting for four out of six cases, whereas the remaining two fractures were classified as simple.</w:t>
      </w:r>
      <w:r w:rsidR="00636BA5" w:rsidRPr="00DF549C">
        <w:rPr>
          <w:rFonts w:ascii="Arial" w:hAnsi="Arial" w:cs="Arial"/>
          <w:sz w:val="20"/>
          <w:szCs w:val="20"/>
        </w:rPr>
        <w:t xml:space="preserve"> Similar types of fracture configurations of femur were reported by Reems et al. (2003) and </w:t>
      </w:r>
      <w:proofErr w:type="spellStart"/>
      <w:r w:rsidR="00636BA5" w:rsidRPr="00DF549C">
        <w:rPr>
          <w:rFonts w:ascii="Arial" w:hAnsi="Arial" w:cs="Arial"/>
          <w:sz w:val="20"/>
          <w:szCs w:val="20"/>
        </w:rPr>
        <w:t>Sarangom</w:t>
      </w:r>
      <w:proofErr w:type="spellEnd"/>
      <w:r w:rsidR="00636BA5" w:rsidRPr="00DF549C">
        <w:rPr>
          <w:rFonts w:ascii="Arial" w:hAnsi="Arial" w:cs="Arial"/>
          <w:sz w:val="20"/>
          <w:szCs w:val="20"/>
        </w:rPr>
        <w:t xml:space="preserve"> et al. (2018).  </w:t>
      </w:r>
      <w:r w:rsidR="00F7358E" w:rsidRPr="00DF549C">
        <w:rPr>
          <w:rFonts w:ascii="Arial" w:hAnsi="Arial" w:cs="Arial"/>
          <w:sz w:val="20"/>
          <w:szCs w:val="20"/>
        </w:rPr>
        <w:t>All fractures</w:t>
      </w:r>
      <w:r w:rsidR="00D60BD9" w:rsidRPr="00DF549C">
        <w:rPr>
          <w:rFonts w:ascii="Arial" w:hAnsi="Arial" w:cs="Arial"/>
          <w:sz w:val="20"/>
          <w:szCs w:val="20"/>
        </w:rPr>
        <w:t xml:space="preserve"> in the group were closed fractures.</w:t>
      </w:r>
      <w:r w:rsidRPr="00DF549C">
        <w:rPr>
          <w:rFonts w:ascii="Arial" w:hAnsi="Arial" w:cs="Arial"/>
          <w:sz w:val="20"/>
          <w:szCs w:val="20"/>
        </w:rPr>
        <w:t xml:space="preserve"> </w:t>
      </w:r>
      <w:r w:rsidR="002E3829" w:rsidRPr="00DF549C">
        <w:rPr>
          <w:rFonts w:ascii="Arial" w:hAnsi="Arial" w:cs="Arial"/>
          <w:sz w:val="20"/>
          <w:szCs w:val="20"/>
        </w:rPr>
        <w:t>Regarding the anatomical location, five were mid-diaphyseal and one was proximal.</w:t>
      </w:r>
      <w:r w:rsidRPr="00DF549C">
        <w:rPr>
          <w:rFonts w:ascii="Arial" w:hAnsi="Arial" w:cs="Arial"/>
          <w:sz w:val="20"/>
          <w:szCs w:val="20"/>
        </w:rPr>
        <w:t xml:space="preserve"> </w:t>
      </w:r>
      <w:r w:rsidR="002E3829" w:rsidRPr="00DF549C">
        <w:rPr>
          <w:rFonts w:ascii="Arial" w:hAnsi="Arial" w:cs="Arial"/>
          <w:sz w:val="20"/>
          <w:szCs w:val="20"/>
        </w:rPr>
        <w:t xml:space="preserve">The mean number of fractured fragments (Mean ± SE), including the main proximal and distal fragments in the </w:t>
      </w:r>
      <w:r w:rsidR="00C526B6" w:rsidRPr="00DF549C">
        <w:rPr>
          <w:rFonts w:ascii="Arial" w:hAnsi="Arial" w:cs="Arial"/>
          <w:sz w:val="20"/>
          <w:szCs w:val="20"/>
        </w:rPr>
        <w:t>group</w:t>
      </w:r>
      <w:r w:rsidR="002E3829" w:rsidRPr="00DF549C">
        <w:rPr>
          <w:rFonts w:ascii="Arial" w:hAnsi="Arial" w:cs="Arial"/>
          <w:sz w:val="20"/>
          <w:szCs w:val="20"/>
        </w:rPr>
        <w:t xml:space="preserve"> was 3.33 ± 0.49 (ranged from two to five).</w:t>
      </w:r>
      <w:r w:rsidR="00FF2150" w:rsidRPr="00DF549C">
        <w:rPr>
          <w:rFonts w:ascii="Arial" w:hAnsi="Arial" w:cs="Arial"/>
          <w:sz w:val="20"/>
          <w:szCs w:val="20"/>
        </w:rPr>
        <w:t xml:space="preserve"> </w:t>
      </w:r>
      <w:r w:rsidR="002E3829" w:rsidRPr="00DF549C">
        <w:rPr>
          <w:rFonts w:ascii="Arial" w:hAnsi="Arial" w:cs="Arial"/>
          <w:sz w:val="20"/>
          <w:szCs w:val="20"/>
        </w:rPr>
        <w:t>The mean diameter of the medullary cavity in the group was</w:t>
      </w:r>
      <w:r w:rsidR="00620537" w:rsidRPr="00DF549C">
        <w:rPr>
          <w:rFonts w:ascii="Arial" w:hAnsi="Arial" w:cs="Arial"/>
          <w:sz w:val="20"/>
          <w:szCs w:val="20"/>
        </w:rPr>
        <w:t xml:space="preserve"> </w:t>
      </w:r>
      <w:r w:rsidR="002E3829" w:rsidRPr="00DF549C">
        <w:rPr>
          <w:rFonts w:ascii="Arial" w:hAnsi="Arial" w:cs="Arial"/>
          <w:sz w:val="20"/>
          <w:szCs w:val="20"/>
        </w:rPr>
        <w:t>7.73 ± 0.36</w:t>
      </w:r>
      <w:r w:rsidR="00620537" w:rsidRPr="00DF549C">
        <w:rPr>
          <w:rFonts w:ascii="Arial" w:hAnsi="Arial" w:cs="Arial"/>
          <w:sz w:val="20"/>
          <w:szCs w:val="20"/>
        </w:rPr>
        <w:t xml:space="preserve"> </w:t>
      </w:r>
      <w:r w:rsidR="002E3829" w:rsidRPr="00DF549C">
        <w:rPr>
          <w:rFonts w:ascii="Arial" w:hAnsi="Arial" w:cs="Arial"/>
          <w:sz w:val="20"/>
          <w:szCs w:val="20"/>
        </w:rPr>
        <w:t>(ranged from 6.5 to 9 mm).</w:t>
      </w:r>
      <w:r w:rsidRPr="00DF549C">
        <w:rPr>
          <w:rFonts w:ascii="Arial" w:hAnsi="Arial" w:cs="Arial"/>
          <w:sz w:val="20"/>
          <w:szCs w:val="20"/>
        </w:rPr>
        <w:t xml:space="preserve"> Based on the orientation /complexity, two were </w:t>
      </w:r>
      <w:proofErr w:type="gramStart"/>
      <w:r w:rsidRPr="00DF549C">
        <w:rPr>
          <w:rFonts w:ascii="Arial" w:hAnsi="Arial" w:cs="Arial"/>
          <w:sz w:val="20"/>
          <w:szCs w:val="20"/>
        </w:rPr>
        <w:t>non reducible</w:t>
      </w:r>
      <w:proofErr w:type="gramEnd"/>
      <w:r w:rsidRPr="00DF549C">
        <w:rPr>
          <w:rFonts w:ascii="Arial" w:hAnsi="Arial" w:cs="Arial"/>
          <w:sz w:val="20"/>
          <w:szCs w:val="20"/>
        </w:rPr>
        <w:t xml:space="preserve"> wedge, one was several reducible wedge, one was reducible wedge and two fractures were oblique in configuration.</w:t>
      </w:r>
      <w:r w:rsidR="00F15A03" w:rsidRPr="00DF549C">
        <w:rPr>
          <w:rFonts w:ascii="Arial" w:hAnsi="Arial" w:cs="Arial"/>
          <w:b/>
          <w:bCs/>
          <w:sz w:val="20"/>
          <w:szCs w:val="20"/>
        </w:rPr>
        <w:t xml:space="preserve"> </w:t>
      </w:r>
      <w:r w:rsidR="00F15A03" w:rsidRPr="00DF549C">
        <w:rPr>
          <w:rFonts w:ascii="Arial" w:hAnsi="Arial" w:cs="Arial"/>
          <w:sz w:val="20"/>
          <w:szCs w:val="20"/>
        </w:rPr>
        <w:t>The Configuration of femur fractures of dogs in the study group</w:t>
      </w:r>
      <w:r w:rsidR="00D91517" w:rsidRPr="00DF549C">
        <w:rPr>
          <w:rFonts w:ascii="Arial" w:hAnsi="Arial" w:cs="Arial"/>
          <w:sz w:val="20"/>
          <w:szCs w:val="20"/>
        </w:rPr>
        <w:t xml:space="preserve"> is summarised in table 2.</w:t>
      </w:r>
    </w:p>
    <w:p w14:paraId="799CD2E2" w14:textId="354B718C" w:rsidR="00A3106B" w:rsidRPr="00DF549C" w:rsidRDefault="005B0864" w:rsidP="00DF549C">
      <w:pPr>
        <w:spacing w:line="360" w:lineRule="auto"/>
        <w:ind w:firstLine="720"/>
        <w:jc w:val="both"/>
        <w:rPr>
          <w:rFonts w:ascii="Arial" w:hAnsi="Arial" w:cs="Arial"/>
          <w:color w:val="EE0000"/>
          <w:sz w:val="20"/>
          <w:szCs w:val="20"/>
        </w:rPr>
      </w:pPr>
      <w:r w:rsidRPr="00DF549C">
        <w:rPr>
          <w:rFonts w:ascii="Arial" w:hAnsi="Arial" w:cs="Arial"/>
          <w:sz w:val="20"/>
          <w:szCs w:val="20"/>
        </w:rPr>
        <w:t>All animals in the group demonstrated progressive improvement in the posture score from the day of surgery until the twelfth postoperative week.</w:t>
      </w:r>
      <w:r w:rsidR="000F39B1" w:rsidRPr="00DF549C">
        <w:rPr>
          <w:rFonts w:ascii="Arial" w:hAnsi="Arial" w:cs="Arial"/>
          <w:sz w:val="20"/>
          <w:szCs w:val="20"/>
        </w:rPr>
        <w:t xml:space="preserve"> </w:t>
      </w:r>
      <w:r w:rsidR="009638EE" w:rsidRPr="00DF549C">
        <w:rPr>
          <w:rFonts w:ascii="Arial" w:hAnsi="Arial" w:cs="Arial"/>
          <w:sz w:val="20"/>
          <w:szCs w:val="20"/>
        </w:rPr>
        <w:t>On the day of surgery, all dogs exhibited non-weight-</w:t>
      </w:r>
      <w:r w:rsidR="009638EE" w:rsidRPr="00DF549C">
        <w:rPr>
          <w:rFonts w:ascii="Arial" w:hAnsi="Arial" w:cs="Arial"/>
          <w:sz w:val="20"/>
          <w:szCs w:val="20"/>
        </w:rPr>
        <w:lastRenderedPageBreak/>
        <w:t>bearing lameness, carrying the affected limb off the ground.</w:t>
      </w:r>
      <w:r w:rsidR="000F39B1" w:rsidRPr="00DF549C">
        <w:rPr>
          <w:rFonts w:ascii="Arial" w:hAnsi="Arial" w:cs="Arial"/>
          <w:sz w:val="20"/>
          <w:szCs w:val="20"/>
        </w:rPr>
        <w:t xml:space="preserve"> </w:t>
      </w:r>
      <w:r w:rsidR="009638EE" w:rsidRPr="00DF549C">
        <w:rPr>
          <w:rFonts w:ascii="Arial" w:hAnsi="Arial" w:cs="Arial"/>
          <w:sz w:val="20"/>
          <w:szCs w:val="20"/>
        </w:rPr>
        <w:t xml:space="preserve">By the second postoperative week, three of the six animals (A1, A3, and A6) had begun placing their paw on the ground, whereas the remaining </w:t>
      </w:r>
      <w:proofErr w:type="gramStart"/>
      <w:r w:rsidR="009638EE" w:rsidRPr="00DF549C">
        <w:rPr>
          <w:rFonts w:ascii="Arial" w:hAnsi="Arial" w:cs="Arial"/>
          <w:sz w:val="20"/>
          <w:szCs w:val="20"/>
        </w:rPr>
        <w:t>dogs</w:t>
      </w:r>
      <w:r w:rsidR="00620537" w:rsidRPr="00DF549C">
        <w:rPr>
          <w:rFonts w:ascii="Arial" w:hAnsi="Arial" w:cs="Arial"/>
          <w:sz w:val="20"/>
          <w:szCs w:val="20"/>
        </w:rPr>
        <w:t xml:space="preserve"> </w:t>
      </w:r>
      <w:r w:rsidR="009638EE" w:rsidRPr="00DF549C">
        <w:rPr>
          <w:rFonts w:ascii="Arial" w:hAnsi="Arial" w:cs="Arial"/>
          <w:sz w:val="20"/>
          <w:szCs w:val="20"/>
        </w:rPr>
        <w:t>initiated</w:t>
      </w:r>
      <w:proofErr w:type="gramEnd"/>
      <w:r w:rsidR="009638EE" w:rsidRPr="00DF549C">
        <w:rPr>
          <w:rFonts w:ascii="Arial" w:hAnsi="Arial" w:cs="Arial"/>
          <w:sz w:val="20"/>
          <w:szCs w:val="20"/>
        </w:rPr>
        <w:t xml:space="preserve"> toe-touching.</w:t>
      </w:r>
      <w:r w:rsidR="000F39B1" w:rsidRPr="00DF549C">
        <w:rPr>
          <w:rFonts w:ascii="Arial" w:hAnsi="Arial" w:cs="Arial"/>
          <w:sz w:val="20"/>
          <w:szCs w:val="20"/>
        </w:rPr>
        <w:t xml:space="preserve"> </w:t>
      </w:r>
      <w:r w:rsidR="002222F5" w:rsidRPr="00DF549C">
        <w:rPr>
          <w:rFonts w:ascii="Arial" w:hAnsi="Arial" w:cs="Arial"/>
          <w:sz w:val="20"/>
          <w:szCs w:val="20"/>
        </w:rPr>
        <w:t>The recovery progressed steadily in all cases, and by the twelfth postoperative week, all animals were bearing weight normally on the operated limbs.</w:t>
      </w:r>
      <w:r w:rsidR="009B6F54" w:rsidRPr="00DF549C">
        <w:rPr>
          <w:rFonts w:ascii="Arial" w:hAnsi="Arial" w:cs="Arial"/>
          <w:sz w:val="20"/>
          <w:szCs w:val="20"/>
        </w:rPr>
        <w:t xml:space="preserve"> </w:t>
      </w:r>
      <w:r w:rsidR="001047BD" w:rsidRPr="00DF549C">
        <w:rPr>
          <w:rFonts w:ascii="Arial" w:hAnsi="Arial" w:cs="Arial"/>
          <w:sz w:val="20"/>
          <w:szCs w:val="20"/>
        </w:rPr>
        <w:t>The mean posture score</w:t>
      </w:r>
      <w:r w:rsidR="00620537" w:rsidRPr="00DF549C">
        <w:rPr>
          <w:rFonts w:ascii="Arial" w:hAnsi="Arial" w:cs="Arial"/>
          <w:sz w:val="20"/>
          <w:szCs w:val="20"/>
        </w:rPr>
        <w:t xml:space="preserve"> </w:t>
      </w:r>
      <w:r w:rsidR="0006697D" w:rsidRPr="00DF549C">
        <w:rPr>
          <w:rFonts w:ascii="Arial" w:hAnsi="Arial" w:cs="Arial"/>
          <w:sz w:val="20"/>
          <w:szCs w:val="20"/>
        </w:rPr>
        <w:t>(mean ± SE)</w:t>
      </w:r>
      <w:r w:rsidR="001047BD" w:rsidRPr="00DF549C">
        <w:rPr>
          <w:rFonts w:ascii="Arial" w:hAnsi="Arial" w:cs="Arial"/>
          <w:sz w:val="20"/>
          <w:szCs w:val="20"/>
        </w:rPr>
        <w:t xml:space="preserve"> in </w:t>
      </w:r>
      <w:r w:rsidR="0006697D" w:rsidRPr="00DF549C">
        <w:rPr>
          <w:rFonts w:ascii="Arial" w:hAnsi="Arial" w:cs="Arial"/>
          <w:sz w:val="20"/>
          <w:szCs w:val="20"/>
        </w:rPr>
        <w:t>the</w:t>
      </w:r>
      <w:r w:rsidR="0006697D" w:rsidRPr="00DF549C">
        <w:rPr>
          <w:rFonts w:ascii="Arial" w:hAnsi="Arial" w:cs="Arial"/>
          <w:b/>
          <w:bCs/>
          <w:sz w:val="20"/>
          <w:szCs w:val="20"/>
        </w:rPr>
        <w:t xml:space="preserve"> </w:t>
      </w:r>
      <w:r w:rsidR="0006697D" w:rsidRPr="00DF549C">
        <w:rPr>
          <w:rStyle w:val="Strong"/>
          <w:rFonts w:ascii="Arial" w:hAnsi="Arial" w:cs="Arial"/>
          <w:b w:val="0"/>
          <w:bCs w:val="0"/>
          <w:sz w:val="20"/>
          <w:szCs w:val="20"/>
        </w:rPr>
        <w:t>group in</w:t>
      </w:r>
      <w:r w:rsidR="001047BD" w:rsidRPr="00DF549C">
        <w:rPr>
          <w:rFonts w:ascii="Arial" w:hAnsi="Arial" w:cs="Arial"/>
          <w:sz w:val="20"/>
          <w:szCs w:val="20"/>
        </w:rPr>
        <w:t xml:space="preserve">creased from </w:t>
      </w:r>
      <w:r w:rsidR="001047BD" w:rsidRPr="00DF549C">
        <w:rPr>
          <w:rStyle w:val="Strong"/>
          <w:rFonts w:ascii="Arial" w:hAnsi="Arial" w:cs="Arial"/>
          <w:b w:val="0"/>
          <w:bCs w:val="0"/>
          <w:sz w:val="20"/>
          <w:szCs w:val="20"/>
        </w:rPr>
        <w:t>1.00 ± 0.00</w:t>
      </w:r>
      <w:r w:rsidR="001047BD" w:rsidRPr="00DF549C">
        <w:rPr>
          <w:rFonts w:ascii="Arial" w:hAnsi="Arial" w:cs="Arial"/>
          <w:sz w:val="20"/>
          <w:szCs w:val="20"/>
        </w:rPr>
        <w:t xml:space="preserve"> at week 0 to </w:t>
      </w:r>
      <w:r w:rsidR="001047BD" w:rsidRPr="00DF549C">
        <w:rPr>
          <w:rStyle w:val="Strong"/>
          <w:rFonts w:ascii="Arial" w:hAnsi="Arial" w:cs="Arial"/>
          <w:b w:val="0"/>
          <w:bCs w:val="0"/>
          <w:sz w:val="20"/>
          <w:szCs w:val="20"/>
        </w:rPr>
        <w:t>2.50 ± 0.22</w:t>
      </w:r>
      <w:r w:rsidR="001047BD" w:rsidRPr="00DF549C">
        <w:rPr>
          <w:rFonts w:ascii="Arial" w:hAnsi="Arial" w:cs="Arial"/>
          <w:b/>
          <w:bCs/>
          <w:sz w:val="20"/>
          <w:szCs w:val="20"/>
        </w:rPr>
        <w:t xml:space="preserve">, </w:t>
      </w:r>
      <w:r w:rsidR="001047BD" w:rsidRPr="00DF549C">
        <w:rPr>
          <w:rStyle w:val="Strong"/>
          <w:rFonts w:ascii="Arial" w:hAnsi="Arial" w:cs="Arial"/>
          <w:b w:val="0"/>
          <w:bCs w:val="0"/>
          <w:sz w:val="20"/>
          <w:szCs w:val="20"/>
        </w:rPr>
        <w:t>2.67 ± 0.21</w:t>
      </w:r>
      <w:r w:rsidR="001047BD" w:rsidRPr="00DF549C">
        <w:rPr>
          <w:rFonts w:ascii="Arial" w:hAnsi="Arial" w:cs="Arial"/>
          <w:b/>
          <w:bCs/>
          <w:sz w:val="20"/>
          <w:szCs w:val="20"/>
        </w:rPr>
        <w:t xml:space="preserve">, </w:t>
      </w:r>
      <w:r w:rsidR="001047BD" w:rsidRPr="00DF549C">
        <w:rPr>
          <w:rStyle w:val="Strong"/>
          <w:rFonts w:ascii="Arial" w:hAnsi="Arial" w:cs="Arial"/>
          <w:b w:val="0"/>
          <w:bCs w:val="0"/>
          <w:sz w:val="20"/>
          <w:szCs w:val="20"/>
        </w:rPr>
        <w:t>3.00 ± 0.00</w:t>
      </w:r>
      <w:r w:rsidR="001047BD" w:rsidRPr="00DF549C">
        <w:rPr>
          <w:rFonts w:ascii="Arial" w:hAnsi="Arial" w:cs="Arial"/>
          <w:b/>
          <w:bCs/>
          <w:sz w:val="20"/>
          <w:szCs w:val="20"/>
        </w:rPr>
        <w:t xml:space="preserve">, </w:t>
      </w:r>
      <w:r w:rsidR="001047BD" w:rsidRPr="00DF549C">
        <w:rPr>
          <w:rFonts w:ascii="Arial" w:hAnsi="Arial" w:cs="Arial"/>
          <w:sz w:val="20"/>
          <w:szCs w:val="20"/>
        </w:rPr>
        <w:t xml:space="preserve">and </w:t>
      </w:r>
      <w:r w:rsidR="001047BD" w:rsidRPr="00DF549C">
        <w:rPr>
          <w:rStyle w:val="Strong"/>
          <w:rFonts w:ascii="Arial" w:hAnsi="Arial" w:cs="Arial"/>
          <w:b w:val="0"/>
          <w:bCs w:val="0"/>
          <w:sz w:val="20"/>
          <w:szCs w:val="20"/>
        </w:rPr>
        <w:t>3.00 ± 0.00</w:t>
      </w:r>
      <w:r w:rsidR="001047BD" w:rsidRPr="00DF549C">
        <w:rPr>
          <w:rFonts w:ascii="Arial" w:hAnsi="Arial" w:cs="Arial"/>
          <w:sz w:val="20"/>
          <w:szCs w:val="20"/>
        </w:rPr>
        <w:t xml:space="preserve"> at weeks 2, 4, 8, and 12 respectively</w:t>
      </w:r>
    </w:p>
    <w:p w14:paraId="6097E503" w14:textId="1B56658F" w:rsidR="009B6F54" w:rsidRPr="00DF549C" w:rsidRDefault="002222F5" w:rsidP="00DF549C">
      <w:pPr>
        <w:spacing w:line="360" w:lineRule="auto"/>
        <w:ind w:firstLine="720"/>
        <w:jc w:val="both"/>
        <w:rPr>
          <w:rFonts w:ascii="Arial" w:hAnsi="Arial" w:cs="Arial"/>
          <w:sz w:val="20"/>
          <w:szCs w:val="20"/>
        </w:rPr>
      </w:pPr>
      <w:r w:rsidRPr="00DF549C">
        <w:rPr>
          <w:rFonts w:ascii="Arial" w:hAnsi="Arial" w:cs="Arial"/>
          <w:sz w:val="20"/>
          <w:szCs w:val="20"/>
        </w:rPr>
        <w:t xml:space="preserve">The gait scores in the group </w:t>
      </w:r>
      <w:r w:rsidR="00E37838" w:rsidRPr="00DF549C">
        <w:rPr>
          <w:rFonts w:ascii="Arial" w:hAnsi="Arial" w:cs="Arial"/>
          <w:sz w:val="20"/>
          <w:szCs w:val="20"/>
        </w:rPr>
        <w:t>showed progressive</w:t>
      </w:r>
      <w:r w:rsidRPr="00DF549C">
        <w:rPr>
          <w:rFonts w:ascii="Arial" w:hAnsi="Arial" w:cs="Arial"/>
          <w:sz w:val="20"/>
          <w:szCs w:val="20"/>
        </w:rPr>
        <w:t xml:space="preserve"> improvement throughout the observation period.</w:t>
      </w:r>
      <w:r w:rsidR="009B6F54" w:rsidRPr="00DF549C">
        <w:rPr>
          <w:rFonts w:ascii="Arial" w:hAnsi="Arial" w:cs="Arial"/>
          <w:sz w:val="20"/>
          <w:szCs w:val="20"/>
        </w:rPr>
        <w:t xml:space="preserve"> </w:t>
      </w:r>
      <w:r w:rsidR="009806C8" w:rsidRPr="00DF549C">
        <w:rPr>
          <w:rFonts w:ascii="Arial" w:hAnsi="Arial" w:cs="Arial"/>
          <w:sz w:val="20"/>
          <w:szCs w:val="20"/>
        </w:rPr>
        <w:t>Two animals (A1 and A3) began placing their paws on the ground with every step from the second postoperative week onwards.</w:t>
      </w:r>
      <w:r w:rsidR="009B6F54" w:rsidRPr="00DF549C">
        <w:rPr>
          <w:rFonts w:ascii="Arial" w:hAnsi="Arial" w:cs="Arial"/>
          <w:sz w:val="20"/>
          <w:szCs w:val="20"/>
        </w:rPr>
        <w:t xml:space="preserve"> The remaining animals also demonstrated steady and consistent improvement in their gait, achieving optimal gait scores by the eighth postoperative week, characteri</w:t>
      </w:r>
      <w:r w:rsidR="00774E3E" w:rsidRPr="00DF549C">
        <w:rPr>
          <w:rFonts w:ascii="Arial" w:hAnsi="Arial" w:cs="Arial"/>
          <w:sz w:val="20"/>
          <w:szCs w:val="20"/>
        </w:rPr>
        <w:t>s</w:t>
      </w:r>
      <w:r w:rsidR="009B6F54" w:rsidRPr="00DF549C">
        <w:rPr>
          <w:rFonts w:ascii="Arial" w:hAnsi="Arial" w:cs="Arial"/>
          <w:sz w:val="20"/>
          <w:szCs w:val="20"/>
        </w:rPr>
        <w:t xml:space="preserve">ed by consistent paw placement with each step. </w:t>
      </w:r>
      <w:r w:rsidR="00534F9E" w:rsidRPr="00DF549C">
        <w:rPr>
          <w:rFonts w:ascii="Arial" w:hAnsi="Arial" w:cs="Arial"/>
          <w:sz w:val="20"/>
          <w:szCs w:val="20"/>
        </w:rPr>
        <w:t>By the 12</w:t>
      </w:r>
      <w:r w:rsidR="00534F9E" w:rsidRPr="00DF549C">
        <w:rPr>
          <w:rFonts w:ascii="Arial" w:hAnsi="Arial" w:cs="Arial"/>
          <w:sz w:val="20"/>
          <w:szCs w:val="20"/>
          <w:vertAlign w:val="superscript"/>
        </w:rPr>
        <w:t>th</w:t>
      </w:r>
      <w:r w:rsidR="00534F9E" w:rsidRPr="00DF549C">
        <w:rPr>
          <w:rFonts w:ascii="Arial" w:hAnsi="Arial" w:cs="Arial"/>
          <w:sz w:val="20"/>
          <w:szCs w:val="20"/>
        </w:rPr>
        <w:t xml:space="preserve"> week, all animals had perfect gait scores with complete weight bearing during running and walking.</w:t>
      </w:r>
      <w:r w:rsidR="00DC1E87" w:rsidRPr="00DF549C">
        <w:rPr>
          <w:rFonts w:ascii="Arial" w:hAnsi="Arial" w:cs="Arial"/>
          <w:sz w:val="20"/>
          <w:szCs w:val="20"/>
        </w:rPr>
        <w:t xml:space="preserve"> </w:t>
      </w:r>
      <w:r w:rsidR="00534F9E" w:rsidRPr="00DF549C">
        <w:rPr>
          <w:rFonts w:ascii="Arial" w:hAnsi="Arial" w:cs="Arial"/>
          <w:sz w:val="20"/>
          <w:szCs w:val="20"/>
        </w:rPr>
        <w:t>The mean gait score</w:t>
      </w:r>
      <w:r w:rsidR="00312118" w:rsidRPr="00DF549C">
        <w:rPr>
          <w:rFonts w:ascii="Arial" w:hAnsi="Arial" w:cs="Arial"/>
          <w:sz w:val="20"/>
          <w:szCs w:val="20"/>
        </w:rPr>
        <w:t xml:space="preserve"> </w:t>
      </w:r>
      <w:r w:rsidR="00534F9E" w:rsidRPr="00DF549C">
        <w:rPr>
          <w:rFonts w:ascii="Arial" w:hAnsi="Arial" w:cs="Arial"/>
          <w:sz w:val="20"/>
          <w:szCs w:val="20"/>
        </w:rPr>
        <w:t xml:space="preserve">(mean ± SE) in the group improved from </w:t>
      </w:r>
      <w:r w:rsidR="00534F9E" w:rsidRPr="00DF549C">
        <w:rPr>
          <w:rStyle w:val="Strong"/>
          <w:rFonts w:ascii="Arial" w:hAnsi="Arial" w:cs="Arial"/>
          <w:b w:val="0"/>
          <w:bCs w:val="0"/>
          <w:sz w:val="20"/>
          <w:szCs w:val="20"/>
        </w:rPr>
        <w:t>1.00 ± 0.00</w:t>
      </w:r>
      <w:r w:rsidR="00534F9E" w:rsidRPr="00DF549C">
        <w:rPr>
          <w:rFonts w:ascii="Arial" w:hAnsi="Arial" w:cs="Arial"/>
          <w:sz w:val="20"/>
          <w:szCs w:val="20"/>
        </w:rPr>
        <w:t xml:space="preserve"> at week 0 to </w:t>
      </w:r>
      <w:r w:rsidR="00534F9E" w:rsidRPr="00DF549C">
        <w:rPr>
          <w:rStyle w:val="Strong"/>
          <w:rFonts w:ascii="Arial" w:hAnsi="Arial" w:cs="Arial"/>
          <w:b w:val="0"/>
          <w:bCs w:val="0"/>
          <w:sz w:val="20"/>
          <w:szCs w:val="20"/>
        </w:rPr>
        <w:t>3.17 ± 0.60</w:t>
      </w:r>
      <w:r w:rsidR="00534F9E" w:rsidRPr="00DF549C">
        <w:rPr>
          <w:rFonts w:ascii="Arial" w:hAnsi="Arial" w:cs="Arial"/>
          <w:sz w:val="20"/>
          <w:szCs w:val="20"/>
        </w:rPr>
        <w:t xml:space="preserve">, </w:t>
      </w:r>
      <w:r w:rsidR="00534F9E" w:rsidRPr="00DF549C">
        <w:rPr>
          <w:rStyle w:val="Strong"/>
          <w:rFonts w:ascii="Arial" w:hAnsi="Arial" w:cs="Arial"/>
          <w:b w:val="0"/>
          <w:bCs w:val="0"/>
          <w:sz w:val="20"/>
          <w:szCs w:val="20"/>
        </w:rPr>
        <w:t>4.17 ± 0.40</w:t>
      </w:r>
      <w:r w:rsidR="00534F9E" w:rsidRPr="00DF549C">
        <w:rPr>
          <w:rFonts w:ascii="Arial" w:hAnsi="Arial" w:cs="Arial"/>
          <w:b/>
          <w:bCs/>
          <w:sz w:val="20"/>
          <w:szCs w:val="20"/>
        </w:rPr>
        <w:t xml:space="preserve">, </w:t>
      </w:r>
      <w:r w:rsidR="00534F9E" w:rsidRPr="00DF549C">
        <w:rPr>
          <w:rStyle w:val="Strong"/>
          <w:rFonts w:ascii="Arial" w:hAnsi="Arial" w:cs="Arial"/>
          <w:b w:val="0"/>
          <w:bCs w:val="0"/>
          <w:sz w:val="20"/>
          <w:szCs w:val="20"/>
        </w:rPr>
        <w:t>5.00 ± 0.00</w:t>
      </w:r>
      <w:r w:rsidR="00534F9E" w:rsidRPr="00DF549C">
        <w:rPr>
          <w:rFonts w:ascii="Arial" w:hAnsi="Arial" w:cs="Arial"/>
          <w:sz w:val="20"/>
          <w:szCs w:val="20"/>
        </w:rPr>
        <w:t xml:space="preserve">, and </w:t>
      </w:r>
      <w:r w:rsidR="00534F9E" w:rsidRPr="00DF549C">
        <w:rPr>
          <w:rStyle w:val="Strong"/>
          <w:rFonts w:ascii="Arial" w:hAnsi="Arial" w:cs="Arial"/>
          <w:b w:val="0"/>
          <w:bCs w:val="0"/>
          <w:sz w:val="20"/>
          <w:szCs w:val="20"/>
        </w:rPr>
        <w:t>5.00 ± 0.00</w:t>
      </w:r>
      <w:r w:rsidR="00534F9E" w:rsidRPr="00DF549C">
        <w:rPr>
          <w:rFonts w:ascii="Arial" w:hAnsi="Arial" w:cs="Arial"/>
          <w:sz w:val="20"/>
          <w:szCs w:val="20"/>
        </w:rPr>
        <w:t xml:space="preserve"> at weeks 2, 4, 8, and 12, respectively.</w:t>
      </w:r>
    </w:p>
    <w:p w14:paraId="4F2A2B81" w14:textId="2A4FC527" w:rsidR="00774E3E" w:rsidRPr="00DF549C" w:rsidRDefault="00774E3E" w:rsidP="00DF549C">
      <w:pPr>
        <w:pStyle w:val="NormalWeb"/>
        <w:spacing w:line="360" w:lineRule="auto"/>
        <w:ind w:firstLine="720"/>
        <w:jc w:val="both"/>
        <w:rPr>
          <w:rFonts w:ascii="Arial" w:hAnsi="Arial" w:cs="Arial"/>
          <w:color w:val="EE0000"/>
          <w:sz w:val="20"/>
          <w:szCs w:val="20"/>
        </w:rPr>
      </w:pPr>
      <w:r w:rsidRPr="00DF549C">
        <w:rPr>
          <w:rFonts w:ascii="Arial" w:hAnsi="Arial" w:cs="Arial"/>
          <w:sz w:val="20"/>
          <w:szCs w:val="20"/>
        </w:rPr>
        <w:t xml:space="preserve">All animals in the </w:t>
      </w:r>
      <w:r w:rsidR="00F80F77" w:rsidRPr="00DF549C">
        <w:rPr>
          <w:rFonts w:ascii="Arial" w:hAnsi="Arial" w:cs="Arial"/>
          <w:sz w:val="20"/>
          <w:szCs w:val="20"/>
        </w:rPr>
        <w:t>group exhibited</w:t>
      </w:r>
      <w:r w:rsidRPr="00DF549C">
        <w:rPr>
          <w:rFonts w:ascii="Arial" w:hAnsi="Arial" w:cs="Arial"/>
          <w:sz w:val="20"/>
          <w:szCs w:val="20"/>
        </w:rPr>
        <w:t xml:space="preserve"> severe lameness at presentation, characterised by an inability to place the toe or foot on the ground during standing and ambulation. </w:t>
      </w:r>
      <w:r w:rsidR="005D5DFA" w:rsidRPr="00DF549C">
        <w:rPr>
          <w:rFonts w:ascii="Arial" w:hAnsi="Arial" w:cs="Arial"/>
          <w:sz w:val="20"/>
          <w:szCs w:val="20"/>
        </w:rPr>
        <w:t>Consistent and progressive improvements in lameness scores were observed throughout the postoperative period.</w:t>
      </w:r>
      <w:r w:rsidRPr="00DF549C">
        <w:rPr>
          <w:rFonts w:ascii="Arial" w:hAnsi="Arial" w:cs="Arial"/>
          <w:sz w:val="20"/>
          <w:szCs w:val="20"/>
        </w:rPr>
        <w:t xml:space="preserve"> By the second postoperative week, animal A3 had regained a sound gait, whereas animal A2 continued to exhibit severe lameness. </w:t>
      </w:r>
      <w:r w:rsidR="00FA6313" w:rsidRPr="00DF549C">
        <w:rPr>
          <w:rFonts w:ascii="Arial" w:hAnsi="Arial" w:cs="Arial"/>
          <w:sz w:val="20"/>
          <w:szCs w:val="20"/>
        </w:rPr>
        <w:t>The remaining animals demonstrated mild-to-moderate lameness at this stage. Subsequently, lameness scores improved steadily in all cases, and by the twelfth postoperative week, all animals in the group had achieved a sound gait.</w:t>
      </w:r>
      <w:r w:rsidRPr="00DF549C">
        <w:rPr>
          <w:rFonts w:ascii="Arial" w:hAnsi="Arial" w:cs="Arial"/>
          <w:sz w:val="20"/>
          <w:szCs w:val="20"/>
        </w:rPr>
        <w:t xml:space="preserve"> </w:t>
      </w:r>
      <w:r w:rsidR="00FA6313" w:rsidRPr="00DF549C">
        <w:rPr>
          <w:rFonts w:ascii="Arial" w:hAnsi="Arial" w:cs="Arial"/>
          <w:sz w:val="20"/>
          <w:szCs w:val="20"/>
        </w:rPr>
        <w:t>The mean lameness score</w:t>
      </w:r>
      <w:r w:rsidR="00620537" w:rsidRPr="00DF549C">
        <w:rPr>
          <w:rFonts w:ascii="Arial" w:hAnsi="Arial" w:cs="Arial"/>
          <w:sz w:val="20"/>
          <w:szCs w:val="20"/>
        </w:rPr>
        <w:t xml:space="preserve"> </w:t>
      </w:r>
      <w:r w:rsidR="00FA6313" w:rsidRPr="00DF549C">
        <w:rPr>
          <w:rFonts w:ascii="Arial" w:hAnsi="Arial" w:cs="Arial"/>
          <w:sz w:val="20"/>
          <w:szCs w:val="20"/>
        </w:rPr>
        <w:t xml:space="preserve">(mean ± SE) in the </w:t>
      </w:r>
      <w:r w:rsidR="00FA6313" w:rsidRPr="00DF549C">
        <w:rPr>
          <w:rStyle w:val="Strong"/>
          <w:rFonts w:ascii="Arial" w:eastAsiaTheme="majorEastAsia" w:hAnsi="Arial" w:cs="Arial"/>
          <w:b w:val="0"/>
          <w:bCs w:val="0"/>
          <w:sz w:val="20"/>
          <w:szCs w:val="20"/>
        </w:rPr>
        <w:t xml:space="preserve">group </w:t>
      </w:r>
      <w:r w:rsidR="00FA6313" w:rsidRPr="00DF549C">
        <w:rPr>
          <w:rFonts w:ascii="Arial" w:hAnsi="Arial" w:cs="Arial"/>
          <w:sz w:val="20"/>
          <w:szCs w:val="20"/>
        </w:rPr>
        <w:t xml:space="preserve">decreased from </w:t>
      </w:r>
      <w:r w:rsidR="00FA6313" w:rsidRPr="00DF549C">
        <w:rPr>
          <w:rStyle w:val="Strong"/>
          <w:rFonts w:ascii="Arial" w:eastAsiaTheme="majorEastAsia" w:hAnsi="Arial" w:cs="Arial"/>
          <w:b w:val="0"/>
          <w:bCs w:val="0"/>
          <w:sz w:val="20"/>
          <w:szCs w:val="20"/>
        </w:rPr>
        <w:t>10.00 ± 0.00</w:t>
      </w:r>
      <w:r w:rsidR="00FA6313" w:rsidRPr="00DF549C">
        <w:rPr>
          <w:rFonts w:ascii="Arial" w:hAnsi="Arial" w:cs="Arial"/>
          <w:sz w:val="20"/>
          <w:szCs w:val="20"/>
        </w:rPr>
        <w:t xml:space="preserve"> at week 0 to </w:t>
      </w:r>
      <w:r w:rsidR="00FA6313" w:rsidRPr="00DF549C">
        <w:rPr>
          <w:rStyle w:val="Strong"/>
          <w:rFonts w:ascii="Arial" w:eastAsiaTheme="majorEastAsia" w:hAnsi="Arial" w:cs="Arial"/>
          <w:b w:val="0"/>
          <w:bCs w:val="0"/>
          <w:sz w:val="20"/>
          <w:szCs w:val="20"/>
        </w:rPr>
        <w:t>5.67 ± 1.50</w:t>
      </w:r>
      <w:r w:rsidR="00FA6313" w:rsidRPr="00DF549C">
        <w:rPr>
          <w:rFonts w:ascii="Arial" w:hAnsi="Arial" w:cs="Arial"/>
          <w:b/>
          <w:bCs/>
          <w:sz w:val="20"/>
          <w:szCs w:val="20"/>
        </w:rPr>
        <w:t xml:space="preserve">, </w:t>
      </w:r>
      <w:r w:rsidR="00FA6313" w:rsidRPr="00DF549C">
        <w:rPr>
          <w:rStyle w:val="Strong"/>
          <w:rFonts w:ascii="Arial" w:eastAsiaTheme="majorEastAsia" w:hAnsi="Arial" w:cs="Arial"/>
          <w:b w:val="0"/>
          <w:bCs w:val="0"/>
          <w:sz w:val="20"/>
          <w:szCs w:val="20"/>
        </w:rPr>
        <w:t>3.50 ± 1.20</w:t>
      </w:r>
      <w:r w:rsidR="00FA6313" w:rsidRPr="00DF549C">
        <w:rPr>
          <w:rFonts w:ascii="Arial" w:hAnsi="Arial" w:cs="Arial"/>
          <w:b/>
          <w:bCs/>
          <w:sz w:val="20"/>
          <w:szCs w:val="20"/>
        </w:rPr>
        <w:t xml:space="preserve">, </w:t>
      </w:r>
      <w:r w:rsidR="00FA6313" w:rsidRPr="00DF549C">
        <w:rPr>
          <w:rStyle w:val="Strong"/>
          <w:rFonts w:ascii="Arial" w:eastAsiaTheme="majorEastAsia" w:hAnsi="Arial" w:cs="Arial"/>
          <w:b w:val="0"/>
          <w:bCs w:val="0"/>
          <w:sz w:val="20"/>
          <w:szCs w:val="20"/>
        </w:rPr>
        <w:t>1.67 ± 0.76</w:t>
      </w:r>
      <w:r w:rsidR="00FA6313" w:rsidRPr="00DF549C">
        <w:rPr>
          <w:rFonts w:ascii="Arial" w:hAnsi="Arial" w:cs="Arial"/>
          <w:sz w:val="20"/>
          <w:szCs w:val="20"/>
        </w:rPr>
        <w:t xml:space="preserve">, and </w:t>
      </w:r>
      <w:r w:rsidR="00FA6313" w:rsidRPr="00DF549C">
        <w:rPr>
          <w:rStyle w:val="Strong"/>
          <w:rFonts w:ascii="Arial" w:eastAsiaTheme="majorEastAsia" w:hAnsi="Arial" w:cs="Arial"/>
          <w:b w:val="0"/>
          <w:bCs w:val="0"/>
          <w:sz w:val="20"/>
          <w:szCs w:val="20"/>
        </w:rPr>
        <w:t>0.00 ± 0.00</w:t>
      </w:r>
      <w:r w:rsidR="00FA6313" w:rsidRPr="00DF549C">
        <w:rPr>
          <w:rFonts w:ascii="Arial" w:hAnsi="Arial" w:cs="Arial"/>
          <w:sz w:val="20"/>
          <w:szCs w:val="20"/>
        </w:rPr>
        <w:t xml:space="preserve"> at weeks 2, 4, 8, and 12, respectively</w:t>
      </w:r>
      <w:r w:rsidR="00FA6313" w:rsidRPr="00DF549C">
        <w:rPr>
          <w:rFonts w:ascii="Arial" w:hAnsi="Arial" w:cs="Arial"/>
          <w:color w:val="EE0000"/>
          <w:sz w:val="20"/>
          <w:szCs w:val="20"/>
        </w:rPr>
        <w:t>.</w:t>
      </w:r>
    </w:p>
    <w:p w14:paraId="2F0488C5" w14:textId="5D8A9428" w:rsidR="00817CA7" w:rsidRPr="00DF549C" w:rsidRDefault="00BC349A" w:rsidP="00DF549C">
      <w:pPr>
        <w:pStyle w:val="NormalWeb"/>
        <w:spacing w:line="360" w:lineRule="auto"/>
        <w:ind w:firstLine="720"/>
        <w:jc w:val="both"/>
        <w:rPr>
          <w:rFonts w:ascii="Arial" w:hAnsi="Arial" w:cs="Arial"/>
          <w:sz w:val="20"/>
          <w:szCs w:val="20"/>
        </w:rPr>
      </w:pPr>
      <w:r w:rsidRPr="00DF549C">
        <w:rPr>
          <w:rFonts w:ascii="Arial" w:hAnsi="Arial" w:cs="Arial"/>
          <w:sz w:val="20"/>
          <w:szCs w:val="20"/>
        </w:rPr>
        <w:t>The implant configuration used for fracture stabili</w:t>
      </w:r>
      <w:r w:rsidR="00850F40" w:rsidRPr="00DF549C">
        <w:rPr>
          <w:rFonts w:ascii="Arial" w:hAnsi="Arial" w:cs="Arial"/>
          <w:sz w:val="20"/>
          <w:szCs w:val="20"/>
        </w:rPr>
        <w:t>s</w:t>
      </w:r>
      <w:r w:rsidRPr="00DF549C">
        <w:rPr>
          <w:rFonts w:ascii="Arial" w:hAnsi="Arial" w:cs="Arial"/>
          <w:sz w:val="20"/>
          <w:szCs w:val="20"/>
        </w:rPr>
        <w:t xml:space="preserve">ation in </w:t>
      </w:r>
      <w:r w:rsidR="00850F40" w:rsidRPr="00DF549C">
        <w:rPr>
          <w:rStyle w:val="Strong"/>
          <w:rFonts w:ascii="Arial" w:eastAsiaTheme="majorEastAsia" w:hAnsi="Arial" w:cs="Arial"/>
          <w:b w:val="0"/>
          <w:bCs w:val="0"/>
          <w:sz w:val="20"/>
          <w:szCs w:val="20"/>
        </w:rPr>
        <w:t>the group</w:t>
      </w:r>
      <w:r w:rsidRPr="00DF549C">
        <w:rPr>
          <w:rFonts w:ascii="Arial" w:hAnsi="Arial" w:cs="Arial"/>
          <w:sz w:val="20"/>
          <w:szCs w:val="20"/>
        </w:rPr>
        <w:t xml:space="preserve"> is summari</w:t>
      </w:r>
      <w:r w:rsidR="00850F40" w:rsidRPr="00DF549C">
        <w:rPr>
          <w:rFonts w:ascii="Arial" w:hAnsi="Arial" w:cs="Arial"/>
          <w:sz w:val="20"/>
          <w:szCs w:val="20"/>
        </w:rPr>
        <w:t>s</w:t>
      </w:r>
      <w:r w:rsidRPr="00DF549C">
        <w:rPr>
          <w:rFonts w:ascii="Arial" w:hAnsi="Arial" w:cs="Arial"/>
          <w:sz w:val="20"/>
          <w:szCs w:val="20"/>
        </w:rPr>
        <w:t xml:space="preserve">ed in Table </w:t>
      </w:r>
      <w:r w:rsidR="00624EF4" w:rsidRPr="00DF549C">
        <w:rPr>
          <w:rFonts w:ascii="Arial" w:hAnsi="Arial" w:cs="Arial"/>
          <w:sz w:val="20"/>
          <w:szCs w:val="20"/>
        </w:rPr>
        <w:t>3</w:t>
      </w:r>
      <w:r w:rsidRPr="00DF549C">
        <w:rPr>
          <w:rFonts w:ascii="Arial" w:hAnsi="Arial" w:cs="Arial"/>
          <w:sz w:val="20"/>
          <w:szCs w:val="20"/>
        </w:rPr>
        <w:t xml:space="preserve">. Locking compression plates (LCP) of varying lengths and sizes were selected according to the fracture location and bone dimensions of each animal. </w:t>
      </w:r>
      <w:r w:rsidR="00246F98" w:rsidRPr="00DF549C">
        <w:rPr>
          <w:rFonts w:ascii="Arial" w:hAnsi="Arial" w:cs="Arial"/>
          <w:sz w:val="20"/>
          <w:szCs w:val="20"/>
        </w:rPr>
        <w:t xml:space="preserve">The plates used included </w:t>
      </w:r>
      <w:r w:rsidR="00246F98" w:rsidRPr="00DF549C">
        <w:rPr>
          <w:rStyle w:val="Strong"/>
          <w:rFonts w:ascii="Arial" w:eastAsiaTheme="majorEastAsia" w:hAnsi="Arial" w:cs="Arial"/>
          <w:b w:val="0"/>
          <w:bCs w:val="0"/>
          <w:sz w:val="20"/>
          <w:szCs w:val="20"/>
        </w:rPr>
        <w:t>12-hole and</w:t>
      </w:r>
      <w:r w:rsidR="00246F98" w:rsidRPr="00DF549C">
        <w:rPr>
          <w:rStyle w:val="Strong"/>
          <w:rFonts w:ascii="Arial" w:eastAsiaTheme="majorEastAsia" w:hAnsi="Arial" w:cs="Arial"/>
          <w:sz w:val="20"/>
          <w:szCs w:val="20"/>
        </w:rPr>
        <w:t xml:space="preserve"> </w:t>
      </w:r>
      <w:r w:rsidR="00246F98" w:rsidRPr="00DF549C">
        <w:rPr>
          <w:rStyle w:val="Strong"/>
          <w:rFonts w:ascii="Arial" w:eastAsiaTheme="majorEastAsia" w:hAnsi="Arial" w:cs="Arial"/>
          <w:b w:val="0"/>
          <w:bCs w:val="0"/>
          <w:sz w:val="20"/>
          <w:szCs w:val="20"/>
        </w:rPr>
        <w:t>7-hole 2.7 mm LCPs</w:t>
      </w:r>
      <w:r w:rsidR="00246F98" w:rsidRPr="00DF549C">
        <w:rPr>
          <w:rFonts w:ascii="Arial" w:hAnsi="Arial" w:cs="Arial"/>
          <w:sz w:val="20"/>
          <w:szCs w:val="20"/>
        </w:rPr>
        <w:t xml:space="preserve"> and </w:t>
      </w:r>
      <w:r w:rsidR="00246F98" w:rsidRPr="00DF549C">
        <w:rPr>
          <w:rStyle w:val="Strong"/>
          <w:rFonts w:ascii="Arial" w:eastAsiaTheme="majorEastAsia" w:hAnsi="Arial" w:cs="Arial"/>
          <w:b w:val="0"/>
          <w:bCs w:val="0"/>
          <w:sz w:val="20"/>
          <w:szCs w:val="20"/>
        </w:rPr>
        <w:t>9-hole 3.5 mm LCPs</w:t>
      </w:r>
      <w:r w:rsidR="00246F98" w:rsidRPr="00DF549C">
        <w:rPr>
          <w:rFonts w:ascii="Arial" w:hAnsi="Arial" w:cs="Arial"/>
          <w:sz w:val="20"/>
          <w:szCs w:val="20"/>
        </w:rPr>
        <w:t>.</w:t>
      </w:r>
      <w:r w:rsidRPr="00DF549C">
        <w:rPr>
          <w:rFonts w:ascii="Arial" w:hAnsi="Arial" w:cs="Arial"/>
          <w:sz w:val="20"/>
          <w:szCs w:val="20"/>
        </w:rPr>
        <w:t xml:space="preserve"> Intramedullary rods of </w:t>
      </w:r>
      <w:r w:rsidRPr="00DF549C">
        <w:rPr>
          <w:rStyle w:val="Strong"/>
          <w:rFonts w:ascii="Arial" w:eastAsiaTheme="majorEastAsia" w:hAnsi="Arial" w:cs="Arial"/>
          <w:b w:val="0"/>
          <w:bCs w:val="0"/>
          <w:sz w:val="20"/>
          <w:szCs w:val="20"/>
        </w:rPr>
        <w:t>2.5 mm, 3 mm, and 3.5 mm Steinmann pins</w:t>
      </w:r>
      <w:r w:rsidRPr="00DF549C">
        <w:rPr>
          <w:rFonts w:ascii="Arial" w:hAnsi="Arial" w:cs="Arial"/>
          <w:b/>
          <w:bCs/>
          <w:sz w:val="20"/>
          <w:szCs w:val="20"/>
        </w:rPr>
        <w:t xml:space="preserve"> </w:t>
      </w:r>
      <w:r w:rsidRPr="00DF549C">
        <w:rPr>
          <w:rFonts w:ascii="Arial" w:hAnsi="Arial" w:cs="Arial"/>
          <w:sz w:val="20"/>
          <w:szCs w:val="20"/>
        </w:rPr>
        <w:t>were used in combination with the plates to provide additional axial stability.</w:t>
      </w:r>
      <w:r w:rsidR="00F518C6" w:rsidRPr="00DF549C">
        <w:rPr>
          <w:rFonts w:ascii="Arial" w:hAnsi="Arial" w:cs="Arial"/>
          <w:sz w:val="20"/>
          <w:szCs w:val="20"/>
        </w:rPr>
        <w:t xml:space="preserve"> </w:t>
      </w:r>
      <w:r w:rsidRPr="00DF549C">
        <w:rPr>
          <w:rFonts w:ascii="Arial" w:hAnsi="Arial" w:cs="Arial"/>
          <w:sz w:val="20"/>
          <w:szCs w:val="20"/>
        </w:rPr>
        <w:t xml:space="preserve">The number of </w:t>
      </w:r>
      <w:proofErr w:type="spellStart"/>
      <w:r w:rsidRPr="00DF549C">
        <w:rPr>
          <w:rFonts w:ascii="Arial" w:hAnsi="Arial" w:cs="Arial"/>
          <w:sz w:val="20"/>
          <w:szCs w:val="20"/>
        </w:rPr>
        <w:t>bicortical</w:t>
      </w:r>
      <w:proofErr w:type="spellEnd"/>
      <w:r w:rsidRPr="00DF549C">
        <w:rPr>
          <w:rFonts w:ascii="Arial" w:hAnsi="Arial" w:cs="Arial"/>
          <w:sz w:val="20"/>
          <w:szCs w:val="20"/>
        </w:rPr>
        <w:t xml:space="preserve"> locking screws placed in the proximal and distal fragments varied depending on the plate length and fracture configuration, with </w:t>
      </w:r>
      <w:r w:rsidRPr="00DF549C">
        <w:rPr>
          <w:rStyle w:val="Strong"/>
          <w:rFonts w:ascii="Arial" w:eastAsiaTheme="majorEastAsia" w:hAnsi="Arial" w:cs="Arial"/>
          <w:b w:val="0"/>
          <w:bCs w:val="0"/>
          <w:sz w:val="20"/>
          <w:szCs w:val="20"/>
        </w:rPr>
        <w:t>two to three screws proximally and two to four screws distally</w:t>
      </w:r>
      <w:r w:rsidRPr="00DF549C">
        <w:rPr>
          <w:rFonts w:ascii="Arial" w:hAnsi="Arial" w:cs="Arial"/>
          <w:b/>
          <w:bCs/>
          <w:sz w:val="20"/>
          <w:szCs w:val="20"/>
        </w:rPr>
        <w:t xml:space="preserve">, </w:t>
      </w:r>
      <w:r w:rsidRPr="00DF549C">
        <w:rPr>
          <w:rFonts w:ascii="Arial" w:hAnsi="Arial" w:cs="Arial"/>
          <w:sz w:val="20"/>
          <w:szCs w:val="20"/>
        </w:rPr>
        <w:t>resulting in a total of</w:t>
      </w:r>
      <w:r w:rsidRPr="00DF549C">
        <w:rPr>
          <w:rFonts w:ascii="Arial" w:hAnsi="Arial" w:cs="Arial"/>
          <w:b/>
          <w:bCs/>
          <w:sz w:val="20"/>
          <w:szCs w:val="20"/>
        </w:rPr>
        <w:t xml:space="preserve"> </w:t>
      </w:r>
      <w:r w:rsidRPr="00DF549C">
        <w:rPr>
          <w:rStyle w:val="Strong"/>
          <w:rFonts w:ascii="Arial" w:eastAsiaTheme="majorEastAsia" w:hAnsi="Arial" w:cs="Arial"/>
          <w:b w:val="0"/>
          <w:bCs w:val="0"/>
          <w:sz w:val="20"/>
          <w:szCs w:val="20"/>
        </w:rPr>
        <w:t>four to seven screws per construct</w:t>
      </w:r>
      <w:r w:rsidRPr="00DF549C">
        <w:rPr>
          <w:rFonts w:ascii="Arial" w:hAnsi="Arial" w:cs="Arial"/>
          <w:b/>
          <w:bCs/>
          <w:sz w:val="20"/>
          <w:szCs w:val="20"/>
        </w:rPr>
        <w:t xml:space="preserve">. </w:t>
      </w:r>
      <w:r w:rsidRPr="00DF549C">
        <w:rPr>
          <w:rFonts w:ascii="Arial" w:hAnsi="Arial" w:cs="Arial"/>
          <w:sz w:val="20"/>
          <w:szCs w:val="20"/>
        </w:rPr>
        <w:t>Ancillary fixation was required in two cases (A2 and A5), where</w:t>
      </w:r>
      <w:r w:rsidRPr="00DF549C">
        <w:rPr>
          <w:rFonts w:ascii="Arial" w:hAnsi="Arial" w:cs="Arial"/>
          <w:b/>
          <w:bCs/>
          <w:sz w:val="20"/>
          <w:szCs w:val="20"/>
        </w:rPr>
        <w:t xml:space="preserve"> </w:t>
      </w:r>
      <w:r w:rsidRPr="00DF549C">
        <w:rPr>
          <w:rStyle w:val="Strong"/>
          <w:rFonts w:ascii="Arial" w:eastAsiaTheme="majorEastAsia" w:hAnsi="Arial" w:cs="Arial"/>
          <w:b w:val="0"/>
          <w:bCs w:val="0"/>
          <w:sz w:val="20"/>
          <w:szCs w:val="20"/>
        </w:rPr>
        <w:t>cerclage</w:t>
      </w:r>
      <w:r w:rsidRPr="00DF549C">
        <w:rPr>
          <w:rStyle w:val="Strong"/>
          <w:rFonts w:ascii="Arial" w:eastAsiaTheme="majorEastAsia" w:hAnsi="Arial" w:cs="Arial"/>
          <w:sz w:val="20"/>
          <w:szCs w:val="20"/>
        </w:rPr>
        <w:t xml:space="preserve"> </w:t>
      </w:r>
      <w:r w:rsidRPr="00DF549C">
        <w:rPr>
          <w:rStyle w:val="Strong"/>
          <w:rFonts w:ascii="Arial" w:eastAsiaTheme="majorEastAsia" w:hAnsi="Arial" w:cs="Arial"/>
          <w:b w:val="0"/>
          <w:bCs w:val="0"/>
          <w:sz w:val="20"/>
          <w:szCs w:val="20"/>
        </w:rPr>
        <w:t>wires</w:t>
      </w:r>
      <w:r w:rsidRPr="00DF549C">
        <w:rPr>
          <w:rFonts w:ascii="Arial" w:hAnsi="Arial" w:cs="Arial"/>
          <w:sz w:val="20"/>
          <w:szCs w:val="20"/>
        </w:rPr>
        <w:t xml:space="preserve"> were applied to achieve improved fragment apposition and stability.</w:t>
      </w:r>
      <w:r w:rsidR="005030EF" w:rsidRPr="00DF549C">
        <w:rPr>
          <w:rFonts w:ascii="Arial" w:hAnsi="Arial" w:cs="Arial"/>
          <w:sz w:val="20"/>
          <w:szCs w:val="20"/>
        </w:rPr>
        <w:t xml:space="preserve"> Ancillary techniques like lag screws (Haaland et al. 2009) and cerclage wires (Basha et al.2023) are commonly used in fracture management to improve fragment apposition and provide supplementary stabilisation. </w:t>
      </w:r>
      <w:r w:rsidRPr="00DF549C">
        <w:rPr>
          <w:rFonts w:ascii="Arial" w:hAnsi="Arial" w:cs="Arial"/>
          <w:sz w:val="20"/>
          <w:szCs w:val="20"/>
        </w:rPr>
        <w:t>In the remaining animals, satisfactory fracture stabili</w:t>
      </w:r>
      <w:r w:rsidR="000C2863" w:rsidRPr="00DF549C">
        <w:rPr>
          <w:rFonts w:ascii="Arial" w:hAnsi="Arial" w:cs="Arial"/>
          <w:sz w:val="20"/>
          <w:szCs w:val="20"/>
        </w:rPr>
        <w:t>s</w:t>
      </w:r>
      <w:r w:rsidRPr="00DF549C">
        <w:rPr>
          <w:rFonts w:ascii="Arial" w:hAnsi="Arial" w:cs="Arial"/>
          <w:sz w:val="20"/>
          <w:szCs w:val="20"/>
        </w:rPr>
        <w:t>ation was achieved using the plate–rod construct alone without the need for additional implants.</w:t>
      </w:r>
      <w:r w:rsidR="00267BC6" w:rsidRPr="00DF549C">
        <w:rPr>
          <w:rFonts w:ascii="Arial" w:hAnsi="Arial" w:cs="Arial"/>
          <w:sz w:val="20"/>
          <w:szCs w:val="20"/>
        </w:rPr>
        <w:t xml:space="preserve"> The mean plate screw density of the group was </w:t>
      </w:r>
      <w:r w:rsidR="00267BC6" w:rsidRPr="00DF549C">
        <w:rPr>
          <w:rStyle w:val="Strong"/>
          <w:rFonts w:ascii="Arial" w:eastAsiaTheme="majorEastAsia" w:hAnsi="Arial" w:cs="Arial"/>
          <w:b w:val="0"/>
          <w:bCs w:val="0"/>
          <w:sz w:val="20"/>
          <w:szCs w:val="20"/>
        </w:rPr>
        <w:t>0.56 ± 0.01</w:t>
      </w:r>
      <w:r w:rsidR="00405D66" w:rsidRPr="00DF549C">
        <w:rPr>
          <w:rStyle w:val="Strong"/>
          <w:rFonts w:ascii="Arial" w:eastAsiaTheme="majorEastAsia" w:hAnsi="Arial" w:cs="Arial"/>
          <w:b w:val="0"/>
          <w:bCs w:val="0"/>
          <w:sz w:val="20"/>
          <w:szCs w:val="20"/>
        </w:rPr>
        <w:t xml:space="preserve">(ranged from 0.5 </w:t>
      </w:r>
      <w:r w:rsidR="004526F5" w:rsidRPr="00DF549C">
        <w:rPr>
          <w:rStyle w:val="Strong"/>
          <w:rFonts w:ascii="Arial" w:eastAsiaTheme="majorEastAsia" w:hAnsi="Arial" w:cs="Arial"/>
          <w:b w:val="0"/>
          <w:bCs w:val="0"/>
          <w:sz w:val="20"/>
          <w:szCs w:val="20"/>
        </w:rPr>
        <w:t>to 0.6</w:t>
      </w:r>
      <w:r w:rsidR="00405D66" w:rsidRPr="00DF549C">
        <w:rPr>
          <w:rStyle w:val="Strong"/>
          <w:rFonts w:ascii="Arial" w:eastAsiaTheme="majorEastAsia" w:hAnsi="Arial" w:cs="Arial"/>
          <w:b w:val="0"/>
          <w:bCs w:val="0"/>
          <w:sz w:val="20"/>
          <w:szCs w:val="20"/>
        </w:rPr>
        <w:t>)</w:t>
      </w:r>
      <w:r w:rsidR="00267BC6" w:rsidRPr="00DF549C">
        <w:rPr>
          <w:rFonts w:ascii="Arial" w:hAnsi="Arial" w:cs="Arial"/>
          <w:sz w:val="20"/>
          <w:szCs w:val="20"/>
        </w:rPr>
        <w:t xml:space="preserve"> (mean ± SE), indicating that approximately </w:t>
      </w:r>
      <w:r w:rsidR="00267BC6" w:rsidRPr="00DF549C">
        <w:rPr>
          <w:rStyle w:val="Strong"/>
          <w:rFonts w:ascii="Arial" w:eastAsiaTheme="majorEastAsia" w:hAnsi="Arial" w:cs="Arial"/>
          <w:b w:val="0"/>
          <w:bCs w:val="0"/>
          <w:sz w:val="20"/>
          <w:szCs w:val="20"/>
        </w:rPr>
        <w:t>56% of the available plate holes were occupied by screws</w:t>
      </w:r>
      <w:r w:rsidR="00267BC6" w:rsidRPr="00DF549C">
        <w:rPr>
          <w:rFonts w:ascii="Arial" w:hAnsi="Arial" w:cs="Arial"/>
          <w:sz w:val="20"/>
          <w:szCs w:val="20"/>
        </w:rPr>
        <w:t xml:space="preserve"> in the plate–rod constructs used for fracture stabili</w:t>
      </w:r>
      <w:r w:rsidR="00405D66" w:rsidRPr="00DF549C">
        <w:rPr>
          <w:rFonts w:ascii="Arial" w:hAnsi="Arial" w:cs="Arial"/>
          <w:sz w:val="20"/>
          <w:szCs w:val="20"/>
        </w:rPr>
        <w:t>s</w:t>
      </w:r>
      <w:r w:rsidR="00267BC6" w:rsidRPr="00DF549C">
        <w:rPr>
          <w:rFonts w:ascii="Arial" w:hAnsi="Arial" w:cs="Arial"/>
          <w:sz w:val="20"/>
          <w:szCs w:val="20"/>
        </w:rPr>
        <w:t>ation.</w:t>
      </w:r>
      <w:r w:rsidR="0083537E" w:rsidRPr="00DF549C">
        <w:rPr>
          <w:rFonts w:ascii="Arial" w:hAnsi="Arial" w:cs="Arial"/>
          <w:sz w:val="20"/>
          <w:szCs w:val="20"/>
        </w:rPr>
        <w:t xml:space="preserve"> </w:t>
      </w:r>
      <w:r w:rsidR="00EE2875" w:rsidRPr="00DF549C">
        <w:rPr>
          <w:rFonts w:ascii="Arial" w:hAnsi="Arial" w:cs="Arial"/>
          <w:sz w:val="20"/>
          <w:szCs w:val="20"/>
        </w:rPr>
        <w:t xml:space="preserve">This falls within the </w:t>
      </w:r>
      <w:r w:rsidR="00EE2875" w:rsidRPr="00DF549C">
        <w:rPr>
          <w:rFonts w:ascii="Arial" w:hAnsi="Arial" w:cs="Arial"/>
          <w:sz w:val="20"/>
          <w:szCs w:val="20"/>
        </w:rPr>
        <w:lastRenderedPageBreak/>
        <w:t xml:space="preserve">acceptable range recommended by </w:t>
      </w:r>
      <w:r w:rsidR="004B2D0D" w:rsidRPr="00DF549C">
        <w:rPr>
          <w:rFonts w:ascii="Arial" w:hAnsi="Arial" w:cs="Arial"/>
          <w:sz w:val="20"/>
          <w:szCs w:val="20"/>
        </w:rPr>
        <w:t>Gaut</w:t>
      </w:r>
      <w:r w:rsidR="00051A98" w:rsidRPr="00DF549C">
        <w:rPr>
          <w:rFonts w:ascii="Arial" w:hAnsi="Arial" w:cs="Arial"/>
          <w:sz w:val="20"/>
          <w:szCs w:val="20"/>
        </w:rPr>
        <w:t xml:space="preserve">ier and Sommer (2003) </w:t>
      </w:r>
      <w:r w:rsidR="00EE2875" w:rsidRPr="00DF549C">
        <w:rPr>
          <w:rFonts w:ascii="Arial" w:hAnsi="Arial" w:cs="Arial"/>
          <w:sz w:val="20"/>
          <w:szCs w:val="20"/>
        </w:rPr>
        <w:t>for locking plate constructs (0.3–0.6).</w:t>
      </w:r>
      <w:r w:rsidR="00F518C6" w:rsidRPr="00DF549C">
        <w:rPr>
          <w:rFonts w:ascii="Arial" w:hAnsi="Arial" w:cs="Arial"/>
          <w:sz w:val="20"/>
          <w:szCs w:val="20"/>
        </w:rPr>
        <w:t xml:space="preserve"> </w:t>
      </w:r>
      <w:r w:rsidR="001710D6" w:rsidRPr="00DF549C">
        <w:rPr>
          <w:rFonts w:ascii="Arial" w:hAnsi="Arial" w:cs="Arial"/>
          <w:sz w:val="20"/>
          <w:szCs w:val="20"/>
        </w:rPr>
        <w:t>S</w:t>
      </w:r>
      <w:r w:rsidR="00617F47" w:rsidRPr="00DF549C">
        <w:rPr>
          <w:rFonts w:ascii="Arial" w:hAnsi="Arial" w:cs="Arial"/>
          <w:sz w:val="20"/>
          <w:szCs w:val="20"/>
        </w:rPr>
        <w:t xml:space="preserve">imilar observation was made by Gopinathan </w:t>
      </w:r>
      <w:r w:rsidR="00617F47" w:rsidRPr="00DF549C">
        <w:rPr>
          <w:rFonts w:ascii="Arial" w:hAnsi="Arial" w:cs="Arial"/>
          <w:i/>
          <w:iCs/>
          <w:sz w:val="20"/>
          <w:szCs w:val="20"/>
        </w:rPr>
        <w:t>et al</w:t>
      </w:r>
      <w:r w:rsidR="001710D6" w:rsidRPr="00DF549C">
        <w:rPr>
          <w:rFonts w:ascii="Arial" w:hAnsi="Arial" w:cs="Arial"/>
          <w:sz w:val="20"/>
          <w:szCs w:val="20"/>
        </w:rPr>
        <w:t xml:space="preserve">. (2023). </w:t>
      </w:r>
      <w:r w:rsidR="00EE2875" w:rsidRPr="00DF549C">
        <w:rPr>
          <w:rFonts w:ascii="Arial" w:hAnsi="Arial" w:cs="Arial"/>
          <w:sz w:val="20"/>
          <w:szCs w:val="20"/>
        </w:rPr>
        <w:t>The screw density used in the present study provided adequate construct stability while maintaining sufficient plate working length for biological fracture fixation.</w:t>
      </w:r>
      <w:r w:rsidR="00D268D9" w:rsidRPr="00DF549C">
        <w:rPr>
          <w:rFonts w:ascii="Arial" w:hAnsi="Arial" w:cs="Arial"/>
          <w:sz w:val="20"/>
          <w:szCs w:val="20"/>
        </w:rPr>
        <w:t xml:space="preserve"> </w:t>
      </w:r>
      <w:r w:rsidR="00817CA7" w:rsidRPr="00DF549C">
        <w:rPr>
          <w:rFonts w:ascii="Arial" w:hAnsi="Arial" w:cs="Arial"/>
          <w:sz w:val="20"/>
          <w:szCs w:val="20"/>
        </w:rPr>
        <w:t xml:space="preserve">Maintaining a moderate screw density helped distribute mechanical load along the plate while avoiding excessive construct rigidity, thereby promoting </w:t>
      </w:r>
      <w:r w:rsidR="00EA065A" w:rsidRPr="00DF549C">
        <w:rPr>
          <w:rFonts w:ascii="Arial" w:hAnsi="Arial" w:cs="Arial"/>
          <w:sz w:val="20"/>
          <w:szCs w:val="20"/>
        </w:rPr>
        <w:t>favourable</w:t>
      </w:r>
      <w:r w:rsidR="00817CA7" w:rsidRPr="00DF549C">
        <w:rPr>
          <w:rFonts w:ascii="Arial" w:hAnsi="Arial" w:cs="Arial"/>
          <w:sz w:val="20"/>
          <w:szCs w:val="20"/>
        </w:rPr>
        <w:t xml:space="preserve"> conditions for secondary bone healing.</w:t>
      </w:r>
    </w:p>
    <w:p w14:paraId="3BE62139" w14:textId="5C7F1C27" w:rsidR="00BC349A" w:rsidRPr="00DF549C" w:rsidRDefault="00CD6382" w:rsidP="00DF549C">
      <w:pPr>
        <w:pStyle w:val="NormalWeb"/>
        <w:spacing w:line="360" w:lineRule="auto"/>
        <w:ind w:firstLine="720"/>
        <w:jc w:val="both"/>
        <w:rPr>
          <w:rFonts w:ascii="Arial" w:hAnsi="Arial" w:cs="Arial"/>
          <w:sz w:val="20"/>
          <w:szCs w:val="20"/>
        </w:rPr>
      </w:pPr>
      <w:r w:rsidRPr="00DF549C">
        <w:rPr>
          <w:rFonts w:ascii="Arial" w:hAnsi="Arial" w:cs="Arial"/>
          <w:sz w:val="20"/>
          <w:szCs w:val="20"/>
        </w:rPr>
        <w:t>F</w:t>
      </w:r>
      <w:r w:rsidR="00002DF1" w:rsidRPr="00DF549C">
        <w:rPr>
          <w:rFonts w:ascii="Arial" w:hAnsi="Arial" w:cs="Arial"/>
          <w:sz w:val="20"/>
          <w:szCs w:val="20"/>
        </w:rPr>
        <w:t xml:space="preserve">racture apposition was well maintained throughout the observation period. </w:t>
      </w:r>
      <w:r w:rsidR="00211205" w:rsidRPr="00DF549C">
        <w:rPr>
          <w:rFonts w:ascii="Arial" w:hAnsi="Arial" w:cs="Arial"/>
          <w:sz w:val="20"/>
          <w:szCs w:val="20"/>
        </w:rPr>
        <w:t>No alterations in alignment or angulation were detected when compared with immediate postoperative radiographs.</w:t>
      </w:r>
      <w:r w:rsidR="00002DF1" w:rsidRPr="00DF549C">
        <w:rPr>
          <w:rFonts w:ascii="Arial" w:hAnsi="Arial" w:cs="Arial"/>
          <w:sz w:val="20"/>
          <w:szCs w:val="20"/>
        </w:rPr>
        <w:t xml:space="preserve"> </w:t>
      </w:r>
      <w:r w:rsidR="002527D6" w:rsidRPr="00DF549C">
        <w:rPr>
          <w:rFonts w:ascii="Arial" w:hAnsi="Arial" w:cs="Arial"/>
          <w:sz w:val="20"/>
          <w:szCs w:val="20"/>
        </w:rPr>
        <w:t>The implants remained in their original positions, with no radiographic evidence of loosening, bending, or breakage.  The intramedullary rods retained their position without any signs of migration, indicating sustained stability of the fracture fixation throughout the healing period.</w:t>
      </w:r>
      <w:r w:rsidR="00F256B4" w:rsidRPr="00DF549C">
        <w:rPr>
          <w:rFonts w:ascii="Arial" w:hAnsi="Arial" w:cs="Arial"/>
          <w:sz w:val="20"/>
          <w:szCs w:val="20"/>
        </w:rPr>
        <w:t xml:space="preserve"> The sustained mechanical integrity of the fixation construct provided a stable biological environment conducive to fracture healing, which was reflected in the favourable radiographic fracture healing progression and functional recovery observed in this group. </w:t>
      </w:r>
      <w:r w:rsidR="007F4962" w:rsidRPr="00DF549C">
        <w:rPr>
          <w:rFonts w:ascii="Arial" w:hAnsi="Arial" w:cs="Arial"/>
          <w:sz w:val="20"/>
          <w:szCs w:val="20"/>
        </w:rPr>
        <w:t>The overall status and positioning of the implants were excellent.</w:t>
      </w:r>
    </w:p>
    <w:p w14:paraId="26791852" w14:textId="6DE9FBB8" w:rsidR="00CD6382" w:rsidRPr="00DF549C" w:rsidRDefault="007F4962" w:rsidP="00DF549C">
      <w:pPr>
        <w:pStyle w:val="NormalWeb"/>
        <w:spacing w:line="360" w:lineRule="auto"/>
        <w:ind w:firstLine="720"/>
        <w:jc w:val="both"/>
        <w:rPr>
          <w:rFonts w:ascii="Arial" w:hAnsi="Arial" w:cs="Arial"/>
          <w:sz w:val="20"/>
          <w:szCs w:val="20"/>
        </w:rPr>
      </w:pPr>
      <w:r w:rsidRPr="00DF549C">
        <w:rPr>
          <w:rFonts w:ascii="Arial" w:hAnsi="Arial" w:cs="Arial"/>
          <w:sz w:val="20"/>
          <w:szCs w:val="20"/>
        </w:rPr>
        <w:t xml:space="preserve">Radiographic healing during the postoperative period was evaluated using the </w:t>
      </w:r>
      <w:r w:rsidR="00F518C6" w:rsidRPr="00DF549C">
        <w:rPr>
          <w:rFonts w:ascii="Arial" w:hAnsi="Arial" w:cs="Arial"/>
          <w:sz w:val="20"/>
          <w:szCs w:val="20"/>
        </w:rPr>
        <w:t>m</w:t>
      </w:r>
      <w:r w:rsidRPr="00DF549C">
        <w:rPr>
          <w:rFonts w:ascii="Arial" w:hAnsi="Arial" w:cs="Arial"/>
          <w:sz w:val="20"/>
          <w:szCs w:val="20"/>
        </w:rPr>
        <w:t>odified Radiographic Union Score for Tibial fractures (</w:t>
      </w:r>
      <w:proofErr w:type="spellStart"/>
      <w:r w:rsidRPr="00DF549C">
        <w:rPr>
          <w:rFonts w:ascii="Arial" w:hAnsi="Arial" w:cs="Arial"/>
          <w:sz w:val="20"/>
          <w:szCs w:val="20"/>
        </w:rPr>
        <w:t>mRUST</w:t>
      </w:r>
      <w:proofErr w:type="spellEnd"/>
      <w:r w:rsidRPr="00DF549C">
        <w:rPr>
          <w:rFonts w:ascii="Arial" w:hAnsi="Arial" w:cs="Arial"/>
          <w:sz w:val="20"/>
          <w:szCs w:val="20"/>
        </w:rPr>
        <w:t xml:space="preserve">), as described by Litrenta </w:t>
      </w:r>
      <w:r w:rsidRPr="00DF549C">
        <w:rPr>
          <w:rFonts w:ascii="Arial" w:hAnsi="Arial" w:cs="Arial"/>
          <w:i/>
          <w:iCs/>
          <w:sz w:val="20"/>
          <w:szCs w:val="20"/>
        </w:rPr>
        <w:t>et al</w:t>
      </w:r>
      <w:r w:rsidRPr="00DF549C">
        <w:rPr>
          <w:rFonts w:ascii="Arial" w:hAnsi="Arial" w:cs="Arial"/>
          <w:sz w:val="20"/>
          <w:szCs w:val="20"/>
        </w:rPr>
        <w:t>. (2015).</w:t>
      </w:r>
      <w:r w:rsidR="00CD6382" w:rsidRPr="00DF549C">
        <w:rPr>
          <w:rFonts w:ascii="Arial" w:hAnsi="Arial" w:cs="Arial"/>
          <w:sz w:val="20"/>
          <w:szCs w:val="20"/>
        </w:rPr>
        <w:t xml:space="preserve"> Animal A3 demonstrated comparatively advanced radiographic healing as early as the second postoperative week, characterised by the presence of well-formed bridging callus. </w:t>
      </w:r>
      <w:r w:rsidR="003A4748" w:rsidRPr="00DF549C">
        <w:rPr>
          <w:rFonts w:ascii="Arial" w:hAnsi="Arial" w:cs="Arial"/>
          <w:sz w:val="20"/>
          <w:szCs w:val="20"/>
        </w:rPr>
        <w:t>The remaining animals exhibited early signs of fracture healing at this stage, with mild callus formation evident on the radiographs.</w:t>
      </w:r>
      <w:r w:rsidR="00CD6382" w:rsidRPr="00DF549C">
        <w:rPr>
          <w:rFonts w:ascii="Arial" w:hAnsi="Arial" w:cs="Arial"/>
          <w:sz w:val="20"/>
          <w:szCs w:val="20"/>
        </w:rPr>
        <w:t xml:space="preserve"> </w:t>
      </w:r>
      <w:r w:rsidR="003A4748" w:rsidRPr="00DF549C">
        <w:rPr>
          <w:rFonts w:ascii="Arial" w:hAnsi="Arial" w:cs="Arial"/>
          <w:sz w:val="20"/>
          <w:szCs w:val="20"/>
        </w:rPr>
        <w:t>By the eighth postoperative week, all animals showed a steady progression of healing.</w:t>
      </w:r>
      <w:r w:rsidR="00CD6382" w:rsidRPr="00DF549C">
        <w:rPr>
          <w:rFonts w:ascii="Arial" w:hAnsi="Arial" w:cs="Arial"/>
          <w:sz w:val="20"/>
          <w:szCs w:val="20"/>
        </w:rPr>
        <w:t xml:space="preserve"> </w:t>
      </w:r>
      <w:r w:rsidR="003A4748" w:rsidRPr="00DF549C">
        <w:rPr>
          <w:rFonts w:ascii="Arial" w:hAnsi="Arial" w:cs="Arial"/>
          <w:sz w:val="20"/>
          <w:szCs w:val="20"/>
        </w:rPr>
        <w:t>Radiographic scores exceeded 14 in animals A3 and A6, while the remaining animals recorded scores of 12, indicating advanced stages of fracture healing.</w:t>
      </w:r>
      <w:r w:rsidR="00D11D34" w:rsidRPr="00DF549C">
        <w:rPr>
          <w:rFonts w:ascii="Arial" w:hAnsi="Arial" w:cs="Arial"/>
          <w:sz w:val="20"/>
          <w:szCs w:val="20"/>
        </w:rPr>
        <w:t xml:space="preserve"> </w:t>
      </w:r>
      <w:r w:rsidR="00624600" w:rsidRPr="00DF549C">
        <w:rPr>
          <w:rFonts w:ascii="Arial" w:hAnsi="Arial" w:cs="Arial"/>
          <w:sz w:val="20"/>
          <w:szCs w:val="20"/>
        </w:rPr>
        <w:t xml:space="preserve">By the 12th postoperative week, </w:t>
      </w:r>
      <w:proofErr w:type="spellStart"/>
      <w:r w:rsidR="00624600" w:rsidRPr="00DF549C">
        <w:rPr>
          <w:rFonts w:ascii="Arial" w:hAnsi="Arial" w:cs="Arial"/>
          <w:sz w:val="20"/>
          <w:szCs w:val="20"/>
        </w:rPr>
        <w:t>mRUST</w:t>
      </w:r>
      <w:proofErr w:type="spellEnd"/>
      <w:r w:rsidR="00624600" w:rsidRPr="00DF549C">
        <w:rPr>
          <w:rFonts w:ascii="Arial" w:hAnsi="Arial" w:cs="Arial"/>
          <w:sz w:val="20"/>
          <w:szCs w:val="20"/>
        </w:rPr>
        <w:t xml:space="preserve"> scores ranged between 14 and 16 in all animals, confirming radiographic union.</w:t>
      </w:r>
      <w:r w:rsidR="00CD6382" w:rsidRPr="00DF549C">
        <w:rPr>
          <w:rFonts w:ascii="Arial" w:hAnsi="Arial" w:cs="Arial"/>
          <w:sz w:val="20"/>
          <w:szCs w:val="20"/>
        </w:rPr>
        <w:t xml:space="preserve"> A score of 4-6 indicates no radiographic evidence of healing, 7-10 indicates early fracture healing with callus formation, 11-13 indicates progressive /advanced fracture union while 14-16 indicates radiographic fracture union</w:t>
      </w:r>
      <w:r w:rsidR="00D11D34" w:rsidRPr="00DF549C">
        <w:rPr>
          <w:rFonts w:ascii="Arial" w:hAnsi="Arial" w:cs="Arial"/>
          <w:sz w:val="20"/>
          <w:szCs w:val="20"/>
        </w:rPr>
        <w:t>.</w:t>
      </w:r>
    </w:p>
    <w:p w14:paraId="551B1126" w14:textId="53162F1A" w:rsidR="00B2388E" w:rsidRPr="00DF549C" w:rsidRDefault="00624600" w:rsidP="00DF549C">
      <w:pPr>
        <w:pStyle w:val="NormalWeb"/>
        <w:spacing w:line="360" w:lineRule="auto"/>
        <w:ind w:firstLine="720"/>
        <w:jc w:val="both"/>
        <w:rPr>
          <w:rFonts w:ascii="Arial" w:hAnsi="Arial" w:cs="Arial"/>
          <w:sz w:val="20"/>
          <w:szCs w:val="20"/>
        </w:rPr>
      </w:pPr>
      <w:r w:rsidRPr="00DF549C">
        <w:rPr>
          <w:rFonts w:ascii="Arial" w:hAnsi="Arial" w:cs="Arial"/>
          <w:sz w:val="20"/>
          <w:szCs w:val="20"/>
        </w:rPr>
        <w:t xml:space="preserve">The functional outcome in the animals was graded as </w:t>
      </w:r>
      <w:r w:rsidRPr="00DF549C">
        <w:rPr>
          <w:rStyle w:val="Emphasis"/>
          <w:rFonts w:ascii="Arial" w:eastAsiaTheme="majorEastAsia" w:hAnsi="Arial" w:cs="Arial"/>
          <w:i w:val="0"/>
          <w:iCs w:val="0"/>
          <w:sz w:val="20"/>
          <w:szCs w:val="20"/>
        </w:rPr>
        <w:t>excellent</w:t>
      </w:r>
      <w:r w:rsidRPr="00DF549C">
        <w:rPr>
          <w:rFonts w:ascii="Arial" w:hAnsi="Arial" w:cs="Arial"/>
          <w:sz w:val="20"/>
          <w:szCs w:val="20"/>
        </w:rPr>
        <w:t>, with complete resolution of lameness observed in all cases.</w:t>
      </w:r>
      <w:r w:rsidR="00B2388E" w:rsidRPr="00DF549C">
        <w:rPr>
          <w:rFonts w:ascii="Arial" w:hAnsi="Arial" w:cs="Arial"/>
          <w:sz w:val="20"/>
          <w:szCs w:val="20"/>
        </w:rPr>
        <w:t xml:space="preserve"> These findings reflect the stability of the fixation construct and the favourable biological environment established at the fracture site, which facilitated early callus formation and progressive fracture healing. </w:t>
      </w:r>
      <w:r w:rsidR="002E3ECD" w:rsidRPr="00DF549C">
        <w:rPr>
          <w:rFonts w:ascii="Arial" w:hAnsi="Arial" w:cs="Arial"/>
          <w:sz w:val="20"/>
          <w:szCs w:val="20"/>
        </w:rPr>
        <w:t>The combination of mechanical stability and biological support ultimately contributed to the consistently superior clinical outcomes observed in this study.</w:t>
      </w:r>
    </w:p>
    <w:p w14:paraId="1934032B" w14:textId="77777777" w:rsidR="00F518C6" w:rsidRPr="00DF549C" w:rsidRDefault="00F518C6" w:rsidP="00DF549C">
      <w:pPr>
        <w:pStyle w:val="NormalWeb"/>
        <w:spacing w:line="360" w:lineRule="auto"/>
        <w:jc w:val="both"/>
        <w:rPr>
          <w:rFonts w:ascii="Arial" w:hAnsi="Arial" w:cs="Arial"/>
          <w:sz w:val="20"/>
          <w:szCs w:val="20"/>
        </w:rPr>
      </w:pPr>
      <w:r w:rsidRPr="00DF549C">
        <w:rPr>
          <w:rFonts w:ascii="Arial" w:hAnsi="Arial" w:cs="Arial"/>
          <w:sz w:val="20"/>
          <w:szCs w:val="20"/>
        </w:rPr>
        <w:t>C</w:t>
      </w:r>
      <w:r w:rsidR="005424AF" w:rsidRPr="00DF549C">
        <w:rPr>
          <w:rFonts w:ascii="Arial" w:hAnsi="Arial" w:cs="Arial"/>
          <w:sz w:val="20"/>
          <w:szCs w:val="20"/>
        </w:rPr>
        <w:t>onclusion</w:t>
      </w:r>
    </w:p>
    <w:p w14:paraId="15F0BD6C" w14:textId="36E94D3C" w:rsidR="00A3106B" w:rsidRPr="00DF549C" w:rsidRDefault="00F833ED" w:rsidP="00DF549C">
      <w:pPr>
        <w:pStyle w:val="NormalWeb"/>
        <w:spacing w:line="360" w:lineRule="auto"/>
        <w:ind w:firstLine="720"/>
        <w:jc w:val="both"/>
        <w:rPr>
          <w:rFonts w:ascii="Arial" w:hAnsi="Arial" w:cs="Arial"/>
          <w:sz w:val="20"/>
          <w:szCs w:val="20"/>
        </w:rPr>
      </w:pPr>
      <w:r w:rsidRPr="00DF549C">
        <w:rPr>
          <w:rFonts w:ascii="Arial" w:hAnsi="Arial" w:cs="Arial"/>
          <w:sz w:val="20"/>
          <w:szCs w:val="20"/>
        </w:rPr>
        <w:t>The overall results concluded that the use of plate</w:t>
      </w:r>
      <w:r w:rsidR="00F518C6" w:rsidRPr="00DF549C">
        <w:rPr>
          <w:rFonts w:ascii="Arial" w:hAnsi="Arial" w:cs="Arial"/>
          <w:sz w:val="20"/>
          <w:szCs w:val="20"/>
        </w:rPr>
        <w:t>-</w:t>
      </w:r>
      <w:r w:rsidRPr="00DF549C">
        <w:rPr>
          <w:rFonts w:ascii="Arial" w:hAnsi="Arial" w:cs="Arial"/>
          <w:sz w:val="20"/>
          <w:szCs w:val="20"/>
        </w:rPr>
        <w:t>rod constructs with intramedullary rods occupying 40 percent of the medullary cavity, appropriate plate size for body weight, and an ‘open but do not touch’ approach is highly efficient for the repair of various grades of femur fractures in dogs.</w:t>
      </w:r>
      <w:r w:rsidR="007A512D" w:rsidRPr="00DF549C">
        <w:rPr>
          <w:rFonts w:ascii="Arial" w:hAnsi="Arial" w:cs="Arial"/>
          <w:sz w:val="20"/>
          <w:szCs w:val="20"/>
        </w:rPr>
        <w:t xml:space="preserve"> </w:t>
      </w:r>
      <w:r w:rsidR="00984240" w:rsidRPr="00DF549C">
        <w:rPr>
          <w:rFonts w:ascii="Arial" w:hAnsi="Arial" w:cs="Arial"/>
          <w:sz w:val="20"/>
          <w:szCs w:val="20"/>
        </w:rPr>
        <w:t>This technique provides relative stability and a conducive biological environment for promoting secondary fracture healing in dogs.</w:t>
      </w:r>
    </w:p>
    <w:p w14:paraId="45370BE3" w14:textId="0264D475" w:rsidR="001F60D6" w:rsidRPr="00DF549C" w:rsidRDefault="00FF4818" w:rsidP="00DF549C">
      <w:pPr>
        <w:spacing w:line="360" w:lineRule="auto"/>
        <w:jc w:val="both"/>
        <w:rPr>
          <w:rFonts w:ascii="Arial" w:hAnsi="Arial" w:cs="Arial"/>
          <w:sz w:val="20"/>
          <w:szCs w:val="20"/>
        </w:rPr>
      </w:pPr>
      <w:r w:rsidRPr="00DF549C">
        <w:rPr>
          <w:rFonts w:ascii="Arial" w:hAnsi="Arial" w:cs="Arial"/>
          <w:sz w:val="20"/>
          <w:szCs w:val="20"/>
        </w:rPr>
        <w:lastRenderedPageBreak/>
        <w:t>Reference</w:t>
      </w:r>
    </w:p>
    <w:p w14:paraId="6BCFEA30" w14:textId="277ECDEE" w:rsidR="001F60D6" w:rsidRPr="00DF549C" w:rsidRDefault="001F60D6" w:rsidP="00DF549C">
      <w:pPr>
        <w:spacing w:line="360" w:lineRule="auto"/>
        <w:jc w:val="both"/>
        <w:rPr>
          <w:rFonts w:ascii="Arial" w:hAnsi="Arial" w:cs="Arial"/>
          <w:sz w:val="20"/>
          <w:szCs w:val="20"/>
        </w:rPr>
      </w:pPr>
      <w:proofErr w:type="spellStart"/>
      <w:r w:rsidRPr="00DF549C">
        <w:rPr>
          <w:rFonts w:ascii="Arial" w:hAnsi="Arial" w:cs="Arial"/>
          <w:sz w:val="20"/>
          <w:szCs w:val="20"/>
        </w:rPr>
        <w:t>Henea</w:t>
      </w:r>
      <w:proofErr w:type="spellEnd"/>
      <w:r w:rsidRPr="00DF549C">
        <w:rPr>
          <w:rFonts w:ascii="Arial" w:hAnsi="Arial" w:cs="Arial"/>
          <w:sz w:val="20"/>
          <w:szCs w:val="20"/>
        </w:rPr>
        <w:t xml:space="preserve">, M. E., Grecu, M., </w:t>
      </w:r>
      <w:proofErr w:type="spellStart"/>
      <w:r w:rsidRPr="00DF549C">
        <w:rPr>
          <w:rFonts w:ascii="Arial" w:hAnsi="Arial" w:cs="Arial"/>
          <w:sz w:val="20"/>
          <w:szCs w:val="20"/>
        </w:rPr>
        <w:t>Grădinaru</w:t>
      </w:r>
      <w:proofErr w:type="spellEnd"/>
      <w:r w:rsidRPr="00DF549C">
        <w:rPr>
          <w:rFonts w:ascii="Arial" w:hAnsi="Arial" w:cs="Arial"/>
          <w:sz w:val="20"/>
          <w:szCs w:val="20"/>
        </w:rPr>
        <w:t xml:space="preserve">, A. C., and </w:t>
      </w:r>
      <w:proofErr w:type="spellStart"/>
      <w:r w:rsidRPr="00DF549C">
        <w:rPr>
          <w:rFonts w:ascii="Arial" w:hAnsi="Arial" w:cs="Arial"/>
          <w:sz w:val="20"/>
          <w:szCs w:val="20"/>
        </w:rPr>
        <w:t>Solcan</w:t>
      </w:r>
      <w:proofErr w:type="spellEnd"/>
      <w:r w:rsidRPr="00DF549C">
        <w:rPr>
          <w:rFonts w:ascii="Arial" w:hAnsi="Arial" w:cs="Arial"/>
          <w:sz w:val="20"/>
          <w:szCs w:val="20"/>
        </w:rPr>
        <w:t xml:space="preserve">, G. (2020). </w:t>
      </w:r>
      <w:r w:rsidRPr="00DF549C">
        <w:rPr>
          <w:rStyle w:val="Emphasis"/>
          <w:rFonts w:ascii="Arial" w:hAnsi="Arial" w:cs="Arial"/>
          <w:sz w:val="20"/>
          <w:szCs w:val="20"/>
        </w:rPr>
        <w:t xml:space="preserve">Incidence, genetic predisposition, and recovery by physiotherapy of </w:t>
      </w:r>
      <w:proofErr w:type="spellStart"/>
      <w:r w:rsidRPr="00DF549C">
        <w:rPr>
          <w:rStyle w:val="Emphasis"/>
          <w:rFonts w:ascii="Arial" w:hAnsi="Arial" w:cs="Arial"/>
          <w:sz w:val="20"/>
          <w:szCs w:val="20"/>
        </w:rPr>
        <w:t>orthopedic</w:t>
      </w:r>
      <w:proofErr w:type="spellEnd"/>
      <w:r w:rsidRPr="00DF549C">
        <w:rPr>
          <w:rStyle w:val="Emphasis"/>
          <w:rFonts w:ascii="Arial" w:hAnsi="Arial" w:cs="Arial"/>
          <w:sz w:val="20"/>
          <w:szCs w:val="20"/>
        </w:rPr>
        <w:t xml:space="preserve"> disorders in dogs and cats</w:t>
      </w:r>
      <w:r w:rsidRPr="00DF549C">
        <w:rPr>
          <w:rFonts w:ascii="Arial" w:hAnsi="Arial" w:cs="Arial"/>
          <w:sz w:val="20"/>
          <w:szCs w:val="20"/>
        </w:rPr>
        <w:t xml:space="preserve">. </w:t>
      </w:r>
      <w:r w:rsidRPr="00DF549C">
        <w:rPr>
          <w:rStyle w:val="Strong"/>
          <w:rFonts w:ascii="Arial" w:hAnsi="Arial" w:cs="Arial"/>
          <w:b w:val="0"/>
          <w:bCs w:val="0"/>
          <w:i/>
          <w:iCs/>
          <w:sz w:val="20"/>
          <w:szCs w:val="20"/>
        </w:rPr>
        <w:t>Human and Veterinary Medicine,</w:t>
      </w:r>
      <w:r w:rsidRPr="00DF549C">
        <w:rPr>
          <w:rStyle w:val="Strong"/>
          <w:rFonts w:ascii="Arial" w:hAnsi="Arial" w:cs="Arial"/>
          <w:b w:val="0"/>
          <w:bCs w:val="0"/>
          <w:sz w:val="20"/>
          <w:szCs w:val="20"/>
        </w:rPr>
        <w:t xml:space="preserve"> 12</w:t>
      </w:r>
      <w:r w:rsidRPr="00DF549C">
        <w:rPr>
          <w:rFonts w:ascii="Arial" w:hAnsi="Arial" w:cs="Arial"/>
          <w:sz w:val="20"/>
          <w:szCs w:val="20"/>
        </w:rPr>
        <w:t>(4), 1–7.</w:t>
      </w:r>
    </w:p>
    <w:p w14:paraId="1DA6AB11" w14:textId="3032B3F5" w:rsidR="00A87376" w:rsidRPr="00DF549C" w:rsidRDefault="00A87376" w:rsidP="00DF549C">
      <w:pPr>
        <w:spacing w:line="360" w:lineRule="auto"/>
        <w:jc w:val="both"/>
        <w:rPr>
          <w:rFonts w:ascii="Arial" w:hAnsi="Arial" w:cs="Arial"/>
          <w:color w:val="212529"/>
          <w:sz w:val="20"/>
          <w:szCs w:val="20"/>
          <w:shd w:val="clear" w:color="auto" w:fill="FFFFFF"/>
        </w:rPr>
      </w:pPr>
      <w:r w:rsidRPr="00DF549C">
        <w:rPr>
          <w:rFonts w:ascii="Arial" w:hAnsi="Arial" w:cs="Arial"/>
          <w:color w:val="222222"/>
          <w:sz w:val="20"/>
          <w:szCs w:val="20"/>
          <w:shd w:val="clear" w:color="auto" w:fill="FFFFFF"/>
        </w:rPr>
        <w:t>Ali, L.M.B. (2013). Incidence, occurrence, classification &amp; outcome of small animal fractures: a retrospective study (2005-2010). </w:t>
      </w:r>
      <w:r w:rsidRPr="00DF549C">
        <w:rPr>
          <w:rFonts w:ascii="Arial" w:hAnsi="Arial" w:cs="Arial"/>
          <w:i/>
          <w:iCs/>
          <w:color w:val="222222"/>
          <w:sz w:val="20"/>
          <w:szCs w:val="20"/>
          <w:shd w:val="clear" w:color="auto" w:fill="FFFFFF"/>
        </w:rPr>
        <w:t>World Academy of Science, Engineering &amp; Technology International Journal of Animal and Veterinary Sciences</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7</w:t>
      </w:r>
      <w:r w:rsidRPr="00DF549C">
        <w:rPr>
          <w:rFonts w:ascii="Arial" w:hAnsi="Arial" w:cs="Arial"/>
          <w:color w:val="222222"/>
          <w:sz w:val="20"/>
          <w:szCs w:val="20"/>
          <w:shd w:val="clear" w:color="auto" w:fill="FFFFFF"/>
        </w:rPr>
        <w:t>(3), 191-196.</w:t>
      </w:r>
      <w:r w:rsidRPr="00DF549C">
        <w:rPr>
          <w:rFonts w:ascii="Arial" w:hAnsi="Arial" w:cs="Arial"/>
          <w:color w:val="212529"/>
          <w:sz w:val="20"/>
          <w:szCs w:val="20"/>
          <w:shd w:val="clear" w:color="auto" w:fill="FFFFFF"/>
        </w:rPr>
        <w:t xml:space="preserve"> </w:t>
      </w:r>
    </w:p>
    <w:p w14:paraId="4DDBEDE1" w14:textId="7154D645" w:rsidR="00A87376" w:rsidRPr="00DF549C" w:rsidRDefault="00A87376" w:rsidP="00DF549C">
      <w:pPr>
        <w:spacing w:line="360" w:lineRule="auto"/>
        <w:jc w:val="both"/>
        <w:rPr>
          <w:rFonts w:ascii="Arial" w:hAnsi="Arial" w:cs="Arial"/>
          <w:sz w:val="20"/>
          <w:szCs w:val="20"/>
        </w:rPr>
      </w:pPr>
      <w:r w:rsidRPr="00DF549C">
        <w:rPr>
          <w:rFonts w:ascii="Arial" w:hAnsi="Arial" w:cs="Arial"/>
          <w:color w:val="222222"/>
          <w:sz w:val="20"/>
          <w:szCs w:val="20"/>
          <w:shd w:val="clear" w:color="auto" w:fill="FFFFFF"/>
        </w:rPr>
        <w:t xml:space="preserve">Beale, B. (2004). </w:t>
      </w:r>
      <w:proofErr w:type="spellStart"/>
      <w:r w:rsidRPr="00DF549C">
        <w:rPr>
          <w:rFonts w:ascii="Arial" w:hAnsi="Arial" w:cs="Arial"/>
          <w:color w:val="222222"/>
          <w:sz w:val="20"/>
          <w:szCs w:val="20"/>
          <w:shd w:val="clear" w:color="auto" w:fill="FFFFFF"/>
        </w:rPr>
        <w:t>Orthopedic</w:t>
      </w:r>
      <w:proofErr w:type="spellEnd"/>
      <w:r w:rsidRPr="00DF549C">
        <w:rPr>
          <w:rFonts w:ascii="Arial" w:hAnsi="Arial" w:cs="Arial"/>
          <w:color w:val="222222"/>
          <w:sz w:val="20"/>
          <w:szCs w:val="20"/>
          <w:shd w:val="clear" w:color="auto" w:fill="FFFFFF"/>
        </w:rPr>
        <w:t xml:space="preserve"> clinical techniques femur fracture repair. </w:t>
      </w:r>
      <w:r w:rsidRPr="00DF549C">
        <w:rPr>
          <w:rFonts w:ascii="Arial" w:hAnsi="Arial" w:cs="Arial"/>
          <w:i/>
          <w:iCs/>
          <w:color w:val="222222"/>
          <w:sz w:val="20"/>
          <w:szCs w:val="20"/>
          <w:shd w:val="clear" w:color="auto" w:fill="FFFFFF"/>
        </w:rPr>
        <w:t>Clinical Techniques in Small Animal Practice</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19</w:t>
      </w:r>
      <w:r w:rsidRPr="00DF549C">
        <w:rPr>
          <w:rFonts w:ascii="Arial" w:hAnsi="Arial" w:cs="Arial"/>
          <w:color w:val="222222"/>
          <w:sz w:val="20"/>
          <w:szCs w:val="20"/>
          <w:shd w:val="clear" w:color="auto" w:fill="FFFFFF"/>
        </w:rPr>
        <w:t>(3), 134-150.</w:t>
      </w:r>
      <w:r w:rsidRPr="00DF549C">
        <w:rPr>
          <w:rFonts w:ascii="Arial" w:hAnsi="Arial" w:cs="Arial"/>
          <w:sz w:val="20"/>
          <w:szCs w:val="20"/>
        </w:rPr>
        <w:t xml:space="preserve"> </w:t>
      </w:r>
    </w:p>
    <w:p w14:paraId="090A7EB4" w14:textId="78B0ED16" w:rsidR="00A87376" w:rsidRPr="00DF549C" w:rsidRDefault="00A87376" w:rsidP="00DF549C">
      <w:pPr>
        <w:spacing w:line="360" w:lineRule="auto"/>
        <w:jc w:val="both"/>
        <w:rPr>
          <w:rFonts w:ascii="Arial" w:hAnsi="Arial" w:cs="Arial"/>
          <w:color w:val="212121"/>
          <w:sz w:val="20"/>
          <w:szCs w:val="20"/>
          <w:shd w:val="clear" w:color="auto" w:fill="FFFFFF"/>
        </w:rPr>
      </w:pPr>
      <w:r w:rsidRPr="00DF549C">
        <w:rPr>
          <w:rFonts w:ascii="Arial" w:hAnsi="Arial" w:cs="Arial"/>
          <w:color w:val="212121"/>
          <w:sz w:val="20"/>
          <w:szCs w:val="20"/>
          <w:shd w:val="clear" w:color="auto" w:fill="FFFFFF"/>
        </w:rPr>
        <w:t>Reems, M. R., Beale, B. S., and Hulse, D. A. (2003a). Use of a plate-rod construct and principles of biological osteosynthesis for repair of diaphyseal fractures in dogs and cats: 47 cases (1994-2001). </w:t>
      </w:r>
      <w:r w:rsidRPr="00DF549C">
        <w:rPr>
          <w:rFonts w:ascii="Arial" w:hAnsi="Arial" w:cs="Arial"/>
          <w:i/>
          <w:iCs/>
          <w:color w:val="212121"/>
          <w:sz w:val="20"/>
          <w:szCs w:val="20"/>
          <w:shd w:val="clear" w:color="auto" w:fill="FFFFFF"/>
        </w:rPr>
        <w:t>Journal of the American Veterinary Medical Association</w:t>
      </w:r>
      <w:r w:rsidRPr="00DF549C">
        <w:rPr>
          <w:rFonts w:ascii="Arial" w:hAnsi="Arial" w:cs="Arial"/>
          <w:color w:val="212121"/>
          <w:sz w:val="20"/>
          <w:szCs w:val="20"/>
          <w:shd w:val="clear" w:color="auto" w:fill="FFFFFF"/>
        </w:rPr>
        <w:t>, </w:t>
      </w:r>
      <w:r w:rsidRPr="00DF549C">
        <w:rPr>
          <w:rFonts w:ascii="Arial" w:hAnsi="Arial" w:cs="Arial"/>
          <w:i/>
          <w:iCs/>
          <w:color w:val="212121"/>
          <w:sz w:val="20"/>
          <w:szCs w:val="20"/>
          <w:shd w:val="clear" w:color="auto" w:fill="FFFFFF"/>
        </w:rPr>
        <w:t>223</w:t>
      </w:r>
      <w:r w:rsidRPr="00DF549C">
        <w:rPr>
          <w:rFonts w:ascii="Arial" w:hAnsi="Arial" w:cs="Arial"/>
          <w:color w:val="212121"/>
          <w:sz w:val="20"/>
          <w:szCs w:val="20"/>
          <w:shd w:val="clear" w:color="auto" w:fill="FFFFFF"/>
        </w:rPr>
        <w:t>(3), 330–335</w:t>
      </w:r>
    </w:p>
    <w:p w14:paraId="40223196" w14:textId="03C03CDF" w:rsidR="009F18FD" w:rsidRPr="00DF549C" w:rsidRDefault="009F18FD" w:rsidP="00DF549C">
      <w:pPr>
        <w:spacing w:line="360" w:lineRule="auto"/>
        <w:jc w:val="both"/>
        <w:rPr>
          <w:rFonts w:ascii="Arial" w:hAnsi="Arial" w:cs="Arial"/>
          <w:color w:val="222222"/>
          <w:sz w:val="20"/>
          <w:szCs w:val="20"/>
          <w:shd w:val="clear" w:color="auto" w:fill="FFFFFF"/>
        </w:rPr>
      </w:pPr>
      <w:r w:rsidRPr="00DF549C">
        <w:rPr>
          <w:rFonts w:ascii="Arial" w:hAnsi="Arial" w:cs="Arial"/>
          <w:color w:val="222222"/>
          <w:sz w:val="20"/>
          <w:szCs w:val="20"/>
          <w:shd w:val="clear" w:color="auto" w:fill="FFFFFF"/>
        </w:rPr>
        <w:t>Stiffler, K. S. (2004). Internal fracture fixation. </w:t>
      </w:r>
      <w:r w:rsidRPr="00DF549C">
        <w:rPr>
          <w:rFonts w:ascii="Arial" w:hAnsi="Arial" w:cs="Arial"/>
          <w:i/>
          <w:iCs/>
          <w:color w:val="222222"/>
          <w:sz w:val="20"/>
          <w:szCs w:val="20"/>
          <w:shd w:val="clear" w:color="auto" w:fill="FFFFFF"/>
        </w:rPr>
        <w:t>Clinical Techniques in Small Animal Practice</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19</w:t>
      </w:r>
      <w:r w:rsidRPr="00DF549C">
        <w:rPr>
          <w:rFonts w:ascii="Arial" w:hAnsi="Arial" w:cs="Arial"/>
          <w:color w:val="222222"/>
          <w:sz w:val="20"/>
          <w:szCs w:val="20"/>
          <w:shd w:val="clear" w:color="auto" w:fill="FFFFFF"/>
        </w:rPr>
        <w:t>(3), 105-113</w:t>
      </w:r>
    </w:p>
    <w:p w14:paraId="59EF56A5" w14:textId="470C8529" w:rsidR="00A87376" w:rsidRPr="00DF549C" w:rsidRDefault="00D37B8A" w:rsidP="00DF549C">
      <w:pPr>
        <w:spacing w:line="360" w:lineRule="auto"/>
        <w:jc w:val="both"/>
        <w:rPr>
          <w:rFonts w:ascii="Arial" w:hAnsi="Arial" w:cs="Arial"/>
          <w:color w:val="222222"/>
          <w:sz w:val="20"/>
          <w:szCs w:val="20"/>
          <w:shd w:val="clear" w:color="auto" w:fill="FFFFFF"/>
        </w:rPr>
      </w:pPr>
      <w:r w:rsidRPr="00DF549C">
        <w:rPr>
          <w:rFonts w:ascii="Arial" w:hAnsi="Arial" w:cs="Arial"/>
          <w:color w:val="222222"/>
          <w:sz w:val="20"/>
          <w:szCs w:val="20"/>
          <w:shd w:val="clear" w:color="auto" w:fill="FFFFFF"/>
        </w:rPr>
        <w:t>Miller, D. L., &amp; Goswami, T. (2007). A review of locking compression plate biomechanics and their advantages as internal fixators in fracture healing. </w:t>
      </w:r>
      <w:r w:rsidRPr="00DF549C">
        <w:rPr>
          <w:rFonts w:ascii="Arial" w:hAnsi="Arial" w:cs="Arial"/>
          <w:i/>
          <w:iCs/>
          <w:color w:val="222222"/>
          <w:sz w:val="20"/>
          <w:szCs w:val="20"/>
          <w:shd w:val="clear" w:color="auto" w:fill="FFFFFF"/>
        </w:rPr>
        <w:t>Clinical biomechanics</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22</w:t>
      </w:r>
      <w:r w:rsidRPr="00DF549C">
        <w:rPr>
          <w:rFonts w:ascii="Arial" w:hAnsi="Arial" w:cs="Arial"/>
          <w:color w:val="222222"/>
          <w:sz w:val="20"/>
          <w:szCs w:val="20"/>
          <w:shd w:val="clear" w:color="auto" w:fill="FFFFFF"/>
        </w:rPr>
        <w:t>(10), 1049-1062</w:t>
      </w:r>
    </w:p>
    <w:p w14:paraId="39BF8F03" w14:textId="1341769A" w:rsidR="00286827" w:rsidRPr="00DF549C" w:rsidRDefault="00286827" w:rsidP="00DF549C">
      <w:pPr>
        <w:spacing w:line="360" w:lineRule="auto"/>
        <w:jc w:val="both"/>
        <w:rPr>
          <w:rFonts w:ascii="Arial" w:hAnsi="Arial" w:cs="Arial"/>
          <w:sz w:val="20"/>
          <w:szCs w:val="20"/>
        </w:rPr>
      </w:pPr>
      <w:r w:rsidRPr="00DF549C">
        <w:rPr>
          <w:rFonts w:ascii="Arial" w:hAnsi="Arial" w:cs="Arial"/>
          <w:sz w:val="20"/>
          <w:szCs w:val="20"/>
        </w:rPr>
        <w:t xml:space="preserve">Unger M, Montavon P M and Heim U F. (1990). Classification of fractures of long bones in the dog and cat: Introduction and clinical application. </w:t>
      </w:r>
      <w:r w:rsidRPr="00DF549C">
        <w:rPr>
          <w:rFonts w:ascii="Arial" w:hAnsi="Arial" w:cs="Arial"/>
          <w:i/>
          <w:iCs/>
          <w:sz w:val="20"/>
          <w:szCs w:val="20"/>
        </w:rPr>
        <w:t xml:space="preserve">Veterinary and Comparative Orthopaedics and Traumatology </w:t>
      </w:r>
      <w:r w:rsidRPr="00DF549C">
        <w:rPr>
          <w:rFonts w:ascii="Arial" w:hAnsi="Arial" w:cs="Arial"/>
          <w:sz w:val="20"/>
          <w:szCs w:val="20"/>
        </w:rPr>
        <w:t>3: 41–5</w:t>
      </w:r>
    </w:p>
    <w:p w14:paraId="01915E1E" w14:textId="7B015E6F" w:rsidR="00286827" w:rsidRPr="00DF549C" w:rsidRDefault="00286827" w:rsidP="00DF549C">
      <w:pPr>
        <w:spacing w:line="360" w:lineRule="auto"/>
        <w:jc w:val="both"/>
        <w:rPr>
          <w:rFonts w:ascii="Arial" w:hAnsi="Arial" w:cs="Arial"/>
          <w:color w:val="222222"/>
          <w:sz w:val="20"/>
          <w:szCs w:val="20"/>
          <w:shd w:val="clear" w:color="auto" w:fill="FFFFFF"/>
        </w:rPr>
      </w:pPr>
      <w:r w:rsidRPr="00DF549C">
        <w:rPr>
          <w:rFonts w:ascii="Arial" w:hAnsi="Arial" w:cs="Arial"/>
          <w:color w:val="222222"/>
          <w:sz w:val="20"/>
          <w:szCs w:val="20"/>
          <w:shd w:val="clear" w:color="auto" w:fill="FFFFFF"/>
        </w:rPr>
        <w:t xml:space="preserve">Griffon, D. J. (2005). Fracture healing. In: </w:t>
      </w:r>
      <w:r w:rsidRPr="00DF549C">
        <w:rPr>
          <w:rFonts w:ascii="Arial" w:hAnsi="Arial" w:cs="Arial"/>
          <w:i/>
          <w:iCs/>
          <w:color w:val="222222"/>
          <w:sz w:val="20"/>
          <w:szCs w:val="20"/>
          <w:shd w:val="clear" w:color="auto" w:fill="FFFFFF"/>
        </w:rPr>
        <w:t xml:space="preserve">AO principles of fracture management in the dog and </w:t>
      </w:r>
      <w:proofErr w:type="gramStart"/>
      <w:r w:rsidRPr="00DF549C">
        <w:rPr>
          <w:rFonts w:ascii="Arial" w:hAnsi="Arial" w:cs="Arial"/>
          <w:i/>
          <w:iCs/>
          <w:color w:val="222222"/>
          <w:sz w:val="20"/>
          <w:szCs w:val="20"/>
          <w:shd w:val="clear" w:color="auto" w:fill="FFFFFF"/>
        </w:rPr>
        <w:t>cat</w:t>
      </w:r>
      <w:r w:rsidRPr="00DF549C">
        <w:rPr>
          <w:rFonts w:ascii="Arial" w:hAnsi="Arial" w:cs="Arial"/>
          <w:color w:val="222222"/>
          <w:sz w:val="20"/>
          <w:szCs w:val="20"/>
          <w:shd w:val="clear" w:color="auto" w:fill="FFFFFF"/>
        </w:rPr>
        <w:t>  (</w:t>
      </w:r>
      <w:proofErr w:type="gramEnd"/>
      <w:r w:rsidRPr="00DF549C">
        <w:rPr>
          <w:rFonts w:ascii="Arial" w:hAnsi="Arial" w:cs="Arial"/>
          <w:color w:val="222222"/>
          <w:sz w:val="20"/>
          <w:szCs w:val="20"/>
          <w:shd w:val="clear" w:color="auto" w:fill="FFFFFF"/>
        </w:rPr>
        <w:t xml:space="preserve">Johnson, A. L., Houlton, J. E., &amp; </w:t>
      </w:r>
      <w:proofErr w:type="spellStart"/>
      <w:r w:rsidRPr="00DF549C">
        <w:rPr>
          <w:rFonts w:ascii="Arial" w:hAnsi="Arial" w:cs="Arial"/>
          <w:color w:val="222222"/>
          <w:sz w:val="20"/>
          <w:szCs w:val="20"/>
          <w:shd w:val="clear" w:color="auto" w:fill="FFFFFF"/>
        </w:rPr>
        <w:t>Vannini</w:t>
      </w:r>
      <w:proofErr w:type="spellEnd"/>
      <w:r w:rsidRPr="00DF549C">
        <w:rPr>
          <w:rFonts w:ascii="Arial" w:hAnsi="Arial" w:cs="Arial"/>
          <w:color w:val="222222"/>
          <w:sz w:val="20"/>
          <w:szCs w:val="20"/>
          <w:shd w:val="clear" w:color="auto" w:fill="FFFFFF"/>
        </w:rPr>
        <w:t xml:space="preserve">, </w:t>
      </w:r>
      <w:proofErr w:type="spellStart"/>
      <w:r w:rsidRPr="00DF549C">
        <w:rPr>
          <w:rFonts w:ascii="Arial" w:hAnsi="Arial" w:cs="Arial"/>
          <w:color w:val="222222"/>
          <w:sz w:val="20"/>
          <w:szCs w:val="20"/>
          <w:shd w:val="clear" w:color="auto" w:fill="FFFFFF"/>
        </w:rPr>
        <w:t>R.Eds</w:t>
      </w:r>
      <w:proofErr w:type="spellEnd"/>
      <w:r w:rsidRPr="00DF549C">
        <w:rPr>
          <w:rFonts w:ascii="Arial" w:hAnsi="Arial" w:cs="Arial"/>
          <w:color w:val="222222"/>
          <w:sz w:val="20"/>
          <w:szCs w:val="20"/>
          <w:shd w:val="clear" w:color="auto" w:fill="FFFFFF"/>
        </w:rPr>
        <w:t>), AO publishing,pp.73-97</w:t>
      </w:r>
    </w:p>
    <w:p w14:paraId="40D461D1" w14:textId="0AD4B730" w:rsidR="00286827" w:rsidRPr="00DF549C" w:rsidRDefault="00286827" w:rsidP="00DF549C">
      <w:pPr>
        <w:spacing w:line="360" w:lineRule="auto"/>
        <w:jc w:val="both"/>
        <w:rPr>
          <w:rFonts w:ascii="Arial" w:hAnsi="Arial" w:cs="Arial"/>
          <w:color w:val="222222"/>
          <w:sz w:val="20"/>
          <w:szCs w:val="20"/>
          <w:shd w:val="clear" w:color="auto" w:fill="FFFFFF"/>
        </w:rPr>
      </w:pPr>
      <w:r w:rsidRPr="00DF549C">
        <w:rPr>
          <w:rFonts w:ascii="Arial" w:hAnsi="Arial" w:cs="Arial"/>
          <w:color w:val="222222"/>
          <w:sz w:val="20"/>
          <w:szCs w:val="20"/>
          <w:shd w:val="clear" w:color="auto" w:fill="FFFFFF"/>
        </w:rPr>
        <w:t>Aithal, H. P., Singh, G. R., &amp; Bisht, G. S. (1999). Fractures in dogs: A survey of 402 cases. </w:t>
      </w:r>
      <w:r w:rsidRPr="00DF549C">
        <w:rPr>
          <w:rFonts w:ascii="Arial" w:hAnsi="Arial" w:cs="Arial"/>
          <w:i/>
          <w:iCs/>
          <w:color w:val="222222"/>
          <w:sz w:val="20"/>
          <w:szCs w:val="20"/>
          <w:shd w:val="clear" w:color="auto" w:fill="FFFFFF"/>
        </w:rPr>
        <w:t>Indian Journal of Veterinary Surgery</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20</w:t>
      </w:r>
      <w:r w:rsidRPr="00DF549C">
        <w:rPr>
          <w:rFonts w:ascii="Arial" w:hAnsi="Arial" w:cs="Arial"/>
          <w:color w:val="222222"/>
          <w:sz w:val="20"/>
          <w:szCs w:val="20"/>
          <w:shd w:val="clear" w:color="auto" w:fill="FFFFFF"/>
        </w:rPr>
        <w:t>(1), 15-21.</w:t>
      </w:r>
    </w:p>
    <w:p w14:paraId="170E0B89" w14:textId="526150DE" w:rsidR="00286827" w:rsidRPr="00DF549C" w:rsidRDefault="00286827" w:rsidP="00DF549C">
      <w:pPr>
        <w:pStyle w:val="NormalWeb"/>
        <w:spacing w:line="360" w:lineRule="auto"/>
        <w:jc w:val="both"/>
        <w:rPr>
          <w:rFonts w:ascii="Arial" w:hAnsi="Arial" w:cs="Arial"/>
          <w:sz w:val="20"/>
          <w:szCs w:val="20"/>
        </w:rPr>
      </w:pPr>
      <w:proofErr w:type="spellStart"/>
      <w:r w:rsidRPr="00DF549C">
        <w:rPr>
          <w:rFonts w:ascii="Arial" w:hAnsi="Arial" w:cs="Arial"/>
          <w:sz w:val="20"/>
          <w:szCs w:val="20"/>
        </w:rPr>
        <w:t>Libardoni</w:t>
      </w:r>
      <w:proofErr w:type="spellEnd"/>
      <w:r w:rsidRPr="00DF549C">
        <w:rPr>
          <w:rFonts w:ascii="Arial" w:hAnsi="Arial" w:cs="Arial"/>
          <w:sz w:val="20"/>
          <w:szCs w:val="20"/>
        </w:rPr>
        <w:t xml:space="preserve">, R. D., da Costa, D., Menezes, F. B., Cavalli, L. G., Pedrotti, L. F., Kohlrausch, P. R., Minto, B. W., and Silva, M. A. M. (2018). Classification, fixation techniques, complications and outcomes of femur fractures in dogs and cats: 61 cases (2015–2016). </w:t>
      </w:r>
      <w:proofErr w:type="spellStart"/>
      <w:r w:rsidRPr="00DF549C">
        <w:rPr>
          <w:rFonts w:ascii="Arial" w:hAnsi="Arial" w:cs="Arial"/>
          <w:i/>
          <w:iCs/>
          <w:sz w:val="20"/>
          <w:szCs w:val="20"/>
        </w:rPr>
        <w:t>Ciência</w:t>
      </w:r>
      <w:proofErr w:type="spellEnd"/>
      <w:r w:rsidRPr="00DF549C">
        <w:rPr>
          <w:rFonts w:ascii="Arial" w:hAnsi="Arial" w:cs="Arial"/>
          <w:i/>
          <w:iCs/>
          <w:sz w:val="20"/>
          <w:szCs w:val="20"/>
        </w:rPr>
        <w:t xml:space="preserve"> Rural</w:t>
      </w:r>
      <w:r w:rsidRPr="00DF549C">
        <w:rPr>
          <w:rFonts w:ascii="Arial" w:hAnsi="Arial" w:cs="Arial"/>
          <w:sz w:val="20"/>
          <w:szCs w:val="20"/>
        </w:rPr>
        <w:t>, 48(6), e20170028.</w:t>
      </w:r>
    </w:p>
    <w:p w14:paraId="225834C4" w14:textId="05104823" w:rsidR="001F60D6" w:rsidRPr="00DF549C" w:rsidRDefault="001F60D6" w:rsidP="00DF549C">
      <w:pPr>
        <w:pStyle w:val="NormalWeb"/>
        <w:spacing w:line="360" w:lineRule="auto"/>
        <w:jc w:val="both"/>
        <w:rPr>
          <w:rFonts w:ascii="Arial" w:hAnsi="Arial" w:cs="Arial"/>
          <w:color w:val="000000"/>
          <w:sz w:val="20"/>
          <w:szCs w:val="20"/>
        </w:rPr>
      </w:pPr>
      <w:proofErr w:type="spellStart"/>
      <w:r w:rsidRPr="00DF549C">
        <w:rPr>
          <w:rFonts w:ascii="Arial" w:hAnsi="Arial" w:cs="Arial"/>
          <w:color w:val="222222"/>
          <w:sz w:val="20"/>
          <w:szCs w:val="20"/>
          <w:shd w:val="clear" w:color="auto" w:fill="FFFFFF"/>
        </w:rPr>
        <w:t>Vallefuoco</w:t>
      </w:r>
      <w:proofErr w:type="spellEnd"/>
      <w:r w:rsidRPr="00DF549C">
        <w:rPr>
          <w:rFonts w:ascii="Arial" w:hAnsi="Arial" w:cs="Arial"/>
          <w:color w:val="222222"/>
          <w:sz w:val="20"/>
          <w:szCs w:val="20"/>
          <w:shd w:val="clear" w:color="auto" w:fill="FFFFFF"/>
        </w:rPr>
        <w:t xml:space="preserve">, R., Le </w:t>
      </w:r>
      <w:proofErr w:type="spellStart"/>
      <w:r w:rsidRPr="00DF549C">
        <w:rPr>
          <w:rFonts w:ascii="Arial" w:hAnsi="Arial" w:cs="Arial"/>
          <w:color w:val="222222"/>
          <w:sz w:val="20"/>
          <w:szCs w:val="20"/>
          <w:shd w:val="clear" w:color="auto" w:fill="FFFFFF"/>
        </w:rPr>
        <w:t>Pommellet</w:t>
      </w:r>
      <w:proofErr w:type="spellEnd"/>
      <w:r w:rsidRPr="00DF549C">
        <w:rPr>
          <w:rFonts w:ascii="Arial" w:hAnsi="Arial" w:cs="Arial"/>
          <w:color w:val="222222"/>
          <w:sz w:val="20"/>
          <w:szCs w:val="20"/>
          <w:shd w:val="clear" w:color="auto" w:fill="FFFFFF"/>
        </w:rPr>
        <w:t xml:space="preserve">, H., Savin, A., </w:t>
      </w:r>
      <w:proofErr w:type="spellStart"/>
      <w:r w:rsidRPr="00DF549C">
        <w:rPr>
          <w:rFonts w:ascii="Arial" w:hAnsi="Arial" w:cs="Arial"/>
          <w:color w:val="222222"/>
          <w:sz w:val="20"/>
          <w:szCs w:val="20"/>
          <w:shd w:val="clear" w:color="auto" w:fill="FFFFFF"/>
        </w:rPr>
        <w:t>Decambron</w:t>
      </w:r>
      <w:proofErr w:type="spellEnd"/>
      <w:r w:rsidRPr="00DF549C">
        <w:rPr>
          <w:rFonts w:ascii="Arial" w:hAnsi="Arial" w:cs="Arial"/>
          <w:color w:val="222222"/>
          <w:sz w:val="20"/>
          <w:szCs w:val="20"/>
          <w:shd w:val="clear" w:color="auto" w:fill="FFFFFF"/>
        </w:rPr>
        <w:t xml:space="preserve">, A., </w:t>
      </w:r>
      <w:proofErr w:type="spellStart"/>
      <w:r w:rsidRPr="00DF549C">
        <w:rPr>
          <w:rFonts w:ascii="Arial" w:hAnsi="Arial" w:cs="Arial"/>
          <w:color w:val="222222"/>
          <w:sz w:val="20"/>
          <w:szCs w:val="20"/>
          <w:shd w:val="clear" w:color="auto" w:fill="FFFFFF"/>
        </w:rPr>
        <w:t>Manassero</w:t>
      </w:r>
      <w:proofErr w:type="spellEnd"/>
      <w:r w:rsidRPr="00DF549C">
        <w:rPr>
          <w:rFonts w:ascii="Arial" w:hAnsi="Arial" w:cs="Arial"/>
          <w:color w:val="222222"/>
          <w:sz w:val="20"/>
          <w:szCs w:val="20"/>
          <w:shd w:val="clear" w:color="auto" w:fill="FFFFFF"/>
        </w:rPr>
        <w:t xml:space="preserve">, M., </w:t>
      </w:r>
      <w:proofErr w:type="spellStart"/>
      <w:r w:rsidRPr="00DF549C">
        <w:rPr>
          <w:rFonts w:ascii="Arial" w:hAnsi="Arial" w:cs="Arial"/>
          <w:color w:val="222222"/>
          <w:sz w:val="20"/>
          <w:szCs w:val="20"/>
          <w:shd w:val="clear" w:color="auto" w:fill="FFFFFF"/>
        </w:rPr>
        <w:t>Viateau</w:t>
      </w:r>
      <w:proofErr w:type="spellEnd"/>
      <w:r w:rsidRPr="00DF549C">
        <w:rPr>
          <w:rFonts w:ascii="Arial" w:hAnsi="Arial" w:cs="Arial"/>
          <w:color w:val="222222"/>
          <w:sz w:val="20"/>
          <w:szCs w:val="20"/>
          <w:shd w:val="clear" w:color="auto" w:fill="FFFFFF"/>
        </w:rPr>
        <w:t>, V., and Fayolle, P. (2016). Complications of appendicular fracture repair in cats and small dogs using locking compression plates. </w:t>
      </w:r>
      <w:r w:rsidRPr="00DF549C">
        <w:rPr>
          <w:rFonts w:ascii="Arial" w:hAnsi="Arial" w:cs="Arial"/>
          <w:i/>
          <w:iCs/>
          <w:color w:val="222222"/>
          <w:sz w:val="20"/>
          <w:szCs w:val="20"/>
          <w:shd w:val="clear" w:color="auto" w:fill="FFFFFF"/>
        </w:rPr>
        <w:t>Veterinary and Comparative Orthopaedics and Traumatology</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29</w:t>
      </w:r>
      <w:r w:rsidRPr="00DF549C">
        <w:rPr>
          <w:rFonts w:ascii="Arial" w:hAnsi="Arial" w:cs="Arial"/>
          <w:color w:val="222222"/>
          <w:sz w:val="20"/>
          <w:szCs w:val="20"/>
          <w:shd w:val="clear" w:color="auto" w:fill="FFFFFF"/>
        </w:rPr>
        <w:t>(01), 46-52.</w:t>
      </w:r>
      <w:r w:rsidRPr="00DF549C">
        <w:rPr>
          <w:rFonts w:ascii="Arial" w:hAnsi="Arial" w:cs="Arial"/>
          <w:color w:val="000000"/>
          <w:sz w:val="20"/>
          <w:szCs w:val="20"/>
        </w:rPr>
        <w:t xml:space="preserve"> </w:t>
      </w:r>
      <w:bookmarkStart w:id="2" w:name="_GoBack"/>
      <w:bookmarkEnd w:id="2"/>
    </w:p>
    <w:p w14:paraId="2CED0A76" w14:textId="4117D7B0" w:rsidR="001F60D6" w:rsidRPr="00DF549C" w:rsidRDefault="001F60D6" w:rsidP="00DF549C">
      <w:pPr>
        <w:spacing w:line="360" w:lineRule="auto"/>
        <w:jc w:val="both"/>
        <w:rPr>
          <w:rFonts w:ascii="Arial" w:hAnsi="Arial" w:cs="Arial"/>
          <w:sz w:val="20"/>
          <w:szCs w:val="20"/>
        </w:rPr>
      </w:pPr>
      <w:r w:rsidRPr="00DF549C">
        <w:rPr>
          <w:rFonts w:ascii="Arial" w:hAnsi="Arial" w:cs="Arial"/>
          <w:color w:val="222222"/>
          <w:sz w:val="20"/>
          <w:szCs w:val="20"/>
          <w:shd w:val="clear" w:color="auto" w:fill="FFFFFF"/>
        </w:rPr>
        <w:t xml:space="preserve">Kallianpur, N., Singh, K., Gopinathan, A., </w:t>
      </w:r>
      <w:proofErr w:type="spellStart"/>
      <w:r w:rsidRPr="00DF549C">
        <w:rPr>
          <w:rFonts w:ascii="Arial" w:hAnsi="Arial" w:cs="Arial"/>
          <w:color w:val="222222"/>
          <w:sz w:val="20"/>
          <w:szCs w:val="20"/>
          <w:shd w:val="clear" w:color="auto" w:fill="FFFFFF"/>
        </w:rPr>
        <w:t>Sarangom</w:t>
      </w:r>
      <w:proofErr w:type="spellEnd"/>
      <w:r w:rsidRPr="00DF549C">
        <w:rPr>
          <w:rFonts w:ascii="Arial" w:hAnsi="Arial" w:cs="Arial"/>
          <w:color w:val="222222"/>
          <w:sz w:val="20"/>
          <w:szCs w:val="20"/>
          <w:shd w:val="clear" w:color="auto" w:fill="FFFFFF"/>
        </w:rPr>
        <w:t xml:space="preserve">, S. B., John, C., </w:t>
      </w:r>
      <w:proofErr w:type="spellStart"/>
      <w:r w:rsidRPr="00DF549C">
        <w:rPr>
          <w:rFonts w:ascii="Arial" w:hAnsi="Arial" w:cs="Arial"/>
          <w:color w:val="222222"/>
          <w:sz w:val="20"/>
          <w:szCs w:val="20"/>
          <w:shd w:val="clear" w:color="auto" w:fill="FFFFFF"/>
        </w:rPr>
        <w:t>Sowbharenya</w:t>
      </w:r>
      <w:proofErr w:type="spellEnd"/>
      <w:r w:rsidRPr="00DF549C">
        <w:rPr>
          <w:rFonts w:ascii="Arial" w:hAnsi="Arial" w:cs="Arial"/>
          <w:color w:val="222222"/>
          <w:sz w:val="20"/>
          <w:szCs w:val="20"/>
          <w:shd w:val="clear" w:color="auto" w:fill="FFFFFF"/>
        </w:rPr>
        <w:t>, C., and Sharma, P. (2018). Investigation on relation between factors affecting occurrence and outcome of repair of long bone fractures in 216 dogs. </w:t>
      </w:r>
      <w:r w:rsidRPr="00DF549C">
        <w:rPr>
          <w:rFonts w:ascii="Arial" w:hAnsi="Arial" w:cs="Arial"/>
          <w:i/>
          <w:iCs/>
          <w:color w:val="222222"/>
          <w:sz w:val="20"/>
          <w:szCs w:val="20"/>
          <w:shd w:val="clear" w:color="auto" w:fill="FFFFFF"/>
        </w:rPr>
        <w:t>International Journal of Livestock Research</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8</w:t>
      </w:r>
      <w:r w:rsidRPr="00DF549C">
        <w:rPr>
          <w:rFonts w:ascii="Arial" w:hAnsi="Arial" w:cs="Arial"/>
          <w:color w:val="222222"/>
          <w:sz w:val="20"/>
          <w:szCs w:val="20"/>
          <w:shd w:val="clear" w:color="auto" w:fill="FFFFFF"/>
        </w:rPr>
        <w:t>(2), 225-234.</w:t>
      </w:r>
      <w:r w:rsidRPr="00DF549C">
        <w:rPr>
          <w:rFonts w:ascii="Arial" w:hAnsi="Arial" w:cs="Arial"/>
          <w:sz w:val="20"/>
          <w:szCs w:val="20"/>
        </w:rPr>
        <w:t xml:space="preserve"> </w:t>
      </w:r>
    </w:p>
    <w:p w14:paraId="1CB720BE" w14:textId="33ACEB3D" w:rsidR="001F60D6" w:rsidRPr="00DF549C" w:rsidRDefault="001F60D6" w:rsidP="00DF549C">
      <w:pPr>
        <w:pStyle w:val="NormalWeb"/>
        <w:spacing w:line="360" w:lineRule="auto"/>
        <w:jc w:val="both"/>
        <w:rPr>
          <w:rFonts w:ascii="Arial" w:hAnsi="Arial" w:cs="Arial"/>
          <w:color w:val="000000"/>
          <w:sz w:val="20"/>
          <w:szCs w:val="20"/>
        </w:rPr>
      </w:pPr>
      <w:r w:rsidRPr="00DF549C">
        <w:rPr>
          <w:rFonts w:ascii="Arial" w:hAnsi="Arial" w:cs="Arial"/>
          <w:color w:val="222222"/>
          <w:sz w:val="20"/>
          <w:szCs w:val="20"/>
          <w:shd w:val="clear" w:color="auto" w:fill="FFFFFF"/>
        </w:rPr>
        <w:lastRenderedPageBreak/>
        <w:t xml:space="preserve">Wangchuk, T., Khosa, J. S., Singh, T., </w:t>
      </w:r>
      <w:proofErr w:type="spellStart"/>
      <w:r w:rsidRPr="00DF549C">
        <w:rPr>
          <w:rFonts w:ascii="Arial" w:hAnsi="Arial" w:cs="Arial"/>
          <w:color w:val="222222"/>
          <w:sz w:val="20"/>
          <w:szCs w:val="20"/>
          <w:shd w:val="clear" w:color="auto" w:fill="FFFFFF"/>
        </w:rPr>
        <w:t>Mohindroo</w:t>
      </w:r>
      <w:proofErr w:type="spellEnd"/>
      <w:r w:rsidRPr="00DF549C">
        <w:rPr>
          <w:rFonts w:ascii="Arial" w:hAnsi="Arial" w:cs="Arial"/>
          <w:color w:val="222222"/>
          <w:sz w:val="20"/>
          <w:szCs w:val="20"/>
          <w:shd w:val="clear" w:color="auto" w:fill="FFFFFF"/>
        </w:rPr>
        <w:t xml:space="preserve">, J., Sangwan, V., &amp; Singh, O. (2021). Evaluation of pin plate combination for surgical management of </w:t>
      </w:r>
      <w:proofErr w:type="spellStart"/>
      <w:r w:rsidRPr="00DF549C">
        <w:rPr>
          <w:rFonts w:ascii="Arial" w:hAnsi="Arial" w:cs="Arial"/>
          <w:color w:val="222222"/>
          <w:sz w:val="20"/>
          <w:szCs w:val="20"/>
          <w:shd w:val="clear" w:color="auto" w:fill="FFFFFF"/>
        </w:rPr>
        <w:t>comminuted</w:t>
      </w:r>
      <w:proofErr w:type="spellEnd"/>
      <w:r w:rsidRPr="00DF549C">
        <w:rPr>
          <w:rFonts w:ascii="Arial" w:hAnsi="Arial" w:cs="Arial"/>
          <w:color w:val="222222"/>
          <w:sz w:val="20"/>
          <w:szCs w:val="20"/>
          <w:shd w:val="clear" w:color="auto" w:fill="FFFFFF"/>
        </w:rPr>
        <w:t xml:space="preserve"> diaphyseal femur fracture in dogs. </w:t>
      </w:r>
      <w:r w:rsidRPr="00DF549C">
        <w:rPr>
          <w:rFonts w:ascii="Arial" w:hAnsi="Arial" w:cs="Arial"/>
          <w:i/>
          <w:iCs/>
          <w:color w:val="222222"/>
          <w:sz w:val="20"/>
          <w:szCs w:val="20"/>
          <w:shd w:val="clear" w:color="auto" w:fill="FFFFFF"/>
        </w:rPr>
        <w:t>The Pharma Innovation Journal</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10</w:t>
      </w:r>
      <w:r w:rsidRPr="00DF549C">
        <w:rPr>
          <w:rFonts w:ascii="Arial" w:hAnsi="Arial" w:cs="Arial"/>
          <w:color w:val="222222"/>
          <w:sz w:val="20"/>
          <w:szCs w:val="20"/>
          <w:shd w:val="clear" w:color="auto" w:fill="FFFFFF"/>
        </w:rPr>
        <w:t>(8), 156-160.</w:t>
      </w:r>
    </w:p>
    <w:p w14:paraId="386FE4A0" w14:textId="7C6C388A" w:rsidR="001F60D6" w:rsidRPr="00DF549C" w:rsidRDefault="001F60D6" w:rsidP="00DF549C">
      <w:pPr>
        <w:spacing w:line="360" w:lineRule="auto"/>
        <w:jc w:val="both"/>
        <w:rPr>
          <w:rFonts w:ascii="Arial" w:hAnsi="Arial" w:cs="Arial"/>
          <w:color w:val="222222"/>
          <w:sz w:val="20"/>
          <w:szCs w:val="20"/>
          <w:shd w:val="clear" w:color="auto" w:fill="FFFFFF"/>
        </w:rPr>
      </w:pPr>
      <w:r w:rsidRPr="00DF549C">
        <w:rPr>
          <w:rFonts w:ascii="Arial" w:hAnsi="Arial" w:cs="Arial"/>
          <w:color w:val="222222"/>
          <w:sz w:val="20"/>
          <w:szCs w:val="20"/>
          <w:shd w:val="clear" w:color="auto" w:fill="FFFFFF"/>
        </w:rPr>
        <w:t xml:space="preserve">Gopinathan, A., Singh, K., Arya, M., SN, C., Shrama, P., </w:t>
      </w:r>
      <w:proofErr w:type="spellStart"/>
      <w:r w:rsidRPr="00DF549C">
        <w:rPr>
          <w:rFonts w:ascii="Arial" w:hAnsi="Arial" w:cs="Arial"/>
          <w:color w:val="222222"/>
          <w:sz w:val="20"/>
          <w:szCs w:val="20"/>
          <w:shd w:val="clear" w:color="auto" w:fill="FFFFFF"/>
        </w:rPr>
        <w:t>Alifsha</w:t>
      </w:r>
      <w:proofErr w:type="spellEnd"/>
      <w:r w:rsidRPr="00DF549C">
        <w:rPr>
          <w:rFonts w:ascii="Arial" w:hAnsi="Arial" w:cs="Arial"/>
          <w:color w:val="222222"/>
          <w:sz w:val="20"/>
          <w:szCs w:val="20"/>
          <w:shd w:val="clear" w:color="auto" w:fill="FFFFFF"/>
        </w:rPr>
        <w:t xml:space="preserve">, B., </w:t>
      </w:r>
      <w:proofErr w:type="spellStart"/>
      <w:r w:rsidRPr="00DF549C">
        <w:rPr>
          <w:rFonts w:ascii="Arial" w:hAnsi="Arial" w:cs="Arial"/>
          <w:color w:val="222222"/>
          <w:sz w:val="20"/>
          <w:szCs w:val="20"/>
          <w:shd w:val="clear" w:color="auto" w:fill="FFFFFF"/>
        </w:rPr>
        <w:t>Sowbharenya</w:t>
      </w:r>
      <w:proofErr w:type="spellEnd"/>
      <w:r w:rsidRPr="00DF549C">
        <w:rPr>
          <w:rFonts w:ascii="Arial" w:hAnsi="Arial" w:cs="Arial"/>
          <w:color w:val="222222"/>
          <w:sz w:val="20"/>
          <w:szCs w:val="20"/>
          <w:shd w:val="clear" w:color="auto" w:fill="FFFFFF"/>
        </w:rPr>
        <w:t>, C. and Kumar, A., 2023. Plate-rod technique for femur fracture repair in dogs: A report of 31 cases. </w:t>
      </w:r>
      <w:r w:rsidRPr="00DF549C">
        <w:rPr>
          <w:rFonts w:ascii="Arial" w:hAnsi="Arial" w:cs="Arial"/>
          <w:i/>
          <w:iCs/>
          <w:color w:val="222222"/>
          <w:sz w:val="20"/>
          <w:szCs w:val="20"/>
          <w:shd w:val="clear" w:color="auto" w:fill="FFFFFF"/>
        </w:rPr>
        <w:t>Acta Scientific Veterinary Sciences (ISSN: 2582-3183)</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5</w:t>
      </w:r>
      <w:r w:rsidRPr="00DF549C">
        <w:rPr>
          <w:rFonts w:ascii="Arial" w:hAnsi="Arial" w:cs="Arial"/>
          <w:color w:val="222222"/>
          <w:sz w:val="20"/>
          <w:szCs w:val="20"/>
          <w:shd w:val="clear" w:color="auto" w:fill="FFFFFF"/>
        </w:rPr>
        <w:t>(5).</w:t>
      </w:r>
    </w:p>
    <w:p w14:paraId="37A2B288" w14:textId="004A0742" w:rsidR="001F60D6" w:rsidRPr="00DF549C" w:rsidRDefault="001F60D6" w:rsidP="00DF549C">
      <w:pPr>
        <w:spacing w:line="360" w:lineRule="auto"/>
        <w:jc w:val="both"/>
        <w:rPr>
          <w:rFonts w:ascii="Arial" w:hAnsi="Arial" w:cs="Arial"/>
          <w:color w:val="212121"/>
          <w:sz w:val="20"/>
          <w:szCs w:val="20"/>
          <w:shd w:val="clear" w:color="auto" w:fill="FFFFFF"/>
        </w:rPr>
      </w:pPr>
      <w:proofErr w:type="spellStart"/>
      <w:r w:rsidRPr="00DF549C">
        <w:rPr>
          <w:rFonts w:ascii="Arial" w:hAnsi="Arial" w:cs="Arial"/>
          <w:color w:val="222222"/>
          <w:sz w:val="20"/>
          <w:szCs w:val="20"/>
          <w:shd w:val="clear" w:color="auto" w:fill="FFFFFF"/>
        </w:rPr>
        <w:t>Sarangom</w:t>
      </w:r>
      <w:proofErr w:type="spellEnd"/>
      <w:r w:rsidRPr="00DF549C">
        <w:rPr>
          <w:rFonts w:ascii="Arial" w:hAnsi="Arial" w:cs="Arial"/>
          <w:color w:val="222222"/>
          <w:sz w:val="20"/>
          <w:szCs w:val="20"/>
          <w:shd w:val="clear" w:color="auto" w:fill="FFFFFF"/>
        </w:rPr>
        <w:t xml:space="preserve">, S. B., Singh, K., Gopinathan, A., Basha, K. M. A., Surendra, D. S., </w:t>
      </w:r>
      <w:proofErr w:type="spellStart"/>
      <w:r w:rsidRPr="00DF549C">
        <w:rPr>
          <w:rFonts w:ascii="Arial" w:hAnsi="Arial" w:cs="Arial"/>
          <w:color w:val="222222"/>
          <w:sz w:val="20"/>
          <w:szCs w:val="20"/>
          <w:shd w:val="clear" w:color="auto" w:fill="FFFFFF"/>
        </w:rPr>
        <w:t>Sowbharenya</w:t>
      </w:r>
      <w:proofErr w:type="spellEnd"/>
      <w:r w:rsidRPr="00DF549C">
        <w:rPr>
          <w:rFonts w:ascii="Arial" w:hAnsi="Arial" w:cs="Arial"/>
          <w:color w:val="222222"/>
          <w:sz w:val="20"/>
          <w:szCs w:val="20"/>
          <w:shd w:val="clear" w:color="auto" w:fill="FFFFFF"/>
        </w:rPr>
        <w:t xml:space="preserve">, C., and John, C. (2018). Plate-rod technique for the repair of </w:t>
      </w:r>
      <w:proofErr w:type="spellStart"/>
      <w:r w:rsidRPr="00DF549C">
        <w:rPr>
          <w:rFonts w:ascii="Arial" w:hAnsi="Arial" w:cs="Arial"/>
          <w:color w:val="222222"/>
          <w:sz w:val="20"/>
          <w:szCs w:val="20"/>
          <w:shd w:val="clear" w:color="auto" w:fill="FFFFFF"/>
        </w:rPr>
        <w:t>comminuted</w:t>
      </w:r>
      <w:proofErr w:type="spellEnd"/>
      <w:r w:rsidRPr="00DF549C">
        <w:rPr>
          <w:rFonts w:ascii="Arial" w:hAnsi="Arial" w:cs="Arial"/>
          <w:color w:val="222222"/>
          <w:sz w:val="20"/>
          <w:szCs w:val="20"/>
          <w:shd w:val="clear" w:color="auto" w:fill="FFFFFF"/>
        </w:rPr>
        <w:t xml:space="preserve"> diaphyseal femoral fractures in young dogs. </w:t>
      </w:r>
      <w:r w:rsidRPr="00DF549C">
        <w:rPr>
          <w:rFonts w:ascii="Arial" w:hAnsi="Arial" w:cs="Arial"/>
          <w:i/>
          <w:iCs/>
          <w:color w:val="222222"/>
          <w:sz w:val="20"/>
          <w:szCs w:val="20"/>
          <w:shd w:val="clear" w:color="auto" w:fill="FFFFFF"/>
        </w:rPr>
        <w:t>International journal of advanced biological research</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8</w:t>
      </w:r>
      <w:r w:rsidRPr="00DF549C">
        <w:rPr>
          <w:rFonts w:ascii="Arial" w:hAnsi="Arial" w:cs="Arial"/>
          <w:color w:val="222222"/>
          <w:sz w:val="20"/>
          <w:szCs w:val="20"/>
          <w:shd w:val="clear" w:color="auto" w:fill="FFFFFF"/>
        </w:rPr>
        <w:t>(4), 451-453</w:t>
      </w:r>
    </w:p>
    <w:p w14:paraId="77A7CE2A" w14:textId="0B8EE5DE" w:rsidR="001F60D6" w:rsidRPr="00DF549C" w:rsidRDefault="001F60D6" w:rsidP="00DF549C">
      <w:pPr>
        <w:shd w:val="clear" w:color="auto" w:fill="FFFFFF"/>
        <w:spacing w:line="360" w:lineRule="auto"/>
        <w:jc w:val="both"/>
        <w:rPr>
          <w:rFonts w:ascii="Arial" w:eastAsia="Times New Roman" w:hAnsi="Arial" w:cs="Arial"/>
          <w:color w:val="2A2A2A"/>
          <w:kern w:val="0"/>
          <w:sz w:val="20"/>
          <w:szCs w:val="20"/>
          <w:lang w:eastAsia="en-IN" w:bidi="ar-SA"/>
          <w14:ligatures w14:val="none"/>
        </w:rPr>
      </w:pPr>
      <w:r w:rsidRPr="00DF549C">
        <w:rPr>
          <w:rFonts w:ascii="Arial" w:hAnsi="Arial" w:cs="Arial"/>
          <w:color w:val="222222"/>
          <w:sz w:val="20"/>
          <w:szCs w:val="20"/>
          <w:shd w:val="clear" w:color="auto" w:fill="FFFFFF"/>
        </w:rPr>
        <w:t>Haaland, P. J., Sjöström, L., Devor, M., and Haug, A. (2009). Appendicular fracture repair in dogs using the locking compression plate system: 47 cases. </w:t>
      </w:r>
      <w:r w:rsidRPr="00DF549C">
        <w:rPr>
          <w:rFonts w:ascii="Arial" w:hAnsi="Arial" w:cs="Arial"/>
          <w:i/>
          <w:iCs/>
          <w:color w:val="222222"/>
          <w:sz w:val="20"/>
          <w:szCs w:val="20"/>
          <w:shd w:val="clear" w:color="auto" w:fill="FFFFFF"/>
        </w:rPr>
        <w:t>Veterinary &amp; Comparative Orthopaedics &amp; Traumatology</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22</w:t>
      </w:r>
      <w:r w:rsidRPr="00DF549C">
        <w:rPr>
          <w:rFonts w:ascii="Arial" w:hAnsi="Arial" w:cs="Arial"/>
          <w:color w:val="222222"/>
          <w:sz w:val="20"/>
          <w:szCs w:val="20"/>
          <w:shd w:val="clear" w:color="auto" w:fill="FFFFFF"/>
        </w:rPr>
        <w:t>(04), 309-315.</w:t>
      </w:r>
      <w:r w:rsidRPr="00DF549C">
        <w:rPr>
          <w:rFonts w:ascii="Arial" w:eastAsia="Times New Roman" w:hAnsi="Arial" w:cs="Arial"/>
          <w:color w:val="2A2A2A"/>
          <w:kern w:val="0"/>
          <w:sz w:val="20"/>
          <w:szCs w:val="20"/>
          <w:lang w:eastAsia="en-IN" w:bidi="ar-SA"/>
          <w14:ligatures w14:val="none"/>
        </w:rPr>
        <w:t> </w:t>
      </w:r>
    </w:p>
    <w:p w14:paraId="7B9D1B63" w14:textId="298A077F" w:rsidR="001F60D6" w:rsidRPr="00DF549C" w:rsidRDefault="001F60D6" w:rsidP="00DF549C">
      <w:pPr>
        <w:spacing w:line="360" w:lineRule="auto"/>
        <w:jc w:val="both"/>
        <w:rPr>
          <w:rFonts w:ascii="Arial" w:hAnsi="Arial" w:cs="Arial"/>
          <w:color w:val="000000" w:themeColor="text1"/>
          <w:sz w:val="20"/>
          <w:szCs w:val="20"/>
          <w:shd w:val="clear" w:color="auto" w:fill="FFFFFF"/>
        </w:rPr>
      </w:pPr>
      <w:r w:rsidRPr="00DF549C">
        <w:rPr>
          <w:rFonts w:ascii="Arial" w:hAnsi="Arial" w:cs="Arial"/>
          <w:color w:val="222222"/>
          <w:sz w:val="20"/>
          <w:szCs w:val="20"/>
          <w:shd w:val="clear" w:color="auto" w:fill="FFFFFF"/>
        </w:rPr>
        <w:t xml:space="preserve">Basha, K. M. A., Singh, K., Gopinathan, A., </w:t>
      </w:r>
      <w:proofErr w:type="spellStart"/>
      <w:r w:rsidRPr="00DF549C">
        <w:rPr>
          <w:rFonts w:ascii="Arial" w:hAnsi="Arial" w:cs="Arial"/>
          <w:color w:val="222222"/>
          <w:sz w:val="20"/>
          <w:szCs w:val="20"/>
          <w:shd w:val="clear" w:color="auto" w:fill="FFFFFF"/>
        </w:rPr>
        <w:t>Sarangom</w:t>
      </w:r>
      <w:proofErr w:type="spellEnd"/>
      <w:r w:rsidRPr="00DF549C">
        <w:rPr>
          <w:rFonts w:ascii="Arial" w:hAnsi="Arial" w:cs="Arial"/>
          <w:color w:val="222222"/>
          <w:sz w:val="20"/>
          <w:szCs w:val="20"/>
          <w:shd w:val="clear" w:color="auto" w:fill="FFFFFF"/>
        </w:rPr>
        <w:t>, S. B., Surendra, D. S., Kumar, A., ... &amp; Jabeen, U. (2023). A randomised clinical study to evaluate the plate rod fixation for diaphyseal femoral fracture in dogs. </w:t>
      </w:r>
      <w:r w:rsidRPr="00DF549C">
        <w:rPr>
          <w:rFonts w:ascii="Arial" w:hAnsi="Arial" w:cs="Arial"/>
          <w:i/>
          <w:iCs/>
          <w:color w:val="222222"/>
          <w:sz w:val="20"/>
          <w:szCs w:val="20"/>
          <w:shd w:val="clear" w:color="auto" w:fill="FFFFFF"/>
        </w:rPr>
        <w:t>Indian Journal of Animal Sciences</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93</w:t>
      </w:r>
      <w:r w:rsidRPr="00DF549C">
        <w:rPr>
          <w:rFonts w:ascii="Arial" w:hAnsi="Arial" w:cs="Arial"/>
          <w:color w:val="222222"/>
          <w:sz w:val="20"/>
          <w:szCs w:val="20"/>
          <w:shd w:val="clear" w:color="auto" w:fill="FFFFFF"/>
        </w:rPr>
        <w:t>(04).</w:t>
      </w:r>
      <w:r w:rsidRPr="00DF549C">
        <w:rPr>
          <w:rFonts w:ascii="Arial" w:hAnsi="Arial" w:cs="Arial"/>
          <w:sz w:val="20"/>
          <w:szCs w:val="20"/>
        </w:rPr>
        <w:t xml:space="preserve"> Indian Journal of Animal Sciences 93 (4): 342–348. </w:t>
      </w:r>
    </w:p>
    <w:p w14:paraId="5530A82A" w14:textId="723F13D5" w:rsidR="001F60D6" w:rsidRPr="00DF549C" w:rsidRDefault="001F60D6" w:rsidP="00DF549C">
      <w:pPr>
        <w:pStyle w:val="NormalWeb"/>
        <w:spacing w:before="0" w:beforeAutospacing="0" w:after="0" w:afterAutospacing="0" w:line="360" w:lineRule="auto"/>
        <w:ind w:right="150"/>
        <w:jc w:val="both"/>
        <w:rPr>
          <w:rFonts w:ascii="Arial" w:hAnsi="Arial" w:cs="Arial"/>
          <w:sz w:val="20"/>
          <w:szCs w:val="20"/>
        </w:rPr>
      </w:pPr>
      <w:r w:rsidRPr="00DF549C">
        <w:rPr>
          <w:rFonts w:ascii="Arial" w:hAnsi="Arial" w:cs="Arial"/>
          <w:color w:val="222222"/>
          <w:sz w:val="20"/>
          <w:szCs w:val="20"/>
          <w:shd w:val="clear" w:color="auto" w:fill="FFFFFF"/>
        </w:rPr>
        <w:t>Gautier, E., and Sommer, C. (2003). Guidelines for the clinical application of the LCP. </w:t>
      </w:r>
      <w:r w:rsidRPr="00DF549C">
        <w:rPr>
          <w:rFonts w:ascii="Arial" w:hAnsi="Arial" w:cs="Arial"/>
          <w:i/>
          <w:iCs/>
          <w:color w:val="222222"/>
          <w:sz w:val="20"/>
          <w:szCs w:val="20"/>
          <w:shd w:val="clear" w:color="auto" w:fill="FFFFFF"/>
        </w:rPr>
        <w:t>Injury</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34</w:t>
      </w:r>
      <w:r w:rsidRPr="00DF549C">
        <w:rPr>
          <w:rFonts w:ascii="Arial" w:hAnsi="Arial" w:cs="Arial"/>
          <w:color w:val="222222"/>
          <w:sz w:val="20"/>
          <w:szCs w:val="20"/>
          <w:shd w:val="clear" w:color="auto" w:fill="FFFFFF"/>
        </w:rPr>
        <w:t>, 63-76.</w:t>
      </w:r>
      <w:r w:rsidRPr="00DF549C">
        <w:rPr>
          <w:rFonts w:ascii="Arial" w:hAnsi="Arial" w:cs="Arial"/>
          <w:sz w:val="20"/>
          <w:szCs w:val="20"/>
        </w:rPr>
        <w:t xml:space="preserve"> </w:t>
      </w:r>
    </w:p>
    <w:p w14:paraId="0907CC6D" w14:textId="76E2BC37" w:rsidR="001F60D6" w:rsidRPr="00DF549C" w:rsidRDefault="001F60D6" w:rsidP="00DF549C">
      <w:pPr>
        <w:spacing w:line="360" w:lineRule="auto"/>
        <w:jc w:val="both"/>
        <w:rPr>
          <w:rFonts w:ascii="Arial" w:hAnsi="Arial" w:cs="Arial"/>
          <w:color w:val="222222"/>
          <w:sz w:val="20"/>
          <w:szCs w:val="20"/>
          <w:shd w:val="clear" w:color="auto" w:fill="FFFFFF"/>
        </w:rPr>
      </w:pPr>
      <w:r w:rsidRPr="00DF549C">
        <w:rPr>
          <w:rFonts w:ascii="Arial" w:hAnsi="Arial" w:cs="Arial"/>
          <w:color w:val="222222"/>
          <w:sz w:val="20"/>
          <w:szCs w:val="20"/>
          <w:shd w:val="clear" w:color="auto" w:fill="FFFFFF"/>
        </w:rPr>
        <w:t xml:space="preserve">Litrenta, J., Tornetta III, P., Mehta, S., Jones, C., O'Toole, R. V., Bhandari, M., and Horwitz, D. (2015). Determination of radiographic healing: an assessment of consistency using RUST and modified RUST in </w:t>
      </w:r>
      <w:proofErr w:type="spellStart"/>
      <w:r w:rsidRPr="00DF549C">
        <w:rPr>
          <w:rFonts w:ascii="Arial" w:hAnsi="Arial" w:cs="Arial"/>
          <w:color w:val="222222"/>
          <w:sz w:val="20"/>
          <w:szCs w:val="20"/>
          <w:shd w:val="clear" w:color="auto" w:fill="FFFFFF"/>
        </w:rPr>
        <w:t>metadiaphyseal</w:t>
      </w:r>
      <w:proofErr w:type="spellEnd"/>
      <w:r w:rsidRPr="00DF549C">
        <w:rPr>
          <w:rFonts w:ascii="Arial" w:hAnsi="Arial" w:cs="Arial"/>
          <w:color w:val="222222"/>
          <w:sz w:val="20"/>
          <w:szCs w:val="20"/>
          <w:shd w:val="clear" w:color="auto" w:fill="FFFFFF"/>
        </w:rPr>
        <w:t xml:space="preserve"> fractures. </w:t>
      </w:r>
      <w:r w:rsidRPr="00DF549C">
        <w:rPr>
          <w:rFonts w:ascii="Arial" w:hAnsi="Arial" w:cs="Arial"/>
          <w:i/>
          <w:iCs/>
          <w:color w:val="222222"/>
          <w:sz w:val="20"/>
          <w:szCs w:val="20"/>
          <w:shd w:val="clear" w:color="auto" w:fill="FFFFFF"/>
        </w:rPr>
        <w:t>Journal of orthopaedic trauma</w:t>
      </w:r>
      <w:r w:rsidRPr="00DF549C">
        <w:rPr>
          <w:rFonts w:ascii="Arial" w:hAnsi="Arial" w:cs="Arial"/>
          <w:color w:val="222222"/>
          <w:sz w:val="20"/>
          <w:szCs w:val="20"/>
          <w:shd w:val="clear" w:color="auto" w:fill="FFFFFF"/>
        </w:rPr>
        <w:t>, </w:t>
      </w:r>
      <w:r w:rsidRPr="00DF549C">
        <w:rPr>
          <w:rFonts w:ascii="Arial" w:hAnsi="Arial" w:cs="Arial"/>
          <w:i/>
          <w:iCs/>
          <w:color w:val="222222"/>
          <w:sz w:val="20"/>
          <w:szCs w:val="20"/>
          <w:shd w:val="clear" w:color="auto" w:fill="FFFFFF"/>
        </w:rPr>
        <w:t>29</w:t>
      </w:r>
      <w:r w:rsidRPr="00DF549C">
        <w:rPr>
          <w:rFonts w:ascii="Arial" w:hAnsi="Arial" w:cs="Arial"/>
          <w:color w:val="222222"/>
          <w:sz w:val="20"/>
          <w:szCs w:val="20"/>
          <w:shd w:val="clear" w:color="auto" w:fill="FFFFFF"/>
        </w:rPr>
        <w:t>(11), 516-520</w:t>
      </w:r>
      <w:r w:rsidR="00286827" w:rsidRPr="00DF549C">
        <w:rPr>
          <w:rFonts w:ascii="Arial" w:hAnsi="Arial" w:cs="Arial"/>
          <w:color w:val="222222"/>
          <w:sz w:val="20"/>
          <w:szCs w:val="20"/>
          <w:shd w:val="clear" w:color="auto" w:fill="FFFFFF"/>
        </w:rPr>
        <w:t>.</w:t>
      </w:r>
    </w:p>
    <w:p w14:paraId="0B3A144B" w14:textId="2DB4F017" w:rsidR="001F60D6" w:rsidRPr="00DF549C" w:rsidRDefault="001F60D6" w:rsidP="00DF549C">
      <w:pPr>
        <w:spacing w:line="360" w:lineRule="auto"/>
        <w:jc w:val="both"/>
        <w:rPr>
          <w:rFonts w:ascii="Arial" w:hAnsi="Arial" w:cs="Arial"/>
          <w:sz w:val="20"/>
          <w:szCs w:val="20"/>
        </w:rPr>
      </w:pPr>
    </w:p>
    <w:sectPr w:rsidR="001F60D6" w:rsidRPr="00DF549C">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67A73" w14:textId="77777777" w:rsidR="00A45B96" w:rsidRDefault="00A45B96" w:rsidP="0080100B">
      <w:pPr>
        <w:spacing w:after="0" w:line="240" w:lineRule="auto"/>
      </w:pPr>
      <w:r>
        <w:separator/>
      </w:r>
    </w:p>
  </w:endnote>
  <w:endnote w:type="continuationSeparator" w:id="0">
    <w:p w14:paraId="0A13C4D4" w14:textId="77777777" w:rsidR="00A45B96" w:rsidRDefault="00A45B96" w:rsidP="00801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633E7" w14:textId="77777777" w:rsidR="0080100B" w:rsidRDefault="008010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AADA9" w14:textId="77777777" w:rsidR="0080100B" w:rsidRDefault="008010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89942" w14:textId="77777777" w:rsidR="0080100B" w:rsidRDefault="0080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1B041" w14:textId="77777777" w:rsidR="00A45B96" w:rsidRDefault="00A45B96" w:rsidP="0080100B">
      <w:pPr>
        <w:spacing w:after="0" w:line="240" w:lineRule="auto"/>
      </w:pPr>
      <w:r>
        <w:separator/>
      </w:r>
    </w:p>
  </w:footnote>
  <w:footnote w:type="continuationSeparator" w:id="0">
    <w:p w14:paraId="42509A16" w14:textId="77777777" w:rsidR="00A45B96" w:rsidRDefault="00A45B96" w:rsidP="00801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3A404" w14:textId="5951C52B" w:rsidR="0080100B" w:rsidRDefault="0080100B">
    <w:pPr>
      <w:pStyle w:val="Header"/>
    </w:pPr>
    <w:r>
      <w:rPr>
        <w:noProof/>
      </w:rPr>
      <w:pict w14:anchorId="48074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803485"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099CF" w14:textId="76E1B33E" w:rsidR="0080100B" w:rsidRDefault="0080100B">
    <w:pPr>
      <w:pStyle w:val="Header"/>
    </w:pPr>
    <w:r>
      <w:rPr>
        <w:noProof/>
      </w:rPr>
      <w:pict w14:anchorId="544F0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803486"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93B8B" w14:textId="0A5337B4" w:rsidR="0080100B" w:rsidRDefault="0080100B">
    <w:pPr>
      <w:pStyle w:val="Header"/>
    </w:pPr>
    <w:r>
      <w:rPr>
        <w:noProof/>
      </w:rPr>
      <w:pict w14:anchorId="62CDC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803484"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444D0"/>
    <w:multiLevelType w:val="hybridMultilevel"/>
    <w:tmpl w:val="4A005026"/>
    <w:lvl w:ilvl="0" w:tplc="6832D67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38366F"/>
    <w:multiLevelType w:val="hybridMultilevel"/>
    <w:tmpl w:val="B8DC4AE2"/>
    <w:lvl w:ilvl="0" w:tplc="33B881A2">
      <w:start w:val="1"/>
      <w:numFmt w:val="lowerLetter"/>
      <w:lvlText w:val="%1."/>
      <w:lvlJc w:val="left"/>
      <w:pPr>
        <w:ind w:left="720" w:hanging="360"/>
      </w:pPr>
      <w:rPr>
        <w:rFonts w:asciiTheme="minorHAnsi" w:hAnsiTheme="minorHAnsi" w:cstheme="minorBid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CC5"/>
    <w:rsid w:val="00002DF1"/>
    <w:rsid w:val="00003B74"/>
    <w:rsid w:val="0000760D"/>
    <w:rsid w:val="0001618B"/>
    <w:rsid w:val="00021D37"/>
    <w:rsid w:val="000343B0"/>
    <w:rsid w:val="00047662"/>
    <w:rsid w:val="00051A98"/>
    <w:rsid w:val="00061E65"/>
    <w:rsid w:val="0006296D"/>
    <w:rsid w:val="0006697D"/>
    <w:rsid w:val="00070DFC"/>
    <w:rsid w:val="0007794F"/>
    <w:rsid w:val="00081F04"/>
    <w:rsid w:val="0008250F"/>
    <w:rsid w:val="0009646A"/>
    <w:rsid w:val="00097064"/>
    <w:rsid w:val="000A21B0"/>
    <w:rsid w:val="000A29C0"/>
    <w:rsid w:val="000A61C3"/>
    <w:rsid w:val="000B5E1F"/>
    <w:rsid w:val="000C2560"/>
    <w:rsid w:val="000C2863"/>
    <w:rsid w:val="000C5574"/>
    <w:rsid w:val="000D1929"/>
    <w:rsid w:val="000D42ED"/>
    <w:rsid w:val="000D7962"/>
    <w:rsid w:val="000E6B8B"/>
    <w:rsid w:val="000F139E"/>
    <w:rsid w:val="000F39B1"/>
    <w:rsid w:val="000F3F5C"/>
    <w:rsid w:val="000F74CD"/>
    <w:rsid w:val="001047BD"/>
    <w:rsid w:val="001134F9"/>
    <w:rsid w:val="00113E60"/>
    <w:rsid w:val="0011590C"/>
    <w:rsid w:val="00115FAB"/>
    <w:rsid w:val="0011704B"/>
    <w:rsid w:val="00123083"/>
    <w:rsid w:val="0013082E"/>
    <w:rsid w:val="0013178F"/>
    <w:rsid w:val="00132D2B"/>
    <w:rsid w:val="00135321"/>
    <w:rsid w:val="00136775"/>
    <w:rsid w:val="001375F4"/>
    <w:rsid w:val="0014115A"/>
    <w:rsid w:val="00143CC5"/>
    <w:rsid w:val="001447C5"/>
    <w:rsid w:val="00145626"/>
    <w:rsid w:val="0015012D"/>
    <w:rsid w:val="00151DA9"/>
    <w:rsid w:val="00154C9D"/>
    <w:rsid w:val="001557B5"/>
    <w:rsid w:val="001710D6"/>
    <w:rsid w:val="00172077"/>
    <w:rsid w:val="00174BF0"/>
    <w:rsid w:val="00180FFF"/>
    <w:rsid w:val="00184AF6"/>
    <w:rsid w:val="00187C7B"/>
    <w:rsid w:val="001910B2"/>
    <w:rsid w:val="00195531"/>
    <w:rsid w:val="001A66D1"/>
    <w:rsid w:val="001C3811"/>
    <w:rsid w:val="001C4F7E"/>
    <w:rsid w:val="001C7AF8"/>
    <w:rsid w:val="001D4967"/>
    <w:rsid w:val="001D5ECF"/>
    <w:rsid w:val="001E0AAE"/>
    <w:rsid w:val="001F2DD0"/>
    <w:rsid w:val="001F4CEC"/>
    <w:rsid w:val="001F586B"/>
    <w:rsid w:val="001F60D6"/>
    <w:rsid w:val="001F6539"/>
    <w:rsid w:val="00211205"/>
    <w:rsid w:val="00216374"/>
    <w:rsid w:val="00220758"/>
    <w:rsid w:val="002222F5"/>
    <w:rsid w:val="00226ABE"/>
    <w:rsid w:val="002302F3"/>
    <w:rsid w:val="00235196"/>
    <w:rsid w:val="002378CA"/>
    <w:rsid w:val="00242CD7"/>
    <w:rsid w:val="00246F98"/>
    <w:rsid w:val="00247C43"/>
    <w:rsid w:val="00247FC8"/>
    <w:rsid w:val="002527D6"/>
    <w:rsid w:val="002537CA"/>
    <w:rsid w:val="002549AF"/>
    <w:rsid w:val="00261E54"/>
    <w:rsid w:val="00262127"/>
    <w:rsid w:val="00263C05"/>
    <w:rsid w:val="00267BC6"/>
    <w:rsid w:val="002713E4"/>
    <w:rsid w:val="002721FB"/>
    <w:rsid w:val="00274231"/>
    <w:rsid w:val="00286827"/>
    <w:rsid w:val="00294D05"/>
    <w:rsid w:val="002A5A70"/>
    <w:rsid w:val="002B4F53"/>
    <w:rsid w:val="002C036F"/>
    <w:rsid w:val="002D43D9"/>
    <w:rsid w:val="002E3829"/>
    <w:rsid w:val="002E3ECD"/>
    <w:rsid w:val="002F1D47"/>
    <w:rsid w:val="002F49AD"/>
    <w:rsid w:val="003055BF"/>
    <w:rsid w:val="00312118"/>
    <w:rsid w:val="0031382D"/>
    <w:rsid w:val="00317676"/>
    <w:rsid w:val="00320F1A"/>
    <w:rsid w:val="0032427F"/>
    <w:rsid w:val="0032647D"/>
    <w:rsid w:val="00326FAB"/>
    <w:rsid w:val="0033203B"/>
    <w:rsid w:val="00332A6A"/>
    <w:rsid w:val="0033372E"/>
    <w:rsid w:val="00333AFE"/>
    <w:rsid w:val="00334ABE"/>
    <w:rsid w:val="003532FA"/>
    <w:rsid w:val="00356D1B"/>
    <w:rsid w:val="00361F2E"/>
    <w:rsid w:val="00366A4A"/>
    <w:rsid w:val="003707D2"/>
    <w:rsid w:val="0038325F"/>
    <w:rsid w:val="00387F69"/>
    <w:rsid w:val="00393FEB"/>
    <w:rsid w:val="003A4748"/>
    <w:rsid w:val="003A5095"/>
    <w:rsid w:val="003A74DB"/>
    <w:rsid w:val="003B3081"/>
    <w:rsid w:val="003C29BE"/>
    <w:rsid w:val="003C65C7"/>
    <w:rsid w:val="003D0A90"/>
    <w:rsid w:val="003D0AD5"/>
    <w:rsid w:val="003D3623"/>
    <w:rsid w:val="003E65F1"/>
    <w:rsid w:val="003F0F81"/>
    <w:rsid w:val="00405779"/>
    <w:rsid w:val="00405D66"/>
    <w:rsid w:val="00407099"/>
    <w:rsid w:val="00413275"/>
    <w:rsid w:val="0041371F"/>
    <w:rsid w:val="00415C21"/>
    <w:rsid w:val="004261D2"/>
    <w:rsid w:val="004277B3"/>
    <w:rsid w:val="00441F1D"/>
    <w:rsid w:val="00443D88"/>
    <w:rsid w:val="004526F5"/>
    <w:rsid w:val="00454BC6"/>
    <w:rsid w:val="004603AB"/>
    <w:rsid w:val="004667D5"/>
    <w:rsid w:val="0047117E"/>
    <w:rsid w:val="00471FA7"/>
    <w:rsid w:val="00487FE4"/>
    <w:rsid w:val="004A1E69"/>
    <w:rsid w:val="004A39AD"/>
    <w:rsid w:val="004A4C03"/>
    <w:rsid w:val="004A5A46"/>
    <w:rsid w:val="004A7D65"/>
    <w:rsid w:val="004B09B0"/>
    <w:rsid w:val="004B1A47"/>
    <w:rsid w:val="004B2D0D"/>
    <w:rsid w:val="004C39F1"/>
    <w:rsid w:val="004C6FF2"/>
    <w:rsid w:val="004D1F1A"/>
    <w:rsid w:val="004D6C58"/>
    <w:rsid w:val="004E234C"/>
    <w:rsid w:val="004E260A"/>
    <w:rsid w:val="004E40B2"/>
    <w:rsid w:val="004F263F"/>
    <w:rsid w:val="004F3B39"/>
    <w:rsid w:val="004F627E"/>
    <w:rsid w:val="004F67EA"/>
    <w:rsid w:val="004F6C01"/>
    <w:rsid w:val="005030EF"/>
    <w:rsid w:val="005179C8"/>
    <w:rsid w:val="00525B18"/>
    <w:rsid w:val="00534F9E"/>
    <w:rsid w:val="005409DA"/>
    <w:rsid w:val="005424AF"/>
    <w:rsid w:val="00547CA8"/>
    <w:rsid w:val="00562A5E"/>
    <w:rsid w:val="00571B46"/>
    <w:rsid w:val="0057302A"/>
    <w:rsid w:val="0057617C"/>
    <w:rsid w:val="0058602A"/>
    <w:rsid w:val="0058617F"/>
    <w:rsid w:val="00587070"/>
    <w:rsid w:val="00591B1F"/>
    <w:rsid w:val="00593596"/>
    <w:rsid w:val="005A20EA"/>
    <w:rsid w:val="005A327F"/>
    <w:rsid w:val="005A3E08"/>
    <w:rsid w:val="005A588B"/>
    <w:rsid w:val="005B0864"/>
    <w:rsid w:val="005C00F4"/>
    <w:rsid w:val="005C3B75"/>
    <w:rsid w:val="005C772D"/>
    <w:rsid w:val="005D0893"/>
    <w:rsid w:val="005D5B85"/>
    <w:rsid w:val="005D5DFA"/>
    <w:rsid w:val="005E0B4D"/>
    <w:rsid w:val="005E4B80"/>
    <w:rsid w:val="005F0326"/>
    <w:rsid w:val="005F062F"/>
    <w:rsid w:val="005F2C7F"/>
    <w:rsid w:val="005F6F12"/>
    <w:rsid w:val="00600E96"/>
    <w:rsid w:val="00617F47"/>
    <w:rsid w:val="00620085"/>
    <w:rsid w:val="00620537"/>
    <w:rsid w:val="00624600"/>
    <w:rsid w:val="00624EF4"/>
    <w:rsid w:val="00627639"/>
    <w:rsid w:val="00636BA5"/>
    <w:rsid w:val="006415E4"/>
    <w:rsid w:val="00663375"/>
    <w:rsid w:val="006654BC"/>
    <w:rsid w:val="00666322"/>
    <w:rsid w:val="006750B5"/>
    <w:rsid w:val="00690778"/>
    <w:rsid w:val="00690D4B"/>
    <w:rsid w:val="0069191D"/>
    <w:rsid w:val="00691C78"/>
    <w:rsid w:val="006967A4"/>
    <w:rsid w:val="006A5F8A"/>
    <w:rsid w:val="006A64C4"/>
    <w:rsid w:val="006B54A7"/>
    <w:rsid w:val="006B7D0E"/>
    <w:rsid w:val="006C0141"/>
    <w:rsid w:val="006C441E"/>
    <w:rsid w:val="006C6B5A"/>
    <w:rsid w:val="006D3182"/>
    <w:rsid w:val="006D335C"/>
    <w:rsid w:val="006E1FAC"/>
    <w:rsid w:val="006E5192"/>
    <w:rsid w:val="006F695E"/>
    <w:rsid w:val="00704D14"/>
    <w:rsid w:val="00713DE5"/>
    <w:rsid w:val="00720059"/>
    <w:rsid w:val="0072435D"/>
    <w:rsid w:val="00724D40"/>
    <w:rsid w:val="00735830"/>
    <w:rsid w:val="00743589"/>
    <w:rsid w:val="00745F64"/>
    <w:rsid w:val="007502A4"/>
    <w:rsid w:val="00760514"/>
    <w:rsid w:val="00760FD5"/>
    <w:rsid w:val="00763520"/>
    <w:rsid w:val="0076415D"/>
    <w:rsid w:val="00764392"/>
    <w:rsid w:val="00771903"/>
    <w:rsid w:val="00774E3E"/>
    <w:rsid w:val="007750FF"/>
    <w:rsid w:val="00777D8E"/>
    <w:rsid w:val="00784EA4"/>
    <w:rsid w:val="00792BAB"/>
    <w:rsid w:val="007A07A1"/>
    <w:rsid w:val="007A512D"/>
    <w:rsid w:val="007A5427"/>
    <w:rsid w:val="007B4A78"/>
    <w:rsid w:val="007E10BD"/>
    <w:rsid w:val="007E26AC"/>
    <w:rsid w:val="007E332B"/>
    <w:rsid w:val="007E449B"/>
    <w:rsid w:val="007E55FF"/>
    <w:rsid w:val="007F48E6"/>
    <w:rsid w:val="007F4962"/>
    <w:rsid w:val="007F49A6"/>
    <w:rsid w:val="00800EBF"/>
    <w:rsid w:val="0080100B"/>
    <w:rsid w:val="00817CA7"/>
    <w:rsid w:val="00817ED5"/>
    <w:rsid w:val="008237C9"/>
    <w:rsid w:val="00831120"/>
    <w:rsid w:val="00831603"/>
    <w:rsid w:val="0083537E"/>
    <w:rsid w:val="008418EF"/>
    <w:rsid w:val="00843F41"/>
    <w:rsid w:val="0084543B"/>
    <w:rsid w:val="00850F40"/>
    <w:rsid w:val="00852A38"/>
    <w:rsid w:val="00870927"/>
    <w:rsid w:val="00874B47"/>
    <w:rsid w:val="00882707"/>
    <w:rsid w:val="008833CD"/>
    <w:rsid w:val="0088530D"/>
    <w:rsid w:val="00887F54"/>
    <w:rsid w:val="0089185F"/>
    <w:rsid w:val="00897750"/>
    <w:rsid w:val="008A27D0"/>
    <w:rsid w:val="008A3A2F"/>
    <w:rsid w:val="008A495E"/>
    <w:rsid w:val="008A53E0"/>
    <w:rsid w:val="008A5FEB"/>
    <w:rsid w:val="008B2EB9"/>
    <w:rsid w:val="008B64A3"/>
    <w:rsid w:val="008C175B"/>
    <w:rsid w:val="008C3454"/>
    <w:rsid w:val="008C3B51"/>
    <w:rsid w:val="008D46B5"/>
    <w:rsid w:val="008E1B08"/>
    <w:rsid w:val="009062B6"/>
    <w:rsid w:val="00913337"/>
    <w:rsid w:val="00914C24"/>
    <w:rsid w:val="00923F28"/>
    <w:rsid w:val="00930B94"/>
    <w:rsid w:val="00933446"/>
    <w:rsid w:val="00934ED5"/>
    <w:rsid w:val="00945903"/>
    <w:rsid w:val="00955F6E"/>
    <w:rsid w:val="009638EE"/>
    <w:rsid w:val="0096667D"/>
    <w:rsid w:val="0097301B"/>
    <w:rsid w:val="009806C8"/>
    <w:rsid w:val="00984240"/>
    <w:rsid w:val="009851B4"/>
    <w:rsid w:val="009930BE"/>
    <w:rsid w:val="009956B0"/>
    <w:rsid w:val="009A2C8B"/>
    <w:rsid w:val="009A3C28"/>
    <w:rsid w:val="009A526C"/>
    <w:rsid w:val="009A5F2E"/>
    <w:rsid w:val="009B6F54"/>
    <w:rsid w:val="009B79C3"/>
    <w:rsid w:val="009C23C2"/>
    <w:rsid w:val="009D420F"/>
    <w:rsid w:val="009D49FC"/>
    <w:rsid w:val="009D7294"/>
    <w:rsid w:val="009E0A8B"/>
    <w:rsid w:val="009E185C"/>
    <w:rsid w:val="009F18FD"/>
    <w:rsid w:val="009F60A0"/>
    <w:rsid w:val="00A16CD7"/>
    <w:rsid w:val="00A25E9E"/>
    <w:rsid w:val="00A30DE1"/>
    <w:rsid w:val="00A3106B"/>
    <w:rsid w:val="00A3299A"/>
    <w:rsid w:val="00A45B96"/>
    <w:rsid w:val="00A51FDB"/>
    <w:rsid w:val="00A764BE"/>
    <w:rsid w:val="00A7714A"/>
    <w:rsid w:val="00A807C4"/>
    <w:rsid w:val="00A808CC"/>
    <w:rsid w:val="00A83165"/>
    <w:rsid w:val="00A867DC"/>
    <w:rsid w:val="00A87376"/>
    <w:rsid w:val="00A90FB0"/>
    <w:rsid w:val="00A95097"/>
    <w:rsid w:val="00A95657"/>
    <w:rsid w:val="00AA392D"/>
    <w:rsid w:val="00AA7B54"/>
    <w:rsid w:val="00AB23E4"/>
    <w:rsid w:val="00AB5EF7"/>
    <w:rsid w:val="00AC2445"/>
    <w:rsid w:val="00AC32EC"/>
    <w:rsid w:val="00AC4B76"/>
    <w:rsid w:val="00AD01C7"/>
    <w:rsid w:val="00AD3CB5"/>
    <w:rsid w:val="00AD4497"/>
    <w:rsid w:val="00AD69D9"/>
    <w:rsid w:val="00AF142B"/>
    <w:rsid w:val="00AF24A9"/>
    <w:rsid w:val="00B0594B"/>
    <w:rsid w:val="00B05EF0"/>
    <w:rsid w:val="00B07128"/>
    <w:rsid w:val="00B11A8B"/>
    <w:rsid w:val="00B2388E"/>
    <w:rsid w:val="00B23B54"/>
    <w:rsid w:val="00B23C34"/>
    <w:rsid w:val="00B2517B"/>
    <w:rsid w:val="00B264F0"/>
    <w:rsid w:val="00B273BC"/>
    <w:rsid w:val="00B36356"/>
    <w:rsid w:val="00B45DBB"/>
    <w:rsid w:val="00B47354"/>
    <w:rsid w:val="00B5699D"/>
    <w:rsid w:val="00B613BA"/>
    <w:rsid w:val="00B67ECD"/>
    <w:rsid w:val="00B70956"/>
    <w:rsid w:val="00B72190"/>
    <w:rsid w:val="00B739AD"/>
    <w:rsid w:val="00B769D4"/>
    <w:rsid w:val="00B82E11"/>
    <w:rsid w:val="00B90C3C"/>
    <w:rsid w:val="00B92C23"/>
    <w:rsid w:val="00B9457F"/>
    <w:rsid w:val="00BA4507"/>
    <w:rsid w:val="00BA5310"/>
    <w:rsid w:val="00BA5451"/>
    <w:rsid w:val="00BA724F"/>
    <w:rsid w:val="00BB0D68"/>
    <w:rsid w:val="00BC349A"/>
    <w:rsid w:val="00BC3C0E"/>
    <w:rsid w:val="00BC74D7"/>
    <w:rsid w:val="00BD037C"/>
    <w:rsid w:val="00BD1496"/>
    <w:rsid w:val="00BD1A32"/>
    <w:rsid w:val="00BD29FD"/>
    <w:rsid w:val="00BD3A1A"/>
    <w:rsid w:val="00BD3DA6"/>
    <w:rsid w:val="00BD472D"/>
    <w:rsid w:val="00BD6174"/>
    <w:rsid w:val="00BE0601"/>
    <w:rsid w:val="00BE5351"/>
    <w:rsid w:val="00BE57A0"/>
    <w:rsid w:val="00BE7318"/>
    <w:rsid w:val="00BF23D2"/>
    <w:rsid w:val="00BF25CB"/>
    <w:rsid w:val="00BF5CCC"/>
    <w:rsid w:val="00C01574"/>
    <w:rsid w:val="00C16C5F"/>
    <w:rsid w:val="00C21E97"/>
    <w:rsid w:val="00C27D38"/>
    <w:rsid w:val="00C370F9"/>
    <w:rsid w:val="00C41675"/>
    <w:rsid w:val="00C4598A"/>
    <w:rsid w:val="00C466DF"/>
    <w:rsid w:val="00C526B6"/>
    <w:rsid w:val="00C53F81"/>
    <w:rsid w:val="00C57C86"/>
    <w:rsid w:val="00C65758"/>
    <w:rsid w:val="00C661EC"/>
    <w:rsid w:val="00C90528"/>
    <w:rsid w:val="00CB07D6"/>
    <w:rsid w:val="00CB1F35"/>
    <w:rsid w:val="00CD11D5"/>
    <w:rsid w:val="00CD5722"/>
    <w:rsid w:val="00CD6382"/>
    <w:rsid w:val="00CD6C59"/>
    <w:rsid w:val="00CE13F2"/>
    <w:rsid w:val="00CE51BE"/>
    <w:rsid w:val="00CE5C42"/>
    <w:rsid w:val="00D009A3"/>
    <w:rsid w:val="00D013A2"/>
    <w:rsid w:val="00D0630E"/>
    <w:rsid w:val="00D11D34"/>
    <w:rsid w:val="00D1454C"/>
    <w:rsid w:val="00D147FA"/>
    <w:rsid w:val="00D16035"/>
    <w:rsid w:val="00D17D0F"/>
    <w:rsid w:val="00D20AC6"/>
    <w:rsid w:val="00D268D9"/>
    <w:rsid w:val="00D27A8E"/>
    <w:rsid w:val="00D34492"/>
    <w:rsid w:val="00D37B8A"/>
    <w:rsid w:val="00D40FCC"/>
    <w:rsid w:val="00D51EC5"/>
    <w:rsid w:val="00D60BD9"/>
    <w:rsid w:val="00D636E8"/>
    <w:rsid w:val="00D77748"/>
    <w:rsid w:val="00D85CBA"/>
    <w:rsid w:val="00D91517"/>
    <w:rsid w:val="00D979B6"/>
    <w:rsid w:val="00DA2D99"/>
    <w:rsid w:val="00DA3B30"/>
    <w:rsid w:val="00DA686C"/>
    <w:rsid w:val="00DA7E39"/>
    <w:rsid w:val="00DB0498"/>
    <w:rsid w:val="00DB21DD"/>
    <w:rsid w:val="00DB5C6E"/>
    <w:rsid w:val="00DC105A"/>
    <w:rsid w:val="00DC17A1"/>
    <w:rsid w:val="00DC1E87"/>
    <w:rsid w:val="00DC7AED"/>
    <w:rsid w:val="00DD2031"/>
    <w:rsid w:val="00DE5791"/>
    <w:rsid w:val="00DE6BA8"/>
    <w:rsid w:val="00DF549C"/>
    <w:rsid w:val="00E01867"/>
    <w:rsid w:val="00E10BD5"/>
    <w:rsid w:val="00E13BEA"/>
    <w:rsid w:val="00E35310"/>
    <w:rsid w:val="00E37838"/>
    <w:rsid w:val="00E422C9"/>
    <w:rsid w:val="00E47865"/>
    <w:rsid w:val="00E52073"/>
    <w:rsid w:val="00E62E21"/>
    <w:rsid w:val="00E72C7F"/>
    <w:rsid w:val="00E73EA7"/>
    <w:rsid w:val="00E75F0A"/>
    <w:rsid w:val="00E82F57"/>
    <w:rsid w:val="00E871A7"/>
    <w:rsid w:val="00EA065A"/>
    <w:rsid w:val="00EB4F52"/>
    <w:rsid w:val="00EB53B8"/>
    <w:rsid w:val="00EC14B1"/>
    <w:rsid w:val="00EC3A54"/>
    <w:rsid w:val="00EC6FB4"/>
    <w:rsid w:val="00ED0170"/>
    <w:rsid w:val="00ED372F"/>
    <w:rsid w:val="00ED5B35"/>
    <w:rsid w:val="00ED76FF"/>
    <w:rsid w:val="00EE17C1"/>
    <w:rsid w:val="00EE2875"/>
    <w:rsid w:val="00EE4592"/>
    <w:rsid w:val="00EE53E2"/>
    <w:rsid w:val="00EF12F9"/>
    <w:rsid w:val="00EF5708"/>
    <w:rsid w:val="00F006BA"/>
    <w:rsid w:val="00F00D88"/>
    <w:rsid w:val="00F017F5"/>
    <w:rsid w:val="00F12993"/>
    <w:rsid w:val="00F1558B"/>
    <w:rsid w:val="00F15A03"/>
    <w:rsid w:val="00F16514"/>
    <w:rsid w:val="00F24C8B"/>
    <w:rsid w:val="00F256B4"/>
    <w:rsid w:val="00F260FB"/>
    <w:rsid w:val="00F33E54"/>
    <w:rsid w:val="00F34D03"/>
    <w:rsid w:val="00F518C6"/>
    <w:rsid w:val="00F53F48"/>
    <w:rsid w:val="00F62289"/>
    <w:rsid w:val="00F63F11"/>
    <w:rsid w:val="00F66620"/>
    <w:rsid w:val="00F7358E"/>
    <w:rsid w:val="00F73D65"/>
    <w:rsid w:val="00F77330"/>
    <w:rsid w:val="00F807A5"/>
    <w:rsid w:val="00F80F77"/>
    <w:rsid w:val="00F823F0"/>
    <w:rsid w:val="00F833ED"/>
    <w:rsid w:val="00F8436A"/>
    <w:rsid w:val="00F86919"/>
    <w:rsid w:val="00FA44DE"/>
    <w:rsid w:val="00FA6313"/>
    <w:rsid w:val="00FD0292"/>
    <w:rsid w:val="00FD4244"/>
    <w:rsid w:val="00FD7F0D"/>
    <w:rsid w:val="00FE1A79"/>
    <w:rsid w:val="00FE4EA4"/>
    <w:rsid w:val="00FF2150"/>
    <w:rsid w:val="00FF4818"/>
    <w:rsid w:val="00FF5C36"/>
    <w:rsid w:val="00FF7014"/>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DFC98B"/>
  <w15:chartTrackingRefBased/>
  <w15:docId w15:val="{70D5394C-8178-41EB-8214-263B424B0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3CC5"/>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143CC5"/>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143CC5"/>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143C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3C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3C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3C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3C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3C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CC5"/>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143CC5"/>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143CC5"/>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143C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3C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3C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3C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3C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3CC5"/>
    <w:rPr>
      <w:rFonts w:eastAsiaTheme="majorEastAsia" w:cstheme="majorBidi"/>
      <w:color w:val="272727" w:themeColor="text1" w:themeTint="D8"/>
    </w:rPr>
  </w:style>
  <w:style w:type="paragraph" w:styleId="Title">
    <w:name w:val="Title"/>
    <w:basedOn w:val="Normal"/>
    <w:next w:val="Normal"/>
    <w:link w:val="TitleChar"/>
    <w:uiPriority w:val="10"/>
    <w:qFormat/>
    <w:rsid w:val="00143CC5"/>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143CC5"/>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143CC5"/>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143CC5"/>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143CC5"/>
    <w:pPr>
      <w:spacing w:before="160"/>
      <w:jc w:val="center"/>
    </w:pPr>
    <w:rPr>
      <w:i/>
      <w:iCs/>
      <w:color w:val="404040" w:themeColor="text1" w:themeTint="BF"/>
    </w:rPr>
  </w:style>
  <w:style w:type="character" w:customStyle="1" w:styleId="QuoteChar">
    <w:name w:val="Quote Char"/>
    <w:basedOn w:val="DefaultParagraphFont"/>
    <w:link w:val="Quote"/>
    <w:uiPriority w:val="29"/>
    <w:rsid w:val="00143CC5"/>
    <w:rPr>
      <w:i/>
      <w:iCs/>
      <w:color w:val="404040" w:themeColor="text1" w:themeTint="BF"/>
    </w:rPr>
  </w:style>
  <w:style w:type="paragraph" w:styleId="ListParagraph">
    <w:name w:val="List Paragraph"/>
    <w:basedOn w:val="Normal"/>
    <w:uiPriority w:val="34"/>
    <w:qFormat/>
    <w:rsid w:val="00143CC5"/>
    <w:pPr>
      <w:ind w:left="720"/>
      <w:contextualSpacing/>
    </w:pPr>
  </w:style>
  <w:style w:type="character" w:styleId="IntenseEmphasis">
    <w:name w:val="Intense Emphasis"/>
    <w:basedOn w:val="DefaultParagraphFont"/>
    <w:uiPriority w:val="21"/>
    <w:qFormat/>
    <w:rsid w:val="00143CC5"/>
    <w:rPr>
      <w:i/>
      <w:iCs/>
      <w:color w:val="0F4761" w:themeColor="accent1" w:themeShade="BF"/>
    </w:rPr>
  </w:style>
  <w:style w:type="paragraph" w:styleId="IntenseQuote">
    <w:name w:val="Intense Quote"/>
    <w:basedOn w:val="Normal"/>
    <w:next w:val="Normal"/>
    <w:link w:val="IntenseQuoteChar"/>
    <w:uiPriority w:val="30"/>
    <w:qFormat/>
    <w:rsid w:val="00143C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3CC5"/>
    <w:rPr>
      <w:i/>
      <w:iCs/>
      <w:color w:val="0F4761" w:themeColor="accent1" w:themeShade="BF"/>
    </w:rPr>
  </w:style>
  <w:style w:type="character" w:styleId="IntenseReference">
    <w:name w:val="Intense Reference"/>
    <w:basedOn w:val="DefaultParagraphFont"/>
    <w:uiPriority w:val="32"/>
    <w:qFormat/>
    <w:rsid w:val="00143CC5"/>
    <w:rPr>
      <w:b/>
      <w:bCs/>
      <w:smallCaps/>
      <w:color w:val="0F4761" w:themeColor="accent1" w:themeShade="BF"/>
      <w:spacing w:val="5"/>
    </w:rPr>
  </w:style>
  <w:style w:type="character" w:styleId="Emphasis">
    <w:name w:val="Emphasis"/>
    <w:basedOn w:val="DefaultParagraphFont"/>
    <w:uiPriority w:val="20"/>
    <w:qFormat/>
    <w:rsid w:val="00263C05"/>
    <w:rPr>
      <w:i/>
      <w:iCs/>
    </w:rPr>
  </w:style>
  <w:style w:type="character" w:styleId="Hyperlink">
    <w:name w:val="Hyperlink"/>
    <w:basedOn w:val="DefaultParagraphFont"/>
    <w:uiPriority w:val="99"/>
    <w:unhideWhenUsed/>
    <w:rsid w:val="00263C05"/>
    <w:rPr>
      <w:color w:val="0000FF"/>
      <w:u w:val="single"/>
    </w:rPr>
  </w:style>
  <w:style w:type="character" w:customStyle="1" w:styleId="ms-1">
    <w:name w:val="ms-1"/>
    <w:basedOn w:val="DefaultParagraphFont"/>
    <w:rsid w:val="00263C05"/>
  </w:style>
  <w:style w:type="character" w:customStyle="1" w:styleId="max-w-15ch">
    <w:name w:val="max-w-[15ch]"/>
    <w:basedOn w:val="DefaultParagraphFont"/>
    <w:rsid w:val="00263C05"/>
  </w:style>
  <w:style w:type="character" w:customStyle="1" w:styleId="-me-1">
    <w:name w:val="-me-1"/>
    <w:basedOn w:val="DefaultParagraphFont"/>
    <w:rsid w:val="00263C05"/>
  </w:style>
  <w:style w:type="character" w:styleId="UnresolvedMention">
    <w:name w:val="Unresolved Mention"/>
    <w:basedOn w:val="DefaultParagraphFont"/>
    <w:uiPriority w:val="99"/>
    <w:semiHidden/>
    <w:unhideWhenUsed/>
    <w:rsid w:val="00263C05"/>
    <w:rPr>
      <w:color w:val="605E5C"/>
      <w:shd w:val="clear" w:color="auto" w:fill="E1DFDD"/>
    </w:rPr>
  </w:style>
  <w:style w:type="paragraph" w:styleId="NormalWeb">
    <w:name w:val="Normal (Web)"/>
    <w:basedOn w:val="Normal"/>
    <w:uiPriority w:val="99"/>
    <w:unhideWhenUsed/>
    <w:rsid w:val="00263C05"/>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styleId="Strong">
    <w:name w:val="Strong"/>
    <w:basedOn w:val="DefaultParagraphFont"/>
    <w:uiPriority w:val="22"/>
    <w:qFormat/>
    <w:rsid w:val="00136775"/>
    <w:rPr>
      <w:b/>
      <w:bCs/>
    </w:rPr>
  </w:style>
  <w:style w:type="table" w:styleId="TableGrid">
    <w:name w:val="Table Grid"/>
    <w:basedOn w:val="TableNormal"/>
    <w:uiPriority w:val="39"/>
    <w:rsid w:val="00934ED5"/>
    <w:pPr>
      <w:spacing w:after="0" w:line="240" w:lineRule="auto"/>
    </w:pPr>
    <w:rPr>
      <w:sz w:val="24"/>
      <w:szCs w:val="24"/>
      <w:lang w:val="en-US"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DefaultParagraphFont"/>
    <w:rsid w:val="001D5ECF"/>
  </w:style>
  <w:style w:type="character" w:styleId="PlaceholderText">
    <w:name w:val="Placeholder Text"/>
    <w:basedOn w:val="DefaultParagraphFont"/>
    <w:uiPriority w:val="99"/>
    <w:semiHidden/>
    <w:rsid w:val="00BA4507"/>
    <w:rPr>
      <w:color w:val="666666"/>
    </w:rPr>
  </w:style>
  <w:style w:type="paragraph" w:styleId="Header">
    <w:name w:val="header"/>
    <w:basedOn w:val="Normal"/>
    <w:link w:val="HeaderChar"/>
    <w:uiPriority w:val="99"/>
    <w:unhideWhenUsed/>
    <w:rsid w:val="00801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00B"/>
  </w:style>
  <w:style w:type="paragraph" w:styleId="Footer">
    <w:name w:val="footer"/>
    <w:basedOn w:val="Normal"/>
    <w:link w:val="FooterChar"/>
    <w:uiPriority w:val="99"/>
    <w:unhideWhenUsed/>
    <w:rsid w:val="00801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FECEACC-1D1B-42B5-8F46-510451A6247E}">
  <we:reference id="wa200001361" version="2.129.3.0" store="en-US" storeType="OMEX"/>
  <we:alternateReferences>
    <we:reference id="WA200001361" version="2.129.3.0" store="" storeType="OMEX"/>
  </we:alternateReferences>
  <we:properties>
    <we:property name="paperpal-document-id" value="&quot;b13b0fe7-2c0f-4745-b6ea-3322321565f7&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83A98-8E83-4467-A275-11E2C408D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Pages>
  <Words>3498</Words>
  <Characters>19941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jinesh kumar</dc:creator>
  <cp:keywords/>
  <dc:description/>
  <cp:lastModifiedBy>SDI 1084</cp:lastModifiedBy>
  <cp:revision>75</cp:revision>
  <dcterms:created xsi:type="dcterms:W3CDTF">2026-03-25T18:57:00Z</dcterms:created>
  <dcterms:modified xsi:type="dcterms:W3CDTF">2026-04-06T13:03:00Z</dcterms:modified>
</cp:coreProperties>
</file>