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4BA21" w14:textId="77777777" w:rsidR="00210AAD" w:rsidRPr="00210AAD" w:rsidRDefault="00210AAD" w:rsidP="00210AAD">
      <w:pPr>
        <w:spacing w:line="480" w:lineRule="auto"/>
        <w:rPr>
          <w:rFonts w:ascii="Arial" w:hAnsi="Arial" w:cs="Arial"/>
          <w:b/>
          <w:bCs/>
          <w:i/>
          <w:iCs/>
          <w:u w:val="single"/>
        </w:rPr>
      </w:pPr>
      <w:r w:rsidRPr="00210AAD">
        <w:rPr>
          <w:rFonts w:ascii="Arial" w:hAnsi="Arial" w:cs="Arial"/>
          <w:b/>
          <w:bCs/>
          <w:i/>
          <w:iCs/>
          <w:u w:val="single"/>
        </w:rPr>
        <w:t>Original Research Article</w:t>
      </w:r>
    </w:p>
    <w:p w14:paraId="02FE95BE" w14:textId="77777777" w:rsidR="00787CB2" w:rsidRPr="00090282" w:rsidRDefault="00787CB2" w:rsidP="00DF105C">
      <w:pPr>
        <w:spacing w:line="480" w:lineRule="auto"/>
        <w:rPr>
          <w:rFonts w:ascii="Arial" w:hAnsi="Arial" w:cs="Arial"/>
          <w:b/>
        </w:rPr>
      </w:pPr>
      <w:r w:rsidRPr="00090282">
        <w:rPr>
          <w:rFonts w:ascii="Arial" w:hAnsi="Arial" w:cs="Arial"/>
          <w:b/>
        </w:rPr>
        <w:t>Preva</w:t>
      </w:r>
      <w:r w:rsidR="00DE54CD" w:rsidRPr="00090282">
        <w:rPr>
          <w:rFonts w:ascii="Arial" w:hAnsi="Arial" w:cs="Arial"/>
          <w:b/>
        </w:rPr>
        <w:t>lence, antimicrobial resistance</w:t>
      </w:r>
      <w:r w:rsidRPr="00090282">
        <w:rPr>
          <w:rFonts w:ascii="Arial" w:hAnsi="Arial" w:cs="Arial"/>
          <w:b/>
        </w:rPr>
        <w:t xml:space="preserve"> and </w:t>
      </w:r>
      <w:r w:rsidR="00A4000D" w:rsidRPr="00090282">
        <w:rPr>
          <w:rFonts w:ascii="Arial" w:hAnsi="Arial" w:cs="Arial"/>
          <w:b/>
        </w:rPr>
        <w:t>phenotypic detection of virulence factors</w:t>
      </w:r>
      <w:r w:rsidRPr="00090282">
        <w:rPr>
          <w:rFonts w:ascii="Arial" w:hAnsi="Arial" w:cs="Arial"/>
          <w:b/>
        </w:rPr>
        <w:t xml:space="preserve"> of non-fermenting Gram-negative bacilli isolated from canine clinical infections</w:t>
      </w:r>
      <w:r w:rsidR="00970395" w:rsidRPr="00090282">
        <w:rPr>
          <w:rFonts w:ascii="Arial" w:hAnsi="Arial" w:cs="Arial"/>
          <w:b/>
        </w:rPr>
        <w:t>.</w:t>
      </w:r>
    </w:p>
    <w:p w14:paraId="5E0D3FAB" w14:textId="77777777" w:rsidR="00580F96" w:rsidRDefault="00580F96" w:rsidP="00DF105C">
      <w:pPr>
        <w:pStyle w:val="NormalWeb"/>
        <w:spacing w:line="480" w:lineRule="auto"/>
        <w:rPr>
          <w:rStyle w:val="Strong"/>
          <w:rFonts w:ascii="Arial" w:hAnsi="Arial" w:cs="Arial"/>
          <w:sz w:val="22"/>
          <w:szCs w:val="22"/>
        </w:rPr>
      </w:pPr>
    </w:p>
    <w:p w14:paraId="4EDD8E3C" w14:textId="0256FBF9" w:rsidR="00171ECA" w:rsidRPr="00DF105C" w:rsidRDefault="0029682F" w:rsidP="00DF105C">
      <w:pPr>
        <w:pStyle w:val="NormalWeb"/>
        <w:spacing w:line="480" w:lineRule="auto"/>
        <w:rPr>
          <w:rFonts w:ascii="Arial" w:hAnsi="Arial" w:cs="Arial"/>
          <w:b/>
          <w:sz w:val="22"/>
          <w:szCs w:val="22"/>
        </w:rPr>
      </w:pPr>
      <w:bookmarkStart w:id="0" w:name="_GoBack"/>
      <w:bookmarkEnd w:id="0"/>
      <w:r w:rsidRPr="00DF105C">
        <w:rPr>
          <w:rStyle w:val="Strong"/>
          <w:rFonts w:ascii="Arial" w:hAnsi="Arial" w:cs="Arial"/>
          <w:sz w:val="22"/>
          <w:szCs w:val="22"/>
        </w:rPr>
        <w:t>ABSTRACT</w:t>
      </w:r>
    </w:p>
    <w:p w14:paraId="24A68278" w14:textId="77777777" w:rsidR="00CE3BA0" w:rsidRPr="0029682F" w:rsidRDefault="003F470D" w:rsidP="00DF105C">
      <w:pPr>
        <w:spacing w:line="480" w:lineRule="auto"/>
        <w:rPr>
          <w:rFonts w:ascii="Arial" w:hAnsi="Arial" w:cs="Arial"/>
        </w:rPr>
      </w:pPr>
      <w:r w:rsidRPr="0029682F">
        <w:rPr>
          <w:rFonts w:ascii="Arial" w:hAnsi="Arial" w:cs="Arial"/>
        </w:rPr>
        <w:t xml:space="preserve">Non-fermenting gram-negative bacteria (NFGNB) are increasingly implicated in persistent and multidrug-resistant infections in companion animals, prompting the present investigation to assess their prevalence, identification, antimicrobial resistance, virulence attributes, and genomic characteristics in canine clinical infections, with particular emphasis on </w:t>
      </w:r>
      <w:r w:rsidRPr="0029682F">
        <w:rPr>
          <w:rStyle w:val="Emphasis"/>
          <w:rFonts w:ascii="Arial" w:hAnsi="Arial" w:cs="Arial"/>
        </w:rPr>
        <w:t>Pseudomonas</w:t>
      </w:r>
      <w:r w:rsidRPr="0029682F">
        <w:rPr>
          <w:rFonts w:ascii="Arial" w:hAnsi="Arial" w:cs="Arial"/>
        </w:rPr>
        <w:t xml:space="preserve"> and </w:t>
      </w:r>
      <w:r w:rsidRPr="0029682F">
        <w:rPr>
          <w:rStyle w:val="Emphasis"/>
          <w:rFonts w:ascii="Arial" w:hAnsi="Arial" w:cs="Arial"/>
        </w:rPr>
        <w:t>Acinetobacter</w:t>
      </w:r>
      <w:r w:rsidRPr="0029682F">
        <w:rPr>
          <w:rFonts w:ascii="Arial" w:hAnsi="Arial" w:cs="Arial"/>
        </w:rPr>
        <w:t xml:space="preserve"> species. A total of 402 clinical samples collected from dogs with diverse clinical conditions were processed for bacteriological examination, of which 332 samples (82.6%) yielded bacterial growth, and 73 isolates (21.7%) were identified as NFGNB. Among these, </w:t>
      </w:r>
      <w:r w:rsidRPr="0029682F">
        <w:rPr>
          <w:rStyle w:val="Emphasis"/>
          <w:rFonts w:ascii="Arial" w:hAnsi="Arial" w:cs="Arial"/>
        </w:rPr>
        <w:t>Pseudomonas</w:t>
      </w:r>
      <w:r w:rsidRPr="0029682F">
        <w:rPr>
          <w:rFonts w:ascii="Arial" w:hAnsi="Arial" w:cs="Arial"/>
        </w:rPr>
        <w:t xml:space="preserve"> spp. Constituted 19.0% (63/332), </w:t>
      </w:r>
      <w:r w:rsidRPr="0029682F">
        <w:rPr>
          <w:rStyle w:val="Emphasis"/>
          <w:rFonts w:ascii="Arial" w:hAnsi="Arial" w:cs="Arial"/>
        </w:rPr>
        <w:t>Acinetobacter</w:t>
      </w:r>
      <w:r w:rsidRPr="0029682F">
        <w:rPr>
          <w:rFonts w:ascii="Arial" w:hAnsi="Arial" w:cs="Arial"/>
        </w:rPr>
        <w:t xml:space="preserve"> spp. 2.7% (9/332) and </w:t>
      </w:r>
      <w:proofErr w:type="spellStart"/>
      <w:r w:rsidRPr="0029682F">
        <w:rPr>
          <w:rStyle w:val="Emphasis"/>
          <w:rFonts w:ascii="Arial" w:hAnsi="Arial" w:cs="Arial"/>
        </w:rPr>
        <w:t>Sphingomonas</w:t>
      </w:r>
      <w:proofErr w:type="spellEnd"/>
      <w:r w:rsidRPr="0029682F">
        <w:rPr>
          <w:rFonts w:ascii="Arial" w:hAnsi="Arial" w:cs="Arial"/>
        </w:rPr>
        <w:t xml:space="preserve"> spp. 0.3% (1/332) with otitis and wound infections representing the major sources. Cultural and biochemical characterization showed that all NFGNB produced non-lactose-fermenting colonies on </w:t>
      </w:r>
      <w:proofErr w:type="spellStart"/>
      <w:r w:rsidRPr="0029682F">
        <w:rPr>
          <w:rFonts w:ascii="Arial" w:hAnsi="Arial" w:cs="Arial"/>
        </w:rPr>
        <w:t>Macconkey</w:t>
      </w:r>
      <w:proofErr w:type="spellEnd"/>
      <w:r w:rsidRPr="0029682F">
        <w:rPr>
          <w:rFonts w:ascii="Arial" w:hAnsi="Arial" w:cs="Arial"/>
        </w:rPr>
        <w:t xml:space="preserve"> agar; in the oxidative–fermentative (of) test, both </w:t>
      </w:r>
      <w:r w:rsidRPr="0029682F">
        <w:rPr>
          <w:rStyle w:val="Emphasis"/>
          <w:rFonts w:ascii="Arial" w:hAnsi="Arial" w:cs="Arial"/>
        </w:rPr>
        <w:t>Pseudomonas</w:t>
      </w:r>
      <w:r w:rsidRPr="0029682F">
        <w:rPr>
          <w:rFonts w:ascii="Arial" w:hAnsi="Arial" w:cs="Arial"/>
        </w:rPr>
        <w:t xml:space="preserve"> and </w:t>
      </w:r>
      <w:r w:rsidRPr="0029682F">
        <w:rPr>
          <w:rStyle w:val="Emphasis"/>
          <w:rFonts w:ascii="Arial" w:hAnsi="Arial" w:cs="Arial"/>
        </w:rPr>
        <w:t>Acinetobacter</w:t>
      </w:r>
      <w:r w:rsidRPr="0029682F">
        <w:rPr>
          <w:rFonts w:ascii="Arial" w:hAnsi="Arial" w:cs="Arial"/>
        </w:rPr>
        <w:t xml:space="preserve"> isolates demonstrated oxidative utilization of glucose without fermentation, supporting their classification as non-fermenters. Phenotypically, all </w:t>
      </w:r>
      <w:r w:rsidRPr="0029682F">
        <w:rPr>
          <w:rStyle w:val="Emphasis"/>
          <w:rFonts w:ascii="Arial" w:hAnsi="Arial" w:cs="Arial"/>
        </w:rPr>
        <w:t>pseudomonas</w:t>
      </w:r>
      <w:r w:rsidRPr="0029682F">
        <w:rPr>
          <w:rFonts w:ascii="Arial" w:hAnsi="Arial" w:cs="Arial"/>
        </w:rPr>
        <w:t xml:space="preserve"> isolates were motile and oxidase- and catalase-positive, whereas </w:t>
      </w:r>
      <w:r w:rsidRPr="0029682F">
        <w:rPr>
          <w:rStyle w:val="Emphasis"/>
          <w:rFonts w:ascii="Arial" w:hAnsi="Arial" w:cs="Arial"/>
        </w:rPr>
        <w:t>Acinetobacter</w:t>
      </w:r>
      <w:r w:rsidRPr="0029682F">
        <w:rPr>
          <w:rFonts w:ascii="Arial" w:hAnsi="Arial" w:cs="Arial"/>
        </w:rPr>
        <w:t xml:space="preserve"> isolates were non-motile and oxidase-negative; hemolytic activity was observed in 93.7% (59/63) of </w:t>
      </w:r>
      <w:r w:rsidRPr="0029682F">
        <w:rPr>
          <w:rStyle w:val="Emphasis"/>
          <w:rFonts w:ascii="Arial" w:hAnsi="Arial" w:cs="Arial"/>
        </w:rPr>
        <w:t>Pseudomonas</w:t>
      </w:r>
      <w:r w:rsidRPr="0029682F">
        <w:rPr>
          <w:rFonts w:ascii="Arial" w:hAnsi="Arial" w:cs="Arial"/>
        </w:rPr>
        <w:t xml:space="preserve"> isolates, while none of the </w:t>
      </w:r>
      <w:r w:rsidRPr="0029682F">
        <w:rPr>
          <w:rStyle w:val="Emphasis"/>
          <w:rFonts w:ascii="Arial" w:hAnsi="Arial" w:cs="Arial"/>
        </w:rPr>
        <w:t>Acinetobacter</w:t>
      </w:r>
      <w:r w:rsidRPr="0029682F">
        <w:rPr>
          <w:rFonts w:ascii="Arial" w:hAnsi="Arial" w:cs="Arial"/>
        </w:rPr>
        <w:t xml:space="preserve"> isolates exhibited hemolysis and biofilm formation was detected in 63.5% of </w:t>
      </w:r>
      <w:r w:rsidRPr="0029682F">
        <w:rPr>
          <w:rStyle w:val="Emphasis"/>
          <w:rFonts w:ascii="Arial" w:hAnsi="Arial" w:cs="Arial"/>
        </w:rPr>
        <w:t>Pseudomonas</w:t>
      </w:r>
      <w:r w:rsidRPr="0029682F">
        <w:rPr>
          <w:rFonts w:ascii="Arial" w:hAnsi="Arial" w:cs="Arial"/>
        </w:rPr>
        <w:t xml:space="preserve"> and 33.3% of </w:t>
      </w:r>
      <w:r w:rsidRPr="0029682F">
        <w:rPr>
          <w:rStyle w:val="Emphasis"/>
          <w:rFonts w:ascii="Arial" w:hAnsi="Arial" w:cs="Arial"/>
        </w:rPr>
        <w:t>Acinetobacter</w:t>
      </w:r>
      <w:r w:rsidRPr="0029682F">
        <w:rPr>
          <w:rFonts w:ascii="Arial" w:hAnsi="Arial" w:cs="Arial"/>
        </w:rPr>
        <w:t xml:space="preserve"> isolates. Antimicrobial susceptibility testing demonstrated a high burden of multidrug resistance, with </w:t>
      </w:r>
      <w:r w:rsidRPr="0029682F">
        <w:rPr>
          <w:rStyle w:val="Emphasis"/>
          <w:rFonts w:ascii="Arial" w:hAnsi="Arial" w:cs="Arial"/>
        </w:rPr>
        <w:t>pseudomonas</w:t>
      </w:r>
      <w:r w:rsidRPr="0029682F">
        <w:rPr>
          <w:rFonts w:ascii="Arial" w:hAnsi="Arial" w:cs="Arial"/>
        </w:rPr>
        <w:t xml:space="preserve"> spp. Showing resistance to cephalothin (57.14%), cefotaxime (53.97%), </w:t>
      </w:r>
      <w:r w:rsidRPr="0029682F">
        <w:rPr>
          <w:rFonts w:ascii="Arial" w:hAnsi="Arial" w:cs="Arial"/>
        </w:rPr>
        <w:lastRenderedPageBreak/>
        <w:t xml:space="preserve">ceftazidime (52.38%), imipenem (34.92%), meropenem (19.05%), and colistin (30.16%), while </w:t>
      </w:r>
      <w:proofErr w:type="spellStart"/>
      <w:r w:rsidRPr="0029682F">
        <w:rPr>
          <w:rStyle w:val="Emphasis"/>
          <w:rFonts w:ascii="Arial" w:hAnsi="Arial" w:cs="Arial"/>
        </w:rPr>
        <w:t>acinetobacter</w:t>
      </w:r>
      <w:proofErr w:type="spellEnd"/>
      <w:r w:rsidRPr="0029682F">
        <w:rPr>
          <w:rFonts w:ascii="Arial" w:hAnsi="Arial" w:cs="Arial"/>
        </w:rPr>
        <w:t xml:space="preserve"> spp. Exhibited marked resistance to oxacillin (88.89%), co-trimoxazole (77.78%), cefotaxime (66.67%), ceftazidime (66.67%), imipenem (44.44%), and meropenem (33.33%). </w:t>
      </w:r>
    </w:p>
    <w:p w14:paraId="22E7F3F0" w14:textId="77777777" w:rsidR="008E66E1" w:rsidRPr="0029682F" w:rsidRDefault="008E66E1" w:rsidP="00DF105C">
      <w:pPr>
        <w:spacing w:line="480" w:lineRule="auto"/>
        <w:jc w:val="both"/>
        <w:rPr>
          <w:rFonts w:ascii="Arial" w:hAnsi="Arial" w:cs="Arial"/>
          <w:i/>
          <w:sz w:val="20"/>
          <w:szCs w:val="20"/>
        </w:rPr>
      </w:pPr>
      <w:r w:rsidRPr="0029682F">
        <w:rPr>
          <w:rFonts w:ascii="Arial" w:hAnsi="Arial" w:cs="Arial"/>
        </w:rPr>
        <w:t xml:space="preserve">Key words: </w:t>
      </w:r>
      <w:r w:rsidRPr="0029682F">
        <w:rPr>
          <w:rFonts w:ascii="Arial" w:hAnsi="Arial" w:cs="Arial"/>
          <w:i/>
          <w:sz w:val="20"/>
          <w:szCs w:val="20"/>
        </w:rPr>
        <w:t xml:space="preserve">Non-fermenting Gram-negative bacteria, </w:t>
      </w:r>
      <w:r w:rsidRPr="0029682F">
        <w:rPr>
          <w:rStyle w:val="Emphasis"/>
          <w:rFonts w:ascii="Arial" w:hAnsi="Arial" w:cs="Arial"/>
          <w:sz w:val="20"/>
          <w:szCs w:val="20"/>
        </w:rPr>
        <w:t>Pseudomonas</w:t>
      </w:r>
      <w:r w:rsidRPr="0029682F">
        <w:rPr>
          <w:rFonts w:ascii="Arial" w:hAnsi="Arial" w:cs="Arial"/>
          <w:i/>
          <w:sz w:val="20"/>
          <w:szCs w:val="20"/>
        </w:rPr>
        <w:t>, Acinetobacter, oxidative–fermentative test.</w:t>
      </w:r>
    </w:p>
    <w:p w14:paraId="3785F676" w14:textId="77777777" w:rsidR="005F0944" w:rsidRPr="00DF105C" w:rsidRDefault="003F470D" w:rsidP="00DF105C">
      <w:pPr>
        <w:spacing w:before="100" w:beforeAutospacing="1" w:after="100" w:afterAutospacing="1" w:line="480" w:lineRule="auto"/>
        <w:outlineLvl w:val="1"/>
        <w:rPr>
          <w:rFonts w:ascii="Arial" w:eastAsia="Times New Roman" w:hAnsi="Arial" w:cs="Arial"/>
          <w:b/>
          <w:bCs/>
        </w:rPr>
      </w:pPr>
      <w:r w:rsidRPr="00DF105C">
        <w:rPr>
          <w:rFonts w:ascii="Arial" w:eastAsia="Times New Roman" w:hAnsi="Arial" w:cs="Arial"/>
          <w:b/>
          <w:bCs/>
        </w:rPr>
        <w:t>1. INTRODUCTION</w:t>
      </w:r>
    </w:p>
    <w:p w14:paraId="294CD028" w14:textId="77777777" w:rsidR="005F0944" w:rsidRPr="007759E5" w:rsidRDefault="005F0944" w:rsidP="00DF105C">
      <w:pPr>
        <w:pStyle w:val="NormalWeb"/>
        <w:spacing w:line="480" w:lineRule="auto"/>
        <w:jc w:val="both"/>
        <w:rPr>
          <w:rFonts w:ascii="Arial" w:hAnsi="Arial" w:cs="Arial"/>
          <w:sz w:val="20"/>
          <w:szCs w:val="20"/>
        </w:rPr>
      </w:pPr>
      <w:r w:rsidRPr="007759E5">
        <w:rPr>
          <w:rFonts w:ascii="Arial" w:hAnsi="Arial" w:cs="Arial"/>
          <w:sz w:val="20"/>
          <w:szCs w:val="20"/>
        </w:rPr>
        <w:t>Non-fermenting Gram-negative bacilli (NFGNB) are a heterogeneous group of aerobic, non-spore-forming bacteria that utilize oxidative rather than fermentative metabolism</w:t>
      </w:r>
      <w:r w:rsidR="000A4660" w:rsidRPr="007759E5">
        <w:rPr>
          <w:rFonts w:ascii="Arial" w:hAnsi="Arial" w:cs="Arial"/>
          <w:sz w:val="20"/>
          <w:szCs w:val="20"/>
        </w:rPr>
        <w:t xml:space="preserve"> (Rezaei, 2022</w:t>
      </w:r>
      <w:r w:rsidRPr="007759E5">
        <w:rPr>
          <w:rFonts w:ascii="Arial" w:hAnsi="Arial" w:cs="Arial"/>
          <w:sz w:val="20"/>
          <w:szCs w:val="20"/>
        </w:rPr>
        <w:t xml:space="preserve">). Important genera include </w:t>
      </w:r>
      <w:r w:rsidRPr="007759E5">
        <w:rPr>
          <w:rFonts w:ascii="Arial" w:hAnsi="Arial" w:cs="Arial"/>
          <w:i/>
          <w:sz w:val="20"/>
          <w:szCs w:val="20"/>
        </w:rPr>
        <w:t xml:space="preserve">Pseudomonas, Acinetobacter, </w:t>
      </w:r>
      <w:proofErr w:type="spellStart"/>
      <w:r w:rsidRPr="007759E5">
        <w:rPr>
          <w:rFonts w:ascii="Arial" w:hAnsi="Arial" w:cs="Arial"/>
          <w:i/>
          <w:sz w:val="20"/>
          <w:szCs w:val="20"/>
        </w:rPr>
        <w:t>Alcaligenes</w:t>
      </w:r>
      <w:proofErr w:type="spellEnd"/>
      <w:r w:rsidRPr="007759E5">
        <w:rPr>
          <w:rFonts w:ascii="Arial" w:hAnsi="Arial" w:cs="Arial"/>
          <w:i/>
          <w:sz w:val="20"/>
          <w:szCs w:val="20"/>
        </w:rPr>
        <w:t xml:space="preserve">, </w:t>
      </w:r>
      <w:proofErr w:type="spellStart"/>
      <w:r w:rsidRPr="007759E5">
        <w:rPr>
          <w:rFonts w:ascii="Arial" w:hAnsi="Arial" w:cs="Arial"/>
          <w:i/>
          <w:sz w:val="20"/>
          <w:szCs w:val="20"/>
        </w:rPr>
        <w:t>S</w:t>
      </w:r>
      <w:r w:rsidR="0040031A" w:rsidRPr="007759E5">
        <w:rPr>
          <w:rFonts w:ascii="Arial" w:hAnsi="Arial" w:cs="Arial"/>
          <w:i/>
          <w:sz w:val="20"/>
          <w:szCs w:val="20"/>
        </w:rPr>
        <w:t>phingo</w:t>
      </w:r>
      <w:r w:rsidRPr="007759E5">
        <w:rPr>
          <w:rFonts w:ascii="Arial" w:hAnsi="Arial" w:cs="Arial"/>
          <w:i/>
          <w:sz w:val="20"/>
          <w:szCs w:val="20"/>
        </w:rPr>
        <w:t>monas</w:t>
      </w:r>
      <w:proofErr w:type="spellEnd"/>
      <w:r w:rsidRPr="007759E5">
        <w:rPr>
          <w:rFonts w:ascii="Arial" w:hAnsi="Arial" w:cs="Arial"/>
          <w:sz w:val="20"/>
          <w:szCs w:val="20"/>
        </w:rPr>
        <w:t xml:space="preserve"> and others. Once considered environmental contaminants, NFGNB are now recognized as significant opportunistic pathogens in both human and veterinary medicine (</w:t>
      </w:r>
      <w:proofErr w:type="spellStart"/>
      <w:r w:rsidRPr="007759E5">
        <w:rPr>
          <w:rFonts w:ascii="Arial" w:hAnsi="Arial" w:cs="Arial"/>
          <w:sz w:val="20"/>
          <w:szCs w:val="20"/>
        </w:rPr>
        <w:t>Praveetha</w:t>
      </w:r>
      <w:proofErr w:type="spellEnd"/>
      <w:r w:rsidRPr="007759E5">
        <w:rPr>
          <w:rFonts w:ascii="Arial" w:hAnsi="Arial" w:cs="Arial"/>
          <w:sz w:val="20"/>
          <w:szCs w:val="20"/>
        </w:rPr>
        <w:t xml:space="preserve"> et al., 2024). The SCOPE study reported that approximately 25% of Gram-negative bacteremia cases are caused by non-fermenters (</w:t>
      </w:r>
      <w:proofErr w:type="spellStart"/>
      <w:r w:rsidRPr="007759E5">
        <w:rPr>
          <w:rFonts w:ascii="Arial" w:hAnsi="Arial" w:cs="Arial"/>
          <w:sz w:val="20"/>
          <w:szCs w:val="20"/>
        </w:rPr>
        <w:t>Wisplinghoff</w:t>
      </w:r>
      <w:proofErr w:type="spellEnd"/>
      <w:r w:rsidRPr="007759E5">
        <w:rPr>
          <w:rFonts w:ascii="Arial" w:hAnsi="Arial" w:cs="Arial"/>
          <w:sz w:val="20"/>
          <w:szCs w:val="20"/>
        </w:rPr>
        <w:t xml:space="preserve"> et al., 2004). Their persistence in hospital environments and remarkable ability to withstand antimicrobial pressure </w:t>
      </w:r>
      <w:r w:rsidR="0040031A" w:rsidRPr="007759E5">
        <w:rPr>
          <w:rFonts w:ascii="Arial" w:hAnsi="Arial" w:cs="Arial"/>
          <w:sz w:val="20"/>
          <w:szCs w:val="20"/>
        </w:rPr>
        <w:t>has</w:t>
      </w:r>
      <w:r w:rsidRPr="007759E5">
        <w:rPr>
          <w:rFonts w:ascii="Arial" w:hAnsi="Arial" w:cs="Arial"/>
          <w:sz w:val="20"/>
          <w:szCs w:val="20"/>
        </w:rPr>
        <w:t xml:space="preserve"> contributed to their rising clinical importance (Sushitha et al., 2025).</w:t>
      </w:r>
    </w:p>
    <w:p w14:paraId="02DA465B" w14:textId="77777777" w:rsidR="005F0944" w:rsidRPr="007759E5" w:rsidRDefault="005F0944"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Among them, </w:t>
      </w:r>
      <w:r w:rsidRPr="007759E5">
        <w:rPr>
          <w:rFonts w:ascii="Arial" w:hAnsi="Arial" w:cs="Arial"/>
          <w:i/>
          <w:sz w:val="20"/>
          <w:szCs w:val="20"/>
        </w:rPr>
        <w:t>Pseudomonas aeruginosa</w:t>
      </w:r>
      <w:r w:rsidRPr="007759E5">
        <w:rPr>
          <w:rFonts w:ascii="Arial" w:hAnsi="Arial" w:cs="Arial"/>
          <w:sz w:val="20"/>
          <w:szCs w:val="20"/>
        </w:rPr>
        <w:t xml:space="preserve"> and </w:t>
      </w:r>
      <w:r w:rsidRPr="007759E5">
        <w:rPr>
          <w:rFonts w:ascii="Arial" w:hAnsi="Arial" w:cs="Arial"/>
          <w:i/>
          <w:sz w:val="20"/>
          <w:szCs w:val="20"/>
        </w:rPr>
        <w:t>Acinetobacter baumannii</w:t>
      </w:r>
      <w:r w:rsidRPr="007759E5">
        <w:rPr>
          <w:rFonts w:ascii="Arial" w:hAnsi="Arial" w:cs="Arial"/>
          <w:sz w:val="20"/>
          <w:szCs w:val="20"/>
        </w:rPr>
        <w:t xml:space="preserve"> are major healthcare-associated pathogens and members of the ESKAPE group (</w:t>
      </w:r>
      <w:proofErr w:type="spellStart"/>
      <w:r w:rsidRPr="007759E5">
        <w:rPr>
          <w:rFonts w:ascii="Arial" w:hAnsi="Arial" w:cs="Arial"/>
          <w:sz w:val="20"/>
          <w:szCs w:val="20"/>
        </w:rPr>
        <w:t>Magiorakos</w:t>
      </w:r>
      <w:proofErr w:type="spellEnd"/>
      <w:r w:rsidRPr="007759E5">
        <w:rPr>
          <w:rFonts w:ascii="Arial" w:hAnsi="Arial" w:cs="Arial"/>
          <w:sz w:val="20"/>
          <w:szCs w:val="20"/>
        </w:rPr>
        <w:t xml:space="preserve"> et al., 2012; De Oliveira et al., 2020). Both have been listed as urgent or critical threats by global health agencies, including the World Health Organization (WHO, 2017). In dogs, </w:t>
      </w:r>
      <w:r w:rsidRPr="007759E5">
        <w:rPr>
          <w:rStyle w:val="Emphasis"/>
          <w:rFonts w:ascii="Arial" w:hAnsi="Arial" w:cs="Arial"/>
          <w:sz w:val="20"/>
          <w:szCs w:val="20"/>
        </w:rPr>
        <w:t>P. aeruginosa</w:t>
      </w:r>
      <w:r w:rsidRPr="007759E5">
        <w:rPr>
          <w:rFonts w:ascii="Arial" w:hAnsi="Arial" w:cs="Arial"/>
          <w:sz w:val="20"/>
          <w:szCs w:val="20"/>
        </w:rPr>
        <w:t xml:space="preserve"> is frequently implicated in otitis externa, pyoderma, urinary tract infections, and wound infections (Degi et al., 2021). Otitis externa affects 7.5–16.5% of canin</w:t>
      </w:r>
      <w:r w:rsidR="004E1372" w:rsidRPr="007759E5">
        <w:rPr>
          <w:rFonts w:ascii="Arial" w:hAnsi="Arial" w:cs="Arial"/>
          <w:sz w:val="20"/>
          <w:szCs w:val="20"/>
        </w:rPr>
        <w:t>e clinical cases (Miller, 2013)</w:t>
      </w:r>
      <w:r w:rsidRPr="007759E5">
        <w:rPr>
          <w:rFonts w:ascii="Arial" w:hAnsi="Arial" w:cs="Arial"/>
          <w:sz w:val="20"/>
          <w:szCs w:val="20"/>
        </w:rPr>
        <w:t xml:space="preserve"> and </w:t>
      </w:r>
      <w:r w:rsidRPr="007759E5">
        <w:rPr>
          <w:rStyle w:val="Emphasis"/>
          <w:rFonts w:ascii="Arial" w:hAnsi="Arial" w:cs="Arial"/>
          <w:sz w:val="20"/>
          <w:szCs w:val="20"/>
        </w:rPr>
        <w:t>P. aeruginosa</w:t>
      </w:r>
      <w:r w:rsidRPr="007759E5">
        <w:rPr>
          <w:rFonts w:ascii="Arial" w:hAnsi="Arial" w:cs="Arial"/>
          <w:sz w:val="20"/>
          <w:szCs w:val="20"/>
        </w:rPr>
        <w:t xml:space="preserve"> accounts for 20–60% of reported infections, particularly in chronic or recurrent cases (Nocera et al., 2021).</w:t>
      </w:r>
    </w:p>
    <w:p w14:paraId="0AC9D0E7" w14:textId="77777777" w:rsidR="005F0944" w:rsidRPr="007759E5" w:rsidRDefault="005F0944"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The pathogenic success of </w:t>
      </w:r>
      <w:r w:rsidRPr="007759E5">
        <w:rPr>
          <w:rStyle w:val="Emphasis"/>
          <w:rFonts w:ascii="Arial" w:hAnsi="Arial" w:cs="Arial"/>
          <w:sz w:val="20"/>
          <w:szCs w:val="20"/>
        </w:rPr>
        <w:t>P. aeruginosa</w:t>
      </w:r>
      <w:r w:rsidRPr="007759E5">
        <w:rPr>
          <w:rFonts w:ascii="Arial" w:hAnsi="Arial" w:cs="Arial"/>
          <w:sz w:val="20"/>
          <w:szCs w:val="20"/>
        </w:rPr>
        <w:t xml:space="preserve"> is attributed to intrinsic resistance mechanisms such as low outer membrane permeability, efflux pump systems, and </w:t>
      </w:r>
      <w:proofErr w:type="spellStart"/>
      <w:r w:rsidRPr="007759E5">
        <w:rPr>
          <w:rFonts w:ascii="Arial" w:hAnsi="Arial" w:cs="Arial"/>
          <w:sz w:val="20"/>
          <w:szCs w:val="20"/>
        </w:rPr>
        <w:t>AmpC</w:t>
      </w:r>
      <w:proofErr w:type="spellEnd"/>
      <w:r w:rsidRPr="007759E5">
        <w:rPr>
          <w:rFonts w:ascii="Arial" w:hAnsi="Arial" w:cs="Arial"/>
          <w:sz w:val="20"/>
          <w:szCs w:val="20"/>
        </w:rPr>
        <w:t xml:space="preserve"> β-lactamase production, as well as acquired mechanisms including porin loss and β-lactamase gene acquisition (Yoshimura and Nikaido, 1982; Li et al., 2012). The emergence of carbapenem-resistant strains, including VIM-producing isolates, </w:t>
      </w:r>
      <w:r w:rsidRPr="007759E5">
        <w:rPr>
          <w:rFonts w:ascii="Arial" w:hAnsi="Arial" w:cs="Arial"/>
          <w:sz w:val="20"/>
          <w:szCs w:val="20"/>
        </w:rPr>
        <w:lastRenderedPageBreak/>
        <w:t xml:space="preserve">poses a serious therapeutic challenge (Gentilini et al., 2018). Additionally, virulence factors such as </w:t>
      </w:r>
      <w:proofErr w:type="spellStart"/>
      <w:r w:rsidR="00030A4D" w:rsidRPr="007759E5">
        <w:rPr>
          <w:rFonts w:ascii="Arial" w:hAnsi="Arial" w:cs="Arial"/>
          <w:sz w:val="20"/>
          <w:szCs w:val="20"/>
        </w:rPr>
        <w:t>haemolysis</w:t>
      </w:r>
      <w:proofErr w:type="spellEnd"/>
      <w:r w:rsidR="00030A4D" w:rsidRPr="007759E5">
        <w:rPr>
          <w:rFonts w:ascii="Arial" w:hAnsi="Arial" w:cs="Arial"/>
          <w:sz w:val="20"/>
          <w:szCs w:val="20"/>
        </w:rPr>
        <w:t xml:space="preserve">, motility and </w:t>
      </w:r>
      <w:r w:rsidRPr="007759E5">
        <w:rPr>
          <w:rFonts w:ascii="Arial" w:hAnsi="Arial" w:cs="Arial"/>
          <w:sz w:val="20"/>
          <w:szCs w:val="20"/>
        </w:rPr>
        <w:t xml:space="preserve">biofilm formation enhance persistence and antimicrobial tolerance (Fernandes et al., 2018; </w:t>
      </w:r>
      <w:proofErr w:type="spellStart"/>
      <w:r w:rsidRPr="007759E5">
        <w:rPr>
          <w:rFonts w:ascii="Arial" w:hAnsi="Arial" w:cs="Arial"/>
          <w:sz w:val="20"/>
          <w:szCs w:val="20"/>
        </w:rPr>
        <w:t>Thöming</w:t>
      </w:r>
      <w:proofErr w:type="spellEnd"/>
      <w:r w:rsidRPr="007759E5">
        <w:rPr>
          <w:rFonts w:ascii="Arial" w:hAnsi="Arial" w:cs="Arial"/>
          <w:sz w:val="20"/>
          <w:szCs w:val="20"/>
        </w:rPr>
        <w:t xml:space="preserve"> and </w:t>
      </w:r>
      <w:proofErr w:type="spellStart"/>
      <w:r w:rsidRPr="007759E5">
        <w:rPr>
          <w:rFonts w:ascii="Arial" w:hAnsi="Arial" w:cs="Arial"/>
          <w:sz w:val="20"/>
          <w:szCs w:val="20"/>
        </w:rPr>
        <w:t>Häussler</w:t>
      </w:r>
      <w:proofErr w:type="spellEnd"/>
      <w:r w:rsidRPr="007759E5">
        <w:rPr>
          <w:rFonts w:ascii="Arial" w:hAnsi="Arial" w:cs="Arial"/>
          <w:sz w:val="20"/>
          <w:szCs w:val="20"/>
        </w:rPr>
        <w:t>, 2022).</w:t>
      </w:r>
    </w:p>
    <w:p w14:paraId="7B5FD81A" w14:textId="77777777" w:rsidR="005F0944" w:rsidRPr="007759E5" w:rsidRDefault="005F0944"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Reports of multidrug-resistant </w:t>
      </w:r>
      <w:r w:rsidRPr="007759E5">
        <w:rPr>
          <w:rStyle w:val="Emphasis"/>
          <w:rFonts w:ascii="Arial" w:hAnsi="Arial" w:cs="Arial"/>
          <w:sz w:val="20"/>
          <w:szCs w:val="20"/>
        </w:rPr>
        <w:t>Acinetobacter</w:t>
      </w:r>
      <w:r w:rsidRPr="007759E5">
        <w:rPr>
          <w:rFonts w:ascii="Arial" w:hAnsi="Arial" w:cs="Arial"/>
          <w:sz w:val="20"/>
          <w:szCs w:val="20"/>
        </w:rPr>
        <w:t xml:space="preserve"> infections in veterinary hospitals underscore their emerging nosocomial significance (</w:t>
      </w:r>
      <w:proofErr w:type="spellStart"/>
      <w:r w:rsidRPr="007759E5">
        <w:rPr>
          <w:rFonts w:ascii="Arial" w:hAnsi="Arial" w:cs="Arial"/>
          <w:sz w:val="20"/>
          <w:szCs w:val="20"/>
        </w:rPr>
        <w:t>Kuzi</w:t>
      </w:r>
      <w:proofErr w:type="spellEnd"/>
      <w:r w:rsidRPr="007759E5">
        <w:rPr>
          <w:rFonts w:ascii="Arial" w:hAnsi="Arial" w:cs="Arial"/>
          <w:sz w:val="20"/>
          <w:szCs w:val="20"/>
        </w:rPr>
        <w:t xml:space="preserve"> et al., 2016). Limited but growing evidence from India highlights the presence of resistant </w:t>
      </w:r>
      <w:r w:rsidRPr="007759E5">
        <w:rPr>
          <w:rStyle w:val="Emphasis"/>
          <w:rFonts w:ascii="Arial" w:hAnsi="Arial" w:cs="Arial"/>
          <w:sz w:val="20"/>
          <w:szCs w:val="20"/>
        </w:rPr>
        <w:t>Pseudomonas</w:t>
      </w:r>
      <w:r w:rsidRPr="007759E5">
        <w:rPr>
          <w:rFonts w:ascii="Arial" w:hAnsi="Arial" w:cs="Arial"/>
          <w:sz w:val="20"/>
          <w:szCs w:val="20"/>
        </w:rPr>
        <w:t xml:space="preserve"> and </w:t>
      </w:r>
      <w:r w:rsidRPr="007759E5">
        <w:rPr>
          <w:rStyle w:val="Emphasis"/>
          <w:rFonts w:ascii="Arial" w:hAnsi="Arial" w:cs="Arial"/>
          <w:sz w:val="20"/>
          <w:szCs w:val="20"/>
        </w:rPr>
        <w:t>Acinetobacter</w:t>
      </w:r>
      <w:r w:rsidRPr="007759E5">
        <w:rPr>
          <w:rFonts w:ascii="Arial" w:hAnsi="Arial" w:cs="Arial"/>
          <w:sz w:val="20"/>
          <w:szCs w:val="20"/>
        </w:rPr>
        <w:t xml:space="preserve"> isolates in companion animals (</w:t>
      </w:r>
      <w:proofErr w:type="spellStart"/>
      <w:r w:rsidRPr="007759E5">
        <w:rPr>
          <w:rFonts w:ascii="Arial" w:hAnsi="Arial" w:cs="Arial"/>
          <w:sz w:val="20"/>
          <w:szCs w:val="20"/>
        </w:rPr>
        <w:t>Anekar</w:t>
      </w:r>
      <w:proofErr w:type="spellEnd"/>
      <w:r w:rsidRPr="007759E5">
        <w:rPr>
          <w:rFonts w:ascii="Arial" w:hAnsi="Arial" w:cs="Arial"/>
          <w:sz w:val="20"/>
          <w:szCs w:val="20"/>
        </w:rPr>
        <w:t>, 2018; Sharma, 2022).</w:t>
      </w:r>
    </w:p>
    <w:p w14:paraId="26F25865" w14:textId="77777777" w:rsidR="00135DB1" w:rsidRPr="007759E5" w:rsidRDefault="005F0944"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From a One Health perspective, the close association between humans and companion animals facilitates bidirectional transmission of antimicrobial-resistant bacteria (Asokan et al., 2019; </w:t>
      </w:r>
      <w:proofErr w:type="spellStart"/>
      <w:r w:rsidRPr="007759E5">
        <w:rPr>
          <w:rFonts w:ascii="Arial" w:hAnsi="Arial" w:cs="Arial"/>
          <w:sz w:val="20"/>
          <w:szCs w:val="20"/>
        </w:rPr>
        <w:t>Elfadadny</w:t>
      </w:r>
      <w:proofErr w:type="spellEnd"/>
      <w:r w:rsidRPr="007759E5">
        <w:rPr>
          <w:rFonts w:ascii="Arial" w:hAnsi="Arial" w:cs="Arial"/>
          <w:sz w:val="20"/>
          <w:szCs w:val="20"/>
        </w:rPr>
        <w:t xml:space="preserve"> et al., 2023). Therefore, comprehensive surveillance of NFGNB in canine infections is essential to understand their </w:t>
      </w:r>
      <w:r w:rsidR="00030A4D" w:rsidRPr="007759E5">
        <w:rPr>
          <w:rFonts w:ascii="Arial" w:hAnsi="Arial" w:cs="Arial"/>
          <w:sz w:val="20"/>
          <w:szCs w:val="20"/>
        </w:rPr>
        <w:t xml:space="preserve">prevalence, resistance patterns and virulence attributes </w:t>
      </w:r>
      <w:r w:rsidRPr="007759E5">
        <w:rPr>
          <w:rFonts w:ascii="Arial" w:hAnsi="Arial" w:cs="Arial"/>
          <w:sz w:val="20"/>
          <w:szCs w:val="20"/>
        </w:rPr>
        <w:t>to mitigate potential public health risks.</w:t>
      </w:r>
    </w:p>
    <w:p w14:paraId="3A35E818" w14:textId="77777777" w:rsidR="000433BA" w:rsidRDefault="0029682F" w:rsidP="00DF105C">
      <w:pPr>
        <w:pStyle w:val="Heading2"/>
        <w:spacing w:line="480" w:lineRule="auto"/>
        <w:rPr>
          <w:rFonts w:ascii="Arial" w:hAnsi="Arial" w:cs="Arial"/>
          <w:sz w:val="22"/>
          <w:szCs w:val="22"/>
        </w:rPr>
      </w:pPr>
      <w:r>
        <w:rPr>
          <w:rFonts w:ascii="Arial" w:hAnsi="Arial" w:cs="Arial"/>
          <w:sz w:val="22"/>
          <w:szCs w:val="22"/>
        </w:rPr>
        <w:t xml:space="preserve">2. </w:t>
      </w:r>
      <w:r w:rsidR="001669AF" w:rsidRPr="00DF105C">
        <w:rPr>
          <w:rFonts w:ascii="Arial" w:hAnsi="Arial" w:cs="Arial"/>
          <w:sz w:val="22"/>
          <w:szCs w:val="22"/>
        </w:rPr>
        <w:t>MATERIALS AND METHODS</w:t>
      </w:r>
    </w:p>
    <w:p w14:paraId="4115AC8C" w14:textId="77777777" w:rsidR="00997820" w:rsidRPr="00DF105C" w:rsidRDefault="0029682F" w:rsidP="00DF105C">
      <w:pPr>
        <w:pStyle w:val="Heading2"/>
        <w:spacing w:line="480" w:lineRule="auto"/>
        <w:rPr>
          <w:rFonts w:ascii="Arial" w:hAnsi="Arial" w:cs="Arial"/>
          <w:sz w:val="22"/>
          <w:szCs w:val="22"/>
        </w:rPr>
      </w:pPr>
      <w:r>
        <w:rPr>
          <w:rFonts w:ascii="Arial" w:hAnsi="Arial" w:cs="Arial"/>
          <w:sz w:val="22"/>
          <w:szCs w:val="22"/>
        </w:rPr>
        <w:t xml:space="preserve">2.1 </w:t>
      </w:r>
      <w:r w:rsidR="001669AF" w:rsidRPr="00DF105C">
        <w:rPr>
          <w:rFonts w:ascii="Arial" w:hAnsi="Arial" w:cs="Arial"/>
          <w:sz w:val="22"/>
          <w:szCs w:val="22"/>
        </w:rPr>
        <w:t>STUDY LOCATION AND SAMPLE COLLECTION</w:t>
      </w:r>
    </w:p>
    <w:p w14:paraId="778949CD" w14:textId="77777777" w:rsidR="00997820" w:rsidRPr="007759E5" w:rsidRDefault="00997820" w:rsidP="00DF105C">
      <w:pPr>
        <w:pStyle w:val="NormalWeb"/>
        <w:spacing w:line="480" w:lineRule="auto"/>
        <w:jc w:val="both"/>
        <w:rPr>
          <w:rFonts w:ascii="Arial" w:hAnsi="Arial" w:cs="Arial"/>
          <w:sz w:val="20"/>
          <w:szCs w:val="20"/>
        </w:rPr>
      </w:pPr>
      <w:r w:rsidRPr="007759E5">
        <w:rPr>
          <w:rFonts w:ascii="Arial" w:hAnsi="Arial" w:cs="Arial"/>
          <w:sz w:val="20"/>
          <w:szCs w:val="20"/>
        </w:rPr>
        <w:t>The present study was carried out in the Department of Veterinary Microbiology, College of Veterinary Science and Animal Husbandry, DUVASU, Mathura, Uttar Pradesh, India. A total of 402 clinical samples were collected aseptically from dogs presented to the Teaching Veterinary Clinical Complex between February 2024 and June 2025.</w:t>
      </w:r>
    </w:p>
    <w:p w14:paraId="68E14098" w14:textId="77777777" w:rsidR="009A356F" w:rsidRPr="0029682F" w:rsidRDefault="00997820" w:rsidP="0029682F">
      <w:pPr>
        <w:pStyle w:val="NormalWeb"/>
        <w:spacing w:line="480" w:lineRule="auto"/>
        <w:jc w:val="both"/>
        <w:rPr>
          <w:rFonts w:ascii="Arial" w:hAnsi="Arial" w:cs="Arial"/>
          <w:sz w:val="20"/>
          <w:szCs w:val="20"/>
        </w:rPr>
      </w:pPr>
      <w:r w:rsidRPr="007759E5">
        <w:rPr>
          <w:rFonts w:ascii="Arial" w:hAnsi="Arial" w:cs="Arial"/>
          <w:sz w:val="20"/>
          <w:szCs w:val="20"/>
        </w:rPr>
        <w:t>Samples included ear swabs (n = 120), wound swabs (n = 110), eye swabs (n = 32), pus/abscess samples (n = 20), midstream urine samples (n = 28), uterine pus (n = 22), skin swabs (n = 60), and cyst aspirates (n = 10). All samples were transported promptly to the laboratory and processed under standard microbiological procedures.</w:t>
      </w:r>
    </w:p>
    <w:p w14:paraId="247802A1" w14:textId="77777777" w:rsidR="00997820" w:rsidRPr="00DF105C" w:rsidRDefault="0029682F" w:rsidP="00DF105C">
      <w:pPr>
        <w:pStyle w:val="Heading3"/>
        <w:spacing w:line="480" w:lineRule="auto"/>
        <w:rPr>
          <w:rFonts w:ascii="Arial" w:hAnsi="Arial" w:cs="Arial"/>
          <w:color w:val="auto"/>
        </w:rPr>
      </w:pPr>
      <w:r>
        <w:rPr>
          <w:rFonts w:ascii="Arial" w:hAnsi="Arial" w:cs="Arial"/>
          <w:color w:val="auto"/>
        </w:rPr>
        <w:lastRenderedPageBreak/>
        <w:t xml:space="preserve">2.2 </w:t>
      </w:r>
      <w:r w:rsidR="001669AF" w:rsidRPr="00DF105C">
        <w:rPr>
          <w:rFonts w:ascii="Arial" w:hAnsi="Arial" w:cs="Arial"/>
          <w:color w:val="auto"/>
        </w:rPr>
        <w:t>ISOLATION AND IDENTIFICATION OF NON-FERMENTING GRAM-NEGATIVE BACILLI</w:t>
      </w:r>
    </w:p>
    <w:p w14:paraId="2B09942F" w14:textId="77777777" w:rsidR="00997820" w:rsidRPr="007759E5" w:rsidRDefault="00997820"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Samples were inoculated into nutrient broth and incubated at 37°C for 18–24 h. Enriched cultures were streaked onto nutrient agar and MacConkey agar and incubated aerobically. Non-lactose fermenting colonies were further </w:t>
      </w:r>
      <w:proofErr w:type="spellStart"/>
      <w:r w:rsidRPr="007759E5">
        <w:rPr>
          <w:rFonts w:ascii="Arial" w:hAnsi="Arial" w:cs="Arial"/>
          <w:sz w:val="20"/>
          <w:szCs w:val="20"/>
        </w:rPr>
        <w:t>subcultured</w:t>
      </w:r>
      <w:proofErr w:type="spellEnd"/>
      <w:r w:rsidRPr="007759E5">
        <w:rPr>
          <w:rFonts w:ascii="Arial" w:hAnsi="Arial" w:cs="Arial"/>
          <w:sz w:val="20"/>
          <w:szCs w:val="20"/>
        </w:rPr>
        <w:t xml:space="preserve"> on selective media including cetrimide agar for presumptive </w:t>
      </w:r>
      <w:r w:rsidRPr="007759E5">
        <w:rPr>
          <w:rStyle w:val="Emphasis"/>
          <w:rFonts w:ascii="Arial" w:eastAsiaTheme="majorEastAsia" w:hAnsi="Arial" w:cs="Arial"/>
          <w:sz w:val="20"/>
          <w:szCs w:val="20"/>
        </w:rPr>
        <w:t>Pseudomonas</w:t>
      </w:r>
      <w:r w:rsidRPr="007759E5">
        <w:rPr>
          <w:rFonts w:ascii="Arial" w:hAnsi="Arial" w:cs="Arial"/>
          <w:sz w:val="20"/>
          <w:szCs w:val="20"/>
        </w:rPr>
        <w:t xml:space="preserve"> spp. and </w:t>
      </w:r>
      <w:proofErr w:type="spellStart"/>
      <w:r w:rsidRPr="007759E5">
        <w:rPr>
          <w:rFonts w:ascii="Arial" w:hAnsi="Arial" w:cs="Arial"/>
          <w:sz w:val="20"/>
          <w:szCs w:val="20"/>
        </w:rPr>
        <w:t>HiC</w:t>
      </w:r>
      <w:r w:rsidR="00E82FCE" w:rsidRPr="007759E5">
        <w:rPr>
          <w:rFonts w:ascii="Arial" w:hAnsi="Arial" w:cs="Arial"/>
          <w:sz w:val="20"/>
          <w:szCs w:val="20"/>
        </w:rPr>
        <w:t>h</w:t>
      </w:r>
      <w:r w:rsidRPr="007759E5">
        <w:rPr>
          <w:rFonts w:ascii="Arial" w:hAnsi="Arial" w:cs="Arial"/>
          <w:sz w:val="20"/>
          <w:szCs w:val="20"/>
        </w:rPr>
        <w:t>rome</w:t>
      </w:r>
      <w:proofErr w:type="spellEnd"/>
      <w:r w:rsidRPr="007759E5">
        <w:rPr>
          <w:rFonts w:ascii="Arial" w:hAnsi="Arial" w:cs="Arial"/>
          <w:sz w:val="20"/>
          <w:szCs w:val="20"/>
        </w:rPr>
        <w:t xml:space="preserve"> Acinetobacter agar for presumptive </w:t>
      </w:r>
      <w:r w:rsidRPr="007759E5">
        <w:rPr>
          <w:rStyle w:val="Emphasis"/>
          <w:rFonts w:ascii="Arial" w:eastAsiaTheme="majorEastAsia" w:hAnsi="Arial" w:cs="Arial"/>
          <w:sz w:val="20"/>
          <w:szCs w:val="20"/>
        </w:rPr>
        <w:t>Acinetobacter</w:t>
      </w:r>
      <w:r w:rsidRPr="007759E5">
        <w:rPr>
          <w:rFonts w:ascii="Arial" w:hAnsi="Arial" w:cs="Arial"/>
          <w:sz w:val="20"/>
          <w:szCs w:val="20"/>
        </w:rPr>
        <w:t xml:space="preserve"> spp.</w:t>
      </w:r>
    </w:p>
    <w:p w14:paraId="2986A3AC" w14:textId="77777777" w:rsidR="00997820" w:rsidRPr="007759E5" w:rsidRDefault="00997820" w:rsidP="00DF105C">
      <w:pPr>
        <w:pStyle w:val="NormalWeb"/>
        <w:spacing w:line="480" w:lineRule="auto"/>
        <w:jc w:val="both"/>
        <w:rPr>
          <w:rFonts w:ascii="Arial" w:hAnsi="Arial" w:cs="Arial"/>
          <w:sz w:val="20"/>
          <w:szCs w:val="20"/>
        </w:rPr>
      </w:pPr>
      <w:r w:rsidRPr="007759E5">
        <w:rPr>
          <w:rFonts w:ascii="Arial" w:hAnsi="Arial" w:cs="Arial"/>
          <w:sz w:val="20"/>
          <w:szCs w:val="20"/>
        </w:rPr>
        <w:t>Preliminary identification was based on colony morphology, pigmentation, Gram staining, and biochemical tests including catalase, oxidase, citrate utilization, methyl red, Voges–Proskauer, nitrate reduction, indole, triple sugar iron (TSI), and oxidative–fermentative (OF) tests following standard protocols.</w:t>
      </w:r>
    </w:p>
    <w:p w14:paraId="2D41B3BC" w14:textId="77777777" w:rsidR="00997820" w:rsidRPr="007759E5" w:rsidRDefault="00997820"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Species-level confirmation was performed using </w:t>
      </w:r>
      <w:r w:rsidR="005C6A20" w:rsidRPr="007759E5">
        <w:rPr>
          <w:rFonts w:ascii="Arial" w:hAnsi="Arial" w:cs="Arial"/>
          <w:i/>
          <w:sz w:val="20"/>
          <w:szCs w:val="20"/>
        </w:rPr>
        <w:t>16s rDNA</w:t>
      </w:r>
      <w:r w:rsidR="00E00115" w:rsidRPr="007759E5">
        <w:rPr>
          <w:rFonts w:ascii="Arial" w:hAnsi="Arial" w:cs="Arial"/>
          <w:i/>
          <w:sz w:val="20"/>
          <w:szCs w:val="20"/>
        </w:rPr>
        <w:t xml:space="preserve"> </w:t>
      </w:r>
      <w:r w:rsidR="00E00115" w:rsidRPr="007759E5">
        <w:rPr>
          <w:rFonts w:ascii="Arial" w:hAnsi="Arial" w:cs="Arial"/>
          <w:sz w:val="20"/>
          <w:szCs w:val="20"/>
        </w:rPr>
        <w:t>gene</w:t>
      </w:r>
      <w:r w:rsidR="005C6A20" w:rsidRPr="007759E5">
        <w:rPr>
          <w:rFonts w:ascii="Arial" w:hAnsi="Arial" w:cs="Arial"/>
          <w:i/>
          <w:sz w:val="20"/>
          <w:szCs w:val="20"/>
        </w:rPr>
        <w:t xml:space="preserve"> </w:t>
      </w:r>
      <w:r w:rsidR="005C6A20" w:rsidRPr="007759E5">
        <w:rPr>
          <w:rFonts w:ascii="Arial" w:hAnsi="Arial" w:cs="Arial"/>
          <w:sz w:val="20"/>
          <w:szCs w:val="20"/>
        </w:rPr>
        <w:t xml:space="preserve">and </w:t>
      </w:r>
      <w:r w:rsidRPr="007759E5">
        <w:rPr>
          <w:rFonts w:ascii="Arial" w:hAnsi="Arial" w:cs="Arial"/>
          <w:sz w:val="20"/>
          <w:szCs w:val="20"/>
        </w:rPr>
        <w:t>VITEK 2 Compa</w:t>
      </w:r>
      <w:r w:rsidR="00A4000D" w:rsidRPr="007759E5">
        <w:rPr>
          <w:rFonts w:ascii="Arial" w:hAnsi="Arial" w:cs="Arial"/>
          <w:sz w:val="20"/>
          <w:szCs w:val="20"/>
        </w:rPr>
        <w:t>ct system (bioMérieux, France).</w:t>
      </w:r>
      <w:r w:rsidR="00914F68" w:rsidRPr="007759E5">
        <w:rPr>
          <w:rFonts w:ascii="Arial" w:hAnsi="Arial" w:cs="Arial"/>
          <w:sz w:val="20"/>
          <w:szCs w:val="20"/>
        </w:rPr>
        <w:t xml:space="preserve"> PCR targeting a species-specific region of the </w:t>
      </w:r>
      <w:r w:rsidR="00914F68" w:rsidRPr="007759E5">
        <w:rPr>
          <w:rStyle w:val="Emphasis"/>
          <w:rFonts w:ascii="Arial" w:hAnsi="Arial" w:cs="Arial"/>
          <w:sz w:val="20"/>
          <w:szCs w:val="20"/>
        </w:rPr>
        <w:t>16S rDNA</w:t>
      </w:r>
      <w:r w:rsidR="00914F68" w:rsidRPr="007759E5">
        <w:rPr>
          <w:rFonts w:ascii="Arial" w:hAnsi="Arial" w:cs="Arial"/>
          <w:sz w:val="20"/>
          <w:szCs w:val="20"/>
        </w:rPr>
        <w:t xml:space="preserve"> gene of </w:t>
      </w:r>
      <w:r w:rsidR="00914F68" w:rsidRPr="007759E5">
        <w:rPr>
          <w:rStyle w:val="Emphasis"/>
          <w:rFonts w:ascii="Arial" w:hAnsi="Arial" w:cs="Arial"/>
          <w:sz w:val="20"/>
          <w:szCs w:val="20"/>
        </w:rPr>
        <w:t>Pseudomonas aeruginosa</w:t>
      </w:r>
      <w:r w:rsidR="00914F68" w:rsidRPr="007759E5">
        <w:rPr>
          <w:rFonts w:ascii="Arial" w:hAnsi="Arial" w:cs="Arial"/>
          <w:sz w:val="20"/>
          <w:szCs w:val="20"/>
        </w:rPr>
        <w:t xml:space="preserve"> was carried out using PA-SS primers</w:t>
      </w:r>
      <w:r w:rsidR="00402F95" w:rsidRPr="007759E5">
        <w:rPr>
          <w:rFonts w:ascii="Arial" w:hAnsi="Arial" w:cs="Arial"/>
          <w:sz w:val="20"/>
          <w:szCs w:val="20"/>
        </w:rPr>
        <w:t xml:space="preserve"> (Spilker et al. </w:t>
      </w:r>
      <w:r w:rsidR="00914F68" w:rsidRPr="007759E5">
        <w:rPr>
          <w:rFonts w:ascii="Arial" w:hAnsi="Arial" w:cs="Arial"/>
          <w:sz w:val="20"/>
          <w:szCs w:val="20"/>
        </w:rPr>
        <w:t>2004). The forward primer sequence was 5′-GGGGGATCTTCGGACCTCA-3′ and the reverse primer sequence was 5′-TCCTTAGAGTGCCCACCCG-3′, which amplify a 956 bp fragment.</w:t>
      </w:r>
      <w:r w:rsidR="000E2FEF" w:rsidRPr="007759E5">
        <w:rPr>
          <w:rFonts w:ascii="Arial" w:hAnsi="Arial" w:cs="Arial"/>
          <w:sz w:val="20"/>
          <w:szCs w:val="20"/>
        </w:rPr>
        <w:t xml:space="preserve"> PCR amplification was performed in a thermal cycler under the following conditions: ini</w:t>
      </w:r>
      <w:r w:rsidR="00186423" w:rsidRPr="007759E5">
        <w:rPr>
          <w:rFonts w:ascii="Arial" w:hAnsi="Arial" w:cs="Arial"/>
          <w:sz w:val="20"/>
          <w:szCs w:val="20"/>
        </w:rPr>
        <w:t>tial denaturation at 95 °C for 2</w:t>
      </w:r>
      <w:r w:rsidR="00275C69" w:rsidRPr="007759E5">
        <w:rPr>
          <w:rFonts w:ascii="Arial" w:hAnsi="Arial" w:cs="Arial"/>
          <w:sz w:val="20"/>
          <w:szCs w:val="20"/>
        </w:rPr>
        <w:t xml:space="preserve"> min, followed by 2</w:t>
      </w:r>
      <w:r w:rsidR="00186423" w:rsidRPr="007759E5">
        <w:rPr>
          <w:rFonts w:ascii="Arial" w:hAnsi="Arial" w:cs="Arial"/>
          <w:sz w:val="20"/>
          <w:szCs w:val="20"/>
        </w:rPr>
        <w:t xml:space="preserve">5 cycles of denaturation at 94 °C for </w:t>
      </w:r>
      <w:r w:rsidR="009E62BD" w:rsidRPr="007759E5">
        <w:rPr>
          <w:rFonts w:ascii="Arial" w:hAnsi="Arial" w:cs="Arial"/>
          <w:sz w:val="20"/>
          <w:szCs w:val="20"/>
        </w:rPr>
        <w:t>20 s, annealing at 58°C for 2</w:t>
      </w:r>
      <w:r w:rsidR="000E2FEF" w:rsidRPr="007759E5">
        <w:rPr>
          <w:rFonts w:ascii="Arial" w:hAnsi="Arial" w:cs="Arial"/>
          <w:sz w:val="20"/>
          <w:szCs w:val="20"/>
        </w:rPr>
        <w:t xml:space="preserve">0 s, </w:t>
      </w:r>
      <w:r w:rsidR="009E62BD" w:rsidRPr="007759E5">
        <w:rPr>
          <w:rFonts w:ascii="Arial" w:hAnsi="Arial" w:cs="Arial"/>
          <w:sz w:val="20"/>
          <w:szCs w:val="20"/>
        </w:rPr>
        <w:t>and extension at 72 °C for 20 s</w:t>
      </w:r>
      <w:r w:rsidR="000E2FEF" w:rsidRPr="007759E5">
        <w:rPr>
          <w:rFonts w:ascii="Arial" w:hAnsi="Arial" w:cs="Arial"/>
          <w:sz w:val="20"/>
          <w:szCs w:val="20"/>
        </w:rPr>
        <w:t xml:space="preserve">, with </w:t>
      </w:r>
      <w:r w:rsidR="009E62BD" w:rsidRPr="007759E5">
        <w:rPr>
          <w:rFonts w:ascii="Arial" w:hAnsi="Arial" w:cs="Arial"/>
          <w:sz w:val="20"/>
          <w:szCs w:val="20"/>
        </w:rPr>
        <w:t>a final extension at 72 °C for 1</w:t>
      </w:r>
      <w:r w:rsidR="000E2FEF" w:rsidRPr="007759E5">
        <w:rPr>
          <w:rFonts w:ascii="Arial" w:hAnsi="Arial" w:cs="Arial"/>
          <w:sz w:val="20"/>
          <w:szCs w:val="20"/>
        </w:rPr>
        <w:t xml:space="preserve"> min. The amplified PCR products were analyzed by agarose gel electrophoresis. A 1.5% agarose gel prepared in 1× TAE buffer containing ethidium bromide was used for separation of the amplified products. An aliquot of the PCR product mixed with loading dye was loaded into the wells along with a 100 bp DNA ladder as a molecular size marker. Electrophoresis was carried out at 80–100 V for approximately 45–60 min. The DNA bands were visualized under a UV transilluminator and documented using a gel documentation system.</w:t>
      </w:r>
    </w:p>
    <w:p w14:paraId="4C98FA41" w14:textId="77777777" w:rsidR="00997820" w:rsidRPr="00DF105C" w:rsidRDefault="0029682F" w:rsidP="00DF105C">
      <w:pPr>
        <w:pStyle w:val="Heading3"/>
        <w:spacing w:line="480" w:lineRule="auto"/>
        <w:jc w:val="both"/>
        <w:rPr>
          <w:rFonts w:ascii="Arial" w:hAnsi="Arial" w:cs="Arial"/>
          <w:color w:val="auto"/>
        </w:rPr>
      </w:pPr>
      <w:r>
        <w:rPr>
          <w:rFonts w:ascii="Arial" w:hAnsi="Arial" w:cs="Arial"/>
          <w:color w:val="auto"/>
        </w:rPr>
        <w:lastRenderedPageBreak/>
        <w:t xml:space="preserve">2.3 </w:t>
      </w:r>
      <w:r w:rsidR="001669AF" w:rsidRPr="00DF105C">
        <w:rPr>
          <w:rFonts w:ascii="Arial" w:hAnsi="Arial" w:cs="Arial"/>
          <w:color w:val="auto"/>
        </w:rPr>
        <w:t>PHENOTYPIC DETECTION OF VIRULENCE FACTORS</w:t>
      </w:r>
    </w:p>
    <w:p w14:paraId="23C569FB" w14:textId="77777777" w:rsidR="00997820" w:rsidRPr="007759E5" w:rsidRDefault="00997820"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Isolates were screened for hemolytic activity on 5% sheep blood agar. Motility was assessed using motility agar plates after 24 h incubation. Biofilm formation was evaluated using the Congo red </w:t>
      </w:r>
      <w:r w:rsidR="00AB3401" w:rsidRPr="007759E5">
        <w:rPr>
          <w:rFonts w:ascii="Arial" w:hAnsi="Arial" w:cs="Arial"/>
          <w:sz w:val="20"/>
          <w:szCs w:val="20"/>
        </w:rPr>
        <w:t>agar method</w:t>
      </w:r>
      <w:r w:rsidRPr="007759E5">
        <w:rPr>
          <w:rFonts w:ascii="Arial" w:hAnsi="Arial" w:cs="Arial"/>
          <w:sz w:val="20"/>
          <w:szCs w:val="20"/>
        </w:rPr>
        <w:t xml:space="preserve"> where black, dry crystalline colonies were considered biofilm producers.</w:t>
      </w:r>
    </w:p>
    <w:p w14:paraId="677F77E8" w14:textId="77777777" w:rsidR="00997820" w:rsidRPr="00DF105C" w:rsidRDefault="0029682F" w:rsidP="00DF105C">
      <w:pPr>
        <w:pStyle w:val="Heading3"/>
        <w:spacing w:line="480" w:lineRule="auto"/>
        <w:rPr>
          <w:rFonts w:ascii="Arial" w:hAnsi="Arial" w:cs="Arial"/>
          <w:color w:val="auto"/>
        </w:rPr>
      </w:pPr>
      <w:r>
        <w:rPr>
          <w:rFonts w:ascii="Arial" w:hAnsi="Arial" w:cs="Arial"/>
          <w:color w:val="auto"/>
        </w:rPr>
        <w:t xml:space="preserve">2.4 </w:t>
      </w:r>
      <w:r w:rsidR="001669AF" w:rsidRPr="00DF105C">
        <w:rPr>
          <w:rFonts w:ascii="Arial" w:hAnsi="Arial" w:cs="Arial"/>
          <w:color w:val="auto"/>
        </w:rPr>
        <w:t>ANTIMICROBIAL SUSCEPTIBILITY TESTING</w:t>
      </w:r>
    </w:p>
    <w:p w14:paraId="2027E230" w14:textId="77777777" w:rsidR="00997820" w:rsidRPr="007759E5" w:rsidRDefault="00997820" w:rsidP="00DF105C">
      <w:pPr>
        <w:pStyle w:val="NormalWeb"/>
        <w:spacing w:line="480" w:lineRule="auto"/>
        <w:jc w:val="both"/>
        <w:rPr>
          <w:rFonts w:ascii="Arial" w:hAnsi="Arial" w:cs="Arial"/>
          <w:sz w:val="20"/>
          <w:szCs w:val="20"/>
        </w:rPr>
      </w:pPr>
      <w:r w:rsidRPr="007759E5">
        <w:rPr>
          <w:rFonts w:ascii="Arial" w:hAnsi="Arial" w:cs="Arial"/>
          <w:sz w:val="20"/>
          <w:szCs w:val="20"/>
        </w:rPr>
        <w:t>Antimicrobial susceptibility testing was performed by the Kirby–Bauer disc diffusion method on Mueller–Hinton agar in accordance with CLSI (2022) guidelines. Twenty-one antimicrobial agents representing 11 classes were tested. Results were interpreted as susceptible, intermediate, or resistant. Isolates showing resistance to three or more antimicrobial classes were classified as multidrug-resistant (MDR).</w:t>
      </w:r>
    </w:p>
    <w:p w14:paraId="351D1C49" w14:textId="0648B9C8" w:rsidR="00E52A58" w:rsidRPr="00DF105C" w:rsidRDefault="0029682F" w:rsidP="00DF105C">
      <w:pPr>
        <w:pStyle w:val="Heading2"/>
        <w:spacing w:line="480" w:lineRule="auto"/>
        <w:jc w:val="both"/>
        <w:rPr>
          <w:rFonts w:ascii="Arial" w:hAnsi="Arial" w:cs="Arial"/>
          <w:sz w:val="22"/>
          <w:szCs w:val="22"/>
        </w:rPr>
      </w:pPr>
      <w:r>
        <w:rPr>
          <w:rFonts w:ascii="Arial" w:hAnsi="Arial" w:cs="Arial"/>
          <w:sz w:val="22"/>
          <w:szCs w:val="22"/>
        </w:rPr>
        <w:t xml:space="preserve">3. </w:t>
      </w:r>
      <w:r w:rsidR="00E52A58" w:rsidRPr="00DF105C">
        <w:rPr>
          <w:rFonts w:ascii="Arial" w:hAnsi="Arial" w:cs="Arial"/>
          <w:sz w:val="22"/>
          <w:szCs w:val="22"/>
        </w:rPr>
        <w:t>RESULTS</w:t>
      </w:r>
      <w:r w:rsidR="00DF5CA2">
        <w:rPr>
          <w:rFonts w:ascii="Arial" w:hAnsi="Arial" w:cs="Arial"/>
          <w:sz w:val="22"/>
          <w:szCs w:val="22"/>
        </w:rPr>
        <w:t xml:space="preserve"> AND DISCUSSION </w:t>
      </w:r>
    </w:p>
    <w:p w14:paraId="38D2F5FC" w14:textId="77777777" w:rsidR="00E52A58" w:rsidRPr="00DF105C" w:rsidRDefault="0029682F" w:rsidP="00DF105C">
      <w:pPr>
        <w:pStyle w:val="Heading3"/>
        <w:spacing w:line="480" w:lineRule="auto"/>
        <w:rPr>
          <w:rFonts w:ascii="Arial" w:hAnsi="Arial" w:cs="Arial"/>
          <w:color w:val="auto"/>
        </w:rPr>
      </w:pPr>
      <w:r>
        <w:rPr>
          <w:rFonts w:ascii="Arial" w:hAnsi="Arial" w:cs="Arial"/>
          <w:color w:val="auto"/>
        </w:rPr>
        <w:t xml:space="preserve">3.1 </w:t>
      </w:r>
      <w:r w:rsidR="001669AF" w:rsidRPr="00DF105C">
        <w:rPr>
          <w:rFonts w:ascii="Arial" w:hAnsi="Arial" w:cs="Arial"/>
          <w:color w:val="auto"/>
        </w:rPr>
        <w:t>PREVALENCE OF NON-FERMENTING GRAM-NEGATIVE BACILLI</w:t>
      </w:r>
    </w:p>
    <w:p w14:paraId="103399BE" w14:textId="77777777" w:rsidR="00F304A6" w:rsidRPr="007759E5" w:rsidRDefault="00E52A58"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Out of 402 canine clinical samples processed, 332 (82.6%) yielded bacterial growth. Among these, non-fermenting Gram-negative bacilli (NFGNB) accounted for 21.7% (73/332) of total isolates. </w:t>
      </w:r>
      <w:r w:rsidRPr="007759E5">
        <w:rPr>
          <w:rStyle w:val="Emphasis"/>
          <w:rFonts w:ascii="Arial" w:hAnsi="Arial" w:cs="Arial"/>
          <w:sz w:val="20"/>
          <w:szCs w:val="20"/>
        </w:rPr>
        <w:t>Pseudomonas</w:t>
      </w:r>
      <w:r w:rsidRPr="007759E5">
        <w:rPr>
          <w:rFonts w:ascii="Arial" w:hAnsi="Arial" w:cs="Arial"/>
          <w:sz w:val="20"/>
          <w:szCs w:val="20"/>
        </w:rPr>
        <w:t xml:space="preserve"> spp. were the predominant NFGNB, comprising 19.0% (63/332) of isolates, followed by </w:t>
      </w:r>
      <w:r w:rsidRPr="007759E5">
        <w:rPr>
          <w:rStyle w:val="Emphasis"/>
          <w:rFonts w:ascii="Arial" w:hAnsi="Arial" w:cs="Arial"/>
          <w:sz w:val="20"/>
          <w:szCs w:val="20"/>
        </w:rPr>
        <w:t>Acinetobacter</w:t>
      </w:r>
      <w:r w:rsidRPr="007759E5">
        <w:rPr>
          <w:rFonts w:ascii="Arial" w:hAnsi="Arial" w:cs="Arial"/>
          <w:sz w:val="20"/>
          <w:szCs w:val="20"/>
        </w:rPr>
        <w:t xml:space="preserve"> spp. at 2.7% (9/332). One isolate (0.3%) was identified as </w:t>
      </w:r>
      <w:proofErr w:type="spellStart"/>
      <w:r w:rsidRPr="007759E5">
        <w:rPr>
          <w:rStyle w:val="Emphasis"/>
          <w:rFonts w:ascii="Arial" w:hAnsi="Arial" w:cs="Arial"/>
          <w:sz w:val="20"/>
          <w:szCs w:val="20"/>
        </w:rPr>
        <w:t>Sphingomonas</w:t>
      </w:r>
      <w:proofErr w:type="spellEnd"/>
      <w:r w:rsidRPr="007759E5">
        <w:rPr>
          <w:rFonts w:ascii="Arial" w:hAnsi="Arial" w:cs="Arial"/>
          <w:sz w:val="20"/>
          <w:szCs w:val="20"/>
        </w:rPr>
        <w:t xml:space="preserve"> spp. Overall, </w:t>
      </w:r>
      <w:r w:rsidRPr="007759E5">
        <w:rPr>
          <w:rStyle w:val="Emphasis"/>
          <w:rFonts w:ascii="Arial" w:hAnsi="Arial" w:cs="Arial"/>
          <w:sz w:val="20"/>
          <w:szCs w:val="20"/>
        </w:rPr>
        <w:t>Escherichia coli</w:t>
      </w:r>
      <w:r w:rsidRPr="007759E5">
        <w:rPr>
          <w:rFonts w:ascii="Arial" w:hAnsi="Arial" w:cs="Arial"/>
          <w:sz w:val="20"/>
          <w:szCs w:val="20"/>
        </w:rPr>
        <w:t xml:space="preserve"> (48.8%) and </w:t>
      </w:r>
      <w:r w:rsidRPr="007759E5">
        <w:rPr>
          <w:rStyle w:val="Emphasis"/>
          <w:rFonts w:ascii="Arial" w:hAnsi="Arial" w:cs="Arial"/>
          <w:sz w:val="20"/>
          <w:szCs w:val="20"/>
        </w:rPr>
        <w:t>Staphylococcus</w:t>
      </w:r>
      <w:r w:rsidRPr="007759E5">
        <w:rPr>
          <w:rFonts w:ascii="Arial" w:hAnsi="Arial" w:cs="Arial"/>
          <w:sz w:val="20"/>
          <w:szCs w:val="20"/>
        </w:rPr>
        <w:t xml:space="preserve"> spp. (24.1%) were the most common bacterial isolates recovered. Among NFGNB, otitis (17.5%) and wound infections (15.4%) were the principal sources of </w:t>
      </w:r>
      <w:r w:rsidRPr="007759E5">
        <w:rPr>
          <w:rStyle w:val="Emphasis"/>
          <w:rFonts w:ascii="Arial" w:hAnsi="Arial" w:cs="Arial"/>
          <w:sz w:val="20"/>
          <w:szCs w:val="20"/>
        </w:rPr>
        <w:t>Pseudomonas</w:t>
      </w:r>
      <w:r w:rsidRPr="007759E5">
        <w:rPr>
          <w:rFonts w:ascii="Arial" w:hAnsi="Arial" w:cs="Arial"/>
          <w:sz w:val="20"/>
          <w:szCs w:val="20"/>
        </w:rPr>
        <w:t xml:space="preserve"> spp., while </w:t>
      </w:r>
      <w:r w:rsidRPr="007759E5">
        <w:rPr>
          <w:rStyle w:val="Emphasis"/>
          <w:rFonts w:ascii="Arial" w:hAnsi="Arial" w:cs="Arial"/>
          <w:sz w:val="20"/>
          <w:szCs w:val="20"/>
        </w:rPr>
        <w:t>Acinetobacter</w:t>
      </w:r>
      <w:r w:rsidRPr="007759E5">
        <w:rPr>
          <w:rFonts w:ascii="Arial" w:hAnsi="Arial" w:cs="Arial"/>
          <w:sz w:val="20"/>
          <w:szCs w:val="20"/>
        </w:rPr>
        <w:t xml:space="preserve"> spp. were mainly isolated from otitis and wound cases. </w:t>
      </w:r>
      <w:r w:rsidR="00E212DD" w:rsidRPr="007759E5">
        <w:rPr>
          <w:rFonts w:ascii="Arial" w:hAnsi="Arial" w:cs="Arial"/>
          <w:i/>
          <w:sz w:val="20"/>
          <w:szCs w:val="20"/>
        </w:rPr>
        <w:t>16S rDNA</w:t>
      </w:r>
      <w:r w:rsidR="00E212DD" w:rsidRPr="007759E5">
        <w:rPr>
          <w:rFonts w:ascii="Arial" w:hAnsi="Arial" w:cs="Arial"/>
          <w:sz w:val="20"/>
          <w:szCs w:val="20"/>
        </w:rPr>
        <w:t xml:space="preserve"> s</w:t>
      </w:r>
      <w:r w:rsidRPr="007759E5">
        <w:rPr>
          <w:rFonts w:ascii="Arial" w:hAnsi="Arial" w:cs="Arial"/>
          <w:sz w:val="20"/>
          <w:szCs w:val="20"/>
        </w:rPr>
        <w:t xml:space="preserve">pecies-level identification confirmed that 51 of the 63 </w:t>
      </w:r>
      <w:r w:rsidRPr="007759E5">
        <w:rPr>
          <w:rStyle w:val="Emphasis"/>
          <w:rFonts w:ascii="Arial" w:hAnsi="Arial" w:cs="Arial"/>
          <w:sz w:val="20"/>
          <w:szCs w:val="20"/>
        </w:rPr>
        <w:t>Pseudomonas</w:t>
      </w:r>
      <w:r w:rsidRPr="007759E5">
        <w:rPr>
          <w:rFonts w:ascii="Arial" w:hAnsi="Arial" w:cs="Arial"/>
          <w:sz w:val="20"/>
          <w:szCs w:val="20"/>
        </w:rPr>
        <w:t xml:space="preserve"> isolates were </w:t>
      </w:r>
      <w:r w:rsidRPr="007759E5">
        <w:rPr>
          <w:rStyle w:val="Emphasis"/>
          <w:rFonts w:ascii="Arial" w:hAnsi="Arial" w:cs="Arial"/>
          <w:sz w:val="20"/>
          <w:szCs w:val="20"/>
        </w:rPr>
        <w:t>Pseudomonas aeruginosa</w:t>
      </w:r>
      <w:r w:rsidR="00803911" w:rsidRPr="007759E5">
        <w:rPr>
          <w:rStyle w:val="Emphasis"/>
          <w:rFonts w:ascii="Arial" w:hAnsi="Arial" w:cs="Arial"/>
          <w:sz w:val="20"/>
          <w:szCs w:val="20"/>
        </w:rPr>
        <w:t xml:space="preserve"> </w:t>
      </w:r>
      <w:r w:rsidR="00803911" w:rsidRPr="007759E5">
        <w:rPr>
          <w:rStyle w:val="Emphasis"/>
          <w:rFonts w:ascii="Arial" w:hAnsi="Arial" w:cs="Arial"/>
          <w:i w:val="0"/>
          <w:sz w:val="20"/>
          <w:szCs w:val="20"/>
        </w:rPr>
        <w:t>(Fig.</w:t>
      </w:r>
      <w:r w:rsidR="001139BE" w:rsidRPr="007759E5">
        <w:rPr>
          <w:rStyle w:val="Emphasis"/>
          <w:rFonts w:ascii="Arial" w:hAnsi="Arial" w:cs="Arial"/>
          <w:i w:val="0"/>
          <w:sz w:val="20"/>
          <w:szCs w:val="20"/>
        </w:rPr>
        <w:t>1</w:t>
      </w:r>
      <w:r w:rsidR="00803911" w:rsidRPr="007759E5">
        <w:rPr>
          <w:rStyle w:val="Emphasis"/>
          <w:rFonts w:ascii="Arial" w:hAnsi="Arial" w:cs="Arial"/>
          <w:i w:val="0"/>
          <w:sz w:val="20"/>
          <w:szCs w:val="20"/>
        </w:rPr>
        <w:t>)</w:t>
      </w:r>
      <w:r w:rsidRPr="007759E5">
        <w:rPr>
          <w:rFonts w:ascii="Arial" w:hAnsi="Arial" w:cs="Arial"/>
          <w:i/>
          <w:sz w:val="20"/>
          <w:szCs w:val="20"/>
        </w:rPr>
        <w:t>.</w:t>
      </w:r>
      <w:r w:rsidRPr="007759E5">
        <w:rPr>
          <w:rFonts w:ascii="Arial" w:hAnsi="Arial" w:cs="Arial"/>
          <w:sz w:val="20"/>
          <w:szCs w:val="20"/>
        </w:rPr>
        <w:t xml:space="preserve"> The </w:t>
      </w:r>
      <w:r w:rsidRPr="007759E5">
        <w:rPr>
          <w:rStyle w:val="Emphasis"/>
          <w:rFonts w:ascii="Arial" w:hAnsi="Arial" w:cs="Arial"/>
          <w:sz w:val="20"/>
          <w:szCs w:val="20"/>
        </w:rPr>
        <w:t>Acinetobacter</w:t>
      </w:r>
      <w:r w:rsidRPr="007759E5">
        <w:rPr>
          <w:rFonts w:ascii="Arial" w:hAnsi="Arial" w:cs="Arial"/>
          <w:sz w:val="20"/>
          <w:szCs w:val="20"/>
        </w:rPr>
        <w:t xml:space="preserve"> isolates included </w:t>
      </w:r>
      <w:proofErr w:type="spellStart"/>
      <w:proofErr w:type="gramStart"/>
      <w:r w:rsidR="00E212DD" w:rsidRPr="007759E5">
        <w:rPr>
          <w:rStyle w:val="Strong"/>
          <w:rFonts w:ascii="Arial" w:eastAsiaTheme="majorEastAsia" w:hAnsi="Arial" w:cs="Arial"/>
          <w:b w:val="0"/>
          <w:i/>
          <w:sz w:val="20"/>
          <w:szCs w:val="20"/>
        </w:rPr>
        <w:t>A.calcoaceticus</w:t>
      </w:r>
      <w:proofErr w:type="spellEnd"/>
      <w:proofErr w:type="gramEnd"/>
      <w:r w:rsidR="00E212DD" w:rsidRPr="007759E5">
        <w:rPr>
          <w:rStyle w:val="Strong"/>
          <w:rFonts w:ascii="Arial" w:eastAsiaTheme="majorEastAsia" w:hAnsi="Arial" w:cs="Arial"/>
          <w:b w:val="0"/>
          <w:i/>
          <w:sz w:val="20"/>
          <w:szCs w:val="20"/>
        </w:rPr>
        <w:t>–</w:t>
      </w:r>
      <w:proofErr w:type="spellStart"/>
      <w:r w:rsidR="00E212DD" w:rsidRPr="007759E5">
        <w:rPr>
          <w:rStyle w:val="Strong"/>
          <w:rFonts w:ascii="Arial" w:eastAsiaTheme="majorEastAsia" w:hAnsi="Arial" w:cs="Arial"/>
          <w:b w:val="0"/>
          <w:i/>
          <w:sz w:val="20"/>
          <w:szCs w:val="20"/>
        </w:rPr>
        <w:t>baumannii</w:t>
      </w:r>
      <w:proofErr w:type="spellEnd"/>
      <w:r w:rsidR="00E212DD" w:rsidRPr="007759E5">
        <w:rPr>
          <w:rStyle w:val="Strong"/>
          <w:rFonts w:ascii="Arial" w:eastAsiaTheme="majorEastAsia" w:hAnsi="Arial" w:cs="Arial"/>
          <w:b w:val="0"/>
          <w:sz w:val="20"/>
          <w:szCs w:val="20"/>
        </w:rPr>
        <w:t xml:space="preserve"> complex (n = 5)</w:t>
      </w:r>
      <w:r w:rsidR="00E212DD" w:rsidRPr="007759E5">
        <w:rPr>
          <w:rFonts w:ascii="Arial" w:hAnsi="Arial" w:cs="Arial"/>
          <w:b/>
          <w:sz w:val="20"/>
          <w:szCs w:val="20"/>
        </w:rPr>
        <w:t xml:space="preserve">, </w:t>
      </w:r>
      <w:r w:rsidR="00E212DD" w:rsidRPr="007759E5">
        <w:rPr>
          <w:rStyle w:val="Strong"/>
          <w:rFonts w:ascii="Arial" w:eastAsiaTheme="majorEastAsia" w:hAnsi="Arial" w:cs="Arial"/>
          <w:b w:val="0"/>
          <w:i/>
          <w:sz w:val="20"/>
          <w:szCs w:val="20"/>
        </w:rPr>
        <w:t xml:space="preserve">A. </w:t>
      </w:r>
      <w:proofErr w:type="spellStart"/>
      <w:r w:rsidR="00E212DD" w:rsidRPr="007759E5">
        <w:rPr>
          <w:rStyle w:val="Strong"/>
          <w:rFonts w:ascii="Arial" w:eastAsiaTheme="majorEastAsia" w:hAnsi="Arial" w:cs="Arial"/>
          <w:b w:val="0"/>
          <w:i/>
          <w:sz w:val="20"/>
          <w:szCs w:val="20"/>
        </w:rPr>
        <w:t>lwoffii</w:t>
      </w:r>
      <w:proofErr w:type="spellEnd"/>
      <w:r w:rsidR="00E212DD" w:rsidRPr="007759E5">
        <w:rPr>
          <w:rStyle w:val="Strong"/>
          <w:rFonts w:ascii="Arial" w:eastAsiaTheme="majorEastAsia" w:hAnsi="Arial" w:cs="Arial"/>
          <w:b w:val="0"/>
          <w:sz w:val="20"/>
          <w:szCs w:val="20"/>
        </w:rPr>
        <w:t xml:space="preserve"> (n = 3)</w:t>
      </w:r>
      <w:r w:rsidR="00E212DD" w:rsidRPr="007759E5">
        <w:rPr>
          <w:rFonts w:ascii="Arial" w:hAnsi="Arial" w:cs="Arial"/>
          <w:b/>
          <w:sz w:val="20"/>
          <w:szCs w:val="20"/>
        </w:rPr>
        <w:t xml:space="preserve"> </w:t>
      </w:r>
      <w:r w:rsidR="00E212DD" w:rsidRPr="007759E5">
        <w:rPr>
          <w:rFonts w:ascii="Arial" w:hAnsi="Arial" w:cs="Arial"/>
          <w:sz w:val="20"/>
          <w:szCs w:val="20"/>
        </w:rPr>
        <w:t>and</w:t>
      </w:r>
      <w:r w:rsidR="00E212DD" w:rsidRPr="007759E5">
        <w:rPr>
          <w:rFonts w:ascii="Arial" w:hAnsi="Arial" w:cs="Arial"/>
          <w:b/>
          <w:sz w:val="20"/>
          <w:szCs w:val="20"/>
        </w:rPr>
        <w:t xml:space="preserve"> </w:t>
      </w:r>
      <w:r w:rsidR="00E212DD" w:rsidRPr="007759E5">
        <w:rPr>
          <w:rStyle w:val="Strong"/>
          <w:rFonts w:ascii="Arial" w:eastAsiaTheme="majorEastAsia" w:hAnsi="Arial" w:cs="Arial"/>
          <w:b w:val="0"/>
          <w:i/>
          <w:sz w:val="20"/>
          <w:szCs w:val="20"/>
        </w:rPr>
        <w:t xml:space="preserve">A. </w:t>
      </w:r>
      <w:proofErr w:type="spellStart"/>
      <w:r w:rsidR="00E212DD" w:rsidRPr="007759E5">
        <w:rPr>
          <w:rStyle w:val="Strong"/>
          <w:rFonts w:ascii="Arial" w:eastAsiaTheme="majorEastAsia" w:hAnsi="Arial" w:cs="Arial"/>
          <w:b w:val="0"/>
          <w:i/>
          <w:sz w:val="20"/>
          <w:szCs w:val="20"/>
        </w:rPr>
        <w:t>radioresistens</w:t>
      </w:r>
      <w:proofErr w:type="spellEnd"/>
      <w:r w:rsidR="00E212DD" w:rsidRPr="007759E5">
        <w:rPr>
          <w:rStyle w:val="Strong"/>
          <w:rFonts w:ascii="Arial" w:eastAsiaTheme="majorEastAsia" w:hAnsi="Arial" w:cs="Arial"/>
          <w:b w:val="0"/>
          <w:i/>
          <w:sz w:val="20"/>
          <w:szCs w:val="20"/>
        </w:rPr>
        <w:t xml:space="preserve">/Moraxella/A. </w:t>
      </w:r>
      <w:proofErr w:type="spellStart"/>
      <w:r w:rsidR="00E212DD" w:rsidRPr="007759E5">
        <w:rPr>
          <w:rStyle w:val="Strong"/>
          <w:rFonts w:ascii="Arial" w:eastAsiaTheme="majorEastAsia" w:hAnsi="Arial" w:cs="Arial"/>
          <w:b w:val="0"/>
          <w:i/>
          <w:sz w:val="20"/>
          <w:szCs w:val="20"/>
        </w:rPr>
        <w:t>lwoffii</w:t>
      </w:r>
      <w:proofErr w:type="spellEnd"/>
      <w:r w:rsidR="00E212DD" w:rsidRPr="007759E5">
        <w:rPr>
          <w:rStyle w:val="Strong"/>
          <w:rFonts w:ascii="Arial" w:eastAsiaTheme="majorEastAsia" w:hAnsi="Arial" w:cs="Arial"/>
          <w:b w:val="0"/>
          <w:sz w:val="20"/>
          <w:szCs w:val="20"/>
        </w:rPr>
        <w:t xml:space="preserve"> (n = 1)</w:t>
      </w:r>
      <w:r w:rsidR="00525AF5" w:rsidRPr="007759E5">
        <w:rPr>
          <w:rFonts w:ascii="Arial" w:hAnsi="Arial" w:cs="Arial"/>
          <w:sz w:val="20"/>
          <w:szCs w:val="20"/>
        </w:rPr>
        <w:t xml:space="preserve"> </w:t>
      </w:r>
      <w:r w:rsidR="00E212DD" w:rsidRPr="007759E5">
        <w:rPr>
          <w:rFonts w:ascii="Arial" w:hAnsi="Arial" w:cs="Arial"/>
          <w:sz w:val="20"/>
          <w:szCs w:val="20"/>
        </w:rPr>
        <w:t>were confirmed by VITEK 2  compact.</w:t>
      </w:r>
      <w:r w:rsidR="00F304A6" w:rsidRPr="007759E5">
        <w:rPr>
          <w:rFonts w:ascii="Arial" w:hAnsi="Arial" w:cs="Arial"/>
          <w:sz w:val="20"/>
          <w:szCs w:val="20"/>
        </w:rPr>
        <w:t xml:space="preserve"> The predominance of </w:t>
      </w:r>
      <w:r w:rsidR="00F304A6" w:rsidRPr="007759E5">
        <w:rPr>
          <w:rStyle w:val="Emphasis"/>
          <w:rFonts w:ascii="Arial" w:hAnsi="Arial" w:cs="Arial"/>
          <w:sz w:val="20"/>
          <w:szCs w:val="20"/>
        </w:rPr>
        <w:t>Pseudomonas</w:t>
      </w:r>
      <w:r w:rsidR="00F304A6" w:rsidRPr="007759E5">
        <w:rPr>
          <w:rFonts w:ascii="Arial" w:hAnsi="Arial" w:cs="Arial"/>
          <w:sz w:val="20"/>
          <w:szCs w:val="20"/>
        </w:rPr>
        <w:t xml:space="preserve"> in this study is in agreement with earlier findings, where Colombini et al. (2000) reported 23.2% prevalence in canine otitis, </w:t>
      </w:r>
      <w:proofErr w:type="spellStart"/>
      <w:r w:rsidR="00F304A6" w:rsidRPr="007759E5">
        <w:rPr>
          <w:rFonts w:ascii="Arial" w:hAnsi="Arial" w:cs="Arial"/>
          <w:sz w:val="20"/>
          <w:szCs w:val="20"/>
        </w:rPr>
        <w:t>Türkyilmaz</w:t>
      </w:r>
      <w:proofErr w:type="spellEnd"/>
      <w:r w:rsidR="00F304A6" w:rsidRPr="007759E5">
        <w:rPr>
          <w:rFonts w:ascii="Arial" w:hAnsi="Arial" w:cs="Arial"/>
          <w:sz w:val="20"/>
          <w:szCs w:val="20"/>
        </w:rPr>
        <w:t xml:space="preserve"> (2008) observed 17%, Hillier et al. (2007) recognized it as a </w:t>
      </w:r>
      <w:r w:rsidR="00F304A6" w:rsidRPr="007759E5">
        <w:rPr>
          <w:rFonts w:ascii="Arial" w:hAnsi="Arial" w:cs="Arial"/>
          <w:sz w:val="20"/>
          <w:szCs w:val="20"/>
        </w:rPr>
        <w:lastRenderedPageBreak/>
        <w:t>leading pathogen in canine skin infections, and Singh et al. (2017) and Rosales et al. (2024) documented 22.22% and 18.3%, respectively.</w:t>
      </w:r>
    </w:p>
    <w:p w14:paraId="269DD5A8" w14:textId="77777777" w:rsidR="00E52A58" w:rsidRPr="007759E5" w:rsidRDefault="00F304A6"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The relatively low prevalence of </w:t>
      </w:r>
      <w:r w:rsidRPr="007759E5">
        <w:rPr>
          <w:rStyle w:val="Emphasis"/>
          <w:rFonts w:ascii="Arial" w:hAnsi="Arial" w:cs="Arial"/>
          <w:sz w:val="20"/>
          <w:szCs w:val="20"/>
        </w:rPr>
        <w:t>Acinetobacter</w:t>
      </w:r>
      <w:r w:rsidRPr="007759E5">
        <w:rPr>
          <w:rFonts w:ascii="Arial" w:hAnsi="Arial" w:cs="Arial"/>
          <w:sz w:val="20"/>
          <w:szCs w:val="20"/>
        </w:rPr>
        <w:t xml:space="preserve"> spp. (2.71%) observed in the present study is comparable to earlier veterinary reports. Black et al. (2009) identified </w:t>
      </w:r>
      <w:r w:rsidRPr="007759E5">
        <w:rPr>
          <w:rStyle w:val="Emphasis"/>
          <w:rFonts w:ascii="Arial" w:hAnsi="Arial" w:cs="Arial"/>
          <w:sz w:val="20"/>
          <w:szCs w:val="20"/>
        </w:rPr>
        <w:t>A. baumannii</w:t>
      </w:r>
      <w:r w:rsidRPr="007759E5">
        <w:rPr>
          <w:rFonts w:ascii="Arial" w:hAnsi="Arial" w:cs="Arial"/>
          <w:sz w:val="20"/>
          <w:szCs w:val="20"/>
        </w:rPr>
        <w:t xml:space="preserve"> in approximately 7% of canine clinical samples, indicating a modest but notable occurrence. Mitchell et al. (2018) reported colonization in 25% (10/40) of clinically healthy dogs, with 13 isolates recovered from 160 skin swabs (8.1%).</w:t>
      </w:r>
    </w:p>
    <w:p w14:paraId="101A5A63" w14:textId="77777777" w:rsidR="00A63683" w:rsidRPr="000433BA" w:rsidRDefault="0029682F" w:rsidP="00DF105C">
      <w:pPr>
        <w:pStyle w:val="NormalWeb"/>
        <w:spacing w:line="480" w:lineRule="auto"/>
        <w:jc w:val="both"/>
        <w:rPr>
          <w:rFonts w:ascii="Arial" w:hAnsi="Arial" w:cs="Arial"/>
          <w:b/>
          <w:sz w:val="22"/>
          <w:szCs w:val="22"/>
        </w:rPr>
      </w:pPr>
      <w:r>
        <w:rPr>
          <w:rFonts w:ascii="Arial" w:hAnsi="Arial" w:cs="Arial"/>
          <w:b/>
          <w:sz w:val="22"/>
          <w:szCs w:val="22"/>
        </w:rPr>
        <w:t xml:space="preserve">3.2 </w:t>
      </w:r>
      <w:r w:rsidR="00A63683" w:rsidRPr="000433BA">
        <w:rPr>
          <w:rFonts w:ascii="Arial" w:hAnsi="Arial" w:cs="Arial"/>
          <w:b/>
          <w:sz w:val="22"/>
          <w:szCs w:val="22"/>
        </w:rPr>
        <w:t>BIOCHEMICAL AND VIRULENCE ACTIVITY:</w:t>
      </w:r>
    </w:p>
    <w:p w14:paraId="5E0A3EF6" w14:textId="77777777" w:rsidR="00A63683" w:rsidRPr="007759E5" w:rsidRDefault="00A63683"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All </w:t>
      </w:r>
      <w:r w:rsidRPr="007759E5">
        <w:rPr>
          <w:rStyle w:val="Emphasis"/>
          <w:rFonts w:ascii="Arial" w:hAnsi="Arial" w:cs="Arial"/>
          <w:sz w:val="20"/>
          <w:szCs w:val="20"/>
        </w:rPr>
        <w:t>Pseudomonas</w:t>
      </w:r>
      <w:r w:rsidRPr="007759E5">
        <w:rPr>
          <w:rFonts w:ascii="Arial" w:hAnsi="Arial" w:cs="Arial"/>
          <w:sz w:val="20"/>
          <w:szCs w:val="20"/>
        </w:rPr>
        <w:t xml:space="preserve"> isolates were oxidase positive, motile, strictly aerobic, and non-fermentative, with most producing pigment. Similar observations were reported by </w:t>
      </w:r>
      <w:proofErr w:type="spellStart"/>
      <w:r w:rsidRPr="007759E5">
        <w:rPr>
          <w:rFonts w:ascii="Arial" w:hAnsi="Arial" w:cs="Arial"/>
          <w:sz w:val="20"/>
          <w:szCs w:val="20"/>
        </w:rPr>
        <w:t>Anekar</w:t>
      </w:r>
      <w:proofErr w:type="spellEnd"/>
      <w:r w:rsidRPr="007759E5">
        <w:rPr>
          <w:rFonts w:ascii="Arial" w:hAnsi="Arial" w:cs="Arial"/>
          <w:sz w:val="20"/>
          <w:szCs w:val="20"/>
        </w:rPr>
        <w:t xml:space="preserve"> (2018) and Narayan (2023) in canine isolates, and by Malini et al. (2009) in human samples. Conversely, </w:t>
      </w:r>
      <w:r w:rsidRPr="007759E5">
        <w:rPr>
          <w:rStyle w:val="Emphasis"/>
          <w:rFonts w:ascii="Arial" w:hAnsi="Arial" w:cs="Arial"/>
          <w:sz w:val="20"/>
          <w:szCs w:val="20"/>
        </w:rPr>
        <w:t>Acinetobacter</w:t>
      </w:r>
      <w:r w:rsidRPr="007759E5">
        <w:rPr>
          <w:rFonts w:ascii="Arial" w:hAnsi="Arial" w:cs="Arial"/>
          <w:sz w:val="20"/>
          <w:szCs w:val="20"/>
        </w:rPr>
        <w:t xml:space="preserve"> isolates were oxidase negative, non-motile, and strictly aerobic, aligning with findings of Gupta et al. (2015), </w:t>
      </w:r>
      <w:proofErr w:type="spellStart"/>
      <w:r w:rsidRPr="007759E5">
        <w:rPr>
          <w:rFonts w:ascii="Arial" w:hAnsi="Arial" w:cs="Arial"/>
          <w:sz w:val="20"/>
          <w:szCs w:val="20"/>
        </w:rPr>
        <w:t>Nakbubpa</w:t>
      </w:r>
      <w:proofErr w:type="spellEnd"/>
      <w:r w:rsidRPr="007759E5">
        <w:rPr>
          <w:rFonts w:ascii="Arial" w:hAnsi="Arial" w:cs="Arial"/>
          <w:sz w:val="20"/>
          <w:szCs w:val="20"/>
        </w:rPr>
        <w:t xml:space="preserve"> et al. (2021), and Kolk et al. (2019). Comparable conventional biochemical identification of NFGNB has also been documented in both veterinary and human studies (Mathewson and Simpson, 1982; Mahajan et al., 2016).</w:t>
      </w:r>
    </w:p>
    <w:p w14:paraId="4A1E49A5" w14:textId="77777777" w:rsidR="00A63683" w:rsidRPr="007759E5" w:rsidRDefault="002D3217"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Phenotypic assessment showed that 93.6% (59/63) of </w:t>
      </w:r>
      <w:r w:rsidRPr="007759E5">
        <w:rPr>
          <w:rStyle w:val="Emphasis"/>
          <w:rFonts w:ascii="Arial" w:hAnsi="Arial" w:cs="Arial"/>
          <w:sz w:val="20"/>
          <w:szCs w:val="20"/>
        </w:rPr>
        <w:t>Pseudomonas</w:t>
      </w:r>
      <w:r w:rsidRPr="007759E5">
        <w:rPr>
          <w:rFonts w:ascii="Arial" w:hAnsi="Arial" w:cs="Arial"/>
          <w:sz w:val="20"/>
          <w:szCs w:val="20"/>
        </w:rPr>
        <w:t xml:space="preserve"> isolates exhibited hemolytic activity. All </w:t>
      </w:r>
      <w:r w:rsidRPr="007759E5">
        <w:rPr>
          <w:rStyle w:val="Emphasis"/>
          <w:rFonts w:ascii="Arial" w:hAnsi="Arial" w:cs="Arial"/>
          <w:sz w:val="20"/>
          <w:szCs w:val="20"/>
        </w:rPr>
        <w:t>Pseudomonas</w:t>
      </w:r>
      <w:r w:rsidRPr="007759E5">
        <w:rPr>
          <w:rFonts w:ascii="Arial" w:hAnsi="Arial" w:cs="Arial"/>
          <w:sz w:val="20"/>
          <w:szCs w:val="20"/>
        </w:rPr>
        <w:t xml:space="preserve"> isolates were motile, whereas </w:t>
      </w:r>
      <w:r w:rsidRPr="007759E5">
        <w:rPr>
          <w:rStyle w:val="Emphasis"/>
          <w:rFonts w:ascii="Arial" w:hAnsi="Arial" w:cs="Arial"/>
          <w:sz w:val="20"/>
          <w:szCs w:val="20"/>
        </w:rPr>
        <w:t>Acinetobacter</w:t>
      </w:r>
      <w:r w:rsidRPr="007759E5">
        <w:rPr>
          <w:rFonts w:ascii="Arial" w:hAnsi="Arial" w:cs="Arial"/>
          <w:sz w:val="20"/>
          <w:szCs w:val="20"/>
        </w:rPr>
        <w:t xml:space="preserve"> isolates were non-motile. Biofilm formation was observed in 63.5% of </w:t>
      </w:r>
      <w:r w:rsidRPr="007759E5">
        <w:rPr>
          <w:rStyle w:val="Emphasis"/>
          <w:rFonts w:ascii="Arial" w:hAnsi="Arial" w:cs="Arial"/>
          <w:sz w:val="20"/>
          <w:szCs w:val="20"/>
        </w:rPr>
        <w:t>Pseudomonas</w:t>
      </w:r>
      <w:r w:rsidRPr="007759E5">
        <w:rPr>
          <w:rFonts w:ascii="Arial" w:hAnsi="Arial" w:cs="Arial"/>
          <w:sz w:val="20"/>
          <w:szCs w:val="20"/>
        </w:rPr>
        <w:t xml:space="preserve"> and 33.3% of </w:t>
      </w:r>
      <w:r w:rsidRPr="007759E5">
        <w:rPr>
          <w:rStyle w:val="Emphasis"/>
          <w:rFonts w:ascii="Arial" w:hAnsi="Arial" w:cs="Arial"/>
          <w:sz w:val="20"/>
          <w:szCs w:val="20"/>
        </w:rPr>
        <w:t>Acinetobacter</w:t>
      </w:r>
      <w:r w:rsidRPr="007759E5">
        <w:rPr>
          <w:rFonts w:ascii="Arial" w:hAnsi="Arial" w:cs="Arial"/>
          <w:sz w:val="20"/>
          <w:szCs w:val="20"/>
        </w:rPr>
        <w:t xml:space="preserve"> isolates. </w:t>
      </w:r>
      <w:r w:rsidR="00A63683" w:rsidRPr="007759E5">
        <w:rPr>
          <w:rFonts w:ascii="Arial" w:hAnsi="Arial" w:cs="Arial"/>
          <w:sz w:val="20"/>
          <w:szCs w:val="20"/>
        </w:rPr>
        <w:t xml:space="preserve">Similar hemolytic patterns have been reported by Khalil et al. (2015) and Mohammed et al. (2024), while biofilm prevalence, although lower than that documented by </w:t>
      </w:r>
      <w:proofErr w:type="spellStart"/>
      <w:r w:rsidR="00A63683" w:rsidRPr="007759E5">
        <w:rPr>
          <w:rFonts w:ascii="Arial" w:hAnsi="Arial" w:cs="Arial"/>
          <w:sz w:val="20"/>
          <w:szCs w:val="20"/>
        </w:rPr>
        <w:t>Karatuna</w:t>
      </w:r>
      <w:proofErr w:type="spellEnd"/>
      <w:r w:rsidR="00A63683" w:rsidRPr="007759E5">
        <w:rPr>
          <w:rFonts w:ascii="Arial" w:hAnsi="Arial" w:cs="Arial"/>
          <w:sz w:val="20"/>
          <w:szCs w:val="20"/>
        </w:rPr>
        <w:t xml:space="preserve"> and </w:t>
      </w:r>
      <w:proofErr w:type="spellStart"/>
      <w:r w:rsidR="00A63683" w:rsidRPr="007759E5">
        <w:rPr>
          <w:rFonts w:ascii="Arial" w:hAnsi="Arial" w:cs="Arial"/>
          <w:sz w:val="20"/>
          <w:szCs w:val="20"/>
        </w:rPr>
        <w:t>Yagci</w:t>
      </w:r>
      <w:proofErr w:type="spellEnd"/>
      <w:r w:rsidR="00A63683" w:rsidRPr="007759E5">
        <w:rPr>
          <w:rFonts w:ascii="Arial" w:hAnsi="Arial" w:cs="Arial"/>
          <w:sz w:val="20"/>
          <w:szCs w:val="20"/>
        </w:rPr>
        <w:t xml:space="preserve"> (2010) and Inat et al. (2021), was comparable to Abdelraheem et al. (2020). In contrast, only 33.3% of </w:t>
      </w:r>
      <w:r w:rsidR="00A63683" w:rsidRPr="007759E5">
        <w:rPr>
          <w:rStyle w:val="Emphasis"/>
          <w:rFonts w:ascii="Arial" w:hAnsi="Arial" w:cs="Arial"/>
          <w:sz w:val="20"/>
          <w:szCs w:val="20"/>
        </w:rPr>
        <w:t>Acinetobacter</w:t>
      </w:r>
      <w:r w:rsidR="00A63683" w:rsidRPr="007759E5">
        <w:rPr>
          <w:rFonts w:ascii="Arial" w:hAnsi="Arial" w:cs="Arial"/>
          <w:sz w:val="20"/>
          <w:szCs w:val="20"/>
        </w:rPr>
        <w:t xml:space="preserve"> isolates formed biofilm, lower than the universal biofilm production described by </w:t>
      </w:r>
      <w:proofErr w:type="spellStart"/>
      <w:r w:rsidR="00A63683" w:rsidRPr="007759E5">
        <w:rPr>
          <w:rFonts w:ascii="Arial" w:hAnsi="Arial" w:cs="Arial"/>
          <w:sz w:val="20"/>
          <w:szCs w:val="20"/>
        </w:rPr>
        <w:t>Lysitsas</w:t>
      </w:r>
      <w:proofErr w:type="spellEnd"/>
      <w:r w:rsidR="00A63683" w:rsidRPr="007759E5">
        <w:rPr>
          <w:rFonts w:ascii="Arial" w:hAnsi="Arial" w:cs="Arial"/>
          <w:sz w:val="20"/>
          <w:szCs w:val="20"/>
        </w:rPr>
        <w:t xml:space="preserve"> et al. (2024), suggesting strain or geographic variation.</w:t>
      </w:r>
    </w:p>
    <w:p w14:paraId="06FC1676" w14:textId="77777777" w:rsidR="00A63683" w:rsidRPr="00DF105C" w:rsidRDefault="00A63683" w:rsidP="00DF105C">
      <w:pPr>
        <w:pStyle w:val="NormalWeb"/>
        <w:spacing w:line="480" w:lineRule="auto"/>
        <w:jc w:val="both"/>
        <w:rPr>
          <w:rFonts w:ascii="Arial" w:hAnsi="Arial" w:cs="Arial"/>
          <w:sz w:val="22"/>
          <w:szCs w:val="22"/>
        </w:rPr>
      </w:pPr>
    </w:p>
    <w:p w14:paraId="0FF66657" w14:textId="77777777" w:rsidR="00DF3052" w:rsidRPr="00DF105C" w:rsidRDefault="00DF3052" w:rsidP="00DF105C">
      <w:pPr>
        <w:pStyle w:val="NormalWeb"/>
        <w:spacing w:line="480" w:lineRule="auto"/>
        <w:jc w:val="center"/>
        <w:rPr>
          <w:rFonts w:ascii="Arial" w:hAnsi="Arial" w:cs="Arial"/>
          <w:sz w:val="22"/>
          <w:szCs w:val="22"/>
        </w:rPr>
      </w:pPr>
      <w:r w:rsidRPr="00DF105C">
        <w:rPr>
          <w:rFonts w:ascii="Arial" w:hAnsi="Arial" w:cs="Arial"/>
          <w:noProof/>
          <w:sz w:val="22"/>
          <w:szCs w:val="22"/>
        </w:rPr>
        <w:lastRenderedPageBreak/>
        <w:drawing>
          <wp:inline distT="0" distB="0" distL="0" distR="0" wp14:anchorId="6B7783A6" wp14:editId="6302624D">
            <wp:extent cx="4097020" cy="3248809"/>
            <wp:effectExtent l="19050" t="0" r="0" b="0"/>
            <wp:docPr id="2" name="Picture 1" descr="Screenshot (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3).png"/>
                    <pic:cNvPicPr/>
                  </pic:nvPicPr>
                  <pic:blipFill>
                    <a:blip r:embed="rId7"/>
                    <a:srcRect l="28110" t="19936" r="25533" b="14791"/>
                    <a:stretch>
                      <a:fillRect/>
                    </a:stretch>
                  </pic:blipFill>
                  <pic:spPr>
                    <a:xfrm>
                      <a:off x="0" y="0"/>
                      <a:ext cx="4097020" cy="3248809"/>
                    </a:xfrm>
                    <a:prstGeom prst="rect">
                      <a:avLst/>
                    </a:prstGeom>
                  </pic:spPr>
                </pic:pic>
              </a:graphicData>
            </a:graphic>
          </wp:inline>
        </w:drawing>
      </w:r>
    </w:p>
    <w:p w14:paraId="7AC0D74B" w14:textId="77777777" w:rsidR="00DF3052" w:rsidRPr="007759E5" w:rsidRDefault="001139BE" w:rsidP="00DF105C">
      <w:pPr>
        <w:spacing w:line="480" w:lineRule="auto"/>
        <w:ind w:left="810" w:hanging="810"/>
        <w:rPr>
          <w:rFonts w:ascii="Arial" w:hAnsi="Arial" w:cs="Arial"/>
          <w:sz w:val="20"/>
          <w:szCs w:val="20"/>
        </w:rPr>
      </w:pPr>
      <w:r w:rsidRPr="007759E5">
        <w:rPr>
          <w:rFonts w:ascii="Arial" w:hAnsi="Arial" w:cs="Arial"/>
          <w:b/>
          <w:bCs/>
          <w:sz w:val="20"/>
          <w:szCs w:val="20"/>
        </w:rPr>
        <w:t>Figure 1</w:t>
      </w:r>
      <w:r w:rsidR="00DF3052" w:rsidRPr="007759E5">
        <w:rPr>
          <w:rFonts w:ascii="Arial" w:hAnsi="Arial" w:cs="Arial"/>
          <w:b/>
          <w:bCs/>
          <w:sz w:val="20"/>
          <w:szCs w:val="20"/>
        </w:rPr>
        <w:t xml:space="preserve">: </w:t>
      </w:r>
      <w:r w:rsidR="00DF3052" w:rsidRPr="007759E5">
        <w:rPr>
          <w:rFonts w:ascii="Arial" w:hAnsi="Arial" w:cs="Arial"/>
          <w:bCs/>
          <w:sz w:val="20"/>
          <w:szCs w:val="20"/>
        </w:rPr>
        <w:t xml:space="preserve">Amplification of </w:t>
      </w:r>
      <w:r w:rsidR="00DF3052" w:rsidRPr="007759E5">
        <w:rPr>
          <w:rFonts w:ascii="Arial" w:hAnsi="Arial" w:cs="Arial"/>
          <w:bCs/>
          <w:i/>
          <w:iCs/>
          <w:sz w:val="20"/>
          <w:szCs w:val="20"/>
        </w:rPr>
        <w:t xml:space="preserve">16S rDNA </w:t>
      </w:r>
      <w:r w:rsidR="00DF3052" w:rsidRPr="007759E5">
        <w:rPr>
          <w:rFonts w:ascii="Arial" w:hAnsi="Arial" w:cs="Arial"/>
          <w:bCs/>
          <w:sz w:val="20"/>
          <w:szCs w:val="20"/>
          <w:lang w:val="en-IN"/>
        </w:rPr>
        <w:t>species specific gene</w:t>
      </w:r>
      <w:r w:rsidR="00DF3052" w:rsidRPr="007759E5">
        <w:rPr>
          <w:rFonts w:ascii="Arial" w:hAnsi="Arial" w:cs="Arial"/>
          <w:bCs/>
          <w:sz w:val="20"/>
          <w:szCs w:val="20"/>
        </w:rPr>
        <w:t xml:space="preserve">of </w:t>
      </w:r>
      <w:r w:rsidR="00DF3052" w:rsidRPr="007759E5">
        <w:rPr>
          <w:rFonts w:ascii="Arial" w:hAnsi="Arial" w:cs="Arial"/>
          <w:bCs/>
          <w:i/>
          <w:iCs/>
          <w:sz w:val="20"/>
          <w:szCs w:val="20"/>
        </w:rPr>
        <w:t>Pseudomonas aeruginosa</w:t>
      </w:r>
    </w:p>
    <w:p w14:paraId="53104138" w14:textId="77777777" w:rsidR="00DF3052" w:rsidRPr="007759E5" w:rsidRDefault="00DF3052" w:rsidP="00DF105C">
      <w:pPr>
        <w:spacing w:line="480" w:lineRule="auto"/>
        <w:rPr>
          <w:rFonts w:ascii="Arial" w:hAnsi="Arial" w:cs="Arial"/>
          <w:sz w:val="20"/>
          <w:szCs w:val="20"/>
        </w:rPr>
      </w:pPr>
      <w:r w:rsidRPr="007759E5">
        <w:rPr>
          <w:rFonts w:ascii="Arial" w:hAnsi="Arial" w:cs="Arial"/>
          <w:b/>
          <w:bCs/>
          <w:sz w:val="20"/>
          <w:szCs w:val="20"/>
        </w:rPr>
        <w:tab/>
      </w:r>
      <w:r w:rsidRPr="007759E5">
        <w:rPr>
          <w:rFonts w:ascii="Arial" w:hAnsi="Arial" w:cs="Arial"/>
          <w:bCs/>
          <w:sz w:val="20"/>
          <w:szCs w:val="20"/>
        </w:rPr>
        <w:t xml:space="preserve">Lane 1, 6: 956 bp amplicon in </w:t>
      </w:r>
      <w:r w:rsidRPr="007759E5">
        <w:rPr>
          <w:rFonts w:ascii="Arial" w:hAnsi="Arial" w:cs="Arial"/>
          <w:bCs/>
          <w:i/>
          <w:iCs/>
          <w:sz w:val="20"/>
          <w:szCs w:val="20"/>
        </w:rPr>
        <w:t>Pseudomonas aeruginosa</w:t>
      </w:r>
      <w:r w:rsidRPr="007759E5">
        <w:rPr>
          <w:rFonts w:ascii="Arial" w:hAnsi="Arial" w:cs="Arial"/>
          <w:bCs/>
          <w:iCs/>
          <w:sz w:val="20"/>
          <w:szCs w:val="20"/>
        </w:rPr>
        <w:t xml:space="preserve"> isolates</w:t>
      </w:r>
    </w:p>
    <w:p w14:paraId="31A2ED9E" w14:textId="77777777" w:rsidR="00DF3052" w:rsidRPr="007759E5" w:rsidRDefault="00DF3052" w:rsidP="00DF105C">
      <w:pPr>
        <w:spacing w:line="480" w:lineRule="auto"/>
        <w:ind w:firstLine="720"/>
        <w:rPr>
          <w:rFonts w:ascii="Arial" w:hAnsi="Arial" w:cs="Arial"/>
          <w:sz w:val="20"/>
          <w:szCs w:val="20"/>
        </w:rPr>
      </w:pPr>
      <w:r w:rsidRPr="007759E5">
        <w:rPr>
          <w:rFonts w:ascii="Arial" w:hAnsi="Arial" w:cs="Arial"/>
          <w:bCs/>
          <w:sz w:val="20"/>
          <w:szCs w:val="20"/>
        </w:rPr>
        <w:t xml:space="preserve">Lane 8   </w:t>
      </w:r>
      <w:proofErr w:type="gramStart"/>
      <w:r w:rsidRPr="007759E5">
        <w:rPr>
          <w:rFonts w:ascii="Arial" w:hAnsi="Arial" w:cs="Arial"/>
          <w:bCs/>
          <w:sz w:val="20"/>
          <w:szCs w:val="20"/>
        </w:rPr>
        <w:t xml:space="preserve">  :</w:t>
      </w:r>
      <w:proofErr w:type="gramEnd"/>
      <w:r w:rsidRPr="007759E5">
        <w:rPr>
          <w:rFonts w:ascii="Arial" w:hAnsi="Arial" w:cs="Arial"/>
          <w:bCs/>
          <w:sz w:val="20"/>
          <w:szCs w:val="20"/>
        </w:rPr>
        <w:t xml:space="preserve">  Positive control (</w:t>
      </w:r>
      <w:r w:rsidRPr="007759E5">
        <w:rPr>
          <w:rStyle w:val="Emphasis"/>
          <w:rFonts w:ascii="Arial" w:hAnsi="Arial" w:cs="Arial"/>
          <w:sz w:val="20"/>
          <w:szCs w:val="20"/>
        </w:rPr>
        <w:t>Pseudomonas aeruginosa</w:t>
      </w:r>
      <w:r w:rsidRPr="007759E5">
        <w:rPr>
          <w:rFonts w:ascii="Arial" w:hAnsi="Arial" w:cs="Arial"/>
          <w:sz w:val="20"/>
          <w:szCs w:val="20"/>
        </w:rPr>
        <w:t xml:space="preserve"> (AT 27853)</w:t>
      </w:r>
      <w:r w:rsidRPr="007759E5">
        <w:rPr>
          <w:rFonts w:ascii="Arial" w:hAnsi="Arial" w:cs="Arial"/>
          <w:bCs/>
          <w:sz w:val="20"/>
          <w:szCs w:val="20"/>
        </w:rPr>
        <w:t>)</w:t>
      </w:r>
    </w:p>
    <w:p w14:paraId="52828BEE" w14:textId="77777777" w:rsidR="00DF3052" w:rsidRPr="007759E5" w:rsidRDefault="00DF3052" w:rsidP="00DF105C">
      <w:pPr>
        <w:spacing w:line="480" w:lineRule="auto"/>
        <w:rPr>
          <w:rFonts w:ascii="Arial" w:hAnsi="Arial" w:cs="Arial"/>
          <w:sz w:val="20"/>
          <w:szCs w:val="20"/>
        </w:rPr>
      </w:pPr>
      <w:r w:rsidRPr="007759E5">
        <w:rPr>
          <w:rFonts w:ascii="Arial" w:hAnsi="Arial" w:cs="Arial"/>
          <w:bCs/>
          <w:sz w:val="20"/>
          <w:szCs w:val="20"/>
        </w:rPr>
        <w:tab/>
        <w:t xml:space="preserve">Lane 9   </w:t>
      </w:r>
      <w:proofErr w:type="gramStart"/>
      <w:r w:rsidRPr="007759E5">
        <w:rPr>
          <w:rFonts w:ascii="Arial" w:hAnsi="Arial" w:cs="Arial"/>
          <w:bCs/>
          <w:sz w:val="20"/>
          <w:szCs w:val="20"/>
        </w:rPr>
        <w:t xml:space="preserve">  :</w:t>
      </w:r>
      <w:proofErr w:type="gramEnd"/>
      <w:r w:rsidRPr="007759E5">
        <w:rPr>
          <w:rFonts w:ascii="Arial" w:hAnsi="Arial" w:cs="Arial"/>
          <w:bCs/>
          <w:sz w:val="20"/>
          <w:szCs w:val="20"/>
        </w:rPr>
        <w:t xml:space="preserve">  Negative control</w:t>
      </w:r>
    </w:p>
    <w:p w14:paraId="753F18E0" w14:textId="77777777" w:rsidR="00DF3052" w:rsidRPr="007759E5" w:rsidRDefault="00DF3052" w:rsidP="00DF105C">
      <w:pPr>
        <w:spacing w:line="480" w:lineRule="auto"/>
        <w:ind w:firstLine="720"/>
        <w:rPr>
          <w:rFonts w:ascii="Arial" w:hAnsi="Arial" w:cs="Arial"/>
          <w:sz w:val="20"/>
          <w:szCs w:val="20"/>
        </w:rPr>
      </w:pPr>
      <w:r w:rsidRPr="007759E5">
        <w:rPr>
          <w:rFonts w:ascii="Arial" w:hAnsi="Arial" w:cs="Arial"/>
          <w:bCs/>
          <w:sz w:val="20"/>
          <w:szCs w:val="20"/>
        </w:rPr>
        <w:t xml:space="preserve">Lane 10:   Gene ruler 100bp ladder </w:t>
      </w:r>
      <w:r w:rsidRPr="007759E5">
        <w:rPr>
          <w:rFonts w:ascii="Arial" w:hAnsi="Arial" w:cs="Arial"/>
          <w:sz w:val="20"/>
          <w:szCs w:val="20"/>
        </w:rPr>
        <w:t>(Thermo Scientific)</w:t>
      </w:r>
    </w:p>
    <w:p w14:paraId="10AA4D67" w14:textId="77777777" w:rsidR="00DF3052" w:rsidRPr="00DF105C" w:rsidRDefault="00DF3052" w:rsidP="00DF105C">
      <w:pPr>
        <w:pStyle w:val="NormalWeb"/>
        <w:spacing w:line="480" w:lineRule="auto"/>
        <w:jc w:val="both"/>
        <w:rPr>
          <w:rFonts w:ascii="Arial" w:hAnsi="Arial" w:cs="Arial"/>
          <w:sz w:val="22"/>
          <w:szCs w:val="22"/>
        </w:rPr>
      </w:pPr>
    </w:p>
    <w:p w14:paraId="70681DFD" w14:textId="77777777" w:rsidR="00E52A58" w:rsidRPr="00DF105C" w:rsidRDefault="0029682F" w:rsidP="00DF105C">
      <w:pPr>
        <w:pStyle w:val="Heading3"/>
        <w:spacing w:line="480" w:lineRule="auto"/>
        <w:jc w:val="both"/>
        <w:rPr>
          <w:rFonts w:ascii="Arial" w:hAnsi="Arial" w:cs="Arial"/>
          <w:color w:val="auto"/>
        </w:rPr>
      </w:pPr>
      <w:r>
        <w:rPr>
          <w:rFonts w:ascii="Arial" w:hAnsi="Arial" w:cs="Arial"/>
          <w:color w:val="auto"/>
        </w:rPr>
        <w:t xml:space="preserve">3.3 </w:t>
      </w:r>
      <w:r w:rsidR="00E52A58" w:rsidRPr="00DF105C">
        <w:rPr>
          <w:rFonts w:ascii="Arial" w:hAnsi="Arial" w:cs="Arial"/>
          <w:color w:val="auto"/>
        </w:rPr>
        <w:t>Antimicrobial Resistance Profiles</w:t>
      </w:r>
    </w:p>
    <w:p w14:paraId="65536E3D" w14:textId="77777777" w:rsidR="00E52A58" w:rsidRPr="007759E5" w:rsidRDefault="00E52A58"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Antimicrobial susceptibility testing of </w:t>
      </w:r>
      <w:r w:rsidRPr="007759E5">
        <w:rPr>
          <w:rStyle w:val="Emphasis"/>
          <w:rFonts w:ascii="Arial" w:hAnsi="Arial" w:cs="Arial"/>
          <w:sz w:val="20"/>
          <w:szCs w:val="20"/>
        </w:rPr>
        <w:t>Pseudomonas</w:t>
      </w:r>
      <w:r w:rsidRPr="007759E5">
        <w:rPr>
          <w:rFonts w:ascii="Arial" w:hAnsi="Arial" w:cs="Arial"/>
          <w:sz w:val="20"/>
          <w:szCs w:val="20"/>
        </w:rPr>
        <w:t xml:space="preserve"> spp. revealed high resistance to cephalosporins (52–60%), doxycycline (47.6%), amikacin (47.6%), oxacillin (42.8%), erythromycin (42.8%), and chloramphenicol (42.8%). Carbapenem resistance was observed for imipenem (34.9%) and meropenem (19.0%). Fluoroquinolones demonstrated comparatively better efficacy, particularly levofloxacin (71.4% susceptible). Piperacillin–tazobactam (60.3% susceptible) and colistin (66.7% susceptible) retained </w:t>
      </w:r>
      <w:r w:rsidRPr="007759E5">
        <w:rPr>
          <w:rFonts w:ascii="Arial" w:hAnsi="Arial" w:cs="Arial"/>
          <w:sz w:val="20"/>
          <w:szCs w:val="20"/>
        </w:rPr>
        <w:lastRenderedPageBreak/>
        <w:t>moderate activity</w:t>
      </w:r>
      <w:r w:rsidR="001139BE" w:rsidRPr="007759E5">
        <w:rPr>
          <w:rFonts w:ascii="Arial" w:hAnsi="Arial" w:cs="Arial"/>
          <w:sz w:val="20"/>
          <w:szCs w:val="20"/>
        </w:rPr>
        <w:t xml:space="preserve"> (Fig. 2</w:t>
      </w:r>
      <w:proofErr w:type="gramStart"/>
      <w:r w:rsidR="0009516F" w:rsidRPr="007759E5">
        <w:rPr>
          <w:rFonts w:ascii="Arial" w:hAnsi="Arial" w:cs="Arial"/>
          <w:sz w:val="20"/>
          <w:szCs w:val="20"/>
        </w:rPr>
        <w:t>)</w:t>
      </w:r>
      <w:r w:rsidRPr="007759E5">
        <w:rPr>
          <w:rFonts w:ascii="Arial" w:hAnsi="Arial" w:cs="Arial"/>
          <w:sz w:val="20"/>
          <w:szCs w:val="20"/>
        </w:rPr>
        <w:t>.</w:t>
      </w:r>
      <w:r w:rsidR="00A63683" w:rsidRPr="007759E5">
        <w:rPr>
          <w:rFonts w:ascii="Arial" w:hAnsi="Arial" w:cs="Arial"/>
          <w:sz w:val="20"/>
          <w:szCs w:val="20"/>
        </w:rPr>
        <w:t xml:space="preserve">  .</w:t>
      </w:r>
      <w:proofErr w:type="gramEnd"/>
      <w:r w:rsidR="00A63683" w:rsidRPr="007759E5">
        <w:rPr>
          <w:rFonts w:ascii="Arial" w:hAnsi="Arial" w:cs="Arial"/>
          <w:sz w:val="20"/>
          <w:szCs w:val="20"/>
        </w:rPr>
        <w:t xml:space="preserve"> Resistance to fluoroquinolones and aminoglycosides exceeded levels reported by Yukawa et al. (2017), indicating declining efficacy in canine practice.</w:t>
      </w:r>
    </w:p>
    <w:p w14:paraId="4CB919C3" w14:textId="77777777" w:rsidR="005F1628" w:rsidRPr="007759E5" w:rsidRDefault="00E52A58" w:rsidP="00DF105C">
      <w:pPr>
        <w:pStyle w:val="NormalWeb"/>
        <w:spacing w:line="480" w:lineRule="auto"/>
        <w:jc w:val="both"/>
        <w:rPr>
          <w:rFonts w:ascii="Arial" w:hAnsi="Arial" w:cs="Arial"/>
          <w:sz w:val="20"/>
          <w:szCs w:val="20"/>
        </w:rPr>
      </w:pPr>
      <w:r w:rsidRPr="007759E5">
        <w:rPr>
          <w:rFonts w:ascii="Arial" w:hAnsi="Arial" w:cs="Arial"/>
          <w:sz w:val="20"/>
          <w:szCs w:val="20"/>
        </w:rPr>
        <w:t xml:space="preserve">Similarly, </w:t>
      </w:r>
      <w:r w:rsidRPr="007759E5">
        <w:rPr>
          <w:rStyle w:val="Emphasis"/>
          <w:rFonts w:ascii="Arial" w:hAnsi="Arial" w:cs="Arial"/>
          <w:sz w:val="20"/>
          <w:szCs w:val="20"/>
        </w:rPr>
        <w:t>Acinetobacter</w:t>
      </w:r>
      <w:r w:rsidRPr="007759E5">
        <w:rPr>
          <w:rFonts w:ascii="Arial" w:hAnsi="Arial" w:cs="Arial"/>
          <w:sz w:val="20"/>
          <w:szCs w:val="20"/>
        </w:rPr>
        <w:t xml:space="preserve"> spp. showed marked resistance to oxacillin (88.9%), co-trimoxazole (77.8%), cefotaxime and ceftazidime (66.7%), and doxycycline (66.7%). Carbapenem resistance was detected in 44.4% of isolates for imipenem and 33.3% for meropenem. Colistin (77.8% susceptible) and enrofloxacin (77.8% susceptible) exhibited comparatively better effectiveness</w:t>
      </w:r>
      <w:r w:rsidR="001139BE" w:rsidRPr="007759E5">
        <w:rPr>
          <w:rFonts w:ascii="Arial" w:hAnsi="Arial" w:cs="Arial"/>
          <w:sz w:val="20"/>
          <w:szCs w:val="20"/>
        </w:rPr>
        <w:t xml:space="preserve"> (Fig. 3</w:t>
      </w:r>
      <w:r w:rsidR="0009516F" w:rsidRPr="007759E5">
        <w:rPr>
          <w:rFonts w:ascii="Arial" w:hAnsi="Arial" w:cs="Arial"/>
          <w:sz w:val="20"/>
          <w:szCs w:val="20"/>
        </w:rPr>
        <w:t>)</w:t>
      </w:r>
      <w:r w:rsidRPr="007759E5">
        <w:rPr>
          <w:rFonts w:ascii="Arial" w:hAnsi="Arial" w:cs="Arial"/>
          <w:sz w:val="20"/>
          <w:szCs w:val="20"/>
        </w:rPr>
        <w:t>. Overall, a substantial proportion of NFGNB isolates exhibited multidrug-resistant (MDR) phenotypes, particularly against β-lactams, cephalosporins, macrolides, and sulfonamides.</w:t>
      </w:r>
      <w:r w:rsidR="00A63683" w:rsidRPr="007759E5">
        <w:rPr>
          <w:rFonts w:ascii="Arial" w:hAnsi="Arial" w:cs="Arial"/>
          <w:sz w:val="20"/>
          <w:szCs w:val="20"/>
        </w:rPr>
        <w:t xml:space="preserve">  Parallel findings were reported by </w:t>
      </w:r>
      <w:proofErr w:type="spellStart"/>
      <w:r w:rsidR="00A63683" w:rsidRPr="007759E5">
        <w:rPr>
          <w:rFonts w:ascii="Arial" w:hAnsi="Arial" w:cs="Arial"/>
          <w:sz w:val="20"/>
          <w:szCs w:val="20"/>
        </w:rPr>
        <w:t>Kuzi</w:t>
      </w:r>
      <w:proofErr w:type="spellEnd"/>
      <w:r w:rsidR="00A63683" w:rsidRPr="007759E5">
        <w:rPr>
          <w:rFonts w:ascii="Arial" w:hAnsi="Arial" w:cs="Arial"/>
          <w:sz w:val="20"/>
          <w:szCs w:val="20"/>
        </w:rPr>
        <w:t xml:space="preserve"> et al. (2016) and Gupta et al. (2015), while carbapenem resistance, though lower than ICU reports (Kipsang et al., 2023), remains concerning.</w:t>
      </w:r>
    </w:p>
    <w:p w14:paraId="741E347D" w14:textId="77777777" w:rsidR="005F1628" w:rsidRPr="007759E5" w:rsidRDefault="005F1628" w:rsidP="00DF105C">
      <w:pPr>
        <w:pStyle w:val="NormalWeb"/>
        <w:spacing w:line="480" w:lineRule="auto"/>
        <w:jc w:val="both"/>
        <w:rPr>
          <w:rFonts w:ascii="Arial" w:hAnsi="Arial" w:cs="Arial"/>
          <w:sz w:val="20"/>
          <w:szCs w:val="20"/>
        </w:rPr>
      </w:pPr>
    </w:p>
    <w:p w14:paraId="45D099C5" w14:textId="77777777" w:rsidR="005F1628" w:rsidRPr="007759E5" w:rsidRDefault="005F1628" w:rsidP="00DF105C">
      <w:pPr>
        <w:pStyle w:val="NormalWeb"/>
        <w:spacing w:line="480" w:lineRule="auto"/>
        <w:jc w:val="both"/>
        <w:rPr>
          <w:rFonts w:ascii="Arial" w:hAnsi="Arial" w:cs="Arial"/>
          <w:sz w:val="20"/>
          <w:szCs w:val="20"/>
        </w:rPr>
      </w:pPr>
    </w:p>
    <w:p w14:paraId="6EA7E5DE" w14:textId="77777777" w:rsidR="0021041E" w:rsidRPr="007759E5" w:rsidRDefault="005F1628" w:rsidP="00DF105C">
      <w:pPr>
        <w:spacing w:before="60" w:after="60" w:line="480" w:lineRule="auto"/>
        <w:rPr>
          <w:rFonts w:ascii="Arial" w:hAnsi="Arial" w:cs="Arial"/>
          <w:b/>
          <w:bCs/>
          <w:sz w:val="20"/>
          <w:szCs w:val="20"/>
        </w:rPr>
      </w:pPr>
      <w:r w:rsidRPr="007759E5">
        <w:rPr>
          <w:rFonts w:ascii="Arial" w:hAnsi="Arial" w:cs="Arial"/>
          <w:b/>
          <w:bCs/>
          <w:noProof/>
          <w:sz w:val="20"/>
          <w:szCs w:val="20"/>
        </w:rPr>
        <w:drawing>
          <wp:anchor distT="0" distB="0" distL="114300" distR="114300" simplePos="0" relativeHeight="251659264" behindDoc="1" locked="0" layoutInCell="1" allowOverlap="1" wp14:anchorId="6D820C7F" wp14:editId="31264CE3">
            <wp:simplePos x="0" y="0"/>
            <wp:positionH relativeFrom="column">
              <wp:posOffset>83596</wp:posOffset>
            </wp:positionH>
            <wp:positionV relativeFrom="paragraph">
              <wp:posOffset>-782021</wp:posOffset>
            </wp:positionV>
            <wp:extent cx="5725533" cy="3205779"/>
            <wp:effectExtent l="19050" t="0" r="8517" b="0"/>
            <wp:wrapNone/>
            <wp:docPr id="1" name="Picture 7"/>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8">
                      <a:extLst>
                        <a:ext uri="{28A0092B-C50C-407E-A947-70E740481C1C}">
                          <a14:useLocalDpi xmlns:a14="http://schemas.microsoft.com/office/drawing/2010/main" val="0"/>
                        </a:ext>
                      </a:extLst>
                    </a:blip>
                    <a:srcRect t="10326"/>
                    <a:stretch>
                      <a:fillRect/>
                    </a:stretch>
                  </pic:blipFill>
                  <pic:spPr bwMode="auto">
                    <a:xfrm>
                      <a:off x="0" y="0"/>
                      <a:ext cx="5725533" cy="3205779"/>
                    </a:xfrm>
                    <a:prstGeom prst="rect">
                      <a:avLst/>
                    </a:prstGeom>
                    <a:noFill/>
                    <a:ln w="9525">
                      <a:noFill/>
                      <a:miter lim="800000"/>
                      <a:headEnd/>
                      <a:tailEnd/>
                    </a:ln>
                  </pic:spPr>
                </pic:pic>
              </a:graphicData>
            </a:graphic>
          </wp:anchor>
        </w:drawing>
      </w:r>
    </w:p>
    <w:p w14:paraId="3A2A648B" w14:textId="77777777" w:rsidR="005F1628" w:rsidRPr="007759E5" w:rsidRDefault="005F1628" w:rsidP="00DF105C">
      <w:pPr>
        <w:spacing w:line="480" w:lineRule="auto"/>
        <w:jc w:val="both"/>
        <w:rPr>
          <w:rFonts w:ascii="Arial" w:hAnsi="Arial" w:cs="Arial"/>
          <w:bCs/>
          <w:sz w:val="20"/>
          <w:szCs w:val="20"/>
        </w:rPr>
      </w:pPr>
    </w:p>
    <w:p w14:paraId="075FFBBF" w14:textId="77777777" w:rsidR="005F1628" w:rsidRPr="00DF105C" w:rsidRDefault="005F1628" w:rsidP="00DF105C">
      <w:pPr>
        <w:spacing w:line="480" w:lineRule="auto"/>
        <w:jc w:val="both"/>
        <w:rPr>
          <w:rFonts w:ascii="Arial" w:hAnsi="Arial" w:cs="Arial"/>
          <w:bCs/>
        </w:rPr>
      </w:pPr>
    </w:p>
    <w:p w14:paraId="08497A4C" w14:textId="77777777" w:rsidR="005F1628" w:rsidRPr="00DF105C" w:rsidRDefault="005F1628" w:rsidP="00DF105C">
      <w:pPr>
        <w:spacing w:line="480" w:lineRule="auto"/>
        <w:jc w:val="both"/>
        <w:rPr>
          <w:rFonts w:ascii="Arial" w:hAnsi="Arial" w:cs="Arial"/>
          <w:bCs/>
        </w:rPr>
      </w:pPr>
    </w:p>
    <w:p w14:paraId="05E57A06" w14:textId="77777777" w:rsidR="005F1628" w:rsidRPr="00DF105C" w:rsidRDefault="005F1628" w:rsidP="00DF105C">
      <w:pPr>
        <w:spacing w:line="480" w:lineRule="auto"/>
        <w:jc w:val="both"/>
        <w:rPr>
          <w:rFonts w:ascii="Arial" w:hAnsi="Arial" w:cs="Arial"/>
          <w:bCs/>
        </w:rPr>
      </w:pPr>
    </w:p>
    <w:p w14:paraId="4F86E570" w14:textId="77777777" w:rsidR="00B7685F" w:rsidRDefault="00B7685F" w:rsidP="00DF105C">
      <w:pPr>
        <w:spacing w:line="480" w:lineRule="auto"/>
        <w:jc w:val="both"/>
        <w:rPr>
          <w:rFonts w:ascii="Arial" w:hAnsi="Arial" w:cs="Arial"/>
          <w:bCs/>
          <w:sz w:val="20"/>
          <w:szCs w:val="20"/>
        </w:rPr>
      </w:pPr>
    </w:p>
    <w:p w14:paraId="051CC871" w14:textId="77777777" w:rsidR="005F1628" w:rsidRPr="007759E5" w:rsidRDefault="000B5967" w:rsidP="00DF105C">
      <w:pPr>
        <w:spacing w:line="480" w:lineRule="auto"/>
        <w:jc w:val="both"/>
        <w:rPr>
          <w:rFonts w:ascii="Arial" w:hAnsi="Arial" w:cs="Arial"/>
          <w:bCs/>
          <w:sz w:val="20"/>
          <w:szCs w:val="20"/>
        </w:rPr>
      </w:pPr>
      <w:r w:rsidRPr="007759E5">
        <w:rPr>
          <w:rFonts w:ascii="Arial" w:hAnsi="Arial" w:cs="Arial"/>
          <w:bCs/>
          <w:sz w:val="20"/>
          <w:szCs w:val="20"/>
        </w:rPr>
        <w:t>Figure 2</w:t>
      </w:r>
      <w:r w:rsidR="005F1628" w:rsidRPr="007759E5">
        <w:rPr>
          <w:rFonts w:ascii="Arial" w:hAnsi="Arial" w:cs="Arial"/>
          <w:bCs/>
          <w:sz w:val="20"/>
          <w:szCs w:val="20"/>
        </w:rPr>
        <w:t>:</w:t>
      </w:r>
      <w:r w:rsidRPr="007759E5">
        <w:rPr>
          <w:rFonts w:ascii="Arial" w:hAnsi="Arial" w:cs="Arial"/>
          <w:bCs/>
          <w:sz w:val="20"/>
          <w:szCs w:val="20"/>
        </w:rPr>
        <w:t xml:space="preserve"> </w:t>
      </w:r>
      <w:r w:rsidR="005F1628" w:rsidRPr="007759E5">
        <w:rPr>
          <w:rFonts w:ascii="Arial" w:hAnsi="Arial" w:cs="Arial"/>
          <w:bCs/>
          <w:sz w:val="20"/>
          <w:szCs w:val="20"/>
        </w:rPr>
        <w:t xml:space="preserve">Graphical representation of antimicrobial susceptibility profile of </w:t>
      </w:r>
      <w:r w:rsidR="005F1628" w:rsidRPr="007759E5">
        <w:rPr>
          <w:rFonts w:ascii="Arial" w:hAnsi="Arial" w:cs="Arial"/>
          <w:bCs/>
          <w:i/>
          <w:iCs/>
          <w:sz w:val="20"/>
          <w:szCs w:val="20"/>
        </w:rPr>
        <w:t>Pseudomonas</w:t>
      </w:r>
      <w:r w:rsidR="005F1628" w:rsidRPr="007759E5">
        <w:rPr>
          <w:rFonts w:ascii="Arial" w:hAnsi="Arial" w:cs="Arial"/>
          <w:bCs/>
          <w:sz w:val="20"/>
          <w:szCs w:val="20"/>
        </w:rPr>
        <w:t xml:space="preserve"> spp. isolates</w:t>
      </w:r>
      <w:r w:rsidR="003B0C5A" w:rsidRPr="007759E5">
        <w:rPr>
          <w:rFonts w:ascii="Arial" w:hAnsi="Arial" w:cs="Arial"/>
          <w:bCs/>
          <w:sz w:val="20"/>
          <w:szCs w:val="20"/>
        </w:rPr>
        <w:t>.</w:t>
      </w:r>
    </w:p>
    <w:p w14:paraId="3C4246DB" w14:textId="77777777" w:rsidR="008B72C2" w:rsidRPr="007759E5" w:rsidRDefault="008B72C2" w:rsidP="00DF105C">
      <w:pPr>
        <w:spacing w:line="480" w:lineRule="auto"/>
        <w:jc w:val="both"/>
        <w:rPr>
          <w:rFonts w:ascii="Arial" w:hAnsi="Arial" w:cs="Arial"/>
          <w:bCs/>
          <w:sz w:val="20"/>
          <w:szCs w:val="20"/>
        </w:rPr>
      </w:pPr>
      <w:r w:rsidRPr="007759E5">
        <w:rPr>
          <w:rFonts w:ascii="Arial" w:hAnsi="Arial" w:cs="Arial"/>
          <w:sz w:val="20"/>
          <w:szCs w:val="20"/>
        </w:rPr>
        <w:t xml:space="preserve">Imipenem (IPM), Meropenem (MRP), Chloramphenicol (CL), Enrofloxacin (EX), Amikacin (AK), Ertapenem (ETP), Gentamicin (GEN), Co-trimoxazole (COT), Ciprofloxacin (CIP), Ofloxacin (OF), Piperacillin–Tazobactam (PIT), Cephalosporin (CPM), Cefotaxime (CTX), Ceftazidime (CAZ), </w:t>
      </w:r>
      <w:r w:rsidRPr="007759E5">
        <w:rPr>
          <w:rFonts w:ascii="Arial" w:hAnsi="Arial" w:cs="Arial"/>
          <w:sz w:val="20"/>
          <w:szCs w:val="20"/>
        </w:rPr>
        <w:lastRenderedPageBreak/>
        <w:t>Erythromycin (E), Oxacillin (OX), Levofloxacin (LE), Doxycycline (DO), Ceftazidime/Clavulanic acid (CAC), Amoxicillin–Clavulanic acid (AMC), and Cephalothin (CEP).</w:t>
      </w:r>
    </w:p>
    <w:p w14:paraId="55A5150D" w14:textId="77777777" w:rsidR="00395F53" w:rsidRPr="007759E5" w:rsidRDefault="005F1628" w:rsidP="00DF105C">
      <w:pPr>
        <w:pStyle w:val="NormalWeb"/>
        <w:spacing w:line="480" w:lineRule="auto"/>
        <w:jc w:val="both"/>
        <w:rPr>
          <w:rFonts w:ascii="Arial" w:hAnsi="Arial" w:cs="Arial"/>
          <w:sz w:val="20"/>
          <w:szCs w:val="20"/>
        </w:rPr>
      </w:pPr>
      <w:r w:rsidRPr="007759E5">
        <w:rPr>
          <w:rFonts w:ascii="Arial" w:hAnsi="Arial" w:cs="Arial"/>
          <w:noProof/>
          <w:sz w:val="20"/>
          <w:szCs w:val="20"/>
        </w:rPr>
        <w:drawing>
          <wp:inline distT="0" distB="0" distL="0" distR="0" wp14:anchorId="256077E8" wp14:editId="00E4D826">
            <wp:extent cx="5811520" cy="3464560"/>
            <wp:effectExtent l="0" t="0" r="0" b="2540"/>
            <wp:docPr id="3" name="Picture 6"/>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9"/>
                    <a:srcRect t="8095"/>
                    <a:stretch>
                      <a:fillRect/>
                    </a:stretch>
                  </pic:blipFill>
                  <pic:spPr bwMode="auto">
                    <a:xfrm>
                      <a:off x="0" y="0"/>
                      <a:ext cx="5814741" cy="3466480"/>
                    </a:xfrm>
                    <a:prstGeom prst="rect">
                      <a:avLst/>
                    </a:prstGeom>
                    <a:noFill/>
                    <a:ln w="9525">
                      <a:noFill/>
                      <a:miter lim="800000"/>
                      <a:headEnd/>
                      <a:tailEnd/>
                    </a:ln>
                  </pic:spPr>
                </pic:pic>
              </a:graphicData>
            </a:graphic>
          </wp:inline>
        </w:drawing>
      </w:r>
    </w:p>
    <w:p w14:paraId="3925773A" w14:textId="77777777" w:rsidR="005F1628" w:rsidRPr="007759E5" w:rsidRDefault="005F1628" w:rsidP="00DF105C">
      <w:pPr>
        <w:pStyle w:val="NormalWeb"/>
        <w:spacing w:line="480" w:lineRule="auto"/>
        <w:jc w:val="both"/>
        <w:rPr>
          <w:rFonts w:ascii="Arial" w:hAnsi="Arial" w:cs="Arial"/>
          <w:sz w:val="20"/>
          <w:szCs w:val="20"/>
        </w:rPr>
      </w:pPr>
    </w:p>
    <w:p w14:paraId="6D5BCE4D" w14:textId="77777777" w:rsidR="005F1628" w:rsidRPr="007759E5" w:rsidRDefault="005F1628" w:rsidP="00DF105C">
      <w:pPr>
        <w:pStyle w:val="NormalWeb"/>
        <w:spacing w:line="480" w:lineRule="auto"/>
        <w:jc w:val="both"/>
        <w:rPr>
          <w:rFonts w:ascii="Arial" w:hAnsi="Arial" w:cs="Arial"/>
          <w:bCs/>
          <w:sz w:val="20"/>
          <w:szCs w:val="20"/>
        </w:rPr>
      </w:pPr>
      <w:r w:rsidRPr="007759E5">
        <w:rPr>
          <w:rFonts w:ascii="Arial" w:hAnsi="Arial" w:cs="Arial"/>
          <w:bCs/>
          <w:sz w:val="20"/>
          <w:szCs w:val="20"/>
        </w:rPr>
        <w:t xml:space="preserve">Figure </w:t>
      </w:r>
      <w:r w:rsidR="000B5967" w:rsidRPr="007759E5">
        <w:rPr>
          <w:rFonts w:ascii="Arial" w:hAnsi="Arial" w:cs="Arial"/>
          <w:bCs/>
          <w:sz w:val="20"/>
          <w:szCs w:val="20"/>
        </w:rPr>
        <w:t>3</w:t>
      </w:r>
      <w:r w:rsidRPr="007759E5">
        <w:rPr>
          <w:rFonts w:ascii="Arial" w:hAnsi="Arial" w:cs="Arial"/>
          <w:bCs/>
          <w:sz w:val="20"/>
          <w:szCs w:val="20"/>
        </w:rPr>
        <w:t xml:space="preserve">: Graphical representation of antimicrobial susceptibility profile of </w:t>
      </w:r>
      <w:r w:rsidRPr="007759E5">
        <w:rPr>
          <w:rFonts w:ascii="Arial" w:hAnsi="Arial" w:cs="Arial"/>
          <w:bCs/>
          <w:i/>
          <w:iCs/>
          <w:sz w:val="20"/>
          <w:szCs w:val="20"/>
        </w:rPr>
        <w:t>Acinetobacter</w:t>
      </w:r>
      <w:r w:rsidRPr="007759E5">
        <w:rPr>
          <w:rFonts w:ascii="Arial" w:hAnsi="Arial" w:cs="Arial"/>
          <w:bCs/>
          <w:sz w:val="20"/>
          <w:szCs w:val="20"/>
        </w:rPr>
        <w:t xml:space="preserve"> spp. isolates</w:t>
      </w:r>
      <w:r w:rsidR="003B0C5A" w:rsidRPr="007759E5">
        <w:rPr>
          <w:rFonts w:ascii="Arial" w:hAnsi="Arial" w:cs="Arial"/>
          <w:bCs/>
          <w:sz w:val="20"/>
          <w:szCs w:val="20"/>
        </w:rPr>
        <w:t>.</w:t>
      </w:r>
    </w:p>
    <w:p w14:paraId="76063ED4" w14:textId="77777777" w:rsidR="00395F53" w:rsidRPr="007759E5" w:rsidRDefault="00DF105C" w:rsidP="000433BA">
      <w:pPr>
        <w:pStyle w:val="NormalWeb"/>
        <w:spacing w:line="480" w:lineRule="auto"/>
        <w:jc w:val="both"/>
        <w:rPr>
          <w:rFonts w:ascii="Arial" w:hAnsi="Arial" w:cs="Arial"/>
          <w:sz w:val="20"/>
          <w:szCs w:val="20"/>
        </w:rPr>
      </w:pPr>
      <w:r w:rsidRPr="007759E5">
        <w:rPr>
          <w:rFonts w:ascii="Arial" w:hAnsi="Arial" w:cs="Arial"/>
          <w:sz w:val="20"/>
          <w:szCs w:val="20"/>
        </w:rPr>
        <w:t>Imipenem (IPM), Meropenem (MRP), Chloramphenicol (CL), Enrofloxacin (EX), Amikacin (AK), Ertapenem (ETP), Gentamicin (GEN), Co-trimoxazole (COT), Ciprofloxacin (CIP), Ofloxacin (OF), Piperacillin–Tazobactam (PIT), Cephalosporin (CPM), Cefotaxime (CTX), Ceftazidime (CAZ), Erythromycin (E), Oxacillin (OX), Levofloxacin (LE), Doxycycline (DO), Ceftazidime/Clavulanic acid (CAC), Amo</w:t>
      </w:r>
      <w:r w:rsidR="000433BA" w:rsidRPr="007759E5">
        <w:rPr>
          <w:rFonts w:ascii="Arial" w:hAnsi="Arial" w:cs="Arial"/>
          <w:sz w:val="20"/>
          <w:szCs w:val="20"/>
        </w:rPr>
        <w:t xml:space="preserve">xicillin–Clavulanic acid (AMC) </w:t>
      </w:r>
      <w:r w:rsidRPr="007759E5">
        <w:rPr>
          <w:rFonts w:ascii="Arial" w:hAnsi="Arial" w:cs="Arial"/>
          <w:sz w:val="20"/>
          <w:szCs w:val="20"/>
        </w:rPr>
        <w:t>and Cephalothin (CEP).</w:t>
      </w:r>
    </w:p>
    <w:p w14:paraId="68A549B8" w14:textId="77777777" w:rsidR="002D7BDF" w:rsidRPr="00DF105C" w:rsidRDefault="0029682F" w:rsidP="00DF105C">
      <w:pPr>
        <w:spacing w:before="100" w:beforeAutospacing="1" w:after="100" w:afterAutospacing="1" w:line="480" w:lineRule="auto"/>
        <w:jc w:val="both"/>
        <w:outlineLvl w:val="1"/>
        <w:rPr>
          <w:rFonts w:ascii="Arial" w:eastAsia="Times New Roman" w:hAnsi="Arial" w:cs="Arial"/>
          <w:b/>
          <w:bCs/>
        </w:rPr>
      </w:pPr>
      <w:r>
        <w:rPr>
          <w:rFonts w:ascii="Arial" w:eastAsia="Times New Roman" w:hAnsi="Arial" w:cs="Arial"/>
          <w:b/>
          <w:bCs/>
        </w:rPr>
        <w:t xml:space="preserve">4. </w:t>
      </w:r>
      <w:r w:rsidR="004257BF" w:rsidRPr="00DF105C">
        <w:rPr>
          <w:rFonts w:ascii="Arial" w:eastAsia="Times New Roman" w:hAnsi="Arial" w:cs="Arial"/>
          <w:b/>
          <w:bCs/>
        </w:rPr>
        <w:t>CONCLUSION</w:t>
      </w:r>
    </w:p>
    <w:p w14:paraId="2809F7AE" w14:textId="77777777" w:rsidR="002D7BDF" w:rsidRPr="007759E5" w:rsidRDefault="002D7BDF" w:rsidP="00DF105C">
      <w:pPr>
        <w:spacing w:before="100" w:beforeAutospacing="1" w:after="100" w:afterAutospacing="1" w:line="480" w:lineRule="auto"/>
        <w:jc w:val="both"/>
        <w:rPr>
          <w:rFonts w:ascii="Arial" w:eastAsia="Times New Roman" w:hAnsi="Arial" w:cs="Arial"/>
          <w:sz w:val="20"/>
          <w:szCs w:val="20"/>
        </w:rPr>
      </w:pPr>
      <w:r w:rsidRPr="007759E5">
        <w:rPr>
          <w:rFonts w:ascii="Arial" w:eastAsia="Times New Roman" w:hAnsi="Arial" w:cs="Arial"/>
          <w:sz w:val="20"/>
          <w:szCs w:val="20"/>
        </w:rPr>
        <w:t xml:space="preserve">The present study highlights a considerable prevalence of non-fermenting Gram-negative bacilli (NFGNB) in canine clinical infections, with </w:t>
      </w:r>
      <w:r w:rsidRPr="007759E5">
        <w:rPr>
          <w:rFonts w:ascii="Arial" w:eastAsia="Times New Roman" w:hAnsi="Arial" w:cs="Arial"/>
          <w:i/>
          <w:iCs/>
          <w:sz w:val="20"/>
          <w:szCs w:val="20"/>
        </w:rPr>
        <w:t>Pseudomonas aeruginosa</w:t>
      </w:r>
      <w:r w:rsidRPr="007759E5">
        <w:rPr>
          <w:rFonts w:ascii="Arial" w:eastAsia="Times New Roman" w:hAnsi="Arial" w:cs="Arial"/>
          <w:sz w:val="20"/>
          <w:szCs w:val="20"/>
        </w:rPr>
        <w:t xml:space="preserve"> emerging as the predominant species, </w:t>
      </w:r>
      <w:r w:rsidRPr="007759E5">
        <w:rPr>
          <w:rFonts w:ascii="Arial" w:eastAsia="Times New Roman" w:hAnsi="Arial" w:cs="Arial"/>
          <w:sz w:val="20"/>
          <w:szCs w:val="20"/>
        </w:rPr>
        <w:lastRenderedPageBreak/>
        <w:t xml:space="preserve">followed by diverse </w:t>
      </w:r>
      <w:r w:rsidRPr="007759E5">
        <w:rPr>
          <w:rFonts w:ascii="Arial" w:eastAsia="Times New Roman" w:hAnsi="Arial" w:cs="Arial"/>
          <w:i/>
          <w:iCs/>
          <w:sz w:val="20"/>
          <w:szCs w:val="20"/>
        </w:rPr>
        <w:t>Acinetobacter</w:t>
      </w:r>
      <w:r w:rsidRPr="007759E5">
        <w:rPr>
          <w:rFonts w:ascii="Arial" w:eastAsia="Times New Roman" w:hAnsi="Arial" w:cs="Arial"/>
          <w:sz w:val="20"/>
          <w:szCs w:val="20"/>
        </w:rPr>
        <w:t xml:space="preserve"> spp. A substantial proportion of isolates exhibited multidrug resistance, including reduced susceptibility to critically important antimicrobials such as carbapenems and colistin, alongside widespread distribution of β-lactamase genes. The high frequency of hemolytic activity, biofilm formation, and </w:t>
      </w:r>
      <w:r w:rsidR="00B219C3" w:rsidRPr="007759E5">
        <w:rPr>
          <w:rFonts w:ascii="Arial" w:eastAsia="Times New Roman" w:hAnsi="Arial" w:cs="Arial"/>
          <w:sz w:val="20"/>
          <w:szCs w:val="20"/>
        </w:rPr>
        <w:t>motility</w:t>
      </w:r>
      <w:r w:rsidRPr="007759E5">
        <w:rPr>
          <w:rFonts w:ascii="Arial" w:eastAsia="Times New Roman" w:hAnsi="Arial" w:cs="Arial"/>
          <w:sz w:val="20"/>
          <w:szCs w:val="20"/>
        </w:rPr>
        <w:t xml:space="preserve"> further underscores their pathogenic potential and persistence in clinical settings. Collectively, these findings emphasize the growing therapeutic challenge posed by NFGNB in veterinary practice and reinforce the need for continuous surveillance, rational antimicrobial use, and integrated One Health strategies to limit their spread.</w:t>
      </w:r>
    </w:p>
    <w:p w14:paraId="216F8DE7" w14:textId="77777777" w:rsidR="004257BF" w:rsidRPr="004257BF" w:rsidRDefault="004257BF" w:rsidP="00DF105C">
      <w:pPr>
        <w:spacing w:before="100" w:beforeAutospacing="1" w:after="100" w:afterAutospacing="1" w:line="480" w:lineRule="auto"/>
        <w:jc w:val="both"/>
        <w:rPr>
          <w:rFonts w:ascii="Arial" w:eastAsia="Times New Roman" w:hAnsi="Arial" w:cs="Arial"/>
          <w:b/>
        </w:rPr>
      </w:pPr>
      <w:r w:rsidRPr="004257BF">
        <w:rPr>
          <w:rFonts w:ascii="Arial" w:eastAsia="Times New Roman" w:hAnsi="Arial" w:cs="Arial"/>
          <w:b/>
        </w:rPr>
        <w:t xml:space="preserve">COMPETING INTERESTS </w:t>
      </w:r>
    </w:p>
    <w:p w14:paraId="4FA39987" w14:textId="77777777" w:rsidR="00403456" w:rsidRPr="007759E5" w:rsidRDefault="004257BF" w:rsidP="00EA0D40">
      <w:pPr>
        <w:spacing w:before="100" w:beforeAutospacing="1" w:after="100" w:afterAutospacing="1" w:line="480" w:lineRule="auto"/>
        <w:jc w:val="both"/>
        <w:rPr>
          <w:rFonts w:ascii="Arial" w:eastAsia="Times New Roman" w:hAnsi="Arial" w:cs="Arial"/>
          <w:sz w:val="20"/>
          <w:szCs w:val="20"/>
        </w:rPr>
      </w:pPr>
      <w:r w:rsidRPr="007759E5">
        <w:rPr>
          <w:rFonts w:ascii="Arial" w:eastAsia="Times New Roman" w:hAnsi="Arial" w:cs="Arial"/>
          <w:sz w:val="20"/>
          <w:szCs w:val="20"/>
        </w:rPr>
        <w:t>Authors have declared that no competing interests exist.</w:t>
      </w:r>
    </w:p>
    <w:p w14:paraId="5245BC3D" w14:textId="77777777" w:rsidR="00403456" w:rsidRPr="004257BF" w:rsidRDefault="00F9522E" w:rsidP="004257BF">
      <w:pPr>
        <w:spacing w:line="480" w:lineRule="auto"/>
        <w:jc w:val="both"/>
        <w:rPr>
          <w:rFonts w:ascii="Arial" w:hAnsi="Arial" w:cs="Arial"/>
          <w:b/>
        </w:rPr>
      </w:pPr>
      <w:r w:rsidRPr="00DF105C">
        <w:rPr>
          <w:rFonts w:ascii="Arial" w:hAnsi="Arial" w:cs="Arial"/>
          <w:b/>
        </w:rPr>
        <w:t>References</w:t>
      </w:r>
    </w:p>
    <w:p w14:paraId="58535516"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Rezaei N. (2022). </w:t>
      </w:r>
      <w:r w:rsidRPr="007759E5">
        <w:rPr>
          <w:rFonts w:ascii="Arial" w:eastAsia="Times New Roman" w:hAnsi="Arial" w:cs="Arial"/>
          <w:i/>
          <w:iCs/>
          <w:sz w:val="20"/>
          <w:szCs w:val="20"/>
        </w:rPr>
        <w:t>Encyclopedia of infection and immunity</w:t>
      </w:r>
      <w:r w:rsidRPr="007759E5">
        <w:rPr>
          <w:rFonts w:ascii="Arial" w:eastAsia="Times New Roman" w:hAnsi="Arial" w:cs="Arial"/>
          <w:sz w:val="20"/>
          <w:szCs w:val="20"/>
        </w:rPr>
        <w:t xml:space="preserve">. Elsevier, Amsterdam. </w:t>
      </w:r>
    </w:p>
    <w:p w14:paraId="0FF42089" w14:textId="77777777" w:rsidR="00E04531" w:rsidRPr="007759E5" w:rsidRDefault="00E04531" w:rsidP="00EA0D40">
      <w:pPr>
        <w:spacing w:after="0" w:line="480" w:lineRule="auto"/>
        <w:ind w:left="1077" w:hanging="720"/>
        <w:rPr>
          <w:rFonts w:ascii="Arial" w:eastAsia="Times New Roman" w:hAnsi="Arial" w:cs="Arial"/>
          <w:sz w:val="20"/>
          <w:szCs w:val="20"/>
        </w:rPr>
      </w:pPr>
      <w:proofErr w:type="spellStart"/>
      <w:r w:rsidRPr="007759E5">
        <w:rPr>
          <w:rFonts w:ascii="Arial" w:eastAsia="Times New Roman" w:hAnsi="Arial" w:cs="Arial"/>
          <w:sz w:val="20"/>
          <w:szCs w:val="20"/>
        </w:rPr>
        <w:t>Wisplinghoff</w:t>
      </w:r>
      <w:proofErr w:type="spellEnd"/>
      <w:r w:rsidRPr="007759E5">
        <w:rPr>
          <w:rFonts w:ascii="Arial" w:eastAsia="Times New Roman" w:hAnsi="Arial" w:cs="Arial"/>
          <w:sz w:val="20"/>
          <w:szCs w:val="20"/>
        </w:rPr>
        <w:t xml:space="preserve"> H, Bischoff T, </w:t>
      </w:r>
      <w:proofErr w:type="spellStart"/>
      <w:r w:rsidRPr="007759E5">
        <w:rPr>
          <w:rFonts w:ascii="Arial" w:eastAsia="Times New Roman" w:hAnsi="Arial" w:cs="Arial"/>
          <w:sz w:val="20"/>
          <w:szCs w:val="20"/>
        </w:rPr>
        <w:t>Tallent</w:t>
      </w:r>
      <w:proofErr w:type="spellEnd"/>
      <w:r w:rsidRPr="007759E5">
        <w:rPr>
          <w:rFonts w:ascii="Arial" w:eastAsia="Times New Roman" w:hAnsi="Arial" w:cs="Arial"/>
          <w:sz w:val="20"/>
          <w:szCs w:val="20"/>
        </w:rPr>
        <w:t xml:space="preserve"> SM, Seifert H, Wenzel RP, Edmond MB. (2004). Nosocomial bloodstream infections in US hospitals: Analysis of 24,179 cases. </w:t>
      </w:r>
      <w:r w:rsidRPr="007759E5">
        <w:rPr>
          <w:rFonts w:ascii="Arial" w:eastAsia="Times New Roman" w:hAnsi="Arial" w:cs="Arial"/>
          <w:i/>
          <w:iCs/>
          <w:sz w:val="20"/>
          <w:szCs w:val="20"/>
        </w:rPr>
        <w:t>Clin Infect Dis</w:t>
      </w:r>
      <w:r w:rsidRPr="007759E5">
        <w:rPr>
          <w:rFonts w:ascii="Arial" w:eastAsia="Times New Roman" w:hAnsi="Arial" w:cs="Arial"/>
          <w:sz w:val="20"/>
          <w:szCs w:val="20"/>
        </w:rPr>
        <w:t xml:space="preserve">, 39(3), 309–317. </w:t>
      </w:r>
    </w:p>
    <w:p w14:paraId="2390DEB2" w14:textId="77777777" w:rsidR="00E04531" w:rsidRPr="007759E5" w:rsidRDefault="00E04531" w:rsidP="00EA0D40">
      <w:pPr>
        <w:spacing w:after="0" w:line="480" w:lineRule="auto"/>
        <w:ind w:left="1077" w:hanging="720"/>
        <w:rPr>
          <w:rFonts w:ascii="Arial" w:eastAsia="Times New Roman" w:hAnsi="Arial" w:cs="Arial"/>
          <w:sz w:val="20"/>
          <w:szCs w:val="20"/>
        </w:rPr>
      </w:pPr>
      <w:proofErr w:type="spellStart"/>
      <w:r w:rsidRPr="007759E5">
        <w:rPr>
          <w:rFonts w:ascii="Arial" w:eastAsia="Times New Roman" w:hAnsi="Arial" w:cs="Arial"/>
          <w:sz w:val="20"/>
          <w:szCs w:val="20"/>
        </w:rPr>
        <w:t>Sushitha</w:t>
      </w:r>
      <w:proofErr w:type="spellEnd"/>
      <w:r w:rsidRPr="007759E5">
        <w:rPr>
          <w:rFonts w:ascii="Arial" w:eastAsia="Times New Roman" w:hAnsi="Arial" w:cs="Arial"/>
          <w:sz w:val="20"/>
          <w:szCs w:val="20"/>
        </w:rPr>
        <w:t xml:space="preserve"> TS, </w:t>
      </w:r>
      <w:proofErr w:type="spellStart"/>
      <w:r w:rsidRPr="007759E5">
        <w:rPr>
          <w:rFonts w:ascii="Arial" w:eastAsia="Times New Roman" w:hAnsi="Arial" w:cs="Arial"/>
          <w:sz w:val="20"/>
          <w:szCs w:val="20"/>
        </w:rPr>
        <w:t>Pulikottil</w:t>
      </w:r>
      <w:proofErr w:type="spellEnd"/>
      <w:r w:rsidRPr="007759E5">
        <w:rPr>
          <w:rFonts w:ascii="Arial" w:eastAsia="Times New Roman" w:hAnsi="Arial" w:cs="Arial"/>
          <w:sz w:val="20"/>
          <w:szCs w:val="20"/>
        </w:rPr>
        <w:t xml:space="preserve"> SK, </w:t>
      </w:r>
      <w:proofErr w:type="spellStart"/>
      <w:r w:rsidRPr="007759E5">
        <w:rPr>
          <w:rFonts w:ascii="Arial" w:eastAsia="Times New Roman" w:hAnsi="Arial" w:cs="Arial"/>
          <w:sz w:val="20"/>
          <w:szCs w:val="20"/>
        </w:rPr>
        <w:t>Beena</w:t>
      </w:r>
      <w:proofErr w:type="spellEnd"/>
      <w:r w:rsidRPr="007759E5">
        <w:rPr>
          <w:rFonts w:ascii="Arial" w:eastAsia="Times New Roman" w:hAnsi="Arial" w:cs="Arial"/>
          <w:sz w:val="20"/>
          <w:szCs w:val="20"/>
        </w:rPr>
        <w:t xml:space="preserve"> VG. (2025). Bacteriological profile of NFGNB causing infections in immunocompromised patients. </w:t>
      </w:r>
      <w:r w:rsidRPr="007759E5">
        <w:rPr>
          <w:rFonts w:ascii="Arial" w:eastAsia="Times New Roman" w:hAnsi="Arial" w:cs="Arial"/>
          <w:i/>
          <w:iCs/>
          <w:sz w:val="20"/>
          <w:szCs w:val="20"/>
        </w:rPr>
        <w:t xml:space="preserve">Int J </w:t>
      </w:r>
      <w:proofErr w:type="spellStart"/>
      <w:r w:rsidRPr="007759E5">
        <w:rPr>
          <w:rFonts w:ascii="Arial" w:eastAsia="Times New Roman" w:hAnsi="Arial" w:cs="Arial"/>
          <w:i/>
          <w:iCs/>
          <w:sz w:val="20"/>
          <w:szCs w:val="20"/>
        </w:rPr>
        <w:t>Acad</w:t>
      </w:r>
      <w:proofErr w:type="spellEnd"/>
      <w:r w:rsidRPr="007759E5">
        <w:rPr>
          <w:rFonts w:ascii="Arial" w:eastAsia="Times New Roman" w:hAnsi="Arial" w:cs="Arial"/>
          <w:i/>
          <w:iCs/>
          <w:sz w:val="20"/>
          <w:szCs w:val="20"/>
        </w:rPr>
        <w:t xml:space="preserve"> Med Pharm</w:t>
      </w:r>
      <w:r w:rsidRPr="007759E5">
        <w:rPr>
          <w:rFonts w:ascii="Arial" w:eastAsia="Times New Roman" w:hAnsi="Arial" w:cs="Arial"/>
          <w:sz w:val="20"/>
          <w:szCs w:val="20"/>
        </w:rPr>
        <w:t xml:space="preserve">, 7(1), 149–154. </w:t>
      </w:r>
    </w:p>
    <w:p w14:paraId="07BC0B9D" w14:textId="77777777" w:rsidR="00E04531" w:rsidRPr="007759E5" w:rsidRDefault="00E04531" w:rsidP="00EA0D40">
      <w:pPr>
        <w:spacing w:after="0" w:line="480" w:lineRule="auto"/>
        <w:ind w:left="1077" w:hanging="720"/>
        <w:rPr>
          <w:rFonts w:ascii="Arial" w:eastAsia="Times New Roman" w:hAnsi="Arial" w:cs="Arial"/>
          <w:sz w:val="20"/>
          <w:szCs w:val="20"/>
        </w:rPr>
      </w:pPr>
      <w:proofErr w:type="spellStart"/>
      <w:r w:rsidRPr="007759E5">
        <w:rPr>
          <w:rFonts w:ascii="Arial" w:eastAsia="Times New Roman" w:hAnsi="Arial" w:cs="Arial"/>
          <w:sz w:val="20"/>
          <w:szCs w:val="20"/>
        </w:rPr>
        <w:t>Magiorakos</w:t>
      </w:r>
      <w:proofErr w:type="spellEnd"/>
      <w:r w:rsidRPr="007759E5">
        <w:rPr>
          <w:rFonts w:ascii="Arial" w:eastAsia="Times New Roman" w:hAnsi="Arial" w:cs="Arial"/>
          <w:sz w:val="20"/>
          <w:szCs w:val="20"/>
        </w:rPr>
        <w:t xml:space="preserve"> AP, Srinivasan A, Carey RB, </w:t>
      </w:r>
      <w:proofErr w:type="spellStart"/>
      <w:r w:rsidRPr="007759E5">
        <w:rPr>
          <w:rFonts w:ascii="Arial" w:eastAsia="Times New Roman" w:hAnsi="Arial" w:cs="Arial"/>
          <w:sz w:val="20"/>
          <w:szCs w:val="20"/>
        </w:rPr>
        <w:t>Carmeli</w:t>
      </w:r>
      <w:proofErr w:type="spellEnd"/>
      <w:r w:rsidRPr="007759E5">
        <w:rPr>
          <w:rFonts w:ascii="Arial" w:eastAsia="Times New Roman" w:hAnsi="Arial" w:cs="Arial"/>
          <w:sz w:val="20"/>
          <w:szCs w:val="20"/>
        </w:rPr>
        <w:t xml:space="preserve"> Y, </w:t>
      </w:r>
      <w:proofErr w:type="spellStart"/>
      <w:r w:rsidRPr="007759E5">
        <w:rPr>
          <w:rFonts w:ascii="Arial" w:eastAsia="Times New Roman" w:hAnsi="Arial" w:cs="Arial"/>
          <w:sz w:val="20"/>
          <w:szCs w:val="20"/>
        </w:rPr>
        <w:t>Falagas</w:t>
      </w:r>
      <w:proofErr w:type="spellEnd"/>
      <w:r w:rsidRPr="007759E5">
        <w:rPr>
          <w:rFonts w:ascii="Arial" w:eastAsia="Times New Roman" w:hAnsi="Arial" w:cs="Arial"/>
          <w:sz w:val="20"/>
          <w:szCs w:val="20"/>
        </w:rPr>
        <w:t xml:space="preserve"> ME, </w:t>
      </w:r>
      <w:proofErr w:type="spellStart"/>
      <w:r w:rsidRPr="007759E5">
        <w:rPr>
          <w:rFonts w:ascii="Arial" w:eastAsia="Times New Roman" w:hAnsi="Arial" w:cs="Arial"/>
          <w:sz w:val="20"/>
          <w:szCs w:val="20"/>
        </w:rPr>
        <w:t>Giske</w:t>
      </w:r>
      <w:proofErr w:type="spellEnd"/>
      <w:r w:rsidRPr="007759E5">
        <w:rPr>
          <w:rFonts w:ascii="Arial" w:eastAsia="Times New Roman" w:hAnsi="Arial" w:cs="Arial"/>
          <w:sz w:val="20"/>
          <w:szCs w:val="20"/>
        </w:rPr>
        <w:t xml:space="preserve"> CG, et al. (2012). Multidrug-resistant bacteria definitions. </w:t>
      </w:r>
      <w:r w:rsidRPr="007759E5">
        <w:rPr>
          <w:rFonts w:ascii="Arial" w:eastAsia="Times New Roman" w:hAnsi="Arial" w:cs="Arial"/>
          <w:i/>
          <w:iCs/>
          <w:sz w:val="20"/>
          <w:szCs w:val="20"/>
        </w:rPr>
        <w:t>Clin Microbiol Infect</w:t>
      </w:r>
      <w:r w:rsidRPr="007759E5">
        <w:rPr>
          <w:rFonts w:ascii="Arial" w:eastAsia="Times New Roman" w:hAnsi="Arial" w:cs="Arial"/>
          <w:sz w:val="20"/>
          <w:szCs w:val="20"/>
        </w:rPr>
        <w:t xml:space="preserve">, 18, 268–281. </w:t>
      </w:r>
    </w:p>
    <w:p w14:paraId="54163B4F"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De Oliveira DMP, Forde BM, Kidd TJ, Harris PNA, Schembri MA, Batson SA, et al. (2020). Antimicrobial resistance in ESKAPE pathogens. </w:t>
      </w:r>
      <w:r w:rsidRPr="007759E5">
        <w:rPr>
          <w:rFonts w:ascii="Arial" w:eastAsia="Times New Roman" w:hAnsi="Arial" w:cs="Arial"/>
          <w:i/>
          <w:iCs/>
          <w:sz w:val="20"/>
          <w:szCs w:val="20"/>
        </w:rPr>
        <w:t>Clin Microbiol Rev</w:t>
      </w:r>
      <w:r w:rsidRPr="007759E5">
        <w:rPr>
          <w:rFonts w:ascii="Arial" w:eastAsia="Times New Roman" w:hAnsi="Arial" w:cs="Arial"/>
          <w:sz w:val="20"/>
          <w:szCs w:val="20"/>
        </w:rPr>
        <w:t xml:space="preserve">, 33, e00181-19. </w:t>
      </w:r>
    </w:p>
    <w:p w14:paraId="73EE2528"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World Health Organization (WHO). (2017). Global priority pathogens list. </w:t>
      </w:r>
    </w:p>
    <w:p w14:paraId="1214591C" w14:textId="77777777" w:rsidR="00E04531" w:rsidRPr="007759E5" w:rsidRDefault="00E04531" w:rsidP="00EA0D40">
      <w:pPr>
        <w:spacing w:after="0" w:line="480" w:lineRule="auto"/>
        <w:ind w:left="1077" w:hanging="720"/>
        <w:rPr>
          <w:rFonts w:ascii="Arial" w:eastAsia="Times New Roman" w:hAnsi="Arial" w:cs="Arial"/>
          <w:sz w:val="20"/>
          <w:szCs w:val="20"/>
        </w:rPr>
      </w:pPr>
      <w:proofErr w:type="spellStart"/>
      <w:r w:rsidRPr="007759E5">
        <w:rPr>
          <w:rFonts w:ascii="Arial" w:eastAsia="Times New Roman" w:hAnsi="Arial" w:cs="Arial"/>
          <w:sz w:val="20"/>
          <w:szCs w:val="20"/>
        </w:rPr>
        <w:t>Dégi</w:t>
      </w:r>
      <w:proofErr w:type="spellEnd"/>
      <w:r w:rsidRPr="007759E5">
        <w:rPr>
          <w:rFonts w:ascii="Arial" w:eastAsia="Times New Roman" w:hAnsi="Arial" w:cs="Arial"/>
          <w:sz w:val="20"/>
          <w:szCs w:val="20"/>
        </w:rPr>
        <w:t xml:space="preserve"> J, </w:t>
      </w:r>
      <w:proofErr w:type="spellStart"/>
      <w:r w:rsidRPr="007759E5">
        <w:rPr>
          <w:rFonts w:ascii="Arial" w:eastAsia="Times New Roman" w:hAnsi="Arial" w:cs="Arial"/>
          <w:sz w:val="20"/>
          <w:szCs w:val="20"/>
        </w:rPr>
        <w:t>Moțco</w:t>
      </w:r>
      <w:proofErr w:type="spellEnd"/>
      <w:r w:rsidRPr="007759E5">
        <w:rPr>
          <w:rFonts w:ascii="Arial" w:eastAsia="Times New Roman" w:hAnsi="Arial" w:cs="Arial"/>
          <w:sz w:val="20"/>
          <w:szCs w:val="20"/>
        </w:rPr>
        <w:t xml:space="preserve"> OA, </w:t>
      </w:r>
      <w:proofErr w:type="spellStart"/>
      <w:r w:rsidRPr="007759E5">
        <w:rPr>
          <w:rFonts w:ascii="Arial" w:eastAsia="Times New Roman" w:hAnsi="Arial" w:cs="Arial"/>
          <w:sz w:val="20"/>
          <w:szCs w:val="20"/>
        </w:rPr>
        <w:t>Dégi</w:t>
      </w:r>
      <w:proofErr w:type="spellEnd"/>
      <w:r w:rsidRPr="007759E5">
        <w:rPr>
          <w:rFonts w:ascii="Arial" w:eastAsia="Times New Roman" w:hAnsi="Arial" w:cs="Arial"/>
          <w:sz w:val="20"/>
          <w:szCs w:val="20"/>
        </w:rPr>
        <w:t xml:space="preserve"> DM, </w:t>
      </w:r>
      <w:proofErr w:type="spellStart"/>
      <w:r w:rsidRPr="007759E5">
        <w:rPr>
          <w:rFonts w:ascii="Arial" w:eastAsia="Times New Roman" w:hAnsi="Arial" w:cs="Arial"/>
          <w:sz w:val="20"/>
          <w:szCs w:val="20"/>
        </w:rPr>
        <w:t>Suici</w:t>
      </w:r>
      <w:proofErr w:type="spellEnd"/>
      <w:r w:rsidRPr="007759E5">
        <w:rPr>
          <w:rFonts w:ascii="Arial" w:eastAsia="Times New Roman" w:hAnsi="Arial" w:cs="Arial"/>
          <w:sz w:val="20"/>
          <w:szCs w:val="20"/>
        </w:rPr>
        <w:t xml:space="preserve"> T, </w:t>
      </w:r>
      <w:proofErr w:type="spellStart"/>
      <w:r w:rsidRPr="007759E5">
        <w:rPr>
          <w:rFonts w:ascii="Arial" w:eastAsia="Times New Roman" w:hAnsi="Arial" w:cs="Arial"/>
          <w:sz w:val="20"/>
          <w:szCs w:val="20"/>
        </w:rPr>
        <w:t>Mareș</w:t>
      </w:r>
      <w:proofErr w:type="spellEnd"/>
      <w:r w:rsidRPr="007759E5">
        <w:rPr>
          <w:rFonts w:ascii="Arial" w:eastAsia="Times New Roman" w:hAnsi="Arial" w:cs="Arial"/>
          <w:sz w:val="20"/>
          <w:szCs w:val="20"/>
        </w:rPr>
        <w:t xml:space="preserve"> M, Imre K, et al. (2021). Antibiotic susceptibility of </w:t>
      </w:r>
      <w:r w:rsidRPr="007759E5">
        <w:rPr>
          <w:rFonts w:ascii="Arial" w:eastAsia="Times New Roman" w:hAnsi="Arial" w:cs="Arial"/>
          <w:i/>
          <w:iCs/>
          <w:sz w:val="20"/>
          <w:szCs w:val="20"/>
        </w:rPr>
        <w:t>Pseudomonas aeruginosa</w:t>
      </w:r>
      <w:r w:rsidRPr="007759E5">
        <w:rPr>
          <w:rFonts w:ascii="Arial" w:eastAsia="Times New Roman" w:hAnsi="Arial" w:cs="Arial"/>
          <w:sz w:val="20"/>
          <w:szCs w:val="20"/>
        </w:rPr>
        <w:t xml:space="preserve"> in dogs. </w:t>
      </w:r>
      <w:r w:rsidRPr="007759E5">
        <w:rPr>
          <w:rFonts w:ascii="Arial" w:eastAsia="Times New Roman" w:hAnsi="Arial" w:cs="Arial"/>
          <w:i/>
          <w:iCs/>
          <w:sz w:val="20"/>
          <w:szCs w:val="20"/>
        </w:rPr>
        <w:t>Antibiotics</w:t>
      </w:r>
      <w:r w:rsidRPr="007759E5">
        <w:rPr>
          <w:rFonts w:ascii="Arial" w:eastAsia="Times New Roman" w:hAnsi="Arial" w:cs="Arial"/>
          <w:sz w:val="20"/>
          <w:szCs w:val="20"/>
        </w:rPr>
        <w:t xml:space="preserve">, 10, 846. </w:t>
      </w:r>
    </w:p>
    <w:p w14:paraId="31AB381A"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Miller WH, Griffin CE, Campbell KL, Muller GH. (2013). </w:t>
      </w:r>
      <w:r w:rsidRPr="007759E5">
        <w:rPr>
          <w:rFonts w:ascii="Arial" w:eastAsia="Times New Roman" w:hAnsi="Arial" w:cs="Arial"/>
          <w:i/>
          <w:iCs/>
          <w:sz w:val="20"/>
          <w:szCs w:val="20"/>
        </w:rPr>
        <w:t>Muller and Kirk’s small animal dermatology</w:t>
      </w:r>
      <w:r w:rsidRPr="007759E5">
        <w:rPr>
          <w:rFonts w:ascii="Arial" w:eastAsia="Times New Roman" w:hAnsi="Arial" w:cs="Arial"/>
          <w:sz w:val="20"/>
          <w:szCs w:val="20"/>
        </w:rPr>
        <w:t xml:space="preserve"> (7th ed.). Elsevier. </w:t>
      </w:r>
    </w:p>
    <w:p w14:paraId="10940860"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lastRenderedPageBreak/>
        <w:t xml:space="preserve">Nocera FP, Attili AR, Martino LD. (2021). </w:t>
      </w:r>
      <w:r w:rsidRPr="007759E5">
        <w:rPr>
          <w:rFonts w:ascii="Arial" w:eastAsia="Times New Roman" w:hAnsi="Arial" w:cs="Arial"/>
          <w:i/>
          <w:iCs/>
          <w:sz w:val="20"/>
          <w:szCs w:val="20"/>
        </w:rPr>
        <w:t>Acinetobacter baumannii</w:t>
      </w:r>
      <w:r w:rsidRPr="007759E5">
        <w:rPr>
          <w:rFonts w:ascii="Arial" w:eastAsia="Times New Roman" w:hAnsi="Arial" w:cs="Arial"/>
          <w:sz w:val="20"/>
          <w:szCs w:val="20"/>
        </w:rPr>
        <w:t xml:space="preserve"> clinical significance. </w:t>
      </w:r>
      <w:r w:rsidRPr="007759E5">
        <w:rPr>
          <w:rFonts w:ascii="Arial" w:eastAsia="Times New Roman" w:hAnsi="Arial" w:cs="Arial"/>
          <w:i/>
          <w:iCs/>
          <w:sz w:val="20"/>
          <w:szCs w:val="20"/>
        </w:rPr>
        <w:t>Pathogens</w:t>
      </w:r>
      <w:r w:rsidRPr="007759E5">
        <w:rPr>
          <w:rFonts w:ascii="Arial" w:eastAsia="Times New Roman" w:hAnsi="Arial" w:cs="Arial"/>
          <w:sz w:val="20"/>
          <w:szCs w:val="20"/>
        </w:rPr>
        <w:t xml:space="preserve">, 10(2), 127. </w:t>
      </w:r>
    </w:p>
    <w:p w14:paraId="1A1216EE"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Yoshimura F, Nikaido H. (1982). Outer membrane permeability of </w:t>
      </w:r>
      <w:r w:rsidRPr="007759E5">
        <w:rPr>
          <w:rFonts w:ascii="Arial" w:eastAsia="Times New Roman" w:hAnsi="Arial" w:cs="Arial"/>
          <w:i/>
          <w:iCs/>
          <w:sz w:val="20"/>
          <w:szCs w:val="20"/>
        </w:rPr>
        <w:t>Pseudomonas aeruginosa</w:t>
      </w:r>
      <w:r w:rsidRPr="007759E5">
        <w:rPr>
          <w:rFonts w:ascii="Arial" w:eastAsia="Times New Roman" w:hAnsi="Arial" w:cs="Arial"/>
          <w:sz w:val="20"/>
          <w:szCs w:val="20"/>
        </w:rPr>
        <w:t xml:space="preserve">. </w:t>
      </w:r>
      <w:r w:rsidRPr="007759E5">
        <w:rPr>
          <w:rFonts w:ascii="Arial" w:eastAsia="Times New Roman" w:hAnsi="Arial" w:cs="Arial"/>
          <w:i/>
          <w:iCs/>
          <w:sz w:val="20"/>
          <w:szCs w:val="20"/>
        </w:rPr>
        <w:t>J Bacteriol</w:t>
      </w:r>
      <w:r w:rsidRPr="007759E5">
        <w:rPr>
          <w:rFonts w:ascii="Arial" w:eastAsia="Times New Roman" w:hAnsi="Arial" w:cs="Arial"/>
          <w:sz w:val="20"/>
          <w:szCs w:val="20"/>
        </w:rPr>
        <w:t xml:space="preserve">, 152(2), 636–642. </w:t>
      </w:r>
    </w:p>
    <w:p w14:paraId="430669F3"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Li M, Du X, Villaruz AE, Diep BA, Wang D, Song Y. (2012). MRSA epidemic and virulence determinants. </w:t>
      </w:r>
      <w:r w:rsidRPr="007759E5">
        <w:rPr>
          <w:rFonts w:ascii="Arial" w:eastAsia="Times New Roman" w:hAnsi="Arial" w:cs="Arial"/>
          <w:i/>
          <w:iCs/>
          <w:sz w:val="20"/>
          <w:szCs w:val="20"/>
        </w:rPr>
        <w:t>Nat Med</w:t>
      </w:r>
      <w:r w:rsidRPr="007759E5">
        <w:rPr>
          <w:rFonts w:ascii="Arial" w:eastAsia="Times New Roman" w:hAnsi="Arial" w:cs="Arial"/>
          <w:sz w:val="20"/>
          <w:szCs w:val="20"/>
        </w:rPr>
        <w:t xml:space="preserve">, 18, 816–819. </w:t>
      </w:r>
    </w:p>
    <w:p w14:paraId="681B5FAC"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Gentilini F, Turba ME, Pasquali F, Mion D, Romagnoli N, Zambon E, et al. (2018). Carbapenem resistance in hospitalized pets. </w:t>
      </w:r>
      <w:r w:rsidRPr="007759E5">
        <w:rPr>
          <w:rFonts w:ascii="Arial" w:eastAsia="Times New Roman" w:hAnsi="Arial" w:cs="Arial"/>
          <w:i/>
          <w:iCs/>
          <w:sz w:val="20"/>
          <w:szCs w:val="20"/>
        </w:rPr>
        <w:t>Front Microbiol</w:t>
      </w:r>
      <w:r w:rsidRPr="007759E5">
        <w:rPr>
          <w:rFonts w:ascii="Arial" w:eastAsia="Times New Roman" w:hAnsi="Arial" w:cs="Arial"/>
          <w:sz w:val="20"/>
          <w:szCs w:val="20"/>
        </w:rPr>
        <w:t xml:space="preserve">, 9, 2872. </w:t>
      </w:r>
    </w:p>
    <w:p w14:paraId="7D3245DD"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Fernandes MR, </w:t>
      </w:r>
      <w:proofErr w:type="spellStart"/>
      <w:r w:rsidRPr="007759E5">
        <w:rPr>
          <w:rFonts w:ascii="Arial" w:eastAsia="Times New Roman" w:hAnsi="Arial" w:cs="Arial"/>
          <w:sz w:val="20"/>
          <w:szCs w:val="20"/>
        </w:rPr>
        <w:t>Sellera</w:t>
      </w:r>
      <w:proofErr w:type="spellEnd"/>
      <w:r w:rsidRPr="007759E5">
        <w:rPr>
          <w:rFonts w:ascii="Arial" w:eastAsia="Times New Roman" w:hAnsi="Arial" w:cs="Arial"/>
          <w:sz w:val="20"/>
          <w:szCs w:val="20"/>
        </w:rPr>
        <w:t xml:space="preserve"> FP, Moura Q, Carvalho MPN, </w:t>
      </w:r>
      <w:proofErr w:type="spellStart"/>
      <w:r w:rsidRPr="007759E5">
        <w:rPr>
          <w:rFonts w:ascii="Arial" w:eastAsia="Times New Roman" w:hAnsi="Arial" w:cs="Arial"/>
          <w:sz w:val="20"/>
          <w:szCs w:val="20"/>
        </w:rPr>
        <w:t>Rosato</w:t>
      </w:r>
      <w:proofErr w:type="spellEnd"/>
      <w:r w:rsidRPr="007759E5">
        <w:rPr>
          <w:rFonts w:ascii="Arial" w:eastAsia="Times New Roman" w:hAnsi="Arial" w:cs="Arial"/>
          <w:sz w:val="20"/>
          <w:szCs w:val="20"/>
        </w:rPr>
        <w:t xml:space="preserve"> PN, </w:t>
      </w:r>
      <w:proofErr w:type="spellStart"/>
      <w:r w:rsidRPr="007759E5">
        <w:rPr>
          <w:rFonts w:ascii="Arial" w:eastAsia="Times New Roman" w:hAnsi="Arial" w:cs="Arial"/>
          <w:sz w:val="20"/>
          <w:szCs w:val="20"/>
        </w:rPr>
        <w:t>Cerdeira</w:t>
      </w:r>
      <w:proofErr w:type="spellEnd"/>
      <w:r w:rsidRPr="007759E5">
        <w:rPr>
          <w:rFonts w:ascii="Arial" w:eastAsia="Times New Roman" w:hAnsi="Arial" w:cs="Arial"/>
          <w:sz w:val="20"/>
          <w:szCs w:val="20"/>
        </w:rPr>
        <w:t xml:space="preserve"> L, et al. (2018). Transmission of drug-resistant </w:t>
      </w:r>
      <w:r w:rsidRPr="007759E5">
        <w:rPr>
          <w:rFonts w:ascii="Arial" w:eastAsia="Times New Roman" w:hAnsi="Arial" w:cs="Arial"/>
          <w:i/>
          <w:iCs/>
          <w:sz w:val="20"/>
          <w:szCs w:val="20"/>
        </w:rPr>
        <w:t>Pseudomonas aeruginosa</w:t>
      </w:r>
      <w:r w:rsidRPr="007759E5">
        <w:rPr>
          <w:rFonts w:ascii="Arial" w:eastAsia="Times New Roman" w:hAnsi="Arial" w:cs="Arial"/>
          <w:sz w:val="20"/>
          <w:szCs w:val="20"/>
        </w:rPr>
        <w:t xml:space="preserve">. </w:t>
      </w:r>
      <w:r w:rsidRPr="007759E5">
        <w:rPr>
          <w:rFonts w:ascii="Arial" w:eastAsia="Times New Roman" w:hAnsi="Arial" w:cs="Arial"/>
          <w:i/>
          <w:iCs/>
          <w:sz w:val="20"/>
          <w:szCs w:val="20"/>
        </w:rPr>
        <w:t>Emerg Infect Dis</w:t>
      </w:r>
      <w:r w:rsidRPr="007759E5">
        <w:rPr>
          <w:rFonts w:ascii="Arial" w:eastAsia="Times New Roman" w:hAnsi="Arial" w:cs="Arial"/>
          <w:sz w:val="20"/>
          <w:szCs w:val="20"/>
        </w:rPr>
        <w:t xml:space="preserve">, 24(6), 1160–1162. </w:t>
      </w:r>
    </w:p>
    <w:p w14:paraId="0CAF1D35" w14:textId="77777777" w:rsidR="00E04531" w:rsidRPr="007759E5" w:rsidRDefault="00E04531" w:rsidP="00EA0D40">
      <w:pPr>
        <w:spacing w:after="0" w:line="480" w:lineRule="auto"/>
        <w:ind w:left="1077" w:hanging="720"/>
        <w:rPr>
          <w:rFonts w:ascii="Arial" w:eastAsia="Times New Roman" w:hAnsi="Arial" w:cs="Arial"/>
          <w:sz w:val="20"/>
          <w:szCs w:val="20"/>
        </w:rPr>
      </w:pPr>
      <w:proofErr w:type="spellStart"/>
      <w:r w:rsidRPr="007759E5">
        <w:rPr>
          <w:rFonts w:ascii="Arial" w:eastAsia="Times New Roman" w:hAnsi="Arial" w:cs="Arial"/>
          <w:sz w:val="20"/>
          <w:szCs w:val="20"/>
        </w:rPr>
        <w:t>Thöming</w:t>
      </w:r>
      <w:proofErr w:type="spellEnd"/>
      <w:r w:rsidRPr="007759E5">
        <w:rPr>
          <w:rFonts w:ascii="Arial" w:eastAsia="Times New Roman" w:hAnsi="Arial" w:cs="Arial"/>
          <w:sz w:val="20"/>
          <w:szCs w:val="20"/>
        </w:rPr>
        <w:t xml:space="preserve"> JG, </w:t>
      </w:r>
      <w:proofErr w:type="spellStart"/>
      <w:r w:rsidRPr="007759E5">
        <w:rPr>
          <w:rFonts w:ascii="Arial" w:eastAsia="Times New Roman" w:hAnsi="Arial" w:cs="Arial"/>
          <w:sz w:val="20"/>
          <w:szCs w:val="20"/>
        </w:rPr>
        <w:t>Häussler</w:t>
      </w:r>
      <w:proofErr w:type="spellEnd"/>
      <w:r w:rsidRPr="007759E5">
        <w:rPr>
          <w:rFonts w:ascii="Arial" w:eastAsia="Times New Roman" w:hAnsi="Arial" w:cs="Arial"/>
          <w:sz w:val="20"/>
          <w:szCs w:val="20"/>
        </w:rPr>
        <w:t xml:space="preserve"> S. (2022). Biofilm tolerance in </w:t>
      </w:r>
      <w:r w:rsidRPr="007759E5">
        <w:rPr>
          <w:rFonts w:ascii="Arial" w:eastAsia="Times New Roman" w:hAnsi="Arial" w:cs="Arial"/>
          <w:i/>
          <w:iCs/>
          <w:sz w:val="20"/>
          <w:szCs w:val="20"/>
        </w:rPr>
        <w:t>Pseudomonas aeruginosa</w:t>
      </w:r>
      <w:r w:rsidRPr="007759E5">
        <w:rPr>
          <w:rFonts w:ascii="Arial" w:eastAsia="Times New Roman" w:hAnsi="Arial" w:cs="Arial"/>
          <w:sz w:val="20"/>
          <w:szCs w:val="20"/>
        </w:rPr>
        <w:t xml:space="preserve">. </w:t>
      </w:r>
      <w:r w:rsidRPr="007759E5">
        <w:rPr>
          <w:rFonts w:ascii="Arial" w:eastAsia="Times New Roman" w:hAnsi="Arial" w:cs="Arial"/>
          <w:i/>
          <w:iCs/>
          <w:sz w:val="20"/>
          <w:szCs w:val="20"/>
        </w:rPr>
        <w:t>Front Cell Infect Microbiol</w:t>
      </w:r>
      <w:r w:rsidRPr="007759E5">
        <w:rPr>
          <w:rFonts w:ascii="Arial" w:eastAsia="Times New Roman" w:hAnsi="Arial" w:cs="Arial"/>
          <w:sz w:val="20"/>
          <w:szCs w:val="20"/>
        </w:rPr>
        <w:t xml:space="preserve">, 12, 851784. </w:t>
      </w:r>
    </w:p>
    <w:p w14:paraId="35003FB7" w14:textId="77777777" w:rsidR="00E04531" w:rsidRPr="007759E5" w:rsidRDefault="00E04531" w:rsidP="00EA0D40">
      <w:pPr>
        <w:spacing w:after="0" w:line="480" w:lineRule="auto"/>
        <w:ind w:left="1077" w:hanging="720"/>
        <w:rPr>
          <w:rFonts w:ascii="Arial" w:eastAsia="Times New Roman" w:hAnsi="Arial" w:cs="Arial"/>
          <w:sz w:val="20"/>
          <w:szCs w:val="20"/>
        </w:rPr>
      </w:pPr>
      <w:proofErr w:type="spellStart"/>
      <w:r w:rsidRPr="007759E5">
        <w:rPr>
          <w:rFonts w:ascii="Arial" w:eastAsia="Times New Roman" w:hAnsi="Arial" w:cs="Arial"/>
          <w:sz w:val="20"/>
          <w:szCs w:val="20"/>
        </w:rPr>
        <w:t>Kuzi</w:t>
      </w:r>
      <w:proofErr w:type="spellEnd"/>
      <w:r w:rsidRPr="007759E5">
        <w:rPr>
          <w:rFonts w:ascii="Arial" w:eastAsia="Times New Roman" w:hAnsi="Arial" w:cs="Arial"/>
          <w:sz w:val="20"/>
          <w:szCs w:val="20"/>
        </w:rPr>
        <w:t xml:space="preserve"> S, Blum SE, Kahane N, Adler A, Hussein O, Segev G, et al. (2016). MDR </w:t>
      </w:r>
      <w:r w:rsidRPr="007759E5">
        <w:rPr>
          <w:rFonts w:ascii="Arial" w:eastAsia="Times New Roman" w:hAnsi="Arial" w:cs="Arial"/>
          <w:i/>
          <w:iCs/>
          <w:sz w:val="20"/>
          <w:szCs w:val="20"/>
        </w:rPr>
        <w:t xml:space="preserve">Acinetobacter </w:t>
      </w:r>
      <w:proofErr w:type="spellStart"/>
      <w:r w:rsidRPr="007759E5">
        <w:rPr>
          <w:rFonts w:ascii="Arial" w:eastAsia="Times New Roman" w:hAnsi="Arial" w:cs="Arial"/>
          <w:i/>
          <w:iCs/>
          <w:sz w:val="20"/>
          <w:szCs w:val="20"/>
        </w:rPr>
        <w:t>calcoaceticus</w:t>
      </w:r>
      <w:proofErr w:type="spellEnd"/>
      <w:r w:rsidRPr="007759E5">
        <w:rPr>
          <w:rFonts w:ascii="Arial" w:eastAsia="Times New Roman" w:hAnsi="Arial" w:cs="Arial"/>
          <w:i/>
          <w:iCs/>
          <w:sz w:val="20"/>
          <w:szCs w:val="20"/>
        </w:rPr>
        <w:t>–</w:t>
      </w:r>
      <w:proofErr w:type="spellStart"/>
      <w:r w:rsidRPr="007759E5">
        <w:rPr>
          <w:rFonts w:ascii="Arial" w:eastAsia="Times New Roman" w:hAnsi="Arial" w:cs="Arial"/>
          <w:i/>
          <w:iCs/>
          <w:sz w:val="20"/>
          <w:szCs w:val="20"/>
        </w:rPr>
        <w:t>baumannii</w:t>
      </w:r>
      <w:proofErr w:type="spellEnd"/>
      <w:r w:rsidRPr="007759E5">
        <w:rPr>
          <w:rFonts w:ascii="Arial" w:eastAsia="Times New Roman" w:hAnsi="Arial" w:cs="Arial"/>
          <w:sz w:val="20"/>
          <w:szCs w:val="20"/>
        </w:rPr>
        <w:t xml:space="preserve"> outbreak in pets. </w:t>
      </w:r>
      <w:r w:rsidRPr="007759E5">
        <w:rPr>
          <w:rFonts w:ascii="Arial" w:eastAsia="Times New Roman" w:hAnsi="Arial" w:cs="Arial"/>
          <w:i/>
          <w:iCs/>
          <w:sz w:val="20"/>
          <w:szCs w:val="20"/>
        </w:rPr>
        <w:t xml:space="preserve">J Small </w:t>
      </w:r>
      <w:proofErr w:type="spellStart"/>
      <w:r w:rsidRPr="007759E5">
        <w:rPr>
          <w:rFonts w:ascii="Arial" w:eastAsia="Times New Roman" w:hAnsi="Arial" w:cs="Arial"/>
          <w:i/>
          <w:iCs/>
          <w:sz w:val="20"/>
          <w:szCs w:val="20"/>
        </w:rPr>
        <w:t>Anim</w:t>
      </w:r>
      <w:proofErr w:type="spellEnd"/>
      <w:r w:rsidRPr="007759E5">
        <w:rPr>
          <w:rFonts w:ascii="Arial" w:eastAsia="Times New Roman" w:hAnsi="Arial" w:cs="Arial"/>
          <w:i/>
          <w:iCs/>
          <w:sz w:val="20"/>
          <w:szCs w:val="20"/>
        </w:rPr>
        <w:t xml:space="preserve"> </w:t>
      </w:r>
      <w:proofErr w:type="spellStart"/>
      <w:r w:rsidRPr="007759E5">
        <w:rPr>
          <w:rFonts w:ascii="Arial" w:eastAsia="Times New Roman" w:hAnsi="Arial" w:cs="Arial"/>
          <w:i/>
          <w:iCs/>
          <w:sz w:val="20"/>
          <w:szCs w:val="20"/>
        </w:rPr>
        <w:t>Pract</w:t>
      </w:r>
      <w:proofErr w:type="spellEnd"/>
      <w:r w:rsidRPr="007759E5">
        <w:rPr>
          <w:rFonts w:ascii="Arial" w:eastAsia="Times New Roman" w:hAnsi="Arial" w:cs="Arial"/>
          <w:sz w:val="20"/>
          <w:szCs w:val="20"/>
        </w:rPr>
        <w:t xml:space="preserve">, 57, 617–625. </w:t>
      </w:r>
    </w:p>
    <w:p w14:paraId="65991191" w14:textId="77777777" w:rsidR="00E04531" w:rsidRPr="007759E5" w:rsidRDefault="00E04531" w:rsidP="00EA0D40">
      <w:pPr>
        <w:spacing w:after="0" w:line="480" w:lineRule="auto"/>
        <w:ind w:left="1077" w:hanging="720"/>
        <w:rPr>
          <w:rFonts w:ascii="Arial" w:eastAsia="Times New Roman" w:hAnsi="Arial" w:cs="Arial"/>
          <w:sz w:val="20"/>
          <w:szCs w:val="20"/>
        </w:rPr>
      </w:pPr>
      <w:proofErr w:type="spellStart"/>
      <w:r w:rsidRPr="007759E5">
        <w:rPr>
          <w:rFonts w:ascii="Arial" w:eastAsia="Times New Roman" w:hAnsi="Arial" w:cs="Arial"/>
          <w:sz w:val="20"/>
          <w:szCs w:val="20"/>
        </w:rPr>
        <w:t>Anekar</w:t>
      </w:r>
      <w:proofErr w:type="spellEnd"/>
      <w:r w:rsidRPr="007759E5">
        <w:rPr>
          <w:rFonts w:ascii="Arial" w:eastAsia="Times New Roman" w:hAnsi="Arial" w:cs="Arial"/>
          <w:sz w:val="20"/>
          <w:szCs w:val="20"/>
        </w:rPr>
        <w:t xml:space="preserve"> SV. (2018). Isolation and molecular characterization of </w:t>
      </w:r>
      <w:r w:rsidRPr="007759E5">
        <w:rPr>
          <w:rFonts w:ascii="Arial" w:eastAsia="Times New Roman" w:hAnsi="Arial" w:cs="Arial"/>
          <w:i/>
          <w:iCs/>
          <w:sz w:val="20"/>
          <w:szCs w:val="20"/>
        </w:rPr>
        <w:t>Pseudomonas aeruginosa</w:t>
      </w:r>
      <w:r w:rsidRPr="007759E5">
        <w:rPr>
          <w:rFonts w:ascii="Arial" w:eastAsia="Times New Roman" w:hAnsi="Arial" w:cs="Arial"/>
          <w:sz w:val="20"/>
          <w:szCs w:val="20"/>
        </w:rPr>
        <w:t xml:space="preserve"> from canine otitis. </w:t>
      </w:r>
      <w:proofErr w:type="spellStart"/>
      <w:r w:rsidRPr="007759E5">
        <w:rPr>
          <w:rFonts w:ascii="Arial" w:eastAsia="Times New Roman" w:hAnsi="Arial" w:cs="Arial"/>
          <w:sz w:val="20"/>
          <w:szCs w:val="20"/>
        </w:rPr>
        <w:t>MVSc</w:t>
      </w:r>
      <w:proofErr w:type="spellEnd"/>
      <w:r w:rsidRPr="007759E5">
        <w:rPr>
          <w:rFonts w:ascii="Arial" w:eastAsia="Times New Roman" w:hAnsi="Arial" w:cs="Arial"/>
          <w:sz w:val="20"/>
          <w:szCs w:val="20"/>
        </w:rPr>
        <w:t xml:space="preserve"> Thesis. </w:t>
      </w:r>
    </w:p>
    <w:p w14:paraId="3C43C975"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Sharma S. (2022). Prevalence of </w:t>
      </w:r>
      <w:r w:rsidRPr="007759E5">
        <w:rPr>
          <w:rFonts w:ascii="Arial" w:eastAsia="Times New Roman" w:hAnsi="Arial" w:cs="Arial"/>
          <w:i/>
          <w:iCs/>
          <w:sz w:val="20"/>
          <w:szCs w:val="20"/>
        </w:rPr>
        <w:t>Acinetobacter spp.</w:t>
      </w:r>
      <w:r w:rsidRPr="007759E5">
        <w:rPr>
          <w:rFonts w:ascii="Arial" w:eastAsia="Times New Roman" w:hAnsi="Arial" w:cs="Arial"/>
          <w:sz w:val="20"/>
          <w:szCs w:val="20"/>
        </w:rPr>
        <w:t xml:space="preserve"> in pet animals. </w:t>
      </w:r>
      <w:proofErr w:type="spellStart"/>
      <w:r w:rsidRPr="007759E5">
        <w:rPr>
          <w:rFonts w:ascii="Arial" w:eastAsia="Times New Roman" w:hAnsi="Arial" w:cs="Arial"/>
          <w:sz w:val="20"/>
          <w:szCs w:val="20"/>
        </w:rPr>
        <w:t>MVSc</w:t>
      </w:r>
      <w:proofErr w:type="spellEnd"/>
      <w:r w:rsidRPr="007759E5">
        <w:rPr>
          <w:rFonts w:ascii="Arial" w:eastAsia="Times New Roman" w:hAnsi="Arial" w:cs="Arial"/>
          <w:sz w:val="20"/>
          <w:szCs w:val="20"/>
        </w:rPr>
        <w:t xml:space="preserve"> Thesis. </w:t>
      </w:r>
    </w:p>
    <w:p w14:paraId="0F9468EB"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Asokan GV, Ramadhan T, Ahmed E, Sanad H. (2019). WHO priority pathogens analysis. </w:t>
      </w:r>
      <w:r w:rsidRPr="007759E5">
        <w:rPr>
          <w:rFonts w:ascii="Arial" w:eastAsia="Times New Roman" w:hAnsi="Arial" w:cs="Arial"/>
          <w:i/>
          <w:iCs/>
          <w:sz w:val="20"/>
          <w:szCs w:val="20"/>
        </w:rPr>
        <w:t>Oman Med J</w:t>
      </w:r>
      <w:r w:rsidRPr="007759E5">
        <w:rPr>
          <w:rFonts w:ascii="Arial" w:eastAsia="Times New Roman" w:hAnsi="Arial" w:cs="Arial"/>
          <w:sz w:val="20"/>
          <w:szCs w:val="20"/>
        </w:rPr>
        <w:t xml:space="preserve">, 34, 184. </w:t>
      </w:r>
    </w:p>
    <w:p w14:paraId="4B89C9ED" w14:textId="77777777" w:rsidR="00E04531" w:rsidRPr="007759E5" w:rsidRDefault="00E04531" w:rsidP="00EA0D40">
      <w:pPr>
        <w:spacing w:after="0" w:line="480" w:lineRule="auto"/>
        <w:ind w:left="1077" w:hanging="720"/>
        <w:rPr>
          <w:rFonts w:ascii="Arial" w:eastAsia="Times New Roman" w:hAnsi="Arial" w:cs="Arial"/>
          <w:sz w:val="20"/>
          <w:szCs w:val="20"/>
        </w:rPr>
      </w:pPr>
      <w:proofErr w:type="spellStart"/>
      <w:r w:rsidRPr="007759E5">
        <w:rPr>
          <w:rFonts w:ascii="Arial" w:eastAsia="Times New Roman" w:hAnsi="Arial" w:cs="Arial"/>
          <w:sz w:val="20"/>
          <w:szCs w:val="20"/>
        </w:rPr>
        <w:t>Elfadadny</w:t>
      </w:r>
      <w:proofErr w:type="spellEnd"/>
      <w:r w:rsidRPr="007759E5">
        <w:rPr>
          <w:rFonts w:ascii="Arial" w:eastAsia="Times New Roman" w:hAnsi="Arial" w:cs="Arial"/>
          <w:sz w:val="20"/>
          <w:szCs w:val="20"/>
        </w:rPr>
        <w:t xml:space="preserve"> A, Ragab RF, Hamada R, Al Jaouni SK, Fu J, Mousa SA, et al. (2023). Bioactive compounds and antimicrobial implications. </w:t>
      </w:r>
      <w:proofErr w:type="spellStart"/>
      <w:r w:rsidRPr="007759E5">
        <w:rPr>
          <w:rFonts w:ascii="Arial" w:eastAsia="Times New Roman" w:hAnsi="Arial" w:cs="Arial"/>
          <w:i/>
          <w:iCs/>
          <w:sz w:val="20"/>
          <w:szCs w:val="20"/>
        </w:rPr>
        <w:t>Toxicol</w:t>
      </w:r>
      <w:proofErr w:type="spellEnd"/>
      <w:r w:rsidRPr="007759E5">
        <w:rPr>
          <w:rFonts w:ascii="Arial" w:eastAsia="Times New Roman" w:hAnsi="Arial" w:cs="Arial"/>
          <w:i/>
          <w:iCs/>
          <w:sz w:val="20"/>
          <w:szCs w:val="20"/>
        </w:rPr>
        <w:t xml:space="preserve"> Appl </w:t>
      </w:r>
      <w:proofErr w:type="spellStart"/>
      <w:r w:rsidRPr="007759E5">
        <w:rPr>
          <w:rFonts w:ascii="Arial" w:eastAsia="Times New Roman" w:hAnsi="Arial" w:cs="Arial"/>
          <w:i/>
          <w:iCs/>
          <w:sz w:val="20"/>
          <w:szCs w:val="20"/>
        </w:rPr>
        <w:t>Pharmacol</w:t>
      </w:r>
      <w:proofErr w:type="spellEnd"/>
      <w:r w:rsidRPr="007759E5">
        <w:rPr>
          <w:rFonts w:ascii="Arial" w:eastAsia="Times New Roman" w:hAnsi="Arial" w:cs="Arial"/>
          <w:sz w:val="20"/>
          <w:szCs w:val="20"/>
        </w:rPr>
        <w:t xml:space="preserve">, 461, 116405. </w:t>
      </w:r>
    </w:p>
    <w:p w14:paraId="001458AD"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Colombini S, Merchant SR, Hosgood G. (2000). Microbial flora in canine otitis. </w:t>
      </w:r>
      <w:r w:rsidRPr="007759E5">
        <w:rPr>
          <w:rFonts w:ascii="Arial" w:eastAsia="Times New Roman" w:hAnsi="Arial" w:cs="Arial"/>
          <w:i/>
          <w:iCs/>
          <w:sz w:val="20"/>
          <w:szCs w:val="20"/>
        </w:rPr>
        <w:t>Vet Dermatol</w:t>
      </w:r>
      <w:r w:rsidRPr="007759E5">
        <w:rPr>
          <w:rFonts w:ascii="Arial" w:eastAsia="Times New Roman" w:hAnsi="Arial" w:cs="Arial"/>
          <w:sz w:val="20"/>
          <w:szCs w:val="20"/>
        </w:rPr>
        <w:t xml:space="preserve">, 11, 235–239. </w:t>
      </w:r>
    </w:p>
    <w:p w14:paraId="279A9494" w14:textId="77777777" w:rsidR="00E04531" w:rsidRPr="007759E5" w:rsidRDefault="00E04531" w:rsidP="00EA0D40">
      <w:pPr>
        <w:spacing w:after="0" w:line="480" w:lineRule="auto"/>
        <w:ind w:left="1077" w:hanging="720"/>
        <w:rPr>
          <w:rFonts w:ascii="Arial" w:eastAsia="Times New Roman" w:hAnsi="Arial" w:cs="Arial"/>
          <w:sz w:val="20"/>
          <w:szCs w:val="20"/>
        </w:rPr>
      </w:pPr>
      <w:proofErr w:type="spellStart"/>
      <w:r w:rsidRPr="007759E5">
        <w:rPr>
          <w:rFonts w:ascii="Arial" w:eastAsia="Times New Roman" w:hAnsi="Arial" w:cs="Arial"/>
          <w:sz w:val="20"/>
          <w:szCs w:val="20"/>
        </w:rPr>
        <w:t>Türkyilmaz</w:t>
      </w:r>
      <w:proofErr w:type="spellEnd"/>
      <w:r w:rsidRPr="007759E5">
        <w:rPr>
          <w:rFonts w:ascii="Arial" w:eastAsia="Times New Roman" w:hAnsi="Arial" w:cs="Arial"/>
          <w:sz w:val="20"/>
          <w:szCs w:val="20"/>
        </w:rPr>
        <w:t xml:space="preserve"> S. (2008). Antibiotic susceptibility of </w:t>
      </w:r>
      <w:r w:rsidRPr="007759E5">
        <w:rPr>
          <w:rFonts w:ascii="Arial" w:eastAsia="Times New Roman" w:hAnsi="Arial" w:cs="Arial"/>
          <w:i/>
          <w:iCs/>
          <w:sz w:val="20"/>
          <w:szCs w:val="20"/>
        </w:rPr>
        <w:t>Pseudomonas aeruginosa</w:t>
      </w:r>
      <w:r w:rsidRPr="007759E5">
        <w:rPr>
          <w:rFonts w:ascii="Arial" w:eastAsia="Times New Roman" w:hAnsi="Arial" w:cs="Arial"/>
          <w:sz w:val="20"/>
          <w:szCs w:val="20"/>
        </w:rPr>
        <w:t xml:space="preserve"> in dogs. </w:t>
      </w:r>
      <w:r w:rsidRPr="007759E5">
        <w:rPr>
          <w:rFonts w:ascii="Arial" w:eastAsia="Times New Roman" w:hAnsi="Arial" w:cs="Arial"/>
          <w:i/>
          <w:iCs/>
          <w:sz w:val="20"/>
          <w:szCs w:val="20"/>
        </w:rPr>
        <w:t>Turk J Vet Anim Sci</w:t>
      </w:r>
      <w:r w:rsidRPr="007759E5">
        <w:rPr>
          <w:rFonts w:ascii="Arial" w:eastAsia="Times New Roman" w:hAnsi="Arial" w:cs="Arial"/>
          <w:sz w:val="20"/>
          <w:szCs w:val="20"/>
        </w:rPr>
        <w:t xml:space="preserve">, 32, 65–70. </w:t>
      </w:r>
    </w:p>
    <w:p w14:paraId="7042C04A"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Hillier A, Alcorn JR, Cole LK, Kowalski JJ. (2007). </w:t>
      </w:r>
      <w:r w:rsidRPr="007759E5">
        <w:rPr>
          <w:rFonts w:ascii="Arial" w:eastAsia="Times New Roman" w:hAnsi="Arial" w:cs="Arial"/>
          <w:i/>
          <w:iCs/>
          <w:sz w:val="20"/>
          <w:szCs w:val="20"/>
        </w:rPr>
        <w:t>Pseudomonas</w:t>
      </w:r>
      <w:r w:rsidRPr="007759E5">
        <w:rPr>
          <w:rFonts w:ascii="Arial" w:eastAsia="Times New Roman" w:hAnsi="Arial" w:cs="Arial"/>
          <w:sz w:val="20"/>
          <w:szCs w:val="20"/>
        </w:rPr>
        <w:t xml:space="preserve"> pyoderma in dogs. </w:t>
      </w:r>
      <w:r w:rsidRPr="007759E5">
        <w:rPr>
          <w:rFonts w:ascii="Arial" w:eastAsia="Times New Roman" w:hAnsi="Arial" w:cs="Arial"/>
          <w:i/>
          <w:iCs/>
          <w:sz w:val="20"/>
          <w:szCs w:val="20"/>
        </w:rPr>
        <w:t>Vet Dermatol</w:t>
      </w:r>
      <w:r w:rsidRPr="007759E5">
        <w:rPr>
          <w:rFonts w:ascii="Arial" w:eastAsia="Times New Roman" w:hAnsi="Arial" w:cs="Arial"/>
          <w:sz w:val="20"/>
          <w:szCs w:val="20"/>
        </w:rPr>
        <w:t xml:space="preserve">, 17, 432–439. </w:t>
      </w:r>
    </w:p>
    <w:p w14:paraId="4BD7CC25"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lastRenderedPageBreak/>
        <w:t xml:space="preserve">Singh VK, Kumar A, Jayshree, Yadav SK. (2017). Prevalence of </w:t>
      </w:r>
      <w:r w:rsidRPr="007759E5">
        <w:rPr>
          <w:rFonts w:ascii="Arial" w:eastAsia="Times New Roman" w:hAnsi="Arial" w:cs="Arial"/>
          <w:i/>
          <w:iCs/>
          <w:sz w:val="20"/>
          <w:szCs w:val="20"/>
        </w:rPr>
        <w:t>Pseudomonas aeruginosa</w:t>
      </w:r>
      <w:r w:rsidRPr="007759E5">
        <w:rPr>
          <w:rFonts w:ascii="Arial" w:eastAsia="Times New Roman" w:hAnsi="Arial" w:cs="Arial"/>
          <w:sz w:val="20"/>
          <w:szCs w:val="20"/>
        </w:rPr>
        <w:t xml:space="preserve"> in animals. </w:t>
      </w:r>
      <w:r w:rsidRPr="007759E5">
        <w:rPr>
          <w:rFonts w:ascii="Arial" w:eastAsia="Times New Roman" w:hAnsi="Arial" w:cs="Arial"/>
          <w:i/>
          <w:iCs/>
          <w:sz w:val="20"/>
          <w:szCs w:val="20"/>
        </w:rPr>
        <w:t>Indian J Comp Microbiol Immunol Infect Dis</w:t>
      </w:r>
      <w:r w:rsidRPr="007759E5">
        <w:rPr>
          <w:rFonts w:ascii="Arial" w:eastAsia="Times New Roman" w:hAnsi="Arial" w:cs="Arial"/>
          <w:sz w:val="20"/>
          <w:szCs w:val="20"/>
        </w:rPr>
        <w:t xml:space="preserve">, 38(1), 37–42. </w:t>
      </w:r>
    </w:p>
    <w:p w14:paraId="30BF8B9F"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Rosales RS, Ramírez AS, Moya-Gil E, de la Fuente SN, Suárez-Pérez A, Poveda JB. (2024). Canine otitis antimicrobial patterns. </w:t>
      </w:r>
      <w:r w:rsidRPr="007759E5">
        <w:rPr>
          <w:rFonts w:ascii="Arial" w:eastAsia="Times New Roman" w:hAnsi="Arial" w:cs="Arial"/>
          <w:i/>
          <w:iCs/>
          <w:sz w:val="20"/>
          <w:szCs w:val="20"/>
        </w:rPr>
        <w:t>Animals</w:t>
      </w:r>
      <w:r w:rsidRPr="007759E5">
        <w:rPr>
          <w:rFonts w:ascii="Arial" w:eastAsia="Times New Roman" w:hAnsi="Arial" w:cs="Arial"/>
          <w:sz w:val="20"/>
          <w:szCs w:val="20"/>
        </w:rPr>
        <w:t xml:space="preserve">, 14, 742. </w:t>
      </w:r>
    </w:p>
    <w:p w14:paraId="3F5C26FB"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Black DM, Rankin SC, King LG. (2009). ICU infections in dogs. </w:t>
      </w:r>
      <w:r w:rsidRPr="007759E5">
        <w:rPr>
          <w:rFonts w:ascii="Arial" w:eastAsia="Times New Roman" w:hAnsi="Arial" w:cs="Arial"/>
          <w:i/>
          <w:iCs/>
          <w:sz w:val="20"/>
          <w:szCs w:val="20"/>
        </w:rPr>
        <w:t>J Vet Emerg Crit Care</w:t>
      </w:r>
      <w:r w:rsidRPr="007759E5">
        <w:rPr>
          <w:rFonts w:ascii="Arial" w:eastAsia="Times New Roman" w:hAnsi="Arial" w:cs="Arial"/>
          <w:sz w:val="20"/>
          <w:szCs w:val="20"/>
        </w:rPr>
        <w:t xml:space="preserve">, 19, 489–495. </w:t>
      </w:r>
    </w:p>
    <w:p w14:paraId="4D504B51"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Mitchell KE, Turton JF, Lloyd DH. (2018). </w:t>
      </w:r>
      <w:r w:rsidRPr="007759E5">
        <w:rPr>
          <w:rFonts w:ascii="Arial" w:eastAsia="Times New Roman" w:hAnsi="Arial" w:cs="Arial"/>
          <w:i/>
          <w:iCs/>
          <w:sz w:val="20"/>
          <w:szCs w:val="20"/>
        </w:rPr>
        <w:t>Acinetobacter</w:t>
      </w:r>
      <w:r w:rsidRPr="007759E5">
        <w:rPr>
          <w:rFonts w:ascii="Arial" w:eastAsia="Times New Roman" w:hAnsi="Arial" w:cs="Arial"/>
          <w:sz w:val="20"/>
          <w:szCs w:val="20"/>
        </w:rPr>
        <w:t xml:space="preserve"> in canine skin. </w:t>
      </w:r>
      <w:r w:rsidRPr="007759E5">
        <w:rPr>
          <w:rFonts w:ascii="Arial" w:eastAsia="Times New Roman" w:hAnsi="Arial" w:cs="Arial"/>
          <w:i/>
          <w:iCs/>
          <w:sz w:val="20"/>
          <w:szCs w:val="20"/>
        </w:rPr>
        <w:t>Vet Dermatol</w:t>
      </w:r>
      <w:r w:rsidRPr="007759E5">
        <w:rPr>
          <w:rFonts w:ascii="Arial" w:eastAsia="Times New Roman" w:hAnsi="Arial" w:cs="Arial"/>
          <w:sz w:val="20"/>
          <w:szCs w:val="20"/>
        </w:rPr>
        <w:t xml:space="preserve">, 29, 240. </w:t>
      </w:r>
    </w:p>
    <w:p w14:paraId="1C663DFE"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Gupta N, Gandham N, Jadhav S, Mishra R. (2015). </w:t>
      </w:r>
      <w:r w:rsidRPr="007759E5">
        <w:rPr>
          <w:rFonts w:ascii="Arial" w:eastAsia="Times New Roman" w:hAnsi="Arial" w:cs="Arial"/>
          <w:i/>
          <w:iCs/>
          <w:sz w:val="20"/>
          <w:szCs w:val="20"/>
        </w:rPr>
        <w:t>Acinetobacter</w:t>
      </w:r>
      <w:r w:rsidRPr="007759E5">
        <w:rPr>
          <w:rFonts w:ascii="Arial" w:eastAsia="Times New Roman" w:hAnsi="Arial" w:cs="Arial"/>
          <w:sz w:val="20"/>
          <w:szCs w:val="20"/>
        </w:rPr>
        <w:t xml:space="preserve"> resistance patterns. </w:t>
      </w:r>
      <w:r w:rsidRPr="007759E5">
        <w:rPr>
          <w:rFonts w:ascii="Arial" w:eastAsia="Times New Roman" w:hAnsi="Arial" w:cs="Arial"/>
          <w:i/>
          <w:iCs/>
          <w:sz w:val="20"/>
          <w:szCs w:val="20"/>
        </w:rPr>
        <w:t>J Nat Sci Biol Med</w:t>
      </w:r>
      <w:r w:rsidRPr="007759E5">
        <w:rPr>
          <w:rFonts w:ascii="Arial" w:eastAsia="Times New Roman" w:hAnsi="Arial" w:cs="Arial"/>
          <w:sz w:val="20"/>
          <w:szCs w:val="20"/>
        </w:rPr>
        <w:t xml:space="preserve">, 6, 159–162. </w:t>
      </w:r>
    </w:p>
    <w:p w14:paraId="1964EB67" w14:textId="77777777" w:rsidR="00E04531" w:rsidRPr="007759E5" w:rsidRDefault="00E04531" w:rsidP="00EA0D40">
      <w:pPr>
        <w:spacing w:after="0" w:line="480" w:lineRule="auto"/>
        <w:ind w:left="1077" w:hanging="720"/>
        <w:rPr>
          <w:rFonts w:ascii="Arial" w:eastAsia="Times New Roman" w:hAnsi="Arial" w:cs="Arial"/>
          <w:sz w:val="20"/>
          <w:szCs w:val="20"/>
        </w:rPr>
      </w:pPr>
      <w:proofErr w:type="spellStart"/>
      <w:r w:rsidRPr="007759E5">
        <w:rPr>
          <w:rFonts w:ascii="Arial" w:eastAsia="Times New Roman" w:hAnsi="Arial" w:cs="Arial"/>
          <w:sz w:val="20"/>
          <w:szCs w:val="20"/>
        </w:rPr>
        <w:t>Nakbubpa</w:t>
      </w:r>
      <w:proofErr w:type="spellEnd"/>
      <w:r w:rsidRPr="007759E5">
        <w:rPr>
          <w:rFonts w:ascii="Arial" w:eastAsia="Times New Roman" w:hAnsi="Arial" w:cs="Arial"/>
          <w:sz w:val="20"/>
          <w:szCs w:val="20"/>
        </w:rPr>
        <w:t xml:space="preserve"> K, </w:t>
      </w:r>
      <w:proofErr w:type="spellStart"/>
      <w:r w:rsidRPr="007759E5">
        <w:rPr>
          <w:rFonts w:ascii="Arial" w:eastAsia="Times New Roman" w:hAnsi="Arial" w:cs="Arial"/>
          <w:sz w:val="20"/>
          <w:szCs w:val="20"/>
        </w:rPr>
        <w:t>Janchawna</w:t>
      </w:r>
      <w:proofErr w:type="spellEnd"/>
      <w:r w:rsidRPr="007759E5">
        <w:rPr>
          <w:rFonts w:ascii="Arial" w:eastAsia="Times New Roman" w:hAnsi="Arial" w:cs="Arial"/>
          <w:sz w:val="20"/>
          <w:szCs w:val="20"/>
        </w:rPr>
        <w:t xml:space="preserve"> R, </w:t>
      </w:r>
      <w:proofErr w:type="spellStart"/>
      <w:r w:rsidRPr="007759E5">
        <w:rPr>
          <w:rFonts w:ascii="Arial" w:eastAsia="Times New Roman" w:hAnsi="Arial" w:cs="Arial"/>
          <w:sz w:val="20"/>
          <w:szCs w:val="20"/>
        </w:rPr>
        <w:t>Thumchop</w:t>
      </w:r>
      <w:proofErr w:type="spellEnd"/>
      <w:r w:rsidRPr="007759E5">
        <w:rPr>
          <w:rFonts w:ascii="Arial" w:eastAsia="Times New Roman" w:hAnsi="Arial" w:cs="Arial"/>
          <w:sz w:val="20"/>
          <w:szCs w:val="20"/>
        </w:rPr>
        <w:t xml:space="preserve"> W, </w:t>
      </w:r>
      <w:proofErr w:type="spellStart"/>
      <w:r w:rsidRPr="007759E5">
        <w:rPr>
          <w:rFonts w:ascii="Arial" w:eastAsia="Times New Roman" w:hAnsi="Arial" w:cs="Arial"/>
          <w:sz w:val="20"/>
          <w:szCs w:val="20"/>
        </w:rPr>
        <w:t>Panboonthong</w:t>
      </w:r>
      <w:proofErr w:type="spellEnd"/>
      <w:r w:rsidRPr="007759E5">
        <w:rPr>
          <w:rFonts w:ascii="Arial" w:eastAsia="Times New Roman" w:hAnsi="Arial" w:cs="Arial"/>
          <w:sz w:val="20"/>
          <w:szCs w:val="20"/>
        </w:rPr>
        <w:t xml:space="preserve"> A, </w:t>
      </w:r>
      <w:proofErr w:type="spellStart"/>
      <w:r w:rsidRPr="007759E5">
        <w:rPr>
          <w:rFonts w:ascii="Arial" w:eastAsia="Times New Roman" w:hAnsi="Arial" w:cs="Arial"/>
          <w:sz w:val="20"/>
          <w:szCs w:val="20"/>
        </w:rPr>
        <w:t>Pornsukarom</w:t>
      </w:r>
      <w:proofErr w:type="spellEnd"/>
      <w:r w:rsidRPr="007759E5">
        <w:rPr>
          <w:rFonts w:ascii="Arial" w:eastAsia="Times New Roman" w:hAnsi="Arial" w:cs="Arial"/>
          <w:sz w:val="20"/>
          <w:szCs w:val="20"/>
        </w:rPr>
        <w:t xml:space="preserve"> S. (2021). </w:t>
      </w:r>
      <w:r w:rsidRPr="007759E5">
        <w:rPr>
          <w:rFonts w:ascii="Arial" w:eastAsia="Times New Roman" w:hAnsi="Arial" w:cs="Arial"/>
          <w:i/>
          <w:iCs/>
          <w:sz w:val="20"/>
          <w:szCs w:val="20"/>
        </w:rPr>
        <w:t>Acinetobacter</w:t>
      </w:r>
      <w:r w:rsidRPr="007759E5">
        <w:rPr>
          <w:rFonts w:ascii="Arial" w:eastAsia="Times New Roman" w:hAnsi="Arial" w:cs="Arial"/>
          <w:sz w:val="20"/>
          <w:szCs w:val="20"/>
        </w:rPr>
        <w:t xml:space="preserve"> prevalence. </w:t>
      </w:r>
      <w:r w:rsidRPr="007759E5">
        <w:rPr>
          <w:rFonts w:ascii="Arial" w:eastAsia="Times New Roman" w:hAnsi="Arial" w:cs="Arial"/>
          <w:i/>
          <w:iCs/>
          <w:sz w:val="20"/>
          <w:szCs w:val="20"/>
        </w:rPr>
        <w:t>Korean J Vet Res</w:t>
      </w:r>
      <w:r w:rsidRPr="007759E5">
        <w:rPr>
          <w:rFonts w:ascii="Arial" w:eastAsia="Times New Roman" w:hAnsi="Arial" w:cs="Arial"/>
          <w:sz w:val="20"/>
          <w:szCs w:val="20"/>
        </w:rPr>
        <w:t xml:space="preserve">, 61, e26. </w:t>
      </w:r>
    </w:p>
    <w:p w14:paraId="4FA795C0"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Mahajan R, Neeraj, Sarika, Mahajan B. (2016). NFGNB identification. </w:t>
      </w:r>
      <w:r w:rsidRPr="007759E5">
        <w:rPr>
          <w:rFonts w:ascii="Arial" w:eastAsia="Times New Roman" w:hAnsi="Arial" w:cs="Arial"/>
          <w:i/>
          <w:iCs/>
          <w:sz w:val="20"/>
          <w:szCs w:val="20"/>
        </w:rPr>
        <w:t>Sch J Appl Med Sci</w:t>
      </w:r>
      <w:r w:rsidRPr="007759E5">
        <w:rPr>
          <w:rFonts w:ascii="Arial" w:eastAsia="Times New Roman" w:hAnsi="Arial" w:cs="Arial"/>
          <w:sz w:val="20"/>
          <w:szCs w:val="20"/>
        </w:rPr>
        <w:t xml:space="preserve">, 4, 872–876. </w:t>
      </w:r>
    </w:p>
    <w:p w14:paraId="6B28BD97"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Malini A, Deepa EK, Gokul BN, Prasad SR. (2009). NFGNB infections. </w:t>
      </w:r>
      <w:r w:rsidRPr="007759E5">
        <w:rPr>
          <w:rFonts w:ascii="Arial" w:eastAsia="Times New Roman" w:hAnsi="Arial" w:cs="Arial"/>
          <w:i/>
          <w:iCs/>
          <w:sz w:val="20"/>
          <w:szCs w:val="20"/>
        </w:rPr>
        <w:t>J Lab Physicians</w:t>
      </w:r>
      <w:r w:rsidRPr="007759E5">
        <w:rPr>
          <w:rFonts w:ascii="Arial" w:eastAsia="Times New Roman" w:hAnsi="Arial" w:cs="Arial"/>
          <w:sz w:val="20"/>
          <w:szCs w:val="20"/>
        </w:rPr>
        <w:t xml:space="preserve">, 1, 45–49. </w:t>
      </w:r>
    </w:p>
    <w:p w14:paraId="14FE37B4"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Mathewson JJ, Simpson RB. (1982). Non-fermenting bacteria in veterinary samples. </w:t>
      </w:r>
      <w:r w:rsidRPr="007759E5">
        <w:rPr>
          <w:rFonts w:ascii="Arial" w:eastAsia="Times New Roman" w:hAnsi="Arial" w:cs="Arial"/>
          <w:i/>
          <w:iCs/>
          <w:sz w:val="20"/>
          <w:szCs w:val="20"/>
        </w:rPr>
        <w:t>J Clin Microbiol</w:t>
      </w:r>
      <w:r w:rsidRPr="007759E5">
        <w:rPr>
          <w:rFonts w:ascii="Arial" w:eastAsia="Times New Roman" w:hAnsi="Arial" w:cs="Arial"/>
          <w:sz w:val="20"/>
          <w:szCs w:val="20"/>
        </w:rPr>
        <w:t xml:space="preserve">, 15, 1016–1018. </w:t>
      </w:r>
    </w:p>
    <w:p w14:paraId="77ABB2F4"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Khalil MA, Sonbol FI, Mohamed AF, Ali SS. (2015). Virulence in </w:t>
      </w:r>
      <w:r w:rsidRPr="007759E5">
        <w:rPr>
          <w:rFonts w:ascii="Arial" w:eastAsia="Times New Roman" w:hAnsi="Arial" w:cs="Arial"/>
          <w:i/>
          <w:iCs/>
          <w:sz w:val="20"/>
          <w:szCs w:val="20"/>
        </w:rPr>
        <w:t>Pseudomonas aeruginosa</w:t>
      </w:r>
      <w:r w:rsidRPr="007759E5">
        <w:rPr>
          <w:rFonts w:ascii="Arial" w:eastAsia="Times New Roman" w:hAnsi="Arial" w:cs="Arial"/>
          <w:sz w:val="20"/>
          <w:szCs w:val="20"/>
        </w:rPr>
        <w:t xml:space="preserve">. </w:t>
      </w:r>
      <w:r w:rsidRPr="007759E5">
        <w:rPr>
          <w:rFonts w:ascii="Arial" w:eastAsia="Times New Roman" w:hAnsi="Arial" w:cs="Arial"/>
          <w:i/>
          <w:iCs/>
          <w:sz w:val="20"/>
          <w:szCs w:val="20"/>
        </w:rPr>
        <w:t>Turk J Med Sci</w:t>
      </w:r>
      <w:r w:rsidRPr="007759E5">
        <w:rPr>
          <w:rFonts w:ascii="Arial" w:eastAsia="Times New Roman" w:hAnsi="Arial" w:cs="Arial"/>
          <w:sz w:val="20"/>
          <w:szCs w:val="20"/>
        </w:rPr>
        <w:t xml:space="preserve">, 45, 60–69. </w:t>
      </w:r>
    </w:p>
    <w:p w14:paraId="10FD2E2F"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Mohammed BQ, Abdullah AH, Rayshan AR. (2024). </w:t>
      </w:r>
      <w:r w:rsidRPr="007759E5">
        <w:rPr>
          <w:rFonts w:ascii="Arial" w:eastAsia="Times New Roman" w:hAnsi="Arial" w:cs="Arial"/>
          <w:i/>
          <w:iCs/>
          <w:sz w:val="20"/>
          <w:szCs w:val="20"/>
        </w:rPr>
        <w:t>Pseudomonas</w:t>
      </w:r>
      <w:r w:rsidRPr="007759E5">
        <w:rPr>
          <w:rFonts w:ascii="Arial" w:eastAsia="Times New Roman" w:hAnsi="Arial" w:cs="Arial"/>
          <w:sz w:val="20"/>
          <w:szCs w:val="20"/>
        </w:rPr>
        <w:t xml:space="preserve"> in canine otitis. </w:t>
      </w:r>
      <w:r w:rsidRPr="007759E5">
        <w:rPr>
          <w:rFonts w:ascii="Arial" w:eastAsia="Times New Roman" w:hAnsi="Arial" w:cs="Arial"/>
          <w:i/>
          <w:iCs/>
          <w:sz w:val="20"/>
          <w:szCs w:val="20"/>
        </w:rPr>
        <w:t xml:space="preserve">Int J Agric </w:t>
      </w:r>
      <w:proofErr w:type="spellStart"/>
      <w:r w:rsidRPr="007759E5">
        <w:rPr>
          <w:rFonts w:ascii="Arial" w:eastAsia="Times New Roman" w:hAnsi="Arial" w:cs="Arial"/>
          <w:i/>
          <w:iCs/>
          <w:sz w:val="20"/>
          <w:szCs w:val="20"/>
        </w:rPr>
        <w:t>Biosci</w:t>
      </w:r>
      <w:proofErr w:type="spellEnd"/>
      <w:r w:rsidRPr="007759E5">
        <w:rPr>
          <w:rFonts w:ascii="Arial" w:eastAsia="Times New Roman" w:hAnsi="Arial" w:cs="Arial"/>
          <w:sz w:val="20"/>
          <w:szCs w:val="20"/>
        </w:rPr>
        <w:t xml:space="preserve">, 13, 59–64. </w:t>
      </w:r>
    </w:p>
    <w:p w14:paraId="5BE17825" w14:textId="77777777" w:rsidR="00E04531" w:rsidRPr="007759E5" w:rsidRDefault="00E04531" w:rsidP="00EA0D40">
      <w:pPr>
        <w:spacing w:after="0" w:line="480" w:lineRule="auto"/>
        <w:ind w:left="1077" w:hanging="720"/>
        <w:rPr>
          <w:rFonts w:ascii="Arial" w:eastAsia="Times New Roman" w:hAnsi="Arial" w:cs="Arial"/>
          <w:sz w:val="20"/>
          <w:szCs w:val="20"/>
        </w:rPr>
      </w:pPr>
      <w:proofErr w:type="spellStart"/>
      <w:r w:rsidRPr="007759E5">
        <w:rPr>
          <w:rFonts w:ascii="Arial" w:eastAsia="Times New Roman" w:hAnsi="Arial" w:cs="Arial"/>
          <w:sz w:val="20"/>
          <w:szCs w:val="20"/>
        </w:rPr>
        <w:t>Karatuna</w:t>
      </w:r>
      <w:proofErr w:type="spellEnd"/>
      <w:r w:rsidRPr="007759E5">
        <w:rPr>
          <w:rFonts w:ascii="Arial" w:eastAsia="Times New Roman" w:hAnsi="Arial" w:cs="Arial"/>
          <w:sz w:val="20"/>
          <w:szCs w:val="20"/>
        </w:rPr>
        <w:t xml:space="preserve"> O, </w:t>
      </w:r>
      <w:proofErr w:type="spellStart"/>
      <w:r w:rsidRPr="007759E5">
        <w:rPr>
          <w:rFonts w:ascii="Arial" w:eastAsia="Times New Roman" w:hAnsi="Arial" w:cs="Arial"/>
          <w:sz w:val="20"/>
          <w:szCs w:val="20"/>
        </w:rPr>
        <w:t>Yagci</w:t>
      </w:r>
      <w:proofErr w:type="spellEnd"/>
      <w:r w:rsidRPr="007759E5">
        <w:rPr>
          <w:rFonts w:ascii="Arial" w:eastAsia="Times New Roman" w:hAnsi="Arial" w:cs="Arial"/>
          <w:sz w:val="20"/>
          <w:szCs w:val="20"/>
        </w:rPr>
        <w:t xml:space="preserve"> A. (2010). Quorum sensing in </w:t>
      </w:r>
      <w:r w:rsidRPr="007759E5">
        <w:rPr>
          <w:rFonts w:ascii="Arial" w:eastAsia="Times New Roman" w:hAnsi="Arial" w:cs="Arial"/>
          <w:i/>
          <w:iCs/>
          <w:sz w:val="20"/>
          <w:szCs w:val="20"/>
        </w:rPr>
        <w:t>Pseudomonas</w:t>
      </w:r>
      <w:r w:rsidRPr="007759E5">
        <w:rPr>
          <w:rFonts w:ascii="Arial" w:eastAsia="Times New Roman" w:hAnsi="Arial" w:cs="Arial"/>
          <w:sz w:val="20"/>
          <w:szCs w:val="20"/>
        </w:rPr>
        <w:t xml:space="preserve">. </w:t>
      </w:r>
      <w:r w:rsidRPr="007759E5">
        <w:rPr>
          <w:rFonts w:ascii="Arial" w:eastAsia="Times New Roman" w:hAnsi="Arial" w:cs="Arial"/>
          <w:i/>
          <w:iCs/>
          <w:sz w:val="20"/>
          <w:szCs w:val="20"/>
        </w:rPr>
        <w:t>Clin Microbiol Infect</w:t>
      </w:r>
      <w:r w:rsidRPr="007759E5">
        <w:rPr>
          <w:rFonts w:ascii="Arial" w:eastAsia="Times New Roman" w:hAnsi="Arial" w:cs="Arial"/>
          <w:sz w:val="20"/>
          <w:szCs w:val="20"/>
        </w:rPr>
        <w:t xml:space="preserve">, 16, 1770–1775. </w:t>
      </w:r>
    </w:p>
    <w:p w14:paraId="73CB10AF" w14:textId="77777777" w:rsidR="00E04531" w:rsidRPr="007759E5" w:rsidRDefault="00E04531" w:rsidP="00EA0D40">
      <w:pPr>
        <w:spacing w:after="0" w:line="480" w:lineRule="auto"/>
        <w:ind w:left="1077" w:hanging="720"/>
        <w:rPr>
          <w:rFonts w:ascii="Arial" w:eastAsia="Times New Roman" w:hAnsi="Arial" w:cs="Arial"/>
          <w:sz w:val="20"/>
          <w:szCs w:val="20"/>
        </w:rPr>
      </w:pPr>
      <w:proofErr w:type="spellStart"/>
      <w:r w:rsidRPr="007759E5">
        <w:rPr>
          <w:rFonts w:ascii="Arial" w:eastAsia="Times New Roman" w:hAnsi="Arial" w:cs="Arial"/>
          <w:sz w:val="20"/>
          <w:szCs w:val="20"/>
        </w:rPr>
        <w:t>Inat</w:t>
      </w:r>
      <w:proofErr w:type="spellEnd"/>
      <w:r w:rsidRPr="007759E5">
        <w:rPr>
          <w:rFonts w:ascii="Arial" w:eastAsia="Times New Roman" w:hAnsi="Arial" w:cs="Arial"/>
          <w:sz w:val="20"/>
          <w:szCs w:val="20"/>
        </w:rPr>
        <w:t xml:space="preserve"> G, </w:t>
      </w:r>
      <w:proofErr w:type="spellStart"/>
      <w:r w:rsidRPr="007759E5">
        <w:rPr>
          <w:rFonts w:ascii="Arial" w:eastAsia="Times New Roman" w:hAnsi="Arial" w:cs="Arial"/>
          <w:sz w:val="20"/>
          <w:szCs w:val="20"/>
        </w:rPr>
        <w:t>Siriken</w:t>
      </w:r>
      <w:proofErr w:type="spellEnd"/>
      <w:r w:rsidRPr="007759E5">
        <w:rPr>
          <w:rFonts w:ascii="Arial" w:eastAsia="Times New Roman" w:hAnsi="Arial" w:cs="Arial"/>
          <w:sz w:val="20"/>
          <w:szCs w:val="20"/>
        </w:rPr>
        <w:t xml:space="preserve"> B, </w:t>
      </w:r>
      <w:proofErr w:type="spellStart"/>
      <w:r w:rsidRPr="007759E5">
        <w:rPr>
          <w:rFonts w:ascii="Arial" w:eastAsia="Times New Roman" w:hAnsi="Arial" w:cs="Arial"/>
          <w:sz w:val="20"/>
          <w:szCs w:val="20"/>
        </w:rPr>
        <w:t>Baskan</w:t>
      </w:r>
      <w:proofErr w:type="spellEnd"/>
      <w:r w:rsidRPr="007759E5">
        <w:rPr>
          <w:rFonts w:ascii="Arial" w:eastAsia="Times New Roman" w:hAnsi="Arial" w:cs="Arial"/>
          <w:sz w:val="20"/>
          <w:szCs w:val="20"/>
        </w:rPr>
        <w:t xml:space="preserve"> C, Erol I, Yildirim T, Ciftci A. (2021). Virulence factors in </w:t>
      </w:r>
      <w:r w:rsidRPr="007759E5">
        <w:rPr>
          <w:rFonts w:ascii="Arial" w:eastAsia="Times New Roman" w:hAnsi="Arial" w:cs="Arial"/>
          <w:i/>
          <w:iCs/>
          <w:sz w:val="20"/>
          <w:szCs w:val="20"/>
        </w:rPr>
        <w:t>Pseudomonas</w:t>
      </w:r>
      <w:r w:rsidRPr="007759E5">
        <w:rPr>
          <w:rFonts w:ascii="Arial" w:eastAsia="Times New Roman" w:hAnsi="Arial" w:cs="Arial"/>
          <w:sz w:val="20"/>
          <w:szCs w:val="20"/>
        </w:rPr>
        <w:t xml:space="preserve">. </w:t>
      </w:r>
      <w:r w:rsidRPr="007759E5">
        <w:rPr>
          <w:rFonts w:ascii="Arial" w:eastAsia="Times New Roman" w:hAnsi="Arial" w:cs="Arial"/>
          <w:i/>
          <w:iCs/>
          <w:sz w:val="20"/>
          <w:szCs w:val="20"/>
        </w:rPr>
        <w:t>Sci Rep</w:t>
      </w:r>
      <w:r w:rsidRPr="007759E5">
        <w:rPr>
          <w:rFonts w:ascii="Arial" w:eastAsia="Times New Roman" w:hAnsi="Arial" w:cs="Arial"/>
          <w:sz w:val="20"/>
          <w:szCs w:val="20"/>
        </w:rPr>
        <w:t xml:space="preserve">, 11, 15639. </w:t>
      </w:r>
    </w:p>
    <w:p w14:paraId="504C0355"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Abdelraheem WM, Abdelkader AE, Mohamed ES, Mohammed MS. (2020). Biofilm formation in </w:t>
      </w:r>
      <w:r w:rsidRPr="007759E5">
        <w:rPr>
          <w:rFonts w:ascii="Arial" w:eastAsia="Times New Roman" w:hAnsi="Arial" w:cs="Arial"/>
          <w:i/>
          <w:iCs/>
          <w:sz w:val="20"/>
          <w:szCs w:val="20"/>
        </w:rPr>
        <w:t>Pseudomonas</w:t>
      </w:r>
      <w:r w:rsidRPr="007759E5">
        <w:rPr>
          <w:rFonts w:ascii="Arial" w:eastAsia="Times New Roman" w:hAnsi="Arial" w:cs="Arial"/>
          <w:sz w:val="20"/>
          <w:szCs w:val="20"/>
        </w:rPr>
        <w:t xml:space="preserve">. </w:t>
      </w:r>
      <w:r w:rsidRPr="007759E5">
        <w:rPr>
          <w:rFonts w:ascii="Arial" w:eastAsia="Times New Roman" w:hAnsi="Arial" w:cs="Arial"/>
          <w:i/>
          <w:iCs/>
          <w:sz w:val="20"/>
          <w:szCs w:val="20"/>
        </w:rPr>
        <w:t>Meta Gene</w:t>
      </w:r>
      <w:r w:rsidRPr="007759E5">
        <w:rPr>
          <w:rFonts w:ascii="Arial" w:eastAsia="Times New Roman" w:hAnsi="Arial" w:cs="Arial"/>
          <w:sz w:val="20"/>
          <w:szCs w:val="20"/>
        </w:rPr>
        <w:t xml:space="preserve">, 23, 100646. </w:t>
      </w:r>
    </w:p>
    <w:p w14:paraId="0F28B42A" w14:textId="77777777" w:rsidR="00E04531" w:rsidRPr="007759E5" w:rsidRDefault="00E04531" w:rsidP="00EA0D40">
      <w:pPr>
        <w:spacing w:after="0" w:line="480" w:lineRule="auto"/>
        <w:ind w:left="1077" w:hanging="720"/>
        <w:rPr>
          <w:rFonts w:ascii="Arial" w:eastAsia="Times New Roman" w:hAnsi="Arial" w:cs="Arial"/>
          <w:sz w:val="20"/>
          <w:szCs w:val="20"/>
        </w:rPr>
      </w:pPr>
      <w:proofErr w:type="spellStart"/>
      <w:r w:rsidRPr="007759E5">
        <w:rPr>
          <w:rFonts w:ascii="Arial" w:eastAsia="Times New Roman" w:hAnsi="Arial" w:cs="Arial"/>
          <w:sz w:val="20"/>
          <w:szCs w:val="20"/>
        </w:rPr>
        <w:t>Lysitsas</w:t>
      </w:r>
      <w:proofErr w:type="spellEnd"/>
      <w:r w:rsidRPr="007759E5">
        <w:rPr>
          <w:rFonts w:ascii="Arial" w:eastAsia="Times New Roman" w:hAnsi="Arial" w:cs="Arial"/>
          <w:sz w:val="20"/>
          <w:szCs w:val="20"/>
        </w:rPr>
        <w:t xml:space="preserve"> M, Triantafillou E, </w:t>
      </w:r>
      <w:proofErr w:type="spellStart"/>
      <w:r w:rsidRPr="007759E5">
        <w:rPr>
          <w:rFonts w:ascii="Arial" w:eastAsia="Times New Roman" w:hAnsi="Arial" w:cs="Arial"/>
          <w:sz w:val="20"/>
          <w:szCs w:val="20"/>
        </w:rPr>
        <w:t>Chatzipanagiotidou</w:t>
      </w:r>
      <w:proofErr w:type="spellEnd"/>
      <w:r w:rsidRPr="007759E5">
        <w:rPr>
          <w:rFonts w:ascii="Arial" w:eastAsia="Times New Roman" w:hAnsi="Arial" w:cs="Arial"/>
          <w:sz w:val="20"/>
          <w:szCs w:val="20"/>
        </w:rPr>
        <w:t xml:space="preserve"> I, Antoniou K, </w:t>
      </w:r>
      <w:proofErr w:type="spellStart"/>
      <w:r w:rsidRPr="007759E5">
        <w:rPr>
          <w:rFonts w:ascii="Arial" w:eastAsia="Times New Roman" w:hAnsi="Arial" w:cs="Arial"/>
          <w:sz w:val="20"/>
          <w:szCs w:val="20"/>
        </w:rPr>
        <w:t>Spyrou</w:t>
      </w:r>
      <w:proofErr w:type="spellEnd"/>
      <w:r w:rsidRPr="007759E5">
        <w:rPr>
          <w:rFonts w:ascii="Arial" w:eastAsia="Times New Roman" w:hAnsi="Arial" w:cs="Arial"/>
          <w:sz w:val="20"/>
          <w:szCs w:val="20"/>
        </w:rPr>
        <w:t xml:space="preserve"> V, </w:t>
      </w:r>
      <w:proofErr w:type="spellStart"/>
      <w:r w:rsidRPr="007759E5">
        <w:rPr>
          <w:rFonts w:ascii="Arial" w:eastAsia="Times New Roman" w:hAnsi="Arial" w:cs="Arial"/>
          <w:sz w:val="20"/>
          <w:szCs w:val="20"/>
        </w:rPr>
        <w:t>Billinis</w:t>
      </w:r>
      <w:proofErr w:type="spellEnd"/>
      <w:r w:rsidRPr="007759E5">
        <w:rPr>
          <w:rFonts w:ascii="Arial" w:eastAsia="Times New Roman" w:hAnsi="Arial" w:cs="Arial"/>
          <w:sz w:val="20"/>
          <w:szCs w:val="20"/>
        </w:rPr>
        <w:t xml:space="preserve"> C, et al. (2024). Biofilm genes in </w:t>
      </w:r>
      <w:r w:rsidRPr="007759E5">
        <w:rPr>
          <w:rFonts w:ascii="Arial" w:eastAsia="Times New Roman" w:hAnsi="Arial" w:cs="Arial"/>
          <w:i/>
          <w:iCs/>
          <w:sz w:val="20"/>
          <w:szCs w:val="20"/>
        </w:rPr>
        <w:t>Acinetobacter</w:t>
      </w:r>
      <w:r w:rsidRPr="007759E5">
        <w:rPr>
          <w:rFonts w:ascii="Arial" w:eastAsia="Times New Roman" w:hAnsi="Arial" w:cs="Arial"/>
          <w:sz w:val="20"/>
          <w:szCs w:val="20"/>
        </w:rPr>
        <w:t xml:space="preserve">. </w:t>
      </w:r>
      <w:r w:rsidRPr="007759E5">
        <w:rPr>
          <w:rFonts w:ascii="Arial" w:eastAsia="Times New Roman" w:hAnsi="Arial" w:cs="Arial"/>
          <w:i/>
          <w:iCs/>
          <w:sz w:val="20"/>
          <w:szCs w:val="20"/>
        </w:rPr>
        <w:t>Trop Med Infect Dis</w:t>
      </w:r>
      <w:r w:rsidRPr="007759E5">
        <w:rPr>
          <w:rFonts w:ascii="Arial" w:eastAsia="Times New Roman" w:hAnsi="Arial" w:cs="Arial"/>
          <w:sz w:val="20"/>
          <w:szCs w:val="20"/>
        </w:rPr>
        <w:t xml:space="preserve">, 9, 109. </w:t>
      </w:r>
    </w:p>
    <w:p w14:paraId="27947265" w14:textId="77777777" w:rsidR="00E04531" w:rsidRPr="007759E5" w:rsidRDefault="00E04531" w:rsidP="00EA0D40">
      <w:pPr>
        <w:spacing w:after="0" w:line="480" w:lineRule="auto"/>
        <w:ind w:left="1077" w:hanging="720"/>
        <w:rPr>
          <w:rFonts w:ascii="Arial" w:eastAsia="Times New Roman" w:hAnsi="Arial" w:cs="Arial"/>
          <w:sz w:val="20"/>
          <w:szCs w:val="20"/>
        </w:rPr>
      </w:pPr>
      <w:r w:rsidRPr="007759E5">
        <w:rPr>
          <w:rFonts w:ascii="Arial" w:eastAsia="Times New Roman" w:hAnsi="Arial" w:cs="Arial"/>
          <w:sz w:val="20"/>
          <w:szCs w:val="20"/>
        </w:rPr>
        <w:t xml:space="preserve">Yukawa S, Tsuyuki Y, Sato T, Fukuda A, Usui M, Tamura Y. (2017). Antimicrobial resistance in pets. </w:t>
      </w:r>
      <w:proofErr w:type="spellStart"/>
      <w:r w:rsidRPr="007759E5">
        <w:rPr>
          <w:rFonts w:ascii="Arial" w:eastAsia="Times New Roman" w:hAnsi="Arial" w:cs="Arial"/>
          <w:i/>
          <w:iCs/>
          <w:sz w:val="20"/>
          <w:szCs w:val="20"/>
        </w:rPr>
        <w:t>Jpn</w:t>
      </w:r>
      <w:proofErr w:type="spellEnd"/>
      <w:r w:rsidRPr="007759E5">
        <w:rPr>
          <w:rFonts w:ascii="Arial" w:eastAsia="Times New Roman" w:hAnsi="Arial" w:cs="Arial"/>
          <w:i/>
          <w:iCs/>
          <w:sz w:val="20"/>
          <w:szCs w:val="20"/>
        </w:rPr>
        <w:t xml:space="preserve"> J Infect Dis</w:t>
      </w:r>
      <w:r w:rsidRPr="007759E5">
        <w:rPr>
          <w:rFonts w:ascii="Arial" w:eastAsia="Times New Roman" w:hAnsi="Arial" w:cs="Arial"/>
          <w:sz w:val="20"/>
          <w:szCs w:val="20"/>
        </w:rPr>
        <w:t xml:space="preserve">, 70, 461–463. </w:t>
      </w:r>
    </w:p>
    <w:p w14:paraId="04F55CF2" w14:textId="77777777" w:rsidR="00CA1FBE" w:rsidRPr="007759E5" w:rsidRDefault="00E04531" w:rsidP="00EA0D40">
      <w:pPr>
        <w:spacing w:before="120" w:after="120" w:line="480" w:lineRule="auto"/>
        <w:ind w:left="1077" w:hanging="720"/>
        <w:jc w:val="both"/>
        <w:rPr>
          <w:rFonts w:ascii="Arial" w:hAnsi="Arial" w:cs="Arial"/>
          <w:sz w:val="20"/>
          <w:szCs w:val="20"/>
        </w:rPr>
      </w:pPr>
      <w:r w:rsidRPr="007759E5">
        <w:rPr>
          <w:rFonts w:ascii="Arial" w:eastAsia="Times New Roman" w:hAnsi="Arial" w:cs="Arial"/>
          <w:sz w:val="20"/>
          <w:szCs w:val="20"/>
        </w:rPr>
        <w:lastRenderedPageBreak/>
        <w:t xml:space="preserve">Kipsang F, Munyiva J, Menza N, Musyoki A. (2023). Carbapenem-resistant </w:t>
      </w:r>
      <w:r w:rsidRPr="007759E5">
        <w:rPr>
          <w:rFonts w:ascii="Arial" w:eastAsia="Times New Roman" w:hAnsi="Arial" w:cs="Arial"/>
          <w:i/>
          <w:iCs/>
          <w:sz w:val="20"/>
          <w:szCs w:val="20"/>
        </w:rPr>
        <w:t>Acinetobacter</w:t>
      </w:r>
      <w:r w:rsidRPr="007759E5">
        <w:rPr>
          <w:rFonts w:ascii="Arial" w:eastAsia="Times New Roman" w:hAnsi="Arial" w:cs="Arial"/>
          <w:sz w:val="20"/>
          <w:szCs w:val="20"/>
        </w:rPr>
        <w:t xml:space="preserve">. </w:t>
      </w:r>
      <w:r w:rsidRPr="007759E5">
        <w:rPr>
          <w:rFonts w:ascii="Arial" w:eastAsia="Times New Roman" w:hAnsi="Arial" w:cs="Arial"/>
          <w:i/>
          <w:iCs/>
          <w:sz w:val="20"/>
          <w:szCs w:val="20"/>
        </w:rPr>
        <w:t>Int J Infect Dis</w:t>
      </w:r>
      <w:r w:rsidRPr="007759E5">
        <w:rPr>
          <w:rFonts w:ascii="Arial" w:eastAsia="Times New Roman" w:hAnsi="Arial" w:cs="Arial"/>
          <w:sz w:val="20"/>
          <w:szCs w:val="20"/>
        </w:rPr>
        <w:t>, 9, 111–116.</w:t>
      </w:r>
    </w:p>
    <w:p w14:paraId="53FB51A2" w14:textId="77777777" w:rsidR="00787CB2" w:rsidRPr="00DF105C" w:rsidRDefault="00787CB2" w:rsidP="00DF105C">
      <w:pPr>
        <w:spacing w:line="480" w:lineRule="auto"/>
        <w:jc w:val="both"/>
        <w:rPr>
          <w:rFonts w:ascii="Times New Roman" w:hAnsi="Times New Roman" w:cs="Times New Roman"/>
          <w:sz w:val="24"/>
          <w:szCs w:val="24"/>
        </w:rPr>
      </w:pPr>
    </w:p>
    <w:sectPr w:rsidR="00787CB2" w:rsidRPr="00DF105C" w:rsidSect="00B56A4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155B7" w14:textId="77777777" w:rsidR="00EB7C0D" w:rsidRDefault="00EB7C0D" w:rsidP="005F1628">
      <w:pPr>
        <w:spacing w:after="0" w:line="240" w:lineRule="auto"/>
      </w:pPr>
      <w:r>
        <w:separator/>
      </w:r>
    </w:p>
  </w:endnote>
  <w:endnote w:type="continuationSeparator" w:id="0">
    <w:p w14:paraId="43DA987F" w14:textId="77777777" w:rsidR="00EB7C0D" w:rsidRDefault="00EB7C0D" w:rsidP="005F1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41220" w14:textId="77777777" w:rsidR="00580F96" w:rsidRDefault="0058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13D87" w14:textId="77777777" w:rsidR="00580F96" w:rsidRDefault="00580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F8CB" w14:textId="77777777" w:rsidR="00580F96" w:rsidRDefault="00580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EDF97" w14:textId="77777777" w:rsidR="00EB7C0D" w:rsidRDefault="00EB7C0D" w:rsidP="005F1628">
      <w:pPr>
        <w:spacing w:after="0" w:line="240" w:lineRule="auto"/>
      </w:pPr>
      <w:r>
        <w:separator/>
      </w:r>
    </w:p>
  </w:footnote>
  <w:footnote w:type="continuationSeparator" w:id="0">
    <w:p w14:paraId="7441023C" w14:textId="77777777" w:rsidR="00EB7C0D" w:rsidRDefault="00EB7C0D" w:rsidP="005F1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F65F1" w14:textId="295CFE3F" w:rsidR="00580F96" w:rsidRDefault="00580F96">
    <w:pPr>
      <w:pStyle w:val="Header"/>
    </w:pPr>
    <w:r>
      <w:rPr>
        <w:noProof/>
      </w:rPr>
      <w:pict w14:anchorId="31C33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101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0DFC" w14:textId="0DFFACC2" w:rsidR="00580F96" w:rsidRDefault="00580F96">
    <w:pPr>
      <w:pStyle w:val="Header"/>
    </w:pPr>
    <w:r>
      <w:rPr>
        <w:noProof/>
      </w:rPr>
      <w:pict w14:anchorId="408A2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101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75B3F" w14:textId="29864659" w:rsidR="00580F96" w:rsidRDefault="00580F96">
    <w:pPr>
      <w:pStyle w:val="Header"/>
    </w:pPr>
    <w:r>
      <w:rPr>
        <w:noProof/>
      </w:rPr>
      <w:pict w14:anchorId="46905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101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23DDB"/>
    <w:multiLevelType w:val="hybridMultilevel"/>
    <w:tmpl w:val="8760F018"/>
    <w:lvl w:ilvl="0" w:tplc="D818C1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ECB4B10"/>
    <w:multiLevelType w:val="hybridMultilevel"/>
    <w:tmpl w:val="6CEAC4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98217E"/>
    <w:multiLevelType w:val="hybridMultilevel"/>
    <w:tmpl w:val="D5FA958C"/>
    <w:lvl w:ilvl="0" w:tplc="85E897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D3946D3"/>
    <w:multiLevelType w:val="hybridMultilevel"/>
    <w:tmpl w:val="A20A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7CB2"/>
    <w:rsid w:val="0001044F"/>
    <w:rsid w:val="00030A4D"/>
    <w:rsid w:val="000433BA"/>
    <w:rsid w:val="0006028A"/>
    <w:rsid w:val="00090282"/>
    <w:rsid w:val="0009516F"/>
    <w:rsid w:val="000A4660"/>
    <w:rsid w:val="000B0C6C"/>
    <w:rsid w:val="000B5967"/>
    <w:rsid w:val="000C79FD"/>
    <w:rsid w:val="000E2FEF"/>
    <w:rsid w:val="000F4BFD"/>
    <w:rsid w:val="001139BE"/>
    <w:rsid w:val="00126647"/>
    <w:rsid w:val="00135DB1"/>
    <w:rsid w:val="001669AF"/>
    <w:rsid w:val="001710EA"/>
    <w:rsid w:val="00171ECA"/>
    <w:rsid w:val="00186423"/>
    <w:rsid w:val="0020600E"/>
    <w:rsid w:val="0021041E"/>
    <w:rsid w:val="00210AAD"/>
    <w:rsid w:val="002530A4"/>
    <w:rsid w:val="00266CCD"/>
    <w:rsid w:val="00275C69"/>
    <w:rsid w:val="0029416A"/>
    <w:rsid w:val="0029682F"/>
    <w:rsid w:val="002D3217"/>
    <w:rsid w:val="002D59D0"/>
    <w:rsid w:val="002D7BDF"/>
    <w:rsid w:val="002E2218"/>
    <w:rsid w:val="002E7E83"/>
    <w:rsid w:val="003943E4"/>
    <w:rsid w:val="00395F53"/>
    <w:rsid w:val="003B0C5A"/>
    <w:rsid w:val="003F470D"/>
    <w:rsid w:val="0040031A"/>
    <w:rsid w:val="00402F95"/>
    <w:rsid w:val="00403456"/>
    <w:rsid w:val="004257BF"/>
    <w:rsid w:val="00457D20"/>
    <w:rsid w:val="00481CF4"/>
    <w:rsid w:val="004A5631"/>
    <w:rsid w:val="004B4FE3"/>
    <w:rsid w:val="004D5875"/>
    <w:rsid w:val="004E1372"/>
    <w:rsid w:val="004F509D"/>
    <w:rsid w:val="00516508"/>
    <w:rsid w:val="00517E90"/>
    <w:rsid w:val="00525AF5"/>
    <w:rsid w:val="00535079"/>
    <w:rsid w:val="005519A1"/>
    <w:rsid w:val="00580F96"/>
    <w:rsid w:val="005C6A20"/>
    <w:rsid w:val="005F0944"/>
    <w:rsid w:val="005F1628"/>
    <w:rsid w:val="006D02A0"/>
    <w:rsid w:val="006D2AA0"/>
    <w:rsid w:val="006F5675"/>
    <w:rsid w:val="00754032"/>
    <w:rsid w:val="0076520E"/>
    <w:rsid w:val="007759E5"/>
    <w:rsid w:val="00787CB2"/>
    <w:rsid w:val="007C1B30"/>
    <w:rsid w:val="007F455A"/>
    <w:rsid w:val="007F7C28"/>
    <w:rsid w:val="00803911"/>
    <w:rsid w:val="008A2474"/>
    <w:rsid w:val="008B5E34"/>
    <w:rsid w:val="008B72C2"/>
    <w:rsid w:val="008C263A"/>
    <w:rsid w:val="008D4880"/>
    <w:rsid w:val="008E1C5E"/>
    <w:rsid w:val="008E66E1"/>
    <w:rsid w:val="009132D1"/>
    <w:rsid w:val="00914F68"/>
    <w:rsid w:val="009424C5"/>
    <w:rsid w:val="00970395"/>
    <w:rsid w:val="00972171"/>
    <w:rsid w:val="00984FCA"/>
    <w:rsid w:val="00997820"/>
    <w:rsid w:val="009A356F"/>
    <w:rsid w:val="009E62BD"/>
    <w:rsid w:val="009F0DEE"/>
    <w:rsid w:val="00A20CBF"/>
    <w:rsid w:val="00A219A8"/>
    <w:rsid w:val="00A4000D"/>
    <w:rsid w:val="00A5249E"/>
    <w:rsid w:val="00A5763C"/>
    <w:rsid w:val="00A63683"/>
    <w:rsid w:val="00AB3401"/>
    <w:rsid w:val="00B219C3"/>
    <w:rsid w:val="00B41312"/>
    <w:rsid w:val="00B56A4C"/>
    <w:rsid w:val="00B7685F"/>
    <w:rsid w:val="00BB29E5"/>
    <w:rsid w:val="00BD36A2"/>
    <w:rsid w:val="00BF4984"/>
    <w:rsid w:val="00C32BFF"/>
    <w:rsid w:val="00C53B75"/>
    <w:rsid w:val="00C659D6"/>
    <w:rsid w:val="00C72EA8"/>
    <w:rsid w:val="00CA17FF"/>
    <w:rsid w:val="00CA1FBE"/>
    <w:rsid w:val="00CB50D7"/>
    <w:rsid w:val="00CE3BA0"/>
    <w:rsid w:val="00CF6ED7"/>
    <w:rsid w:val="00D276FA"/>
    <w:rsid w:val="00D515FA"/>
    <w:rsid w:val="00D9620E"/>
    <w:rsid w:val="00DC4940"/>
    <w:rsid w:val="00DD0F67"/>
    <w:rsid w:val="00DE54CD"/>
    <w:rsid w:val="00DF105C"/>
    <w:rsid w:val="00DF3052"/>
    <w:rsid w:val="00DF5CA2"/>
    <w:rsid w:val="00E00115"/>
    <w:rsid w:val="00E00CA8"/>
    <w:rsid w:val="00E04531"/>
    <w:rsid w:val="00E114F1"/>
    <w:rsid w:val="00E143D9"/>
    <w:rsid w:val="00E212DD"/>
    <w:rsid w:val="00E52A58"/>
    <w:rsid w:val="00E5657D"/>
    <w:rsid w:val="00E57160"/>
    <w:rsid w:val="00E622FB"/>
    <w:rsid w:val="00E778BF"/>
    <w:rsid w:val="00E82FCE"/>
    <w:rsid w:val="00EA0D40"/>
    <w:rsid w:val="00EB7C0D"/>
    <w:rsid w:val="00EE515B"/>
    <w:rsid w:val="00F1743E"/>
    <w:rsid w:val="00F304A6"/>
    <w:rsid w:val="00F8338C"/>
    <w:rsid w:val="00F92A7A"/>
    <w:rsid w:val="00F9522E"/>
    <w:rsid w:val="00FB29CE"/>
    <w:rsid w:val="00FE448F"/>
    <w:rsid w:val="00FF1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28B4EF"/>
  <w15:docId w15:val="{D7B602CA-B26F-4683-9336-7CC142BD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A4C"/>
  </w:style>
  <w:style w:type="paragraph" w:styleId="Heading2">
    <w:name w:val="heading 2"/>
    <w:basedOn w:val="Normal"/>
    <w:link w:val="Heading2Char"/>
    <w:uiPriority w:val="9"/>
    <w:qFormat/>
    <w:rsid w:val="00E62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978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1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1ECA"/>
    <w:rPr>
      <w:b/>
      <w:bCs/>
    </w:rPr>
  </w:style>
  <w:style w:type="character" w:styleId="Emphasis">
    <w:name w:val="Emphasis"/>
    <w:basedOn w:val="DefaultParagraphFont"/>
    <w:uiPriority w:val="20"/>
    <w:qFormat/>
    <w:rsid w:val="00171ECA"/>
    <w:rPr>
      <w:i/>
      <w:iCs/>
    </w:rPr>
  </w:style>
  <w:style w:type="character" w:customStyle="1" w:styleId="Heading2Char">
    <w:name w:val="Heading 2 Char"/>
    <w:basedOn w:val="DefaultParagraphFont"/>
    <w:link w:val="Heading2"/>
    <w:uiPriority w:val="9"/>
    <w:rsid w:val="00E622F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997820"/>
    <w:rPr>
      <w:rFonts w:asciiTheme="majorHAnsi" w:eastAsiaTheme="majorEastAsia" w:hAnsiTheme="majorHAnsi" w:cstheme="majorBidi"/>
      <w:b/>
      <w:bCs/>
      <w:color w:val="4F81BD" w:themeColor="accent1"/>
    </w:rPr>
  </w:style>
  <w:style w:type="table" w:styleId="TableGrid">
    <w:name w:val="Table Grid"/>
    <w:basedOn w:val="TableNormal"/>
    <w:uiPriority w:val="59"/>
    <w:rsid w:val="00D5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0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41E"/>
    <w:rPr>
      <w:rFonts w:ascii="Tahoma" w:hAnsi="Tahoma" w:cs="Tahoma"/>
      <w:sz w:val="16"/>
      <w:szCs w:val="16"/>
    </w:rPr>
  </w:style>
  <w:style w:type="paragraph" w:styleId="ListParagraph">
    <w:name w:val="List Paragraph"/>
    <w:basedOn w:val="Normal"/>
    <w:uiPriority w:val="34"/>
    <w:qFormat/>
    <w:rsid w:val="009A356F"/>
    <w:pPr>
      <w:ind w:left="720"/>
      <w:contextualSpacing/>
    </w:pPr>
  </w:style>
  <w:style w:type="paragraph" w:styleId="Header">
    <w:name w:val="header"/>
    <w:basedOn w:val="Normal"/>
    <w:link w:val="HeaderChar"/>
    <w:uiPriority w:val="99"/>
    <w:unhideWhenUsed/>
    <w:rsid w:val="005F1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628"/>
  </w:style>
  <w:style w:type="paragraph" w:styleId="Footer">
    <w:name w:val="footer"/>
    <w:basedOn w:val="Normal"/>
    <w:link w:val="FooterChar"/>
    <w:uiPriority w:val="99"/>
    <w:unhideWhenUsed/>
    <w:rsid w:val="005F1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02845">
      <w:bodyDiv w:val="1"/>
      <w:marLeft w:val="0"/>
      <w:marRight w:val="0"/>
      <w:marTop w:val="0"/>
      <w:marBottom w:val="0"/>
      <w:divBdr>
        <w:top w:val="none" w:sz="0" w:space="0" w:color="auto"/>
        <w:left w:val="none" w:sz="0" w:space="0" w:color="auto"/>
        <w:bottom w:val="none" w:sz="0" w:space="0" w:color="auto"/>
        <w:right w:val="none" w:sz="0" w:space="0" w:color="auto"/>
      </w:divBdr>
    </w:div>
    <w:div w:id="492065756">
      <w:bodyDiv w:val="1"/>
      <w:marLeft w:val="0"/>
      <w:marRight w:val="0"/>
      <w:marTop w:val="0"/>
      <w:marBottom w:val="0"/>
      <w:divBdr>
        <w:top w:val="none" w:sz="0" w:space="0" w:color="auto"/>
        <w:left w:val="none" w:sz="0" w:space="0" w:color="auto"/>
        <w:bottom w:val="none" w:sz="0" w:space="0" w:color="auto"/>
        <w:right w:val="none" w:sz="0" w:space="0" w:color="auto"/>
      </w:divBdr>
    </w:div>
    <w:div w:id="654264442">
      <w:bodyDiv w:val="1"/>
      <w:marLeft w:val="0"/>
      <w:marRight w:val="0"/>
      <w:marTop w:val="0"/>
      <w:marBottom w:val="0"/>
      <w:divBdr>
        <w:top w:val="none" w:sz="0" w:space="0" w:color="auto"/>
        <w:left w:val="none" w:sz="0" w:space="0" w:color="auto"/>
        <w:bottom w:val="none" w:sz="0" w:space="0" w:color="auto"/>
        <w:right w:val="none" w:sz="0" w:space="0" w:color="auto"/>
      </w:divBdr>
    </w:div>
    <w:div w:id="671760469">
      <w:bodyDiv w:val="1"/>
      <w:marLeft w:val="0"/>
      <w:marRight w:val="0"/>
      <w:marTop w:val="0"/>
      <w:marBottom w:val="0"/>
      <w:divBdr>
        <w:top w:val="none" w:sz="0" w:space="0" w:color="auto"/>
        <w:left w:val="none" w:sz="0" w:space="0" w:color="auto"/>
        <w:bottom w:val="none" w:sz="0" w:space="0" w:color="auto"/>
        <w:right w:val="none" w:sz="0" w:space="0" w:color="auto"/>
      </w:divBdr>
    </w:div>
    <w:div w:id="682979625">
      <w:bodyDiv w:val="1"/>
      <w:marLeft w:val="0"/>
      <w:marRight w:val="0"/>
      <w:marTop w:val="0"/>
      <w:marBottom w:val="0"/>
      <w:divBdr>
        <w:top w:val="none" w:sz="0" w:space="0" w:color="auto"/>
        <w:left w:val="none" w:sz="0" w:space="0" w:color="auto"/>
        <w:bottom w:val="none" w:sz="0" w:space="0" w:color="auto"/>
        <w:right w:val="none" w:sz="0" w:space="0" w:color="auto"/>
      </w:divBdr>
    </w:div>
    <w:div w:id="689187915">
      <w:bodyDiv w:val="1"/>
      <w:marLeft w:val="0"/>
      <w:marRight w:val="0"/>
      <w:marTop w:val="0"/>
      <w:marBottom w:val="0"/>
      <w:divBdr>
        <w:top w:val="none" w:sz="0" w:space="0" w:color="auto"/>
        <w:left w:val="none" w:sz="0" w:space="0" w:color="auto"/>
        <w:bottom w:val="none" w:sz="0" w:space="0" w:color="auto"/>
        <w:right w:val="none" w:sz="0" w:space="0" w:color="auto"/>
      </w:divBdr>
    </w:div>
    <w:div w:id="1030107805">
      <w:bodyDiv w:val="1"/>
      <w:marLeft w:val="0"/>
      <w:marRight w:val="0"/>
      <w:marTop w:val="0"/>
      <w:marBottom w:val="0"/>
      <w:divBdr>
        <w:top w:val="none" w:sz="0" w:space="0" w:color="auto"/>
        <w:left w:val="none" w:sz="0" w:space="0" w:color="auto"/>
        <w:bottom w:val="none" w:sz="0" w:space="0" w:color="auto"/>
        <w:right w:val="none" w:sz="0" w:space="0" w:color="auto"/>
      </w:divBdr>
    </w:div>
    <w:div w:id="1078137573">
      <w:bodyDiv w:val="1"/>
      <w:marLeft w:val="0"/>
      <w:marRight w:val="0"/>
      <w:marTop w:val="0"/>
      <w:marBottom w:val="0"/>
      <w:divBdr>
        <w:top w:val="none" w:sz="0" w:space="0" w:color="auto"/>
        <w:left w:val="none" w:sz="0" w:space="0" w:color="auto"/>
        <w:bottom w:val="none" w:sz="0" w:space="0" w:color="auto"/>
        <w:right w:val="none" w:sz="0" w:space="0" w:color="auto"/>
      </w:divBdr>
    </w:div>
    <w:div w:id="1309631469">
      <w:bodyDiv w:val="1"/>
      <w:marLeft w:val="0"/>
      <w:marRight w:val="0"/>
      <w:marTop w:val="0"/>
      <w:marBottom w:val="0"/>
      <w:divBdr>
        <w:top w:val="none" w:sz="0" w:space="0" w:color="auto"/>
        <w:left w:val="none" w:sz="0" w:space="0" w:color="auto"/>
        <w:bottom w:val="none" w:sz="0" w:space="0" w:color="auto"/>
        <w:right w:val="none" w:sz="0" w:space="0" w:color="auto"/>
      </w:divBdr>
    </w:div>
    <w:div w:id="1439594304">
      <w:bodyDiv w:val="1"/>
      <w:marLeft w:val="0"/>
      <w:marRight w:val="0"/>
      <w:marTop w:val="0"/>
      <w:marBottom w:val="0"/>
      <w:divBdr>
        <w:top w:val="none" w:sz="0" w:space="0" w:color="auto"/>
        <w:left w:val="none" w:sz="0" w:space="0" w:color="auto"/>
        <w:bottom w:val="none" w:sz="0" w:space="0" w:color="auto"/>
        <w:right w:val="none" w:sz="0" w:space="0" w:color="auto"/>
      </w:divBdr>
    </w:div>
    <w:div w:id="1500805795">
      <w:bodyDiv w:val="1"/>
      <w:marLeft w:val="0"/>
      <w:marRight w:val="0"/>
      <w:marTop w:val="0"/>
      <w:marBottom w:val="0"/>
      <w:divBdr>
        <w:top w:val="none" w:sz="0" w:space="0" w:color="auto"/>
        <w:left w:val="none" w:sz="0" w:space="0" w:color="auto"/>
        <w:bottom w:val="none" w:sz="0" w:space="0" w:color="auto"/>
        <w:right w:val="none" w:sz="0" w:space="0" w:color="auto"/>
      </w:divBdr>
    </w:div>
    <w:div w:id="1584726296">
      <w:bodyDiv w:val="1"/>
      <w:marLeft w:val="0"/>
      <w:marRight w:val="0"/>
      <w:marTop w:val="0"/>
      <w:marBottom w:val="0"/>
      <w:divBdr>
        <w:top w:val="none" w:sz="0" w:space="0" w:color="auto"/>
        <w:left w:val="none" w:sz="0" w:space="0" w:color="auto"/>
        <w:bottom w:val="none" w:sz="0" w:space="0" w:color="auto"/>
        <w:right w:val="none" w:sz="0" w:space="0" w:color="auto"/>
      </w:divBdr>
    </w:div>
    <w:div w:id="1709529070">
      <w:bodyDiv w:val="1"/>
      <w:marLeft w:val="0"/>
      <w:marRight w:val="0"/>
      <w:marTop w:val="0"/>
      <w:marBottom w:val="0"/>
      <w:divBdr>
        <w:top w:val="none" w:sz="0" w:space="0" w:color="auto"/>
        <w:left w:val="none" w:sz="0" w:space="0" w:color="auto"/>
        <w:bottom w:val="none" w:sz="0" w:space="0" w:color="auto"/>
        <w:right w:val="none" w:sz="0" w:space="0" w:color="auto"/>
      </w:divBdr>
    </w:div>
    <w:div w:id="17240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2879</TotalTime>
  <Pages>13</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100</cp:revision>
  <dcterms:created xsi:type="dcterms:W3CDTF">2026-02-25T05:59:00Z</dcterms:created>
  <dcterms:modified xsi:type="dcterms:W3CDTF">2026-03-27T12:49:00Z</dcterms:modified>
</cp:coreProperties>
</file>