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F28D9" w14:textId="77777777" w:rsidR="00FF7CEE" w:rsidRDefault="00944583">
      <w:pPr>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Studies on Growth, Flowering, Post-Harvest and Biochemical Parameters of Standard Chrysanthemum (</w:t>
      </w:r>
      <w:r>
        <w:rPr>
          <w:rFonts w:ascii="Times New Roman" w:eastAsia="Times New Roman" w:hAnsi="Times New Roman" w:cs="Times New Roman"/>
          <w:b/>
          <w:bCs/>
          <w:i/>
          <w:iCs/>
          <w:sz w:val="28"/>
          <w:szCs w:val="28"/>
        </w:rPr>
        <w:t>Chrysanthemum morifolium</w:t>
      </w:r>
      <w:r>
        <w:rPr>
          <w:rFonts w:ascii="Times New Roman" w:eastAsia="Times New Roman" w:hAnsi="Times New Roman" w:cs="Times New Roman"/>
          <w:b/>
          <w:bCs/>
          <w:sz w:val="28"/>
          <w:szCs w:val="28"/>
        </w:rPr>
        <w:t xml:space="preserve"> Ramat.) Varieties under Malwa Plateau Conditions of Madhya Pradesh</w:t>
      </w:r>
    </w:p>
    <w:p w14:paraId="44DFEB98" w14:textId="77777777" w:rsidR="00FF7CEE" w:rsidRDefault="00944583" w:rsidP="00944583">
      <w:pPr>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5D5DF39E" w14:textId="77777777"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was conducted at the Department of Floriculture and Landscaping, KNK College of Horticulture, </w:t>
      </w:r>
      <w:proofErr w:type="spellStart"/>
      <w:r>
        <w:rPr>
          <w:rFonts w:ascii="Times New Roman" w:eastAsia="Times New Roman" w:hAnsi="Times New Roman" w:cs="Times New Roman"/>
          <w:sz w:val="24"/>
          <w:szCs w:val="24"/>
        </w:rPr>
        <w:t>Mandsaur</w:t>
      </w:r>
      <w:proofErr w:type="spellEnd"/>
      <w:r>
        <w:rPr>
          <w:rFonts w:ascii="Times New Roman" w:eastAsia="Times New Roman" w:hAnsi="Times New Roman" w:cs="Times New Roman"/>
          <w:sz w:val="24"/>
          <w:szCs w:val="24"/>
        </w:rPr>
        <w:t xml:space="preserve"> (M.P.), during the </w:t>
      </w:r>
      <w:r>
        <w:rPr>
          <w:rFonts w:ascii="Times New Roman" w:eastAsia="Times New Roman" w:hAnsi="Times New Roman" w:cs="Times New Roman"/>
          <w:i/>
          <w:iCs/>
          <w:sz w:val="24"/>
          <w:szCs w:val="24"/>
        </w:rPr>
        <w:t>Rabi</w:t>
      </w:r>
      <w:r>
        <w:rPr>
          <w:rFonts w:ascii="Times New Roman" w:eastAsia="Times New Roman" w:hAnsi="Times New Roman" w:cs="Times New Roman"/>
          <w:sz w:val="24"/>
          <w:szCs w:val="24"/>
        </w:rPr>
        <w:t xml:space="preserve"> season of 2024–25 for Studies on evaluation of standard chrysanthemum (</w:t>
      </w:r>
      <w:r>
        <w:rPr>
          <w:rFonts w:ascii="Times New Roman" w:eastAsia="Times New Roman" w:hAnsi="Times New Roman" w:cs="Times New Roman"/>
          <w:i/>
          <w:iCs/>
          <w:sz w:val="24"/>
          <w:szCs w:val="24"/>
        </w:rPr>
        <w:t>Chrysanthemum morifolium</w:t>
      </w:r>
      <w:r>
        <w:rPr>
          <w:rFonts w:ascii="Times New Roman" w:eastAsia="Times New Roman" w:hAnsi="Times New Roman" w:cs="Times New Roman"/>
          <w:sz w:val="24"/>
          <w:szCs w:val="24"/>
        </w:rPr>
        <w:t xml:space="preserve"> Ramat.) varieties under Malwa Plateau conditions of Madhya Pradesh. The experiment was carried out in a Completely Randomized Design (CRD) with three replications. According to finding growth parameters results under Malwa condition the Raja variety of standard chrysanthemum has got maximum plant </w:t>
      </w:r>
      <w:proofErr w:type="gramStart"/>
      <w:r>
        <w:rPr>
          <w:rFonts w:ascii="Times New Roman" w:eastAsia="Times New Roman" w:hAnsi="Times New Roman" w:cs="Times New Roman"/>
          <w:sz w:val="24"/>
          <w:szCs w:val="24"/>
        </w:rPr>
        <w:t>height  (</w:t>
      </w:r>
      <w:proofErr w:type="gramEnd"/>
      <w:r>
        <w:rPr>
          <w:rFonts w:ascii="Times New Roman" w:eastAsia="Times New Roman" w:hAnsi="Times New Roman" w:cs="Times New Roman"/>
          <w:sz w:val="24"/>
          <w:szCs w:val="24"/>
        </w:rPr>
        <w:t xml:space="preserve">22.46 cm, 36.36 cm and 46.50 cm) and minimum plant height (5.63 cm, 10.93 cm and 20.71 cm) find in Bidhan Mallika at 30, 60 and 90 days after transplanting respectively. The Raja variety of chrysanthemum also has got maximum plant spread at 30 days after transplanting but at 60 days after transplanting maximum plant spread shown in </w:t>
      </w:r>
      <w:proofErr w:type="spellStart"/>
      <w:r>
        <w:rPr>
          <w:rFonts w:ascii="Times New Roman" w:eastAsia="Times New Roman" w:hAnsi="Times New Roman" w:cs="Times New Roman"/>
          <w:sz w:val="24"/>
          <w:szCs w:val="24"/>
        </w:rPr>
        <w:t>Jambala</w:t>
      </w:r>
      <w:proofErr w:type="spellEnd"/>
      <w:r>
        <w:rPr>
          <w:rFonts w:ascii="Times New Roman" w:eastAsia="Times New Roman" w:hAnsi="Times New Roman" w:cs="Times New Roman"/>
          <w:sz w:val="24"/>
          <w:szCs w:val="24"/>
        </w:rPr>
        <w:t xml:space="preserve"> variety. The minimum plant spreading (0.63 cm and 7.51 cm) was shown by Bidhan Mallika variety at 30 and 60 days after transplanting respectively. The maximum number of leaves per plant and stem diameter was recorded in Raja at 30 days after transplanting but at 60 days after transplanting</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maximum both parameters were recorded in Jaya. The flowering parameters results shown that minimum number of days taken flower bud appearance (33.33 days) and days taken of flowering (58.13 days) were recorded in </w:t>
      </w:r>
      <w:proofErr w:type="spellStart"/>
      <w:r>
        <w:rPr>
          <w:rFonts w:ascii="Times New Roman" w:eastAsia="Times New Roman" w:hAnsi="Times New Roman" w:cs="Times New Roman"/>
          <w:sz w:val="24"/>
          <w:szCs w:val="24"/>
        </w:rPr>
        <w:t>Jambala</w:t>
      </w:r>
      <w:proofErr w:type="spellEnd"/>
      <w:r>
        <w:rPr>
          <w:rFonts w:ascii="Times New Roman" w:eastAsia="Times New Roman" w:hAnsi="Times New Roman" w:cs="Times New Roman"/>
          <w:sz w:val="24"/>
          <w:szCs w:val="24"/>
        </w:rPr>
        <w:t xml:space="preserve"> but maximum number of days taken flower bud appearance (66.96 days) and days taken of flowering (124.64 days) by the Jubilee variety of standard chrysanthemum. The ‘Raja’ exhibited the longest vase life (17.11 days), followed by '</w:t>
      </w:r>
      <w:proofErr w:type="spellStart"/>
      <w:r>
        <w:rPr>
          <w:rFonts w:ascii="Times New Roman" w:eastAsia="Times New Roman" w:hAnsi="Times New Roman" w:cs="Times New Roman"/>
          <w:sz w:val="24"/>
          <w:szCs w:val="24"/>
        </w:rPr>
        <w:t>Jambala</w:t>
      </w:r>
      <w:proofErr w:type="spellEnd"/>
      <w:r>
        <w:rPr>
          <w:rFonts w:ascii="Times New Roman" w:eastAsia="Times New Roman" w:hAnsi="Times New Roman" w:cs="Times New Roman"/>
          <w:sz w:val="24"/>
          <w:szCs w:val="24"/>
        </w:rPr>
        <w:t>' and 'Jubilee'. '</w:t>
      </w:r>
      <w:proofErr w:type="spellStart"/>
      <w:r>
        <w:rPr>
          <w:rFonts w:ascii="Times New Roman" w:eastAsia="Times New Roman" w:hAnsi="Times New Roman" w:cs="Times New Roman"/>
          <w:sz w:val="24"/>
          <w:szCs w:val="24"/>
        </w:rPr>
        <w:t>Jambala</w:t>
      </w:r>
      <w:proofErr w:type="spellEnd"/>
      <w:r>
        <w:rPr>
          <w:rFonts w:ascii="Times New Roman" w:eastAsia="Times New Roman" w:hAnsi="Times New Roman" w:cs="Times New Roman"/>
          <w:sz w:val="24"/>
          <w:szCs w:val="24"/>
        </w:rPr>
        <w:t>' had the highest fresh (21.36 g) and dry (2.03 g) flower weights. 'Silk Brocade' recorded the highest chlorophyll content at both 30 and 60 DAT, indicating better photosynthetic activity.</w:t>
      </w:r>
    </w:p>
    <w:p w14:paraId="7857E696" w14:textId="77777777" w:rsidR="00FF7CEE" w:rsidRDefault="00944583">
      <w:pPr>
        <w:spacing w:before="240" w:after="0" w:line="360" w:lineRule="auto"/>
        <w:ind w:hanging="127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Keywords:</w:t>
      </w:r>
      <w:r>
        <w:rPr>
          <w:rFonts w:ascii="Times New Roman" w:eastAsia="Times New Roman" w:hAnsi="Times New Roman" w:cs="Times New Roman"/>
          <w:sz w:val="24"/>
          <w:szCs w:val="24"/>
        </w:rPr>
        <w:t xml:space="preserve"> Standard Chrysanthemum, Varietal performance, Malwa Region, Flowering parameters </w:t>
      </w:r>
    </w:p>
    <w:p w14:paraId="5F3601CD" w14:textId="77777777" w:rsidR="00FF7CEE" w:rsidRDefault="00944583">
      <w:pPr>
        <w:spacing w:before="240" w:after="0" w:line="360" w:lineRule="auto"/>
        <w:ind w:hanging="127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8"/>
          <w:szCs w:val="28"/>
        </w:rPr>
        <w:t>Introduction</w:t>
      </w:r>
    </w:p>
    <w:p w14:paraId="35EFF24F" w14:textId="77777777"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Chrysanthemum, botanically known as </w:t>
      </w:r>
      <w:r>
        <w:rPr>
          <w:rFonts w:ascii="Times New Roman" w:eastAsia="Times New Roman" w:hAnsi="Times New Roman" w:cs="Times New Roman"/>
          <w:i/>
          <w:iCs/>
          <w:sz w:val="24"/>
          <w:szCs w:val="24"/>
        </w:rPr>
        <w:t>Chrysanthemum morifolium</w:t>
      </w:r>
      <w:r>
        <w:rPr>
          <w:rFonts w:ascii="Times New Roman" w:eastAsia="Times New Roman" w:hAnsi="Times New Roman" w:cs="Times New Roman"/>
          <w:sz w:val="24"/>
          <w:szCs w:val="24"/>
        </w:rPr>
        <w:t xml:space="preserve"> Ramat and a member of the Asteraceae family, is prized for its colorful flowers and varied variants. It is revered as the "Queen of the East" and the "Autumn Flower," and it has great cultural importance, especially in Japan, where it is the national flower. In India, it is known as "</w:t>
      </w:r>
      <w:proofErr w:type="spellStart"/>
      <w:r>
        <w:rPr>
          <w:rFonts w:ascii="Times New Roman" w:eastAsia="Times New Roman" w:hAnsi="Times New Roman" w:cs="Times New Roman"/>
          <w:sz w:val="24"/>
          <w:szCs w:val="24"/>
        </w:rPr>
        <w:t>Guldaudi</w:t>
      </w:r>
      <w:proofErr w:type="spellEnd"/>
      <w:r>
        <w:rPr>
          <w:rFonts w:ascii="Times New Roman" w:eastAsia="Times New Roman" w:hAnsi="Times New Roman" w:cs="Times New Roman"/>
          <w:sz w:val="24"/>
          <w:szCs w:val="24"/>
        </w:rPr>
        <w:t>." The genus has a complicated chromosomal composition, with a base chromosome number of 9 and variable ploidy levels, including 2n = 36, 45, 47, 51, and 75 (Datta &amp; Bhattacharjee, 2001).</w:t>
      </w:r>
    </w:p>
    <w:p w14:paraId="512F9C90" w14:textId="77777777"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Madhya Pradesh, the area under flower cultivation has shown a consistent upward trend in recent years. The state recorded a floriculture area of 39.494 thousand hectares in 2023, which increased to 41.050 thousand hectares in 2024, highlighting the growing importance of floriculture in the region.</w:t>
      </w:r>
    </w:p>
    <w:p w14:paraId="2A960E51" w14:textId="77777777"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Chrysanthemum is one of the most versatile ornamental crops, widely used in traditional and decorative forms such as garlands, </w:t>
      </w:r>
      <w:proofErr w:type="spellStart"/>
      <w:r>
        <w:rPr>
          <w:rFonts w:ascii="Times New Roman" w:eastAsia="Times New Roman" w:hAnsi="Times New Roman" w:cs="Times New Roman"/>
          <w:sz w:val="24"/>
          <w:szCs w:val="24"/>
        </w:rPr>
        <w:t>venis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gajras</w:t>
      </w:r>
      <w:proofErr w:type="spellEnd"/>
      <w:r>
        <w:rPr>
          <w:rFonts w:ascii="Times New Roman" w:eastAsia="Times New Roman" w:hAnsi="Times New Roman" w:cs="Times New Roman"/>
          <w:sz w:val="24"/>
          <w:szCs w:val="24"/>
        </w:rPr>
        <w:t xml:space="preserve"> and religious offerings during ceremonies and spiritual events. Its popularity is primarily due to its extensive diversity in color, form and petal arrangement, which satisfies a broad range of aesthetic and cultural preferences. Additionally, chrysanthemums are highly valued for their long vase life, making them particularly suitable for both ornamental and ceremonial purposes (Bohra and Kumar, 2014).</w:t>
      </w:r>
    </w:p>
    <w:p w14:paraId="59AFF046" w14:textId="77777777"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Chrysanthemum is a short-day plant that requires longer nights to initiate flowering. Flower bud formation does not occur when day length exceeds 14.5 hours, as long days promote vegetative growth while short days induce flowering. However, advancements in photoperiodic manipulation and genetic research have enabled year-round production of chrysanthemums. By regulating light exposure, temperature and the application of growth regulators, growers can successfully induce flowering beyond the natural season (Negi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thereby enhancing market availability and economic returns.</w:t>
      </w:r>
    </w:p>
    <w:p w14:paraId="4DA185C5" w14:textId="77777777"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lack of region-specific information limits the ability of researchers and growers to select suitable chrysanthemum cultivars for commercial cultivation. Since agro-climatic factors such as temperature, soil fertility, rainfall, and moisture availability strongly influence plant growth, flowering and yield, understanding cultivar environment interactions is essential. Selecting well-adapted cultivars is critical for improving flower quality, productivity and profitability, especially in view of the increasing market demand. Therefore, the present study focuses on evaluating </w:t>
      </w:r>
      <w:r>
        <w:rPr>
          <w:rFonts w:ascii="Times New Roman" w:eastAsia="Times New Roman" w:hAnsi="Times New Roman" w:cs="Times New Roman"/>
          <w:sz w:val="24"/>
          <w:szCs w:val="24"/>
        </w:rPr>
        <w:lastRenderedPageBreak/>
        <w:t>common chrysanthemum cultivars based on vegetative growth, flowering behavior, and post-harvest performance to identify the most suitable cultivars for sustainable commercial production in the Malwa Plateau region.</w:t>
      </w:r>
    </w:p>
    <w:p w14:paraId="4895B653" w14:textId="77777777" w:rsidR="00FF7CEE" w:rsidRDefault="00944583">
      <w:pPr>
        <w:spacing w:before="24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Materials and Methods </w:t>
      </w:r>
    </w:p>
    <w:p w14:paraId="32806D3D" w14:textId="77777777" w:rsidR="00FF7CEE" w:rsidRDefault="0094458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investigation was carried out during winter season of 2024- 2025 in Department of Floriculture and Landscaping, K.N.K. College of Horticulture, </w:t>
      </w:r>
      <w:proofErr w:type="spellStart"/>
      <w:r>
        <w:rPr>
          <w:rFonts w:ascii="Times New Roman" w:eastAsia="Times New Roman" w:hAnsi="Times New Roman" w:cs="Times New Roman"/>
          <w:sz w:val="24"/>
          <w:szCs w:val="24"/>
        </w:rPr>
        <w:t>Mandsaur</w:t>
      </w:r>
      <w:proofErr w:type="spellEnd"/>
      <w:r>
        <w:rPr>
          <w:rFonts w:ascii="Times New Roman" w:eastAsia="Times New Roman" w:hAnsi="Times New Roman" w:cs="Times New Roman"/>
          <w:sz w:val="24"/>
          <w:szCs w:val="24"/>
        </w:rPr>
        <w:t xml:space="preserve">, (M.P). </w:t>
      </w:r>
      <w:proofErr w:type="spellStart"/>
      <w:r>
        <w:rPr>
          <w:rFonts w:ascii="Times New Roman" w:eastAsia="Times New Roman" w:hAnsi="Times New Roman" w:cs="Times New Roman"/>
          <w:sz w:val="24"/>
          <w:szCs w:val="24"/>
        </w:rPr>
        <w:t>Mandsaur</w:t>
      </w:r>
      <w:proofErr w:type="spellEnd"/>
      <w:r>
        <w:rPr>
          <w:rFonts w:ascii="Times New Roman" w:eastAsia="Times New Roman" w:hAnsi="Times New Roman" w:cs="Times New Roman"/>
          <w:sz w:val="24"/>
          <w:szCs w:val="24"/>
        </w:rPr>
        <w:t xml:space="preserve"> is situated in the Malwa Plateau in western part of Madhya Pradesh at north latitude of 23.450 to 24.130 and 74.440 to 75.180 East longitude and an altitude of 435.02 m meters above Mean Sea Level. This region falls under Agro climatic zone no.10 of the state. The experiment was laid out in a Completely Randomized Design (CRD) with three replications. The experiment entitled Studies on growth and flowering parameters evaluation of standard chrysanthemum (</w:t>
      </w:r>
      <w:r>
        <w:rPr>
          <w:rFonts w:ascii="Times New Roman" w:eastAsia="Times New Roman" w:hAnsi="Times New Roman" w:cs="Times New Roman"/>
          <w:i/>
          <w:iCs/>
          <w:sz w:val="24"/>
          <w:szCs w:val="24"/>
        </w:rPr>
        <w:t>Chrysanthemum morifolium</w:t>
      </w:r>
      <w:r>
        <w:rPr>
          <w:rFonts w:ascii="Times New Roman" w:eastAsia="Times New Roman" w:hAnsi="Times New Roman" w:cs="Times New Roman"/>
          <w:sz w:val="24"/>
          <w:szCs w:val="24"/>
        </w:rPr>
        <w:t xml:space="preserve"> Ramat.) varieties under Malwa Plateau conditions of Madhya Pradesh has conducted for performance of 7 varieties (</w:t>
      </w:r>
      <w:proofErr w:type="spellStart"/>
      <w:r>
        <w:rPr>
          <w:rFonts w:ascii="Times New Roman" w:eastAsia="Times New Roman" w:hAnsi="Times New Roman" w:cs="Times New Roman"/>
          <w:sz w:val="24"/>
          <w:szCs w:val="24"/>
        </w:rPr>
        <w:t>Bidhan</w:t>
      </w:r>
      <w:proofErr w:type="spellEnd"/>
      <w:r>
        <w:rPr>
          <w:rFonts w:ascii="Times New Roman" w:eastAsia="Times New Roman" w:hAnsi="Times New Roman" w:cs="Times New Roman"/>
          <w:sz w:val="24"/>
          <w:szCs w:val="24"/>
        </w:rPr>
        <w:t xml:space="preserve"> Mallika, Gitanjali, </w:t>
      </w:r>
      <w:proofErr w:type="spellStart"/>
      <w:r>
        <w:rPr>
          <w:rFonts w:ascii="Times New Roman" w:eastAsia="Times New Roman" w:hAnsi="Times New Roman" w:cs="Times New Roman"/>
          <w:sz w:val="24"/>
          <w:szCs w:val="24"/>
        </w:rPr>
        <w:t>Jambala</w:t>
      </w:r>
      <w:proofErr w:type="spellEnd"/>
      <w:r>
        <w:rPr>
          <w:rFonts w:ascii="Times New Roman" w:eastAsia="Times New Roman" w:hAnsi="Times New Roman" w:cs="Times New Roman"/>
          <w:sz w:val="24"/>
          <w:szCs w:val="24"/>
        </w:rPr>
        <w:t>, Jaya, Jubilee, Raja and Silk Brocade). Data were recorded on various growth, flowering Post-Harvest and Biochemical parameters.</w:t>
      </w:r>
    </w:p>
    <w:p w14:paraId="03EB83E5" w14:textId="77777777" w:rsidR="00FF7CEE" w:rsidRDefault="00FF7CEE">
      <w:pPr>
        <w:spacing w:before="240" w:after="0" w:line="360" w:lineRule="auto"/>
        <w:jc w:val="both"/>
        <w:rPr>
          <w:rFonts w:ascii="Times New Roman" w:eastAsia="Times New Roman" w:hAnsi="Times New Roman" w:cs="Times New Roman"/>
          <w:b/>
          <w:bCs/>
          <w:sz w:val="28"/>
          <w:szCs w:val="28"/>
        </w:rPr>
      </w:pPr>
    </w:p>
    <w:p w14:paraId="7D2FADA6" w14:textId="77777777" w:rsidR="00FF7CEE" w:rsidRDefault="00FF7CEE">
      <w:pPr>
        <w:spacing w:before="240" w:after="0" w:line="360" w:lineRule="auto"/>
        <w:jc w:val="both"/>
        <w:rPr>
          <w:rFonts w:ascii="Times New Roman" w:eastAsia="Times New Roman" w:hAnsi="Times New Roman" w:cs="Times New Roman"/>
          <w:b/>
          <w:bCs/>
          <w:sz w:val="28"/>
          <w:szCs w:val="28"/>
        </w:rPr>
      </w:pPr>
    </w:p>
    <w:p w14:paraId="2925A1C2" w14:textId="77777777" w:rsidR="00FF7CEE" w:rsidRDefault="00944583">
      <w:pPr>
        <w:spacing w:before="24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Result and Discussion</w:t>
      </w:r>
    </w:p>
    <w:p w14:paraId="23BB4B0C" w14:textId="77777777" w:rsidR="00FF7CEE" w:rsidRDefault="0094458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Growth Parameters</w:t>
      </w:r>
    </w:p>
    <w:p w14:paraId="633ACE58" w14:textId="77777777" w:rsidR="00FF7CEE" w:rsidRDefault="00944583">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growth parameters (Table 1) 'Raja' (V6) consistently recorded the highest plant height at 30, 60, and 90 DAT, followed by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(V3) and 'Silk Brocade' (V7). While, maximum at 60 DAT in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(20.00 cm), followed by 'Silk Brocade' and 'Gitanjali'. The maximum plant spread at 30 DAT was recorded in Raja (V</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with 2.50 cm, but at 60 days after transplanting maximum plant spread shown in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xml:space="preserve"> variety (20.00 cm). The number of Leaves of highest at 60 DAT was observed in 'Jaya' (50.80), followed by 'Silk Brocade' and 'Gitanjali'. Stem diameter of thickest stems at 60 DAT were observed in 'Jaya' (5.10 mm) and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xml:space="preserve">' (4.57 mm). Similar findings </w:t>
      </w:r>
      <w:r>
        <w:rPr>
          <w:rFonts w:ascii="Times New Roman" w:eastAsia="Times New Roman" w:hAnsi="Times New Roman" w:cs="Times New Roman"/>
          <w:color w:val="000000"/>
          <w:sz w:val="24"/>
          <w:szCs w:val="24"/>
        </w:rPr>
        <w:lastRenderedPageBreak/>
        <w:t xml:space="preserve">were reported by Swaroop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(2008) and </w:t>
      </w:r>
      <w:proofErr w:type="spellStart"/>
      <w:r>
        <w:rPr>
          <w:rFonts w:ascii="Times New Roman" w:eastAsia="Times New Roman" w:hAnsi="Times New Roman" w:cs="Times New Roman"/>
          <w:color w:val="000000"/>
          <w:sz w:val="24"/>
          <w:szCs w:val="24"/>
        </w:rPr>
        <w:t>Vasuniya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(2020) for plant height (cm) at 30, 60 and 90 DAT, Choudhary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(2014)</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for plant spread at 30 and 60 DAT, Singh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(2017) and Uddin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(2015), for Number of leaves per plant at 30 and 60 days. </w:t>
      </w:r>
    </w:p>
    <w:p w14:paraId="620AEEA4" w14:textId="77777777" w:rsidR="00FF7CEE" w:rsidRDefault="0094458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Flowering Parameters</w:t>
      </w:r>
    </w:p>
    <w:p w14:paraId="58720043" w14:textId="77777777" w:rsidR="00FF7CEE" w:rsidRDefault="00944583">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flowering parameters (Table 2) was flower bud appearance earliest in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(33.33 days), followed by 'Raja' and 'Silk Brocade'.  Days to flowering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was the earliest to flower (58.13 days), while 'Jubilee' was the latest (124.64 days). Flower stalk length maximum in 'Raja' (40.85 cm), followed by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and 'Jaya'. Flower diameter largest in 'Raja' (8.55 cm), followed closely by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xml:space="preserve">' and 'Gitanjali'.  Flowering duration longest in 'Raja' (36.67 days), followed by 'Jubilee' and 'Silk Brocade'. Similar observations were made by Deshmukh </w:t>
      </w:r>
      <w:r>
        <w:rPr>
          <w:rFonts w:ascii="Times New Roman" w:eastAsia="Times New Roman" w:hAnsi="Times New Roman" w:cs="Times New Roman"/>
          <w:i/>
          <w:iCs/>
          <w:color w:val="000000"/>
          <w:sz w:val="24"/>
          <w:szCs w:val="24"/>
        </w:rPr>
        <w:t xml:space="preserve">et al. </w:t>
      </w:r>
      <w:r>
        <w:rPr>
          <w:rFonts w:ascii="Times New Roman" w:eastAsia="Times New Roman" w:hAnsi="Times New Roman" w:cs="Times New Roman"/>
          <w:color w:val="000000"/>
          <w:sz w:val="24"/>
          <w:szCs w:val="24"/>
        </w:rPr>
        <w:t xml:space="preserve">(2016), Joshi and Bhatnagar (2015) and Sharma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(2018).</w:t>
      </w:r>
    </w:p>
    <w:p w14:paraId="2880FFC1" w14:textId="77777777" w:rsidR="00FF7CEE" w:rsidRDefault="00944583">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Post-Harvest Parameters</w:t>
      </w:r>
    </w:p>
    <w:p w14:paraId="77E05ACA" w14:textId="77777777" w:rsidR="00FF7CEE" w:rsidRDefault="0094458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(Table </w:t>
      </w:r>
      <w:proofErr w:type="gramStart"/>
      <w:r>
        <w:rPr>
          <w:rFonts w:ascii="Times New Roman" w:eastAsia="Times New Roman" w:hAnsi="Times New Roman" w:cs="Times New Roman"/>
          <w:color w:val="000000"/>
          <w:sz w:val="24"/>
          <w:szCs w:val="24"/>
        </w:rPr>
        <w:t>2)Raja</w:t>
      </w:r>
      <w:proofErr w:type="gramEnd"/>
      <w:r>
        <w:rPr>
          <w:rFonts w:ascii="Times New Roman" w:eastAsia="Times New Roman" w:hAnsi="Times New Roman" w:cs="Times New Roman"/>
          <w:color w:val="000000"/>
          <w:sz w:val="24"/>
          <w:szCs w:val="24"/>
        </w:rPr>
        <w:t xml:space="preserve"> (V6) exhibited the longest vase life, followed by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xml:space="preserve"> (V3) and Jubilee (V5). The prolonged freshness of these varieties can be attributed to superior stem and flower quality. According to Lal et al. (2021), vase life is influenced by varietal traits, carbohydrate reserves, and stem water uptake capacity.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xml:space="preserve"> (V3) showed the highest fresh and dry flower weight, indicating superior biomass accumulation. The results suggest high metabolic activity and resource allocation toward floral parts. These findings corroborate with Lal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(2021) and Kumar and Verma (2019), </w:t>
      </w:r>
    </w:p>
    <w:p w14:paraId="7507E2C1" w14:textId="77777777" w:rsidR="00FF7CEE" w:rsidRDefault="00944583">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Biochemical Parameter</w:t>
      </w:r>
    </w:p>
    <w:p w14:paraId="4A92EB31" w14:textId="77777777" w:rsidR="00FF7CEE" w:rsidRDefault="0094458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0" w:name="_ujm8z5924k3b" w:colFirst="0" w:colLast="0"/>
      <w:bookmarkEnd w:id="0"/>
      <w:r>
        <w:rPr>
          <w:rFonts w:ascii="Times New Roman" w:eastAsia="Times New Roman" w:hAnsi="Times New Roman" w:cs="Times New Roman"/>
          <w:color w:val="000000"/>
          <w:sz w:val="24"/>
          <w:szCs w:val="24"/>
        </w:rPr>
        <w:t xml:space="preserve">The highest chlorophyll content (Table </w:t>
      </w:r>
      <w:proofErr w:type="gramStart"/>
      <w:r>
        <w:rPr>
          <w:rFonts w:ascii="Times New Roman" w:eastAsia="Times New Roman" w:hAnsi="Times New Roman" w:cs="Times New Roman"/>
          <w:color w:val="000000"/>
          <w:sz w:val="24"/>
          <w:szCs w:val="24"/>
        </w:rPr>
        <w:t>2)at</w:t>
      </w:r>
      <w:proofErr w:type="gramEnd"/>
      <w:r>
        <w:rPr>
          <w:rFonts w:ascii="Times New Roman" w:eastAsia="Times New Roman" w:hAnsi="Times New Roman" w:cs="Times New Roman"/>
          <w:color w:val="000000"/>
          <w:sz w:val="24"/>
          <w:szCs w:val="24"/>
        </w:rPr>
        <w:t xml:space="preserve"> both 30 and 60 DAT was observed in Silk Brocade (V7), followed closely by Raja (V6) and </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 xml:space="preserve"> (V3). High chlorophyll levels are indicative of better photosynthetic efficiency and vigor. These results are similar to those of Meena et al. (2017), who emphasized the role of chlorophyll content in varietal performance under regional conditions.</w:t>
      </w:r>
    </w:p>
    <w:p w14:paraId="015591FE" w14:textId="77777777" w:rsidR="00FF7CEE" w:rsidRDefault="00944583">
      <w:pPr>
        <w:spacing w:before="24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Conclusion </w:t>
      </w:r>
    </w:p>
    <w:p w14:paraId="4ACE72EC" w14:textId="77777777" w:rsidR="00FF7CEE" w:rsidRDefault="00944583">
      <w:pPr>
        <w:spacing w:before="24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rPr>
        <w:t>Based on the performance of the varieties under the agro-climatic conditions of Malwa Plateau, the following conclusions can be drawn:</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4"/>
          <w:szCs w:val="24"/>
        </w:rPr>
        <w:t>'Raja'</w:t>
      </w:r>
      <w:r>
        <w:rPr>
          <w:rFonts w:ascii="Times New Roman" w:eastAsia="Times New Roman" w:hAnsi="Times New Roman" w:cs="Times New Roman"/>
          <w:sz w:val="24"/>
          <w:szCs w:val="24"/>
        </w:rPr>
        <w:t xml:space="preserve"> emerged as the most promising variety in terms of plant height, flowering duration, flower diameter and flower stalk length, making it suitable for both garden display and cut flower purposes.</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Jambala</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was outstanding for early flowering and </w:t>
      </w:r>
      <w:r>
        <w:rPr>
          <w:rFonts w:ascii="Times New Roman" w:eastAsia="Times New Roman" w:hAnsi="Times New Roman" w:cs="Times New Roman"/>
          <w:sz w:val="24"/>
          <w:szCs w:val="24"/>
        </w:rPr>
        <w:lastRenderedPageBreak/>
        <w:t>early bud appearance, indicating its potential for early market supply.</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4"/>
          <w:szCs w:val="24"/>
        </w:rPr>
        <w:t xml:space="preserve">'Silk Brocade' </w:t>
      </w:r>
      <w:r>
        <w:rPr>
          <w:rFonts w:ascii="Times New Roman" w:eastAsia="Times New Roman" w:hAnsi="Times New Roman" w:cs="Times New Roman"/>
          <w:sz w:val="24"/>
          <w:szCs w:val="24"/>
        </w:rPr>
        <w:t>showed superior performance leaf number, contributing to better vegetative growth and overall quality.</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4"/>
          <w:szCs w:val="24"/>
        </w:rPr>
        <w:t xml:space="preserve">'Bidhan Mallika' </w:t>
      </w:r>
      <w:r>
        <w:rPr>
          <w:rFonts w:ascii="Times New Roman" w:eastAsia="Times New Roman" w:hAnsi="Times New Roman" w:cs="Times New Roman"/>
          <w:sz w:val="24"/>
          <w:szCs w:val="24"/>
        </w:rPr>
        <w:t>consistently recorded the lowest values in most parameters, indicating poor adaptability under Malwa conditions.</w:t>
      </w:r>
    </w:p>
    <w:p w14:paraId="6D1BA3AC" w14:textId="77777777" w:rsidR="00FF7CEE" w:rsidRDefault="00944583">
      <w:pPr>
        <w:spacing w:before="24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References</w:t>
      </w:r>
    </w:p>
    <w:p w14:paraId="5862DDEA"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Bohra, M. and Kumar, M. 2014. Studies on effect of organic manures and bioinoculants on </w:t>
      </w:r>
      <w:proofErr w:type="spellStart"/>
      <w:r>
        <w:rPr>
          <w:rFonts w:ascii="Times New Roman" w:eastAsia="Times New Roman" w:hAnsi="Times New Roman" w:cs="Times New Roman"/>
          <w:sz w:val="24"/>
          <w:szCs w:val="24"/>
        </w:rPr>
        <w:t>vegetatives</w:t>
      </w:r>
      <w:proofErr w:type="spellEnd"/>
      <w:r>
        <w:rPr>
          <w:rFonts w:ascii="Times New Roman" w:eastAsia="Times New Roman" w:hAnsi="Times New Roman" w:cs="Times New Roman"/>
          <w:sz w:val="24"/>
          <w:szCs w:val="24"/>
        </w:rPr>
        <w:t xml:space="preserve"> and floral attributes of chrysanthemum cv. Little Darling. </w:t>
      </w:r>
      <w:r>
        <w:rPr>
          <w:rFonts w:ascii="Times New Roman" w:eastAsia="Times New Roman" w:hAnsi="Times New Roman" w:cs="Times New Roman"/>
          <w:i/>
          <w:iCs/>
          <w:sz w:val="24"/>
          <w:szCs w:val="24"/>
        </w:rPr>
        <w:t>The Bioscan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9</w:t>
      </w:r>
      <w:r>
        <w:rPr>
          <w:rFonts w:ascii="Times New Roman" w:eastAsia="Times New Roman" w:hAnsi="Times New Roman" w:cs="Times New Roman"/>
          <w:sz w:val="24"/>
          <w:szCs w:val="24"/>
        </w:rPr>
        <w:t>(3): 1007-1010.</w:t>
      </w:r>
    </w:p>
    <w:p w14:paraId="63E85184"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Datta, S. K. and Bhattacharjee, S. K. 2001. Chrysanthemum. All India Coordinated Research Project on Floriculture</w:t>
      </w:r>
      <w:r>
        <w:rPr>
          <w:rFonts w:ascii="Times New Roman" w:eastAsia="Times New Roman" w:hAnsi="Times New Roman" w:cs="Times New Roman"/>
          <w:i/>
          <w:iCs/>
          <w:sz w:val="24"/>
          <w:szCs w:val="24"/>
        </w:rPr>
        <w:t>. Indian Council of Agricultural Research</w:t>
      </w:r>
      <w:r>
        <w:rPr>
          <w:rFonts w:ascii="Times New Roman" w:eastAsia="Times New Roman" w:hAnsi="Times New Roman" w:cs="Times New Roman"/>
          <w:sz w:val="24"/>
          <w:szCs w:val="24"/>
        </w:rPr>
        <w:t>.</w:t>
      </w:r>
    </w:p>
    <w:p w14:paraId="628C2A4A"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Negi Deshmukh, A. N.; Kale, S. D. and Pawar, V. S. (2016). Performance of chrysanthemum genotypes under central Indian conditions. </w:t>
      </w:r>
      <w:r>
        <w:rPr>
          <w:rFonts w:ascii="Times New Roman" w:eastAsia="Times New Roman" w:hAnsi="Times New Roman" w:cs="Times New Roman"/>
          <w:i/>
          <w:iCs/>
          <w:sz w:val="24"/>
          <w:szCs w:val="24"/>
        </w:rPr>
        <w:t>Advances in Horticultural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30(</w:t>
      </w:r>
      <w:r>
        <w:rPr>
          <w:rFonts w:ascii="Times New Roman" w:eastAsia="Times New Roman" w:hAnsi="Times New Roman" w:cs="Times New Roman"/>
          <w:sz w:val="24"/>
          <w:szCs w:val="24"/>
        </w:rPr>
        <w:t>1</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12–15.</w:t>
      </w:r>
    </w:p>
    <w:p w14:paraId="363F43F5"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Swaroop, K.; Patel, K. S. and Singh, R. (2008). Varietal performance of chrysanthemum under different agro-climatic conditions. </w:t>
      </w:r>
      <w:r>
        <w:rPr>
          <w:rFonts w:ascii="Times New Roman" w:eastAsia="Times New Roman" w:hAnsi="Times New Roman" w:cs="Times New Roman"/>
          <w:i/>
          <w:iCs/>
          <w:sz w:val="24"/>
          <w:szCs w:val="24"/>
        </w:rPr>
        <w:t>Journal of Ornamental Horticulture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(2): 85–88.</w:t>
      </w:r>
    </w:p>
    <w:p w14:paraId="341ED723"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Vasuniya</w:t>
      </w:r>
      <w:proofErr w:type="spellEnd"/>
      <w:r>
        <w:rPr>
          <w:rFonts w:ascii="Times New Roman" w:eastAsia="Times New Roman" w:hAnsi="Times New Roman" w:cs="Times New Roman"/>
          <w:sz w:val="24"/>
          <w:szCs w:val="24"/>
        </w:rPr>
        <w:t xml:space="preserve">, P.; Patel, B. K. and Thakur, R. K. (2020). Evaluation of chrysanthemum cultivars for growth and yield parameters. </w:t>
      </w:r>
      <w:r>
        <w:rPr>
          <w:rFonts w:ascii="Times New Roman" w:eastAsia="Times New Roman" w:hAnsi="Times New Roman" w:cs="Times New Roman"/>
          <w:i/>
          <w:iCs/>
          <w:sz w:val="24"/>
          <w:szCs w:val="24"/>
        </w:rPr>
        <w:t>Indian Journal of Horticulture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77</w:t>
      </w:r>
      <w:r>
        <w:rPr>
          <w:rFonts w:ascii="Times New Roman" w:eastAsia="Times New Roman" w:hAnsi="Times New Roman" w:cs="Times New Roman"/>
          <w:sz w:val="24"/>
          <w:szCs w:val="24"/>
        </w:rPr>
        <w:t>(3): 439–442</w:t>
      </w:r>
    </w:p>
    <w:p w14:paraId="1E3017FC"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Choudhary, M. L.; Singh, D. B. and Sharma, V. K. (2014). Canopy architecture and light interception in chrysanthemum varieties. </w:t>
      </w:r>
      <w:r>
        <w:rPr>
          <w:rFonts w:ascii="Times New Roman" w:eastAsia="Times New Roman" w:hAnsi="Times New Roman" w:cs="Times New Roman"/>
          <w:i/>
          <w:iCs/>
          <w:sz w:val="24"/>
          <w:szCs w:val="24"/>
        </w:rPr>
        <w:t>Horticultural Journal</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27</w:t>
      </w:r>
      <w:r>
        <w:rPr>
          <w:rFonts w:ascii="Times New Roman" w:eastAsia="Times New Roman" w:hAnsi="Times New Roman" w:cs="Times New Roman"/>
          <w:sz w:val="24"/>
          <w:szCs w:val="24"/>
        </w:rPr>
        <w:t>(1): 25–28.</w:t>
      </w:r>
    </w:p>
    <w:p w14:paraId="3614CFDA" w14:textId="77777777" w:rsidR="00FF7CEE" w:rsidRDefault="00FF7CEE">
      <w:pPr>
        <w:spacing w:after="0" w:line="360" w:lineRule="auto"/>
        <w:ind w:left="851" w:right="-198" w:hanging="842"/>
        <w:jc w:val="both"/>
        <w:rPr>
          <w:rFonts w:ascii="Times New Roman" w:eastAsia="Times New Roman" w:hAnsi="Times New Roman" w:cs="Times New Roman"/>
          <w:sz w:val="24"/>
          <w:szCs w:val="24"/>
        </w:rPr>
      </w:pPr>
    </w:p>
    <w:p w14:paraId="5776A59A"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A.; </w:t>
      </w:r>
      <w:proofErr w:type="spellStart"/>
      <w:r>
        <w:rPr>
          <w:rFonts w:ascii="Times New Roman" w:eastAsia="Times New Roman" w:hAnsi="Times New Roman" w:cs="Times New Roman"/>
          <w:sz w:val="24"/>
          <w:szCs w:val="24"/>
        </w:rPr>
        <w:t>Mahawer</w:t>
      </w:r>
      <w:proofErr w:type="spellEnd"/>
      <w:r>
        <w:rPr>
          <w:rFonts w:ascii="Times New Roman" w:eastAsia="Times New Roman" w:hAnsi="Times New Roman" w:cs="Times New Roman"/>
          <w:sz w:val="24"/>
          <w:szCs w:val="24"/>
        </w:rPr>
        <w:t xml:space="preserve">, L.N. and </w:t>
      </w:r>
      <w:proofErr w:type="spellStart"/>
      <w:r>
        <w:rPr>
          <w:rFonts w:ascii="Times New Roman" w:eastAsia="Times New Roman" w:hAnsi="Times New Roman" w:cs="Times New Roman"/>
          <w:sz w:val="24"/>
          <w:szCs w:val="24"/>
        </w:rPr>
        <w:t>Bairwa</w:t>
      </w:r>
      <w:proofErr w:type="spellEnd"/>
      <w:r>
        <w:rPr>
          <w:rFonts w:ascii="Times New Roman" w:eastAsia="Times New Roman" w:hAnsi="Times New Roman" w:cs="Times New Roman"/>
          <w:sz w:val="24"/>
          <w:szCs w:val="24"/>
        </w:rPr>
        <w:t xml:space="preserve">, H.L. (2017) a. Evaluation of perennial chrysanthemum cultivars under sub-humid southern plains and Aravali hills of Rajasthan. </w:t>
      </w:r>
      <w:r>
        <w:rPr>
          <w:rFonts w:ascii="Times New Roman" w:eastAsia="Times New Roman" w:hAnsi="Times New Roman" w:cs="Times New Roman"/>
          <w:i/>
          <w:iCs/>
          <w:sz w:val="24"/>
          <w:szCs w:val="24"/>
        </w:rPr>
        <w:t>Indian Journal of Horticulture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74</w:t>
      </w:r>
      <w:r>
        <w:rPr>
          <w:rFonts w:ascii="Times New Roman" w:eastAsia="Times New Roman" w:hAnsi="Times New Roman" w:cs="Times New Roman"/>
          <w:sz w:val="24"/>
          <w:szCs w:val="24"/>
        </w:rPr>
        <w:t>(3): 423- 428.</w:t>
      </w:r>
    </w:p>
    <w:p w14:paraId="7DBBE2C1"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Uddin, A. F. M. J.; Ahmed, R. and Hossain, M. A. (2015). Evaluation of chrysanthemum varieties for growth and flowering. </w:t>
      </w:r>
      <w:r>
        <w:rPr>
          <w:rFonts w:ascii="Times New Roman" w:eastAsia="Times New Roman" w:hAnsi="Times New Roman" w:cs="Times New Roman"/>
          <w:i/>
          <w:iCs/>
          <w:sz w:val="24"/>
          <w:szCs w:val="24"/>
        </w:rPr>
        <w:t>Bangladesh Journal of Agricultural Research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40</w:t>
      </w:r>
      <w:r>
        <w:rPr>
          <w:rFonts w:ascii="Times New Roman" w:eastAsia="Times New Roman" w:hAnsi="Times New Roman" w:cs="Times New Roman"/>
          <w:sz w:val="24"/>
          <w:szCs w:val="24"/>
        </w:rPr>
        <w:t>(3): 421–427.</w:t>
      </w:r>
    </w:p>
    <w:p w14:paraId="2BF6EFD7"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Deshmukh, A. N.; Kale, S. D. and Pawar, V. S. (2016). Performance of chrysanthemum genotypes under central Indian conditions. </w:t>
      </w:r>
      <w:r>
        <w:rPr>
          <w:rFonts w:ascii="Times New Roman" w:eastAsia="Times New Roman" w:hAnsi="Times New Roman" w:cs="Times New Roman"/>
          <w:i/>
          <w:iCs/>
          <w:sz w:val="24"/>
          <w:szCs w:val="24"/>
        </w:rPr>
        <w:t>Advances in Horticultural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30</w:t>
      </w:r>
      <w:r>
        <w:rPr>
          <w:rFonts w:ascii="Times New Roman" w:eastAsia="Times New Roman" w:hAnsi="Times New Roman" w:cs="Times New Roman"/>
          <w:sz w:val="24"/>
          <w:szCs w:val="24"/>
        </w:rPr>
        <w:t>(1): 12–15.</w:t>
      </w:r>
    </w:p>
    <w:p w14:paraId="3B5BC9F9"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Joshi, A. R. and Bhatnagar, M. (2015). Influence of varieties on flower morphology in chrysanthemum. </w:t>
      </w:r>
      <w:r>
        <w:rPr>
          <w:rFonts w:ascii="Times New Roman" w:eastAsia="Times New Roman" w:hAnsi="Times New Roman" w:cs="Times New Roman"/>
          <w:i/>
          <w:iCs/>
          <w:sz w:val="24"/>
          <w:szCs w:val="24"/>
        </w:rPr>
        <w:t>Journal of Applied and Natural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7</w:t>
      </w:r>
      <w:r>
        <w:rPr>
          <w:rFonts w:ascii="Times New Roman" w:eastAsia="Times New Roman" w:hAnsi="Times New Roman" w:cs="Times New Roman"/>
          <w:sz w:val="24"/>
          <w:szCs w:val="24"/>
        </w:rPr>
        <w:t>(1): 156–158.</w:t>
      </w:r>
    </w:p>
    <w:p w14:paraId="4B601825"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Sharma, S. K.; Verma, L. N. and Choudhary, P. (2018). Prolonged blooming and flowering duration in chrysanthemum varieties. </w:t>
      </w:r>
      <w:r>
        <w:rPr>
          <w:rFonts w:ascii="Times New Roman" w:eastAsia="Times New Roman" w:hAnsi="Times New Roman" w:cs="Times New Roman"/>
          <w:i/>
          <w:iCs/>
          <w:sz w:val="24"/>
          <w:szCs w:val="24"/>
        </w:rPr>
        <w:t>Indian Journal of Horticultural Research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35</w:t>
      </w:r>
      <w:r>
        <w:rPr>
          <w:rFonts w:ascii="Times New Roman" w:eastAsia="Times New Roman" w:hAnsi="Times New Roman" w:cs="Times New Roman"/>
          <w:sz w:val="24"/>
          <w:szCs w:val="24"/>
        </w:rPr>
        <w:t>(4): 343–346.</w:t>
      </w:r>
    </w:p>
    <w:p w14:paraId="408B103E"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Lal, R.; Singh, B. and Katoch, P. (2021). Influence of varietal traits on vase life in chrysanthemum. </w:t>
      </w:r>
      <w:r>
        <w:rPr>
          <w:rFonts w:ascii="Times New Roman" w:eastAsia="Times New Roman" w:hAnsi="Times New Roman" w:cs="Times New Roman"/>
          <w:i/>
          <w:iCs/>
          <w:sz w:val="24"/>
          <w:szCs w:val="24"/>
        </w:rPr>
        <w:t>Journal of Ornamental and Horticultural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(1): 22–26.</w:t>
      </w:r>
    </w:p>
    <w:p w14:paraId="31FAFB55"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 and Verma, S. K. (2019). Biomass and nutrient allocation in chrysanthemum genotypes. </w:t>
      </w:r>
      <w:r>
        <w:rPr>
          <w:rFonts w:ascii="Times New Roman" w:eastAsia="Times New Roman" w:hAnsi="Times New Roman" w:cs="Times New Roman"/>
          <w:i/>
          <w:iCs/>
          <w:sz w:val="24"/>
          <w:szCs w:val="24"/>
        </w:rPr>
        <w:t>Journal of Plant Science and Research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35</w:t>
      </w:r>
      <w:r>
        <w:rPr>
          <w:rFonts w:ascii="Times New Roman" w:eastAsia="Times New Roman" w:hAnsi="Times New Roman" w:cs="Times New Roman"/>
          <w:sz w:val="24"/>
          <w:szCs w:val="24"/>
        </w:rPr>
        <w:t>(2): 110–113.</w:t>
      </w:r>
    </w:p>
    <w:p w14:paraId="0488B96F" w14:textId="77777777" w:rsidR="00FF7CEE" w:rsidRDefault="00944583">
      <w:pPr>
        <w:spacing w:after="0" w:line="360" w:lineRule="auto"/>
        <w:ind w:left="851" w:right="-198" w:hanging="8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Meena, M. L.; Patel, D. D. and Jain, R. (2017). Chlorophyll content and growth behavior in chrysanthemum. </w:t>
      </w:r>
      <w:r>
        <w:rPr>
          <w:rFonts w:ascii="Times New Roman" w:eastAsia="Times New Roman" w:hAnsi="Times New Roman" w:cs="Times New Roman"/>
          <w:i/>
          <w:iCs/>
          <w:sz w:val="24"/>
          <w:szCs w:val="24"/>
        </w:rPr>
        <w:t>Journal of Floriculture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10</w:t>
      </w:r>
      <w:r>
        <w:rPr>
          <w:rFonts w:ascii="Times New Roman" w:eastAsia="Times New Roman" w:hAnsi="Times New Roman" w:cs="Times New Roman"/>
          <w:sz w:val="24"/>
          <w:szCs w:val="24"/>
        </w:rPr>
        <w:t>(2): 45–48.</w:t>
      </w:r>
    </w:p>
    <w:p w14:paraId="0C3E8ABB" w14:textId="77777777" w:rsidR="00FF7CEE" w:rsidRDefault="00FF7CEE">
      <w:pPr>
        <w:spacing w:before="80" w:after="80" w:line="360" w:lineRule="auto"/>
        <w:ind w:left="851" w:right="-198" w:hanging="842"/>
        <w:jc w:val="both"/>
        <w:rPr>
          <w:rFonts w:ascii="Times New Roman" w:eastAsia="Times New Roman" w:hAnsi="Times New Roman" w:cs="Times New Roman"/>
          <w:sz w:val="24"/>
          <w:szCs w:val="24"/>
        </w:rPr>
      </w:pPr>
    </w:p>
    <w:p w14:paraId="565CCC46" w14:textId="77777777" w:rsidR="00FF7CEE" w:rsidRDefault="00FF7CEE">
      <w:pPr>
        <w:spacing w:before="80" w:after="80" w:line="360" w:lineRule="auto"/>
        <w:ind w:left="851" w:right="-198" w:hanging="842"/>
        <w:jc w:val="both"/>
        <w:rPr>
          <w:rFonts w:ascii="Times New Roman" w:eastAsia="Times New Roman" w:hAnsi="Times New Roman" w:cs="Times New Roman"/>
          <w:sz w:val="24"/>
          <w:szCs w:val="24"/>
        </w:rPr>
      </w:pPr>
      <w:bookmarkStart w:id="1" w:name="_GoBack"/>
      <w:bookmarkEnd w:id="1"/>
    </w:p>
    <w:p w14:paraId="411576F1" w14:textId="77777777" w:rsidR="00FF7CEE" w:rsidRDefault="00FF7CEE">
      <w:pPr>
        <w:spacing w:before="240" w:after="0" w:line="360" w:lineRule="auto"/>
        <w:ind w:hanging="842"/>
        <w:jc w:val="both"/>
        <w:rPr>
          <w:rFonts w:ascii="Times New Roman" w:eastAsia="Times New Roman" w:hAnsi="Times New Roman" w:cs="Times New Roman"/>
          <w:sz w:val="24"/>
          <w:szCs w:val="24"/>
        </w:rPr>
        <w:sectPr w:rsidR="00FF7CEE">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08" w:footer="708" w:gutter="0"/>
          <w:pgNumType w:start="1"/>
          <w:cols w:space="720"/>
        </w:sectPr>
      </w:pPr>
    </w:p>
    <w:p w14:paraId="6F80C966" w14:textId="77777777" w:rsidR="00FF7CEE" w:rsidRDefault="0094458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 Growth parameters like plant height (cm) and plant spread (cm)</w:t>
      </w:r>
      <w:r>
        <w:rPr>
          <w:rFonts w:ascii="Times New Roman" w:eastAsia="Times New Roman" w:hAnsi="Times New Roman" w:cs="Times New Roman"/>
          <w:b/>
          <w:bCs/>
          <w:color w:val="000000"/>
          <w:sz w:val="24"/>
          <w:szCs w:val="24"/>
        </w:rPr>
        <w:t xml:space="preserve"> Number of leaves per plant</w:t>
      </w:r>
      <w:r>
        <w:rPr>
          <w:rFonts w:ascii="Times New Roman" w:eastAsia="Times New Roman" w:hAnsi="Times New Roman" w:cs="Times New Roman"/>
          <w:b/>
          <w:bCs/>
          <w:sz w:val="24"/>
          <w:szCs w:val="24"/>
        </w:rPr>
        <w:t xml:space="preserve"> and Stem diameter (mm</w:t>
      </w:r>
      <w:proofErr w:type="gramStart"/>
      <w:r>
        <w:rPr>
          <w:rFonts w:ascii="Times New Roman" w:eastAsia="Times New Roman" w:hAnsi="Times New Roman" w:cs="Times New Roman"/>
          <w:b/>
          <w:bCs/>
          <w:sz w:val="24"/>
          <w:szCs w:val="24"/>
        </w:rPr>
        <w:t>)  of</w:t>
      </w:r>
      <w:proofErr w:type="gramEnd"/>
      <w:r>
        <w:rPr>
          <w:rFonts w:ascii="Times New Roman" w:eastAsia="Times New Roman" w:hAnsi="Times New Roman" w:cs="Times New Roman"/>
          <w:b/>
          <w:bCs/>
          <w:sz w:val="24"/>
          <w:szCs w:val="24"/>
        </w:rPr>
        <w:t xml:space="preserve"> Chrysanthemum </w:t>
      </w:r>
    </w:p>
    <w:p w14:paraId="3ABB43B1" w14:textId="77777777" w:rsidR="00FF7CEE" w:rsidRDefault="00FF7CEE">
      <w:pPr>
        <w:spacing w:after="0" w:line="240" w:lineRule="auto"/>
        <w:rPr>
          <w:rFonts w:ascii="Times New Roman" w:eastAsia="Times New Roman" w:hAnsi="Times New Roman" w:cs="Times New Roman"/>
          <w:b/>
          <w:bCs/>
          <w:sz w:val="24"/>
          <w:szCs w:val="24"/>
        </w:rPr>
      </w:pPr>
    </w:p>
    <w:tbl>
      <w:tblPr>
        <w:tblStyle w:val="a"/>
        <w:tblW w:w="131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1170"/>
        <w:gridCol w:w="1173"/>
        <w:gridCol w:w="1352"/>
        <w:gridCol w:w="1080"/>
        <w:gridCol w:w="1173"/>
        <w:gridCol w:w="1710"/>
        <w:gridCol w:w="1352"/>
        <w:gridCol w:w="1349"/>
        <w:gridCol w:w="1270"/>
      </w:tblGrid>
      <w:tr w:rsidR="00FF7CEE" w14:paraId="1E5BFCBA" w14:textId="77777777">
        <w:trPr>
          <w:trHeight w:val="20"/>
        </w:trPr>
        <w:tc>
          <w:tcPr>
            <w:tcW w:w="1547" w:type="dxa"/>
            <w:vMerge w:val="restart"/>
            <w:vAlign w:val="center"/>
          </w:tcPr>
          <w:p w14:paraId="3D20BE09" w14:textId="77777777" w:rsidR="00FF7CEE" w:rsidRDefault="00944583">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Treatments</w:t>
            </w:r>
          </w:p>
        </w:tc>
        <w:tc>
          <w:tcPr>
            <w:tcW w:w="3695" w:type="dxa"/>
            <w:gridSpan w:val="3"/>
            <w:vAlign w:val="center"/>
          </w:tcPr>
          <w:p w14:paraId="2C2725DB" w14:textId="77777777" w:rsidR="00FF7CEE" w:rsidRDefault="0094458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Plant height (cm)</w:t>
            </w:r>
          </w:p>
        </w:tc>
        <w:tc>
          <w:tcPr>
            <w:tcW w:w="2253" w:type="dxa"/>
            <w:gridSpan w:val="2"/>
            <w:vAlign w:val="center"/>
          </w:tcPr>
          <w:p w14:paraId="74E3FA14" w14:textId="77777777" w:rsidR="00FF7CEE" w:rsidRDefault="0094458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Plant spread (cm)</w:t>
            </w:r>
          </w:p>
        </w:tc>
        <w:tc>
          <w:tcPr>
            <w:tcW w:w="3062" w:type="dxa"/>
            <w:gridSpan w:val="2"/>
            <w:vAlign w:val="center"/>
          </w:tcPr>
          <w:p w14:paraId="68FDC1F5" w14:textId="77777777" w:rsidR="00FF7CEE" w:rsidRDefault="00944583">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Number of leaves per plant</w:t>
            </w:r>
          </w:p>
        </w:tc>
        <w:tc>
          <w:tcPr>
            <w:tcW w:w="2619" w:type="dxa"/>
            <w:gridSpan w:val="2"/>
            <w:vAlign w:val="center"/>
          </w:tcPr>
          <w:p w14:paraId="6A06B509" w14:textId="77777777" w:rsidR="00FF7CEE" w:rsidRDefault="00944583">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Stem diameter (mm)</w:t>
            </w:r>
          </w:p>
        </w:tc>
      </w:tr>
      <w:tr w:rsidR="00FF7CEE" w14:paraId="6E2E8AAA" w14:textId="77777777">
        <w:trPr>
          <w:trHeight w:val="20"/>
        </w:trPr>
        <w:tc>
          <w:tcPr>
            <w:tcW w:w="1547" w:type="dxa"/>
            <w:vMerge/>
            <w:vAlign w:val="center"/>
          </w:tcPr>
          <w:p w14:paraId="49FB38F9" w14:textId="77777777" w:rsidR="00FF7CEE" w:rsidRDefault="00FF7CE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70" w:type="dxa"/>
            <w:vAlign w:val="center"/>
          </w:tcPr>
          <w:p w14:paraId="45C57449"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 DAT</w:t>
            </w:r>
          </w:p>
        </w:tc>
        <w:tc>
          <w:tcPr>
            <w:tcW w:w="1173" w:type="dxa"/>
            <w:vAlign w:val="center"/>
          </w:tcPr>
          <w:p w14:paraId="430AE777"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 DAT</w:t>
            </w:r>
          </w:p>
        </w:tc>
        <w:tc>
          <w:tcPr>
            <w:tcW w:w="1352" w:type="dxa"/>
            <w:vAlign w:val="center"/>
          </w:tcPr>
          <w:p w14:paraId="145E9CFF"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90 DAT</w:t>
            </w:r>
          </w:p>
        </w:tc>
        <w:tc>
          <w:tcPr>
            <w:tcW w:w="1080" w:type="dxa"/>
            <w:vAlign w:val="center"/>
          </w:tcPr>
          <w:p w14:paraId="0CB9912C"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 DAT</w:t>
            </w:r>
          </w:p>
        </w:tc>
        <w:tc>
          <w:tcPr>
            <w:tcW w:w="1173" w:type="dxa"/>
            <w:vAlign w:val="center"/>
          </w:tcPr>
          <w:p w14:paraId="4602F0BE"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 DAT</w:t>
            </w:r>
          </w:p>
        </w:tc>
        <w:tc>
          <w:tcPr>
            <w:tcW w:w="1710" w:type="dxa"/>
            <w:vAlign w:val="center"/>
          </w:tcPr>
          <w:p w14:paraId="79DA85DB"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 DAT</w:t>
            </w:r>
          </w:p>
        </w:tc>
        <w:tc>
          <w:tcPr>
            <w:tcW w:w="1352" w:type="dxa"/>
            <w:vAlign w:val="center"/>
          </w:tcPr>
          <w:p w14:paraId="4F4E24C9"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 DAT</w:t>
            </w:r>
          </w:p>
        </w:tc>
        <w:tc>
          <w:tcPr>
            <w:tcW w:w="1349" w:type="dxa"/>
            <w:vAlign w:val="center"/>
          </w:tcPr>
          <w:p w14:paraId="03E6012C"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 DAT</w:t>
            </w:r>
          </w:p>
        </w:tc>
        <w:tc>
          <w:tcPr>
            <w:tcW w:w="1270" w:type="dxa"/>
            <w:vAlign w:val="center"/>
          </w:tcPr>
          <w:p w14:paraId="29C7B9C5"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 DAT</w:t>
            </w:r>
          </w:p>
        </w:tc>
      </w:tr>
      <w:tr w:rsidR="00FF7CEE" w14:paraId="16AB92CD" w14:textId="77777777">
        <w:trPr>
          <w:trHeight w:val="20"/>
        </w:trPr>
        <w:tc>
          <w:tcPr>
            <w:tcW w:w="1547" w:type="dxa"/>
            <w:vAlign w:val="center"/>
          </w:tcPr>
          <w:p w14:paraId="0A8A7C45" w14:textId="77777777"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V</w:t>
            </w:r>
            <w:r>
              <w:rPr>
                <w:rFonts w:ascii="Times New Roman" w:eastAsia="Times New Roman" w:hAnsi="Times New Roman" w:cs="Times New Roman"/>
                <w:b/>
                <w:bCs/>
                <w:sz w:val="24"/>
                <w:szCs w:val="24"/>
                <w:vertAlign w:val="subscript"/>
              </w:rPr>
              <w:t>1</w:t>
            </w:r>
            <w:r>
              <w:rPr>
                <w:rFonts w:ascii="Times New Roman" w:eastAsia="Times New Roman" w:hAnsi="Times New Roman" w:cs="Times New Roman"/>
                <w:color w:val="000000"/>
                <w:sz w:val="24"/>
                <w:szCs w:val="24"/>
              </w:rPr>
              <w:t xml:space="preserve"> (Bidhan Mallika)</w:t>
            </w:r>
          </w:p>
        </w:tc>
        <w:tc>
          <w:tcPr>
            <w:tcW w:w="1170" w:type="dxa"/>
            <w:vAlign w:val="bottom"/>
          </w:tcPr>
          <w:p w14:paraId="7DCE14BE"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w:t>
            </w:r>
          </w:p>
        </w:tc>
        <w:tc>
          <w:tcPr>
            <w:tcW w:w="1173" w:type="dxa"/>
            <w:vAlign w:val="bottom"/>
          </w:tcPr>
          <w:p w14:paraId="65FEA745"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10.93</w:t>
            </w:r>
          </w:p>
        </w:tc>
        <w:tc>
          <w:tcPr>
            <w:tcW w:w="1352" w:type="dxa"/>
            <w:vAlign w:val="bottom"/>
          </w:tcPr>
          <w:p w14:paraId="7563F1C8"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20.71</w:t>
            </w:r>
          </w:p>
        </w:tc>
        <w:tc>
          <w:tcPr>
            <w:tcW w:w="1080" w:type="dxa"/>
            <w:vAlign w:val="bottom"/>
          </w:tcPr>
          <w:p w14:paraId="163F7F31"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w:t>
            </w:r>
          </w:p>
        </w:tc>
        <w:tc>
          <w:tcPr>
            <w:tcW w:w="1173" w:type="dxa"/>
            <w:vAlign w:val="bottom"/>
          </w:tcPr>
          <w:p w14:paraId="1CFF4642"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w:t>
            </w:r>
          </w:p>
        </w:tc>
        <w:tc>
          <w:tcPr>
            <w:tcW w:w="1710" w:type="dxa"/>
            <w:vAlign w:val="bottom"/>
          </w:tcPr>
          <w:p w14:paraId="08370216"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w:t>
            </w:r>
          </w:p>
        </w:tc>
        <w:tc>
          <w:tcPr>
            <w:tcW w:w="1352" w:type="dxa"/>
            <w:vAlign w:val="bottom"/>
          </w:tcPr>
          <w:p w14:paraId="4157AAA2"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35.78</w:t>
            </w:r>
          </w:p>
        </w:tc>
        <w:tc>
          <w:tcPr>
            <w:tcW w:w="1349" w:type="dxa"/>
            <w:vAlign w:val="bottom"/>
          </w:tcPr>
          <w:p w14:paraId="5B39DBDF"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1270" w:type="dxa"/>
            <w:vAlign w:val="bottom"/>
          </w:tcPr>
          <w:p w14:paraId="55B4DDBE"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4.36</w:t>
            </w:r>
          </w:p>
        </w:tc>
      </w:tr>
      <w:tr w:rsidR="00FF7CEE" w14:paraId="520C41E7" w14:textId="77777777">
        <w:trPr>
          <w:trHeight w:val="20"/>
        </w:trPr>
        <w:tc>
          <w:tcPr>
            <w:tcW w:w="1547" w:type="dxa"/>
            <w:vAlign w:val="center"/>
          </w:tcPr>
          <w:p w14:paraId="4F2B6E9B" w14:textId="77777777"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color w:val="000000"/>
                <w:sz w:val="24"/>
                <w:szCs w:val="24"/>
              </w:rPr>
              <w:t>(Gitanjali)</w:t>
            </w:r>
          </w:p>
        </w:tc>
        <w:tc>
          <w:tcPr>
            <w:tcW w:w="1170" w:type="dxa"/>
            <w:vAlign w:val="bottom"/>
          </w:tcPr>
          <w:p w14:paraId="503F099F"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11.35</w:t>
            </w:r>
          </w:p>
        </w:tc>
        <w:tc>
          <w:tcPr>
            <w:tcW w:w="1173" w:type="dxa"/>
            <w:vAlign w:val="bottom"/>
          </w:tcPr>
          <w:p w14:paraId="1D610662"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24.60</w:t>
            </w:r>
          </w:p>
        </w:tc>
        <w:tc>
          <w:tcPr>
            <w:tcW w:w="1352" w:type="dxa"/>
            <w:vAlign w:val="bottom"/>
          </w:tcPr>
          <w:p w14:paraId="2E3EAD7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35.42</w:t>
            </w:r>
          </w:p>
        </w:tc>
        <w:tc>
          <w:tcPr>
            <w:tcW w:w="1080" w:type="dxa"/>
            <w:vAlign w:val="bottom"/>
          </w:tcPr>
          <w:p w14:paraId="3591ECED"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tc>
        <w:tc>
          <w:tcPr>
            <w:tcW w:w="1173" w:type="dxa"/>
            <w:vAlign w:val="bottom"/>
          </w:tcPr>
          <w:p w14:paraId="3A3AFE24"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11.27</w:t>
            </w:r>
          </w:p>
        </w:tc>
        <w:tc>
          <w:tcPr>
            <w:tcW w:w="1710" w:type="dxa"/>
            <w:vAlign w:val="bottom"/>
          </w:tcPr>
          <w:p w14:paraId="04346DD8"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w:t>
            </w:r>
          </w:p>
        </w:tc>
        <w:tc>
          <w:tcPr>
            <w:tcW w:w="1352" w:type="dxa"/>
            <w:vAlign w:val="bottom"/>
          </w:tcPr>
          <w:p w14:paraId="6A66A4DF"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36.08</w:t>
            </w:r>
          </w:p>
        </w:tc>
        <w:tc>
          <w:tcPr>
            <w:tcW w:w="1349" w:type="dxa"/>
            <w:vAlign w:val="bottom"/>
          </w:tcPr>
          <w:p w14:paraId="7ED0020F"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c>
          <w:tcPr>
            <w:tcW w:w="1270" w:type="dxa"/>
            <w:vAlign w:val="bottom"/>
          </w:tcPr>
          <w:p w14:paraId="0CEBEDBE"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4.20</w:t>
            </w:r>
          </w:p>
        </w:tc>
      </w:tr>
      <w:tr w:rsidR="00FF7CEE" w14:paraId="7029D6DC" w14:textId="77777777">
        <w:trPr>
          <w:trHeight w:val="20"/>
        </w:trPr>
        <w:tc>
          <w:tcPr>
            <w:tcW w:w="1547" w:type="dxa"/>
            <w:vAlign w:val="center"/>
          </w:tcPr>
          <w:p w14:paraId="3B491761" w14:textId="77777777"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3</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w:t>
            </w:r>
          </w:p>
        </w:tc>
        <w:tc>
          <w:tcPr>
            <w:tcW w:w="1170" w:type="dxa"/>
            <w:vAlign w:val="bottom"/>
          </w:tcPr>
          <w:p w14:paraId="7E12C39E"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16.07</w:t>
            </w:r>
          </w:p>
        </w:tc>
        <w:tc>
          <w:tcPr>
            <w:tcW w:w="1173" w:type="dxa"/>
            <w:vAlign w:val="bottom"/>
          </w:tcPr>
          <w:p w14:paraId="30E78D5E"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30.71</w:t>
            </w:r>
          </w:p>
        </w:tc>
        <w:tc>
          <w:tcPr>
            <w:tcW w:w="1352" w:type="dxa"/>
            <w:vAlign w:val="bottom"/>
          </w:tcPr>
          <w:p w14:paraId="3E272A7D"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41.41</w:t>
            </w:r>
          </w:p>
        </w:tc>
        <w:tc>
          <w:tcPr>
            <w:tcW w:w="1080" w:type="dxa"/>
            <w:vAlign w:val="bottom"/>
          </w:tcPr>
          <w:p w14:paraId="7F95C0FE"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c>
          <w:tcPr>
            <w:tcW w:w="1173" w:type="dxa"/>
            <w:vAlign w:val="bottom"/>
          </w:tcPr>
          <w:p w14:paraId="2F19CA55"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1710" w:type="dxa"/>
            <w:vAlign w:val="bottom"/>
          </w:tcPr>
          <w:p w14:paraId="0B73F4AD"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5.36</w:t>
            </w:r>
          </w:p>
        </w:tc>
        <w:tc>
          <w:tcPr>
            <w:tcW w:w="1352" w:type="dxa"/>
            <w:vAlign w:val="bottom"/>
          </w:tcPr>
          <w:p w14:paraId="7A7E437F"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24.27</w:t>
            </w:r>
          </w:p>
        </w:tc>
        <w:tc>
          <w:tcPr>
            <w:tcW w:w="1349" w:type="dxa"/>
            <w:vAlign w:val="bottom"/>
          </w:tcPr>
          <w:p w14:paraId="58F0573F"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c>
          <w:tcPr>
            <w:tcW w:w="1270" w:type="dxa"/>
            <w:vAlign w:val="bottom"/>
          </w:tcPr>
          <w:p w14:paraId="174FEC52"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w:t>
            </w:r>
          </w:p>
        </w:tc>
      </w:tr>
      <w:tr w:rsidR="00FF7CEE" w14:paraId="09B16AFB" w14:textId="77777777">
        <w:trPr>
          <w:trHeight w:val="20"/>
        </w:trPr>
        <w:tc>
          <w:tcPr>
            <w:tcW w:w="1547" w:type="dxa"/>
            <w:vAlign w:val="center"/>
          </w:tcPr>
          <w:p w14:paraId="1024A44B" w14:textId="77777777"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4</w:t>
            </w:r>
            <w:r>
              <w:rPr>
                <w:rFonts w:ascii="Times New Roman" w:eastAsia="Times New Roman" w:hAnsi="Times New Roman" w:cs="Times New Roman"/>
                <w:color w:val="000000"/>
                <w:sz w:val="24"/>
                <w:szCs w:val="24"/>
              </w:rPr>
              <w:t>(Jaya)</w:t>
            </w:r>
          </w:p>
        </w:tc>
        <w:tc>
          <w:tcPr>
            <w:tcW w:w="1170" w:type="dxa"/>
            <w:vAlign w:val="bottom"/>
          </w:tcPr>
          <w:p w14:paraId="68BF9A26"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14.33</w:t>
            </w:r>
          </w:p>
        </w:tc>
        <w:tc>
          <w:tcPr>
            <w:tcW w:w="1173" w:type="dxa"/>
            <w:vAlign w:val="bottom"/>
          </w:tcPr>
          <w:p w14:paraId="198999E5"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26.40</w:t>
            </w:r>
          </w:p>
        </w:tc>
        <w:tc>
          <w:tcPr>
            <w:tcW w:w="1352" w:type="dxa"/>
            <w:vAlign w:val="bottom"/>
          </w:tcPr>
          <w:p w14:paraId="4EE1A3DB"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38.41</w:t>
            </w:r>
          </w:p>
        </w:tc>
        <w:tc>
          <w:tcPr>
            <w:tcW w:w="1080" w:type="dxa"/>
            <w:vAlign w:val="bottom"/>
          </w:tcPr>
          <w:p w14:paraId="4157F534"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w:t>
            </w:r>
          </w:p>
        </w:tc>
        <w:tc>
          <w:tcPr>
            <w:tcW w:w="1173" w:type="dxa"/>
            <w:vAlign w:val="bottom"/>
          </w:tcPr>
          <w:p w14:paraId="6666B444"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14.02</w:t>
            </w:r>
          </w:p>
        </w:tc>
        <w:tc>
          <w:tcPr>
            <w:tcW w:w="1710" w:type="dxa"/>
            <w:vAlign w:val="bottom"/>
          </w:tcPr>
          <w:p w14:paraId="0D1E6F85"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w:t>
            </w:r>
          </w:p>
        </w:tc>
        <w:tc>
          <w:tcPr>
            <w:tcW w:w="1352" w:type="dxa"/>
            <w:vAlign w:val="bottom"/>
          </w:tcPr>
          <w:p w14:paraId="63A8FA7C"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50.80</w:t>
            </w:r>
          </w:p>
        </w:tc>
        <w:tc>
          <w:tcPr>
            <w:tcW w:w="1349" w:type="dxa"/>
            <w:vAlign w:val="bottom"/>
          </w:tcPr>
          <w:p w14:paraId="649E5796"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w:t>
            </w:r>
          </w:p>
        </w:tc>
        <w:tc>
          <w:tcPr>
            <w:tcW w:w="1270" w:type="dxa"/>
            <w:vAlign w:val="bottom"/>
          </w:tcPr>
          <w:p w14:paraId="29930EF4"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w:t>
            </w:r>
          </w:p>
        </w:tc>
      </w:tr>
      <w:tr w:rsidR="00FF7CEE" w14:paraId="667DB7AA" w14:textId="77777777">
        <w:trPr>
          <w:trHeight w:val="20"/>
        </w:trPr>
        <w:tc>
          <w:tcPr>
            <w:tcW w:w="1547" w:type="dxa"/>
            <w:vAlign w:val="center"/>
          </w:tcPr>
          <w:p w14:paraId="7661C578" w14:textId="77777777"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5</w:t>
            </w:r>
            <w:r>
              <w:rPr>
                <w:rFonts w:ascii="Times New Roman" w:eastAsia="Times New Roman" w:hAnsi="Times New Roman" w:cs="Times New Roman"/>
                <w:color w:val="000000"/>
                <w:sz w:val="24"/>
                <w:szCs w:val="24"/>
              </w:rPr>
              <w:t>(Jubilee)</w:t>
            </w:r>
          </w:p>
        </w:tc>
        <w:tc>
          <w:tcPr>
            <w:tcW w:w="1170" w:type="dxa"/>
            <w:vAlign w:val="bottom"/>
          </w:tcPr>
          <w:p w14:paraId="1FE185D4"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12.33</w:t>
            </w:r>
          </w:p>
        </w:tc>
        <w:tc>
          <w:tcPr>
            <w:tcW w:w="1173" w:type="dxa"/>
            <w:vAlign w:val="bottom"/>
          </w:tcPr>
          <w:p w14:paraId="29D7EBF6"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21.37</w:t>
            </w:r>
          </w:p>
        </w:tc>
        <w:tc>
          <w:tcPr>
            <w:tcW w:w="1352" w:type="dxa"/>
            <w:vAlign w:val="bottom"/>
          </w:tcPr>
          <w:p w14:paraId="5B83FCF4"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32.62</w:t>
            </w:r>
          </w:p>
        </w:tc>
        <w:tc>
          <w:tcPr>
            <w:tcW w:w="1080" w:type="dxa"/>
            <w:vAlign w:val="bottom"/>
          </w:tcPr>
          <w:p w14:paraId="718C0C82"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c>
          <w:tcPr>
            <w:tcW w:w="1173" w:type="dxa"/>
            <w:vAlign w:val="bottom"/>
          </w:tcPr>
          <w:p w14:paraId="24C8B856"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w:t>
            </w:r>
          </w:p>
        </w:tc>
        <w:tc>
          <w:tcPr>
            <w:tcW w:w="1710" w:type="dxa"/>
            <w:vAlign w:val="bottom"/>
          </w:tcPr>
          <w:p w14:paraId="43547E4E"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w:t>
            </w:r>
          </w:p>
        </w:tc>
        <w:tc>
          <w:tcPr>
            <w:tcW w:w="1352" w:type="dxa"/>
            <w:vAlign w:val="bottom"/>
          </w:tcPr>
          <w:p w14:paraId="1B7E3F9E"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20.80</w:t>
            </w:r>
          </w:p>
        </w:tc>
        <w:tc>
          <w:tcPr>
            <w:tcW w:w="1349" w:type="dxa"/>
            <w:vAlign w:val="bottom"/>
          </w:tcPr>
          <w:p w14:paraId="555B5C99"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c>
          <w:tcPr>
            <w:tcW w:w="1270" w:type="dxa"/>
            <w:vAlign w:val="bottom"/>
          </w:tcPr>
          <w:p w14:paraId="2CFC4F5F"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w:t>
            </w:r>
          </w:p>
        </w:tc>
      </w:tr>
      <w:tr w:rsidR="00FF7CEE" w14:paraId="70360F80" w14:textId="77777777">
        <w:trPr>
          <w:trHeight w:val="20"/>
        </w:trPr>
        <w:tc>
          <w:tcPr>
            <w:tcW w:w="1547" w:type="dxa"/>
            <w:vAlign w:val="center"/>
          </w:tcPr>
          <w:p w14:paraId="7FFBF1E2" w14:textId="77777777"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6</w:t>
            </w:r>
            <w:r>
              <w:rPr>
                <w:rFonts w:ascii="Times New Roman" w:eastAsia="Times New Roman" w:hAnsi="Times New Roman" w:cs="Times New Roman"/>
                <w:color w:val="000000"/>
                <w:sz w:val="24"/>
                <w:szCs w:val="24"/>
              </w:rPr>
              <w:t>(Raja)</w:t>
            </w:r>
          </w:p>
        </w:tc>
        <w:tc>
          <w:tcPr>
            <w:tcW w:w="1170" w:type="dxa"/>
            <w:vAlign w:val="bottom"/>
          </w:tcPr>
          <w:p w14:paraId="7F7B7856"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22.46</w:t>
            </w:r>
          </w:p>
        </w:tc>
        <w:tc>
          <w:tcPr>
            <w:tcW w:w="1173" w:type="dxa"/>
            <w:vAlign w:val="bottom"/>
          </w:tcPr>
          <w:p w14:paraId="3EC48A95"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36.36</w:t>
            </w:r>
          </w:p>
        </w:tc>
        <w:tc>
          <w:tcPr>
            <w:tcW w:w="1352" w:type="dxa"/>
            <w:vAlign w:val="bottom"/>
          </w:tcPr>
          <w:p w14:paraId="15053C0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46.50</w:t>
            </w:r>
          </w:p>
        </w:tc>
        <w:tc>
          <w:tcPr>
            <w:tcW w:w="1080" w:type="dxa"/>
            <w:vAlign w:val="bottom"/>
          </w:tcPr>
          <w:p w14:paraId="04DD112C"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173" w:type="dxa"/>
            <w:vAlign w:val="bottom"/>
          </w:tcPr>
          <w:p w14:paraId="2FE867AD"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10.73</w:t>
            </w:r>
          </w:p>
        </w:tc>
        <w:tc>
          <w:tcPr>
            <w:tcW w:w="1710" w:type="dxa"/>
            <w:vAlign w:val="bottom"/>
          </w:tcPr>
          <w:p w14:paraId="01DE3583"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7.49</w:t>
            </w:r>
          </w:p>
        </w:tc>
        <w:tc>
          <w:tcPr>
            <w:tcW w:w="1352" w:type="dxa"/>
            <w:vAlign w:val="bottom"/>
          </w:tcPr>
          <w:p w14:paraId="44B79804"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35.73</w:t>
            </w:r>
          </w:p>
        </w:tc>
        <w:tc>
          <w:tcPr>
            <w:tcW w:w="1349" w:type="dxa"/>
            <w:vAlign w:val="bottom"/>
          </w:tcPr>
          <w:p w14:paraId="524F987D"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w:t>
            </w:r>
          </w:p>
        </w:tc>
        <w:tc>
          <w:tcPr>
            <w:tcW w:w="1270" w:type="dxa"/>
            <w:vAlign w:val="bottom"/>
          </w:tcPr>
          <w:p w14:paraId="5299C562"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w:t>
            </w:r>
          </w:p>
        </w:tc>
      </w:tr>
      <w:tr w:rsidR="00FF7CEE" w14:paraId="270E6EE5" w14:textId="77777777">
        <w:trPr>
          <w:trHeight w:val="20"/>
        </w:trPr>
        <w:tc>
          <w:tcPr>
            <w:tcW w:w="1547" w:type="dxa"/>
            <w:vAlign w:val="center"/>
          </w:tcPr>
          <w:p w14:paraId="64FD859A" w14:textId="77777777" w:rsidR="00FF7CEE" w:rsidRDefault="009445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7</w:t>
            </w:r>
            <w:r>
              <w:rPr>
                <w:rFonts w:ascii="Times New Roman" w:eastAsia="Times New Roman" w:hAnsi="Times New Roman" w:cs="Times New Roman"/>
                <w:color w:val="000000"/>
                <w:sz w:val="24"/>
                <w:szCs w:val="24"/>
              </w:rPr>
              <w:t>(Silk Brocade)</w:t>
            </w:r>
          </w:p>
        </w:tc>
        <w:tc>
          <w:tcPr>
            <w:tcW w:w="1170" w:type="dxa"/>
            <w:vAlign w:val="bottom"/>
          </w:tcPr>
          <w:p w14:paraId="6CFB588F"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17.39</w:t>
            </w:r>
          </w:p>
        </w:tc>
        <w:tc>
          <w:tcPr>
            <w:tcW w:w="1173" w:type="dxa"/>
            <w:vAlign w:val="bottom"/>
          </w:tcPr>
          <w:p w14:paraId="01814A35"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27.65</w:t>
            </w:r>
          </w:p>
        </w:tc>
        <w:tc>
          <w:tcPr>
            <w:tcW w:w="1352" w:type="dxa"/>
            <w:vAlign w:val="bottom"/>
          </w:tcPr>
          <w:p w14:paraId="5808883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37.05</w:t>
            </w:r>
          </w:p>
        </w:tc>
        <w:tc>
          <w:tcPr>
            <w:tcW w:w="1080" w:type="dxa"/>
            <w:vAlign w:val="bottom"/>
          </w:tcPr>
          <w:p w14:paraId="5A5F0305"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c>
          <w:tcPr>
            <w:tcW w:w="1173" w:type="dxa"/>
            <w:vAlign w:val="bottom"/>
          </w:tcPr>
          <w:p w14:paraId="0A03B5FB"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12.09</w:t>
            </w:r>
          </w:p>
        </w:tc>
        <w:tc>
          <w:tcPr>
            <w:tcW w:w="1710" w:type="dxa"/>
            <w:vAlign w:val="bottom"/>
          </w:tcPr>
          <w:p w14:paraId="4B690585"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5.80</w:t>
            </w:r>
          </w:p>
        </w:tc>
        <w:tc>
          <w:tcPr>
            <w:tcW w:w="1352" w:type="dxa"/>
            <w:vAlign w:val="bottom"/>
          </w:tcPr>
          <w:p w14:paraId="1705A705"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37.93</w:t>
            </w:r>
          </w:p>
        </w:tc>
        <w:tc>
          <w:tcPr>
            <w:tcW w:w="1349" w:type="dxa"/>
            <w:vAlign w:val="bottom"/>
          </w:tcPr>
          <w:p w14:paraId="4EE52D47"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w:t>
            </w:r>
          </w:p>
        </w:tc>
        <w:tc>
          <w:tcPr>
            <w:tcW w:w="1270" w:type="dxa"/>
            <w:vAlign w:val="bottom"/>
          </w:tcPr>
          <w:p w14:paraId="4906DB0D" w14:textId="77777777" w:rsidR="00FF7CEE" w:rsidRDefault="00944583">
            <w:pPr>
              <w:spacing w:before="24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3.93</w:t>
            </w:r>
          </w:p>
        </w:tc>
      </w:tr>
      <w:tr w:rsidR="00FF7CEE" w14:paraId="0B21E508" w14:textId="77777777">
        <w:trPr>
          <w:trHeight w:val="20"/>
        </w:trPr>
        <w:tc>
          <w:tcPr>
            <w:tcW w:w="1547" w:type="dxa"/>
            <w:vAlign w:val="bottom"/>
          </w:tcPr>
          <w:p w14:paraId="6FC1139E" w14:textId="77777777" w:rsidR="00FF7CEE" w:rsidRDefault="00944583">
            <w:pPr>
              <w:spacing w:after="0" w:line="36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S.Em</w:t>
            </w:r>
            <w:proofErr w:type="spellEnd"/>
            <w:r>
              <w:rPr>
                <w:rFonts w:ascii="Times New Roman" w:eastAsia="Times New Roman" w:hAnsi="Times New Roman" w:cs="Times New Roman"/>
                <w:b/>
                <w:bCs/>
                <w:color w:val="000000"/>
                <w:sz w:val="24"/>
                <w:szCs w:val="24"/>
              </w:rPr>
              <w:t>. (±)</w:t>
            </w:r>
          </w:p>
        </w:tc>
        <w:tc>
          <w:tcPr>
            <w:tcW w:w="1170" w:type="dxa"/>
            <w:vAlign w:val="bottom"/>
          </w:tcPr>
          <w:p w14:paraId="5D1A78BA"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0.71</w:t>
            </w:r>
          </w:p>
        </w:tc>
        <w:tc>
          <w:tcPr>
            <w:tcW w:w="1173" w:type="dxa"/>
            <w:vAlign w:val="bottom"/>
          </w:tcPr>
          <w:p w14:paraId="5B9659CD"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1.14</w:t>
            </w:r>
          </w:p>
        </w:tc>
        <w:tc>
          <w:tcPr>
            <w:tcW w:w="1352" w:type="dxa"/>
            <w:vAlign w:val="bottom"/>
          </w:tcPr>
          <w:p w14:paraId="31FFEC55"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1.05</w:t>
            </w:r>
          </w:p>
        </w:tc>
        <w:tc>
          <w:tcPr>
            <w:tcW w:w="1080" w:type="dxa"/>
            <w:vAlign w:val="bottom"/>
          </w:tcPr>
          <w:p w14:paraId="421A5112"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0.86</w:t>
            </w:r>
          </w:p>
        </w:tc>
        <w:tc>
          <w:tcPr>
            <w:tcW w:w="1173" w:type="dxa"/>
            <w:vAlign w:val="bottom"/>
          </w:tcPr>
          <w:p w14:paraId="06A4F15D"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3.23</w:t>
            </w:r>
          </w:p>
        </w:tc>
        <w:tc>
          <w:tcPr>
            <w:tcW w:w="1710" w:type="dxa"/>
            <w:vAlign w:val="bottom"/>
          </w:tcPr>
          <w:p w14:paraId="00CC3DC1"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0.93</w:t>
            </w:r>
          </w:p>
        </w:tc>
        <w:tc>
          <w:tcPr>
            <w:tcW w:w="1352" w:type="dxa"/>
            <w:vAlign w:val="bottom"/>
          </w:tcPr>
          <w:p w14:paraId="3669B4BC"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2.43</w:t>
            </w:r>
          </w:p>
        </w:tc>
        <w:tc>
          <w:tcPr>
            <w:tcW w:w="1349" w:type="dxa"/>
            <w:vAlign w:val="bottom"/>
          </w:tcPr>
          <w:p w14:paraId="10475CCE"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0.13</w:t>
            </w:r>
          </w:p>
        </w:tc>
        <w:tc>
          <w:tcPr>
            <w:tcW w:w="1270" w:type="dxa"/>
            <w:vAlign w:val="bottom"/>
          </w:tcPr>
          <w:p w14:paraId="1CBFF4E0"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0.23</w:t>
            </w:r>
          </w:p>
        </w:tc>
      </w:tr>
      <w:tr w:rsidR="00FF7CEE" w14:paraId="376E5BF6" w14:textId="77777777">
        <w:trPr>
          <w:trHeight w:val="20"/>
        </w:trPr>
        <w:tc>
          <w:tcPr>
            <w:tcW w:w="1547" w:type="dxa"/>
            <w:vAlign w:val="bottom"/>
          </w:tcPr>
          <w:p w14:paraId="2E5C2B77" w14:textId="77777777" w:rsidR="00FF7CEE" w:rsidRDefault="00944583">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C.D. at 5%</w:t>
            </w:r>
          </w:p>
        </w:tc>
        <w:tc>
          <w:tcPr>
            <w:tcW w:w="1170" w:type="dxa"/>
            <w:vAlign w:val="bottom"/>
          </w:tcPr>
          <w:p w14:paraId="20FC399E"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1.52</w:t>
            </w:r>
          </w:p>
        </w:tc>
        <w:tc>
          <w:tcPr>
            <w:tcW w:w="1173" w:type="dxa"/>
            <w:vAlign w:val="bottom"/>
          </w:tcPr>
          <w:p w14:paraId="073B1D85"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2.44</w:t>
            </w:r>
          </w:p>
        </w:tc>
        <w:tc>
          <w:tcPr>
            <w:tcW w:w="1352" w:type="dxa"/>
            <w:vAlign w:val="bottom"/>
          </w:tcPr>
          <w:p w14:paraId="01E836DC"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2.26</w:t>
            </w:r>
          </w:p>
        </w:tc>
        <w:tc>
          <w:tcPr>
            <w:tcW w:w="1080" w:type="dxa"/>
            <w:vAlign w:val="bottom"/>
          </w:tcPr>
          <w:p w14:paraId="448D4A99"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1.85</w:t>
            </w:r>
          </w:p>
        </w:tc>
        <w:tc>
          <w:tcPr>
            <w:tcW w:w="1173" w:type="dxa"/>
            <w:vAlign w:val="bottom"/>
          </w:tcPr>
          <w:p w14:paraId="7B739DA8"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6.92</w:t>
            </w:r>
          </w:p>
        </w:tc>
        <w:tc>
          <w:tcPr>
            <w:tcW w:w="1710" w:type="dxa"/>
            <w:vAlign w:val="bottom"/>
          </w:tcPr>
          <w:p w14:paraId="1D743137"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1.99</w:t>
            </w:r>
          </w:p>
        </w:tc>
        <w:tc>
          <w:tcPr>
            <w:tcW w:w="1352" w:type="dxa"/>
            <w:vAlign w:val="bottom"/>
          </w:tcPr>
          <w:p w14:paraId="0D90D623"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5.21</w:t>
            </w:r>
          </w:p>
        </w:tc>
        <w:tc>
          <w:tcPr>
            <w:tcW w:w="1349" w:type="dxa"/>
            <w:vAlign w:val="bottom"/>
          </w:tcPr>
          <w:p w14:paraId="0873B750"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0.27</w:t>
            </w:r>
          </w:p>
        </w:tc>
        <w:tc>
          <w:tcPr>
            <w:tcW w:w="1270" w:type="dxa"/>
            <w:vAlign w:val="bottom"/>
          </w:tcPr>
          <w:p w14:paraId="5A4C2D2F" w14:textId="77777777" w:rsidR="00FF7CEE" w:rsidRDefault="00944583">
            <w:pPr>
              <w:spacing w:before="240"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0.49</w:t>
            </w:r>
          </w:p>
        </w:tc>
      </w:tr>
    </w:tbl>
    <w:p w14:paraId="1FCAB7D3" w14:textId="77777777" w:rsidR="00FF7CEE" w:rsidRDefault="00FF7CEE">
      <w:pPr>
        <w:spacing w:before="240" w:after="0" w:line="360" w:lineRule="auto"/>
        <w:ind w:hanging="711"/>
        <w:jc w:val="both"/>
        <w:rPr>
          <w:rFonts w:ascii="Times New Roman" w:eastAsia="Times New Roman" w:hAnsi="Times New Roman" w:cs="Times New Roman"/>
        </w:rPr>
      </w:pPr>
    </w:p>
    <w:p w14:paraId="3EFAC9C2" w14:textId="77777777" w:rsidR="00FF7CEE" w:rsidRDefault="00944583">
      <w:pPr>
        <w:spacing w:before="240" w:after="0" w:line="360" w:lineRule="auto"/>
        <w:ind w:hanging="99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
      </w:r>
      <w:r>
        <w:rPr>
          <w:rFonts w:ascii="Times New Roman" w:eastAsia="Times New Roman" w:hAnsi="Times New Roman" w:cs="Times New Roman"/>
          <w:b/>
          <w:bCs/>
          <w:sz w:val="24"/>
          <w:szCs w:val="24"/>
        </w:rPr>
        <w:tab/>
        <w:t xml:space="preserve">Table 2: Flowering, Post-Harvest and Biochemical parameters of Chrysanthemum </w:t>
      </w:r>
    </w:p>
    <w:tbl>
      <w:tblPr>
        <w:tblStyle w:val="a0"/>
        <w:tblW w:w="140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1507"/>
        <w:gridCol w:w="1294"/>
        <w:gridCol w:w="1378"/>
        <w:gridCol w:w="1417"/>
        <w:gridCol w:w="1337"/>
        <w:gridCol w:w="1230"/>
        <w:gridCol w:w="949"/>
        <w:gridCol w:w="1349"/>
        <w:gridCol w:w="1157"/>
        <w:gridCol w:w="800"/>
      </w:tblGrid>
      <w:tr w:rsidR="00FF7CEE" w14:paraId="5F27423D" w14:textId="77777777">
        <w:trPr>
          <w:trHeight w:val="141"/>
        </w:trPr>
        <w:tc>
          <w:tcPr>
            <w:tcW w:w="1628" w:type="dxa"/>
            <w:vMerge w:val="restart"/>
            <w:vAlign w:val="center"/>
          </w:tcPr>
          <w:p w14:paraId="361AE27B"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Treatments</w:t>
            </w:r>
          </w:p>
        </w:tc>
        <w:tc>
          <w:tcPr>
            <w:tcW w:w="1507" w:type="dxa"/>
            <w:vMerge w:val="restart"/>
            <w:vAlign w:val="center"/>
          </w:tcPr>
          <w:p w14:paraId="406F5BB4"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 of days taken flower bud appearance</w:t>
            </w:r>
          </w:p>
        </w:tc>
        <w:tc>
          <w:tcPr>
            <w:tcW w:w="1294" w:type="dxa"/>
            <w:vMerge w:val="restart"/>
            <w:vAlign w:val="center"/>
          </w:tcPr>
          <w:p w14:paraId="0B1DEC20"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Days taken to flowering</w:t>
            </w:r>
          </w:p>
        </w:tc>
        <w:tc>
          <w:tcPr>
            <w:tcW w:w="1378" w:type="dxa"/>
            <w:vMerge w:val="restart"/>
            <w:vAlign w:val="center"/>
          </w:tcPr>
          <w:p w14:paraId="15F8320A"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Length of flower stalk (cm)</w:t>
            </w:r>
          </w:p>
        </w:tc>
        <w:tc>
          <w:tcPr>
            <w:tcW w:w="1417" w:type="dxa"/>
            <w:vMerge w:val="restart"/>
            <w:vAlign w:val="center"/>
          </w:tcPr>
          <w:p w14:paraId="6DA455C3"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Flower diameter (cm)</w:t>
            </w:r>
          </w:p>
        </w:tc>
        <w:tc>
          <w:tcPr>
            <w:tcW w:w="1337" w:type="dxa"/>
            <w:vMerge w:val="restart"/>
            <w:vAlign w:val="center"/>
          </w:tcPr>
          <w:p w14:paraId="547B1984"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Flowering duration</w:t>
            </w:r>
          </w:p>
        </w:tc>
        <w:tc>
          <w:tcPr>
            <w:tcW w:w="1230" w:type="dxa"/>
            <w:vMerge w:val="restart"/>
            <w:vAlign w:val="center"/>
          </w:tcPr>
          <w:p w14:paraId="118ECA94"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Vase life of flowers (days)</w:t>
            </w:r>
          </w:p>
        </w:tc>
        <w:tc>
          <w:tcPr>
            <w:tcW w:w="949" w:type="dxa"/>
            <w:vMerge w:val="restart"/>
            <w:vAlign w:val="center"/>
          </w:tcPr>
          <w:p w14:paraId="2DFE3947"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Fresh weight (g) of flower</w:t>
            </w:r>
          </w:p>
        </w:tc>
        <w:tc>
          <w:tcPr>
            <w:tcW w:w="1349" w:type="dxa"/>
            <w:vMerge w:val="restart"/>
            <w:vAlign w:val="center"/>
          </w:tcPr>
          <w:p w14:paraId="0CE82466"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Dry weight (g) of</w:t>
            </w:r>
          </w:p>
          <w:p w14:paraId="40C91B18"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flower at Senescence</w:t>
            </w:r>
          </w:p>
        </w:tc>
        <w:tc>
          <w:tcPr>
            <w:tcW w:w="1957" w:type="dxa"/>
            <w:gridSpan w:val="2"/>
            <w:tcBorders>
              <w:bottom w:val="single" w:sz="4" w:space="0" w:color="000000"/>
            </w:tcBorders>
            <w:vAlign w:val="center"/>
          </w:tcPr>
          <w:p w14:paraId="7E2150D7"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Chlorophyll content in leaves</w:t>
            </w:r>
          </w:p>
        </w:tc>
      </w:tr>
      <w:tr w:rsidR="00FF7CEE" w14:paraId="7C475CB1" w14:textId="77777777">
        <w:trPr>
          <w:trHeight w:val="141"/>
        </w:trPr>
        <w:tc>
          <w:tcPr>
            <w:tcW w:w="1628" w:type="dxa"/>
            <w:vMerge/>
            <w:vAlign w:val="center"/>
          </w:tcPr>
          <w:p w14:paraId="0024FB00" w14:textId="77777777"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507" w:type="dxa"/>
            <w:vMerge/>
            <w:vAlign w:val="center"/>
          </w:tcPr>
          <w:p w14:paraId="25BDE480" w14:textId="77777777"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294" w:type="dxa"/>
            <w:vMerge/>
            <w:vAlign w:val="center"/>
          </w:tcPr>
          <w:p w14:paraId="00F3D082" w14:textId="77777777"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378" w:type="dxa"/>
            <w:vMerge/>
            <w:vAlign w:val="center"/>
          </w:tcPr>
          <w:p w14:paraId="2492AA19" w14:textId="77777777"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417" w:type="dxa"/>
            <w:vMerge/>
            <w:vAlign w:val="center"/>
          </w:tcPr>
          <w:p w14:paraId="299454A1" w14:textId="77777777"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337" w:type="dxa"/>
            <w:vMerge/>
            <w:vAlign w:val="center"/>
          </w:tcPr>
          <w:p w14:paraId="3A7F77C6" w14:textId="77777777"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230" w:type="dxa"/>
            <w:vMerge/>
            <w:vAlign w:val="center"/>
          </w:tcPr>
          <w:p w14:paraId="4722A981" w14:textId="77777777"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949" w:type="dxa"/>
            <w:vMerge/>
            <w:vAlign w:val="center"/>
          </w:tcPr>
          <w:p w14:paraId="17CD8F6F" w14:textId="77777777"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349" w:type="dxa"/>
            <w:vMerge/>
            <w:vAlign w:val="center"/>
          </w:tcPr>
          <w:p w14:paraId="4404596F" w14:textId="77777777" w:rsidR="00FF7CEE" w:rsidRDefault="00FF7CEE">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157" w:type="dxa"/>
            <w:tcBorders>
              <w:top w:val="single" w:sz="4" w:space="0" w:color="000000"/>
            </w:tcBorders>
            <w:vAlign w:val="center"/>
          </w:tcPr>
          <w:p w14:paraId="75E7D56E"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 DTA</w:t>
            </w:r>
          </w:p>
        </w:tc>
        <w:tc>
          <w:tcPr>
            <w:tcW w:w="800" w:type="dxa"/>
            <w:tcBorders>
              <w:top w:val="single" w:sz="4" w:space="0" w:color="000000"/>
            </w:tcBorders>
            <w:vAlign w:val="center"/>
          </w:tcPr>
          <w:p w14:paraId="59F3E28F"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 DTA</w:t>
            </w:r>
          </w:p>
        </w:tc>
      </w:tr>
      <w:tr w:rsidR="00FF7CEE" w14:paraId="13020743" w14:textId="77777777">
        <w:trPr>
          <w:trHeight w:val="141"/>
        </w:trPr>
        <w:tc>
          <w:tcPr>
            <w:tcW w:w="1628" w:type="dxa"/>
            <w:vAlign w:val="center"/>
          </w:tcPr>
          <w:p w14:paraId="58BBDCD9"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V</w:t>
            </w:r>
            <w:r>
              <w:rPr>
                <w:rFonts w:ascii="Times New Roman" w:eastAsia="Times New Roman" w:hAnsi="Times New Roman" w:cs="Times New Roman"/>
                <w:b/>
                <w:bCs/>
                <w:sz w:val="24"/>
                <w:szCs w:val="24"/>
                <w:vertAlign w:val="subscript"/>
              </w:rPr>
              <w:t>1</w:t>
            </w:r>
            <w:r>
              <w:rPr>
                <w:rFonts w:ascii="Times New Roman" w:eastAsia="Times New Roman" w:hAnsi="Times New Roman" w:cs="Times New Roman"/>
                <w:color w:val="000000"/>
                <w:sz w:val="24"/>
                <w:szCs w:val="24"/>
              </w:rPr>
              <w:t xml:space="preserve"> (Bidhan Mallika)</w:t>
            </w:r>
          </w:p>
        </w:tc>
        <w:tc>
          <w:tcPr>
            <w:tcW w:w="1507" w:type="dxa"/>
            <w:vAlign w:val="center"/>
          </w:tcPr>
          <w:p w14:paraId="3A145610"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41.89</w:t>
            </w:r>
          </w:p>
        </w:tc>
        <w:tc>
          <w:tcPr>
            <w:tcW w:w="1294" w:type="dxa"/>
            <w:vAlign w:val="center"/>
          </w:tcPr>
          <w:p w14:paraId="39366680"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75.97</w:t>
            </w:r>
          </w:p>
        </w:tc>
        <w:tc>
          <w:tcPr>
            <w:tcW w:w="1378" w:type="dxa"/>
            <w:vAlign w:val="center"/>
          </w:tcPr>
          <w:p w14:paraId="7707094C"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16.51</w:t>
            </w:r>
          </w:p>
        </w:tc>
        <w:tc>
          <w:tcPr>
            <w:tcW w:w="1417" w:type="dxa"/>
            <w:vAlign w:val="center"/>
          </w:tcPr>
          <w:p w14:paraId="63FCAFC7"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w:t>
            </w:r>
          </w:p>
        </w:tc>
        <w:tc>
          <w:tcPr>
            <w:tcW w:w="1337" w:type="dxa"/>
            <w:vAlign w:val="center"/>
          </w:tcPr>
          <w:p w14:paraId="6FF05934"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20.67</w:t>
            </w:r>
          </w:p>
        </w:tc>
        <w:tc>
          <w:tcPr>
            <w:tcW w:w="1230" w:type="dxa"/>
            <w:vAlign w:val="center"/>
          </w:tcPr>
          <w:p w14:paraId="729B2004"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13.00</w:t>
            </w:r>
          </w:p>
        </w:tc>
        <w:tc>
          <w:tcPr>
            <w:tcW w:w="949" w:type="dxa"/>
            <w:vAlign w:val="center"/>
          </w:tcPr>
          <w:p w14:paraId="44282AAB"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5.15</w:t>
            </w:r>
          </w:p>
        </w:tc>
        <w:tc>
          <w:tcPr>
            <w:tcW w:w="1349" w:type="dxa"/>
            <w:vAlign w:val="center"/>
          </w:tcPr>
          <w:p w14:paraId="53F9CDA4"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c>
          <w:tcPr>
            <w:tcW w:w="1157" w:type="dxa"/>
            <w:vAlign w:val="center"/>
          </w:tcPr>
          <w:p w14:paraId="3152FF85"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27.65</w:t>
            </w:r>
          </w:p>
        </w:tc>
        <w:tc>
          <w:tcPr>
            <w:tcW w:w="800" w:type="dxa"/>
            <w:vAlign w:val="center"/>
          </w:tcPr>
          <w:p w14:paraId="58215D38"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39.76</w:t>
            </w:r>
          </w:p>
        </w:tc>
      </w:tr>
      <w:tr w:rsidR="00FF7CEE" w14:paraId="0D7CB419" w14:textId="77777777">
        <w:trPr>
          <w:trHeight w:val="141"/>
        </w:trPr>
        <w:tc>
          <w:tcPr>
            <w:tcW w:w="1628" w:type="dxa"/>
            <w:vAlign w:val="center"/>
          </w:tcPr>
          <w:p w14:paraId="4FDD479E"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color w:val="000000"/>
                <w:sz w:val="24"/>
                <w:szCs w:val="24"/>
              </w:rPr>
              <w:t>(Gitanjali)</w:t>
            </w:r>
          </w:p>
        </w:tc>
        <w:tc>
          <w:tcPr>
            <w:tcW w:w="1507" w:type="dxa"/>
            <w:vAlign w:val="center"/>
          </w:tcPr>
          <w:p w14:paraId="77114DA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43.17</w:t>
            </w:r>
          </w:p>
        </w:tc>
        <w:tc>
          <w:tcPr>
            <w:tcW w:w="1294" w:type="dxa"/>
            <w:vAlign w:val="center"/>
          </w:tcPr>
          <w:p w14:paraId="6DDD67B8"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80.51</w:t>
            </w:r>
          </w:p>
        </w:tc>
        <w:tc>
          <w:tcPr>
            <w:tcW w:w="1378" w:type="dxa"/>
            <w:vAlign w:val="center"/>
          </w:tcPr>
          <w:p w14:paraId="61E0EC83"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29.88</w:t>
            </w:r>
          </w:p>
        </w:tc>
        <w:tc>
          <w:tcPr>
            <w:tcW w:w="1417" w:type="dxa"/>
            <w:vAlign w:val="center"/>
          </w:tcPr>
          <w:p w14:paraId="0CDE425F"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7.92</w:t>
            </w:r>
          </w:p>
        </w:tc>
        <w:tc>
          <w:tcPr>
            <w:tcW w:w="1337" w:type="dxa"/>
            <w:vAlign w:val="center"/>
          </w:tcPr>
          <w:p w14:paraId="45A4F5C0"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21.00</w:t>
            </w:r>
          </w:p>
        </w:tc>
        <w:tc>
          <w:tcPr>
            <w:tcW w:w="1230" w:type="dxa"/>
            <w:vAlign w:val="center"/>
          </w:tcPr>
          <w:p w14:paraId="6474AC47"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w:t>
            </w:r>
          </w:p>
        </w:tc>
        <w:tc>
          <w:tcPr>
            <w:tcW w:w="949" w:type="dxa"/>
            <w:vAlign w:val="center"/>
          </w:tcPr>
          <w:p w14:paraId="6B01FE5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13.56</w:t>
            </w:r>
          </w:p>
        </w:tc>
        <w:tc>
          <w:tcPr>
            <w:tcW w:w="1349" w:type="dxa"/>
            <w:vAlign w:val="center"/>
          </w:tcPr>
          <w:p w14:paraId="4687A560"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w:t>
            </w:r>
          </w:p>
        </w:tc>
        <w:tc>
          <w:tcPr>
            <w:tcW w:w="1157" w:type="dxa"/>
            <w:vAlign w:val="center"/>
          </w:tcPr>
          <w:p w14:paraId="5CE03641"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42.99</w:t>
            </w:r>
          </w:p>
        </w:tc>
        <w:tc>
          <w:tcPr>
            <w:tcW w:w="800" w:type="dxa"/>
            <w:vAlign w:val="center"/>
          </w:tcPr>
          <w:p w14:paraId="208E4869"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65.35</w:t>
            </w:r>
          </w:p>
        </w:tc>
      </w:tr>
      <w:tr w:rsidR="00FF7CEE" w14:paraId="51A0733E" w14:textId="77777777">
        <w:trPr>
          <w:trHeight w:val="141"/>
        </w:trPr>
        <w:tc>
          <w:tcPr>
            <w:tcW w:w="1628" w:type="dxa"/>
            <w:vAlign w:val="center"/>
          </w:tcPr>
          <w:p w14:paraId="0415CF4B"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3</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Jambala</w:t>
            </w:r>
            <w:proofErr w:type="spellEnd"/>
            <w:r>
              <w:rPr>
                <w:rFonts w:ascii="Times New Roman" w:eastAsia="Times New Roman" w:hAnsi="Times New Roman" w:cs="Times New Roman"/>
                <w:color w:val="000000"/>
                <w:sz w:val="24"/>
                <w:szCs w:val="24"/>
              </w:rPr>
              <w:t>)</w:t>
            </w:r>
          </w:p>
        </w:tc>
        <w:tc>
          <w:tcPr>
            <w:tcW w:w="1507" w:type="dxa"/>
            <w:vAlign w:val="center"/>
          </w:tcPr>
          <w:p w14:paraId="53BE2A2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w:t>
            </w:r>
          </w:p>
        </w:tc>
        <w:tc>
          <w:tcPr>
            <w:tcW w:w="1294" w:type="dxa"/>
            <w:vAlign w:val="center"/>
          </w:tcPr>
          <w:p w14:paraId="416476C2"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58.13</w:t>
            </w:r>
          </w:p>
        </w:tc>
        <w:tc>
          <w:tcPr>
            <w:tcW w:w="1378" w:type="dxa"/>
            <w:vAlign w:val="center"/>
          </w:tcPr>
          <w:p w14:paraId="462CC0B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36.61</w:t>
            </w:r>
          </w:p>
        </w:tc>
        <w:tc>
          <w:tcPr>
            <w:tcW w:w="1417" w:type="dxa"/>
            <w:vAlign w:val="center"/>
          </w:tcPr>
          <w:p w14:paraId="3DEA67A7"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8.15</w:t>
            </w:r>
          </w:p>
        </w:tc>
        <w:tc>
          <w:tcPr>
            <w:tcW w:w="1337" w:type="dxa"/>
            <w:vAlign w:val="center"/>
          </w:tcPr>
          <w:p w14:paraId="64974177"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21.67</w:t>
            </w:r>
          </w:p>
        </w:tc>
        <w:tc>
          <w:tcPr>
            <w:tcW w:w="1230" w:type="dxa"/>
            <w:vAlign w:val="center"/>
          </w:tcPr>
          <w:p w14:paraId="19B75D3B"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16.22</w:t>
            </w:r>
          </w:p>
        </w:tc>
        <w:tc>
          <w:tcPr>
            <w:tcW w:w="949" w:type="dxa"/>
            <w:vAlign w:val="center"/>
          </w:tcPr>
          <w:p w14:paraId="2A806299"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21.36</w:t>
            </w:r>
          </w:p>
        </w:tc>
        <w:tc>
          <w:tcPr>
            <w:tcW w:w="1349" w:type="dxa"/>
            <w:vAlign w:val="center"/>
          </w:tcPr>
          <w:p w14:paraId="1A5349F9"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w:t>
            </w:r>
          </w:p>
        </w:tc>
        <w:tc>
          <w:tcPr>
            <w:tcW w:w="1157" w:type="dxa"/>
            <w:vAlign w:val="center"/>
          </w:tcPr>
          <w:p w14:paraId="08498664"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48.87</w:t>
            </w:r>
          </w:p>
        </w:tc>
        <w:tc>
          <w:tcPr>
            <w:tcW w:w="800" w:type="dxa"/>
            <w:vAlign w:val="center"/>
          </w:tcPr>
          <w:p w14:paraId="07B54EE6"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64.67</w:t>
            </w:r>
          </w:p>
        </w:tc>
      </w:tr>
      <w:tr w:rsidR="00FF7CEE" w14:paraId="77B3FFE8" w14:textId="77777777">
        <w:trPr>
          <w:trHeight w:val="141"/>
        </w:trPr>
        <w:tc>
          <w:tcPr>
            <w:tcW w:w="1628" w:type="dxa"/>
            <w:vAlign w:val="center"/>
          </w:tcPr>
          <w:p w14:paraId="1371F961"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4</w:t>
            </w:r>
            <w:r>
              <w:rPr>
                <w:rFonts w:ascii="Times New Roman" w:eastAsia="Times New Roman" w:hAnsi="Times New Roman" w:cs="Times New Roman"/>
                <w:color w:val="000000"/>
                <w:sz w:val="24"/>
                <w:szCs w:val="24"/>
              </w:rPr>
              <w:t>(Jaya)</w:t>
            </w:r>
          </w:p>
        </w:tc>
        <w:tc>
          <w:tcPr>
            <w:tcW w:w="1507" w:type="dxa"/>
            <w:vAlign w:val="center"/>
          </w:tcPr>
          <w:p w14:paraId="1678A847"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41.47</w:t>
            </w:r>
          </w:p>
        </w:tc>
        <w:tc>
          <w:tcPr>
            <w:tcW w:w="1294" w:type="dxa"/>
            <w:vAlign w:val="center"/>
          </w:tcPr>
          <w:p w14:paraId="2DDC5B73"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85.33</w:t>
            </w:r>
          </w:p>
        </w:tc>
        <w:tc>
          <w:tcPr>
            <w:tcW w:w="1378" w:type="dxa"/>
            <w:vAlign w:val="center"/>
          </w:tcPr>
          <w:p w14:paraId="79AD1255"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34.57</w:t>
            </w:r>
          </w:p>
        </w:tc>
        <w:tc>
          <w:tcPr>
            <w:tcW w:w="1417" w:type="dxa"/>
            <w:vAlign w:val="center"/>
          </w:tcPr>
          <w:p w14:paraId="7FA5329F"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7.38</w:t>
            </w:r>
          </w:p>
        </w:tc>
        <w:tc>
          <w:tcPr>
            <w:tcW w:w="1337" w:type="dxa"/>
            <w:vAlign w:val="center"/>
          </w:tcPr>
          <w:p w14:paraId="7F9405C1"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25.67</w:t>
            </w:r>
          </w:p>
        </w:tc>
        <w:tc>
          <w:tcPr>
            <w:tcW w:w="1230" w:type="dxa"/>
            <w:vAlign w:val="center"/>
          </w:tcPr>
          <w:p w14:paraId="6CADB106"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13.67</w:t>
            </w:r>
          </w:p>
        </w:tc>
        <w:tc>
          <w:tcPr>
            <w:tcW w:w="949" w:type="dxa"/>
            <w:vAlign w:val="center"/>
          </w:tcPr>
          <w:p w14:paraId="5E6D3361"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16.86</w:t>
            </w:r>
          </w:p>
        </w:tc>
        <w:tc>
          <w:tcPr>
            <w:tcW w:w="1349" w:type="dxa"/>
            <w:vAlign w:val="center"/>
          </w:tcPr>
          <w:p w14:paraId="1E59085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w:t>
            </w:r>
          </w:p>
        </w:tc>
        <w:tc>
          <w:tcPr>
            <w:tcW w:w="1157" w:type="dxa"/>
            <w:vAlign w:val="center"/>
          </w:tcPr>
          <w:p w14:paraId="58A21EB0"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47.05</w:t>
            </w:r>
          </w:p>
        </w:tc>
        <w:tc>
          <w:tcPr>
            <w:tcW w:w="800" w:type="dxa"/>
            <w:vAlign w:val="center"/>
          </w:tcPr>
          <w:p w14:paraId="5E803667"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64.52</w:t>
            </w:r>
          </w:p>
        </w:tc>
      </w:tr>
      <w:tr w:rsidR="00FF7CEE" w14:paraId="2A629269" w14:textId="77777777">
        <w:trPr>
          <w:trHeight w:val="141"/>
        </w:trPr>
        <w:tc>
          <w:tcPr>
            <w:tcW w:w="1628" w:type="dxa"/>
            <w:vAlign w:val="center"/>
          </w:tcPr>
          <w:p w14:paraId="4F6D5619"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5</w:t>
            </w:r>
            <w:r>
              <w:rPr>
                <w:rFonts w:ascii="Times New Roman" w:eastAsia="Times New Roman" w:hAnsi="Times New Roman" w:cs="Times New Roman"/>
                <w:color w:val="000000"/>
                <w:sz w:val="24"/>
                <w:szCs w:val="24"/>
              </w:rPr>
              <w:t>(Jubilee)</w:t>
            </w:r>
          </w:p>
        </w:tc>
        <w:tc>
          <w:tcPr>
            <w:tcW w:w="1507" w:type="dxa"/>
            <w:vAlign w:val="center"/>
          </w:tcPr>
          <w:p w14:paraId="308CEFCC"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66.96</w:t>
            </w:r>
          </w:p>
        </w:tc>
        <w:tc>
          <w:tcPr>
            <w:tcW w:w="1294" w:type="dxa"/>
            <w:vAlign w:val="center"/>
          </w:tcPr>
          <w:p w14:paraId="29D84279"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124.64</w:t>
            </w:r>
          </w:p>
        </w:tc>
        <w:tc>
          <w:tcPr>
            <w:tcW w:w="1378" w:type="dxa"/>
            <w:vAlign w:val="center"/>
          </w:tcPr>
          <w:p w14:paraId="687ADBDE"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28.32</w:t>
            </w:r>
          </w:p>
        </w:tc>
        <w:tc>
          <w:tcPr>
            <w:tcW w:w="1417" w:type="dxa"/>
            <w:vAlign w:val="center"/>
          </w:tcPr>
          <w:p w14:paraId="4C51D187"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6.29</w:t>
            </w:r>
          </w:p>
        </w:tc>
        <w:tc>
          <w:tcPr>
            <w:tcW w:w="1337" w:type="dxa"/>
            <w:vAlign w:val="center"/>
          </w:tcPr>
          <w:p w14:paraId="79E007DF"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28.67</w:t>
            </w:r>
          </w:p>
        </w:tc>
        <w:tc>
          <w:tcPr>
            <w:tcW w:w="1230" w:type="dxa"/>
            <w:vAlign w:val="center"/>
          </w:tcPr>
          <w:p w14:paraId="229B026E"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16.11</w:t>
            </w:r>
          </w:p>
        </w:tc>
        <w:tc>
          <w:tcPr>
            <w:tcW w:w="949" w:type="dxa"/>
            <w:vAlign w:val="center"/>
          </w:tcPr>
          <w:p w14:paraId="2FB8F8B9"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12.75</w:t>
            </w:r>
          </w:p>
        </w:tc>
        <w:tc>
          <w:tcPr>
            <w:tcW w:w="1349" w:type="dxa"/>
            <w:vAlign w:val="center"/>
          </w:tcPr>
          <w:p w14:paraId="662AA4F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1157" w:type="dxa"/>
            <w:vAlign w:val="center"/>
          </w:tcPr>
          <w:p w14:paraId="0D07E783"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50.21</w:t>
            </w:r>
          </w:p>
        </w:tc>
        <w:tc>
          <w:tcPr>
            <w:tcW w:w="800" w:type="dxa"/>
            <w:vAlign w:val="center"/>
          </w:tcPr>
          <w:p w14:paraId="03493428"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57.77</w:t>
            </w:r>
          </w:p>
        </w:tc>
      </w:tr>
      <w:tr w:rsidR="00FF7CEE" w14:paraId="205B81C4" w14:textId="77777777">
        <w:trPr>
          <w:trHeight w:val="141"/>
        </w:trPr>
        <w:tc>
          <w:tcPr>
            <w:tcW w:w="1628" w:type="dxa"/>
            <w:vAlign w:val="center"/>
          </w:tcPr>
          <w:p w14:paraId="2297A29C"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6</w:t>
            </w:r>
            <w:r>
              <w:rPr>
                <w:rFonts w:ascii="Times New Roman" w:eastAsia="Times New Roman" w:hAnsi="Times New Roman" w:cs="Times New Roman"/>
                <w:color w:val="000000"/>
                <w:sz w:val="24"/>
                <w:szCs w:val="24"/>
              </w:rPr>
              <w:t>(Raja)</w:t>
            </w:r>
          </w:p>
        </w:tc>
        <w:tc>
          <w:tcPr>
            <w:tcW w:w="1507" w:type="dxa"/>
            <w:vAlign w:val="center"/>
          </w:tcPr>
          <w:p w14:paraId="2E460AB2"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33.67</w:t>
            </w:r>
          </w:p>
        </w:tc>
        <w:tc>
          <w:tcPr>
            <w:tcW w:w="1294" w:type="dxa"/>
            <w:vAlign w:val="center"/>
          </w:tcPr>
          <w:p w14:paraId="50152834"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74.53</w:t>
            </w:r>
          </w:p>
        </w:tc>
        <w:tc>
          <w:tcPr>
            <w:tcW w:w="1378" w:type="dxa"/>
            <w:vAlign w:val="center"/>
          </w:tcPr>
          <w:p w14:paraId="56B42F0D"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40.85</w:t>
            </w:r>
          </w:p>
        </w:tc>
        <w:tc>
          <w:tcPr>
            <w:tcW w:w="1417" w:type="dxa"/>
            <w:vAlign w:val="center"/>
          </w:tcPr>
          <w:p w14:paraId="597DEF98"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8.55</w:t>
            </w:r>
          </w:p>
        </w:tc>
        <w:tc>
          <w:tcPr>
            <w:tcW w:w="1337" w:type="dxa"/>
            <w:vAlign w:val="center"/>
          </w:tcPr>
          <w:p w14:paraId="4F5D8D4F"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36.67</w:t>
            </w:r>
          </w:p>
        </w:tc>
        <w:tc>
          <w:tcPr>
            <w:tcW w:w="1230" w:type="dxa"/>
            <w:vAlign w:val="center"/>
          </w:tcPr>
          <w:p w14:paraId="5302E98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17.11</w:t>
            </w:r>
          </w:p>
        </w:tc>
        <w:tc>
          <w:tcPr>
            <w:tcW w:w="949" w:type="dxa"/>
            <w:vAlign w:val="center"/>
          </w:tcPr>
          <w:p w14:paraId="31C624CE"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18.99</w:t>
            </w:r>
          </w:p>
        </w:tc>
        <w:tc>
          <w:tcPr>
            <w:tcW w:w="1349" w:type="dxa"/>
            <w:vAlign w:val="center"/>
          </w:tcPr>
          <w:p w14:paraId="197ECC3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c>
          <w:tcPr>
            <w:tcW w:w="1157" w:type="dxa"/>
            <w:vAlign w:val="center"/>
          </w:tcPr>
          <w:p w14:paraId="306D9B4C"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50.85</w:t>
            </w:r>
          </w:p>
        </w:tc>
        <w:tc>
          <w:tcPr>
            <w:tcW w:w="800" w:type="dxa"/>
            <w:vAlign w:val="center"/>
          </w:tcPr>
          <w:p w14:paraId="77EB7E5C"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65.29</w:t>
            </w:r>
          </w:p>
        </w:tc>
      </w:tr>
      <w:tr w:rsidR="00FF7CEE" w14:paraId="4440CEE9" w14:textId="77777777">
        <w:trPr>
          <w:trHeight w:val="141"/>
        </w:trPr>
        <w:tc>
          <w:tcPr>
            <w:tcW w:w="1628" w:type="dxa"/>
            <w:vAlign w:val="center"/>
          </w:tcPr>
          <w:p w14:paraId="718DF6DF"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vertAlign w:val="subscript"/>
              </w:rPr>
              <w:t>7</w:t>
            </w:r>
            <w:r>
              <w:rPr>
                <w:rFonts w:ascii="Times New Roman" w:eastAsia="Times New Roman" w:hAnsi="Times New Roman" w:cs="Times New Roman"/>
                <w:color w:val="000000"/>
                <w:sz w:val="24"/>
                <w:szCs w:val="24"/>
              </w:rPr>
              <w:t>(Silk Brocade)</w:t>
            </w:r>
          </w:p>
        </w:tc>
        <w:tc>
          <w:tcPr>
            <w:tcW w:w="1507" w:type="dxa"/>
            <w:vAlign w:val="center"/>
          </w:tcPr>
          <w:p w14:paraId="6E44AB77"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39.65</w:t>
            </w:r>
          </w:p>
        </w:tc>
        <w:tc>
          <w:tcPr>
            <w:tcW w:w="1294" w:type="dxa"/>
            <w:vAlign w:val="center"/>
          </w:tcPr>
          <w:p w14:paraId="5B72E825"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72.62</w:t>
            </w:r>
          </w:p>
        </w:tc>
        <w:tc>
          <w:tcPr>
            <w:tcW w:w="1378" w:type="dxa"/>
            <w:vAlign w:val="center"/>
          </w:tcPr>
          <w:p w14:paraId="6240AD47"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32.57</w:t>
            </w:r>
          </w:p>
        </w:tc>
        <w:tc>
          <w:tcPr>
            <w:tcW w:w="1417" w:type="dxa"/>
            <w:vAlign w:val="center"/>
          </w:tcPr>
          <w:p w14:paraId="664474D3"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7.46</w:t>
            </w:r>
          </w:p>
        </w:tc>
        <w:tc>
          <w:tcPr>
            <w:tcW w:w="1337" w:type="dxa"/>
            <w:vAlign w:val="center"/>
          </w:tcPr>
          <w:p w14:paraId="6B42C267"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27.00</w:t>
            </w:r>
          </w:p>
        </w:tc>
        <w:tc>
          <w:tcPr>
            <w:tcW w:w="1230" w:type="dxa"/>
            <w:vAlign w:val="center"/>
          </w:tcPr>
          <w:p w14:paraId="7B28DE01"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15.56</w:t>
            </w:r>
          </w:p>
        </w:tc>
        <w:tc>
          <w:tcPr>
            <w:tcW w:w="949" w:type="dxa"/>
            <w:vAlign w:val="center"/>
          </w:tcPr>
          <w:p w14:paraId="69D9BE7A"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16.30</w:t>
            </w:r>
          </w:p>
        </w:tc>
        <w:tc>
          <w:tcPr>
            <w:tcW w:w="1349" w:type="dxa"/>
            <w:vAlign w:val="center"/>
          </w:tcPr>
          <w:p w14:paraId="616D40BC"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c>
          <w:tcPr>
            <w:tcW w:w="1157" w:type="dxa"/>
            <w:vAlign w:val="center"/>
          </w:tcPr>
          <w:p w14:paraId="37595426"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51.12</w:t>
            </w:r>
          </w:p>
        </w:tc>
        <w:tc>
          <w:tcPr>
            <w:tcW w:w="800" w:type="dxa"/>
            <w:vAlign w:val="center"/>
          </w:tcPr>
          <w:p w14:paraId="78FE0633" w14:textId="77777777" w:rsidR="00FF7CEE" w:rsidRDefault="0094458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65.74</w:t>
            </w:r>
          </w:p>
        </w:tc>
      </w:tr>
      <w:tr w:rsidR="00FF7CEE" w14:paraId="162056EA" w14:textId="77777777">
        <w:trPr>
          <w:trHeight w:val="141"/>
        </w:trPr>
        <w:tc>
          <w:tcPr>
            <w:tcW w:w="1628" w:type="dxa"/>
            <w:vAlign w:val="center"/>
          </w:tcPr>
          <w:p w14:paraId="054E8834" w14:textId="77777777" w:rsidR="00FF7CEE" w:rsidRDefault="00944583">
            <w:pPr>
              <w:spacing w:after="0" w:line="36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S.Em</w:t>
            </w:r>
            <w:proofErr w:type="spellEnd"/>
            <w:r>
              <w:rPr>
                <w:rFonts w:ascii="Times New Roman" w:eastAsia="Times New Roman" w:hAnsi="Times New Roman" w:cs="Times New Roman"/>
                <w:b/>
                <w:bCs/>
                <w:color w:val="000000"/>
                <w:sz w:val="24"/>
                <w:szCs w:val="24"/>
              </w:rPr>
              <w:t>. (±)</w:t>
            </w:r>
          </w:p>
        </w:tc>
        <w:tc>
          <w:tcPr>
            <w:tcW w:w="1507" w:type="dxa"/>
            <w:vAlign w:val="center"/>
          </w:tcPr>
          <w:p w14:paraId="30CBF847"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1.05</w:t>
            </w:r>
          </w:p>
        </w:tc>
        <w:tc>
          <w:tcPr>
            <w:tcW w:w="1294" w:type="dxa"/>
            <w:vAlign w:val="center"/>
          </w:tcPr>
          <w:p w14:paraId="1C0076EA"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1.48</w:t>
            </w:r>
          </w:p>
        </w:tc>
        <w:tc>
          <w:tcPr>
            <w:tcW w:w="1378" w:type="dxa"/>
            <w:vAlign w:val="center"/>
          </w:tcPr>
          <w:p w14:paraId="58DEAE8C"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0.74</w:t>
            </w:r>
          </w:p>
        </w:tc>
        <w:tc>
          <w:tcPr>
            <w:tcW w:w="1417" w:type="dxa"/>
            <w:vAlign w:val="center"/>
          </w:tcPr>
          <w:p w14:paraId="71DB0BE5"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0.20</w:t>
            </w:r>
          </w:p>
        </w:tc>
        <w:tc>
          <w:tcPr>
            <w:tcW w:w="1337" w:type="dxa"/>
            <w:vAlign w:val="center"/>
          </w:tcPr>
          <w:p w14:paraId="7B6444A0"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1.36</w:t>
            </w:r>
          </w:p>
        </w:tc>
        <w:tc>
          <w:tcPr>
            <w:tcW w:w="1230" w:type="dxa"/>
            <w:vAlign w:val="center"/>
          </w:tcPr>
          <w:p w14:paraId="50A9B8D1"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0.60</w:t>
            </w:r>
          </w:p>
        </w:tc>
        <w:tc>
          <w:tcPr>
            <w:tcW w:w="949" w:type="dxa"/>
            <w:vAlign w:val="center"/>
          </w:tcPr>
          <w:p w14:paraId="1A240C29"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0.52</w:t>
            </w:r>
          </w:p>
        </w:tc>
        <w:tc>
          <w:tcPr>
            <w:tcW w:w="1349" w:type="dxa"/>
            <w:vAlign w:val="center"/>
          </w:tcPr>
          <w:p w14:paraId="73F33963"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0.46</w:t>
            </w:r>
          </w:p>
        </w:tc>
        <w:tc>
          <w:tcPr>
            <w:tcW w:w="1157" w:type="dxa"/>
            <w:vAlign w:val="center"/>
          </w:tcPr>
          <w:p w14:paraId="54ED8985"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2.78</w:t>
            </w:r>
          </w:p>
        </w:tc>
        <w:tc>
          <w:tcPr>
            <w:tcW w:w="800" w:type="dxa"/>
            <w:vAlign w:val="center"/>
          </w:tcPr>
          <w:p w14:paraId="37C18537"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4.88</w:t>
            </w:r>
          </w:p>
        </w:tc>
      </w:tr>
      <w:tr w:rsidR="00FF7CEE" w14:paraId="784161D7" w14:textId="77777777">
        <w:trPr>
          <w:trHeight w:val="141"/>
        </w:trPr>
        <w:tc>
          <w:tcPr>
            <w:tcW w:w="1628" w:type="dxa"/>
            <w:vAlign w:val="center"/>
          </w:tcPr>
          <w:p w14:paraId="71B310DE"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C.D. at 5%</w:t>
            </w:r>
          </w:p>
        </w:tc>
        <w:tc>
          <w:tcPr>
            <w:tcW w:w="1507" w:type="dxa"/>
            <w:vAlign w:val="center"/>
          </w:tcPr>
          <w:p w14:paraId="7D9B07E2"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2.26</w:t>
            </w:r>
          </w:p>
        </w:tc>
        <w:tc>
          <w:tcPr>
            <w:tcW w:w="1294" w:type="dxa"/>
            <w:vAlign w:val="center"/>
          </w:tcPr>
          <w:p w14:paraId="3F8A7764"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3.16</w:t>
            </w:r>
          </w:p>
        </w:tc>
        <w:tc>
          <w:tcPr>
            <w:tcW w:w="1378" w:type="dxa"/>
            <w:vAlign w:val="center"/>
          </w:tcPr>
          <w:p w14:paraId="3E130EC5"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1.59</w:t>
            </w:r>
          </w:p>
        </w:tc>
        <w:tc>
          <w:tcPr>
            <w:tcW w:w="1417" w:type="dxa"/>
            <w:vAlign w:val="center"/>
          </w:tcPr>
          <w:p w14:paraId="7C2A746E"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0.43</w:t>
            </w:r>
          </w:p>
        </w:tc>
        <w:tc>
          <w:tcPr>
            <w:tcW w:w="1337" w:type="dxa"/>
            <w:vAlign w:val="center"/>
          </w:tcPr>
          <w:p w14:paraId="03C18A23"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2.93</w:t>
            </w:r>
          </w:p>
        </w:tc>
        <w:tc>
          <w:tcPr>
            <w:tcW w:w="1230" w:type="dxa"/>
            <w:vAlign w:val="center"/>
          </w:tcPr>
          <w:p w14:paraId="32DD2307"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1.28</w:t>
            </w:r>
          </w:p>
        </w:tc>
        <w:tc>
          <w:tcPr>
            <w:tcW w:w="949" w:type="dxa"/>
            <w:vAlign w:val="center"/>
          </w:tcPr>
          <w:p w14:paraId="689593DD"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1.12</w:t>
            </w:r>
          </w:p>
        </w:tc>
        <w:tc>
          <w:tcPr>
            <w:tcW w:w="1349" w:type="dxa"/>
            <w:vAlign w:val="center"/>
          </w:tcPr>
          <w:p w14:paraId="4D567AB3"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0.99</w:t>
            </w:r>
          </w:p>
        </w:tc>
        <w:tc>
          <w:tcPr>
            <w:tcW w:w="1157" w:type="dxa"/>
            <w:vAlign w:val="center"/>
          </w:tcPr>
          <w:p w14:paraId="09ADF0B5"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5.96</w:t>
            </w:r>
          </w:p>
        </w:tc>
        <w:tc>
          <w:tcPr>
            <w:tcW w:w="800" w:type="dxa"/>
            <w:vAlign w:val="center"/>
          </w:tcPr>
          <w:p w14:paraId="70F814C3" w14:textId="77777777" w:rsidR="00FF7CEE" w:rsidRDefault="0094458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10.48</w:t>
            </w:r>
          </w:p>
        </w:tc>
      </w:tr>
    </w:tbl>
    <w:p w14:paraId="7F536F9C" w14:textId="77777777" w:rsidR="00FF7CEE" w:rsidRDefault="00FF7CEE">
      <w:pPr>
        <w:spacing w:before="240" w:after="0" w:line="360" w:lineRule="auto"/>
        <w:ind w:hanging="711"/>
        <w:jc w:val="both"/>
        <w:rPr>
          <w:rFonts w:ascii="Times New Roman" w:eastAsia="Times New Roman" w:hAnsi="Times New Roman" w:cs="Times New Roman"/>
        </w:rPr>
      </w:pPr>
    </w:p>
    <w:p w14:paraId="3EEDB346" w14:textId="77777777" w:rsidR="00FF7CEE" w:rsidRDefault="00FF7CEE">
      <w:pPr>
        <w:spacing w:before="240" w:after="0" w:line="360" w:lineRule="auto"/>
        <w:ind w:hanging="711"/>
        <w:jc w:val="both"/>
        <w:rPr>
          <w:rFonts w:ascii="Times New Roman" w:eastAsia="Times New Roman" w:hAnsi="Times New Roman" w:cs="Times New Roman"/>
        </w:rPr>
      </w:pPr>
    </w:p>
    <w:sectPr w:rsidR="00FF7CEE">
      <w:pgSz w:w="15840" w:h="12240" w:orient="landscape"/>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4452E" w14:textId="77777777" w:rsidR="00555691" w:rsidRDefault="00555691" w:rsidP="009D17D1">
      <w:pPr>
        <w:spacing w:after="0" w:line="240" w:lineRule="auto"/>
      </w:pPr>
      <w:r>
        <w:separator/>
      </w:r>
    </w:p>
  </w:endnote>
  <w:endnote w:type="continuationSeparator" w:id="0">
    <w:p w14:paraId="0AF559AF" w14:textId="77777777" w:rsidR="00555691" w:rsidRDefault="00555691" w:rsidP="009D1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AC6CC728-76EC-4B9B-8099-D14A0407ED8D}"/>
    <w:embedBold r:id="rId2" w:fontKey="{5A8EC292-6716-43B5-B5F8-68F316EF18EC}"/>
  </w:font>
  <w:font w:name="Cambria">
    <w:panose1 w:val="02040503050406030204"/>
    <w:charset w:val="00"/>
    <w:family w:val="roman"/>
    <w:pitch w:val="variable"/>
    <w:sig w:usb0="E00006FF" w:usb1="420024FF" w:usb2="02000000" w:usb3="00000000" w:csb0="0000019F" w:csb1="00000000"/>
    <w:embedRegular r:id="rId3" w:fontKey="{E1C34C82-E039-4F40-BAA0-2D1933E9EABC}"/>
    <w:embedBold r:id="rId4" w:fontKey="{4FC0809C-0F2D-4E5E-B38F-4BF2D2220261}"/>
  </w:font>
  <w:font w:name="Luxi Sans">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52BE0A0F-1E0A-46B8-84DA-CFCB33577B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7D57C" w14:textId="77777777" w:rsidR="009D17D1" w:rsidRDefault="009D17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BE6FF" w14:textId="77777777" w:rsidR="009D17D1" w:rsidRDefault="009D17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71D75" w14:textId="77777777" w:rsidR="009D17D1" w:rsidRDefault="009D1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C4D9E" w14:textId="77777777" w:rsidR="00555691" w:rsidRDefault="00555691" w:rsidP="009D17D1">
      <w:pPr>
        <w:spacing w:after="0" w:line="240" w:lineRule="auto"/>
      </w:pPr>
      <w:r>
        <w:separator/>
      </w:r>
    </w:p>
  </w:footnote>
  <w:footnote w:type="continuationSeparator" w:id="0">
    <w:p w14:paraId="5B091FCA" w14:textId="77777777" w:rsidR="00555691" w:rsidRDefault="00555691" w:rsidP="009D1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0CE2C" w14:textId="085EB051" w:rsidR="009D17D1" w:rsidRDefault="009D17D1">
    <w:pPr>
      <w:pStyle w:val="Header"/>
    </w:pPr>
    <w:r>
      <w:rPr>
        <w:noProof/>
      </w:rPr>
      <w:pict w14:anchorId="5730D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56094" o:spid="_x0000_s2053"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5AA42" w14:textId="462E2CF4" w:rsidR="009D17D1" w:rsidRDefault="009D17D1">
    <w:pPr>
      <w:pStyle w:val="Header"/>
    </w:pPr>
    <w:r>
      <w:rPr>
        <w:noProof/>
      </w:rPr>
      <w:pict w14:anchorId="2D984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56095" o:spid="_x0000_s2054"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F5891" w14:textId="4D75D434" w:rsidR="009D17D1" w:rsidRDefault="009D17D1">
    <w:pPr>
      <w:pStyle w:val="Header"/>
    </w:pPr>
    <w:r>
      <w:rPr>
        <w:noProof/>
      </w:rPr>
      <w:pict w14:anchorId="04690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56093" o:spid="_x0000_s2052"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CEE"/>
    <w:rsid w:val="00535E1B"/>
    <w:rsid w:val="00555691"/>
    <w:rsid w:val="0076784C"/>
    <w:rsid w:val="00944583"/>
    <w:rsid w:val="009D17D1"/>
    <w:rsid w:val="00C67B33"/>
    <w:rsid w:val="00DC6142"/>
    <w:rsid w:val="00EA2EB7"/>
    <w:rsid w:val="00F705F4"/>
    <w:rsid w:val="00FF7C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E32B87E"/>
  <w15:docId w15:val="{714265CD-FE97-45DC-B65E-CC32638E3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bCs/>
      <w:color w:val="365F91"/>
      <w:sz w:val="28"/>
      <w:szCs w:val="28"/>
    </w:rPr>
  </w:style>
  <w:style w:type="paragraph" w:styleId="Heading2">
    <w:name w:val="heading 2"/>
    <w:basedOn w:val="Normal"/>
    <w:next w:val="Normal"/>
    <w:uiPriority w:val="9"/>
    <w:semiHidden/>
    <w:unhideWhenUsed/>
    <w:qFormat/>
    <w:pPr>
      <w:keepNext/>
      <w:keepLines/>
      <w:spacing w:before="260" w:after="260" w:line="415" w:lineRule="auto"/>
      <w:outlineLvl w:val="1"/>
    </w:pPr>
    <w:rPr>
      <w:rFonts w:ascii="Luxi Sans" w:eastAsia="Luxi Sans" w:hAnsi="Luxi Sans" w:cs="Luxi Sans"/>
      <w:b/>
      <w:bCs/>
      <w:sz w:val="32"/>
      <w:szCs w:val="32"/>
    </w:rPr>
  </w:style>
  <w:style w:type="paragraph" w:styleId="Heading3">
    <w:name w:val="heading 3"/>
    <w:basedOn w:val="Normal"/>
    <w:next w:val="Normal"/>
    <w:uiPriority w:val="9"/>
    <w:semiHidden/>
    <w:unhideWhenUsed/>
    <w:qFormat/>
    <w:pPr>
      <w:keepNext/>
      <w:keepLines/>
      <w:spacing w:before="260" w:after="260" w:line="415" w:lineRule="auto"/>
      <w:outlineLvl w:val="2"/>
    </w:pPr>
    <w:rPr>
      <w:b/>
      <w:bCs/>
      <w:sz w:val="32"/>
      <w:szCs w:val="32"/>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944583"/>
    <w:rPr>
      <w:color w:val="0000FF" w:themeColor="hyperlink"/>
      <w:u w:val="single"/>
    </w:rPr>
  </w:style>
  <w:style w:type="character" w:styleId="UnresolvedMention">
    <w:name w:val="Unresolved Mention"/>
    <w:basedOn w:val="DefaultParagraphFont"/>
    <w:uiPriority w:val="99"/>
    <w:semiHidden/>
    <w:unhideWhenUsed/>
    <w:rsid w:val="00944583"/>
    <w:rPr>
      <w:color w:val="605E5C"/>
      <w:shd w:val="clear" w:color="auto" w:fill="E1DFDD"/>
    </w:rPr>
  </w:style>
  <w:style w:type="paragraph" w:styleId="Header">
    <w:name w:val="header"/>
    <w:basedOn w:val="Normal"/>
    <w:link w:val="HeaderChar"/>
    <w:uiPriority w:val="99"/>
    <w:unhideWhenUsed/>
    <w:rsid w:val="009D17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7D1"/>
  </w:style>
  <w:style w:type="paragraph" w:styleId="Footer">
    <w:name w:val="footer"/>
    <w:basedOn w:val="Normal"/>
    <w:link w:val="FooterChar"/>
    <w:uiPriority w:val="99"/>
    <w:unhideWhenUsed/>
    <w:rsid w:val="009D17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7</cp:revision>
  <dcterms:created xsi:type="dcterms:W3CDTF">2026-03-18T13:42:00Z</dcterms:created>
  <dcterms:modified xsi:type="dcterms:W3CDTF">2026-03-19T10:41:00Z</dcterms:modified>
</cp:coreProperties>
</file>