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9BB" w:rsidRPr="00D85F74" w:rsidRDefault="00460E75">
      <w:pPr>
        <w:pStyle w:val="BodyText"/>
        <w:spacing w:before="120" w:line="360" w:lineRule="auto"/>
        <w:ind w:left="191" w:right="191"/>
        <w:jc w:val="center"/>
        <w:rPr>
          <w:rFonts w:eastAsia="Arial" w:cs="Times New Roman"/>
          <w:b/>
          <w:bCs/>
          <w:sz w:val="28"/>
          <w:szCs w:val="28"/>
        </w:rPr>
      </w:pPr>
      <w:r w:rsidRPr="00D85F74">
        <w:rPr>
          <w:rFonts w:cs="Times New Roman"/>
          <w:b/>
          <w:bCs/>
          <w:sz w:val="28"/>
          <w:szCs w:val="28"/>
        </w:rPr>
        <w:t>Assessment of SSR markers for verification of poplar (</w:t>
      </w:r>
      <w:proofErr w:type="spellStart"/>
      <w:r w:rsidRPr="00D85F74">
        <w:rPr>
          <w:rFonts w:cs="Times New Roman"/>
          <w:b/>
          <w:bCs/>
          <w:i/>
          <w:iCs/>
          <w:sz w:val="28"/>
          <w:szCs w:val="28"/>
        </w:rPr>
        <w:t>Populus</w:t>
      </w:r>
      <w:proofErr w:type="spellEnd"/>
      <w:r w:rsidRPr="00D85F74">
        <w:rPr>
          <w:rFonts w:cs="Times New Roman"/>
          <w:b/>
          <w:bCs/>
          <w:i/>
          <w:iCs/>
          <w:sz w:val="28"/>
          <w:szCs w:val="28"/>
        </w:rPr>
        <w:t xml:space="preserve"> </w:t>
      </w:r>
      <w:proofErr w:type="spellStart"/>
      <w:r w:rsidRPr="00D85F74">
        <w:rPr>
          <w:rFonts w:cs="Times New Roman"/>
          <w:b/>
          <w:bCs/>
          <w:i/>
          <w:iCs/>
          <w:sz w:val="28"/>
          <w:szCs w:val="28"/>
        </w:rPr>
        <w:t>deltoides</w:t>
      </w:r>
      <w:proofErr w:type="spellEnd"/>
      <w:r w:rsidRPr="00D85F74">
        <w:rPr>
          <w:rFonts w:cs="Times New Roman"/>
          <w:b/>
          <w:bCs/>
          <w:sz w:val="28"/>
          <w:szCs w:val="28"/>
        </w:rPr>
        <w:t xml:space="preserve">) clones    </w:t>
      </w:r>
    </w:p>
    <w:p w:rsidR="008C79BB" w:rsidRPr="00D85F74" w:rsidRDefault="008C79BB">
      <w:pPr>
        <w:pStyle w:val="BodyText"/>
        <w:spacing w:before="120" w:line="360" w:lineRule="auto"/>
        <w:ind w:left="1444" w:right="1442"/>
        <w:jc w:val="center"/>
        <w:rPr>
          <w:rFonts w:eastAsia="Arial" w:cs="Times New Roman"/>
        </w:rPr>
      </w:pPr>
    </w:p>
    <w:p w:rsidR="008C79BB" w:rsidRPr="00D85F74" w:rsidRDefault="00460E75">
      <w:pPr>
        <w:pStyle w:val="BodyText"/>
        <w:spacing w:before="120" w:line="360" w:lineRule="auto"/>
        <w:ind w:left="191" w:right="191"/>
        <w:jc w:val="center"/>
        <w:rPr>
          <w:rFonts w:eastAsia="Arial" w:cs="Times New Roman"/>
          <w:b/>
          <w:bCs/>
        </w:rPr>
      </w:pPr>
      <w:r w:rsidRPr="00D85F74">
        <w:rPr>
          <w:rFonts w:cs="Times New Roman"/>
          <w:b/>
          <w:bCs/>
        </w:rPr>
        <w:t>Abstract</w:t>
      </w:r>
    </w:p>
    <w:p w:rsidR="00CC4C1A" w:rsidRDefault="00460E75" w:rsidP="00CC4C1A">
      <w:pPr>
        <w:pStyle w:val="NormalWeb"/>
        <w:spacing w:line="276" w:lineRule="auto"/>
        <w:jc w:val="both"/>
      </w:pPr>
      <w:r w:rsidRPr="00D85F74">
        <w:t>The present study entitled “</w:t>
      </w:r>
      <w:r w:rsidR="00D85F74" w:rsidRPr="00D85F74">
        <w:rPr>
          <w:bCs/>
        </w:rPr>
        <w:t>Assessment of SSR markers for verification of poplar (</w:t>
      </w:r>
      <w:proofErr w:type="spellStart"/>
      <w:r w:rsidR="00D85F74" w:rsidRPr="00D85F74">
        <w:rPr>
          <w:bCs/>
          <w:i/>
          <w:iCs/>
        </w:rPr>
        <w:t>Populus</w:t>
      </w:r>
      <w:proofErr w:type="spellEnd"/>
      <w:r w:rsidR="00D85F74" w:rsidRPr="00D85F74">
        <w:rPr>
          <w:bCs/>
          <w:i/>
          <w:iCs/>
        </w:rPr>
        <w:t xml:space="preserve"> </w:t>
      </w:r>
      <w:proofErr w:type="spellStart"/>
      <w:r w:rsidR="00D85F74" w:rsidRPr="00D85F74">
        <w:rPr>
          <w:bCs/>
          <w:i/>
          <w:iCs/>
        </w:rPr>
        <w:t>deltoides</w:t>
      </w:r>
      <w:proofErr w:type="spellEnd"/>
      <w:r w:rsidR="00D85F74" w:rsidRPr="00D85F74">
        <w:rPr>
          <w:bCs/>
        </w:rPr>
        <w:t>) clones</w:t>
      </w:r>
      <w:r w:rsidRPr="00D85F74">
        <w:t xml:space="preserve">” was undertaken in the Department of Tree Improvement and Genetic Resources, Dr. Y.S. P. U. H. F., </w:t>
      </w:r>
      <w:proofErr w:type="spellStart"/>
      <w:r w:rsidRPr="00D85F74">
        <w:t>Nauni</w:t>
      </w:r>
      <w:proofErr w:type="spellEnd"/>
      <w:r w:rsidRPr="00D85F74">
        <w:t xml:space="preserve">- </w:t>
      </w:r>
      <w:proofErr w:type="spellStart"/>
      <w:r w:rsidRPr="00D85F74">
        <w:t>Solan</w:t>
      </w:r>
      <w:proofErr w:type="spellEnd"/>
      <w:r w:rsidRPr="00D85F74">
        <w:t xml:space="preserve"> 173230 (H.P.). </w:t>
      </w:r>
      <w:r w:rsidR="00CC4C1A">
        <w:t>In this study, fifteen Poplar clones were collected from various research institutes across India. Molecular markers play an important role in breeding programs because they help in identifying and evaluating genetic differences within plant populations and germplasm collections. The modern trend in forest genetics focuses on developing reliable molecular marker systems that can help study genetic diversity, differentiati</w:t>
      </w:r>
      <w:bookmarkStart w:id="0" w:name="_GoBack"/>
      <w:bookmarkEnd w:id="0"/>
      <w:r w:rsidR="00CC4C1A">
        <w:t xml:space="preserve">on, and gene flow, especially in fragmented forest populations. Such genetic information is valuable for designing effective conservation and management plans. In this work, Simple Sequence Repeat (SSR) markers, also known as microsatellite markers, were used for genotyping through Polymerase Chain Reaction (PCR). The molecular results confirmed the identity of most clones as originally recorded. However, some minor genetic differences were observed within certain clones. Considering the ecological and commercial importance of </w:t>
      </w:r>
      <w:proofErr w:type="spellStart"/>
      <w:r w:rsidR="00CC4C1A">
        <w:t>Populus</w:t>
      </w:r>
      <w:proofErr w:type="spellEnd"/>
      <w:r w:rsidR="00CC4C1A">
        <w:t xml:space="preserve"> species in the Northern Hemisphere, the SSR marker set optimized in this study will be highly useful for breeding and selection programs, ecological landscape studies, and for ensuring the long-term conservation and sustainable management of </w:t>
      </w:r>
      <w:proofErr w:type="spellStart"/>
      <w:r w:rsidR="00CC4C1A">
        <w:t>Populus</w:t>
      </w:r>
      <w:proofErr w:type="spellEnd"/>
      <w:r w:rsidR="00CC4C1A">
        <w:t xml:space="preserve"> genetic resources.</w:t>
      </w:r>
    </w:p>
    <w:p w:rsidR="008C79BB" w:rsidRPr="00D85F74" w:rsidRDefault="00460E75" w:rsidP="00CC4C1A">
      <w:pPr>
        <w:pStyle w:val="BodyText"/>
        <w:spacing w:before="120" w:line="360" w:lineRule="auto"/>
        <w:ind w:left="191" w:right="191"/>
        <w:rPr>
          <w:rFonts w:eastAsia="Arial" w:cs="Times New Roman"/>
        </w:rPr>
      </w:pPr>
      <w:r w:rsidRPr="00D85F74">
        <w:rPr>
          <w:rFonts w:cs="Times New Roman"/>
          <w:b/>
          <w:bCs/>
        </w:rPr>
        <w:t>Key</w:t>
      </w:r>
      <w:r w:rsidRPr="00D85F74">
        <w:rPr>
          <w:rFonts w:cs="Times New Roman"/>
          <w:b/>
          <w:bCs/>
          <w:spacing w:val="-3"/>
        </w:rPr>
        <w:t xml:space="preserve"> </w:t>
      </w:r>
      <w:r w:rsidRPr="00D85F74">
        <w:rPr>
          <w:rFonts w:cs="Times New Roman"/>
          <w:b/>
          <w:bCs/>
        </w:rPr>
        <w:t>words:</w:t>
      </w:r>
      <w:r w:rsidRPr="00D85F74">
        <w:rPr>
          <w:rFonts w:cs="Times New Roman"/>
          <w:spacing w:val="-2"/>
        </w:rPr>
        <w:t xml:space="preserve"> Poplar, SSR, Molecular, Cluster, Dendrogram </w:t>
      </w:r>
    </w:p>
    <w:p w:rsidR="008C79BB" w:rsidRPr="00D85F74" w:rsidRDefault="008C79BB">
      <w:pPr>
        <w:pStyle w:val="Body"/>
        <w:rPr>
          <w:sz w:val="24"/>
          <w:szCs w:val="24"/>
        </w:rPr>
        <w:sectPr w:rsidR="008C79BB" w:rsidRPr="00D85F74">
          <w:headerReference w:type="even" r:id="rId6"/>
          <w:headerReference w:type="default" r:id="rId7"/>
          <w:footerReference w:type="even" r:id="rId8"/>
          <w:footerReference w:type="default" r:id="rId9"/>
          <w:headerReference w:type="first" r:id="rId10"/>
          <w:footerReference w:type="first" r:id="rId11"/>
          <w:pgSz w:w="11900" w:h="16840"/>
          <w:pgMar w:top="1060" w:right="1020" w:bottom="280" w:left="1020" w:header="0" w:footer="720" w:gutter="0"/>
          <w:cols w:space="720"/>
        </w:sectPr>
      </w:pPr>
    </w:p>
    <w:p w:rsidR="008C79BB" w:rsidRPr="00D85F74" w:rsidRDefault="008C79BB">
      <w:pPr>
        <w:pStyle w:val="Heading"/>
        <w:spacing w:before="120" w:line="360" w:lineRule="auto"/>
        <w:rPr>
          <w:rFonts w:eastAsia="Arial"/>
        </w:rPr>
      </w:pPr>
    </w:p>
    <w:p w:rsidR="008C79BB" w:rsidRPr="00D85F74" w:rsidRDefault="00460E75">
      <w:pPr>
        <w:pStyle w:val="Heading"/>
        <w:spacing w:before="120" w:line="360" w:lineRule="auto"/>
        <w:rPr>
          <w:rFonts w:eastAsia="Arial"/>
        </w:rPr>
      </w:pPr>
      <w:r w:rsidRPr="00D85F74">
        <w:rPr>
          <w:lang w:val="fr-FR"/>
        </w:rPr>
        <w:t>Introduction</w:t>
      </w:r>
    </w:p>
    <w:p w:rsidR="00AB3FA3" w:rsidRDefault="00460E75" w:rsidP="00AB3FA3">
      <w:pPr>
        <w:pStyle w:val="NormalWeb"/>
        <w:spacing w:line="360" w:lineRule="auto"/>
        <w:jc w:val="both"/>
      </w:pPr>
      <w:r w:rsidRPr="00D85F74">
        <w:t xml:space="preserve">‘Poplar’ belongs to the genus </w:t>
      </w:r>
      <w:proofErr w:type="spellStart"/>
      <w:r w:rsidRPr="00D85F74">
        <w:t>Populus</w:t>
      </w:r>
      <w:proofErr w:type="spellEnd"/>
      <w:r w:rsidRPr="00D85F74">
        <w:t xml:space="preserve"> and family </w:t>
      </w:r>
      <w:r w:rsidRPr="00D85F74">
        <w:rPr>
          <w:i/>
          <w:iCs/>
        </w:rPr>
        <w:t>Salicaceae</w:t>
      </w:r>
      <w:r w:rsidRPr="00D85F74">
        <w:t xml:space="preserve"> order </w:t>
      </w:r>
      <w:proofErr w:type="spellStart"/>
      <w:r w:rsidRPr="00D85F74">
        <w:t>Salicales</w:t>
      </w:r>
      <w:proofErr w:type="spellEnd"/>
      <w:r w:rsidRPr="00D85F74">
        <w:t xml:space="preserve"> and group </w:t>
      </w:r>
      <w:proofErr w:type="spellStart"/>
      <w:r w:rsidRPr="00D85F74">
        <w:t>Amentiferae</w:t>
      </w:r>
      <w:proofErr w:type="spellEnd"/>
      <w:r w:rsidRPr="00D85F74">
        <w:t>, with 35 identified species (</w:t>
      </w:r>
      <w:proofErr w:type="spellStart"/>
      <w:r w:rsidRPr="00D85F74">
        <w:t>Dickmann</w:t>
      </w:r>
      <w:proofErr w:type="spellEnd"/>
      <w:r w:rsidRPr="00D85F74">
        <w:t xml:space="preserve"> and Stuart, 1984) occurs throughout warm temperate to cool temperate regions of world. Vegetative propagation is one of the distinctive characteristics of this genus (</w:t>
      </w:r>
      <w:proofErr w:type="spellStart"/>
      <w:r w:rsidRPr="00D85F74">
        <w:t>Dickmann</w:t>
      </w:r>
      <w:proofErr w:type="spellEnd"/>
      <w:r w:rsidRPr="00D85F74">
        <w:t xml:space="preserve">, 2001). Genetically improved clones of </w:t>
      </w:r>
      <w:proofErr w:type="spellStart"/>
      <w:r w:rsidRPr="00D85F74">
        <w:rPr>
          <w:i/>
          <w:iCs/>
        </w:rPr>
        <w:t>Populus</w:t>
      </w:r>
      <w:proofErr w:type="spellEnd"/>
      <w:r w:rsidRPr="00D85F74">
        <w:rPr>
          <w:i/>
          <w:iCs/>
        </w:rPr>
        <w:t xml:space="preserve"> </w:t>
      </w:r>
      <w:proofErr w:type="spellStart"/>
      <w:r w:rsidRPr="00D85F74">
        <w:rPr>
          <w:i/>
          <w:iCs/>
        </w:rPr>
        <w:t>deltoides</w:t>
      </w:r>
      <w:proofErr w:type="spellEnd"/>
      <w:r w:rsidRPr="00D85F74">
        <w:t xml:space="preserve"> were introduced in India in 1950 for short rotation plantation designed to maximize wood production (Chaturvedi and Rawat, 1994). Smulders </w:t>
      </w:r>
      <w:r w:rsidRPr="00D85F74">
        <w:rPr>
          <w:i/>
          <w:iCs/>
        </w:rPr>
        <w:t>et al.</w:t>
      </w:r>
      <w:r w:rsidRPr="00D85F74">
        <w:t xml:space="preserve"> (2001) cloned microsatellite repeats from black poplar (</w:t>
      </w:r>
      <w:proofErr w:type="spellStart"/>
      <w:r w:rsidRPr="00D85F74">
        <w:rPr>
          <w:i/>
          <w:iCs/>
        </w:rPr>
        <w:t>Populus</w:t>
      </w:r>
      <w:proofErr w:type="spellEnd"/>
      <w:r w:rsidRPr="00D85F74">
        <w:rPr>
          <w:i/>
          <w:iCs/>
        </w:rPr>
        <w:t xml:space="preserve"> </w:t>
      </w:r>
      <w:proofErr w:type="spellStart"/>
      <w:r w:rsidRPr="00D85F74">
        <w:rPr>
          <w:i/>
          <w:iCs/>
        </w:rPr>
        <w:t>nigra</w:t>
      </w:r>
      <w:proofErr w:type="spellEnd"/>
      <w:r w:rsidRPr="00D85F74">
        <w:t xml:space="preserve"> L.) and developed primers for microsatellite marker analysis. </w:t>
      </w:r>
      <w:r w:rsidR="00AB3FA3">
        <w:t xml:space="preserve">Ten primer pairs, mainly targeting trinucleotide repeats, successfully produced variable (polymorphic) DNA fragments in </w:t>
      </w:r>
      <w:proofErr w:type="spellStart"/>
      <w:r w:rsidR="00AB3FA3">
        <w:rPr>
          <w:rStyle w:val="Emphasis"/>
        </w:rPr>
        <w:t>Populus</w:t>
      </w:r>
      <w:proofErr w:type="spellEnd"/>
      <w:r w:rsidR="00AB3FA3">
        <w:rPr>
          <w:rStyle w:val="Emphasis"/>
        </w:rPr>
        <w:t xml:space="preserve"> </w:t>
      </w:r>
      <w:proofErr w:type="spellStart"/>
      <w:r w:rsidR="00AB3FA3">
        <w:rPr>
          <w:rStyle w:val="Emphasis"/>
        </w:rPr>
        <w:t>nigra</w:t>
      </w:r>
      <w:proofErr w:type="spellEnd"/>
      <w:r w:rsidR="00AB3FA3">
        <w:t xml:space="preserve">. Some of these primers also worked in other Poplar species such as </w:t>
      </w:r>
      <w:r w:rsidR="00AB3FA3">
        <w:rPr>
          <w:rStyle w:val="Emphasis"/>
        </w:rPr>
        <w:t xml:space="preserve">P. </w:t>
      </w:r>
      <w:proofErr w:type="spellStart"/>
      <w:r w:rsidR="00AB3FA3">
        <w:rPr>
          <w:rStyle w:val="Emphasis"/>
        </w:rPr>
        <w:t>deltoides</w:t>
      </w:r>
      <w:proofErr w:type="spellEnd"/>
      <w:r w:rsidR="00AB3FA3">
        <w:t xml:space="preserve">, </w:t>
      </w:r>
      <w:r w:rsidR="00AB3FA3">
        <w:rPr>
          <w:rStyle w:val="Emphasis"/>
        </w:rPr>
        <w:t xml:space="preserve">P. </w:t>
      </w:r>
      <w:proofErr w:type="spellStart"/>
      <w:r w:rsidR="00AB3FA3">
        <w:rPr>
          <w:rStyle w:val="Emphasis"/>
        </w:rPr>
        <w:t>tricocarpa</w:t>
      </w:r>
      <w:proofErr w:type="spellEnd"/>
      <w:r w:rsidR="00AB3FA3">
        <w:t xml:space="preserve">, </w:t>
      </w:r>
      <w:r w:rsidR="00AB3FA3">
        <w:rPr>
          <w:rStyle w:val="Emphasis"/>
        </w:rPr>
        <w:t xml:space="preserve">P. </w:t>
      </w:r>
      <w:proofErr w:type="spellStart"/>
      <w:r w:rsidR="00AB3FA3">
        <w:rPr>
          <w:rStyle w:val="Emphasis"/>
        </w:rPr>
        <w:t>tremula</w:t>
      </w:r>
      <w:proofErr w:type="spellEnd"/>
      <w:r w:rsidR="00AB3FA3">
        <w:t xml:space="preserve">, </w:t>
      </w:r>
      <w:r w:rsidR="00AB3FA3">
        <w:rPr>
          <w:rStyle w:val="Emphasis"/>
        </w:rPr>
        <w:t xml:space="preserve">P. </w:t>
      </w:r>
      <w:proofErr w:type="spellStart"/>
      <w:r w:rsidR="00AB3FA3">
        <w:rPr>
          <w:rStyle w:val="Emphasis"/>
        </w:rPr>
        <w:t>tremuloides</w:t>
      </w:r>
      <w:proofErr w:type="spellEnd"/>
      <w:r w:rsidR="00AB3FA3">
        <w:t xml:space="preserve">, </w:t>
      </w:r>
      <w:r w:rsidR="00AB3FA3">
        <w:rPr>
          <w:rStyle w:val="Emphasis"/>
        </w:rPr>
        <w:t xml:space="preserve">P. </w:t>
      </w:r>
      <w:proofErr w:type="spellStart"/>
      <w:r w:rsidR="00AB3FA3">
        <w:rPr>
          <w:rStyle w:val="Emphasis"/>
        </w:rPr>
        <w:t>candicans</w:t>
      </w:r>
      <w:proofErr w:type="spellEnd"/>
      <w:r w:rsidR="00AB3FA3">
        <w:t xml:space="preserve">, and </w:t>
      </w:r>
      <w:r w:rsidR="00AB3FA3">
        <w:rPr>
          <w:rStyle w:val="Emphasis"/>
        </w:rPr>
        <w:t xml:space="preserve">P. </w:t>
      </w:r>
      <w:proofErr w:type="spellStart"/>
      <w:r w:rsidR="00AB3FA3">
        <w:rPr>
          <w:rStyle w:val="Emphasis"/>
        </w:rPr>
        <w:t>lasiocarpa</w:t>
      </w:r>
      <w:proofErr w:type="spellEnd"/>
      <w:r w:rsidR="00AB3FA3">
        <w:t xml:space="preserve">. From these, the six most informative loci were selected and tested on 23 </w:t>
      </w:r>
      <w:r w:rsidR="00AB3FA3">
        <w:rPr>
          <w:rStyle w:val="Emphasis"/>
        </w:rPr>
        <w:t xml:space="preserve">P. </w:t>
      </w:r>
      <w:proofErr w:type="spellStart"/>
      <w:r w:rsidR="00AB3FA3">
        <w:rPr>
          <w:rStyle w:val="Emphasis"/>
        </w:rPr>
        <w:t>nigra</w:t>
      </w:r>
      <w:proofErr w:type="spellEnd"/>
      <w:r w:rsidR="00AB3FA3">
        <w:t xml:space="preserve"> genotypes collected from different regions across Europe. Molecular markers are especially useful for studying genetic variation in tree species because trees have very long life cycles. Traditional methods like common garden experiments are time-consuming and difficult to manage. In contrast, </w:t>
      </w:r>
      <w:r w:rsidR="00AB3FA3">
        <w:lastRenderedPageBreak/>
        <w:t>molecular markers allow researchers to assess genetic diversity more quickly and efficiently by using DNA directly, without waiting for plants to grow and mature.</w:t>
      </w:r>
    </w:p>
    <w:p w:rsidR="008C79BB" w:rsidRPr="00D85F74" w:rsidRDefault="00460E75">
      <w:pPr>
        <w:pStyle w:val="BodyText"/>
        <w:spacing w:before="120" w:line="360" w:lineRule="auto"/>
        <w:ind w:left="0" w:right="0" w:firstLine="681"/>
        <w:rPr>
          <w:rFonts w:eastAsia="Arial" w:cs="Times New Roman"/>
        </w:rPr>
      </w:pPr>
      <w:r w:rsidRPr="00D85F74">
        <w:rPr>
          <w:rFonts w:cs="Times New Roman"/>
        </w:rPr>
        <w:t>A wide range of molecular markers are normally like AFLPs, RFLP, nuclear and cytoplasmic SSRs and SNPs are normally employed to study genetic variation (</w:t>
      </w:r>
      <w:proofErr w:type="spellStart"/>
      <w:r w:rsidRPr="00D85F74">
        <w:rPr>
          <w:rFonts w:cs="Times New Roman"/>
        </w:rPr>
        <w:t>Krutovsky</w:t>
      </w:r>
      <w:proofErr w:type="spellEnd"/>
      <w:r w:rsidRPr="00D85F74">
        <w:rPr>
          <w:rFonts w:cs="Times New Roman"/>
        </w:rPr>
        <w:t xml:space="preserve"> and Neale, 2006); microsatellites or SSRs and SNPs are currently regarded as the most useful ones, as they are widespread in the nuclear genome and co-dominant. In </w:t>
      </w:r>
      <w:proofErr w:type="spellStart"/>
      <w:r w:rsidRPr="00D85F74">
        <w:rPr>
          <w:rFonts w:cs="Times New Roman"/>
        </w:rPr>
        <w:t>Populus</w:t>
      </w:r>
      <w:proofErr w:type="spellEnd"/>
      <w:r w:rsidRPr="00D85F74">
        <w:rPr>
          <w:rFonts w:cs="Times New Roman"/>
        </w:rPr>
        <w:t xml:space="preserve">, a database that includes thousands of SSR loci has been developed by the International </w:t>
      </w:r>
      <w:proofErr w:type="spellStart"/>
      <w:r w:rsidRPr="00D85F74">
        <w:rPr>
          <w:rFonts w:cs="Times New Roman"/>
        </w:rPr>
        <w:t>Populus</w:t>
      </w:r>
      <w:proofErr w:type="spellEnd"/>
      <w:r w:rsidRPr="00D85F74">
        <w:rPr>
          <w:rFonts w:cs="Times New Roman"/>
        </w:rPr>
        <w:t xml:space="preserve"> Genome Consortium. Expressed Sequence </w:t>
      </w:r>
      <w:proofErr w:type="spellStart"/>
      <w:r w:rsidRPr="00D85F74">
        <w:rPr>
          <w:rFonts w:cs="Times New Roman"/>
        </w:rPr>
        <w:t>Taq</w:t>
      </w:r>
      <w:proofErr w:type="spellEnd"/>
      <w:r w:rsidRPr="00D85F74">
        <w:rPr>
          <w:rFonts w:cs="Times New Roman"/>
        </w:rPr>
        <w:t xml:space="preserve"> (EST) collections were of first and foremost importance to the success of establishing </w:t>
      </w:r>
      <w:proofErr w:type="spellStart"/>
      <w:r w:rsidRPr="00D85F74">
        <w:rPr>
          <w:rFonts w:cs="Times New Roman"/>
        </w:rPr>
        <w:t>Populus</w:t>
      </w:r>
      <w:proofErr w:type="spellEnd"/>
      <w:r w:rsidRPr="00D85F74">
        <w:rPr>
          <w:rFonts w:cs="Times New Roman"/>
        </w:rPr>
        <w:t xml:space="preserve"> as a model system in the field of forest genomics. Large-scale </w:t>
      </w:r>
      <w:proofErr w:type="spellStart"/>
      <w:r w:rsidRPr="00D85F74">
        <w:rPr>
          <w:rFonts w:cs="Times New Roman"/>
        </w:rPr>
        <w:t>Populus</w:t>
      </w:r>
      <w:proofErr w:type="spellEnd"/>
      <w:r w:rsidRPr="00D85F74">
        <w:rPr>
          <w:rFonts w:cs="Times New Roman"/>
        </w:rPr>
        <w:t xml:space="preserve"> EST collections have been a rich resource for qualitative and quantitative assessment of gene expression, offspring snap shots of tissue-or developmental– specific gene expression (</w:t>
      </w:r>
      <w:proofErr w:type="spellStart"/>
      <w:r w:rsidRPr="00D85F74">
        <w:rPr>
          <w:rFonts w:cs="Times New Roman"/>
        </w:rPr>
        <w:t>Sterky</w:t>
      </w:r>
      <w:proofErr w:type="spellEnd"/>
      <w:r w:rsidRPr="00D85F74">
        <w:rPr>
          <w:rFonts w:cs="Times New Roman"/>
        </w:rPr>
        <w:t xml:space="preserve"> et al., 2004; Kohler </w:t>
      </w:r>
      <w:r w:rsidR="00A16C70" w:rsidRPr="00D85F74">
        <w:rPr>
          <w:rFonts w:cs="Times New Roman"/>
        </w:rPr>
        <w:t>et al.,</w:t>
      </w:r>
      <w:r w:rsidRPr="00D85F74">
        <w:rPr>
          <w:rFonts w:cs="Times New Roman"/>
        </w:rPr>
        <w:t xml:space="preserve"> 2003).</w:t>
      </w:r>
    </w:p>
    <w:p w:rsidR="008C79BB" w:rsidRPr="00D85F74" w:rsidRDefault="008C79BB">
      <w:pPr>
        <w:pStyle w:val="BodyText"/>
        <w:spacing w:before="120" w:line="360" w:lineRule="auto"/>
        <w:ind w:left="0" w:right="0"/>
        <w:jc w:val="left"/>
        <w:rPr>
          <w:rFonts w:eastAsia="Arial" w:cs="Times New Roman"/>
        </w:rPr>
      </w:pPr>
    </w:p>
    <w:p w:rsidR="008C79BB" w:rsidRPr="00D85F74" w:rsidRDefault="00460E75">
      <w:pPr>
        <w:pStyle w:val="Heading"/>
        <w:spacing w:before="120" w:line="360" w:lineRule="auto"/>
        <w:jc w:val="both"/>
        <w:rPr>
          <w:rFonts w:eastAsia="Arial"/>
        </w:rPr>
      </w:pPr>
      <w:r w:rsidRPr="00D85F74">
        <w:rPr>
          <w:lang w:val="en-US"/>
        </w:rPr>
        <w:t>Method</w:t>
      </w:r>
      <w:r w:rsidRPr="00D85F74">
        <w:t xml:space="preserve"> and </w:t>
      </w:r>
      <w:r w:rsidRPr="00D85F74">
        <w:rPr>
          <w:lang w:val="de-DE"/>
        </w:rPr>
        <w:t>Materials</w:t>
      </w:r>
    </w:p>
    <w:p w:rsidR="00CB4C51" w:rsidRDefault="00460E75" w:rsidP="00CB4C51">
      <w:pPr>
        <w:pStyle w:val="NormalWeb"/>
        <w:spacing w:line="360" w:lineRule="auto"/>
        <w:jc w:val="both"/>
      </w:pPr>
      <w:r w:rsidRPr="00D85F74">
        <w:rPr>
          <w:lang w:val="en-US"/>
        </w:rPr>
        <w:t xml:space="preserve">The present investigations </w:t>
      </w:r>
      <w:proofErr w:type="gramStart"/>
      <w:r w:rsidRPr="00D85F74">
        <w:rPr>
          <w:lang w:val="en-US"/>
        </w:rPr>
        <w:t>was</w:t>
      </w:r>
      <w:proofErr w:type="gramEnd"/>
      <w:r w:rsidRPr="00D85F74">
        <w:rPr>
          <w:lang w:val="en-US"/>
        </w:rPr>
        <w:t xml:space="preserve"> carried out in the Department of Tree Improvement and Genetic Resources, Dr. Y.S. Parmar University of Horticulture and Forestry, </w:t>
      </w:r>
      <w:proofErr w:type="spellStart"/>
      <w:r w:rsidRPr="00D85F74">
        <w:rPr>
          <w:lang w:val="en-US"/>
        </w:rPr>
        <w:t>Nauni</w:t>
      </w:r>
      <w:proofErr w:type="spellEnd"/>
      <w:r w:rsidRPr="00D85F74">
        <w:rPr>
          <w:lang w:val="en-US"/>
        </w:rPr>
        <w:t xml:space="preserve">, </w:t>
      </w:r>
      <w:proofErr w:type="spellStart"/>
      <w:r w:rsidRPr="00D85F74">
        <w:rPr>
          <w:lang w:val="en-US"/>
        </w:rPr>
        <w:t>Solan</w:t>
      </w:r>
      <w:proofErr w:type="spellEnd"/>
      <w:r w:rsidRPr="00D85F74">
        <w:rPr>
          <w:lang w:val="en-US"/>
        </w:rPr>
        <w:t xml:space="preserve"> (H.P.). 15 clones </w:t>
      </w:r>
      <w:r w:rsidR="008B38AA" w:rsidRPr="00D85F74">
        <w:rPr>
          <w:lang w:val="en-US"/>
        </w:rPr>
        <w:t>w</w:t>
      </w:r>
      <w:r w:rsidRPr="00D85F74">
        <w:rPr>
          <w:lang w:val="en-US"/>
        </w:rPr>
        <w:t xml:space="preserve">ere planted with three </w:t>
      </w:r>
      <w:r w:rsidR="00CB4C51" w:rsidRPr="00D85F74">
        <w:rPr>
          <w:lang w:val="en-US"/>
        </w:rPr>
        <w:t>replications</w:t>
      </w:r>
      <w:r w:rsidRPr="00D85F74">
        <w:rPr>
          <w:lang w:val="en-US"/>
        </w:rPr>
        <w:t xml:space="preserve"> in </w:t>
      </w:r>
      <w:r w:rsidR="00CB4C51" w:rsidRPr="00D85F74">
        <w:rPr>
          <w:lang w:val="en-US"/>
        </w:rPr>
        <w:t>randomized</w:t>
      </w:r>
      <w:r w:rsidRPr="00D85F74">
        <w:rPr>
          <w:lang w:val="en-US"/>
        </w:rPr>
        <w:t xml:space="preserve"> blocks design. </w:t>
      </w:r>
      <w:r w:rsidR="00CB4C51">
        <w:t xml:space="preserve">Cuttings of 15 different clones were collected from various research institutes. To evaluate these clones, Simple Sequence Repeat (SSR) markers were used. Fresh young leaves were taken from the field and used for DNA extraction. The nuclear DNA was isolated following the Doyle and Doyle (1987) method, with minor modifications. For SSR analysis, DNA amplification was performed using eighteen SSR primers that were procured from Bangalore </w:t>
      </w:r>
      <w:proofErr w:type="spellStart"/>
      <w:r w:rsidR="00CB4C51">
        <w:t>Genei</w:t>
      </w:r>
      <w:proofErr w:type="spellEnd"/>
      <w:r w:rsidR="00CB4C51">
        <w:t>, India. Before running the final PCR reactions, optimization tests were carried out to determine the most suitable amplification conditions, particularly the annealing temperature. The annealing temperature for each primer pair was adjusted based on their calculated melting temperatures (Tm) to ensure proper amplification.</w:t>
      </w:r>
    </w:p>
    <w:p w:rsidR="008C79BB" w:rsidRPr="00D85F74" w:rsidRDefault="00460E75">
      <w:pPr>
        <w:pStyle w:val="Body"/>
        <w:widowControl/>
        <w:spacing w:before="120" w:line="360" w:lineRule="auto"/>
        <w:ind w:firstLine="720"/>
        <w:jc w:val="both"/>
        <w:rPr>
          <w:rFonts w:eastAsia="Arial"/>
          <w:sz w:val="24"/>
          <w:szCs w:val="24"/>
        </w:rPr>
      </w:pPr>
      <w:r w:rsidRPr="00D85F74">
        <w:rPr>
          <w:sz w:val="24"/>
          <w:szCs w:val="24"/>
          <w:lang w:val="en-US"/>
        </w:rPr>
        <w:t xml:space="preserve">The scored bands were analyzed in the form of binary system to pattern to prepare the similarity index. The data matrices so prepared was analyzed by SIMQUAL </w:t>
      </w:r>
      <w:proofErr w:type="spellStart"/>
      <w:r w:rsidRPr="00D85F74">
        <w:rPr>
          <w:sz w:val="24"/>
          <w:szCs w:val="24"/>
          <w:lang w:val="en-US"/>
        </w:rPr>
        <w:t>programme</w:t>
      </w:r>
      <w:proofErr w:type="spellEnd"/>
      <w:r w:rsidRPr="00D85F74">
        <w:rPr>
          <w:sz w:val="24"/>
          <w:szCs w:val="24"/>
          <w:lang w:val="en-US"/>
        </w:rPr>
        <w:t xml:space="preserve"> of NTSYS-PC (Version 2.2) and similarities between genotypes were estimated using Jaccard similarity coefficient, calculated as J = A/ (N-D), where A is the number of positive matches (</w:t>
      </w:r>
      <w:proofErr w:type="spellStart"/>
      <w:r w:rsidRPr="00D85F74">
        <w:rPr>
          <w:sz w:val="24"/>
          <w:szCs w:val="24"/>
          <w:lang w:val="en-US"/>
        </w:rPr>
        <w:t>i</w:t>
      </w:r>
      <w:proofErr w:type="spellEnd"/>
      <w:r w:rsidRPr="00D85F74">
        <w:rPr>
          <w:sz w:val="24"/>
          <w:szCs w:val="24"/>
          <w:lang w:val="en-US"/>
        </w:rPr>
        <w:t>. e. presence of band in both samples), D is the number of negative matches (</w:t>
      </w:r>
      <w:proofErr w:type="spellStart"/>
      <w:r w:rsidRPr="00D85F74">
        <w:rPr>
          <w:sz w:val="24"/>
          <w:szCs w:val="24"/>
          <w:lang w:val="en-US"/>
        </w:rPr>
        <w:t>i</w:t>
      </w:r>
      <w:proofErr w:type="spellEnd"/>
      <w:r w:rsidRPr="00D85F74">
        <w:rPr>
          <w:sz w:val="24"/>
          <w:szCs w:val="24"/>
          <w:lang w:val="en-US"/>
        </w:rPr>
        <w:t>. e. absence of band in both samples) and N is the total sample size including both the number of matches and unmatched.</w:t>
      </w:r>
    </w:p>
    <w:p w:rsidR="008C79BB" w:rsidRPr="00D85F74" w:rsidRDefault="008C79BB">
      <w:pPr>
        <w:pStyle w:val="Heading"/>
        <w:spacing w:before="120" w:line="360" w:lineRule="auto"/>
        <w:ind w:left="0" w:firstLine="1"/>
        <w:jc w:val="both"/>
        <w:rPr>
          <w:rFonts w:eastAsia="Arial"/>
        </w:rPr>
      </w:pPr>
    </w:p>
    <w:p w:rsidR="008C79BB" w:rsidRPr="00D85F74" w:rsidRDefault="00460E75">
      <w:pPr>
        <w:pStyle w:val="Heading"/>
        <w:spacing w:before="120" w:line="360" w:lineRule="auto"/>
        <w:ind w:left="0" w:firstLine="1"/>
        <w:jc w:val="both"/>
        <w:rPr>
          <w:rFonts w:eastAsia="Arial"/>
        </w:rPr>
      </w:pPr>
      <w:r w:rsidRPr="00D85F74">
        <w:rPr>
          <w:lang w:val="pt-PT"/>
        </w:rPr>
        <w:t>Result</w:t>
      </w:r>
      <w:r w:rsidRPr="00D85F74">
        <w:t xml:space="preserve"> and </w:t>
      </w:r>
      <w:r w:rsidRPr="00D85F74">
        <w:rPr>
          <w:lang w:val="en-US"/>
        </w:rPr>
        <w:t>Discussion</w:t>
      </w:r>
    </w:p>
    <w:p w:rsidR="008C79BB" w:rsidRPr="00D85F74" w:rsidRDefault="00E51158">
      <w:pPr>
        <w:pStyle w:val="Heading"/>
        <w:spacing w:before="120" w:line="360" w:lineRule="auto"/>
        <w:ind w:left="0" w:firstLine="681"/>
        <w:jc w:val="both"/>
        <w:rPr>
          <w:rFonts w:eastAsia="Arial"/>
          <w:b w:val="0"/>
          <w:bCs w:val="0"/>
        </w:rPr>
      </w:pPr>
      <w:r w:rsidRPr="00E51158">
        <w:rPr>
          <w:b w:val="0"/>
        </w:rPr>
        <w:lastRenderedPageBreak/>
        <w:t xml:space="preserve">The clones were evaluated using SSR (Simple Sequence Repeat) markers. A total of eighteen SSR primers were used to verify the identity of the clones based on their banding patterns. After PCR amplification, the resulting SSR bands were </w:t>
      </w:r>
      <w:proofErr w:type="spellStart"/>
      <w:r w:rsidRPr="00E51158">
        <w:rPr>
          <w:b w:val="0"/>
        </w:rPr>
        <w:t>analyzed</w:t>
      </w:r>
      <w:proofErr w:type="spellEnd"/>
      <w:r w:rsidRPr="00E51158">
        <w:rPr>
          <w:b w:val="0"/>
        </w:rPr>
        <w:t xml:space="preserve"> to determine how genetically similar the clones were to each other. Each band was scored as ‘1’ if present and ‘0’ if absent for every clone, and this data was organized into a matrix. The matrix was then </w:t>
      </w:r>
      <w:proofErr w:type="spellStart"/>
      <w:r w:rsidRPr="00E51158">
        <w:rPr>
          <w:b w:val="0"/>
        </w:rPr>
        <w:t>analyzed</w:t>
      </w:r>
      <w:proofErr w:type="spellEnd"/>
      <w:r w:rsidRPr="00E51158">
        <w:rPr>
          <w:b w:val="0"/>
        </w:rPr>
        <w:t xml:space="preserve"> using the NTSYS-2.2 software to calculate the Jaccard’s similarity coefficient among the clones</w:t>
      </w:r>
      <w:r>
        <w:t xml:space="preserve"> </w:t>
      </w:r>
      <w:r w:rsidR="00460E75" w:rsidRPr="00D85F74">
        <w:rPr>
          <w:b w:val="0"/>
          <w:bCs w:val="0"/>
          <w:lang w:val="en-US"/>
        </w:rPr>
        <w:t>(Figure 1)</w:t>
      </w:r>
      <w:r w:rsidR="00460E75" w:rsidRPr="00D85F74">
        <w:rPr>
          <w:b w:val="0"/>
          <w:bCs w:val="0"/>
        </w:rPr>
        <w:t>.</w:t>
      </w:r>
    </w:p>
    <w:p w:rsidR="008C79BB" w:rsidRPr="00D85F74" w:rsidRDefault="00460E75">
      <w:pPr>
        <w:pStyle w:val="Heading"/>
        <w:spacing w:before="120" w:line="360" w:lineRule="auto"/>
        <w:ind w:left="0" w:firstLine="681"/>
        <w:jc w:val="both"/>
        <w:rPr>
          <w:rFonts w:eastAsia="Arial"/>
          <w:b w:val="0"/>
          <w:bCs w:val="0"/>
        </w:rPr>
      </w:pPr>
      <w:r w:rsidRPr="00D85F74">
        <w:rPr>
          <w:b w:val="0"/>
          <w:bCs w:val="0"/>
          <w:lang w:val="en-US"/>
        </w:rPr>
        <w:t>The clones studied for morphological characterization were tested using SSR markers. Among 18 SSR markers, fourteen markers PMGC-571, PMGC-2163, PMGC-333, ORPM- 028, ORPM-190, ORPM-114, ORPM-092, ORPM-137, ORPM-149, ORPM-166, ORPM- 029, ORPM-186, PTR-1, ORPM-177 and WPMS-07 showed polymorphic pattern while WPMS-05, WPMS-03, ORPM-026 and ORPM-114 showed monomorphic pattern. So, 14 polymorphic SSR</w:t>
      </w:r>
      <w:r w:rsidRPr="00D85F74">
        <w:rPr>
          <w:b w:val="0"/>
          <w:bCs w:val="0"/>
          <w:rtl/>
        </w:rPr>
        <w:t>’</w:t>
      </w:r>
      <w:r w:rsidRPr="00D85F74">
        <w:rPr>
          <w:b w:val="0"/>
          <w:bCs w:val="0"/>
          <w:lang w:val="en-US"/>
        </w:rPr>
        <w:t xml:space="preserve">s were used for further analysis. A close appraisal of the SSR banding pattern obtained after the amplification of genomic DNA of the clones revealed that, all the clones were true to type. SSR markers associated with each clones were assessed on 3.5 % agarose. The amplification products were consisting of one or combination of the two bands for all the samples of </w:t>
      </w:r>
      <w:r w:rsidRPr="00C47178">
        <w:rPr>
          <w:b w:val="0"/>
          <w:bCs w:val="0"/>
          <w:i/>
          <w:lang w:val="en-US"/>
        </w:rPr>
        <w:t xml:space="preserve">P. </w:t>
      </w:r>
      <w:proofErr w:type="spellStart"/>
      <w:r w:rsidRPr="00C47178">
        <w:rPr>
          <w:b w:val="0"/>
          <w:bCs w:val="0"/>
          <w:i/>
          <w:lang w:val="en-US"/>
        </w:rPr>
        <w:t>deltoides</w:t>
      </w:r>
      <w:proofErr w:type="spellEnd"/>
      <w:r w:rsidRPr="00D85F74">
        <w:rPr>
          <w:b w:val="0"/>
          <w:bCs w:val="0"/>
          <w:lang w:val="en-US"/>
        </w:rPr>
        <w:t>.</w:t>
      </w:r>
    </w:p>
    <w:p w:rsidR="008C79BB" w:rsidRPr="00D85F74" w:rsidRDefault="00460E75">
      <w:pPr>
        <w:pStyle w:val="Heading"/>
        <w:spacing w:before="120" w:line="360" w:lineRule="auto"/>
        <w:ind w:left="0" w:firstLine="681"/>
        <w:jc w:val="both"/>
        <w:rPr>
          <w:rFonts w:eastAsia="Arial"/>
          <w:b w:val="0"/>
          <w:bCs w:val="0"/>
        </w:rPr>
      </w:pPr>
      <w:r w:rsidRPr="00D85F74">
        <w:rPr>
          <w:b w:val="0"/>
          <w:bCs w:val="0"/>
          <w:lang w:val="fr-FR"/>
        </w:rPr>
        <w:t xml:space="preserve">Dendrogram (Figure </w:t>
      </w:r>
      <w:r w:rsidRPr="00D85F74">
        <w:rPr>
          <w:b w:val="0"/>
          <w:bCs w:val="0"/>
          <w:lang w:val="en-US"/>
        </w:rPr>
        <w:t xml:space="preserve">2) showing different clusters were based on NTSYS-PC ver. 2.02. Similarity coefficient obtained by Jacquard coefficient was for UPGMA analysis of NTSYS. In the dendrogram (Figure 2) the 15 clones separated into two main clusters, </w:t>
      </w:r>
      <w:r w:rsidRPr="00D85F74">
        <w:rPr>
          <w:b w:val="0"/>
          <w:bCs w:val="0"/>
          <w:rtl/>
        </w:rPr>
        <w:t>‘</w:t>
      </w:r>
      <w:r w:rsidRPr="00D85F74">
        <w:rPr>
          <w:b w:val="0"/>
          <w:bCs w:val="0"/>
        </w:rPr>
        <w:t>I</w:t>
      </w:r>
      <w:r w:rsidRPr="00D85F74">
        <w:rPr>
          <w:b w:val="0"/>
          <w:bCs w:val="0"/>
          <w:rtl/>
        </w:rPr>
        <w:t xml:space="preserve">’ </w:t>
      </w:r>
      <w:r w:rsidRPr="00D85F74">
        <w:rPr>
          <w:b w:val="0"/>
          <w:bCs w:val="0"/>
          <w:lang w:val="en-US"/>
        </w:rPr>
        <w:t xml:space="preserve">and cluster </w:t>
      </w:r>
      <w:r w:rsidRPr="00D85F74">
        <w:rPr>
          <w:b w:val="0"/>
          <w:bCs w:val="0"/>
          <w:rtl/>
        </w:rPr>
        <w:t>‘</w:t>
      </w:r>
      <w:r w:rsidRPr="00D85F74">
        <w:rPr>
          <w:b w:val="0"/>
          <w:bCs w:val="0"/>
        </w:rPr>
        <w:t>II</w:t>
      </w:r>
      <w:r w:rsidRPr="00D85F74">
        <w:rPr>
          <w:b w:val="0"/>
          <w:bCs w:val="0"/>
          <w:rtl/>
        </w:rPr>
        <w:t xml:space="preserve">’ </w:t>
      </w:r>
      <w:r w:rsidRPr="00D85F74">
        <w:rPr>
          <w:b w:val="0"/>
          <w:bCs w:val="0"/>
          <w:lang w:val="en-US"/>
        </w:rPr>
        <w:t>at 64 % similarity. This revealed less similarity between cluster I and the member of cluster II. Cluster I was further subdivided into two clusters i.e. I1 and I2 at similarity value of 72.4 %. Also cluster I1 further dived into I1a and I1b with 77.8 % similarity. Cluster I1a was further divided to I1a1 and I1a2 which were 81.8% similar consisting of clone L-6105. However, I1a1 consist two clones L-30/06 and L-621/84 at 88% similarity. I1b was further divided into I1b1 and I1b2 at 82% similarity. Similarly, I1b1 again divided into I1b12</w:t>
      </w:r>
      <w:r w:rsidRPr="00D85F74">
        <w:rPr>
          <w:b w:val="0"/>
          <w:bCs w:val="0"/>
          <w:rtl/>
        </w:rPr>
        <w:t xml:space="preserve">’ </w:t>
      </w:r>
      <w:r w:rsidRPr="00D85F74">
        <w:rPr>
          <w:b w:val="0"/>
          <w:bCs w:val="0"/>
          <w:lang w:val="en-US"/>
        </w:rPr>
        <w:t>and I1b22</w:t>
      </w:r>
      <w:r w:rsidRPr="00D85F74">
        <w:rPr>
          <w:b w:val="0"/>
          <w:bCs w:val="0"/>
          <w:rtl/>
        </w:rPr>
        <w:t xml:space="preserve">’ </w:t>
      </w:r>
      <w:r w:rsidRPr="00D85F74">
        <w:rPr>
          <w:b w:val="0"/>
          <w:bCs w:val="0"/>
          <w:lang w:val="en-US"/>
        </w:rPr>
        <w:t>at 85.4 % similarity consisting clones G-48 and PL-3 respectively. I2 further divided into I2a and I2b at 85.4 % similarity with consisting clones PL-6 and PL-7.</w:t>
      </w:r>
    </w:p>
    <w:p w:rsidR="008C79BB" w:rsidRPr="00D85F74" w:rsidRDefault="00460E75">
      <w:pPr>
        <w:pStyle w:val="Heading"/>
        <w:spacing w:before="120" w:line="360" w:lineRule="auto"/>
        <w:ind w:left="0" w:firstLine="681"/>
        <w:jc w:val="both"/>
        <w:rPr>
          <w:rFonts w:eastAsia="Arial"/>
          <w:b w:val="0"/>
          <w:bCs w:val="0"/>
        </w:rPr>
      </w:pPr>
      <w:r w:rsidRPr="00D85F74">
        <w:rPr>
          <w:b w:val="0"/>
          <w:bCs w:val="0"/>
          <w:lang w:val="en-US"/>
        </w:rPr>
        <w:t>Cluster II was further subdivided divided into two i.e. II1 and II2 at similarity of 70.5 %. II1 is further divided into II1a and II1b at 72.4 % similarity. II1a further divided into II1a1</w:t>
      </w:r>
      <w:r w:rsidRPr="00D85F74">
        <w:rPr>
          <w:b w:val="0"/>
          <w:bCs w:val="0"/>
          <w:rtl/>
        </w:rPr>
        <w:t xml:space="preserve">’ </w:t>
      </w:r>
      <w:r w:rsidRPr="00D85F74">
        <w:rPr>
          <w:b w:val="0"/>
          <w:bCs w:val="0"/>
          <w:lang w:val="en-US"/>
        </w:rPr>
        <w:t>consist one clone i.e. S7C15 77.8 % similar and II1a2 consist of two clones namely WSL-22 and WSL-39 with 88% similarity. Also, II1b also divided into II21b1 and II21b1 with 81.8 % similarity. II21b1 consists of two clones namely 6503 and 5503 at 88% of similarity and II21b2 consist only one clone 1007 with 81.8 % similarity. II2 consist only one clone L-200/86. L-200/86 was less similar than other clones and having unique morphological characteristics with downward waviness. Molecular characterization of clones was obtained at very basic level due to small number of primers. Further investigation needed with larger number of trait specific primers to correlate morphological and molecular characterization of clones.</w:t>
      </w:r>
    </w:p>
    <w:p w:rsidR="008C79BB" w:rsidRPr="00D85F74" w:rsidRDefault="00460E75">
      <w:pPr>
        <w:pStyle w:val="Heading"/>
        <w:spacing w:before="120" w:line="360" w:lineRule="auto"/>
        <w:ind w:left="0" w:firstLine="681"/>
        <w:jc w:val="both"/>
        <w:rPr>
          <w:rFonts w:eastAsia="Arial"/>
          <w:b w:val="0"/>
          <w:bCs w:val="0"/>
        </w:rPr>
      </w:pPr>
      <w:proofErr w:type="spellStart"/>
      <w:r w:rsidRPr="00D85F74">
        <w:rPr>
          <w:b w:val="0"/>
          <w:bCs w:val="0"/>
        </w:rPr>
        <w:lastRenderedPageBreak/>
        <w:t>Khasa</w:t>
      </w:r>
      <w:proofErr w:type="spellEnd"/>
      <w:r w:rsidRPr="00D85F74">
        <w:rPr>
          <w:b w:val="0"/>
          <w:bCs w:val="0"/>
        </w:rPr>
        <w:t xml:space="preserve"> </w:t>
      </w:r>
      <w:r w:rsidRPr="00D85F74">
        <w:rPr>
          <w:b w:val="0"/>
          <w:bCs w:val="0"/>
          <w:i/>
          <w:iCs/>
          <w:lang w:val="en-US"/>
        </w:rPr>
        <w:t>et al.</w:t>
      </w:r>
      <w:r w:rsidRPr="00D85F74">
        <w:rPr>
          <w:b w:val="0"/>
          <w:bCs w:val="0"/>
          <w:lang w:val="en-US"/>
        </w:rPr>
        <w:t xml:space="preserve"> (2003) reported that 17 microsatellites of simple sequence repeats markers in the genus </w:t>
      </w:r>
      <w:proofErr w:type="spellStart"/>
      <w:r w:rsidRPr="00D85F74">
        <w:rPr>
          <w:b w:val="0"/>
          <w:bCs w:val="0"/>
          <w:lang w:val="en-US"/>
        </w:rPr>
        <w:t>Populus</w:t>
      </w:r>
      <w:proofErr w:type="spellEnd"/>
      <w:r w:rsidRPr="00D85F74">
        <w:rPr>
          <w:b w:val="0"/>
          <w:bCs w:val="0"/>
          <w:lang w:val="en-US"/>
        </w:rPr>
        <w:t xml:space="preserve"> were optimized for seven species (</w:t>
      </w:r>
      <w:r w:rsidRPr="00D85F74">
        <w:rPr>
          <w:b w:val="0"/>
          <w:bCs w:val="0"/>
          <w:i/>
          <w:iCs/>
          <w:lang w:val="en-US"/>
        </w:rPr>
        <w:t xml:space="preserve">P. balsamifera, P. </w:t>
      </w:r>
      <w:proofErr w:type="spellStart"/>
      <w:r w:rsidRPr="00D85F74">
        <w:rPr>
          <w:b w:val="0"/>
          <w:bCs w:val="0"/>
          <w:i/>
          <w:iCs/>
          <w:lang w:val="en-US"/>
        </w:rPr>
        <w:t>tremuloides</w:t>
      </w:r>
      <w:proofErr w:type="spellEnd"/>
      <w:r w:rsidRPr="00D85F74">
        <w:rPr>
          <w:b w:val="0"/>
          <w:bCs w:val="0"/>
          <w:i/>
          <w:iCs/>
          <w:lang w:val="en-US"/>
        </w:rPr>
        <w:t xml:space="preserve">, P. </w:t>
      </w:r>
      <w:proofErr w:type="spellStart"/>
      <w:r w:rsidRPr="00D85F74">
        <w:rPr>
          <w:b w:val="0"/>
          <w:bCs w:val="0"/>
          <w:i/>
          <w:iCs/>
          <w:lang w:val="en-US"/>
        </w:rPr>
        <w:t>davidiana</w:t>
      </w:r>
      <w:proofErr w:type="spellEnd"/>
      <w:r w:rsidRPr="00D85F74">
        <w:rPr>
          <w:b w:val="0"/>
          <w:bCs w:val="0"/>
          <w:i/>
          <w:iCs/>
          <w:lang w:val="en-US"/>
        </w:rPr>
        <w:t xml:space="preserve">, P. alba, P. </w:t>
      </w:r>
      <w:proofErr w:type="spellStart"/>
      <w:r w:rsidRPr="00D85F74">
        <w:rPr>
          <w:b w:val="0"/>
          <w:bCs w:val="0"/>
          <w:i/>
          <w:iCs/>
          <w:lang w:val="en-US"/>
        </w:rPr>
        <w:t>tremula</w:t>
      </w:r>
      <w:proofErr w:type="spellEnd"/>
      <w:r w:rsidRPr="00D85F74">
        <w:rPr>
          <w:b w:val="0"/>
          <w:bCs w:val="0"/>
          <w:i/>
          <w:iCs/>
          <w:lang w:val="en-US"/>
        </w:rPr>
        <w:t xml:space="preserve"> and </w:t>
      </w:r>
      <w:proofErr w:type="spellStart"/>
      <w:proofErr w:type="gramStart"/>
      <w:r w:rsidRPr="00D85F74">
        <w:rPr>
          <w:b w:val="0"/>
          <w:bCs w:val="0"/>
          <w:i/>
          <w:iCs/>
          <w:lang w:val="en-US"/>
        </w:rPr>
        <w:t>P.nigra</w:t>
      </w:r>
      <w:proofErr w:type="spellEnd"/>
      <w:proofErr w:type="gramEnd"/>
      <w:r w:rsidRPr="00D85F74">
        <w:rPr>
          <w:b w:val="0"/>
          <w:bCs w:val="0"/>
          <w:lang w:val="en-US"/>
        </w:rPr>
        <w:t xml:space="preserve">) in which they found that the 14 out of 17 primer pairs amplified SSR loci exhibiting variable amounts of polymorphism across the species studied. Similar results reported by Rahman and </w:t>
      </w:r>
      <w:proofErr w:type="spellStart"/>
      <w:r w:rsidRPr="00D85F74">
        <w:rPr>
          <w:b w:val="0"/>
          <w:bCs w:val="0"/>
          <w:lang w:val="en-US"/>
        </w:rPr>
        <w:t>Rajora</w:t>
      </w:r>
      <w:proofErr w:type="spellEnd"/>
      <w:r w:rsidRPr="00D85F74">
        <w:rPr>
          <w:b w:val="0"/>
          <w:bCs w:val="0"/>
          <w:lang w:val="en-US"/>
        </w:rPr>
        <w:t xml:space="preserve"> (2002) allowed reliable amplification of </w:t>
      </w:r>
      <w:proofErr w:type="spellStart"/>
      <w:r w:rsidRPr="00D85F74">
        <w:rPr>
          <w:b w:val="0"/>
          <w:bCs w:val="0"/>
          <w:lang w:val="en-US"/>
        </w:rPr>
        <w:t>Populus</w:t>
      </w:r>
      <w:proofErr w:type="spellEnd"/>
      <w:r w:rsidRPr="00D85F74">
        <w:rPr>
          <w:b w:val="0"/>
          <w:bCs w:val="0"/>
          <w:lang w:val="en-US"/>
        </w:rPr>
        <w:t xml:space="preserve"> species belonging to three sections of genus (</w:t>
      </w:r>
      <w:proofErr w:type="spellStart"/>
      <w:r w:rsidRPr="00D85F74">
        <w:rPr>
          <w:b w:val="0"/>
          <w:bCs w:val="0"/>
          <w:lang w:val="en-US"/>
        </w:rPr>
        <w:t>Aigeiros</w:t>
      </w:r>
      <w:proofErr w:type="spellEnd"/>
      <w:r w:rsidRPr="00D85F74">
        <w:rPr>
          <w:b w:val="0"/>
          <w:bCs w:val="0"/>
          <w:lang w:val="en-US"/>
        </w:rPr>
        <w:t xml:space="preserve">, </w:t>
      </w:r>
      <w:proofErr w:type="spellStart"/>
      <w:r w:rsidRPr="00D85F74">
        <w:rPr>
          <w:b w:val="0"/>
          <w:bCs w:val="0"/>
          <w:lang w:val="en-US"/>
        </w:rPr>
        <w:t>Tachamahaca</w:t>
      </w:r>
      <w:proofErr w:type="spellEnd"/>
      <w:r w:rsidRPr="00D85F74">
        <w:rPr>
          <w:b w:val="0"/>
          <w:bCs w:val="0"/>
          <w:lang w:val="en-US"/>
        </w:rPr>
        <w:t xml:space="preserve"> and </w:t>
      </w:r>
      <w:proofErr w:type="spellStart"/>
      <w:r w:rsidRPr="00D85F74">
        <w:rPr>
          <w:b w:val="0"/>
          <w:bCs w:val="0"/>
          <w:lang w:val="en-US"/>
        </w:rPr>
        <w:t>Populus</w:t>
      </w:r>
      <w:proofErr w:type="spellEnd"/>
      <w:r w:rsidRPr="00D85F74">
        <w:rPr>
          <w:b w:val="0"/>
          <w:bCs w:val="0"/>
          <w:lang w:val="en-US"/>
        </w:rPr>
        <w:t xml:space="preserve">). Our results were in the line of Grewal </w:t>
      </w:r>
      <w:r w:rsidRPr="00D85F74">
        <w:rPr>
          <w:b w:val="0"/>
          <w:bCs w:val="0"/>
          <w:i/>
          <w:iCs/>
          <w:lang w:val="en-US"/>
        </w:rPr>
        <w:t xml:space="preserve">et al. </w:t>
      </w:r>
      <w:r w:rsidRPr="00D85F74">
        <w:rPr>
          <w:b w:val="0"/>
          <w:bCs w:val="0"/>
          <w:lang w:val="en-US"/>
        </w:rPr>
        <w:t xml:space="preserve">(2013) who studied 32 simple sequence repeats (SSR) markers in </w:t>
      </w:r>
      <w:proofErr w:type="spellStart"/>
      <w:r w:rsidRPr="00D85F74">
        <w:rPr>
          <w:b w:val="0"/>
          <w:bCs w:val="0"/>
          <w:i/>
          <w:lang w:val="en-US"/>
        </w:rPr>
        <w:t>Populus</w:t>
      </w:r>
      <w:proofErr w:type="spellEnd"/>
      <w:r w:rsidRPr="00D85F74">
        <w:rPr>
          <w:b w:val="0"/>
          <w:bCs w:val="0"/>
          <w:i/>
          <w:lang w:val="en-US"/>
        </w:rPr>
        <w:t xml:space="preserve"> </w:t>
      </w:r>
      <w:proofErr w:type="spellStart"/>
      <w:r w:rsidRPr="00D85F74">
        <w:rPr>
          <w:b w:val="0"/>
          <w:bCs w:val="0"/>
          <w:i/>
          <w:lang w:val="en-US"/>
        </w:rPr>
        <w:t>deltoides</w:t>
      </w:r>
      <w:proofErr w:type="spellEnd"/>
      <w:r w:rsidRPr="00D85F74">
        <w:rPr>
          <w:b w:val="0"/>
          <w:bCs w:val="0"/>
          <w:lang w:val="en-US"/>
        </w:rPr>
        <w:t xml:space="preserve"> in which only 22 marker showed polymorphic pattern and amplified a total of 102 alleles. Singh </w:t>
      </w:r>
      <w:r w:rsidRPr="00D85F74">
        <w:rPr>
          <w:b w:val="0"/>
          <w:bCs w:val="0"/>
          <w:i/>
          <w:iCs/>
          <w:lang w:val="en-US"/>
        </w:rPr>
        <w:t>et al.</w:t>
      </w:r>
      <w:r w:rsidRPr="00D85F74">
        <w:rPr>
          <w:b w:val="0"/>
          <w:bCs w:val="0"/>
          <w:lang w:val="en-US"/>
        </w:rPr>
        <w:t xml:space="preserve"> (2013) studied 16 RAPD and 14 SSR primers in willow clones and total of 363 markers were generated and out of which 351 were showing high (96.7%) ray of polymorphism. 18 out of 30 primers showed 100% polymorphism. </w:t>
      </w:r>
      <w:proofErr w:type="spellStart"/>
      <w:r w:rsidRPr="00D85F74">
        <w:rPr>
          <w:b w:val="0"/>
          <w:bCs w:val="0"/>
          <w:lang w:val="en-US"/>
        </w:rPr>
        <w:t>Dobhal</w:t>
      </w:r>
      <w:proofErr w:type="spellEnd"/>
      <w:r w:rsidRPr="00D85F74">
        <w:rPr>
          <w:b w:val="0"/>
          <w:bCs w:val="0"/>
          <w:lang w:val="en-US"/>
        </w:rPr>
        <w:t xml:space="preserve"> (2016) studied 18 primers in poplar 15 out of 18 gave monomorphism while 3 gave polymorphism. </w:t>
      </w:r>
    </w:p>
    <w:p w:rsidR="008C79BB" w:rsidRPr="00D85F74" w:rsidRDefault="008C79BB">
      <w:pPr>
        <w:pStyle w:val="Heading"/>
        <w:spacing w:before="120" w:line="360" w:lineRule="auto"/>
        <w:ind w:left="0"/>
        <w:rPr>
          <w:rFonts w:eastAsia="Arial"/>
        </w:rPr>
      </w:pPr>
    </w:p>
    <w:p w:rsidR="008C79BB" w:rsidRPr="00D85F74" w:rsidRDefault="00460E75">
      <w:pPr>
        <w:pStyle w:val="Heading"/>
        <w:spacing w:before="120" w:line="360" w:lineRule="auto"/>
        <w:ind w:left="0"/>
        <w:rPr>
          <w:rFonts w:eastAsia="Arial"/>
        </w:rPr>
      </w:pPr>
      <w:r w:rsidRPr="00D85F74">
        <w:rPr>
          <w:lang w:val="it-IT"/>
        </w:rPr>
        <w:t>Conclusion</w:t>
      </w:r>
    </w:p>
    <w:p w:rsidR="008C79BB" w:rsidRPr="00E51158" w:rsidRDefault="00460E75">
      <w:pPr>
        <w:pStyle w:val="Body"/>
        <w:widowControl/>
        <w:spacing w:before="120" w:line="360" w:lineRule="auto"/>
        <w:jc w:val="both"/>
        <w:rPr>
          <w:rFonts w:eastAsia="Arial"/>
          <w:sz w:val="24"/>
          <w:szCs w:val="24"/>
        </w:rPr>
      </w:pPr>
      <w:r w:rsidRPr="00D85F74">
        <w:rPr>
          <w:rFonts w:eastAsia="Arial"/>
          <w:sz w:val="24"/>
          <w:szCs w:val="24"/>
        </w:rPr>
        <w:tab/>
      </w:r>
      <w:r w:rsidR="00E51158" w:rsidRPr="00E51158">
        <w:rPr>
          <w:sz w:val="24"/>
          <w:szCs w:val="24"/>
        </w:rPr>
        <w:t>Molecular markers are particular DNA sequences that show variation between individuals, allowing us to distinguish one organism from another. These variations arise due to changes in the nucleotide sequence of DNA, which may result in the creation or loss of restriction sites, random mutations, or alterations in simple repeat regions and their surrounding areas. Because these markers are highly abundant, show good levels of variation, and provide reliable results, they are widely preferred over other types of DNA markers. In this study, sixteen DNA markers that were previously identified and described in aspen (</w:t>
      </w:r>
      <w:proofErr w:type="spellStart"/>
      <w:r w:rsidR="00E51158" w:rsidRPr="00C47178">
        <w:rPr>
          <w:i/>
          <w:sz w:val="24"/>
          <w:szCs w:val="24"/>
        </w:rPr>
        <w:t>Populus</w:t>
      </w:r>
      <w:proofErr w:type="spellEnd"/>
      <w:r w:rsidR="00E51158" w:rsidRPr="00C47178">
        <w:rPr>
          <w:i/>
          <w:sz w:val="24"/>
          <w:szCs w:val="24"/>
        </w:rPr>
        <w:t xml:space="preserve"> </w:t>
      </w:r>
      <w:proofErr w:type="spellStart"/>
      <w:r w:rsidR="00E51158" w:rsidRPr="00C47178">
        <w:rPr>
          <w:i/>
          <w:sz w:val="24"/>
          <w:szCs w:val="24"/>
        </w:rPr>
        <w:t>tremuloides</w:t>
      </w:r>
      <w:proofErr w:type="spellEnd"/>
      <w:r w:rsidR="00E51158" w:rsidRPr="00E51158">
        <w:rPr>
          <w:sz w:val="24"/>
          <w:szCs w:val="24"/>
        </w:rPr>
        <w:t>) and other poplar species (</w:t>
      </w:r>
      <w:proofErr w:type="spellStart"/>
      <w:r w:rsidR="00E51158" w:rsidRPr="00C47178">
        <w:rPr>
          <w:i/>
          <w:sz w:val="24"/>
          <w:szCs w:val="24"/>
        </w:rPr>
        <w:t>Populus</w:t>
      </w:r>
      <w:proofErr w:type="spellEnd"/>
      <w:r w:rsidR="00E51158" w:rsidRPr="00E51158">
        <w:rPr>
          <w:sz w:val="24"/>
          <w:szCs w:val="24"/>
        </w:rPr>
        <w:t xml:space="preserve"> spp.) were initially examined for their usefulness.</w:t>
      </w:r>
    </w:p>
    <w:p w:rsidR="00D85F74" w:rsidRDefault="00D85F74">
      <w:pPr>
        <w:pStyle w:val="Body"/>
        <w:widowControl/>
        <w:spacing w:before="120" w:line="360" w:lineRule="auto"/>
        <w:jc w:val="both"/>
        <w:rPr>
          <w:b/>
          <w:bCs/>
          <w:sz w:val="24"/>
          <w:szCs w:val="24"/>
          <w:lang w:val="en-US"/>
        </w:rPr>
      </w:pPr>
    </w:p>
    <w:p w:rsidR="008C79BB" w:rsidRPr="00D85F74" w:rsidRDefault="00460E75">
      <w:pPr>
        <w:pStyle w:val="Body"/>
        <w:widowControl/>
        <w:spacing w:before="120" w:line="360" w:lineRule="auto"/>
        <w:jc w:val="both"/>
        <w:rPr>
          <w:rFonts w:eastAsia="Arial"/>
          <w:sz w:val="24"/>
          <w:szCs w:val="24"/>
        </w:rPr>
      </w:pPr>
      <w:r w:rsidRPr="00D85F74">
        <w:rPr>
          <w:b/>
          <w:bCs/>
          <w:sz w:val="24"/>
          <w:szCs w:val="24"/>
          <w:lang w:val="en-US"/>
        </w:rPr>
        <w:t>References</w:t>
      </w:r>
      <w:r w:rsidRPr="00D85F74">
        <w:rPr>
          <w:sz w:val="24"/>
          <w:szCs w:val="24"/>
          <w:lang w:val="en-US"/>
        </w:rPr>
        <w:t xml:space="preserve"> </w:t>
      </w:r>
    </w:p>
    <w:p w:rsidR="008C79BB" w:rsidRPr="00D85F74" w:rsidRDefault="00460E75">
      <w:pPr>
        <w:pStyle w:val="Body"/>
        <w:widowControl/>
        <w:spacing w:before="120" w:line="360" w:lineRule="auto"/>
        <w:ind w:left="964" w:hanging="964"/>
        <w:jc w:val="both"/>
        <w:rPr>
          <w:rFonts w:eastAsia="Arial"/>
          <w:sz w:val="24"/>
          <w:szCs w:val="24"/>
        </w:rPr>
      </w:pPr>
      <w:proofErr w:type="spellStart"/>
      <w:r w:rsidRPr="00D85F74">
        <w:rPr>
          <w:sz w:val="24"/>
          <w:szCs w:val="24"/>
          <w:lang w:val="en-US"/>
        </w:rPr>
        <w:t>Dickmann</w:t>
      </w:r>
      <w:proofErr w:type="spellEnd"/>
      <w:r w:rsidRPr="00D85F74">
        <w:rPr>
          <w:sz w:val="24"/>
          <w:szCs w:val="24"/>
          <w:lang w:val="en-US"/>
        </w:rPr>
        <w:t xml:space="preserve"> D I and Stuart K W. 1984. The culture of poplars in Eastern North America. Michigan State </w:t>
      </w:r>
      <w:proofErr w:type="spellStart"/>
      <w:r w:rsidRPr="00D85F74">
        <w:rPr>
          <w:sz w:val="24"/>
          <w:szCs w:val="24"/>
          <w:lang w:val="en-US"/>
        </w:rPr>
        <w:t>Univiversity</w:t>
      </w:r>
      <w:proofErr w:type="spellEnd"/>
      <w:r w:rsidRPr="00D85F74">
        <w:rPr>
          <w:sz w:val="24"/>
          <w:szCs w:val="24"/>
          <w:lang w:val="en-US"/>
        </w:rPr>
        <w:t>, 168p.</w:t>
      </w:r>
    </w:p>
    <w:p w:rsidR="008C79BB" w:rsidRPr="00D85F74" w:rsidRDefault="00460E75">
      <w:pPr>
        <w:pStyle w:val="Body"/>
        <w:widowControl/>
        <w:spacing w:before="120" w:line="360" w:lineRule="auto"/>
        <w:ind w:left="964" w:hanging="964"/>
        <w:jc w:val="both"/>
        <w:rPr>
          <w:rFonts w:eastAsia="Arial"/>
          <w:sz w:val="24"/>
          <w:szCs w:val="24"/>
        </w:rPr>
      </w:pPr>
      <w:r w:rsidRPr="00D85F74">
        <w:rPr>
          <w:sz w:val="24"/>
          <w:szCs w:val="24"/>
          <w:lang w:val="en-US"/>
        </w:rPr>
        <w:t xml:space="preserve">Dickman D I. 2001. An overview of genus </w:t>
      </w:r>
      <w:proofErr w:type="spellStart"/>
      <w:r w:rsidRPr="00D85F74">
        <w:rPr>
          <w:sz w:val="24"/>
          <w:szCs w:val="24"/>
          <w:lang w:val="en-US"/>
        </w:rPr>
        <w:t>Populus</w:t>
      </w:r>
      <w:proofErr w:type="spellEnd"/>
      <w:r w:rsidRPr="00D85F74">
        <w:rPr>
          <w:sz w:val="24"/>
          <w:szCs w:val="24"/>
          <w:lang w:val="en-US"/>
        </w:rPr>
        <w:t xml:space="preserve">. In: Dickman D I, </w:t>
      </w:r>
      <w:proofErr w:type="spellStart"/>
      <w:r w:rsidRPr="00D85F74">
        <w:rPr>
          <w:sz w:val="24"/>
          <w:szCs w:val="24"/>
          <w:lang w:val="en-US"/>
        </w:rPr>
        <w:t>Isebrands</w:t>
      </w:r>
      <w:proofErr w:type="spellEnd"/>
      <w:r w:rsidRPr="00D85F74">
        <w:rPr>
          <w:sz w:val="24"/>
          <w:szCs w:val="24"/>
          <w:lang w:val="en-US"/>
        </w:rPr>
        <w:t xml:space="preserve"> J G, </w:t>
      </w:r>
      <w:proofErr w:type="spellStart"/>
      <w:r w:rsidRPr="00D85F74">
        <w:rPr>
          <w:sz w:val="24"/>
          <w:szCs w:val="24"/>
          <w:lang w:val="en-US"/>
        </w:rPr>
        <w:t>Eckenwalder</w:t>
      </w:r>
      <w:proofErr w:type="spellEnd"/>
      <w:r w:rsidRPr="00D85F74">
        <w:rPr>
          <w:sz w:val="24"/>
          <w:szCs w:val="24"/>
          <w:lang w:val="en-US"/>
        </w:rPr>
        <w:t xml:space="preserve"> J E, Richardson J (eds) Poplar culture in North America. Part A. NRC Research Press, </w:t>
      </w:r>
      <w:proofErr w:type="spellStart"/>
      <w:r w:rsidRPr="00D85F74">
        <w:rPr>
          <w:sz w:val="24"/>
          <w:szCs w:val="24"/>
          <w:lang w:val="en-US"/>
        </w:rPr>
        <w:t>Ottwa</w:t>
      </w:r>
      <w:proofErr w:type="spellEnd"/>
      <w:r w:rsidRPr="00D85F74">
        <w:rPr>
          <w:sz w:val="24"/>
          <w:szCs w:val="24"/>
          <w:lang w:val="en-US"/>
        </w:rPr>
        <w:t>, Canada. 1-45.</w:t>
      </w:r>
    </w:p>
    <w:p w:rsidR="008B38AA" w:rsidRPr="00D85F74" w:rsidRDefault="008B38AA" w:rsidP="008B38AA">
      <w:pPr>
        <w:pStyle w:val="Body"/>
        <w:widowControl/>
        <w:spacing w:before="120" w:line="360" w:lineRule="auto"/>
        <w:ind w:left="964" w:hanging="964"/>
        <w:jc w:val="both"/>
        <w:rPr>
          <w:rFonts w:eastAsia="Arial"/>
          <w:sz w:val="24"/>
          <w:szCs w:val="24"/>
        </w:rPr>
      </w:pPr>
      <w:proofErr w:type="spellStart"/>
      <w:r w:rsidRPr="00D85F74">
        <w:rPr>
          <w:sz w:val="24"/>
          <w:szCs w:val="24"/>
          <w:lang w:val="en-US"/>
        </w:rPr>
        <w:t>Dobhal</w:t>
      </w:r>
      <w:proofErr w:type="spellEnd"/>
      <w:r w:rsidRPr="00D85F74">
        <w:rPr>
          <w:sz w:val="24"/>
          <w:szCs w:val="24"/>
          <w:lang w:val="en-US"/>
        </w:rPr>
        <w:t xml:space="preserve"> S. 2016. Line x tester analysis in </w:t>
      </w:r>
      <w:proofErr w:type="spellStart"/>
      <w:r w:rsidRPr="00D85F74">
        <w:rPr>
          <w:i/>
          <w:sz w:val="24"/>
          <w:szCs w:val="24"/>
          <w:lang w:val="en-US"/>
        </w:rPr>
        <w:t>Populus</w:t>
      </w:r>
      <w:proofErr w:type="spellEnd"/>
      <w:r w:rsidRPr="00D85F74">
        <w:rPr>
          <w:i/>
          <w:sz w:val="24"/>
          <w:szCs w:val="24"/>
          <w:lang w:val="en-US"/>
        </w:rPr>
        <w:t xml:space="preserve"> </w:t>
      </w:r>
      <w:proofErr w:type="spellStart"/>
      <w:r w:rsidRPr="00D85F74">
        <w:rPr>
          <w:i/>
          <w:sz w:val="24"/>
          <w:szCs w:val="24"/>
          <w:lang w:val="en-US"/>
        </w:rPr>
        <w:t>deltoides</w:t>
      </w:r>
      <w:proofErr w:type="spellEnd"/>
      <w:r w:rsidRPr="00D85F74">
        <w:rPr>
          <w:sz w:val="24"/>
          <w:szCs w:val="24"/>
          <w:lang w:val="en-US"/>
        </w:rPr>
        <w:t xml:space="preserve"> </w:t>
      </w:r>
      <w:proofErr w:type="spellStart"/>
      <w:r w:rsidRPr="00D85F74">
        <w:rPr>
          <w:sz w:val="24"/>
          <w:szCs w:val="24"/>
          <w:lang w:val="en-US"/>
        </w:rPr>
        <w:t>Bartr</w:t>
      </w:r>
      <w:proofErr w:type="spellEnd"/>
      <w:r w:rsidRPr="00D85F74">
        <w:rPr>
          <w:sz w:val="24"/>
          <w:szCs w:val="24"/>
          <w:lang w:val="en-US"/>
        </w:rPr>
        <w:t xml:space="preserve">. Ph.D. Thesis. Department of Tree improvement and Genetic resources, Dr. Y. S. Parmar University of Horticulture and Forestry, </w:t>
      </w:r>
      <w:proofErr w:type="spellStart"/>
      <w:r w:rsidRPr="00D85F74">
        <w:rPr>
          <w:sz w:val="24"/>
          <w:szCs w:val="24"/>
          <w:lang w:val="en-US"/>
        </w:rPr>
        <w:t>Nauni</w:t>
      </w:r>
      <w:proofErr w:type="spellEnd"/>
      <w:r w:rsidRPr="00D85F74">
        <w:rPr>
          <w:sz w:val="24"/>
          <w:szCs w:val="24"/>
          <w:lang w:val="en-US"/>
        </w:rPr>
        <w:t xml:space="preserve">, </w:t>
      </w:r>
      <w:proofErr w:type="spellStart"/>
      <w:r w:rsidRPr="00D85F74">
        <w:rPr>
          <w:sz w:val="24"/>
          <w:szCs w:val="24"/>
          <w:lang w:val="en-US"/>
        </w:rPr>
        <w:t>Solan</w:t>
      </w:r>
      <w:proofErr w:type="spellEnd"/>
      <w:r w:rsidRPr="00D85F74">
        <w:rPr>
          <w:sz w:val="24"/>
          <w:szCs w:val="24"/>
          <w:lang w:val="en-US"/>
        </w:rPr>
        <w:t>. 121p.</w:t>
      </w:r>
    </w:p>
    <w:p w:rsidR="008B38AA" w:rsidRPr="00D85F74" w:rsidRDefault="008B38AA" w:rsidP="008B38AA">
      <w:pPr>
        <w:pStyle w:val="Body"/>
        <w:widowControl/>
        <w:spacing w:before="120" w:line="360" w:lineRule="auto"/>
        <w:ind w:left="964" w:hanging="964"/>
        <w:jc w:val="both"/>
        <w:rPr>
          <w:rFonts w:eastAsia="Arial"/>
          <w:sz w:val="24"/>
          <w:szCs w:val="24"/>
        </w:rPr>
      </w:pPr>
      <w:r w:rsidRPr="00D85F74">
        <w:rPr>
          <w:sz w:val="24"/>
          <w:szCs w:val="24"/>
          <w:lang w:val="en-US"/>
        </w:rPr>
        <w:t xml:space="preserve">Doyle J </w:t>
      </w:r>
      <w:proofErr w:type="spellStart"/>
      <w:r w:rsidRPr="00D85F74">
        <w:rPr>
          <w:sz w:val="24"/>
          <w:szCs w:val="24"/>
          <w:lang w:val="en-US"/>
        </w:rPr>
        <w:t>J</w:t>
      </w:r>
      <w:proofErr w:type="spellEnd"/>
      <w:r w:rsidRPr="00D85F74">
        <w:rPr>
          <w:sz w:val="24"/>
          <w:szCs w:val="24"/>
          <w:lang w:val="en-US"/>
        </w:rPr>
        <w:t xml:space="preserve"> and Doyle J </w:t>
      </w:r>
      <w:proofErr w:type="spellStart"/>
      <w:r w:rsidRPr="00D85F74">
        <w:rPr>
          <w:sz w:val="24"/>
          <w:szCs w:val="24"/>
          <w:lang w:val="en-US"/>
        </w:rPr>
        <w:t>J</w:t>
      </w:r>
      <w:proofErr w:type="spellEnd"/>
      <w:r w:rsidRPr="00D85F74">
        <w:rPr>
          <w:sz w:val="24"/>
          <w:szCs w:val="24"/>
          <w:lang w:val="en-US"/>
        </w:rPr>
        <w:t xml:space="preserve">. 1987. A rapid DNA isolation procedure from small quantities of fresh leaf tissues. Phytochemistry Bulletin </w:t>
      </w:r>
      <w:proofErr w:type="gramStart"/>
      <w:r w:rsidRPr="00D85F74">
        <w:rPr>
          <w:sz w:val="24"/>
          <w:szCs w:val="24"/>
          <w:lang w:val="en-US"/>
        </w:rPr>
        <w:t>19 :</w:t>
      </w:r>
      <w:proofErr w:type="gramEnd"/>
      <w:r w:rsidRPr="00D85F74">
        <w:rPr>
          <w:sz w:val="24"/>
          <w:szCs w:val="24"/>
          <w:lang w:val="en-US"/>
        </w:rPr>
        <w:t xml:space="preserve"> 11-15.</w:t>
      </w:r>
    </w:p>
    <w:p w:rsidR="008C79BB" w:rsidRPr="00D85F74" w:rsidRDefault="00460E75">
      <w:pPr>
        <w:pStyle w:val="Body"/>
        <w:widowControl/>
        <w:spacing w:before="120" w:line="360" w:lineRule="auto"/>
        <w:ind w:left="964" w:hanging="964"/>
        <w:jc w:val="both"/>
        <w:rPr>
          <w:rFonts w:eastAsia="Arial"/>
          <w:sz w:val="24"/>
          <w:szCs w:val="24"/>
        </w:rPr>
      </w:pPr>
      <w:r w:rsidRPr="00D85F74">
        <w:rPr>
          <w:sz w:val="24"/>
          <w:szCs w:val="24"/>
          <w:lang w:val="en-US"/>
        </w:rPr>
        <w:lastRenderedPageBreak/>
        <w:t xml:space="preserve">Smulders M J, Vander J S, </w:t>
      </w:r>
      <w:proofErr w:type="spellStart"/>
      <w:r w:rsidRPr="00D85F74">
        <w:rPr>
          <w:sz w:val="24"/>
          <w:szCs w:val="24"/>
          <w:lang w:val="en-US"/>
        </w:rPr>
        <w:t>Arens</w:t>
      </w:r>
      <w:proofErr w:type="spellEnd"/>
      <w:r w:rsidRPr="00D85F74">
        <w:rPr>
          <w:sz w:val="24"/>
          <w:szCs w:val="24"/>
          <w:lang w:val="en-US"/>
        </w:rPr>
        <w:t xml:space="preserve"> P and </w:t>
      </w:r>
      <w:proofErr w:type="spellStart"/>
      <w:r w:rsidRPr="00D85F74">
        <w:rPr>
          <w:sz w:val="24"/>
          <w:szCs w:val="24"/>
          <w:lang w:val="en-US"/>
        </w:rPr>
        <w:t>Vosman</w:t>
      </w:r>
      <w:proofErr w:type="spellEnd"/>
      <w:r w:rsidRPr="00D85F74">
        <w:rPr>
          <w:sz w:val="24"/>
          <w:szCs w:val="24"/>
          <w:lang w:val="en-US"/>
        </w:rPr>
        <w:t xml:space="preserve"> B. 2001. Tri-nucleotide repeat microsatellite markers for black poplar (</w:t>
      </w:r>
      <w:proofErr w:type="spellStart"/>
      <w:r w:rsidRPr="00D85F74">
        <w:rPr>
          <w:i/>
          <w:sz w:val="24"/>
          <w:szCs w:val="24"/>
          <w:lang w:val="en-US"/>
        </w:rPr>
        <w:t>Populus</w:t>
      </w:r>
      <w:proofErr w:type="spellEnd"/>
      <w:r w:rsidRPr="00D85F74">
        <w:rPr>
          <w:i/>
          <w:sz w:val="24"/>
          <w:szCs w:val="24"/>
          <w:lang w:val="en-US"/>
        </w:rPr>
        <w:t xml:space="preserve"> </w:t>
      </w:r>
      <w:proofErr w:type="spellStart"/>
      <w:r w:rsidRPr="00D85F74">
        <w:rPr>
          <w:i/>
          <w:sz w:val="24"/>
          <w:szCs w:val="24"/>
          <w:lang w:val="en-US"/>
        </w:rPr>
        <w:t>nigra</w:t>
      </w:r>
      <w:proofErr w:type="spellEnd"/>
      <w:r w:rsidRPr="00D85F74">
        <w:rPr>
          <w:sz w:val="24"/>
          <w:szCs w:val="24"/>
          <w:lang w:val="en-US"/>
        </w:rPr>
        <w:t xml:space="preserve"> L.). Molecular Ecology Notes </w:t>
      </w:r>
      <w:proofErr w:type="gramStart"/>
      <w:r w:rsidRPr="00D85F74">
        <w:rPr>
          <w:sz w:val="24"/>
          <w:szCs w:val="24"/>
          <w:lang w:val="en-US"/>
        </w:rPr>
        <w:t>1 :</w:t>
      </w:r>
      <w:proofErr w:type="gramEnd"/>
      <w:r w:rsidRPr="00D85F74">
        <w:rPr>
          <w:sz w:val="24"/>
          <w:szCs w:val="24"/>
          <w:lang w:val="en-US"/>
        </w:rPr>
        <w:t xml:space="preserve"> 188-190.</w:t>
      </w:r>
    </w:p>
    <w:p w:rsidR="008C79BB" w:rsidRPr="00D85F74" w:rsidRDefault="00460E75">
      <w:pPr>
        <w:pStyle w:val="Body"/>
        <w:widowControl/>
        <w:spacing w:before="120" w:line="360" w:lineRule="auto"/>
        <w:ind w:left="964" w:hanging="964"/>
        <w:jc w:val="both"/>
        <w:rPr>
          <w:rFonts w:eastAsia="Arial"/>
          <w:sz w:val="24"/>
          <w:szCs w:val="24"/>
        </w:rPr>
      </w:pPr>
      <w:proofErr w:type="spellStart"/>
      <w:r w:rsidRPr="00D85F74">
        <w:rPr>
          <w:sz w:val="24"/>
          <w:szCs w:val="24"/>
          <w:lang w:val="en-US"/>
        </w:rPr>
        <w:t>Krutovsky</w:t>
      </w:r>
      <w:proofErr w:type="spellEnd"/>
      <w:r w:rsidRPr="00D85F74">
        <w:rPr>
          <w:sz w:val="24"/>
          <w:szCs w:val="24"/>
          <w:lang w:val="en-US"/>
        </w:rPr>
        <w:t xml:space="preserve"> K V and Neale D B. 2006. Forest genomics and new molecular genetic approaches to measuring and conserving adaptive genetic diversity in forest trees. In: </w:t>
      </w:r>
      <w:proofErr w:type="spellStart"/>
      <w:r w:rsidRPr="00D85F74">
        <w:rPr>
          <w:sz w:val="24"/>
          <w:szCs w:val="24"/>
          <w:lang w:val="en-US"/>
        </w:rPr>
        <w:t>Geburek</w:t>
      </w:r>
      <w:proofErr w:type="spellEnd"/>
      <w:r w:rsidRPr="00D85F74">
        <w:rPr>
          <w:sz w:val="24"/>
          <w:szCs w:val="24"/>
          <w:lang w:val="en-US"/>
        </w:rPr>
        <w:t xml:space="preserve"> T, </w:t>
      </w:r>
      <w:proofErr w:type="spellStart"/>
      <w:r w:rsidRPr="00D85F74">
        <w:rPr>
          <w:sz w:val="24"/>
          <w:szCs w:val="24"/>
          <w:lang w:val="en-US"/>
        </w:rPr>
        <w:t>Turok</w:t>
      </w:r>
      <w:proofErr w:type="spellEnd"/>
      <w:r w:rsidRPr="00D85F74">
        <w:rPr>
          <w:sz w:val="24"/>
          <w:szCs w:val="24"/>
          <w:lang w:val="en-US"/>
        </w:rPr>
        <w:t xml:space="preserve"> J (eds). Conservation and Management of Forest Genetic Resources in Europe. Arboreta Publishers, </w:t>
      </w:r>
      <w:proofErr w:type="spellStart"/>
      <w:r w:rsidRPr="00D85F74">
        <w:rPr>
          <w:sz w:val="24"/>
          <w:szCs w:val="24"/>
          <w:lang w:val="en-US"/>
        </w:rPr>
        <w:t>Zvolen</w:t>
      </w:r>
      <w:proofErr w:type="spellEnd"/>
      <w:r w:rsidRPr="00D85F74">
        <w:rPr>
          <w:sz w:val="24"/>
          <w:szCs w:val="24"/>
          <w:lang w:val="en-US"/>
        </w:rPr>
        <w:t>, Slovakia. 369-390.</w:t>
      </w:r>
    </w:p>
    <w:p w:rsidR="008C79BB" w:rsidRPr="00D85F74" w:rsidRDefault="00460E75">
      <w:pPr>
        <w:pStyle w:val="Body"/>
        <w:widowControl/>
        <w:spacing w:before="120" w:line="360" w:lineRule="auto"/>
        <w:ind w:left="964" w:hanging="964"/>
        <w:jc w:val="both"/>
        <w:rPr>
          <w:rFonts w:eastAsia="Arial"/>
          <w:sz w:val="24"/>
          <w:szCs w:val="24"/>
        </w:rPr>
      </w:pPr>
      <w:r w:rsidRPr="00D85F74">
        <w:rPr>
          <w:sz w:val="24"/>
          <w:szCs w:val="24"/>
          <w:lang w:val="en-US"/>
        </w:rPr>
        <w:t xml:space="preserve">Kohler A, </w:t>
      </w:r>
      <w:proofErr w:type="spellStart"/>
      <w:r w:rsidRPr="00D85F74">
        <w:rPr>
          <w:sz w:val="24"/>
          <w:szCs w:val="24"/>
          <w:lang w:val="en-US"/>
        </w:rPr>
        <w:t>Delaruelle</w:t>
      </w:r>
      <w:proofErr w:type="spellEnd"/>
      <w:r w:rsidRPr="00D85F74">
        <w:rPr>
          <w:sz w:val="24"/>
          <w:szCs w:val="24"/>
          <w:lang w:val="en-US"/>
        </w:rPr>
        <w:t xml:space="preserve"> C, Martin D, </w:t>
      </w:r>
      <w:proofErr w:type="spellStart"/>
      <w:r w:rsidRPr="00D85F74">
        <w:rPr>
          <w:sz w:val="24"/>
          <w:szCs w:val="24"/>
          <w:lang w:val="en-US"/>
        </w:rPr>
        <w:t>Encelot</w:t>
      </w:r>
      <w:proofErr w:type="spellEnd"/>
      <w:r w:rsidRPr="00D85F74">
        <w:rPr>
          <w:sz w:val="24"/>
          <w:szCs w:val="24"/>
          <w:lang w:val="en-US"/>
        </w:rPr>
        <w:t xml:space="preserve"> N and Martin F. 2003. The poplar root </w:t>
      </w:r>
      <w:proofErr w:type="gramStart"/>
      <w:r w:rsidRPr="00D85F74">
        <w:rPr>
          <w:sz w:val="24"/>
          <w:szCs w:val="24"/>
          <w:lang w:val="en-US"/>
        </w:rPr>
        <w:t>transcriptome :</w:t>
      </w:r>
      <w:proofErr w:type="gramEnd"/>
      <w:r w:rsidRPr="00D85F74">
        <w:rPr>
          <w:sz w:val="24"/>
          <w:szCs w:val="24"/>
          <w:lang w:val="en-US"/>
        </w:rPr>
        <w:t xml:space="preserve"> Analysis of 7000 express sequence tags. FEBS Letters </w:t>
      </w:r>
      <w:proofErr w:type="gramStart"/>
      <w:r w:rsidRPr="00D85F74">
        <w:rPr>
          <w:sz w:val="24"/>
          <w:szCs w:val="24"/>
          <w:lang w:val="en-US"/>
        </w:rPr>
        <w:t>542 :</w:t>
      </w:r>
      <w:proofErr w:type="gramEnd"/>
      <w:r w:rsidRPr="00D85F74">
        <w:rPr>
          <w:sz w:val="24"/>
          <w:szCs w:val="24"/>
          <w:lang w:val="en-US"/>
        </w:rPr>
        <w:t xml:space="preserve"> 37-41.</w:t>
      </w:r>
    </w:p>
    <w:p w:rsidR="008C79BB" w:rsidRPr="00D85F74" w:rsidRDefault="00460E75">
      <w:pPr>
        <w:pStyle w:val="Body"/>
        <w:widowControl/>
        <w:spacing w:before="120" w:line="360" w:lineRule="auto"/>
        <w:ind w:left="964" w:hanging="964"/>
        <w:jc w:val="both"/>
        <w:rPr>
          <w:rFonts w:eastAsia="Arial"/>
          <w:sz w:val="24"/>
          <w:szCs w:val="24"/>
        </w:rPr>
      </w:pPr>
      <w:r w:rsidRPr="00D85F74">
        <w:rPr>
          <w:sz w:val="24"/>
          <w:szCs w:val="24"/>
          <w:lang w:val="de-DE"/>
        </w:rPr>
        <w:t>Sterky F, Bhalerao R R, Unneberg P, Segerman B, Nillson P, Brunner A M, Campa C L, Lindvall J J, Tandre K, Strauss S H, Gustaffson P, Uhlen M, Bhalerao R P, Nilsson O, Sandberg G, Karlsson J, Lundberg J and Jasson S.2004. A Populus EST resource for plant functional genomics. Proc. Natl. Acad. Sci. USA. 101 : 13951-13956.</w:t>
      </w:r>
    </w:p>
    <w:p w:rsidR="008C79BB" w:rsidRPr="00D85F74" w:rsidRDefault="00460E75">
      <w:pPr>
        <w:pStyle w:val="Body"/>
        <w:widowControl/>
        <w:spacing w:before="120" w:line="360" w:lineRule="auto"/>
        <w:ind w:left="964" w:hanging="964"/>
        <w:jc w:val="both"/>
        <w:rPr>
          <w:rFonts w:eastAsia="Arial"/>
          <w:sz w:val="24"/>
          <w:szCs w:val="24"/>
        </w:rPr>
      </w:pPr>
      <w:proofErr w:type="spellStart"/>
      <w:r w:rsidRPr="00D85F74">
        <w:rPr>
          <w:sz w:val="24"/>
          <w:szCs w:val="24"/>
          <w:lang w:val="en-US"/>
        </w:rPr>
        <w:t>Khasa</w:t>
      </w:r>
      <w:proofErr w:type="spellEnd"/>
      <w:r w:rsidRPr="00D85F74">
        <w:rPr>
          <w:sz w:val="24"/>
          <w:szCs w:val="24"/>
          <w:lang w:val="en-US"/>
        </w:rPr>
        <w:t xml:space="preserve"> D P, Nadeem S, Thomas B, Robertson A and Bousquet J. 2003. Application of SSR markers for parentage analysis of </w:t>
      </w:r>
      <w:proofErr w:type="spellStart"/>
      <w:r w:rsidRPr="00D85F74">
        <w:rPr>
          <w:sz w:val="24"/>
          <w:szCs w:val="24"/>
          <w:lang w:val="en-US"/>
        </w:rPr>
        <w:t>Populus</w:t>
      </w:r>
      <w:proofErr w:type="spellEnd"/>
      <w:r w:rsidRPr="00D85F74">
        <w:rPr>
          <w:sz w:val="24"/>
          <w:szCs w:val="24"/>
          <w:lang w:val="en-US"/>
        </w:rPr>
        <w:t xml:space="preserve"> clones. Forest Genetics </w:t>
      </w:r>
      <w:proofErr w:type="gramStart"/>
      <w:r w:rsidRPr="00D85F74">
        <w:rPr>
          <w:sz w:val="24"/>
          <w:szCs w:val="24"/>
          <w:lang w:val="en-US"/>
        </w:rPr>
        <w:t>10 :</w:t>
      </w:r>
      <w:proofErr w:type="gramEnd"/>
      <w:r w:rsidRPr="00D85F74">
        <w:rPr>
          <w:sz w:val="24"/>
          <w:szCs w:val="24"/>
          <w:lang w:val="en-US"/>
        </w:rPr>
        <w:t xml:space="preserve"> 273-281.</w:t>
      </w:r>
    </w:p>
    <w:p w:rsidR="008C79BB" w:rsidRPr="00D85F74" w:rsidRDefault="00460E75">
      <w:pPr>
        <w:pStyle w:val="Body"/>
        <w:widowControl/>
        <w:spacing w:before="120" w:line="360" w:lineRule="auto"/>
        <w:ind w:left="964" w:hanging="964"/>
        <w:jc w:val="both"/>
        <w:rPr>
          <w:rFonts w:eastAsia="Arial"/>
          <w:sz w:val="24"/>
          <w:szCs w:val="24"/>
        </w:rPr>
      </w:pPr>
      <w:r w:rsidRPr="00D85F74">
        <w:rPr>
          <w:sz w:val="24"/>
          <w:szCs w:val="24"/>
          <w:lang w:val="en-US"/>
        </w:rPr>
        <w:t xml:space="preserve">Rahman M H and </w:t>
      </w:r>
      <w:proofErr w:type="spellStart"/>
      <w:r w:rsidRPr="00D85F74">
        <w:rPr>
          <w:sz w:val="24"/>
          <w:szCs w:val="24"/>
          <w:lang w:val="en-US"/>
        </w:rPr>
        <w:t>Rajora</w:t>
      </w:r>
      <w:proofErr w:type="spellEnd"/>
      <w:r w:rsidRPr="00D85F74">
        <w:rPr>
          <w:sz w:val="24"/>
          <w:szCs w:val="24"/>
          <w:lang w:val="en-US"/>
        </w:rPr>
        <w:t xml:space="preserve"> O P. 2002. Microsatellite DNA fingerprinting, differentiation and genetic relationships of clones, cultivars and varieties of six poplar species from three sections of the genus </w:t>
      </w:r>
      <w:proofErr w:type="spellStart"/>
      <w:r w:rsidRPr="00D85F74">
        <w:rPr>
          <w:sz w:val="24"/>
          <w:szCs w:val="24"/>
          <w:lang w:val="en-US"/>
        </w:rPr>
        <w:t>Populus</w:t>
      </w:r>
      <w:proofErr w:type="spellEnd"/>
      <w:r w:rsidRPr="00D85F74">
        <w:rPr>
          <w:sz w:val="24"/>
          <w:szCs w:val="24"/>
          <w:lang w:val="en-US"/>
        </w:rPr>
        <w:t xml:space="preserve">. Genome </w:t>
      </w:r>
      <w:proofErr w:type="gramStart"/>
      <w:r w:rsidRPr="00D85F74">
        <w:rPr>
          <w:sz w:val="24"/>
          <w:szCs w:val="24"/>
          <w:lang w:val="en-US"/>
        </w:rPr>
        <w:t>45 :</w:t>
      </w:r>
      <w:proofErr w:type="gramEnd"/>
      <w:r w:rsidRPr="00D85F74">
        <w:rPr>
          <w:sz w:val="24"/>
          <w:szCs w:val="24"/>
          <w:lang w:val="en-US"/>
        </w:rPr>
        <w:t xml:space="preserve"> 1083-94.</w:t>
      </w:r>
    </w:p>
    <w:p w:rsidR="008C79BB" w:rsidRPr="00D85F74" w:rsidRDefault="00460E75">
      <w:pPr>
        <w:pStyle w:val="Body"/>
        <w:widowControl/>
        <w:spacing w:before="120" w:line="360" w:lineRule="auto"/>
        <w:ind w:left="964" w:hanging="964"/>
        <w:jc w:val="both"/>
        <w:rPr>
          <w:rFonts w:eastAsia="Arial"/>
          <w:sz w:val="24"/>
          <w:szCs w:val="24"/>
        </w:rPr>
      </w:pPr>
      <w:r w:rsidRPr="00D85F74">
        <w:rPr>
          <w:sz w:val="24"/>
          <w:szCs w:val="24"/>
          <w:lang w:val="en-US"/>
        </w:rPr>
        <w:t xml:space="preserve">Grewal G K, Gill R I S, Dhillon G P S and </w:t>
      </w:r>
      <w:proofErr w:type="spellStart"/>
      <w:r w:rsidRPr="00D85F74">
        <w:rPr>
          <w:sz w:val="24"/>
          <w:szCs w:val="24"/>
          <w:lang w:val="en-US"/>
        </w:rPr>
        <w:t>Vikal</w:t>
      </w:r>
      <w:proofErr w:type="spellEnd"/>
      <w:r w:rsidRPr="00D85F74">
        <w:rPr>
          <w:sz w:val="24"/>
          <w:szCs w:val="24"/>
          <w:lang w:val="en-US"/>
        </w:rPr>
        <w:t xml:space="preserve">. 2013. Molecular characterization and genetic diversity analysis of </w:t>
      </w:r>
      <w:proofErr w:type="spellStart"/>
      <w:r w:rsidRPr="00D85F74">
        <w:rPr>
          <w:i/>
          <w:sz w:val="24"/>
          <w:szCs w:val="24"/>
          <w:lang w:val="en-US"/>
        </w:rPr>
        <w:t>Populus</w:t>
      </w:r>
      <w:proofErr w:type="spellEnd"/>
      <w:r w:rsidRPr="00D85F74">
        <w:rPr>
          <w:i/>
          <w:sz w:val="24"/>
          <w:szCs w:val="24"/>
          <w:lang w:val="en-US"/>
        </w:rPr>
        <w:t xml:space="preserve"> </w:t>
      </w:r>
      <w:proofErr w:type="spellStart"/>
      <w:r w:rsidRPr="00D85F74">
        <w:rPr>
          <w:i/>
          <w:sz w:val="24"/>
          <w:szCs w:val="24"/>
          <w:lang w:val="en-US"/>
        </w:rPr>
        <w:t>deltoides</w:t>
      </w:r>
      <w:proofErr w:type="spellEnd"/>
      <w:r w:rsidRPr="00D85F74">
        <w:rPr>
          <w:sz w:val="24"/>
          <w:szCs w:val="24"/>
          <w:lang w:val="en-US"/>
        </w:rPr>
        <w:t xml:space="preserve"> </w:t>
      </w:r>
      <w:proofErr w:type="spellStart"/>
      <w:r w:rsidRPr="00D85F74">
        <w:rPr>
          <w:sz w:val="24"/>
          <w:szCs w:val="24"/>
          <w:lang w:val="en-US"/>
        </w:rPr>
        <w:t>Bartr</w:t>
      </w:r>
      <w:proofErr w:type="spellEnd"/>
      <w:r w:rsidRPr="00D85F74">
        <w:rPr>
          <w:sz w:val="24"/>
          <w:szCs w:val="24"/>
          <w:lang w:val="en-US"/>
        </w:rPr>
        <w:t xml:space="preserve">. ex Marsh. clones using SSR markers. Indian Journal of Biotechnology </w:t>
      </w:r>
      <w:proofErr w:type="gramStart"/>
      <w:r w:rsidRPr="00D85F74">
        <w:rPr>
          <w:sz w:val="24"/>
          <w:szCs w:val="24"/>
          <w:lang w:val="en-US"/>
        </w:rPr>
        <w:t>13 :</w:t>
      </w:r>
      <w:proofErr w:type="gramEnd"/>
      <w:r w:rsidRPr="00D85F74">
        <w:rPr>
          <w:sz w:val="24"/>
          <w:szCs w:val="24"/>
          <w:lang w:val="en-US"/>
        </w:rPr>
        <w:t xml:space="preserve"> 388-397.</w:t>
      </w:r>
    </w:p>
    <w:p w:rsidR="008C79BB" w:rsidRPr="00D85F74" w:rsidRDefault="00460E75">
      <w:pPr>
        <w:pStyle w:val="Body"/>
        <w:widowControl/>
        <w:spacing w:before="120" w:line="360" w:lineRule="auto"/>
        <w:ind w:left="964" w:hanging="964"/>
        <w:jc w:val="both"/>
        <w:rPr>
          <w:rFonts w:eastAsia="Arial"/>
          <w:sz w:val="24"/>
          <w:szCs w:val="24"/>
        </w:rPr>
      </w:pPr>
      <w:r w:rsidRPr="00D85F74">
        <w:rPr>
          <w:sz w:val="24"/>
          <w:szCs w:val="24"/>
          <w:lang w:val="en-US"/>
        </w:rPr>
        <w:t xml:space="preserve">Singh N B, Choudhary P and Joshi S. 2013. Molecular diversity in willow clones selected for commercial plantation. Indian Journal of Plant Genetic Resources </w:t>
      </w:r>
      <w:proofErr w:type="gramStart"/>
      <w:r w:rsidRPr="00D85F74">
        <w:rPr>
          <w:sz w:val="24"/>
          <w:szCs w:val="24"/>
          <w:lang w:val="en-US"/>
        </w:rPr>
        <w:t>26 :</w:t>
      </w:r>
      <w:proofErr w:type="gramEnd"/>
      <w:r w:rsidRPr="00D85F74">
        <w:rPr>
          <w:sz w:val="24"/>
          <w:szCs w:val="24"/>
          <w:lang w:val="en-US"/>
        </w:rPr>
        <w:t xml:space="preserve"> 138-145</w:t>
      </w:r>
    </w:p>
    <w:p w:rsidR="008C79BB" w:rsidRPr="00D85F74" w:rsidRDefault="008C79BB">
      <w:pPr>
        <w:pStyle w:val="Body"/>
        <w:widowControl/>
        <w:spacing w:before="100" w:after="100" w:line="360" w:lineRule="auto"/>
        <w:ind w:left="964" w:hanging="964"/>
        <w:jc w:val="both"/>
        <w:rPr>
          <w:sz w:val="24"/>
          <w:szCs w:val="24"/>
        </w:rPr>
      </w:pPr>
    </w:p>
    <w:p w:rsidR="008C79BB" w:rsidRPr="00D85F74" w:rsidRDefault="008C79BB">
      <w:pPr>
        <w:pStyle w:val="Body"/>
        <w:widowControl/>
        <w:spacing w:before="100" w:after="100" w:line="360" w:lineRule="auto"/>
        <w:ind w:left="964" w:hanging="964"/>
        <w:jc w:val="both"/>
        <w:rPr>
          <w:sz w:val="24"/>
          <w:szCs w:val="24"/>
        </w:rPr>
      </w:pPr>
    </w:p>
    <w:p w:rsidR="008C79BB" w:rsidRPr="00D85F74" w:rsidRDefault="008C79BB">
      <w:pPr>
        <w:pStyle w:val="Body"/>
        <w:widowControl/>
        <w:spacing w:before="100" w:after="100" w:line="360" w:lineRule="auto"/>
        <w:ind w:left="964" w:hanging="964"/>
        <w:jc w:val="both"/>
        <w:rPr>
          <w:sz w:val="24"/>
          <w:szCs w:val="24"/>
        </w:rPr>
      </w:pPr>
    </w:p>
    <w:p w:rsidR="008C79BB" w:rsidRPr="00D85F74" w:rsidRDefault="008C79BB">
      <w:pPr>
        <w:pStyle w:val="Body"/>
        <w:widowControl/>
        <w:spacing w:before="100" w:after="100" w:line="360" w:lineRule="auto"/>
        <w:ind w:left="964" w:hanging="964"/>
        <w:jc w:val="both"/>
        <w:rPr>
          <w:sz w:val="24"/>
          <w:szCs w:val="24"/>
        </w:rPr>
      </w:pPr>
    </w:p>
    <w:p w:rsidR="008C79BB" w:rsidRPr="00D85F74" w:rsidRDefault="008C79BB">
      <w:pPr>
        <w:pStyle w:val="Heading"/>
        <w:ind w:left="964" w:hanging="964"/>
      </w:pPr>
    </w:p>
    <w:p w:rsidR="008C79BB" w:rsidRPr="00D85F74" w:rsidRDefault="008C79BB">
      <w:pPr>
        <w:pStyle w:val="Heading"/>
        <w:ind w:left="0"/>
      </w:pPr>
    </w:p>
    <w:p w:rsidR="008C79BB" w:rsidRPr="00D85F74" w:rsidRDefault="008C79BB">
      <w:pPr>
        <w:pStyle w:val="Heading"/>
        <w:ind w:left="0"/>
      </w:pPr>
    </w:p>
    <w:p w:rsidR="008C79BB" w:rsidRPr="00D85F74" w:rsidRDefault="008C79BB">
      <w:pPr>
        <w:pStyle w:val="Heading"/>
        <w:ind w:left="0"/>
      </w:pPr>
    </w:p>
    <w:p w:rsidR="008C79BB" w:rsidRPr="00D85F74" w:rsidRDefault="008C79BB">
      <w:pPr>
        <w:pStyle w:val="Heading"/>
        <w:ind w:left="0"/>
      </w:pPr>
    </w:p>
    <w:p w:rsidR="008C79BB" w:rsidRPr="00D85F74" w:rsidRDefault="00460E75">
      <w:pPr>
        <w:pStyle w:val="Heading"/>
        <w:ind w:left="0"/>
      </w:pPr>
      <w:r w:rsidRPr="00D85F74">
        <w:rPr>
          <w:lang w:val="en-US"/>
        </w:rPr>
        <w:t xml:space="preserve">Figure 1: verification of clones using SSR primers </w:t>
      </w:r>
    </w:p>
    <w:p w:rsidR="008C79BB" w:rsidRPr="00D85F74" w:rsidRDefault="008C79BB">
      <w:pPr>
        <w:pStyle w:val="Heading"/>
        <w:ind w:left="0"/>
      </w:pPr>
    </w:p>
    <w:p w:rsidR="008C79BB" w:rsidRPr="00D85F74" w:rsidRDefault="008C79BB">
      <w:pPr>
        <w:pStyle w:val="Heading"/>
        <w:ind w:left="0"/>
      </w:pPr>
    </w:p>
    <w:p w:rsidR="008C79BB" w:rsidRPr="00D85F74" w:rsidRDefault="008C79BB">
      <w:pPr>
        <w:pStyle w:val="Heading"/>
        <w:ind w:left="0"/>
      </w:pPr>
    </w:p>
    <w:p w:rsidR="008C79BB" w:rsidRPr="00D85F74" w:rsidRDefault="00460E75">
      <w:pPr>
        <w:pStyle w:val="Heading"/>
        <w:ind w:left="0"/>
      </w:pPr>
      <w:r w:rsidRPr="00D85F74">
        <w:rPr>
          <w:noProof/>
          <w:lang w:val="en-US" w:eastAsia="en-US"/>
        </w:rPr>
        <w:lastRenderedPageBreak/>
        <w:drawing>
          <wp:anchor distT="152400" distB="152400" distL="152400" distR="152400" simplePos="0" relativeHeight="251659264" behindDoc="0" locked="0" layoutInCell="1" allowOverlap="1">
            <wp:simplePos x="0" y="0"/>
            <wp:positionH relativeFrom="margin">
              <wp:posOffset>-6350</wp:posOffset>
            </wp:positionH>
            <wp:positionV relativeFrom="line">
              <wp:posOffset>190500</wp:posOffset>
            </wp:positionV>
            <wp:extent cx="6261100" cy="5058884"/>
            <wp:effectExtent l="0" t="0" r="0" b="0"/>
            <wp:wrapTopAndBottom distT="152400" distB="152400"/>
            <wp:docPr id="1073741825" name="officeArt object" descr="pasted-image.jpeg"/>
            <wp:cNvGraphicFramePr/>
            <a:graphic xmlns:a="http://schemas.openxmlformats.org/drawingml/2006/main">
              <a:graphicData uri="http://schemas.openxmlformats.org/drawingml/2006/picture">
                <pic:pic xmlns:pic="http://schemas.openxmlformats.org/drawingml/2006/picture">
                  <pic:nvPicPr>
                    <pic:cNvPr id="1073741825" name="pasted-image.jpeg" descr="pasted-image.jpeg"/>
                    <pic:cNvPicPr>
                      <a:picLocks noChangeAspect="1"/>
                    </pic:cNvPicPr>
                  </pic:nvPicPr>
                  <pic:blipFill>
                    <a:blip r:embed="rId12">
                      <a:extLst/>
                    </a:blip>
                    <a:stretch>
                      <a:fillRect/>
                    </a:stretch>
                  </pic:blipFill>
                  <pic:spPr>
                    <a:xfrm>
                      <a:off x="0" y="0"/>
                      <a:ext cx="6261100" cy="5058884"/>
                    </a:xfrm>
                    <a:prstGeom prst="rect">
                      <a:avLst/>
                    </a:prstGeom>
                    <a:ln w="12700" cap="flat">
                      <a:noFill/>
                      <a:miter lim="400000"/>
                    </a:ln>
                    <a:effectLst/>
                  </pic:spPr>
                </pic:pic>
              </a:graphicData>
            </a:graphic>
          </wp:anchor>
        </w:drawing>
      </w:r>
    </w:p>
    <w:p w:rsidR="008C79BB" w:rsidRPr="00D85F74" w:rsidRDefault="008C79BB">
      <w:pPr>
        <w:pStyle w:val="Heading"/>
        <w:ind w:left="0"/>
      </w:pPr>
    </w:p>
    <w:p w:rsidR="008C79BB" w:rsidRPr="00D85F74" w:rsidRDefault="008C79BB">
      <w:pPr>
        <w:pStyle w:val="Heading"/>
        <w:ind w:left="0"/>
      </w:pPr>
    </w:p>
    <w:p w:rsidR="008C79BB" w:rsidRPr="00D85F74" w:rsidRDefault="008C79BB">
      <w:pPr>
        <w:pStyle w:val="Heading"/>
        <w:ind w:left="0"/>
      </w:pPr>
    </w:p>
    <w:p w:rsidR="008C79BB" w:rsidRPr="00D85F74" w:rsidRDefault="008C79BB">
      <w:pPr>
        <w:pStyle w:val="Heading"/>
        <w:ind w:left="0"/>
      </w:pPr>
    </w:p>
    <w:p w:rsidR="008C79BB" w:rsidRPr="00D85F74" w:rsidRDefault="008C79BB">
      <w:pPr>
        <w:pStyle w:val="Heading"/>
        <w:ind w:left="0"/>
      </w:pPr>
    </w:p>
    <w:p w:rsidR="008C79BB" w:rsidRPr="00D85F74" w:rsidRDefault="008C79BB">
      <w:pPr>
        <w:pStyle w:val="Heading"/>
        <w:ind w:left="0"/>
      </w:pPr>
    </w:p>
    <w:p w:rsidR="008C79BB" w:rsidRPr="00D85F74" w:rsidRDefault="008C79BB">
      <w:pPr>
        <w:pStyle w:val="Heading"/>
        <w:ind w:left="0"/>
      </w:pPr>
    </w:p>
    <w:p w:rsidR="008C79BB" w:rsidRPr="00D85F74" w:rsidRDefault="008C79BB">
      <w:pPr>
        <w:pStyle w:val="Heading"/>
        <w:ind w:left="0"/>
      </w:pPr>
    </w:p>
    <w:p w:rsidR="008C79BB" w:rsidRPr="00D85F74" w:rsidRDefault="008C79BB">
      <w:pPr>
        <w:pStyle w:val="Heading"/>
        <w:ind w:left="0"/>
      </w:pPr>
    </w:p>
    <w:p w:rsidR="008C79BB" w:rsidRPr="00D85F74" w:rsidRDefault="008C79BB">
      <w:pPr>
        <w:pStyle w:val="Heading"/>
        <w:ind w:left="0"/>
      </w:pPr>
    </w:p>
    <w:p w:rsidR="008C79BB" w:rsidRPr="00D85F74" w:rsidRDefault="008C79BB">
      <w:pPr>
        <w:pStyle w:val="Heading"/>
        <w:ind w:left="0"/>
      </w:pPr>
    </w:p>
    <w:p w:rsidR="008C79BB" w:rsidRPr="00D85F74" w:rsidRDefault="008C79BB">
      <w:pPr>
        <w:pStyle w:val="Heading"/>
        <w:ind w:left="0"/>
      </w:pPr>
    </w:p>
    <w:p w:rsidR="008C79BB" w:rsidRPr="00D85F74" w:rsidRDefault="008C79BB">
      <w:pPr>
        <w:pStyle w:val="Heading"/>
        <w:ind w:left="0"/>
      </w:pPr>
    </w:p>
    <w:p w:rsidR="008C79BB" w:rsidRPr="00D85F74" w:rsidRDefault="008C79BB">
      <w:pPr>
        <w:pStyle w:val="Heading"/>
        <w:ind w:left="0"/>
      </w:pPr>
    </w:p>
    <w:p w:rsidR="008C79BB" w:rsidRPr="00D85F74" w:rsidRDefault="00460E75">
      <w:pPr>
        <w:pStyle w:val="Heading"/>
        <w:ind w:left="0"/>
      </w:pPr>
      <w:r w:rsidRPr="00D85F74">
        <w:rPr>
          <w:lang w:val="en-US"/>
        </w:rPr>
        <w:lastRenderedPageBreak/>
        <w:t>Figure 2: Dendrogram of 18 SSR primer for 15 poplar clones</w:t>
      </w:r>
      <w:r w:rsidRPr="00D85F74">
        <w:rPr>
          <w:noProof/>
          <w:lang w:val="en-US" w:eastAsia="en-US"/>
        </w:rPr>
        <w:drawing>
          <wp:anchor distT="152400" distB="152400" distL="152400" distR="152400" simplePos="0" relativeHeight="251660288" behindDoc="0" locked="0" layoutInCell="1" allowOverlap="1" wp14:anchorId="73EAF70E" wp14:editId="1814C4C8">
            <wp:simplePos x="0" y="0"/>
            <wp:positionH relativeFrom="margin">
              <wp:posOffset>546295</wp:posOffset>
            </wp:positionH>
            <wp:positionV relativeFrom="line">
              <wp:posOffset>252997</wp:posOffset>
            </wp:positionV>
            <wp:extent cx="5155810" cy="8968586"/>
            <wp:effectExtent l="0" t="0" r="0" b="0"/>
            <wp:wrapThrough wrapText="bothSides" distL="152400" distR="152400">
              <wp:wrapPolygon edited="1">
                <wp:start x="0" y="0"/>
                <wp:lineTo x="21631" y="0"/>
                <wp:lineTo x="21631" y="21600"/>
                <wp:lineTo x="0" y="21600"/>
                <wp:lineTo x="0" y="0"/>
              </wp:wrapPolygon>
            </wp:wrapThrough>
            <wp:docPr id="1073741826" name="officeArt object" descr="pasted-image.png"/>
            <wp:cNvGraphicFramePr/>
            <a:graphic xmlns:a="http://schemas.openxmlformats.org/drawingml/2006/main">
              <a:graphicData uri="http://schemas.openxmlformats.org/drawingml/2006/picture">
                <pic:pic xmlns:pic="http://schemas.openxmlformats.org/drawingml/2006/picture">
                  <pic:nvPicPr>
                    <pic:cNvPr id="1073741826" name="pasted-image.png" descr="pasted-image.png"/>
                    <pic:cNvPicPr>
                      <a:picLocks noChangeAspect="1"/>
                    </pic:cNvPicPr>
                  </pic:nvPicPr>
                  <pic:blipFill>
                    <a:blip r:embed="rId13">
                      <a:extLst/>
                    </a:blip>
                    <a:stretch>
                      <a:fillRect/>
                    </a:stretch>
                  </pic:blipFill>
                  <pic:spPr>
                    <a:xfrm>
                      <a:off x="0" y="0"/>
                      <a:ext cx="5155810" cy="8968586"/>
                    </a:xfrm>
                    <a:prstGeom prst="rect">
                      <a:avLst/>
                    </a:prstGeom>
                    <a:ln w="12700" cap="flat">
                      <a:noFill/>
                      <a:miter lim="400000"/>
                    </a:ln>
                    <a:effectLst/>
                  </pic:spPr>
                </pic:pic>
              </a:graphicData>
            </a:graphic>
          </wp:anchor>
        </w:drawing>
      </w:r>
    </w:p>
    <w:sectPr w:rsidR="008C79BB" w:rsidRPr="00D85F74">
      <w:type w:val="continuous"/>
      <w:pgSz w:w="11900" w:h="16840"/>
      <w:pgMar w:top="1060" w:right="1020" w:bottom="280" w:left="102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CEF" w:rsidRDefault="00507CEF">
      <w:r>
        <w:separator/>
      </w:r>
    </w:p>
  </w:endnote>
  <w:endnote w:type="continuationSeparator" w:id="0">
    <w:p w:rsidR="00507CEF" w:rsidRDefault="00507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64A" w:rsidRDefault="00841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9BB" w:rsidRDefault="008C79BB">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64A" w:rsidRDefault="00841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CEF" w:rsidRDefault="00507CEF">
      <w:r>
        <w:separator/>
      </w:r>
    </w:p>
  </w:footnote>
  <w:footnote w:type="continuationSeparator" w:id="0">
    <w:p w:rsidR="00507CEF" w:rsidRDefault="00507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64A" w:rsidRDefault="008416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69126" o:spid="_x0000_s2050" type="#_x0000_t136" style="position:absolute;margin-left:0;margin-top:0;width:625.55pt;height:6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9BB" w:rsidRDefault="0084164A">
    <w:pPr>
      <w:pStyle w:val="HeaderFoo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69127" o:spid="_x0000_s2051" type="#_x0000_t136" style="position:absolute;margin-left:0;margin-top:0;width:625.55pt;height:6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64A" w:rsidRDefault="008416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69125" o:spid="_x0000_s2049" type="#_x0000_t136" style="position:absolute;margin-left:0;margin-top:0;width:625.55pt;height:6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9BB"/>
    <w:rsid w:val="00460E75"/>
    <w:rsid w:val="00507CEF"/>
    <w:rsid w:val="00726E8B"/>
    <w:rsid w:val="00785A6F"/>
    <w:rsid w:val="0084164A"/>
    <w:rsid w:val="008574DC"/>
    <w:rsid w:val="00881B55"/>
    <w:rsid w:val="008B38AA"/>
    <w:rsid w:val="008C79BB"/>
    <w:rsid w:val="009B03FC"/>
    <w:rsid w:val="00A16C70"/>
    <w:rsid w:val="00AB3FA3"/>
    <w:rsid w:val="00BF35F1"/>
    <w:rsid w:val="00C47178"/>
    <w:rsid w:val="00CB4C51"/>
    <w:rsid w:val="00CC4C1A"/>
    <w:rsid w:val="00CC5414"/>
    <w:rsid w:val="00D85F74"/>
    <w:rsid w:val="00E511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015ED86-C42B-442A-96DF-F5C9636A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cs="Arial Unicode MS"/>
      <w:color w:val="000000"/>
      <w:sz w:val="26"/>
      <w:szCs w:val="26"/>
      <w14:textOutline w14:w="0" w14:cap="flat" w14:cmpd="sng" w14:algn="ctr">
        <w14:noFill/>
        <w14:prstDash w14:val="solid"/>
        <w14:bevel/>
      </w14:textOutline>
    </w:rPr>
  </w:style>
  <w:style w:type="paragraph" w:styleId="BodyText">
    <w:name w:val="Body Text"/>
    <w:pPr>
      <w:widowControl w:val="0"/>
      <w:ind w:left="113" w:right="38"/>
      <w:jc w:val="both"/>
    </w:pPr>
    <w:rPr>
      <w:rFonts w:cs="Arial Unicode MS"/>
      <w:color w:val="000000"/>
      <w:sz w:val="24"/>
      <w:szCs w:val="24"/>
      <w:u w:color="000000"/>
      <w:lang w:val="en-US"/>
    </w:rPr>
  </w:style>
  <w:style w:type="paragraph" w:customStyle="1" w:styleId="Body">
    <w:name w:val="Body"/>
    <w:pPr>
      <w:widowControl w:val="0"/>
    </w:pPr>
    <w:rPr>
      <w:rFonts w:eastAsia="Times New Roman"/>
      <w:color w:val="000000"/>
      <w:sz w:val="22"/>
      <w:szCs w:val="22"/>
      <w:u w:color="000000"/>
      <w14:textOutline w14:w="0" w14:cap="flat" w14:cmpd="sng" w14:algn="ctr">
        <w14:noFill/>
        <w14:prstDash w14:val="solid"/>
        <w14:bevel/>
      </w14:textOutline>
    </w:rPr>
  </w:style>
  <w:style w:type="paragraph" w:customStyle="1" w:styleId="Heading">
    <w:name w:val="Heading"/>
    <w:pPr>
      <w:widowControl w:val="0"/>
      <w:ind w:left="113"/>
      <w:outlineLvl w:val="0"/>
    </w:pPr>
    <w:rPr>
      <w:rFonts w:eastAsia="Times New Roman"/>
      <w:b/>
      <w:bCs/>
      <w:color w:val="000000"/>
      <w:sz w:val="24"/>
      <w:szCs w:val="24"/>
      <w:u w:color="000000"/>
      <w14:textOutline w14:w="0" w14:cap="flat" w14:cmpd="sng" w14:algn="ctr">
        <w14:noFill/>
        <w14:prstDash w14:val="solid"/>
        <w14:bevel/>
      </w14:textOutline>
    </w:rPr>
  </w:style>
  <w:style w:type="paragraph" w:styleId="NormalWeb">
    <w:name w:val="Normal (Web)"/>
    <w:basedOn w:val="Normal"/>
    <w:uiPriority w:val="99"/>
    <w:semiHidden/>
    <w:unhideWhenUsed/>
    <w:rsid w:val="00CC4C1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IN" w:eastAsia="en-IN"/>
    </w:rPr>
  </w:style>
  <w:style w:type="character" w:styleId="Emphasis">
    <w:name w:val="Emphasis"/>
    <w:basedOn w:val="DefaultParagraphFont"/>
    <w:uiPriority w:val="20"/>
    <w:qFormat/>
    <w:rsid w:val="00AB3FA3"/>
    <w:rPr>
      <w:i/>
      <w:iCs/>
    </w:rPr>
  </w:style>
  <w:style w:type="paragraph" w:styleId="Header">
    <w:name w:val="header"/>
    <w:basedOn w:val="Normal"/>
    <w:link w:val="HeaderChar"/>
    <w:uiPriority w:val="99"/>
    <w:unhideWhenUsed/>
    <w:rsid w:val="0084164A"/>
    <w:pPr>
      <w:tabs>
        <w:tab w:val="center" w:pos="4513"/>
        <w:tab w:val="right" w:pos="9026"/>
      </w:tabs>
    </w:pPr>
  </w:style>
  <w:style w:type="character" w:customStyle="1" w:styleId="HeaderChar">
    <w:name w:val="Header Char"/>
    <w:basedOn w:val="DefaultParagraphFont"/>
    <w:link w:val="Header"/>
    <w:uiPriority w:val="99"/>
    <w:rsid w:val="0084164A"/>
    <w:rPr>
      <w:sz w:val="24"/>
      <w:szCs w:val="24"/>
      <w:lang w:val="en-US" w:eastAsia="en-US"/>
    </w:rPr>
  </w:style>
  <w:style w:type="paragraph" w:styleId="Footer">
    <w:name w:val="footer"/>
    <w:basedOn w:val="Normal"/>
    <w:link w:val="FooterChar"/>
    <w:uiPriority w:val="99"/>
    <w:unhideWhenUsed/>
    <w:rsid w:val="0084164A"/>
    <w:pPr>
      <w:tabs>
        <w:tab w:val="center" w:pos="4513"/>
        <w:tab w:val="right" w:pos="9026"/>
      </w:tabs>
    </w:pPr>
  </w:style>
  <w:style w:type="character" w:customStyle="1" w:styleId="FooterChar">
    <w:name w:val="Footer Char"/>
    <w:basedOn w:val="DefaultParagraphFont"/>
    <w:link w:val="Footer"/>
    <w:uiPriority w:val="99"/>
    <w:rsid w:val="0084164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969476">
      <w:bodyDiv w:val="1"/>
      <w:marLeft w:val="0"/>
      <w:marRight w:val="0"/>
      <w:marTop w:val="0"/>
      <w:marBottom w:val="0"/>
      <w:divBdr>
        <w:top w:val="none" w:sz="0" w:space="0" w:color="auto"/>
        <w:left w:val="none" w:sz="0" w:space="0" w:color="auto"/>
        <w:bottom w:val="none" w:sz="0" w:space="0" w:color="auto"/>
        <w:right w:val="none" w:sz="0" w:space="0" w:color="auto"/>
      </w:divBdr>
    </w:div>
    <w:div w:id="563377470">
      <w:bodyDiv w:val="1"/>
      <w:marLeft w:val="0"/>
      <w:marRight w:val="0"/>
      <w:marTop w:val="0"/>
      <w:marBottom w:val="0"/>
      <w:divBdr>
        <w:top w:val="none" w:sz="0" w:space="0" w:color="auto"/>
        <w:left w:val="none" w:sz="0" w:space="0" w:color="auto"/>
        <w:bottom w:val="none" w:sz="0" w:space="0" w:color="auto"/>
        <w:right w:val="none" w:sz="0" w:space="0" w:color="auto"/>
      </w:divBdr>
    </w:div>
    <w:div w:id="817723134">
      <w:bodyDiv w:val="1"/>
      <w:marLeft w:val="0"/>
      <w:marRight w:val="0"/>
      <w:marTop w:val="0"/>
      <w:marBottom w:val="0"/>
      <w:divBdr>
        <w:top w:val="none" w:sz="0" w:space="0" w:color="auto"/>
        <w:left w:val="none" w:sz="0" w:space="0" w:color="auto"/>
        <w:bottom w:val="none" w:sz="0" w:space="0" w:color="auto"/>
        <w:right w:val="none" w:sz="0" w:space="0" w:color="auto"/>
      </w:divBdr>
    </w:div>
    <w:div w:id="1850948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7</Pages>
  <Words>1979</Words>
  <Characters>11282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1166</cp:lastModifiedBy>
  <cp:revision>10</cp:revision>
  <dcterms:created xsi:type="dcterms:W3CDTF">2023-02-21T05:58:00Z</dcterms:created>
  <dcterms:modified xsi:type="dcterms:W3CDTF">2026-03-19T10:38:00Z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5fc8e3aaa3d8f59c1403bcffaddd47d4f2c085ae7bbba8e416c25d7ef6716f3c</vt:lpwstr>
  </property>
</Properties>
</file>