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BD0D5" w14:textId="5B3E0B93" w:rsidR="00334356" w:rsidRPr="00334356" w:rsidRDefault="00334356" w:rsidP="00334356">
      <w:pPr>
        <w:spacing w:line="360" w:lineRule="auto"/>
        <w:jc w:val="both"/>
        <w:rPr>
          <w:rFonts w:ascii="Times New Roman" w:hAnsi="Times New Roman" w:cs="Times New Roman"/>
        </w:rPr>
      </w:pPr>
      <w:r w:rsidRPr="00843680">
        <w:rPr>
          <w:rFonts w:ascii="Times New Roman" w:hAnsi="Times New Roman" w:cs="Times New Roman"/>
        </w:rPr>
        <w:t>Phytosociological Structure of Shrub Vegetation in Eturnagaram Wildlife Sanctuary, Telangana, India</w:t>
      </w:r>
    </w:p>
    <w:p w14:paraId="22350822" w14:textId="77777777" w:rsidR="00334356" w:rsidRDefault="00334356" w:rsidP="00843680">
      <w:pPr>
        <w:spacing w:line="360" w:lineRule="auto"/>
        <w:jc w:val="both"/>
        <w:rPr>
          <w:rFonts w:ascii="Times New Roman" w:hAnsi="Times New Roman" w:cs="Times New Roman"/>
          <w:b/>
          <w:bCs/>
        </w:rPr>
      </w:pPr>
    </w:p>
    <w:p w14:paraId="231FBA87"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Abstract</w:t>
      </w:r>
    </w:p>
    <w:p w14:paraId="134393DA"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Shrubs constitute an ecologically significant vegetation layer in tropical dry deciduous forests, contributing to biodiversity maintenance, regeneration processes, and ecosystem functioning. The present study evaluated the phytosociological structure and diversity of shrub vegetation in Eturnagaram Wildlife Sanctuary, located in the Eastern Ghats region of India. Vegetation sampling was carried out using a stratified random sampling design comprising 100 quadrats of 0.1 ha distributed across four forest ranges: North </w:t>
      </w:r>
      <w:proofErr w:type="spellStart"/>
      <w:r w:rsidRPr="00843680">
        <w:rPr>
          <w:rFonts w:ascii="Times New Roman" w:hAnsi="Times New Roman" w:cs="Times New Roman"/>
        </w:rPr>
        <w:t>Eturnagaram</w:t>
      </w:r>
      <w:proofErr w:type="spellEnd"/>
      <w:r w:rsidRPr="00843680">
        <w:rPr>
          <w:rFonts w:ascii="Times New Roman" w:hAnsi="Times New Roman" w:cs="Times New Roman"/>
        </w:rPr>
        <w:t xml:space="preserve">, South </w:t>
      </w:r>
      <w:proofErr w:type="spellStart"/>
      <w:r w:rsidRPr="00843680">
        <w:rPr>
          <w:rFonts w:ascii="Times New Roman" w:hAnsi="Times New Roman" w:cs="Times New Roman"/>
        </w:rPr>
        <w:t>Eturnagaram</w:t>
      </w:r>
      <w:proofErr w:type="spellEnd"/>
      <w:r w:rsidRPr="00843680">
        <w:rPr>
          <w:rFonts w:ascii="Times New Roman" w:hAnsi="Times New Roman" w:cs="Times New Roman"/>
        </w:rPr>
        <w:t xml:space="preserve">, </w:t>
      </w:r>
      <w:proofErr w:type="spellStart"/>
      <w:r w:rsidRPr="00843680">
        <w:rPr>
          <w:rFonts w:ascii="Times New Roman" w:hAnsi="Times New Roman" w:cs="Times New Roman"/>
        </w:rPr>
        <w:t>Tadvai</w:t>
      </w:r>
      <w:proofErr w:type="spellEnd"/>
      <w:r w:rsidRPr="00843680">
        <w:rPr>
          <w:rFonts w:ascii="Times New Roman" w:hAnsi="Times New Roman" w:cs="Times New Roman"/>
        </w:rPr>
        <w:t xml:space="preserve">, and </w:t>
      </w:r>
      <w:proofErr w:type="spellStart"/>
      <w:r w:rsidRPr="00843680">
        <w:rPr>
          <w:rFonts w:ascii="Times New Roman" w:hAnsi="Times New Roman" w:cs="Times New Roman"/>
        </w:rPr>
        <w:t>Pasra</w:t>
      </w:r>
      <w:proofErr w:type="spellEnd"/>
      <w:r w:rsidRPr="00843680">
        <w:rPr>
          <w:rFonts w:ascii="Times New Roman" w:hAnsi="Times New Roman" w:cs="Times New Roman"/>
        </w:rPr>
        <w:t>. Phytosociological attributes including relative density (RD), relative frequency (RF), relative abundance (RA), and Importance Value Index (IVI) were computed for shrub species.</w:t>
      </w:r>
    </w:p>
    <w:p w14:paraId="228BDEA0" w14:textId="434D1E6A"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A total of 19 shrub species comprising 560 individuals were recorded from the study area. The shrub community exhibited Simpson’s dominance index (D) of 0.0752, Shannon–Wiener diversity index (H′) of 2.750, and evenness index (E) of 0.934, indicating moderate species diversity and relatively uniform species distribution</w:t>
      </w:r>
      <w:r w:rsidR="00AF01DE">
        <w:rPr>
          <w:rFonts w:ascii="Times New Roman" w:hAnsi="Times New Roman" w:cs="Times New Roman"/>
        </w:rPr>
        <w:t>,</w:t>
      </w:r>
      <w:r w:rsidR="00AF01DE" w:rsidRPr="00AF01DE">
        <w:t xml:space="preserve"> </w:t>
      </w:r>
      <w:proofErr w:type="gramStart"/>
      <w:r w:rsidR="00AF01DE" w:rsidRPr="00AF01DE">
        <w:rPr>
          <w:rFonts w:ascii="Times New Roman" w:hAnsi="Times New Roman" w:cs="Times New Roman"/>
        </w:rPr>
        <w:t>These</w:t>
      </w:r>
      <w:proofErr w:type="gramEnd"/>
      <w:r w:rsidR="00AF01DE" w:rsidRPr="00AF01DE">
        <w:rPr>
          <w:rFonts w:ascii="Times New Roman" w:hAnsi="Times New Roman" w:cs="Times New Roman"/>
        </w:rPr>
        <w:t xml:space="preserve"> diversity values indicate a structurally stable shrub community comparable to other tropical dry deciduous forests of the Eastern Ghats and Deccan Plateau.</w:t>
      </w:r>
      <w:r w:rsidR="00AF01DE">
        <w:rPr>
          <w:rFonts w:ascii="Times New Roman" w:hAnsi="Times New Roman" w:cs="Times New Roman"/>
        </w:rPr>
        <w:t xml:space="preserve"> </w:t>
      </w:r>
      <w:r w:rsidRPr="00843680">
        <w:rPr>
          <w:rFonts w:ascii="Times New Roman" w:hAnsi="Times New Roman" w:cs="Times New Roman"/>
        </w:rPr>
        <w:t xml:space="preserve">The highest IVI values were recorded for </w:t>
      </w:r>
      <w:proofErr w:type="spellStart"/>
      <w:r w:rsidRPr="00843680">
        <w:rPr>
          <w:rFonts w:ascii="Times New Roman" w:hAnsi="Times New Roman" w:cs="Times New Roman"/>
          <w:i/>
          <w:iCs/>
        </w:rPr>
        <w:t>Barleria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prionitis</w:t>
      </w:r>
      <w:proofErr w:type="spellEnd"/>
      <w:r w:rsidRPr="00843680">
        <w:rPr>
          <w:rFonts w:ascii="Times New Roman" w:hAnsi="Times New Roman" w:cs="Times New Roman"/>
        </w:rPr>
        <w:t xml:space="preserve"> (43.89), followed by </w:t>
      </w:r>
      <w:r w:rsidRPr="00843680">
        <w:rPr>
          <w:rFonts w:ascii="Times New Roman" w:hAnsi="Times New Roman" w:cs="Times New Roman"/>
          <w:i/>
          <w:iCs/>
        </w:rPr>
        <w:t xml:space="preserve">Lantana </w:t>
      </w:r>
      <w:proofErr w:type="spellStart"/>
      <w:r w:rsidRPr="00843680">
        <w:rPr>
          <w:rFonts w:ascii="Times New Roman" w:hAnsi="Times New Roman" w:cs="Times New Roman"/>
          <w:i/>
          <w:iCs/>
        </w:rPr>
        <w:t>camara</w:t>
      </w:r>
      <w:proofErr w:type="spellEnd"/>
      <w:r w:rsidRPr="00843680">
        <w:rPr>
          <w:rFonts w:ascii="Times New Roman" w:hAnsi="Times New Roman" w:cs="Times New Roman"/>
        </w:rPr>
        <w:t xml:space="preserve"> (21.46), </w:t>
      </w:r>
      <w:proofErr w:type="spellStart"/>
      <w:r w:rsidRPr="00843680">
        <w:rPr>
          <w:rFonts w:ascii="Times New Roman" w:hAnsi="Times New Roman" w:cs="Times New Roman"/>
          <w:i/>
          <w:iCs/>
        </w:rPr>
        <w:t>Dodonaea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viscosa</w:t>
      </w:r>
      <w:proofErr w:type="spellEnd"/>
      <w:r w:rsidRPr="00843680">
        <w:rPr>
          <w:rFonts w:ascii="Times New Roman" w:hAnsi="Times New Roman" w:cs="Times New Roman"/>
        </w:rPr>
        <w:t xml:space="preserve"> (20.34), </w:t>
      </w:r>
      <w:proofErr w:type="spellStart"/>
      <w:r w:rsidRPr="00843680">
        <w:rPr>
          <w:rFonts w:ascii="Times New Roman" w:hAnsi="Times New Roman" w:cs="Times New Roman"/>
          <w:i/>
          <w:iCs/>
        </w:rPr>
        <w:t>Randia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dumetorum</w:t>
      </w:r>
      <w:proofErr w:type="spellEnd"/>
      <w:r w:rsidRPr="00843680">
        <w:rPr>
          <w:rFonts w:ascii="Times New Roman" w:hAnsi="Times New Roman" w:cs="Times New Roman"/>
        </w:rPr>
        <w:t xml:space="preserve"> (18.58), and </w:t>
      </w:r>
      <w:r w:rsidRPr="00843680">
        <w:rPr>
          <w:rFonts w:ascii="Times New Roman" w:hAnsi="Times New Roman" w:cs="Times New Roman"/>
          <w:i/>
          <w:iCs/>
        </w:rPr>
        <w:t>Abutilon indicum</w:t>
      </w:r>
      <w:r w:rsidRPr="00843680">
        <w:rPr>
          <w:rFonts w:ascii="Times New Roman" w:hAnsi="Times New Roman" w:cs="Times New Roman"/>
        </w:rPr>
        <w:t xml:space="preserve"> (18.49). The dominance of drought-tolerant and disturbance-adapted shrubs suggests moderate anthropogenic influence and canopy openness typical of tropical dry deciduous forests. The presence of ecologically important species such as </w:t>
      </w:r>
      <w:proofErr w:type="spellStart"/>
      <w:r w:rsidRPr="00843680">
        <w:rPr>
          <w:rFonts w:ascii="Times New Roman" w:hAnsi="Times New Roman" w:cs="Times New Roman"/>
          <w:i/>
          <w:iCs/>
        </w:rPr>
        <w:t>Woodfordia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fruticosa</w:t>
      </w:r>
      <w:proofErr w:type="spellEnd"/>
      <w:r w:rsidRPr="00843680">
        <w:rPr>
          <w:rFonts w:ascii="Times New Roman" w:hAnsi="Times New Roman" w:cs="Times New Roman"/>
        </w:rPr>
        <w:t xml:space="preserve">, </w:t>
      </w:r>
      <w:proofErr w:type="spellStart"/>
      <w:r w:rsidRPr="00843680">
        <w:rPr>
          <w:rFonts w:ascii="Times New Roman" w:hAnsi="Times New Roman" w:cs="Times New Roman"/>
          <w:i/>
          <w:iCs/>
        </w:rPr>
        <w:t>Helicteres</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isora</w:t>
      </w:r>
      <w:proofErr w:type="spellEnd"/>
      <w:r w:rsidRPr="00843680">
        <w:rPr>
          <w:rFonts w:ascii="Times New Roman" w:hAnsi="Times New Roman" w:cs="Times New Roman"/>
        </w:rPr>
        <w:t xml:space="preserve">, and </w:t>
      </w:r>
      <w:r w:rsidRPr="00843680">
        <w:rPr>
          <w:rFonts w:ascii="Times New Roman" w:hAnsi="Times New Roman" w:cs="Times New Roman"/>
          <w:i/>
          <w:iCs/>
        </w:rPr>
        <w:t>Vitex negundo</w:t>
      </w:r>
      <w:r w:rsidRPr="00843680">
        <w:rPr>
          <w:rFonts w:ascii="Times New Roman" w:hAnsi="Times New Roman" w:cs="Times New Roman"/>
        </w:rPr>
        <w:t xml:space="preserve"> further contributes to habitat complexity and ecosystem stability.</w:t>
      </w:r>
    </w:p>
    <w:p w14:paraId="6AE85E17"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Overall, the shrub layer in the sanctuary represents a moderately diverse and structurally stable plant community reflecting secondary successional processes and ecological resilience. The study provides important baseline information for biodiversity conservation, ecosystem monitoring, and sustainable forest management in Eastern Ghats dry deciduous forests.</w:t>
      </w:r>
    </w:p>
    <w:p w14:paraId="6F6E7A82"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b/>
          <w:bCs/>
        </w:rPr>
        <w:t>Keywords:</w:t>
      </w:r>
      <w:r w:rsidRPr="00843680">
        <w:rPr>
          <w:rFonts w:ascii="Times New Roman" w:hAnsi="Times New Roman" w:cs="Times New Roman"/>
        </w:rPr>
        <w:t xml:space="preserve"> Phytosociology, shrub diversity, Importance Value Index, tropical dry deciduous forest, Eastern Ghats, Eturnagaram Wildlife Sanctuary.</w:t>
      </w:r>
    </w:p>
    <w:p w14:paraId="7C5ECBA1" w14:textId="12E6478D" w:rsidR="00843680" w:rsidRDefault="00843680" w:rsidP="00843680">
      <w:pPr>
        <w:spacing w:line="360" w:lineRule="auto"/>
        <w:jc w:val="both"/>
        <w:rPr>
          <w:rFonts w:ascii="Times New Roman" w:hAnsi="Times New Roman" w:cs="Times New Roman"/>
        </w:rPr>
      </w:pPr>
    </w:p>
    <w:p w14:paraId="0B94E49F" w14:textId="77777777" w:rsidR="00843680" w:rsidRPr="00843680" w:rsidRDefault="00843680" w:rsidP="00843680">
      <w:pPr>
        <w:spacing w:line="360" w:lineRule="auto"/>
        <w:jc w:val="both"/>
        <w:rPr>
          <w:rFonts w:ascii="Times New Roman" w:hAnsi="Times New Roman" w:cs="Times New Roman"/>
        </w:rPr>
      </w:pPr>
    </w:p>
    <w:p w14:paraId="5BB6C9CF"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1. Introduction</w:t>
      </w:r>
    </w:p>
    <w:p w14:paraId="0E6900D0"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Vegetation structure is a key determinant of ecosystem composition, productivity, and ecological stability. Forest vegetation is generally stratified into tree, shrub, and herbaceous layers, each performing distinct ecological functions within the ecosystem (Chapin et al., 2011). Among these strata, shrubs represent an intermediate structural component that plays a vital role in regulating nutrient cycling, soil stabilization, microclimate regulation, and regeneration dynamics (Kent, 2012).</w:t>
      </w:r>
    </w:p>
    <w:p w14:paraId="6D50F3A4"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Shrub communities also provide essential ecological services such as habitat formation, food resources, and shelter for numerous faunal groups including insects, birds, and small mammals (Singh &amp; Singh, 2019). In tropical forests, shrubs often facilitate forest regeneration by protecting tree seedlings from herbivory and environmental stress while enhancing soil fertility through litter accumulation (Peh et al., 2015).</w:t>
      </w:r>
    </w:p>
    <w:p w14:paraId="559FD0BD"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Phytosociology provides a quantitative framework for analysing vegetation composition, species dominance, and community structure. Parameters such as density, frequency, abundance, and Importance Value Index (IVI) help determine the ecological significance of species within plant communities (Curtis &amp; McIntosh, 1951). Biodiversity indices such as Simpson’s dominance index, Shannon–Wiener diversity index, and evenness further provide insights into species diversity, dominance patterns, and community stability (Magurran, 2004).</w:t>
      </w:r>
    </w:p>
    <w:p w14:paraId="6F17CDBB"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Tropical dry deciduous forests constitute one of the most widespread forest types in India and are characterized by seasonal leaf shedding, pronounced dry periods, and considerable floristic diversity (Champion &amp; Seth, 1968). However, these ecosystems are highly susceptible to anthropogenic disturbances including grazing, fire, fuelwood extraction, and invasion by exotic species (Murphy &amp; Lugo, 1986; Dash et al., 2009). Such disturbances often alter vegetation composition, particularly within the shrub layer which is highly responsive to environmental changes (Reddy et al., 2011).</w:t>
      </w:r>
    </w:p>
    <w:p w14:paraId="7F3C6E6C"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The Eturnagaram Wildlife Sanctuary represents one of the oldest protected forest landscapes in Telangana and forms part of the Eastern Ghats biogeographic region. The sanctuary supports predominantly tropical dry deciduous and moist deciduous forests characterized by high </w:t>
      </w:r>
      <w:r w:rsidRPr="00843680">
        <w:rPr>
          <w:rFonts w:ascii="Times New Roman" w:hAnsi="Times New Roman" w:cs="Times New Roman"/>
        </w:rPr>
        <w:lastRenderedPageBreak/>
        <w:t>ecological heterogeneity. Despite its ecological importance, detailed quantitative studies on shrub community structure and diversity remain limited in this region.</w:t>
      </w:r>
    </w:p>
    <w:p w14:paraId="60F7F8CF" w14:textId="4397F5B9"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Therefore, the present study was undertaken to analyse the phytosociological structure and diversity of shrub vegetation in Eturnagaram Wildlife Sanctuary.</w:t>
      </w:r>
    </w:p>
    <w:p w14:paraId="241111F1"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 Materials and Methods</w:t>
      </w:r>
    </w:p>
    <w:p w14:paraId="3DE9FDE1"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2.1 Study Area</w:t>
      </w:r>
    </w:p>
    <w:p w14:paraId="54BD6479"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study was conducted in Eturnagaram Wildlife Sanctuary situated in the Eastern Ghats region of Telangana. The sanctuary lies between 18°15′–19°00′ N latitude and 79°45′–80°30′ E longitude and covers an area of approximately 80,615 ha.</w:t>
      </w:r>
    </w:p>
    <w:p w14:paraId="3F9D453B" w14:textId="561DF760"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The terrain consists of undulating plains, hills, valleys, and deep gorges with elevations ranging from 200–450 m above mean sea level. The climate is tropical with hot summers, moderate monsoon rainfall, and mild winters. The region receives an average annual rainfall of 800–1000 mm, mainly during the southwest </w:t>
      </w:r>
      <w:r w:rsidR="00211EB6" w:rsidRPr="00843680">
        <w:rPr>
          <w:rFonts w:ascii="Times New Roman" w:hAnsi="Times New Roman" w:cs="Times New Roman"/>
        </w:rPr>
        <w:t>monsoon. The</w:t>
      </w:r>
      <w:r w:rsidRPr="00843680">
        <w:rPr>
          <w:rFonts w:ascii="Times New Roman" w:hAnsi="Times New Roman" w:cs="Times New Roman"/>
        </w:rPr>
        <w:t xml:space="preserve"> sanctuary is divided into four forest </w:t>
      </w:r>
      <w:proofErr w:type="spellStart"/>
      <w:proofErr w:type="gramStart"/>
      <w:r w:rsidR="00211EB6" w:rsidRPr="00843680">
        <w:rPr>
          <w:rFonts w:ascii="Times New Roman" w:hAnsi="Times New Roman" w:cs="Times New Roman"/>
        </w:rPr>
        <w:t>ranges:NorthEturnagaram</w:t>
      </w:r>
      <w:proofErr w:type="spellEnd"/>
      <w:proofErr w:type="gramEnd"/>
      <w:r w:rsidR="00211EB6">
        <w:rPr>
          <w:rFonts w:ascii="Times New Roman" w:hAnsi="Times New Roman" w:cs="Times New Roman"/>
        </w:rPr>
        <w:t xml:space="preserve">, </w:t>
      </w:r>
      <w:proofErr w:type="spellStart"/>
      <w:r w:rsidR="00211EB6" w:rsidRPr="00843680">
        <w:rPr>
          <w:rFonts w:ascii="Times New Roman" w:hAnsi="Times New Roman" w:cs="Times New Roman"/>
        </w:rPr>
        <w:t>South</w:t>
      </w:r>
      <w:r w:rsidRPr="00843680">
        <w:rPr>
          <w:rFonts w:ascii="Times New Roman" w:hAnsi="Times New Roman" w:cs="Times New Roman"/>
        </w:rPr>
        <w:t>Eturnagaram</w:t>
      </w:r>
      <w:proofErr w:type="spellEnd"/>
      <w:r w:rsidR="00211EB6">
        <w:rPr>
          <w:rFonts w:ascii="Times New Roman" w:hAnsi="Times New Roman" w:cs="Times New Roman"/>
        </w:rPr>
        <w:t xml:space="preserve">, </w:t>
      </w:r>
      <w:proofErr w:type="spellStart"/>
      <w:r w:rsidRPr="00843680">
        <w:rPr>
          <w:rFonts w:ascii="Times New Roman" w:hAnsi="Times New Roman" w:cs="Times New Roman"/>
        </w:rPr>
        <w:t>Tadvai</w:t>
      </w:r>
      <w:proofErr w:type="spellEnd"/>
      <w:r w:rsidR="00211EB6">
        <w:rPr>
          <w:rFonts w:ascii="Times New Roman" w:hAnsi="Times New Roman" w:cs="Times New Roman"/>
        </w:rPr>
        <w:t xml:space="preserve">, </w:t>
      </w:r>
      <w:proofErr w:type="spellStart"/>
      <w:r w:rsidRPr="00843680">
        <w:rPr>
          <w:rFonts w:ascii="Times New Roman" w:hAnsi="Times New Roman" w:cs="Times New Roman"/>
        </w:rPr>
        <w:t>Pasra</w:t>
      </w:r>
      <w:r w:rsidR="00211EB6">
        <w:rPr>
          <w:rFonts w:ascii="Times New Roman" w:hAnsi="Times New Roman" w:cs="Times New Roman"/>
        </w:rPr>
        <w:t>.</w:t>
      </w:r>
      <w:r w:rsidRPr="00843680">
        <w:rPr>
          <w:rFonts w:ascii="Times New Roman" w:hAnsi="Times New Roman" w:cs="Times New Roman"/>
        </w:rPr>
        <w:t>These</w:t>
      </w:r>
      <w:proofErr w:type="spellEnd"/>
      <w:r w:rsidRPr="00843680">
        <w:rPr>
          <w:rFonts w:ascii="Times New Roman" w:hAnsi="Times New Roman" w:cs="Times New Roman"/>
        </w:rPr>
        <w:t xml:space="preserve"> ranges support predominantly tropical dry deciduous forests.</w:t>
      </w:r>
    </w:p>
    <w:p w14:paraId="0F75B517"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2.2 Sampling Design</w:t>
      </w:r>
    </w:p>
    <w:p w14:paraId="6988F713" w14:textId="4C8CB1B1"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Vegetation sampling was conducted using a stratified random sampling method. A total of 100 sampling plots of 0.1 ha (31.62 m × 31.62 m) were established across the</w:t>
      </w:r>
      <w:r w:rsidR="00017FF2">
        <w:rPr>
          <w:rFonts w:ascii="Times New Roman" w:hAnsi="Times New Roman" w:cs="Times New Roman"/>
        </w:rPr>
        <w:t xml:space="preserve"> Sanctuary it </w:t>
      </w:r>
      <w:r w:rsidR="00AF01DE">
        <w:rPr>
          <w:rFonts w:ascii="Times New Roman" w:hAnsi="Times New Roman" w:cs="Times New Roman"/>
        </w:rPr>
        <w:t xml:space="preserve">has </w:t>
      </w:r>
      <w:r w:rsidR="00AF01DE" w:rsidRPr="00843680">
        <w:rPr>
          <w:rFonts w:ascii="Times New Roman" w:hAnsi="Times New Roman" w:cs="Times New Roman"/>
        </w:rPr>
        <w:t>four</w:t>
      </w:r>
      <w:r w:rsidRPr="00843680">
        <w:rPr>
          <w:rFonts w:ascii="Times New Roman" w:hAnsi="Times New Roman" w:cs="Times New Roman"/>
        </w:rPr>
        <w:t xml:space="preserve"> forest ranges. Each range contained 25 plots, representing a sampling intensity of 0.01% of the sanctuary area.</w:t>
      </w:r>
    </w:p>
    <w:p w14:paraId="467B9348"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2.3 Shrub Enumeration</w:t>
      </w:r>
    </w:p>
    <w:p w14:paraId="485B868C" w14:textId="296711C5"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Within each main sampling plot, nested quadrats of 3 m × 3 m were laid along the diagonals for shrub enumeration. All shrub individuals were identified and recorded species-wise.</w:t>
      </w:r>
    </w:p>
    <w:p w14:paraId="7445C5E5"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2.4 Phytosociological Analysis</w:t>
      </w:r>
    </w:p>
    <w:p w14:paraId="33C5D4AF"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Phytosociological parameters were calculated using standard ecological methods (Curtis &amp; McIntosh, 1951; Kent &amp; Coker, 1992).</w:t>
      </w:r>
    </w:p>
    <w:p w14:paraId="477D0608"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following indices were calculated:</w:t>
      </w:r>
    </w:p>
    <w:p w14:paraId="225D2D2F"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Relative Density (RD)</w:t>
      </w:r>
    </w:p>
    <w:p w14:paraId="6B9B3A77"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lastRenderedPageBreak/>
        <w:t>Relative Frequency (RF)</w:t>
      </w:r>
    </w:p>
    <w:p w14:paraId="3D1ED1A1"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Relative Abundance (RA)</w:t>
      </w:r>
    </w:p>
    <w:p w14:paraId="625CE4A1"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Importance Value Index (IVI)</w:t>
      </w:r>
    </w:p>
    <w:p w14:paraId="20BBD7D8"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For shrubs:</w:t>
      </w:r>
    </w:p>
    <w:p w14:paraId="61544DC3" w14:textId="01F7461F" w:rsidR="00843680" w:rsidRPr="00843680" w:rsidRDefault="00843680" w:rsidP="00843680">
      <w:pPr>
        <w:spacing w:line="360" w:lineRule="auto"/>
        <w:jc w:val="both"/>
        <w:rPr>
          <w:rFonts w:ascii="Times New Roman" w:hAnsi="Times New Roman" w:cs="Times New Roman"/>
        </w:rPr>
      </w:pPr>
      <m:oMathPara>
        <m:oMath>
          <m:r>
            <w:rPr>
              <w:rFonts w:ascii="Cambria Math" w:hAnsi="Cambria Math" w:cs="Times New Roman"/>
            </w:rPr>
            <m:t>IVI=RD+RF+RA</m:t>
          </m:r>
          <m:r>
            <m:rPr>
              <m:sty m:val="p"/>
            </m:rPr>
            <w:rPr>
              <w:rFonts w:ascii="Times New Roman" w:hAnsi="Times New Roman" w:cs="Times New Roman"/>
            </w:rPr>
            <w:br/>
          </m:r>
        </m:oMath>
      </m:oMathPara>
    </w:p>
    <w:p w14:paraId="5521ACFE" w14:textId="72218D4D"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Biodiversity indices including Simpson’s dominance index (D), Shannon–Wiener diversity index (H′), and evenness index (E) were also calculated to evaluate shrub community diversity and distribution patterns.</w:t>
      </w:r>
    </w:p>
    <w:p w14:paraId="07F66538"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3. Results</w:t>
      </w:r>
    </w:p>
    <w:p w14:paraId="1295B9C3"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3.1 Shrub Species Composition and Diversity</w:t>
      </w:r>
    </w:p>
    <w:p w14:paraId="31736B15" w14:textId="34F42D0B"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A total of 19 shrub species comprising 560 individuals were recorded from the sampling plots distributed across the four forest ranges of Eturnagaram Wildlife Sanctuary. Shrub vegetation represented 10.16% of the total plant taxa recorded in the sanctuary, indicating its significant contribution to the structural complexity of the forest understory.</w:t>
      </w:r>
    </w:p>
    <w:p w14:paraId="33DFD44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Shrubs play an important ecological role in tropical dry deciduous forests by forming an intermediate vegetation layer between trees and herbs. This layer contributes significantly to habitat diversity, regeneration processes, and soil protection. In the present study, shrub diversity showed moderate species richness, which is typical for dry deciduous forest ecosystems characterized by seasonal drought, canopy openness, and moderate disturbance regimes.</w:t>
      </w:r>
    </w:p>
    <w:p w14:paraId="2CDF84D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shrub community exhibited a Simpson’s dominance index (D) of 0.0752, indicating low dominance and high species heterogeneity within the shrub layer. Lower Simpson values generally indicate that individuals are distributed across multiple species rather than being concentrated in a few dominant taxa. This suggests that the shrub community in the sanctuary is relatively diverse and structurally balanced.</w:t>
      </w:r>
    </w:p>
    <w:p w14:paraId="15F88FF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Similarly, the Shannon–Wiener diversity index (H′) was 2.750, which falls within the range typically reported for shrub vegetation in tropical dry deciduous forests of India. Shannon diversity values between 2.0 and 3.0 generally indicate moderate species diversity with </w:t>
      </w:r>
      <w:r w:rsidRPr="00AF01DE">
        <w:rPr>
          <w:rFonts w:ascii="Times New Roman" w:hAnsi="Times New Roman" w:cs="Times New Roman"/>
        </w:rPr>
        <w:lastRenderedPageBreak/>
        <w:t>considerable heterogeneity. Such diversity levels are often associated with semi-mature forest ecosystems where native species coexist with disturbance-tolerant taxa.</w:t>
      </w:r>
    </w:p>
    <w:p w14:paraId="7BB7B85D"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evenness index (E) of 0.934 indicates that shrub individuals are distributed relatively evenly among the recorded species. High evenness values suggest that no single species dominates the shrub community excessively and that several species share ecological resources within the habitat. This pattern reflects balanced species distribution and relatively stable vegetation structure.</w:t>
      </w:r>
    </w:p>
    <w:p w14:paraId="3ADAB9FB" w14:textId="2B22BC47" w:rsidR="00843680"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Overall, the diversity indices indicate that the shrub vegetation of Eturnagaram Wildlife Sanctuary represents a moderately diverse and structurally well-distributed plant community, reflecting the ecological characteristics of tropical dry deciduous forests of the Eastern Ghats.</w:t>
      </w:r>
    </w:p>
    <w:p w14:paraId="12FF2E5C" w14:textId="5EBE2EEB" w:rsidR="00843680" w:rsidRPr="00843680" w:rsidRDefault="00843680" w:rsidP="00843680">
      <w:pPr>
        <w:rPr>
          <w:rFonts w:ascii="Times New Roman" w:hAnsi="Times New Roman" w:cs="Times New Roman"/>
          <w:b/>
          <w:bCs/>
          <w:sz w:val="28"/>
          <w:szCs w:val="28"/>
        </w:rPr>
      </w:pPr>
      <w:r w:rsidRPr="00843680">
        <w:rPr>
          <w:rFonts w:ascii="Times New Roman" w:hAnsi="Times New Roman" w:cs="Times New Roman"/>
          <w:b/>
          <w:bCs/>
          <w:sz w:val="28"/>
          <w:szCs w:val="28"/>
        </w:rPr>
        <w:t xml:space="preserve">3.2 Importance Value Index (IVI) of Shrubs </w:t>
      </w:r>
      <w:r w:rsidRPr="00843680">
        <w:rPr>
          <w:rFonts w:ascii="Times New Roman" w:eastAsia="Times New Roman" w:hAnsi="Times New Roman" w:cs="Times New Roman"/>
          <w:b/>
          <w:kern w:val="0"/>
          <w:sz w:val="28"/>
          <w:szCs w:val="28"/>
          <w:lang w:val="en-US"/>
          <w14:ligatures w14:val="none"/>
        </w:rPr>
        <w:t>in the Eturnagaram wildlife sanctuary.</w:t>
      </w:r>
    </w:p>
    <w:tbl>
      <w:tblPr>
        <w:tblW w:w="901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3948"/>
        <w:gridCol w:w="1062"/>
        <w:gridCol w:w="923"/>
        <w:gridCol w:w="1183"/>
        <w:gridCol w:w="942"/>
      </w:tblGrid>
      <w:tr w:rsidR="00843680" w:rsidRPr="00843680" w14:paraId="38E3D9D1" w14:textId="77777777" w:rsidTr="00AF01DE">
        <w:trPr>
          <w:trHeight w:val="827"/>
        </w:trPr>
        <w:tc>
          <w:tcPr>
            <w:tcW w:w="955" w:type="dxa"/>
          </w:tcPr>
          <w:p w14:paraId="62A23A2A"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 xml:space="preserve">S. </w:t>
            </w:r>
            <w:r w:rsidRPr="00843680">
              <w:rPr>
                <w:rFonts w:ascii="Times New Roman" w:eastAsia="Times New Roman" w:hAnsi="Times New Roman" w:cs="Times New Roman"/>
                <w:b/>
                <w:spacing w:val="-5"/>
                <w:kern w:val="0"/>
                <w:sz w:val="26"/>
                <w:szCs w:val="26"/>
                <w:lang w:val="en-US"/>
                <w14:ligatures w14:val="none"/>
              </w:rPr>
              <w:t>No</w:t>
            </w:r>
          </w:p>
        </w:tc>
        <w:tc>
          <w:tcPr>
            <w:tcW w:w="3948" w:type="dxa"/>
          </w:tcPr>
          <w:p w14:paraId="049E46B0"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2"/>
                <w:kern w:val="0"/>
                <w:sz w:val="26"/>
                <w:szCs w:val="26"/>
                <w:lang w:val="en-US"/>
                <w14:ligatures w14:val="none"/>
              </w:rPr>
              <w:t>Species</w:t>
            </w:r>
          </w:p>
        </w:tc>
        <w:tc>
          <w:tcPr>
            <w:tcW w:w="1062" w:type="dxa"/>
          </w:tcPr>
          <w:p w14:paraId="470A70DB"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RD</w:t>
            </w:r>
            <w:r w:rsidRPr="00843680">
              <w:rPr>
                <w:rFonts w:ascii="Times New Roman" w:eastAsia="Times New Roman" w:hAnsi="Times New Roman" w:cs="Times New Roman"/>
                <w:b/>
                <w:spacing w:val="-2"/>
                <w:kern w:val="0"/>
                <w:sz w:val="26"/>
                <w:szCs w:val="26"/>
                <w:lang w:val="en-US"/>
                <w14:ligatures w14:val="none"/>
              </w:rPr>
              <w:t xml:space="preserve"> </w:t>
            </w:r>
            <w:r w:rsidRPr="00843680">
              <w:rPr>
                <w:rFonts w:ascii="Times New Roman" w:eastAsia="Times New Roman" w:hAnsi="Times New Roman" w:cs="Times New Roman"/>
                <w:b/>
                <w:spacing w:val="-5"/>
                <w:kern w:val="0"/>
                <w:sz w:val="26"/>
                <w:szCs w:val="26"/>
                <w:lang w:val="en-US"/>
                <w14:ligatures w14:val="none"/>
              </w:rPr>
              <w:t>(%)</w:t>
            </w:r>
          </w:p>
        </w:tc>
        <w:tc>
          <w:tcPr>
            <w:tcW w:w="923" w:type="dxa"/>
          </w:tcPr>
          <w:p w14:paraId="76984DC2"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RF</w:t>
            </w:r>
          </w:p>
          <w:p w14:paraId="4BEC0143" w14:textId="77777777" w:rsidR="00843680" w:rsidRPr="00843680" w:rsidRDefault="00843680" w:rsidP="00843680">
            <w:pPr>
              <w:widowControl w:val="0"/>
              <w:autoSpaceDE w:val="0"/>
              <w:autoSpaceDN w:val="0"/>
              <w:spacing w:before="139" w:after="0" w:line="240" w:lineRule="auto"/>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w:t>
            </w:r>
          </w:p>
        </w:tc>
        <w:tc>
          <w:tcPr>
            <w:tcW w:w="1183" w:type="dxa"/>
          </w:tcPr>
          <w:p w14:paraId="37F955DC"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RA</w:t>
            </w:r>
            <w:r w:rsidRPr="00843680">
              <w:rPr>
                <w:rFonts w:ascii="Times New Roman" w:eastAsia="Times New Roman" w:hAnsi="Times New Roman" w:cs="Times New Roman"/>
                <w:b/>
                <w:spacing w:val="-14"/>
                <w:kern w:val="0"/>
                <w:sz w:val="26"/>
                <w:szCs w:val="26"/>
                <w:lang w:val="en-US"/>
                <w14:ligatures w14:val="none"/>
              </w:rPr>
              <w:t xml:space="preserve"> </w:t>
            </w:r>
            <w:r w:rsidRPr="00843680">
              <w:rPr>
                <w:rFonts w:ascii="Times New Roman" w:eastAsia="Times New Roman" w:hAnsi="Times New Roman" w:cs="Times New Roman"/>
                <w:b/>
                <w:spacing w:val="-5"/>
                <w:kern w:val="0"/>
                <w:sz w:val="26"/>
                <w:szCs w:val="26"/>
                <w:lang w:val="en-US"/>
                <w14:ligatures w14:val="none"/>
              </w:rPr>
              <w:t>(%)</w:t>
            </w:r>
          </w:p>
        </w:tc>
        <w:tc>
          <w:tcPr>
            <w:tcW w:w="942" w:type="dxa"/>
          </w:tcPr>
          <w:p w14:paraId="735FAFB0"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IVI</w:t>
            </w:r>
          </w:p>
        </w:tc>
      </w:tr>
      <w:tr w:rsidR="00843680" w:rsidRPr="00843680" w14:paraId="130DAB82" w14:textId="77777777" w:rsidTr="00AF01DE">
        <w:trPr>
          <w:trHeight w:val="414"/>
        </w:trPr>
        <w:tc>
          <w:tcPr>
            <w:tcW w:w="955" w:type="dxa"/>
          </w:tcPr>
          <w:p w14:paraId="1827E98A"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1</w:t>
            </w:r>
          </w:p>
        </w:tc>
        <w:tc>
          <w:tcPr>
            <w:tcW w:w="3948" w:type="dxa"/>
          </w:tcPr>
          <w:p w14:paraId="4E3718F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Abutilon</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indicum</w:t>
            </w:r>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2"/>
                <w:kern w:val="0"/>
                <w:sz w:val="26"/>
                <w:szCs w:val="26"/>
                <w:lang w:val="en-US"/>
                <w14:ligatures w14:val="none"/>
              </w:rPr>
              <w:t xml:space="preserve"> Sweet</w:t>
            </w:r>
          </w:p>
        </w:tc>
        <w:tc>
          <w:tcPr>
            <w:tcW w:w="1062" w:type="dxa"/>
          </w:tcPr>
          <w:p w14:paraId="32C5A0A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7.321</w:t>
            </w:r>
          </w:p>
        </w:tc>
        <w:tc>
          <w:tcPr>
            <w:tcW w:w="923" w:type="dxa"/>
          </w:tcPr>
          <w:p w14:paraId="62B1409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6.696</w:t>
            </w:r>
          </w:p>
        </w:tc>
        <w:tc>
          <w:tcPr>
            <w:tcW w:w="1183" w:type="dxa"/>
          </w:tcPr>
          <w:p w14:paraId="4506FE5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4.467</w:t>
            </w:r>
          </w:p>
        </w:tc>
        <w:tc>
          <w:tcPr>
            <w:tcW w:w="942" w:type="dxa"/>
          </w:tcPr>
          <w:p w14:paraId="3857957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18.485</w:t>
            </w:r>
          </w:p>
        </w:tc>
      </w:tr>
      <w:tr w:rsidR="00843680" w:rsidRPr="00843680" w14:paraId="02662A69" w14:textId="77777777" w:rsidTr="00AF01DE">
        <w:trPr>
          <w:trHeight w:val="414"/>
        </w:trPr>
        <w:tc>
          <w:tcPr>
            <w:tcW w:w="955" w:type="dxa"/>
          </w:tcPr>
          <w:p w14:paraId="0E795353"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2</w:t>
            </w:r>
          </w:p>
        </w:tc>
        <w:tc>
          <w:tcPr>
            <w:tcW w:w="3948" w:type="dxa"/>
          </w:tcPr>
          <w:p w14:paraId="5F7E5A5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Asparagus</w:t>
            </w:r>
            <w:r w:rsidRPr="00843680">
              <w:rPr>
                <w:rFonts w:ascii="Times New Roman" w:eastAsia="Times New Roman" w:hAnsi="Times New Roman" w:cs="Times New Roman"/>
                <w:i/>
                <w:spacing w:val="-9"/>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racemosus</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Willd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0D5D79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1.964</w:t>
            </w:r>
          </w:p>
        </w:tc>
        <w:tc>
          <w:tcPr>
            <w:tcW w:w="923" w:type="dxa"/>
          </w:tcPr>
          <w:p w14:paraId="55F7DF5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2.232</w:t>
            </w:r>
          </w:p>
        </w:tc>
        <w:tc>
          <w:tcPr>
            <w:tcW w:w="1183" w:type="dxa"/>
          </w:tcPr>
          <w:p w14:paraId="213F435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3.595</w:t>
            </w:r>
          </w:p>
        </w:tc>
        <w:tc>
          <w:tcPr>
            <w:tcW w:w="942" w:type="dxa"/>
          </w:tcPr>
          <w:p w14:paraId="1306AEA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7.792</w:t>
            </w:r>
          </w:p>
        </w:tc>
      </w:tr>
      <w:tr w:rsidR="00843680" w:rsidRPr="00843680" w14:paraId="6A8E638B" w14:textId="77777777" w:rsidTr="00AF01DE">
        <w:trPr>
          <w:trHeight w:val="412"/>
        </w:trPr>
        <w:tc>
          <w:tcPr>
            <w:tcW w:w="955" w:type="dxa"/>
          </w:tcPr>
          <w:p w14:paraId="2475C26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3</w:t>
            </w:r>
          </w:p>
        </w:tc>
        <w:tc>
          <w:tcPr>
            <w:tcW w:w="3948" w:type="dxa"/>
          </w:tcPr>
          <w:p w14:paraId="54AFD57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Barleria</w:t>
            </w:r>
            <w:proofErr w:type="spellEnd"/>
            <w:r w:rsidRPr="00843680">
              <w:rPr>
                <w:rFonts w:ascii="Times New Roman" w:eastAsia="Times New Roman" w:hAnsi="Times New Roman" w:cs="Times New Roman"/>
                <w:i/>
                <w:spacing w:val="-1"/>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prionitis</w:t>
            </w:r>
            <w:proofErr w:type="spellEnd"/>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789D243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15.893</w:t>
            </w:r>
          </w:p>
        </w:tc>
        <w:tc>
          <w:tcPr>
            <w:tcW w:w="923" w:type="dxa"/>
          </w:tcPr>
          <w:p w14:paraId="3F83916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25.446</w:t>
            </w:r>
          </w:p>
        </w:tc>
        <w:tc>
          <w:tcPr>
            <w:tcW w:w="1183" w:type="dxa"/>
          </w:tcPr>
          <w:p w14:paraId="356EB9A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2.552</w:t>
            </w:r>
          </w:p>
        </w:tc>
        <w:tc>
          <w:tcPr>
            <w:tcW w:w="942" w:type="dxa"/>
          </w:tcPr>
          <w:p w14:paraId="73D5C25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43.891</w:t>
            </w:r>
          </w:p>
        </w:tc>
      </w:tr>
      <w:tr w:rsidR="00843680" w:rsidRPr="00843680" w14:paraId="51A49AED" w14:textId="77777777" w:rsidTr="00AF01DE">
        <w:trPr>
          <w:trHeight w:val="415"/>
        </w:trPr>
        <w:tc>
          <w:tcPr>
            <w:tcW w:w="955" w:type="dxa"/>
          </w:tcPr>
          <w:p w14:paraId="738DABC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4</w:t>
            </w:r>
          </w:p>
        </w:tc>
        <w:tc>
          <w:tcPr>
            <w:tcW w:w="3948" w:type="dxa"/>
          </w:tcPr>
          <w:p w14:paraId="1D03DACB"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Calotropis</w:t>
            </w:r>
            <w:r w:rsidRPr="00843680">
              <w:rPr>
                <w:rFonts w:ascii="Times New Roman" w:eastAsia="Times New Roman" w:hAnsi="Times New Roman" w:cs="Times New Roman"/>
                <w:i/>
                <w:spacing w:val="-6"/>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gigantea</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5"/>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Dryand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37ED6DF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3.393</w:t>
            </w:r>
          </w:p>
        </w:tc>
        <w:tc>
          <w:tcPr>
            <w:tcW w:w="923" w:type="dxa"/>
          </w:tcPr>
          <w:p w14:paraId="2AA197B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1.786</w:t>
            </w:r>
          </w:p>
        </w:tc>
        <w:tc>
          <w:tcPr>
            <w:tcW w:w="1183" w:type="dxa"/>
          </w:tcPr>
          <w:p w14:paraId="14463DA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7.763</w:t>
            </w:r>
          </w:p>
        </w:tc>
        <w:tc>
          <w:tcPr>
            <w:tcW w:w="942" w:type="dxa"/>
          </w:tcPr>
          <w:p w14:paraId="65B7A79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12.942</w:t>
            </w:r>
          </w:p>
        </w:tc>
      </w:tr>
      <w:tr w:rsidR="00843680" w:rsidRPr="00843680" w14:paraId="5A704399" w14:textId="77777777" w:rsidTr="00AF01DE">
        <w:trPr>
          <w:trHeight w:val="414"/>
        </w:trPr>
        <w:tc>
          <w:tcPr>
            <w:tcW w:w="955" w:type="dxa"/>
          </w:tcPr>
          <w:p w14:paraId="32D85ED9"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5</w:t>
            </w:r>
          </w:p>
        </w:tc>
        <w:tc>
          <w:tcPr>
            <w:tcW w:w="3948" w:type="dxa"/>
          </w:tcPr>
          <w:p w14:paraId="31BB822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Calotropis</w:t>
            </w:r>
            <w:r w:rsidRPr="00843680">
              <w:rPr>
                <w:rFonts w:ascii="Times New Roman" w:eastAsia="Times New Roman" w:hAnsi="Times New Roman" w:cs="Times New Roman"/>
                <w:i/>
                <w:spacing w:val="-11"/>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procera</w:t>
            </w:r>
            <w:proofErr w:type="spellEnd"/>
            <w:r w:rsidRPr="00843680">
              <w:rPr>
                <w:rFonts w:ascii="Times New Roman" w:eastAsia="Times New Roman" w:hAnsi="Times New Roman" w:cs="Times New Roman"/>
                <w:i/>
                <w:spacing w:val="-8"/>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w:t>
            </w:r>
            <w:proofErr w:type="spellStart"/>
            <w:r w:rsidRPr="00843680">
              <w:rPr>
                <w:rFonts w:ascii="Times New Roman" w:eastAsia="Times New Roman" w:hAnsi="Times New Roman" w:cs="Times New Roman"/>
                <w:kern w:val="0"/>
                <w:sz w:val="26"/>
                <w:szCs w:val="26"/>
                <w:lang w:val="en-US"/>
                <w14:ligatures w14:val="none"/>
              </w:rPr>
              <w:t>Aiton</w:t>
            </w:r>
            <w:proofErr w:type="spellEnd"/>
            <w:r w:rsidRPr="00843680">
              <w:rPr>
                <w:rFonts w:ascii="Times New Roman" w:eastAsia="Times New Roman" w:hAnsi="Times New Roman" w:cs="Times New Roman"/>
                <w:kern w:val="0"/>
                <w:sz w:val="26"/>
                <w:szCs w:val="26"/>
                <w:lang w:val="en-US"/>
                <w14:ligatures w14:val="none"/>
              </w:rPr>
              <w:t>)</w:t>
            </w:r>
            <w:r w:rsidRPr="00843680">
              <w:rPr>
                <w:rFonts w:ascii="Times New Roman" w:eastAsia="Times New Roman" w:hAnsi="Times New Roman" w:cs="Times New Roman"/>
                <w:spacing w:val="-9"/>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Dryand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017BD08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3.214</w:t>
            </w:r>
          </w:p>
        </w:tc>
        <w:tc>
          <w:tcPr>
            <w:tcW w:w="923" w:type="dxa"/>
          </w:tcPr>
          <w:p w14:paraId="05FCA3A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1.339</w:t>
            </w:r>
          </w:p>
        </w:tc>
        <w:tc>
          <w:tcPr>
            <w:tcW w:w="1183" w:type="dxa"/>
          </w:tcPr>
          <w:p w14:paraId="481E8C1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9.806</w:t>
            </w:r>
          </w:p>
        </w:tc>
        <w:tc>
          <w:tcPr>
            <w:tcW w:w="942" w:type="dxa"/>
          </w:tcPr>
          <w:p w14:paraId="56F0441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14.359</w:t>
            </w:r>
          </w:p>
        </w:tc>
      </w:tr>
      <w:tr w:rsidR="00843680" w:rsidRPr="00843680" w14:paraId="43E15324" w14:textId="77777777" w:rsidTr="00AF01DE">
        <w:trPr>
          <w:trHeight w:val="827"/>
        </w:trPr>
        <w:tc>
          <w:tcPr>
            <w:tcW w:w="955" w:type="dxa"/>
          </w:tcPr>
          <w:p w14:paraId="1FDE355A"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6</w:t>
            </w:r>
          </w:p>
        </w:tc>
        <w:tc>
          <w:tcPr>
            <w:tcW w:w="3948" w:type="dxa"/>
          </w:tcPr>
          <w:p w14:paraId="2AB17F5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Canthium</w:t>
            </w:r>
            <w:proofErr w:type="spellEnd"/>
            <w:r w:rsidRPr="00843680">
              <w:rPr>
                <w:rFonts w:ascii="Times New Roman" w:eastAsia="Times New Roman" w:hAnsi="Times New Roman" w:cs="Times New Roman"/>
                <w:i/>
                <w:spacing w:val="-9"/>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coromandelicum</w:t>
            </w:r>
            <w:proofErr w:type="spellEnd"/>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spacing w:val="-2"/>
                <w:kern w:val="0"/>
                <w:sz w:val="26"/>
                <w:szCs w:val="26"/>
                <w:lang w:val="en-US"/>
                <w14:ligatures w14:val="none"/>
              </w:rPr>
              <w:t>(</w:t>
            </w:r>
            <w:proofErr w:type="spellStart"/>
            <w:r w:rsidRPr="00843680">
              <w:rPr>
                <w:rFonts w:ascii="Times New Roman" w:eastAsia="Times New Roman" w:hAnsi="Times New Roman" w:cs="Times New Roman"/>
                <w:spacing w:val="-2"/>
                <w:kern w:val="0"/>
                <w:sz w:val="26"/>
                <w:szCs w:val="26"/>
                <w:lang w:val="en-US"/>
                <w14:ligatures w14:val="none"/>
              </w:rPr>
              <w:t>Burm.f</w:t>
            </w:r>
            <w:proofErr w:type="spellEnd"/>
            <w:r w:rsidRPr="00843680">
              <w:rPr>
                <w:rFonts w:ascii="Times New Roman" w:eastAsia="Times New Roman" w:hAnsi="Times New Roman" w:cs="Times New Roman"/>
                <w:spacing w:val="-2"/>
                <w:kern w:val="0"/>
                <w:sz w:val="26"/>
                <w:szCs w:val="26"/>
                <w:lang w:val="en-US"/>
                <w14:ligatures w14:val="none"/>
              </w:rPr>
              <w:t>.)</w:t>
            </w:r>
          </w:p>
          <w:p w14:paraId="766EBE36" w14:textId="77777777" w:rsidR="00843680" w:rsidRPr="00843680" w:rsidRDefault="00843680" w:rsidP="00F06620">
            <w:pPr>
              <w:widowControl w:val="0"/>
              <w:autoSpaceDE w:val="0"/>
              <w:autoSpaceDN w:val="0"/>
              <w:spacing w:before="137"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Alston</w:t>
            </w:r>
          </w:p>
        </w:tc>
        <w:tc>
          <w:tcPr>
            <w:tcW w:w="1062" w:type="dxa"/>
          </w:tcPr>
          <w:p w14:paraId="118411C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4.464</w:t>
            </w:r>
          </w:p>
        </w:tc>
        <w:tc>
          <w:tcPr>
            <w:tcW w:w="923" w:type="dxa"/>
          </w:tcPr>
          <w:p w14:paraId="12AA07E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4.464</w:t>
            </w:r>
          </w:p>
        </w:tc>
        <w:tc>
          <w:tcPr>
            <w:tcW w:w="1183" w:type="dxa"/>
          </w:tcPr>
          <w:p w14:paraId="1FFF281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4.086</w:t>
            </w:r>
          </w:p>
        </w:tc>
        <w:tc>
          <w:tcPr>
            <w:tcW w:w="942" w:type="dxa"/>
          </w:tcPr>
          <w:p w14:paraId="1AB243D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13.014</w:t>
            </w:r>
          </w:p>
        </w:tc>
      </w:tr>
      <w:tr w:rsidR="00843680" w:rsidRPr="00843680" w14:paraId="6301C681" w14:textId="77777777" w:rsidTr="00AF01DE">
        <w:trPr>
          <w:trHeight w:val="412"/>
        </w:trPr>
        <w:tc>
          <w:tcPr>
            <w:tcW w:w="955" w:type="dxa"/>
          </w:tcPr>
          <w:p w14:paraId="363F633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7</w:t>
            </w:r>
          </w:p>
        </w:tc>
        <w:tc>
          <w:tcPr>
            <w:tcW w:w="3948" w:type="dxa"/>
          </w:tcPr>
          <w:p w14:paraId="38CE3EB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Carissa</w:t>
            </w:r>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spinarum</w:t>
            </w:r>
            <w:proofErr w:type="spellEnd"/>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5B482D5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3.036</w:t>
            </w:r>
          </w:p>
        </w:tc>
        <w:tc>
          <w:tcPr>
            <w:tcW w:w="923" w:type="dxa"/>
          </w:tcPr>
          <w:p w14:paraId="7AFF89E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1.339</w:t>
            </w:r>
          </w:p>
        </w:tc>
        <w:tc>
          <w:tcPr>
            <w:tcW w:w="1183" w:type="dxa"/>
          </w:tcPr>
          <w:p w14:paraId="3859C74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9.261</w:t>
            </w:r>
          </w:p>
        </w:tc>
        <w:tc>
          <w:tcPr>
            <w:tcW w:w="942" w:type="dxa"/>
          </w:tcPr>
          <w:p w14:paraId="673E7B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13.636</w:t>
            </w:r>
          </w:p>
        </w:tc>
      </w:tr>
      <w:tr w:rsidR="00843680" w:rsidRPr="00843680" w14:paraId="78BC7F89" w14:textId="77777777" w:rsidTr="00AF01DE">
        <w:trPr>
          <w:trHeight w:val="414"/>
        </w:trPr>
        <w:tc>
          <w:tcPr>
            <w:tcW w:w="955" w:type="dxa"/>
          </w:tcPr>
          <w:p w14:paraId="5629275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8</w:t>
            </w:r>
          </w:p>
        </w:tc>
        <w:tc>
          <w:tcPr>
            <w:tcW w:w="3948" w:type="dxa"/>
          </w:tcPr>
          <w:p w14:paraId="03D724B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Dodonaea</w:t>
            </w:r>
            <w:proofErr w:type="spellEnd"/>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viscosa</w:t>
            </w:r>
            <w:proofErr w:type="spellEnd"/>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Jacq.</w:t>
            </w:r>
          </w:p>
        </w:tc>
        <w:tc>
          <w:tcPr>
            <w:tcW w:w="1062" w:type="dxa"/>
          </w:tcPr>
          <w:p w14:paraId="6FA7B6A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8.393</w:t>
            </w:r>
          </w:p>
        </w:tc>
        <w:tc>
          <w:tcPr>
            <w:tcW w:w="923" w:type="dxa"/>
          </w:tcPr>
          <w:p w14:paraId="1017E7E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7.143</w:t>
            </w:r>
          </w:p>
        </w:tc>
        <w:tc>
          <w:tcPr>
            <w:tcW w:w="1183" w:type="dxa"/>
          </w:tcPr>
          <w:p w14:paraId="0028A03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4.801</w:t>
            </w:r>
          </w:p>
        </w:tc>
        <w:tc>
          <w:tcPr>
            <w:tcW w:w="942" w:type="dxa"/>
          </w:tcPr>
          <w:p w14:paraId="3196941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20.337</w:t>
            </w:r>
          </w:p>
        </w:tc>
      </w:tr>
      <w:tr w:rsidR="00843680" w:rsidRPr="00843680" w14:paraId="708BA843" w14:textId="77777777" w:rsidTr="00AF01DE">
        <w:trPr>
          <w:trHeight w:val="414"/>
        </w:trPr>
        <w:tc>
          <w:tcPr>
            <w:tcW w:w="955" w:type="dxa"/>
          </w:tcPr>
          <w:p w14:paraId="7275AE0B"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9</w:t>
            </w:r>
          </w:p>
        </w:tc>
        <w:tc>
          <w:tcPr>
            <w:tcW w:w="3948" w:type="dxa"/>
          </w:tcPr>
          <w:p w14:paraId="27A2BED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Helicteres</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isora</w:t>
            </w:r>
            <w:proofErr w:type="spellEnd"/>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297F94F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6.071</w:t>
            </w:r>
          </w:p>
        </w:tc>
        <w:tc>
          <w:tcPr>
            <w:tcW w:w="923" w:type="dxa"/>
          </w:tcPr>
          <w:p w14:paraId="1E82D2A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4.018</w:t>
            </w:r>
          </w:p>
        </w:tc>
        <w:tc>
          <w:tcPr>
            <w:tcW w:w="1183" w:type="dxa"/>
          </w:tcPr>
          <w:p w14:paraId="1BD7FB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6.174</w:t>
            </w:r>
          </w:p>
        </w:tc>
        <w:tc>
          <w:tcPr>
            <w:tcW w:w="942" w:type="dxa"/>
          </w:tcPr>
          <w:p w14:paraId="47C520E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16.263</w:t>
            </w:r>
          </w:p>
        </w:tc>
      </w:tr>
      <w:tr w:rsidR="00843680" w:rsidRPr="00843680" w14:paraId="77B8D071" w14:textId="77777777" w:rsidTr="00AF01DE">
        <w:trPr>
          <w:trHeight w:val="412"/>
        </w:trPr>
        <w:tc>
          <w:tcPr>
            <w:tcW w:w="955" w:type="dxa"/>
          </w:tcPr>
          <w:p w14:paraId="38C2FF96"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10</w:t>
            </w:r>
          </w:p>
        </w:tc>
        <w:tc>
          <w:tcPr>
            <w:tcW w:w="3948" w:type="dxa"/>
          </w:tcPr>
          <w:p w14:paraId="2BD3F10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Lantana</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 xml:space="preserve">camara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7CD2D46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9.107</w:t>
            </w:r>
          </w:p>
        </w:tc>
        <w:tc>
          <w:tcPr>
            <w:tcW w:w="923" w:type="dxa"/>
          </w:tcPr>
          <w:p w14:paraId="3F2BC0C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7.143</w:t>
            </w:r>
          </w:p>
        </w:tc>
        <w:tc>
          <w:tcPr>
            <w:tcW w:w="1183" w:type="dxa"/>
          </w:tcPr>
          <w:p w14:paraId="0C90274E"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5.209</w:t>
            </w:r>
          </w:p>
        </w:tc>
        <w:tc>
          <w:tcPr>
            <w:tcW w:w="942" w:type="dxa"/>
          </w:tcPr>
          <w:p w14:paraId="1140A2F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21.459</w:t>
            </w:r>
          </w:p>
        </w:tc>
      </w:tr>
      <w:tr w:rsidR="00843680" w:rsidRPr="00843680" w14:paraId="40DE12AA" w14:textId="77777777" w:rsidTr="00AF01DE">
        <w:trPr>
          <w:trHeight w:val="414"/>
        </w:trPr>
        <w:tc>
          <w:tcPr>
            <w:tcW w:w="955" w:type="dxa"/>
          </w:tcPr>
          <w:p w14:paraId="082182C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11</w:t>
            </w:r>
          </w:p>
        </w:tc>
        <w:tc>
          <w:tcPr>
            <w:tcW w:w="3948" w:type="dxa"/>
          </w:tcPr>
          <w:p w14:paraId="08A2CC5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Opuntia</w:t>
            </w:r>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stricta</w:t>
            </w:r>
            <w:r w:rsidRPr="00843680">
              <w:rPr>
                <w:rFonts w:ascii="Times New Roman" w:eastAsia="Times New Roman" w:hAnsi="Times New Roman" w:cs="Times New Roman"/>
                <w:i/>
                <w:spacing w:val="-5"/>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(Haw.)</w:t>
            </w:r>
            <w:r w:rsidRPr="00843680">
              <w:rPr>
                <w:rFonts w:ascii="Times New Roman" w:eastAsia="Times New Roman" w:hAnsi="Times New Roman" w:cs="Times New Roman"/>
                <w:spacing w:val="-6"/>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Haw.</w:t>
            </w:r>
          </w:p>
        </w:tc>
        <w:tc>
          <w:tcPr>
            <w:tcW w:w="1062" w:type="dxa"/>
          </w:tcPr>
          <w:p w14:paraId="6886A48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2.857</w:t>
            </w:r>
          </w:p>
        </w:tc>
        <w:tc>
          <w:tcPr>
            <w:tcW w:w="923" w:type="dxa"/>
          </w:tcPr>
          <w:p w14:paraId="10620D2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1.786</w:t>
            </w:r>
          </w:p>
        </w:tc>
        <w:tc>
          <w:tcPr>
            <w:tcW w:w="1183" w:type="dxa"/>
          </w:tcPr>
          <w:p w14:paraId="1CA0848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6.537</w:t>
            </w:r>
          </w:p>
        </w:tc>
        <w:tc>
          <w:tcPr>
            <w:tcW w:w="942" w:type="dxa"/>
          </w:tcPr>
          <w:p w14:paraId="5508778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11.18</w:t>
            </w:r>
          </w:p>
        </w:tc>
      </w:tr>
      <w:tr w:rsidR="00843680" w:rsidRPr="00843680" w14:paraId="601EAAB6" w14:textId="77777777" w:rsidTr="00AF01DE">
        <w:trPr>
          <w:trHeight w:val="415"/>
        </w:trPr>
        <w:tc>
          <w:tcPr>
            <w:tcW w:w="955" w:type="dxa"/>
          </w:tcPr>
          <w:p w14:paraId="227EEC6F"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12</w:t>
            </w:r>
          </w:p>
        </w:tc>
        <w:tc>
          <w:tcPr>
            <w:tcW w:w="3948" w:type="dxa"/>
          </w:tcPr>
          <w:p w14:paraId="7A412EA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Pavonia</w:t>
            </w:r>
            <w:proofErr w:type="spellEnd"/>
            <w:r w:rsidRPr="00843680">
              <w:rPr>
                <w:rFonts w:ascii="Times New Roman" w:eastAsia="Times New Roman" w:hAnsi="Times New Roman" w:cs="Times New Roman"/>
                <w:i/>
                <w:spacing w:val="-2"/>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zeylanica</w:t>
            </w:r>
            <w:proofErr w:type="spellEnd"/>
            <w:r w:rsidRPr="00843680">
              <w:rPr>
                <w:rFonts w:ascii="Times New Roman" w:eastAsia="Times New Roman" w:hAnsi="Times New Roman" w:cs="Times New Roman"/>
                <w:i/>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Cav.</w:t>
            </w:r>
          </w:p>
        </w:tc>
        <w:tc>
          <w:tcPr>
            <w:tcW w:w="1062" w:type="dxa"/>
          </w:tcPr>
          <w:p w14:paraId="31A7655B"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5.179</w:t>
            </w:r>
          </w:p>
        </w:tc>
        <w:tc>
          <w:tcPr>
            <w:tcW w:w="923" w:type="dxa"/>
          </w:tcPr>
          <w:p w14:paraId="7DE81FC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8.929</w:t>
            </w:r>
          </w:p>
        </w:tc>
        <w:tc>
          <w:tcPr>
            <w:tcW w:w="1183" w:type="dxa"/>
          </w:tcPr>
          <w:p w14:paraId="4D193A8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2.37</w:t>
            </w:r>
          </w:p>
        </w:tc>
        <w:tc>
          <w:tcPr>
            <w:tcW w:w="942" w:type="dxa"/>
          </w:tcPr>
          <w:p w14:paraId="5BE7A12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16.477</w:t>
            </w:r>
          </w:p>
        </w:tc>
      </w:tr>
      <w:tr w:rsidR="00843680" w:rsidRPr="00843680" w14:paraId="7603DE9C" w14:textId="77777777" w:rsidTr="00AF01DE">
        <w:trPr>
          <w:trHeight w:val="412"/>
        </w:trPr>
        <w:tc>
          <w:tcPr>
            <w:tcW w:w="955" w:type="dxa"/>
          </w:tcPr>
          <w:p w14:paraId="1387FBE2"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13</w:t>
            </w:r>
          </w:p>
        </w:tc>
        <w:tc>
          <w:tcPr>
            <w:tcW w:w="3948" w:type="dxa"/>
          </w:tcPr>
          <w:p w14:paraId="62D6D8E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Phyllanthus</w:t>
            </w:r>
            <w:r w:rsidRPr="00843680">
              <w:rPr>
                <w:rFonts w:ascii="Times New Roman" w:eastAsia="Times New Roman" w:hAnsi="Times New Roman" w:cs="Times New Roman"/>
                <w:i/>
                <w:spacing w:val="-8"/>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variegatus</w:t>
            </w:r>
            <w:r w:rsidRPr="00843680">
              <w:rPr>
                <w:rFonts w:ascii="Times New Roman" w:eastAsia="Times New Roman" w:hAnsi="Times New Roman" w:cs="Times New Roman"/>
                <w:i/>
                <w:spacing w:val="-6"/>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Müll.Arg</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674CF56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0.893</w:t>
            </w:r>
          </w:p>
        </w:tc>
        <w:tc>
          <w:tcPr>
            <w:tcW w:w="923" w:type="dxa"/>
          </w:tcPr>
          <w:p w14:paraId="0E6F738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0.446</w:t>
            </w:r>
          </w:p>
        </w:tc>
        <w:tc>
          <w:tcPr>
            <w:tcW w:w="1183" w:type="dxa"/>
          </w:tcPr>
          <w:p w14:paraId="64B0706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8.172</w:t>
            </w:r>
          </w:p>
        </w:tc>
        <w:tc>
          <w:tcPr>
            <w:tcW w:w="942" w:type="dxa"/>
          </w:tcPr>
          <w:p w14:paraId="5FD47E7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9.511</w:t>
            </w:r>
          </w:p>
        </w:tc>
      </w:tr>
      <w:tr w:rsidR="00843680" w:rsidRPr="00843680" w14:paraId="21467E1B" w14:textId="77777777" w:rsidTr="00AF01DE">
        <w:trPr>
          <w:trHeight w:val="414"/>
        </w:trPr>
        <w:tc>
          <w:tcPr>
            <w:tcW w:w="955" w:type="dxa"/>
          </w:tcPr>
          <w:p w14:paraId="0D8008E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14</w:t>
            </w:r>
          </w:p>
        </w:tc>
        <w:tc>
          <w:tcPr>
            <w:tcW w:w="3948" w:type="dxa"/>
          </w:tcPr>
          <w:p w14:paraId="03E22DB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Randia</w:t>
            </w:r>
            <w:proofErr w:type="spellEnd"/>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dumetorum</w:t>
            </w:r>
            <w:proofErr w:type="spellEnd"/>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(Retz.)</w:t>
            </w:r>
            <w:r w:rsidRPr="00843680">
              <w:rPr>
                <w:rFonts w:ascii="Times New Roman" w:eastAsia="Times New Roman" w:hAnsi="Times New Roman" w:cs="Times New Roman"/>
                <w:spacing w:val="-2"/>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Lam.</w:t>
            </w:r>
          </w:p>
        </w:tc>
        <w:tc>
          <w:tcPr>
            <w:tcW w:w="1062" w:type="dxa"/>
          </w:tcPr>
          <w:p w14:paraId="17003D8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7.5</w:t>
            </w:r>
          </w:p>
        </w:tc>
        <w:tc>
          <w:tcPr>
            <w:tcW w:w="923" w:type="dxa"/>
          </w:tcPr>
          <w:p w14:paraId="7F45A73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5.357</w:t>
            </w:r>
          </w:p>
        </w:tc>
        <w:tc>
          <w:tcPr>
            <w:tcW w:w="1183" w:type="dxa"/>
          </w:tcPr>
          <w:p w14:paraId="2E2D62F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5.72</w:t>
            </w:r>
          </w:p>
        </w:tc>
        <w:tc>
          <w:tcPr>
            <w:tcW w:w="942" w:type="dxa"/>
          </w:tcPr>
          <w:p w14:paraId="1E398F9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18.577</w:t>
            </w:r>
          </w:p>
        </w:tc>
      </w:tr>
      <w:tr w:rsidR="00843680" w:rsidRPr="00843680" w14:paraId="61FA092A" w14:textId="77777777" w:rsidTr="00AF01DE">
        <w:trPr>
          <w:trHeight w:val="414"/>
        </w:trPr>
        <w:tc>
          <w:tcPr>
            <w:tcW w:w="955" w:type="dxa"/>
          </w:tcPr>
          <w:p w14:paraId="28609B04"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15</w:t>
            </w:r>
          </w:p>
        </w:tc>
        <w:tc>
          <w:tcPr>
            <w:tcW w:w="3948" w:type="dxa"/>
          </w:tcPr>
          <w:p w14:paraId="1D27ADB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Senna</w:t>
            </w:r>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auriculata</w:t>
            </w:r>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Roxb</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163F0C7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3.571</w:t>
            </w:r>
          </w:p>
        </w:tc>
        <w:tc>
          <w:tcPr>
            <w:tcW w:w="923" w:type="dxa"/>
          </w:tcPr>
          <w:p w14:paraId="0BCEB8D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3.125</w:t>
            </w:r>
          </w:p>
        </w:tc>
        <w:tc>
          <w:tcPr>
            <w:tcW w:w="1183" w:type="dxa"/>
          </w:tcPr>
          <w:p w14:paraId="1495774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4.669</w:t>
            </w:r>
          </w:p>
        </w:tc>
        <w:tc>
          <w:tcPr>
            <w:tcW w:w="942" w:type="dxa"/>
          </w:tcPr>
          <w:p w14:paraId="450EC07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11.366</w:t>
            </w:r>
          </w:p>
        </w:tc>
      </w:tr>
      <w:tr w:rsidR="00843680" w:rsidRPr="00843680" w14:paraId="537B3089" w14:textId="77777777" w:rsidTr="00AF01DE">
        <w:trPr>
          <w:trHeight w:val="412"/>
        </w:trPr>
        <w:tc>
          <w:tcPr>
            <w:tcW w:w="955" w:type="dxa"/>
          </w:tcPr>
          <w:p w14:paraId="503E871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16</w:t>
            </w:r>
          </w:p>
        </w:tc>
        <w:tc>
          <w:tcPr>
            <w:tcW w:w="3948" w:type="dxa"/>
          </w:tcPr>
          <w:p w14:paraId="09D180B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spacing w:val="-2"/>
                <w:kern w:val="0"/>
                <w:sz w:val="26"/>
                <w:szCs w:val="26"/>
                <w:lang w:val="en-US"/>
                <w14:ligatures w14:val="none"/>
              </w:rPr>
              <w:t>Triumfetta</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spacing w:val="-2"/>
                <w:kern w:val="0"/>
                <w:sz w:val="26"/>
                <w:szCs w:val="26"/>
                <w:lang w:val="en-US"/>
                <w14:ligatures w14:val="none"/>
              </w:rPr>
              <w:t>pentandra</w:t>
            </w:r>
            <w:proofErr w:type="spellEnd"/>
            <w:r w:rsidRPr="00843680">
              <w:rPr>
                <w:rFonts w:ascii="Times New Roman" w:eastAsia="Times New Roman" w:hAnsi="Times New Roman" w:cs="Times New Roman"/>
                <w:i/>
                <w:spacing w:val="-6"/>
                <w:kern w:val="0"/>
                <w:sz w:val="26"/>
                <w:szCs w:val="26"/>
                <w:lang w:val="en-US"/>
                <w14:ligatures w14:val="none"/>
              </w:rPr>
              <w:t xml:space="preserve"> </w:t>
            </w:r>
            <w:proofErr w:type="spellStart"/>
            <w:proofErr w:type="gramStart"/>
            <w:r w:rsidRPr="00843680">
              <w:rPr>
                <w:rFonts w:ascii="Times New Roman" w:eastAsia="Times New Roman" w:hAnsi="Times New Roman" w:cs="Times New Roman"/>
                <w:spacing w:val="-2"/>
                <w:kern w:val="0"/>
                <w:sz w:val="26"/>
                <w:szCs w:val="26"/>
                <w:lang w:val="en-US"/>
                <w14:ligatures w14:val="none"/>
              </w:rPr>
              <w:t>A.Rich</w:t>
            </w:r>
            <w:proofErr w:type="spellEnd"/>
            <w:proofErr w:type="gram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4543633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2.5</w:t>
            </w:r>
          </w:p>
        </w:tc>
        <w:tc>
          <w:tcPr>
            <w:tcW w:w="923" w:type="dxa"/>
          </w:tcPr>
          <w:p w14:paraId="4541148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4.911</w:t>
            </w:r>
          </w:p>
        </w:tc>
        <w:tc>
          <w:tcPr>
            <w:tcW w:w="1183" w:type="dxa"/>
          </w:tcPr>
          <w:p w14:paraId="6CBE8FE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2.08</w:t>
            </w:r>
          </w:p>
        </w:tc>
        <w:tc>
          <w:tcPr>
            <w:tcW w:w="942" w:type="dxa"/>
          </w:tcPr>
          <w:p w14:paraId="65A3AEF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9.491</w:t>
            </w:r>
          </w:p>
        </w:tc>
      </w:tr>
      <w:tr w:rsidR="00843680" w:rsidRPr="00843680" w14:paraId="3C9F2161" w14:textId="77777777" w:rsidTr="00AF01DE">
        <w:trPr>
          <w:trHeight w:val="414"/>
        </w:trPr>
        <w:tc>
          <w:tcPr>
            <w:tcW w:w="955" w:type="dxa"/>
          </w:tcPr>
          <w:p w14:paraId="3801E192"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lastRenderedPageBreak/>
              <w:t>17</w:t>
            </w:r>
          </w:p>
        </w:tc>
        <w:tc>
          <w:tcPr>
            <w:tcW w:w="3948" w:type="dxa"/>
          </w:tcPr>
          <w:p w14:paraId="3B3763C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Triumfetta</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rhomboidea</w:t>
            </w:r>
            <w:proofErr w:type="spellEnd"/>
            <w:r w:rsidRPr="00843680">
              <w:rPr>
                <w:rFonts w:ascii="Times New Roman" w:eastAsia="Times New Roman" w:hAnsi="Times New Roman" w:cs="Times New Roman"/>
                <w:i/>
                <w:spacing w:val="-10"/>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Jacq.</w:t>
            </w:r>
          </w:p>
        </w:tc>
        <w:tc>
          <w:tcPr>
            <w:tcW w:w="1062" w:type="dxa"/>
          </w:tcPr>
          <w:p w14:paraId="56FC671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6.786</w:t>
            </w:r>
          </w:p>
        </w:tc>
        <w:tc>
          <w:tcPr>
            <w:tcW w:w="923" w:type="dxa"/>
          </w:tcPr>
          <w:p w14:paraId="2C0AEED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4.018</w:t>
            </w:r>
          </w:p>
        </w:tc>
        <w:tc>
          <w:tcPr>
            <w:tcW w:w="1183" w:type="dxa"/>
          </w:tcPr>
          <w:p w14:paraId="3A7964A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6.9</w:t>
            </w:r>
          </w:p>
        </w:tc>
        <w:tc>
          <w:tcPr>
            <w:tcW w:w="942" w:type="dxa"/>
          </w:tcPr>
          <w:p w14:paraId="5E173D7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17.704</w:t>
            </w:r>
          </w:p>
        </w:tc>
      </w:tr>
      <w:tr w:rsidR="00843680" w:rsidRPr="00843680" w14:paraId="19AE31ED" w14:textId="77777777" w:rsidTr="00AF01DE">
        <w:trPr>
          <w:trHeight w:val="412"/>
        </w:trPr>
        <w:tc>
          <w:tcPr>
            <w:tcW w:w="955" w:type="dxa"/>
          </w:tcPr>
          <w:p w14:paraId="3FD063D3"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18</w:t>
            </w:r>
          </w:p>
        </w:tc>
        <w:tc>
          <w:tcPr>
            <w:tcW w:w="3948" w:type="dxa"/>
          </w:tcPr>
          <w:p w14:paraId="38926A7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Vitex</w:t>
            </w:r>
            <w:r w:rsidRPr="00843680">
              <w:rPr>
                <w:rFonts w:ascii="Times New Roman" w:eastAsia="Times New Roman" w:hAnsi="Times New Roman" w:cs="Times New Roman"/>
                <w:i/>
                <w:spacing w:val="-11"/>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negundo</w:t>
            </w:r>
            <w:r w:rsidRPr="00843680">
              <w:rPr>
                <w:rFonts w:ascii="Times New Roman" w:eastAsia="Times New Roman" w:hAnsi="Times New Roman" w:cs="Times New Roman"/>
                <w:i/>
                <w:spacing w:val="-9"/>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640B6F1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1.429</w:t>
            </w:r>
          </w:p>
        </w:tc>
        <w:tc>
          <w:tcPr>
            <w:tcW w:w="923" w:type="dxa"/>
          </w:tcPr>
          <w:p w14:paraId="25B2662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3.571</w:t>
            </w:r>
          </w:p>
        </w:tc>
        <w:tc>
          <w:tcPr>
            <w:tcW w:w="1183" w:type="dxa"/>
          </w:tcPr>
          <w:p w14:paraId="4804DB7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1.634</w:t>
            </w:r>
          </w:p>
        </w:tc>
        <w:tc>
          <w:tcPr>
            <w:tcW w:w="942" w:type="dxa"/>
          </w:tcPr>
          <w:p w14:paraId="7D64A8D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6.634</w:t>
            </w:r>
          </w:p>
        </w:tc>
      </w:tr>
      <w:tr w:rsidR="00843680" w:rsidRPr="00843680" w14:paraId="3C333402" w14:textId="77777777" w:rsidTr="00AF01DE">
        <w:trPr>
          <w:trHeight w:val="414"/>
        </w:trPr>
        <w:tc>
          <w:tcPr>
            <w:tcW w:w="955" w:type="dxa"/>
          </w:tcPr>
          <w:p w14:paraId="4ABE0147" w14:textId="77777777" w:rsidR="00843680" w:rsidRPr="00843680" w:rsidRDefault="00843680" w:rsidP="00F06620">
            <w:pPr>
              <w:widowControl w:val="0"/>
              <w:autoSpaceDE w:val="0"/>
              <w:autoSpaceDN w:val="0"/>
              <w:spacing w:before="1" w:after="0" w:line="240" w:lineRule="auto"/>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19</w:t>
            </w:r>
          </w:p>
        </w:tc>
        <w:tc>
          <w:tcPr>
            <w:tcW w:w="3948" w:type="dxa"/>
          </w:tcPr>
          <w:p w14:paraId="7643D2C3"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Woodfordia</w:t>
            </w:r>
            <w:proofErr w:type="spellEnd"/>
            <w:r w:rsidRPr="00843680">
              <w:rPr>
                <w:rFonts w:ascii="Times New Roman" w:eastAsia="Times New Roman" w:hAnsi="Times New Roman" w:cs="Times New Roman"/>
                <w:i/>
                <w:spacing w:val="-13"/>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fruticosa</w:t>
            </w:r>
            <w:proofErr w:type="spellEnd"/>
            <w:r w:rsidRPr="00843680">
              <w:rPr>
                <w:rFonts w:ascii="Times New Roman" w:eastAsia="Times New Roman" w:hAnsi="Times New Roman" w:cs="Times New Roman"/>
                <w:i/>
                <w:spacing w:val="-1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2"/>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Kurz</w:t>
            </w:r>
          </w:p>
        </w:tc>
        <w:tc>
          <w:tcPr>
            <w:tcW w:w="1062" w:type="dxa"/>
          </w:tcPr>
          <w:p w14:paraId="22F9781B"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6.429</w:t>
            </w:r>
          </w:p>
        </w:tc>
        <w:tc>
          <w:tcPr>
            <w:tcW w:w="923" w:type="dxa"/>
          </w:tcPr>
          <w:p w14:paraId="578161A0"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6.25</w:t>
            </w:r>
          </w:p>
        </w:tc>
        <w:tc>
          <w:tcPr>
            <w:tcW w:w="1183" w:type="dxa"/>
          </w:tcPr>
          <w:p w14:paraId="198B0B59"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4.203</w:t>
            </w:r>
          </w:p>
        </w:tc>
        <w:tc>
          <w:tcPr>
            <w:tcW w:w="942" w:type="dxa"/>
          </w:tcPr>
          <w:p w14:paraId="063F0F1B"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16.881</w:t>
            </w:r>
          </w:p>
        </w:tc>
      </w:tr>
      <w:tr w:rsidR="00843680" w:rsidRPr="00843680" w14:paraId="2A905DA1" w14:textId="77777777" w:rsidTr="00AF01DE">
        <w:trPr>
          <w:trHeight w:val="415"/>
        </w:trPr>
        <w:tc>
          <w:tcPr>
            <w:tcW w:w="955" w:type="dxa"/>
          </w:tcPr>
          <w:p w14:paraId="135F0938" w14:textId="77777777" w:rsidR="00843680" w:rsidRPr="00843680" w:rsidRDefault="00843680" w:rsidP="00843680">
            <w:pPr>
              <w:widowControl w:val="0"/>
              <w:autoSpaceDE w:val="0"/>
              <w:autoSpaceDN w:val="0"/>
              <w:spacing w:after="0" w:line="276" w:lineRule="exact"/>
              <w:jc w:val="right"/>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2"/>
                <w:kern w:val="0"/>
                <w:sz w:val="26"/>
                <w:szCs w:val="26"/>
                <w:lang w:val="en-US"/>
                <w14:ligatures w14:val="none"/>
              </w:rPr>
              <w:t>Total</w:t>
            </w:r>
          </w:p>
        </w:tc>
        <w:tc>
          <w:tcPr>
            <w:tcW w:w="3948" w:type="dxa"/>
          </w:tcPr>
          <w:p w14:paraId="3FF170AD" w14:textId="77777777" w:rsidR="00843680" w:rsidRPr="00843680" w:rsidRDefault="00843680" w:rsidP="00F06620">
            <w:pPr>
              <w:widowControl w:val="0"/>
              <w:autoSpaceDE w:val="0"/>
              <w:autoSpaceDN w:val="0"/>
              <w:spacing w:after="0" w:line="240" w:lineRule="auto"/>
              <w:jc w:val="both"/>
              <w:rPr>
                <w:rFonts w:ascii="Times New Roman" w:eastAsia="Times New Roman" w:hAnsi="Times New Roman" w:cs="Times New Roman"/>
                <w:kern w:val="0"/>
                <w:sz w:val="26"/>
                <w:szCs w:val="26"/>
                <w:lang w:val="en-US"/>
                <w14:ligatures w14:val="none"/>
              </w:rPr>
            </w:pPr>
          </w:p>
        </w:tc>
        <w:tc>
          <w:tcPr>
            <w:tcW w:w="1062" w:type="dxa"/>
          </w:tcPr>
          <w:p w14:paraId="2C7C73B1"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100</w:t>
            </w:r>
          </w:p>
        </w:tc>
        <w:tc>
          <w:tcPr>
            <w:tcW w:w="923" w:type="dxa"/>
          </w:tcPr>
          <w:p w14:paraId="3D6F14C8"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100</w:t>
            </w:r>
          </w:p>
        </w:tc>
        <w:tc>
          <w:tcPr>
            <w:tcW w:w="1183" w:type="dxa"/>
          </w:tcPr>
          <w:p w14:paraId="697D216F"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 xml:space="preserve">100 </w:t>
            </w:r>
          </w:p>
        </w:tc>
        <w:tc>
          <w:tcPr>
            <w:tcW w:w="942" w:type="dxa"/>
          </w:tcPr>
          <w:p w14:paraId="007884EE"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300</w:t>
            </w:r>
          </w:p>
        </w:tc>
      </w:tr>
    </w:tbl>
    <w:p w14:paraId="39732573" w14:textId="2FB986BC" w:rsidR="00843680" w:rsidRPr="00843680" w:rsidRDefault="00843680" w:rsidP="00843680">
      <w:pPr>
        <w:jc w:val="both"/>
        <w:rPr>
          <w:rFonts w:ascii="Times New Roman" w:hAnsi="Times New Roman" w:cs="Times New Roman"/>
        </w:rPr>
      </w:pPr>
      <w:r w:rsidRPr="00843680">
        <w:rPr>
          <w:rFonts w:ascii="Times New Roman" w:hAnsi="Times New Roman" w:cs="Times New Roman"/>
        </w:rPr>
        <w:t xml:space="preserve"> </w:t>
      </w:r>
    </w:p>
    <w:p w14:paraId="3C8EBA30"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Importance Value Index (IVI) analysis revealed a clear dominance pattern among shrub species in the sanctuary</w:t>
      </w:r>
      <w:r w:rsidRPr="00AF01DE">
        <w:rPr>
          <w:rFonts w:ascii="Times New Roman" w:hAnsi="Times New Roman" w:cs="Times New Roman"/>
          <w:i/>
          <w:iCs/>
        </w:rPr>
        <w:t xml:space="preserve">. </w:t>
      </w:r>
      <w:proofErr w:type="spellStart"/>
      <w:r w:rsidRPr="00AF01DE">
        <w:rPr>
          <w:rFonts w:ascii="Times New Roman" w:hAnsi="Times New Roman" w:cs="Times New Roman"/>
          <w:i/>
          <w:iCs/>
        </w:rPr>
        <w:t>Barleria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prionitis</w:t>
      </w:r>
      <w:proofErr w:type="spellEnd"/>
      <w:r w:rsidRPr="00AF01DE">
        <w:rPr>
          <w:rFonts w:ascii="Times New Roman" w:hAnsi="Times New Roman" w:cs="Times New Roman"/>
        </w:rPr>
        <w:t xml:space="preserve"> recorded the highest IVI value (43.89), indicating its strong ecological dominance within the shrub layer. This species is well adapted to dry tropical conditions and often thrives in open forest areas and disturbed habitats.</w:t>
      </w:r>
    </w:p>
    <w:p w14:paraId="4A89997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second most dominant species was </w:t>
      </w:r>
      <w:r w:rsidRPr="00AF01DE">
        <w:rPr>
          <w:rFonts w:ascii="Times New Roman" w:hAnsi="Times New Roman" w:cs="Times New Roman"/>
          <w:i/>
          <w:iCs/>
        </w:rPr>
        <w:t>Lantana camara</w:t>
      </w:r>
      <w:r w:rsidRPr="00AF01DE">
        <w:rPr>
          <w:rFonts w:ascii="Times New Roman" w:hAnsi="Times New Roman" w:cs="Times New Roman"/>
        </w:rPr>
        <w:t xml:space="preserve"> with an IVI of 21.46. The dominance of this invasive shrub species indicates moderate disturbance and canopy openings within the forest ecosystem. </w:t>
      </w:r>
      <w:r w:rsidRPr="00AF01DE">
        <w:rPr>
          <w:rFonts w:ascii="Times New Roman" w:hAnsi="Times New Roman" w:cs="Times New Roman"/>
          <w:i/>
          <w:iCs/>
        </w:rPr>
        <w:t>Lantana camara</w:t>
      </w:r>
      <w:r w:rsidRPr="00AF01DE">
        <w:rPr>
          <w:rFonts w:ascii="Times New Roman" w:hAnsi="Times New Roman" w:cs="Times New Roman"/>
        </w:rPr>
        <w:t xml:space="preserve"> has been widely reported to invade tropical forests and suppress native vegetation through dense thicket formation.</w:t>
      </w:r>
    </w:p>
    <w:p w14:paraId="1BD0E510"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Other species with relatively high IVI values included </w:t>
      </w:r>
      <w:proofErr w:type="spellStart"/>
      <w:r w:rsidRPr="00AF01DE">
        <w:rPr>
          <w:rFonts w:ascii="Times New Roman" w:hAnsi="Times New Roman" w:cs="Times New Roman"/>
          <w:i/>
          <w:iCs/>
        </w:rPr>
        <w:t>Dodonaea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viscosa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Randia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dumetorum</w:t>
      </w:r>
      <w:proofErr w:type="spellEnd"/>
      <w:r w:rsidRPr="00AF01DE">
        <w:rPr>
          <w:rFonts w:ascii="Times New Roman" w:hAnsi="Times New Roman" w:cs="Times New Roman"/>
        </w:rPr>
        <w:t xml:space="preserve">, and </w:t>
      </w:r>
      <w:r w:rsidRPr="00AF01DE">
        <w:rPr>
          <w:rFonts w:ascii="Times New Roman" w:hAnsi="Times New Roman" w:cs="Times New Roman"/>
          <w:i/>
          <w:iCs/>
        </w:rPr>
        <w:t>Abutilon indicum</w:t>
      </w:r>
      <w:r w:rsidRPr="00AF01DE">
        <w:rPr>
          <w:rFonts w:ascii="Times New Roman" w:hAnsi="Times New Roman" w:cs="Times New Roman"/>
        </w:rPr>
        <w:t>, which are typical components of dry deciduous forest shrub communities. These species are known for their adaptability to drought conditions and their ability to colonize degraded forest patches.</w:t>
      </w:r>
    </w:p>
    <w:p w14:paraId="37F05C32" w14:textId="2C986038"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In contrast, species such as </w:t>
      </w:r>
      <w:r w:rsidRPr="00AF01DE">
        <w:rPr>
          <w:rFonts w:ascii="Times New Roman" w:hAnsi="Times New Roman" w:cs="Times New Roman"/>
          <w:i/>
          <w:iCs/>
        </w:rPr>
        <w:t xml:space="preserve">Vitex negundo, Asparagus </w:t>
      </w:r>
      <w:proofErr w:type="spellStart"/>
      <w:r w:rsidRPr="00AF01DE">
        <w:rPr>
          <w:rFonts w:ascii="Times New Roman" w:hAnsi="Times New Roman" w:cs="Times New Roman"/>
          <w:i/>
          <w:iCs/>
        </w:rPr>
        <w:t>racemosus</w:t>
      </w:r>
      <w:proofErr w:type="spellEnd"/>
      <w:r w:rsidRPr="00AF01DE">
        <w:rPr>
          <w:rFonts w:ascii="Times New Roman" w:hAnsi="Times New Roman" w:cs="Times New Roman"/>
          <w:i/>
          <w:iCs/>
        </w:rPr>
        <w:t xml:space="preserve">, </w:t>
      </w:r>
      <w:r w:rsidRPr="00AF01DE">
        <w:rPr>
          <w:rFonts w:ascii="Times New Roman" w:hAnsi="Times New Roman" w:cs="Times New Roman"/>
        </w:rPr>
        <w:t xml:space="preserve">and </w:t>
      </w:r>
      <w:r w:rsidRPr="00AF01DE">
        <w:rPr>
          <w:rFonts w:ascii="Times New Roman" w:hAnsi="Times New Roman" w:cs="Times New Roman"/>
          <w:i/>
          <w:iCs/>
        </w:rPr>
        <w:t>Phyllanthus variegatus</w:t>
      </w:r>
      <w:r w:rsidRPr="00AF01DE">
        <w:rPr>
          <w:rFonts w:ascii="Times New Roman" w:hAnsi="Times New Roman" w:cs="Times New Roman"/>
        </w:rPr>
        <w:t xml:space="preserve"> exhibited relatively lower IVI values, indicating limited distribution and lower ecological dominance within the shrub community</w:t>
      </w:r>
    </w:p>
    <w:p w14:paraId="3B7894AE" w14:textId="050BF29F" w:rsidR="00211EB6" w:rsidRPr="00211EB6" w:rsidRDefault="00211EB6" w:rsidP="00211EB6">
      <w:pPr>
        <w:spacing w:line="360" w:lineRule="auto"/>
        <w:jc w:val="both"/>
        <w:rPr>
          <w:rFonts w:ascii="Times New Roman" w:hAnsi="Times New Roman" w:cs="Times New Roman"/>
          <w:b/>
          <w:bCs/>
        </w:rPr>
      </w:pPr>
      <w:r w:rsidRPr="00211EB6">
        <w:rPr>
          <w:rFonts w:ascii="Times New Roman" w:hAnsi="Times New Roman" w:cs="Times New Roman"/>
          <w:b/>
          <w:bCs/>
        </w:rPr>
        <w:t xml:space="preserve">Table </w:t>
      </w:r>
      <w:r w:rsidR="00446FDF">
        <w:rPr>
          <w:rFonts w:ascii="Times New Roman" w:hAnsi="Times New Roman" w:cs="Times New Roman"/>
          <w:b/>
          <w:bCs/>
        </w:rPr>
        <w:t>1</w:t>
      </w:r>
      <w:r>
        <w:rPr>
          <w:rFonts w:ascii="Times New Roman" w:hAnsi="Times New Roman" w:cs="Times New Roman"/>
          <w:b/>
          <w:bCs/>
        </w:rPr>
        <w:t>.</w:t>
      </w:r>
      <w:r w:rsidRPr="00211EB6">
        <w:rPr>
          <w:rFonts w:ascii="Times New Roman" w:hAnsi="Times New Roman" w:cs="Times New Roman"/>
          <w:b/>
          <w:bCs/>
        </w:rPr>
        <w:t xml:space="preserve"> Diversity indices of shrub flora in Eturnagaram Wildlife Sanctuary</w:t>
      </w:r>
    </w:p>
    <w:tbl>
      <w:tblPr>
        <w:tblStyle w:val="TableGrid"/>
        <w:tblW w:w="8642" w:type="dxa"/>
        <w:tblLook w:val="04A0" w:firstRow="1" w:lastRow="0" w:firstColumn="1" w:lastColumn="0" w:noHBand="0" w:noVBand="1"/>
      </w:tblPr>
      <w:tblGrid>
        <w:gridCol w:w="5098"/>
        <w:gridCol w:w="3544"/>
      </w:tblGrid>
      <w:tr w:rsidR="00211EB6" w:rsidRPr="00211EB6" w14:paraId="6E968625" w14:textId="77777777" w:rsidTr="00017FF2">
        <w:trPr>
          <w:trHeight w:val="490"/>
        </w:trPr>
        <w:tc>
          <w:tcPr>
            <w:tcW w:w="5098" w:type="dxa"/>
            <w:hideMark/>
          </w:tcPr>
          <w:p w14:paraId="1BECB88C" w14:textId="77777777" w:rsidR="00211EB6" w:rsidRPr="00211EB6" w:rsidRDefault="00211EB6" w:rsidP="00211EB6">
            <w:pPr>
              <w:spacing w:after="160" w:line="360" w:lineRule="auto"/>
              <w:jc w:val="both"/>
              <w:rPr>
                <w:rFonts w:ascii="Times New Roman" w:hAnsi="Times New Roman" w:cs="Times New Roman"/>
                <w:b/>
                <w:bCs/>
              </w:rPr>
            </w:pPr>
            <w:r w:rsidRPr="00211EB6">
              <w:rPr>
                <w:rFonts w:ascii="Times New Roman" w:hAnsi="Times New Roman" w:cs="Times New Roman"/>
                <w:b/>
                <w:bCs/>
              </w:rPr>
              <w:t>Parameter</w:t>
            </w:r>
          </w:p>
        </w:tc>
        <w:tc>
          <w:tcPr>
            <w:tcW w:w="3544" w:type="dxa"/>
            <w:hideMark/>
          </w:tcPr>
          <w:p w14:paraId="63708476" w14:textId="77777777" w:rsidR="00211EB6" w:rsidRPr="00211EB6" w:rsidRDefault="00211EB6" w:rsidP="00211EB6">
            <w:pPr>
              <w:spacing w:after="160" w:line="360" w:lineRule="auto"/>
              <w:jc w:val="both"/>
              <w:rPr>
                <w:rFonts w:ascii="Times New Roman" w:hAnsi="Times New Roman" w:cs="Times New Roman"/>
                <w:b/>
                <w:bCs/>
              </w:rPr>
            </w:pPr>
            <w:r w:rsidRPr="00211EB6">
              <w:rPr>
                <w:rFonts w:ascii="Times New Roman" w:hAnsi="Times New Roman" w:cs="Times New Roman"/>
                <w:b/>
                <w:bCs/>
              </w:rPr>
              <w:t>Value</w:t>
            </w:r>
          </w:p>
        </w:tc>
      </w:tr>
      <w:tr w:rsidR="00211EB6" w:rsidRPr="00211EB6" w14:paraId="75498CAE" w14:textId="77777777" w:rsidTr="00017FF2">
        <w:trPr>
          <w:trHeight w:val="490"/>
        </w:trPr>
        <w:tc>
          <w:tcPr>
            <w:tcW w:w="5098" w:type="dxa"/>
            <w:hideMark/>
          </w:tcPr>
          <w:p w14:paraId="1FA52D22"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Simpson’s dominance (D)</w:t>
            </w:r>
          </w:p>
        </w:tc>
        <w:tc>
          <w:tcPr>
            <w:tcW w:w="3544" w:type="dxa"/>
            <w:hideMark/>
          </w:tcPr>
          <w:p w14:paraId="1EC13637"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0.0752</w:t>
            </w:r>
          </w:p>
        </w:tc>
      </w:tr>
      <w:tr w:rsidR="00211EB6" w:rsidRPr="00211EB6" w14:paraId="581AB941" w14:textId="77777777" w:rsidTr="00017FF2">
        <w:trPr>
          <w:trHeight w:val="498"/>
        </w:trPr>
        <w:tc>
          <w:tcPr>
            <w:tcW w:w="5098" w:type="dxa"/>
            <w:hideMark/>
          </w:tcPr>
          <w:p w14:paraId="21A6F1F7"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Shannon–Wiener index (H′)</w:t>
            </w:r>
          </w:p>
        </w:tc>
        <w:tc>
          <w:tcPr>
            <w:tcW w:w="3544" w:type="dxa"/>
            <w:hideMark/>
          </w:tcPr>
          <w:p w14:paraId="1C9D42DC"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2.750</w:t>
            </w:r>
          </w:p>
        </w:tc>
      </w:tr>
      <w:tr w:rsidR="00211EB6" w:rsidRPr="00211EB6" w14:paraId="64FB2C53" w14:textId="77777777" w:rsidTr="00017FF2">
        <w:trPr>
          <w:trHeight w:val="490"/>
        </w:trPr>
        <w:tc>
          <w:tcPr>
            <w:tcW w:w="5098" w:type="dxa"/>
            <w:hideMark/>
          </w:tcPr>
          <w:p w14:paraId="1441C975"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Evenness (E)</w:t>
            </w:r>
          </w:p>
        </w:tc>
        <w:tc>
          <w:tcPr>
            <w:tcW w:w="3544" w:type="dxa"/>
            <w:hideMark/>
          </w:tcPr>
          <w:p w14:paraId="3ADA54FC"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0.934</w:t>
            </w:r>
          </w:p>
        </w:tc>
      </w:tr>
      <w:tr w:rsidR="00211EB6" w:rsidRPr="00211EB6" w14:paraId="0B48F824" w14:textId="77777777" w:rsidTr="00017FF2">
        <w:trPr>
          <w:trHeight w:val="498"/>
        </w:trPr>
        <w:tc>
          <w:tcPr>
            <w:tcW w:w="5098" w:type="dxa"/>
            <w:hideMark/>
          </w:tcPr>
          <w:p w14:paraId="12E051C2"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Number of species</w:t>
            </w:r>
          </w:p>
        </w:tc>
        <w:tc>
          <w:tcPr>
            <w:tcW w:w="3544" w:type="dxa"/>
            <w:hideMark/>
          </w:tcPr>
          <w:p w14:paraId="42AD3EA4"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19</w:t>
            </w:r>
          </w:p>
        </w:tc>
      </w:tr>
    </w:tbl>
    <w:p w14:paraId="20D10A38" w14:textId="77777777" w:rsidR="00AF01DE" w:rsidRPr="00843680" w:rsidRDefault="00AF01DE" w:rsidP="00843680">
      <w:pPr>
        <w:spacing w:line="360" w:lineRule="auto"/>
        <w:jc w:val="both"/>
        <w:rPr>
          <w:rFonts w:ascii="Times New Roman" w:hAnsi="Times New Roman" w:cs="Times New Roman"/>
        </w:rPr>
      </w:pPr>
    </w:p>
    <w:p w14:paraId="16B23666"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4. Discussion</w:t>
      </w:r>
    </w:p>
    <w:p w14:paraId="5A97FCF6" w14:textId="4AE2DFB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 xml:space="preserve">The shrub vegetation of Eturnagaram Wildlife Sanctuary exhibited moderate species diversity and relatively uniform species distribution. The Shannon diversity value of 2.750 observed in the present study is comparable to shrub diversity reported from other tropical dry deciduous forests of India. Similar Shannon diversity values ranging from 2.3 to 3.0 have been reported from shrub communities of the Eastern Ghats, </w:t>
      </w:r>
      <w:proofErr w:type="spellStart"/>
      <w:r w:rsidRPr="00AF01DE">
        <w:rPr>
          <w:rFonts w:ascii="Times New Roman" w:hAnsi="Times New Roman" w:cs="Times New Roman"/>
        </w:rPr>
        <w:t>Nallamala</w:t>
      </w:r>
      <w:proofErr w:type="spellEnd"/>
      <w:r w:rsidRPr="00AF01DE">
        <w:rPr>
          <w:rFonts w:ascii="Times New Roman" w:hAnsi="Times New Roman" w:cs="Times New Roman"/>
        </w:rPr>
        <w:t xml:space="preserve"> Hills, and central Indian dry forests (Reddy et al., 2013; Naidu et al., 2021; Sagar et al., 2021).</w:t>
      </w:r>
    </w:p>
    <w:p w14:paraId="13D061B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relatively low Simpson dominance value (0.0752) further indicates that the shrub community is not dominated by a single species but rather consists of several co-existing taxa sharing ecological space. Such low dominance values are characteristic of heterogeneous vegetation communities where ecological niches are distributed among multiple species.</w:t>
      </w:r>
    </w:p>
    <w:p w14:paraId="3C41054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high evenness value (0.934) suggests a relatively uniform distribution of individuals across shrub species. High evenness values are often associated with stable vegetation communities where competitive exclusion is limited and resource availability is relatively balanced.</w:t>
      </w:r>
    </w:p>
    <w:p w14:paraId="2574CBFD"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dominance of </w:t>
      </w:r>
      <w:proofErr w:type="spellStart"/>
      <w:r w:rsidRPr="00AF01DE">
        <w:rPr>
          <w:rFonts w:ascii="Times New Roman" w:hAnsi="Times New Roman" w:cs="Times New Roman"/>
          <w:i/>
          <w:iCs/>
        </w:rPr>
        <w:t>Barleria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prionitis</w:t>
      </w:r>
      <w:proofErr w:type="spellEnd"/>
      <w:r w:rsidRPr="00AF01DE">
        <w:rPr>
          <w:rFonts w:ascii="Times New Roman" w:hAnsi="Times New Roman" w:cs="Times New Roman"/>
        </w:rPr>
        <w:t xml:space="preserve"> in the shrub layer reflects its ecological adaptability to dry tropical environments. This species is widely distributed across the Indian subcontinent and is known for its tolerance to drought and grazing pressure. Its high IVI value suggests that it plays a significant ecological role in the shrub layer of the sanctuary.</w:t>
      </w:r>
    </w:p>
    <w:p w14:paraId="0CC2762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presence of </w:t>
      </w:r>
      <w:r w:rsidRPr="00AF01DE">
        <w:rPr>
          <w:rFonts w:ascii="Times New Roman" w:hAnsi="Times New Roman" w:cs="Times New Roman"/>
          <w:i/>
          <w:iCs/>
        </w:rPr>
        <w:t>Lantana camara</w:t>
      </w:r>
      <w:r w:rsidRPr="00AF01DE">
        <w:rPr>
          <w:rFonts w:ascii="Times New Roman" w:hAnsi="Times New Roman" w:cs="Times New Roman"/>
        </w:rPr>
        <w:t xml:space="preserve"> as the second most dominant species indicates moderate disturbance within the forest ecosystem. </w:t>
      </w:r>
      <w:r w:rsidRPr="00AF01DE">
        <w:rPr>
          <w:rFonts w:ascii="Times New Roman" w:hAnsi="Times New Roman" w:cs="Times New Roman"/>
          <w:i/>
          <w:iCs/>
        </w:rPr>
        <w:t>Lantana invasion</w:t>
      </w:r>
      <w:r w:rsidRPr="00AF01DE">
        <w:rPr>
          <w:rFonts w:ascii="Times New Roman" w:hAnsi="Times New Roman" w:cs="Times New Roman"/>
        </w:rPr>
        <w:t xml:space="preserve"> has been widely documented in tropical forests across India and is often associated with anthropogenic disturbances such as grazing, fire, and canopy opening. The dense growth of this invasive species can suppress native vegetation and alter forest regeneration patterns.</w:t>
      </w:r>
    </w:p>
    <w:p w14:paraId="1B3BE72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Other shrub species such as </w:t>
      </w:r>
      <w:proofErr w:type="spellStart"/>
      <w:r w:rsidRPr="00AF01DE">
        <w:rPr>
          <w:rFonts w:ascii="Times New Roman" w:hAnsi="Times New Roman" w:cs="Times New Roman"/>
          <w:i/>
          <w:iCs/>
        </w:rPr>
        <w:t>Dodonaea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viscosa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Randia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dumetorum</w:t>
      </w:r>
      <w:proofErr w:type="spellEnd"/>
      <w:r w:rsidRPr="00AF01DE">
        <w:rPr>
          <w:rFonts w:ascii="Times New Roman" w:hAnsi="Times New Roman" w:cs="Times New Roman"/>
        </w:rPr>
        <w:t xml:space="preserve">, and </w:t>
      </w:r>
      <w:r w:rsidRPr="00AF01DE">
        <w:rPr>
          <w:rFonts w:ascii="Times New Roman" w:hAnsi="Times New Roman" w:cs="Times New Roman"/>
          <w:i/>
          <w:iCs/>
        </w:rPr>
        <w:t>Abutilon indicum</w:t>
      </w:r>
      <w:r w:rsidRPr="00AF01DE">
        <w:rPr>
          <w:rFonts w:ascii="Times New Roman" w:hAnsi="Times New Roman" w:cs="Times New Roman"/>
        </w:rPr>
        <w:t xml:space="preserve"> also exhibited relatively high ecological importance. These species are commonly reported from dry deciduous forests and are well adapted to seasonal drought conditions and open forest environments.</w:t>
      </w:r>
    </w:p>
    <w:p w14:paraId="641F77F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presence of ecologically important shrubs including </w:t>
      </w:r>
      <w:proofErr w:type="spellStart"/>
      <w:r w:rsidRPr="00AF01DE">
        <w:rPr>
          <w:rFonts w:ascii="Times New Roman" w:hAnsi="Times New Roman" w:cs="Times New Roman"/>
          <w:i/>
          <w:iCs/>
        </w:rPr>
        <w:t>Woodfordia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fruticosa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Helicteres</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isora</w:t>
      </w:r>
      <w:proofErr w:type="spellEnd"/>
      <w:r w:rsidRPr="00AF01DE">
        <w:rPr>
          <w:rFonts w:ascii="Times New Roman" w:hAnsi="Times New Roman" w:cs="Times New Roman"/>
          <w:i/>
          <w:iCs/>
        </w:rPr>
        <w:t xml:space="preserve">, </w:t>
      </w:r>
      <w:r w:rsidRPr="00AF01DE">
        <w:rPr>
          <w:rFonts w:ascii="Times New Roman" w:hAnsi="Times New Roman" w:cs="Times New Roman"/>
        </w:rPr>
        <w:t xml:space="preserve">and </w:t>
      </w:r>
      <w:r w:rsidRPr="00AF01DE">
        <w:rPr>
          <w:rFonts w:ascii="Times New Roman" w:hAnsi="Times New Roman" w:cs="Times New Roman"/>
          <w:i/>
          <w:iCs/>
        </w:rPr>
        <w:t>Vitex negundo</w:t>
      </w:r>
      <w:r w:rsidRPr="00AF01DE">
        <w:rPr>
          <w:rFonts w:ascii="Times New Roman" w:hAnsi="Times New Roman" w:cs="Times New Roman"/>
        </w:rPr>
        <w:t xml:space="preserve"> further contributes to habitat heterogeneity and ecosystem functioning. These species provide food resources, nesting sites, and shelter for various faunal species including birds, insects, and small mammals.</w:t>
      </w:r>
    </w:p>
    <w:p w14:paraId="264B274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Shrub vegetation also plays a crucial role in maintaining ecosystem processes such as soil stabilization, nutrient cycling, and microclimate regulation. The litter produced by shrub species contributes to soil organic matter and enhances microbial activity, thereby supporting overall ecosystem productivity.</w:t>
      </w:r>
    </w:p>
    <w:p w14:paraId="2C2EF775"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moderate diversity and high evenness observed in the present study indicate that the shrub layer of Eturnagaram Wildlife Sanctuary represents a relatively stable and resilient vegetation community. However, the presence of invasive species such as </w:t>
      </w:r>
      <w:r w:rsidRPr="00AF01DE">
        <w:rPr>
          <w:rFonts w:ascii="Times New Roman" w:hAnsi="Times New Roman" w:cs="Times New Roman"/>
          <w:i/>
          <w:iCs/>
        </w:rPr>
        <w:t>Lantana camara</w:t>
      </w:r>
      <w:r w:rsidRPr="00AF01DE">
        <w:rPr>
          <w:rFonts w:ascii="Times New Roman" w:hAnsi="Times New Roman" w:cs="Times New Roman"/>
        </w:rPr>
        <w:t xml:space="preserve"> suggests the need for regular monitoring and management interventions to prevent further spread and protect native shrub diversity.</w:t>
      </w:r>
    </w:p>
    <w:p w14:paraId="042DDBE7" w14:textId="23E6E0CF" w:rsidR="00843680"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Overall, the shrub vegetation structure of Eturnagaram Wildlife Sanctuary closely resembles patterns reported from other dry deciduous forests of the Eastern Ghats and Deccan Plateau, indicating that the sanctuary supports a representative shrub community typical of tropical dry forest ecosystems.</w:t>
      </w:r>
    </w:p>
    <w:p w14:paraId="6E59F020"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5. Conclusion</w:t>
      </w:r>
    </w:p>
    <w:p w14:paraId="0B5DF935"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phytosociological assessment of shrub vegetation in Eturnagaram Wildlife Sanctuary revealed a moderately diverse shrub community consisting of 19 species and 560 individuals. The calculated diversity indices (D = 0.0752, H′ = 2.750, E = 0.934) indicate low species dominance, moderate diversity, and high evenness within the shrub layer.</w:t>
      </w:r>
    </w:p>
    <w:p w14:paraId="2F2E2A37"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The dominance of drought-tolerant and disturbance-adapted species such as </w:t>
      </w:r>
      <w:proofErr w:type="spellStart"/>
      <w:r w:rsidRPr="00843680">
        <w:rPr>
          <w:rFonts w:ascii="Times New Roman" w:hAnsi="Times New Roman" w:cs="Times New Roman"/>
          <w:i/>
          <w:iCs/>
        </w:rPr>
        <w:t>Barleria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prionitis</w:t>
      </w:r>
      <w:proofErr w:type="spellEnd"/>
      <w:r w:rsidRPr="00843680">
        <w:rPr>
          <w:rFonts w:ascii="Times New Roman" w:hAnsi="Times New Roman" w:cs="Times New Roman"/>
        </w:rPr>
        <w:t xml:space="preserve">, </w:t>
      </w:r>
      <w:r w:rsidRPr="00843680">
        <w:rPr>
          <w:rFonts w:ascii="Times New Roman" w:hAnsi="Times New Roman" w:cs="Times New Roman"/>
          <w:i/>
          <w:iCs/>
        </w:rPr>
        <w:t xml:space="preserve">Lantana </w:t>
      </w:r>
      <w:proofErr w:type="spellStart"/>
      <w:r w:rsidRPr="00843680">
        <w:rPr>
          <w:rFonts w:ascii="Times New Roman" w:hAnsi="Times New Roman" w:cs="Times New Roman"/>
          <w:i/>
          <w:iCs/>
        </w:rPr>
        <w:t>camara</w:t>
      </w:r>
      <w:proofErr w:type="spellEnd"/>
      <w:r w:rsidRPr="00843680">
        <w:rPr>
          <w:rFonts w:ascii="Times New Roman" w:hAnsi="Times New Roman" w:cs="Times New Roman"/>
        </w:rPr>
        <w:t xml:space="preserve">, and </w:t>
      </w:r>
      <w:proofErr w:type="spellStart"/>
      <w:r w:rsidRPr="00843680">
        <w:rPr>
          <w:rFonts w:ascii="Times New Roman" w:hAnsi="Times New Roman" w:cs="Times New Roman"/>
          <w:i/>
          <w:iCs/>
        </w:rPr>
        <w:t>Dodonaea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viscosa</w:t>
      </w:r>
      <w:proofErr w:type="spellEnd"/>
      <w:r w:rsidRPr="00843680">
        <w:rPr>
          <w:rFonts w:ascii="Times New Roman" w:hAnsi="Times New Roman" w:cs="Times New Roman"/>
        </w:rPr>
        <w:t xml:space="preserve"> suggests moderate anthropogenic influence and secondary successional processes. However, the presence of diverse native shrubs indicates ecological resilience and regeneration potential.</w:t>
      </w:r>
    </w:p>
    <w:p w14:paraId="2D5125C1" w14:textId="779CDA14" w:rsidR="00843680" w:rsidRPr="0043458D"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findings provide important baseline information for biodiversity conservation, ecological monitoring, and sustainable forest management in tropical dry deciduous ecosystems of the Eastern Ghats.</w:t>
      </w:r>
    </w:p>
    <w:p w14:paraId="1D2224E6" w14:textId="77777777" w:rsidR="00843680" w:rsidRDefault="00843680" w:rsidP="00843680">
      <w:pPr>
        <w:jc w:val="both"/>
        <w:rPr>
          <w:rFonts w:ascii="Times New Roman" w:hAnsi="Times New Roman" w:cs="Times New Roman"/>
          <w:b/>
          <w:bCs/>
          <w:sz w:val="28"/>
          <w:szCs w:val="28"/>
        </w:rPr>
      </w:pPr>
      <w:r w:rsidRPr="0043458D">
        <w:rPr>
          <w:rFonts w:ascii="Times New Roman" w:hAnsi="Times New Roman" w:cs="Times New Roman"/>
          <w:b/>
          <w:bCs/>
          <w:sz w:val="28"/>
          <w:szCs w:val="28"/>
        </w:rPr>
        <w:t>References</w:t>
      </w:r>
    </w:p>
    <w:p w14:paraId="0C97CF1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Bahuguna, V. (1999). Forests in the economy of rural poor. </w:t>
      </w:r>
      <w:r w:rsidRPr="00AF01DE">
        <w:rPr>
          <w:rFonts w:ascii="Times New Roman" w:hAnsi="Times New Roman" w:cs="Times New Roman"/>
          <w:i/>
          <w:iCs/>
        </w:rPr>
        <w:t>Indian Forester</w:t>
      </w:r>
      <w:r w:rsidRPr="00AF01DE">
        <w:rPr>
          <w:rFonts w:ascii="Times New Roman" w:hAnsi="Times New Roman" w:cs="Times New Roman"/>
        </w:rPr>
        <w:t>, 125, 23–29.</w:t>
      </w:r>
    </w:p>
    <w:p w14:paraId="36F15AA9"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Chapin, F. S., Matson, P. A., &amp; </w:t>
      </w:r>
      <w:proofErr w:type="spellStart"/>
      <w:r w:rsidRPr="00AF01DE">
        <w:rPr>
          <w:rFonts w:ascii="Times New Roman" w:hAnsi="Times New Roman" w:cs="Times New Roman"/>
        </w:rPr>
        <w:t>Vitousek</w:t>
      </w:r>
      <w:proofErr w:type="spellEnd"/>
      <w:r w:rsidRPr="00AF01DE">
        <w:rPr>
          <w:rFonts w:ascii="Times New Roman" w:hAnsi="Times New Roman" w:cs="Times New Roman"/>
        </w:rPr>
        <w:t xml:space="preserve">, P. M. (2011). </w:t>
      </w:r>
      <w:r w:rsidRPr="00AF01DE">
        <w:rPr>
          <w:rFonts w:ascii="Times New Roman" w:hAnsi="Times New Roman" w:cs="Times New Roman"/>
          <w:i/>
          <w:iCs/>
        </w:rPr>
        <w:t>Principles of terrestrial ecosystem ecology</w:t>
      </w:r>
      <w:r w:rsidRPr="00AF01DE">
        <w:rPr>
          <w:rFonts w:ascii="Times New Roman" w:hAnsi="Times New Roman" w:cs="Times New Roman"/>
        </w:rPr>
        <w:t xml:space="preserve"> (2nd ed.). Springer, New York.</w:t>
      </w:r>
      <w:bookmarkStart w:id="0" w:name="_GoBack"/>
      <w:bookmarkEnd w:id="0"/>
    </w:p>
    <w:p w14:paraId="642FD80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 xml:space="preserve">Champion, H. G., &amp; Seth, S. K. (1968). </w:t>
      </w:r>
      <w:r w:rsidRPr="00AF01DE">
        <w:rPr>
          <w:rFonts w:ascii="Times New Roman" w:hAnsi="Times New Roman" w:cs="Times New Roman"/>
          <w:i/>
          <w:iCs/>
        </w:rPr>
        <w:t>A revised survey of the forest types of India</w:t>
      </w:r>
      <w:r w:rsidRPr="00AF01DE">
        <w:rPr>
          <w:rFonts w:ascii="Times New Roman" w:hAnsi="Times New Roman" w:cs="Times New Roman"/>
        </w:rPr>
        <w:t>. Government of India Press, New Delhi.</w:t>
      </w:r>
    </w:p>
    <w:p w14:paraId="1A7FDEE3"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Curtis, J. T., &amp; McIntosh, R. P. (1951). An upland forest continuum in the prairie–forest border region of Wisconsin. </w:t>
      </w:r>
      <w:r w:rsidRPr="00AF01DE">
        <w:rPr>
          <w:rFonts w:ascii="Times New Roman" w:hAnsi="Times New Roman" w:cs="Times New Roman"/>
          <w:i/>
          <w:iCs/>
        </w:rPr>
        <w:t>Ecology</w:t>
      </w:r>
      <w:r w:rsidRPr="00AF01DE">
        <w:rPr>
          <w:rFonts w:ascii="Times New Roman" w:hAnsi="Times New Roman" w:cs="Times New Roman"/>
        </w:rPr>
        <w:t>, 32(3), 476–496. https://doi.org/10.2307/1931725</w:t>
      </w:r>
    </w:p>
    <w:p w14:paraId="3696697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Dash, P. K., Behera, N., &amp; Parida, A. (2009). Vegetation dynamics in tropical forests of Eastern Ghats, India. </w:t>
      </w:r>
      <w:r w:rsidRPr="00AF01DE">
        <w:rPr>
          <w:rFonts w:ascii="Times New Roman" w:hAnsi="Times New Roman" w:cs="Times New Roman"/>
          <w:i/>
          <w:iCs/>
        </w:rPr>
        <w:t>Forest Ecology and Management</w:t>
      </w:r>
      <w:r w:rsidRPr="00AF01DE">
        <w:rPr>
          <w:rFonts w:ascii="Times New Roman" w:hAnsi="Times New Roman" w:cs="Times New Roman"/>
        </w:rPr>
        <w:t>, 258, 120–128.</w:t>
      </w:r>
    </w:p>
    <w:p w14:paraId="4359644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Kent, M. (2012). </w:t>
      </w:r>
      <w:r w:rsidRPr="00AF01DE">
        <w:rPr>
          <w:rFonts w:ascii="Times New Roman" w:hAnsi="Times New Roman" w:cs="Times New Roman"/>
          <w:i/>
          <w:iCs/>
        </w:rPr>
        <w:t>Vegetation description and data analysis: A practical approach</w:t>
      </w:r>
      <w:r w:rsidRPr="00AF01DE">
        <w:rPr>
          <w:rFonts w:ascii="Times New Roman" w:hAnsi="Times New Roman" w:cs="Times New Roman"/>
        </w:rPr>
        <w:t xml:space="preserve"> (2nd ed.). Wiley-Blackwell, Chichester.</w:t>
      </w:r>
    </w:p>
    <w:p w14:paraId="5769EF42"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Kent, M., &amp; Coker, P. (1992). </w:t>
      </w:r>
      <w:r w:rsidRPr="00AF01DE">
        <w:rPr>
          <w:rFonts w:ascii="Times New Roman" w:hAnsi="Times New Roman" w:cs="Times New Roman"/>
          <w:i/>
          <w:iCs/>
        </w:rPr>
        <w:t>Vegetation description and analysis: A practical approach</w:t>
      </w:r>
      <w:r w:rsidRPr="00AF01DE">
        <w:rPr>
          <w:rFonts w:ascii="Times New Roman" w:hAnsi="Times New Roman" w:cs="Times New Roman"/>
        </w:rPr>
        <w:t>. John Wiley &amp; Sons, London.</w:t>
      </w:r>
    </w:p>
    <w:p w14:paraId="160C9889" w14:textId="77777777" w:rsidR="00AF01DE" w:rsidRPr="00AF01DE" w:rsidRDefault="00AF01DE" w:rsidP="00AF01DE">
      <w:pPr>
        <w:spacing w:line="360" w:lineRule="auto"/>
        <w:jc w:val="both"/>
        <w:rPr>
          <w:rFonts w:ascii="Times New Roman" w:hAnsi="Times New Roman" w:cs="Times New Roman"/>
        </w:rPr>
      </w:pPr>
      <w:proofErr w:type="spellStart"/>
      <w:r w:rsidRPr="00AF01DE">
        <w:rPr>
          <w:rFonts w:ascii="Times New Roman" w:hAnsi="Times New Roman" w:cs="Times New Roman"/>
        </w:rPr>
        <w:t>Magurran</w:t>
      </w:r>
      <w:proofErr w:type="spellEnd"/>
      <w:r w:rsidRPr="00AF01DE">
        <w:rPr>
          <w:rFonts w:ascii="Times New Roman" w:hAnsi="Times New Roman" w:cs="Times New Roman"/>
        </w:rPr>
        <w:t xml:space="preserve">, A. E. (2004). </w:t>
      </w:r>
      <w:r w:rsidRPr="00AF01DE">
        <w:rPr>
          <w:rFonts w:ascii="Times New Roman" w:hAnsi="Times New Roman" w:cs="Times New Roman"/>
          <w:i/>
          <w:iCs/>
        </w:rPr>
        <w:t>Measuring biological diversity</w:t>
      </w:r>
      <w:r w:rsidRPr="00AF01DE">
        <w:rPr>
          <w:rFonts w:ascii="Times New Roman" w:hAnsi="Times New Roman" w:cs="Times New Roman"/>
        </w:rPr>
        <w:t>. Blackwell Publishing, Oxford.</w:t>
      </w:r>
    </w:p>
    <w:p w14:paraId="7C448646"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Murphy, P. G., &amp; Lugo, A. E. (1986). Ecology of tropical dry forests. </w:t>
      </w:r>
      <w:r w:rsidRPr="00AF01DE">
        <w:rPr>
          <w:rFonts w:ascii="Times New Roman" w:hAnsi="Times New Roman" w:cs="Times New Roman"/>
          <w:i/>
          <w:iCs/>
        </w:rPr>
        <w:t>Annual Review of Ecology and Systematics</w:t>
      </w:r>
      <w:r w:rsidRPr="00AF01DE">
        <w:rPr>
          <w:rFonts w:ascii="Times New Roman" w:hAnsi="Times New Roman" w:cs="Times New Roman"/>
        </w:rPr>
        <w:t>, 17, 67–88.</w:t>
      </w:r>
    </w:p>
    <w:p w14:paraId="6BE028B5"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Naidu, M. T., Kumar, O. A., &amp; Reddy, C. S. (2021). Floristic diversity and vegetation structure in Eastern Ghats forests of India. </w:t>
      </w:r>
      <w:r w:rsidRPr="00AF01DE">
        <w:rPr>
          <w:rFonts w:ascii="Times New Roman" w:hAnsi="Times New Roman" w:cs="Times New Roman"/>
          <w:i/>
          <w:iCs/>
        </w:rPr>
        <w:t>Tropical Ecology</w:t>
      </w:r>
      <w:r w:rsidRPr="00AF01DE">
        <w:rPr>
          <w:rFonts w:ascii="Times New Roman" w:hAnsi="Times New Roman" w:cs="Times New Roman"/>
        </w:rPr>
        <w:t>, 62, 340–352.</w:t>
      </w:r>
    </w:p>
    <w:p w14:paraId="11869C92"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Peh, K. S. H., Lewis, S. L., &amp; Lloyd, J. (2015). Mechanisms of tropical forest regeneration and biodiversity maintenance. </w:t>
      </w:r>
      <w:r w:rsidRPr="00AF01DE">
        <w:rPr>
          <w:rFonts w:ascii="Times New Roman" w:hAnsi="Times New Roman" w:cs="Times New Roman"/>
          <w:i/>
          <w:iCs/>
        </w:rPr>
        <w:t>Biological Reviews</w:t>
      </w:r>
      <w:r w:rsidRPr="00AF01DE">
        <w:rPr>
          <w:rFonts w:ascii="Times New Roman" w:hAnsi="Times New Roman" w:cs="Times New Roman"/>
        </w:rPr>
        <w:t>, 90, 113–134.</w:t>
      </w:r>
    </w:p>
    <w:p w14:paraId="74314768"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Reddy, C. S., Pattanaik, C., Murthy, M. S. R., &amp; </w:t>
      </w:r>
      <w:proofErr w:type="spellStart"/>
      <w:r w:rsidRPr="00AF01DE">
        <w:rPr>
          <w:rFonts w:ascii="Times New Roman" w:hAnsi="Times New Roman" w:cs="Times New Roman"/>
        </w:rPr>
        <w:t>Dadhwal</w:t>
      </w:r>
      <w:proofErr w:type="spellEnd"/>
      <w:r w:rsidRPr="00AF01DE">
        <w:rPr>
          <w:rFonts w:ascii="Times New Roman" w:hAnsi="Times New Roman" w:cs="Times New Roman"/>
        </w:rPr>
        <w:t xml:space="preserve">, V. K. (2011). Phytosociological observations on tree diversity of tropical forest of Eastern Ghats, India. </w:t>
      </w:r>
      <w:r w:rsidRPr="00AF01DE">
        <w:rPr>
          <w:rFonts w:ascii="Times New Roman" w:hAnsi="Times New Roman" w:cs="Times New Roman"/>
          <w:i/>
          <w:iCs/>
        </w:rPr>
        <w:t>Journal of Forestry Research</w:t>
      </w:r>
      <w:r w:rsidRPr="00AF01DE">
        <w:rPr>
          <w:rFonts w:ascii="Times New Roman" w:hAnsi="Times New Roman" w:cs="Times New Roman"/>
        </w:rPr>
        <w:t>, 22, 1–8.</w:t>
      </w:r>
    </w:p>
    <w:p w14:paraId="218D4DB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Reddy, C. S., et al. (2013). Assessment of plant diversity and vegetation structure in Eastern Ghats forests of India. </w:t>
      </w:r>
      <w:r w:rsidRPr="00AF01DE">
        <w:rPr>
          <w:rFonts w:ascii="Times New Roman" w:hAnsi="Times New Roman" w:cs="Times New Roman"/>
          <w:i/>
          <w:iCs/>
        </w:rPr>
        <w:t>Biodiversity and Conservation</w:t>
      </w:r>
      <w:r w:rsidRPr="00AF01DE">
        <w:rPr>
          <w:rFonts w:ascii="Times New Roman" w:hAnsi="Times New Roman" w:cs="Times New Roman"/>
        </w:rPr>
        <w:t>, 22, 181–198.</w:t>
      </w:r>
    </w:p>
    <w:p w14:paraId="44EBB69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Sagar, R., Singh, J. S., &amp; Singh, S. P. (2021). Tree and shrub diversity patterns in tropical dry forests of central India. </w:t>
      </w:r>
      <w:r w:rsidRPr="00AF01DE">
        <w:rPr>
          <w:rFonts w:ascii="Times New Roman" w:hAnsi="Times New Roman" w:cs="Times New Roman"/>
          <w:i/>
          <w:iCs/>
        </w:rPr>
        <w:t>Journal of Forestry Research</w:t>
      </w:r>
      <w:r w:rsidRPr="00AF01DE">
        <w:rPr>
          <w:rFonts w:ascii="Times New Roman" w:hAnsi="Times New Roman" w:cs="Times New Roman"/>
        </w:rPr>
        <w:t>, 32, 1205–1216.</w:t>
      </w:r>
    </w:p>
    <w:p w14:paraId="21C9309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Sharma, G. P., Raghubanshi, A. S., &amp; Singh, J. S. (2005). Lantana invasion: An overview. </w:t>
      </w:r>
      <w:r w:rsidRPr="00AF01DE">
        <w:rPr>
          <w:rFonts w:ascii="Times New Roman" w:hAnsi="Times New Roman" w:cs="Times New Roman"/>
          <w:i/>
          <w:iCs/>
        </w:rPr>
        <w:t>Forest Ecology and Management</w:t>
      </w:r>
      <w:r w:rsidRPr="00AF01DE">
        <w:rPr>
          <w:rFonts w:ascii="Times New Roman" w:hAnsi="Times New Roman" w:cs="Times New Roman"/>
        </w:rPr>
        <w:t>, 214, 1–11.</w:t>
      </w:r>
    </w:p>
    <w:p w14:paraId="3E595031"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Singh, J. S., &amp; Singh, S. P. (2019). </w:t>
      </w:r>
      <w:r w:rsidRPr="00AF01DE">
        <w:rPr>
          <w:rFonts w:ascii="Times New Roman" w:hAnsi="Times New Roman" w:cs="Times New Roman"/>
          <w:i/>
          <w:iCs/>
        </w:rPr>
        <w:t>Forest ecology and management in India</w:t>
      </w:r>
      <w:r w:rsidRPr="00AF01DE">
        <w:rPr>
          <w:rFonts w:ascii="Times New Roman" w:hAnsi="Times New Roman" w:cs="Times New Roman"/>
        </w:rPr>
        <w:t>. Springer Nature, Singapore.</w:t>
      </w:r>
    </w:p>
    <w:p w14:paraId="03664B03"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 xml:space="preserve">Sundaram, B., &amp; Hiremath, A. J. (2012). Lantana invasion in Indian forests: Ecological implications and management. </w:t>
      </w:r>
      <w:r w:rsidRPr="00AF01DE">
        <w:rPr>
          <w:rFonts w:ascii="Times New Roman" w:hAnsi="Times New Roman" w:cs="Times New Roman"/>
          <w:i/>
          <w:iCs/>
        </w:rPr>
        <w:t>Tropical Ecology</w:t>
      </w:r>
      <w:r w:rsidRPr="00AF01DE">
        <w:rPr>
          <w:rFonts w:ascii="Times New Roman" w:hAnsi="Times New Roman" w:cs="Times New Roman"/>
        </w:rPr>
        <w:t>, 53, 325–338.</w:t>
      </w:r>
    </w:p>
    <w:p w14:paraId="0658521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Tripathi, S., Sagar, R., &amp; Singh, J. S. (2020). Vegetation structure and species diversity in tropical dry forests of India. </w:t>
      </w:r>
      <w:r w:rsidRPr="00AF01DE">
        <w:rPr>
          <w:rFonts w:ascii="Times New Roman" w:hAnsi="Times New Roman" w:cs="Times New Roman"/>
          <w:i/>
          <w:iCs/>
        </w:rPr>
        <w:t>Forest Ecology and Management</w:t>
      </w:r>
      <w:r w:rsidRPr="00AF01DE">
        <w:rPr>
          <w:rFonts w:ascii="Times New Roman" w:hAnsi="Times New Roman" w:cs="Times New Roman"/>
        </w:rPr>
        <w:t>, 460, 117879.</w:t>
      </w:r>
    </w:p>
    <w:p w14:paraId="0551DEFA" w14:textId="77777777" w:rsidR="00AF01DE" w:rsidRPr="00AF01DE" w:rsidRDefault="00AF01DE" w:rsidP="00AF01DE">
      <w:pPr>
        <w:spacing w:line="360" w:lineRule="auto"/>
        <w:jc w:val="both"/>
        <w:rPr>
          <w:rFonts w:ascii="Times New Roman" w:hAnsi="Times New Roman" w:cs="Times New Roman"/>
        </w:rPr>
      </w:pPr>
      <w:proofErr w:type="spellStart"/>
      <w:r w:rsidRPr="00AF01DE">
        <w:rPr>
          <w:rFonts w:ascii="Times New Roman" w:hAnsi="Times New Roman" w:cs="Times New Roman"/>
        </w:rPr>
        <w:t>Chytrý</w:t>
      </w:r>
      <w:proofErr w:type="spellEnd"/>
      <w:r w:rsidRPr="00AF01DE">
        <w:rPr>
          <w:rFonts w:ascii="Times New Roman" w:hAnsi="Times New Roman" w:cs="Times New Roman"/>
        </w:rPr>
        <w:t xml:space="preserve">, M., et al. (2022). Global vegetation diversity patterns and ecological drivers. </w:t>
      </w:r>
      <w:r w:rsidRPr="00AF01DE">
        <w:rPr>
          <w:rFonts w:ascii="Times New Roman" w:hAnsi="Times New Roman" w:cs="Times New Roman"/>
          <w:i/>
          <w:iCs/>
        </w:rPr>
        <w:t>Global Ecology and Biogeography</w:t>
      </w:r>
      <w:r w:rsidRPr="00AF01DE">
        <w:rPr>
          <w:rFonts w:ascii="Times New Roman" w:hAnsi="Times New Roman" w:cs="Times New Roman"/>
        </w:rPr>
        <w:t>, 31, 1410–1422.</w:t>
      </w:r>
    </w:p>
    <w:p w14:paraId="573B2E0B" w14:textId="01CFCC2A" w:rsidR="00E57BB8"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Singh, J. S., Roy, P. S., &amp; Singh, S. P. (2022). Tropical dry forests of India: Ecology and conservation challenges. </w:t>
      </w:r>
      <w:r w:rsidRPr="00AF01DE">
        <w:rPr>
          <w:rFonts w:ascii="Times New Roman" w:hAnsi="Times New Roman" w:cs="Times New Roman"/>
          <w:i/>
          <w:iCs/>
        </w:rPr>
        <w:t>Current Science</w:t>
      </w:r>
      <w:r w:rsidRPr="00AF01DE">
        <w:rPr>
          <w:rFonts w:ascii="Times New Roman" w:hAnsi="Times New Roman" w:cs="Times New Roman"/>
        </w:rPr>
        <w:t>, 123, 28–36.</w:t>
      </w:r>
      <w:r w:rsidR="00843680" w:rsidRPr="00AF01DE">
        <w:rPr>
          <w:rFonts w:ascii="Times New Roman" w:hAnsi="Times New Roman" w:cs="Times New Roman"/>
          <w:sz w:val="22"/>
          <w:szCs w:val="22"/>
        </w:rPr>
        <w:t xml:space="preserve"> </w:t>
      </w:r>
    </w:p>
    <w:sectPr w:rsidR="00E57BB8" w:rsidRPr="00AF01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96F4" w14:textId="77777777" w:rsidR="00646220" w:rsidRDefault="00646220" w:rsidP="00752F06">
      <w:pPr>
        <w:spacing w:after="0" w:line="240" w:lineRule="auto"/>
      </w:pPr>
      <w:r>
        <w:separator/>
      </w:r>
    </w:p>
  </w:endnote>
  <w:endnote w:type="continuationSeparator" w:id="0">
    <w:p w14:paraId="0AFD8B4B" w14:textId="77777777" w:rsidR="00646220" w:rsidRDefault="00646220" w:rsidP="0075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5348" w14:textId="77777777" w:rsidR="00752F06" w:rsidRDefault="00752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7BE5" w14:textId="77777777" w:rsidR="00752F06" w:rsidRDefault="00752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FBF3" w14:textId="77777777" w:rsidR="00752F06" w:rsidRDefault="0075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A378" w14:textId="77777777" w:rsidR="00646220" w:rsidRDefault="00646220" w:rsidP="00752F06">
      <w:pPr>
        <w:spacing w:after="0" w:line="240" w:lineRule="auto"/>
      </w:pPr>
      <w:r>
        <w:separator/>
      </w:r>
    </w:p>
  </w:footnote>
  <w:footnote w:type="continuationSeparator" w:id="0">
    <w:p w14:paraId="32DE1FB8" w14:textId="77777777" w:rsidR="00646220" w:rsidRDefault="00646220" w:rsidP="0075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D6CA" w14:textId="6D87F431" w:rsidR="00752F06" w:rsidRDefault="00752F06">
    <w:pPr>
      <w:pStyle w:val="Header"/>
    </w:pPr>
    <w:r>
      <w:rPr>
        <w:noProof/>
      </w:rPr>
      <w:pict w14:anchorId="18F44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26EF" w14:textId="374FC341" w:rsidR="00752F06" w:rsidRDefault="00752F06">
    <w:pPr>
      <w:pStyle w:val="Header"/>
    </w:pPr>
    <w:r>
      <w:rPr>
        <w:noProof/>
      </w:rPr>
      <w:pict w14:anchorId="3A931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EBF" w14:textId="26179A19" w:rsidR="00752F06" w:rsidRDefault="00752F06">
    <w:pPr>
      <w:pStyle w:val="Header"/>
    </w:pPr>
    <w:r>
      <w:rPr>
        <w:noProof/>
      </w:rPr>
      <w:pict w14:anchorId="3266A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560C9"/>
    <w:multiLevelType w:val="multilevel"/>
    <w:tmpl w:val="B30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231D3"/>
    <w:multiLevelType w:val="multilevel"/>
    <w:tmpl w:val="39F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80"/>
    <w:rsid w:val="00017FF2"/>
    <w:rsid w:val="00211EB6"/>
    <w:rsid w:val="00334356"/>
    <w:rsid w:val="00446FDF"/>
    <w:rsid w:val="004E26F0"/>
    <w:rsid w:val="005122C4"/>
    <w:rsid w:val="00565512"/>
    <w:rsid w:val="00646220"/>
    <w:rsid w:val="00727090"/>
    <w:rsid w:val="00752F06"/>
    <w:rsid w:val="00771E5C"/>
    <w:rsid w:val="00843680"/>
    <w:rsid w:val="00AF01DE"/>
    <w:rsid w:val="00B744B9"/>
    <w:rsid w:val="00C36388"/>
    <w:rsid w:val="00D05A3D"/>
    <w:rsid w:val="00E57BB8"/>
    <w:rsid w:val="00E77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5DB9F"/>
  <w15:chartTrackingRefBased/>
  <w15:docId w15:val="{2DF7FA1F-1C6F-4451-A60D-5C2B885A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680"/>
    <w:rPr>
      <w:rFonts w:eastAsiaTheme="majorEastAsia" w:cstheme="majorBidi"/>
      <w:color w:val="272727" w:themeColor="text1" w:themeTint="D8"/>
    </w:rPr>
  </w:style>
  <w:style w:type="paragraph" w:styleId="Title">
    <w:name w:val="Title"/>
    <w:basedOn w:val="Normal"/>
    <w:next w:val="Normal"/>
    <w:link w:val="TitleChar"/>
    <w:uiPriority w:val="10"/>
    <w:qFormat/>
    <w:rsid w:val="0084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68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80"/>
    <w:rPr>
      <w:i/>
      <w:iCs/>
      <w:color w:val="404040" w:themeColor="text1" w:themeTint="BF"/>
    </w:rPr>
  </w:style>
  <w:style w:type="paragraph" w:styleId="ListParagraph">
    <w:name w:val="List Paragraph"/>
    <w:basedOn w:val="Normal"/>
    <w:uiPriority w:val="34"/>
    <w:qFormat/>
    <w:rsid w:val="00843680"/>
    <w:pPr>
      <w:ind w:left="720"/>
      <w:contextualSpacing/>
    </w:pPr>
  </w:style>
  <w:style w:type="character" w:styleId="IntenseEmphasis">
    <w:name w:val="Intense Emphasis"/>
    <w:basedOn w:val="DefaultParagraphFont"/>
    <w:uiPriority w:val="21"/>
    <w:qFormat/>
    <w:rsid w:val="00843680"/>
    <w:rPr>
      <w:i/>
      <w:iCs/>
      <w:color w:val="2F5496" w:themeColor="accent1" w:themeShade="BF"/>
    </w:rPr>
  </w:style>
  <w:style w:type="paragraph" w:styleId="IntenseQuote">
    <w:name w:val="Intense Quote"/>
    <w:basedOn w:val="Normal"/>
    <w:next w:val="Normal"/>
    <w:link w:val="IntenseQuoteChar"/>
    <w:uiPriority w:val="30"/>
    <w:qFormat/>
    <w:rsid w:val="0084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680"/>
    <w:rPr>
      <w:i/>
      <w:iCs/>
      <w:color w:val="2F5496" w:themeColor="accent1" w:themeShade="BF"/>
    </w:rPr>
  </w:style>
  <w:style w:type="character" w:styleId="IntenseReference">
    <w:name w:val="Intense Reference"/>
    <w:basedOn w:val="DefaultParagraphFont"/>
    <w:uiPriority w:val="32"/>
    <w:qFormat/>
    <w:rsid w:val="00843680"/>
    <w:rPr>
      <w:b/>
      <w:bCs/>
      <w:smallCaps/>
      <w:color w:val="2F5496" w:themeColor="accent1" w:themeShade="BF"/>
      <w:spacing w:val="5"/>
    </w:rPr>
  </w:style>
  <w:style w:type="table" w:styleId="TableGrid">
    <w:name w:val="Table Grid"/>
    <w:basedOn w:val="TableNormal"/>
    <w:uiPriority w:val="39"/>
    <w:rsid w:val="0021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1DE"/>
    <w:rPr>
      <w:rFonts w:ascii="Times New Roman" w:hAnsi="Times New Roman" w:cs="Times New Roman"/>
    </w:rPr>
  </w:style>
  <w:style w:type="character" w:styleId="Hyperlink">
    <w:name w:val="Hyperlink"/>
    <w:basedOn w:val="DefaultParagraphFont"/>
    <w:uiPriority w:val="99"/>
    <w:unhideWhenUsed/>
    <w:rsid w:val="00446FDF"/>
    <w:rPr>
      <w:color w:val="0563C1" w:themeColor="hyperlink"/>
      <w:u w:val="single"/>
    </w:rPr>
  </w:style>
  <w:style w:type="character" w:styleId="UnresolvedMention">
    <w:name w:val="Unresolved Mention"/>
    <w:basedOn w:val="DefaultParagraphFont"/>
    <w:uiPriority w:val="99"/>
    <w:semiHidden/>
    <w:unhideWhenUsed/>
    <w:rsid w:val="00446FDF"/>
    <w:rPr>
      <w:color w:val="605E5C"/>
      <w:shd w:val="clear" w:color="auto" w:fill="E1DFDD"/>
    </w:rPr>
  </w:style>
  <w:style w:type="paragraph" w:styleId="Header">
    <w:name w:val="header"/>
    <w:basedOn w:val="Normal"/>
    <w:link w:val="HeaderChar"/>
    <w:uiPriority w:val="99"/>
    <w:unhideWhenUsed/>
    <w:rsid w:val="00752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6"/>
  </w:style>
  <w:style w:type="paragraph" w:styleId="Footer">
    <w:name w:val="footer"/>
    <w:basedOn w:val="Normal"/>
    <w:link w:val="FooterChar"/>
    <w:uiPriority w:val="99"/>
    <w:unhideWhenUsed/>
    <w:rsid w:val="0075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dc:creator>
  <cp:keywords/>
  <dc:description/>
  <cp:lastModifiedBy>SDI 1084</cp:lastModifiedBy>
  <cp:revision>5</cp:revision>
  <dcterms:created xsi:type="dcterms:W3CDTF">2026-03-12T10:50:00Z</dcterms:created>
  <dcterms:modified xsi:type="dcterms:W3CDTF">2026-03-14T14:25:00Z</dcterms:modified>
</cp:coreProperties>
</file>